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ind w:firstLine="320"/>
        <w:jc w:val="left"/>
        <w:rPr>
          <w:rFonts w:ascii="宋体" w:hAnsi="宋体"/>
          <w:color w:val="000000"/>
          <w:sz w:val="32"/>
          <w:highlight w:val="none"/>
        </w:rPr>
      </w:pPr>
      <w:r>
        <w:rPr>
          <w:rFonts w:ascii="宋体" w:hAnsi="宋体"/>
          <w:color w:val="000000"/>
          <w:sz w:val="32"/>
          <w:highlight w:val="none"/>
        </w:rPr>
        <w:t xml:space="preserve"> </w:t>
      </w:r>
      <w:r/>
    </w:p>
    <w:p>
      <w:pPr>
        <w:pStyle w:val="697"/>
        <w:ind w:firstLine="2100"/>
        <w:rPr>
          <w:rFonts w:ascii="宋体" w:hAnsi="宋体"/>
          <w:color w:val="000000"/>
          <w:sz w:val="30"/>
          <w:szCs w:val="30"/>
          <w:highlight w:val="none"/>
        </w:rPr>
      </w:pPr>
      <w:r>
        <w:rPr>
          <w:rFonts w:ascii="宋体" w:hAnsi="宋体"/>
          <w:color w:val="000000"/>
          <w:sz w:val="30"/>
          <w:szCs w:val="30"/>
          <w:highlight w:val="none"/>
        </w:rPr>
      </w:r>
      <w:r/>
    </w:p>
    <w:p>
      <w:pPr>
        <w:pStyle w:val="697"/>
        <w:ind w:firstLine="2100"/>
        <w:rPr>
          <w:rFonts w:ascii="宋体" w:hAnsi="宋体"/>
          <w:color w:val="000000"/>
          <w:sz w:val="30"/>
          <w:szCs w:val="30"/>
          <w:highlight w:val="none"/>
        </w:rPr>
      </w:pPr>
      <w:r>
        <w:rPr>
          <w:rFonts w:ascii="宋体" w:hAnsi="宋体"/>
          <w:color w:val="000000"/>
          <w:sz w:val="30"/>
          <w:szCs w:val="30"/>
          <w:highlight w:val="none"/>
        </w:rPr>
      </w:r>
      <w:r/>
    </w:p>
    <w:p>
      <w:pPr>
        <w:ind w:right="146"/>
        <w:jc w:val="center"/>
        <w:spacing w:line="1689" w:lineRule="exact"/>
        <w:rPr>
          <w:rFonts w:ascii="宋体" w:hAnsi="宋体" w:cs="宋体"/>
          <w:sz w:val="84"/>
          <w:szCs w:val="84"/>
          <w:highlight w:val="none"/>
        </w:rPr>
      </w:pPr>
      <w:r>
        <w:rPr>
          <w:rFonts w:hint="eastAsia" w:ascii="宋体" w:hAnsi="宋体" w:cs="宋体"/>
          <w:sz w:val="84"/>
          <w:szCs w:val="84"/>
          <w:highlight w:val="none"/>
        </w:rPr>
        <w:t xml:space="preserve">公开招标文件</w:t>
      </w:r>
      <w:r/>
    </w:p>
    <w:p>
      <w:pPr>
        <w:pStyle w:val="697"/>
        <w:ind w:firstLine="2100"/>
        <w:rPr>
          <w:rFonts w:ascii="宋体" w:hAnsi="宋体"/>
          <w:color w:val="000000"/>
          <w:sz w:val="30"/>
          <w:szCs w:val="30"/>
          <w:highlight w:val="none"/>
        </w:rPr>
      </w:pPr>
      <w:r>
        <w:rPr>
          <w:rFonts w:ascii="宋体" w:hAnsi="宋体"/>
          <w:color w:val="000000"/>
          <w:sz w:val="30"/>
          <w:szCs w:val="30"/>
          <w:highlight w:val="none"/>
        </w:rPr>
      </w:r>
      <w:r/>
    </w:p>
    <w:p>
      <w:pPr>
        <w:pStyle w:val="698"/>
        <w:rPr>
          <w:highlight w:val="none"/>
        </w:rPr>
      </w:pPr>
      <w:r>
        <w:rPr>
          <w:highlight w:val="none"/>
        </w:rPr>
      </w:r>
      <w:r/>
    </w:p>
    <w:p>
      <w:pPr>
        <w:pStyle w:val="697"/>
        <w:ind w:firstLine="2100"/>
        <w:rPr>
          <w:rFonts w:ascii="宋体" w:hAnsi="宋体"/>
          <w:color w:val="000000"/>
          <w:sz w:val="30"/>
          <w:szCs w:val="30"/>
          <w:highlight w:val="none"/>
        </w:rPr>
      </w:pPr>
      <w:r>
        <w:rPr>
          <w:rFonts w:ascii="宋体" w:hAnsi="宋体"/>
          <w:color w:val="000000"/>
          <w:sz w:val="30"/>
          <w:szCs w:val="30"/>
          <w:highlight w:val="none"/>
        </w:rPr>
      </w:r>
      <w:r/>
    </w:p>
    <w:p>
      <w:pPr>
        <w:pStyle w:val="697"/>
        <w:ind w:firstLine="2098"/>
        <w:spacing w:line="360" w:lineRule="auto"/>
        <w:rPr>
          <w:rFonts w:hint="eastAsia" w:ascii="宋体" w:hAnsi="宋体" w:eastAsia="宋体"/>
          <w:color w:val="000000"/>
          <w:sz w:val="32"/>
          <w:szCs w:val="32"/>
          <w:highlight w:val="none"/>
          <w:lang w:eastAsia="zh-CN"/>
        </w:rPr>
      </w:pPr>
      <w:r>
        <w:rPr>
          <w:rFonts w:ascii="宋体" w:hAnsi="宋体"/>
          <w:color w:val="000000"/>
          <w:sz w:val="32"/>
          <w:szCs w:val="32"/>
          <w:highlight w:val="none"/>
        </w:rPr>
        <w:t xml:space="preserve">项目名称：</w:t>
      </w:r>
      <w:r>
        <w:rPr>
          <w:rFonts w:hint="eastAsia" w:ascii="宋体" w:hAnsi="宋体"/>
          <w:color w:val="000000"/>
          <w:sz w:val="32"/>
          <w:szCs w:val="32"/>
          <w:highlight w:val="none"/>
          <w:lang w:eastAsia="zh-CN"/>
        </w:rPr>
        <w:t xml:space="preserve">3.0T核磁共振及大孔径CT维保</w:t>
      </w:r>
      <w:r/>
    </w:p>
    <w:p>
      <w:pPr>
        <w:pStyle w:val="697"/>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项目编号：</w:t>
      </w:r>
      <w:r>
        <w:rPr>
          <w:rFonts w:hint="eastAsia" w:ascii="宋体" w:hAnsi="宋体"/>
          <w:color w:val="000000"/>
          <w:sz w:val="32"/>
          <w:szCs w:val="32"/>
          <w:highlight w:val="none"/>
          <w:lang w:eastAsia="zh-CN"/>
        </w:rPr>
        <w:t xml:space="preserve">JSZC-320300-SMDG-G2026-0111 </w:t>
      </w:r>
      <w:r>
        <w:rPr>
          <w:rFonts w:hint="eastAsia" w:ascii="宋体" w:hAnsi="宋体"/>
          <w:color w:val="000000"/>
          <w:sz w:val="32"/>
          <w:szCs w:val="32"/>
          <w:highlight w:val="none"/>
        </w:rPr>
        <w:t xml:space="preserve"> </w:t>
      </w:r>
      <w:r/>
    </w:p>
    <w:p>
      <w:pPr>
        <w:pStyle w:val="697"/>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采 购 人：</w:t>
      </w:r>
      <w:r>
        <w:rPr>
          <w:rFonts w:hint="eastAsia" w:ascii="宋体" w:hAnsi="宋体"/>
          <w:color w:val="000000"/>
          <w:sz w:val="32"/>
          <w:szCs w:val="32"/>
          <w:highlight w:val="none"/>
        </w:rPr>
        <w:t xml:space="preserve">徐州市第一人民医院</w:t>
      </w:r>
      <w:r/>
    </w:p>
    <w:p>
      <w:pPr>
        <w:pStyle w:val="697"/>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p>
    <w:p>
      <w:pPr>
        <w:pStyle w:val="697"/>
        <w:jc w:val="center"/>
        <w:rPr>
          <w:rFonts w:ascii="宋体" w:hAnsi="宋体"/>
          <w:color w:val="000000"/>
          <w:sz w:val="32"/>
          <w:szCs w:val="32"/>
          <w:highlight w:val="none"/>
        </w:rPr>
      </w:pPr>
      <w:r>
        <w:rPr>
          <w:rFonts w:ascii="宋体" w:hAnsi="宋体"/>
          <w:color w:val="000000"/>
          <w:sz w:val="32"/>
          <w:szCs w:val="32"/>
          <w:highlight w:val="none"/>
        </w:rPr>
      </w:r>
      <w:r/>
    </w:p>
    <w:p>
      <w:pPr>
        <w:pStyle w:val="698"/>
        <w:rPr>
          <w:highlight w:val="none"/>
        </w:rPr>
      </w:pPr>
      <w:r>
        <w:rPr>
          <w:highlight w:val="none"/>
        </w:rPr>
      </w:r>
      <w:r/>
    </w:p>
    <w:p>
      <w:pPr>
        <w:pStyle w:val="697"/>
        <w:rPr>
          <w:highlight w:val="none"/>
        </w:rPr>
      </w:pPr>
      <w:r>
        <w:rPr>
          <w:highlight w:val="none"/>
        </w:rPr>
      </w:r>
      <w:r/>
    </w:p>
    <w:p>
      <w:pPr>
        <w:pStyle w:val="698"/>
        <w:rPr>
          <w:highlight w:val="none"/>
        </w:rPr>
      </w:pPr>
      <w:r>
        <w:rPr>
          <w:highlight w:val="none"/>
        </w:rPr>
      </w:r>
      <w:r/>
    </w:p>
    <w:p>
      <w:pPr>
        <w:pStyle w:val="697"/>
        <w:jc w:val="center"/>
        <w:rPr>
          <w:rFonts w:ascii="宋体" w:hAnsi="宋体"/>
          <w:color w:val="000000"/>
          <w:sz w:val="32"/>
          <w:szCs w:val="32"/>
          <w:highlight w:val="none"/>
        </w:rPr>
      </w:pPr>
      <w:r>
        <w:rPr>
          <w:rFonts w:ascii="宋体" w:hAnsi="宋体"/>
          <w:color w:val="000000"/>
          <w:sz w:val="32"/>
          <w:szCs w:val="32"/>
          <w:highlight w:val="none"/>
        </w:rPr>
      </w:r>
      <w:r/>
    </w:p>
    <w:p>
      <w:pPr>
        <w:pStyle w:val="697"/>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rPr>
          <w:rFonts w:ascii="宋体" w:hAnsi="宋体"/>
          <w:color w:val="000000"/>
          <w:sz w:val="32"/>
          <w:szCs w:val="32"/>
          <w:highlight w:val="none"/>
        </w:rPr>
        <w:t xml:space="preserve">采购代理机构：</w:t>
      </w:r>
      <w:r>
        <w:rPr>
          <w:rFonts w:hint="eastAsia" w:ascii="宋体" w:hAnsi="宋体"/>
          <w:color w:val="000000"/>
          <w:sz w:val="32"/>
          <w:szCs w:val="32"/>
          <w:highlight w:val="none"/>
        </w:rPr>
        <w:t xml:space="preserve">苏美达国际技术贸易有限公司</w:t>
      </w:r>
      <w:r/>
    </w:p>
    <w:p>
      <w:pPr>
        <w:pStyle w:val="697"/>
        <w:rPr>
          <w:highlight w:val="none"/>
        </w:rPr>
      </w:pPr>
      <w:r>
        <w:rPr>
          <w:highlight w:val="none"/>
        </w:rPr>
      </w:r>
      <w:r/>
    </w:p>
    <w:p>
      <w:pPr>
        <w:pStyle w:val="932"/>
        <w:ind w:firstLine="0"/>
        <w:jc w:val="center"/>
        <w:rPr>
          <w:rFonts w:ascii="宋体" w:hAnsi="宋体"/>
          <w:color w:val="000000"/>
          <w:sz w:val="32"/>
          <w:szCs w:val="32"/>
          <w:highlight w:val="none"/>
        </w:rPr>
      </w:pPr>
      <w:r>
        <w:rPr>
          <w:rFonts w:hint="eastAsia" w:ascii="宋体" w:hAnsi="宋体"/>
          <w:color w:val="000000"/>
          <w:sz w:val="32"/>
          <w:szCs w:val="32"/>
          <w:highlight w:val="none"/>
          <w:lang w:eastAsia="zh-CN"/>
        </w:rPr>
        <w:t xml:space="preserve">2026年</w:t>
      </w:r>
      <w:r>
        <w:rPr>
          <w:rFonts w:hint="eastAsia" w:ascii="宋体" w:hAnsi="宋体"/>
          <w:color w:val="000000"/>
          <w:sz w:val="32"/>
          <w:szCs w:val="32"/>
          <w:highlight w:val="none"/>
          <w:lang w:val="en-US" w:eastAsia="zh-CN"/>
        </w:rPr>
        <w:t xml:space="preserve">9</w:t>
      </w:r>
      <w:r>
        <w:rPr>
          <w:rFonts w:hint="eastAsia" w:ascii="宋体" w:hAnsi="宋体"/>
          <w:color w:val="000000"/>
          <w:sz w:val="32"/>
          <w:szCs w:val="32"/>
          <w:highlight w:val="none"/>
        </w:rPr>
        <w:t xml:space="preserve">月</w:t>
      </w:r>
      <w:r/>
    </w:p>
    <w:p>
      <w:pPr>
        <w:pStyle w:val="932"/>
        <w:ind w:firstLine="0"/>
        <w:jc w:val="center"/>
        <w:rPr>
          <w:rFonts w:ascii="宋体" w:hAnsi="宋体"/>
          <w:b/>
          <w:color w:val="000000"/>
          <w:sz w:val="44"/>
          <w:highlight w:val="none"/>
        </w:rPr>
      </w:pPr>
      <w:r>
        <w:rPr>
          <w:rFonts w:ascii="宋体" w:hAnsi="宋体"/>
          <w:b/>
          <w:color w:val="000000"/>
          <w:sz w:val="44"/>
          <w:highlight w:val="none"/>
        </w:rPr>
      </w:r>
      <w:r/>
    </w:p>
    <w:p>
      <w:pPr>
        <w:pStyle w:val="932"/>
        <w:ind w:firstLine="0"/>
        <w:jc w:val="center"/>
        <w:rPr>
          <w:rFonts w:ascii="宋体" w:hAnsi="宋体"/>
          <w:b/>
          <w:color w:val="000000"/>
          <w:sz w:val="44"/>
          <w:highlight w:val="none"/>
        </w:rPr>
      </w:pPr>
      <w:r>
        <w:rPr>
          <w:rFonts w:ascii="宋体" w:hAnsi="宋体"/>
          <w:b/>
          <w:color w:val="000000"/>
          <w:sz w:val="44"/>
          <w:highlight w:val="none"/>
        </w:rPr>
      </w:r>
      <w:r/>
    </w:p>
    <w:p>
      <w:pPr>
        <w:pStyle w:val="932"/>
        <w:ind w:firstLine="0"/>
        <w:jc w:val="center"/>
        <w:rPr>
          <w:rFonts w:ascii="宋体" w:hAnsi="宋体"/>
          <w:b/>
          <w:color w:val="000000"/>
          <w:sz w:val="44"/>
          <w:highlight w:val="none"/>
        </w:rPr>
      </w:pPr>
      <w:r>
        <w:rPr>
          <w:rFonts w:ascii="宋体" w:hAnsi="宋体"/>
          <w:b/>
          <w:color w:val="000000"/>
          <w:sz w:val="44"/>
          <w:highlight w:val="none"/>
        </w:rPr>
      </w:r>
      <w:r/>
    </w:p>
    <w:p>
      <w:pPr>
        <w:pStyle w:val="932"/>
        <w:ind w:firstLine="0"/>
        <w:jc w:val="center"/>
        <w:rPr>
          <w:rFonts w:ascii="宋体" w:hAnsi="宋体"/>
          <w:b/>
          <w:color w:val="000000"/>
          <w:sz w:val="44"/>
          <w:highlight w:val="none"/>
        </w:rPr>
      </w:pPr>
      <w:r>
        <w:rPr>
          <w:rFonts w:ascii="宋体" w:hAnsi="宋体"/>
          <w:b/>
          <w:color w:val="000000"/>
          <w:sz w:val="44"/>
          <w:highlight w:val="none"/>
        </w:rPr>
      </w:r>
      <w:r/>
    </w:p>
    <w:p>
      <w:pPr>
        <w:pStyle w:val="932"/>
        <w:ind w:firstLine="0"/>
        <w:jc w:val="center"/>
        <w:rPr>
          <w:rFonts w:ascii="宋体" w:hAnsi="宋体"/>
          <w:b/>
          <w:color w:val="000000"/>
          <w:sz w:val="44"/>
          <w:highlight w:val="none"/>
        </w:rPr>
      </w:pPr>
      <w:r>
        <w:rPr>
          <w:rFonts w:ascii="宋体" w:hAnsi="宋体"/>
          <w:b/>
          <w:color w:val="000000"/>
          <w:sz w:val="44"/>
          <w:highlight w:val="none"/>
        </w:rPr>
      </w:r>
      <w:r/>
    </w:p>
    <w:p>
      <w:pPr>
        <w:pStyle w:val="932"/>
        <w:ind w:firstLine="0"/>
        <w:jc w:val="center"/>
        <w:rPr>
          <w:rFonts w:ascii="宋体" w:hAnsi="宋体"/>
          <w:b/>
          <w:color w:val="000000"/>
          <w:sz w:val="44"/>
          <w:highlight w:val="none"/>
        </w:rPr>
      </w:pPr>
      <w:r>
        <w:rPr>
          <w:rFonts w:ascii="宋体" w:hAnsi="宋体"/>
          <w:b/>
          <w:color w:val="000000"/>
          <w:sz w:val="44"/>
          <w:highlight w:val="none"/>
        </w:rPr>
      </w:r>
      <w:r/>
    </w:p>
    <w:p>
      <w:pPr>
        <w:pStyle w:val="932"/>
        <w:ind w:firstLine="0"/>
        <w:jc w:val="center"/>
        <w:rPr>
          <w:rFonts w:ascii="宋体" w:hAnsi="宋体"/>
          <w:b/>
          <w:color w:val="000000"/>
          <w:sz w:val="44"/>
          <w:highlight w:val="none"/>
        </w:rPr>
      </w:pPr>
      <w:r>
        <w:rPr>
          <w:rFonts w:ascii="宋体" w:hAnsi="宋体"/>
          <w:b/>
          <w:color w:val="000000"/>
          <w:sz w:val="44"/>
          <w:highlight w:val="none"/>
        </w:rPr>
      </w:r>
      <w:r/>
    </w:p>
    <w:p>
      <w:pPr>
        <w:pStyle w:val="932"/>
        <w:ind w:firstLine="0"/>
        <w:jc w:val="center"/>
        <w:rPr>
          <w:rFonts w:ascii="宋体" w:hAnsi="宋体"/>
          <w:b/>
          <w:color w:val="000000"/>
          <w:sz w:val="44"/>
          <w:highlight w:val="none"/>
        </w:rPr>
      </w:pPr>
      <w:r>
        <w:rPr>
          <w:rFonts w:ascii="宋体" w:hAnsi="宋体"/>
          <w:b/>
          <w:color w:val="000000"/>
          <w:sz w:val="44"/>
          <w:highlight w:val="none"/>
        </w:rPr>
      </w:r>
      <w:r/>
    </w:p>
    <w:p>
      <w:pPr>
        <w:pStyle w:val="932"/>
        <w:ind w:firstLine="0"/>
        <w:jc w:val="left"/>
        <w:rPr>
          <w:rFonts w:ascii="宋体" w:hAnsi="宋体"/>
          <w:b/>
          <w:color w:val="000000"/>
          <w:sz w:val="44"/>
          <w:highlight w:val="none"/>
        </w:rPr>
      </w:pPr>
      <w:r>
        <w:rPr>
          <w:rFonts w:ascii="宋体" w:hAnsi="宋体"/>
          <w:b/>
          <w:color w:val="000000"/>
          <w:sz w:val="44"/>
          <w:highlight w:val="none"/>
        </w:rPr>
      </w:r>
      <w:r/>
    </w:p>
    <w:p>
      <w:pPr>
        <w:pStyle w:val="932"/>
        <w:ind w:firstLine="0"/>
        <w:jc w:val="center"/>
        <w:rPr>
          <w:rFonts w:ascii="宋体" w:hAnsi="宋体"/>
          <w:b/>
          <w:color w:val="000000"/>
          <w:sz w:val="44"/>
          <w:highlight w:val="none"/>
        </w:rPr>
      </w:pPr>
      <w:r>
        <w:rPr>
          <w:rFonts w:ascii="宋体" w:hAnsi="宋体"/>
          <w:b/>
          <w:color w:val="000000"/>
          <w:sz w:val="44"/>
          <w:highlight w:val="none"/>
        </w:rPr>
        <w:t xml:space="preserve">目 录</w:t>
      </w:r>
      <w:r/>
    </w:p>
    <w:p>
      <w:pPr>
        <w:pStyle w:val="697"/>
        <w:jc w:val="center"/>
        <w:spacing w:line="520" w:lineRule="exact"/>
        <w:rPr>
          <w:rFonts w:ascii="宋体" w:hAnsi="宋体"/>
          <w:b/>
          <w:color w:val="000000"/>
          <w:sz w:val="44"/>
          <w:szCs w:val="44"/>
          <w:highlight w:val="none"/>
        </w:rPr>
      </w:pPr>
      <w:r/>
      <w:bookmarkStart w:id="0" w:name="_Toc522790130"/>
      <w:r/>
      <w:r/>
    </w:p>
    <w:p>
      <w:pPr>
        <w:pStyle w:val="697"/>
        <w:jc w:val="center"/>
        <w:spacing w:line="520" w:lineRule="exact"/>
        <w:rPr>
          <w:rFonts w:ascii="宋体" w:hAnsi="宋体"/>
          <w:b/>
          <w:color w:val="000000"/>
          <w:sz w:val="30"/>
          <w:szCs w:val="30"/>
          <w:highlight w:val="none"/>
        </w:rPr>
      </w:pPr>
      <w:r>
        <w:rPr>
          <w:rFonts w:ascii="宋体" w:hAnsi="宋体"/>
          <w:b/>
          <w:color w:val="000000"/>
          <w:sz w:val="30"/>
          <w:szCs w:val="30"/>
          <w:highlight w:val="none"/>
        </w:rPr>
      </w:r>
      <w:r/>
    </w:p>
    <w:p>
      <w:pPr>
        <w:pStyle w:val="1006"/>
        <w:tabs>
          <w:tab w:val="right" w:pos="8948" w:leader="dot"/>
        </w:tabs>
        <w:rPr>
          <w:rFonts w:ascii="宋体" w:hAnsi="宋体"/>
          <w:color w:val="000000"/>
          <w:sz w:val="30"/>
          <w:szCs w:val="30"/>
          <w:highlight w:val="none"/>
        </w:rPr>
      </w:pPr>
      <w:r>
        <w:rPr>
          <w:rFonts w:ascii="宋体" w:hAnsi="宋体"/>
          <w:b/>
          <w:color w:val="000000"/>
          <w:sz w:val="30"/>
          <w:szCs w:val="30"/>
          <w:highlight w:val="none"/>
        </w:rPr>
        <w:fldChar w:fldCharType="begin"/>
      </w:r>
      <w:r>
        <w:rPr>
          <w:rFonts w:ascii="宋体" w:hAnsi="宋体"/>
          <w:b/>
          <w:color w:val="000000"/>
          <w:sz w:val="30"/>
          <w:szCs w:val="30"/>
          <w:highlight w:val="none"/>
        </w:rPr>
        <w:instrText xml:space="preserve"> TOC \o "1-3" \h \z \u </w:instrText>
      </w:r>
      <w:r>
        <w:rPr>
          <w:rFonts w:ascii="宋体" w:hAnsi="宋体"/>
          <w:b/>
          <w:color w:val="000000"/>
          <w:sz w:val="30"/>
          <w:szCs w:val="30"/>
          <w:highlight w:val="none"/>
        </w:rPr>
        <w:fldChar w:fldCharType="separate"/>
      </w:r>
      <w:r>
        <w:rPr>
          <w:highlight w:val="none"/>
        </w:rPr>
        <w:fldChar w:fldCharType="begin"/>
      </w:r>
      <w:r>
        <w:rPr>
          <w:highlight w:val="none"/>
        </w:rPr>
        <w:instrText xml:space="preserve"> HYPERLINK \l "_Toc523404695" </w:instrText>
      </w:r>
      <w:r>
        <w:rPr>
          <w:highlight w:val="none"/>
        </w:rPr>
        <w:fldChar w:fldCharType="separate"/>
      </w:r>
      <w:r>
        <w:rPr>
          <w:rStyle w:val="942"/>
          <w:rFonts w:ascii="宋体" w:hAnsi="宋体"/>
          <w:color w:val="000000"/>
          <w:sz w:val="30"/>
          <w:szCs w:val="30"/>
          <w:highlight w:val="none"/>
        </w:rPr>
        <w:t xml:space="preserve">第一章  投标邀请</w:t>
      </w:r>
      <w:r>
        <w:rPr>
          <w:rStyle w:val="942"/>
          <w:rFonts w:ascii="宋体" w:hAnsi="宋体"/>
          <w:color w:val="000000"/>
          <w:sz w:val="30"/>
          <w:szCs w:val="30"/>
          <w:highlight w:val="none"/>
        </w:rPr>
        <w:fldChar w:fldCharType="end"/>
      </w:r>
      <w:r/>
    </w:p>
    <w:p>
      <w:pPr>
        <w:pStyle w:val="1006"/>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"_Toc523404696" </w:instrText>
      </w:r>
      <w:r>
        <w:rPr>
          <w:highlight w:val="none"/>
        </w:rPr>
        <w:fldChar w:fldCharType="separate"/>
      </w:r>
      <w:r>
        <w:rPr>
          <w:rStyle w:val="942"/>
          <w:rFonts w:ascii="宋体" w:hAnsi="宋体"/>
          <w:color w:val="000000"/>
          <w:sz w:val="30"/>
          <w:szCs w:val="30"/>
          <w:highlight w:val="none"/>
        </w:rPr>
        <w:t xml:space="preserve">第二章  投标人须知</w:t>
      </w:r>
      <w:r>
        <w:rPr>
          <w:rStyle w:val="942"/>
          <w:rFonts w:ascii="宋体" w:hAnsi="宋体"/>
          <w:color w:val="000000"/>
          <w:sz w:val="30"/>
          <w:szCs w:val="30"/>
          <w:highlight w:val="none"/>
        </w:rPr>
        <w:fldChar w:fldCharType="end"/>
      </w:r>
      <w:r/>
    </w:p>
    <w:p>
      <w:pPr>
        <w:pStyle w:val="1006"/>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"_Toc523404697" </w:instrText>
      </w:r>
      <w:r>
        <w:rPr>
          <w:highlight w:val="none"/>
        </w:rPr>
        <w:fldChar w:fldCharType="separate"/>
      </w:r>
      <w:r>
        <w:rPr>
          <w:rStyle w:val="942"/>
          <w:rFonts w:ascii="宋体" w:hAnsi="宋体"/>
          <w:color w:val="000000"/>
          <w:sz w:val="30"/>
          <w:szCs w:val="30"/>
          <w:highlight w:val="none"/>
        </w:rPr>
        <w:t xml:space="preserve">第三章  投标资料表</w:t>
      </w:r>
      <w:r>
        <w:rPr>
          <w:rStyle w:val="942"/>
          <w:rFonts w:ascii="宋体" w:hAnsi="宋体"/>
          <w:color w:val="000000"/>
          <w:sz w:val="30"/>
          <w:szCs w:val="30"/>
          <w:highlight w:val="none"/>
        </w:rPr>
        <w:fldChar w:fldCharType="end"/>
      </w:r>
      <w:r/>
    </w:p>
    <w:p>
      <w:pPr>
        <w:pStyle w:val="1006"/>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"_Toc523404698" </w:instrText>
      </w:r>
      <w:r>
        <w:rPr>
          <w:highlight w:val="none"/>
        </w:rPr>
        <w:fldChar w:fldCharType="separate"/>
      </w:r>
      <w:r>
        <w:rPr>
          <w:rStyle w:val="942"/>
          <w:rFonts w:ascii="宋体" w:hAnsi="宋体"/>
          <w:color w:val="000000"/>
          <w:sz w:val="30"/>
          <w:szCs w:val="30"/>
          <w:highlight w:val="none"/>
        </w:rPr>
        <w:t xml:space="preserve">第四章  评标标准</w:t>
      </w:r>
      <w:r>
        <w:rPr>
          <w:rStyle w:val="942"/>
          <w:rFonts w:ascii="宋体" w:hAnsi="宋体"/>
          <w:color w:val="000000"/>
          <w:sz w:val="30"/>
          <w:szCs w:val="30"/>
          <w:highlight w:val="none"/>
        </w:rPr>
        <w:fldChar w:fldCharType="end"/>
      </w:r>
      <w:r/>
    </w:p>
    <w:p>
      <w:pPr>
        <w:pStyle w:val="1006"/>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"_Toc523404699" </w:instrText>
      </w:r>
      <w:r>
        <w:rPr>
          <w:highlight w:val="none"/>
        </w:rPr>
        <w:fldChar w:fldCharType="separate"/>
      </w:r>
      <w:r>
        <w:rPr>
          <w:rStyle w:val="942"/>
          <w:rFonts w:ascii="宋体" w:hAnsi="宋体"/>
          <w:color w:val="000000"/>
          <w:sz w:val="30"/>
          <w:szCs w:val="30"/>
          <w:highlight w:val="none"/>
        </w:rPr>
        <w:t xml:space="preserve">第五章  拟签订的合同文本</w:t>
      </w:r>
      <w:r>
        <w:rPr>
          <w:rStyle w:val="942"/>
          <w:rFonts w:ascii="宋体" w:hAnsi="宋体"/>
          <w:color w:val="000000"/>
          <w:sz w:val="30"/>
          <w:szCs w:val="30"/>
          <w:highlight w:val="none"/>
        </w:rPr>
        <w:fldChar w:fldCharType="end"/>
      </w:r>
      <w:r/>
    </w:p>
    <w:p>
      <w:pPr>
        <w:pStyle w:val="1006"/>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"_Toc523404700" </w:instrText>
      </w:r>
      <w:r>
        <w:rPr>
          <w:highlight w:val="none"/>
        </w:rPr>
        <w:fldChar w:fldCharType="separate"/>
      </w:r>
      <w:r>
        <w:rPr>
          <w:rStyle w:val="942"/>
          <w:rFonts w:ascii="宋体" w:hAnsi="宋体"/>
          <w:color w:val="000000"/>
          <w:sz w:val="30"/>
          <w:szCs w:val="30"/>
          <w:highlight w:val="none"/>
        </w:rPr>
        <w:t xml:space="preserve">第六章  采购需求</w:t>
      </w:r>
      <w:r>
        <w:rPr>
          <w:rStyle w:val="942"/>
          <w:rFonts w:ascii="宋体" w:hAnsi="宋体"/>
          <w:color w:val="000000"/>
          <w:sz w:val="30"/>
          <w:szCs w:val="30"/>
          <w:highlight w:val="none"/>
        </w:rPr>
        <w:fldChar w:fldCharType="end"/>
      </w:r>
      <w:r/>
    </w:p>
    <w:p>
      <w:pPr>
        <w:pStyle w:val="1006"/>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"_Toc523404701" </w:instrText>
      </w:r>
      <w:r>
        <w:rPr>
          <w:highlight w:val="none"/>
        </w:rPr>
        <w:fldChar w:fldCharType="separate"/>
      </w:r>
      <w:r>
        <w:rPr>
          <w:rStyle w:val="942"/>
          <w:rFonts w:ascii="宋体" w:hAnsi="宋体"/>
          <w:color w:val="000000"/>
          <w:sz w:val="30"/>
          <w:szCs w:val="30"/>
          <w:highlight w:val="none"/>
        </w:rPr>
        <w:t xml:space="preserve">第七章  投标文件相关格</w:t>
      </w:r>
      <w:bookmarkStart w:id="1" w:name="_Hlt532911772"/>
      <w:r/>
      <w:bookmarkStart w:id="2" w:name="_Hlt532911771"/>
      <w:r>
        <w:rPr>
          <w:rStyle w:val="942"/>
          <w:rFonts w:ascii="宋体" w:hAnsi="宋体"/>
          <w:color w:val="000000"/>
          <w:sz w:val="30"/>
          <w:szCs w:val="30"/>
          <w:highlight w:val="none"/>
        </w:rPr>
        <w:t xml:space="preserve">式</w:t>
      </w:r>
      <w:bookmarkEnd w:id="1"/>
      <w:r/>
      <w:bookmarkEnd w:id="2"/>
      <w:r>
        <w:rPr>
          <w:rStyle w:val="942"/>
          <w:rFonts w:ascii="宋体" w:hAnsi="宋体"/>
          <w:color w:val="000000"/>
          <w:sz w:val="30"/>
          <w:szCs w:val="30"/>
          <w:highlight w:val="none"/>
        </w:rPr>
        <w:fldChar w:fldCharType="end"/>
      </w:r>
      <w:r/>
    </w:p>
    <w:p>
      <w:pPr>
        <w:pStyle w:val="697"/>
        <w:jc w:val="center"/>
        <w:spacing w:line="520" w:lineRule="exact"/>
        <w:rPr>
          <w:rFonts w:ascii="宋体" w:hAnsi="宋体"/>
          <w:b/>
          <w:color w:val="000000"/>
          <w:sz w:val="44"/>
          <w:szCs w:val="44"/>
          <w:highlight w:val="none"/>
        </w:rPr>
      </w:pPr>
      <w:r>
        <w:rPr>
          <w:rFonts w:ascii="宋体" w:hAnsi="宋体"/>
          <w:b/>
          <w:color w:val="000000"/>
          <w:sz w:val="30"/>
          <w:szCs w:val="30"/>
          <w:highlight w:val="none"/>
        </w:rPr>
        <w:fldChar w:fldCharType="end"/>
      </w:r>
      <w:r/>
    </w:p>
    <w:p>
      <w:pPr>
        <w:pStyle w:val="69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69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69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69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69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69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69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69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69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69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698"/>
        <w:rPr>
          <w:rFonts w:ascii="宋体" w:hAnsi="宋体"/>
          <w:b/>
          <w:color w:val="000000"/>
          <w:sz w:val="44"/>
          <w:szCs w:val="44"/>
          <w:highlight w:val="none"/>
        </w:rPr>
      </w:pPr>
      <w:r>
        <w:rPr>
          <w:rFonts w:ascii="宋体" w:hAnsi="宋体"/>
          <w:b/>
          <w:color w:val="000000"/>
          <w:sz w:val="44"/>
          <w:szCs w:val="44"/>
          <w:highlight w:val="none"/>
        </w:rPr>
      </w:r>
      <w:r/>
    </w:p>
    <w:p>
      <w:pPr>
        <w:pStyle w:val="697"/>
        <w:rPr>
          <w:highlight w:val="none"/>
        </w:rPr>
      </w:pPr>
      <w:r>
        <w:rPr>
          <w:highlight w:val="none"/>
        </w:rPr>
      </w:r>
      <w:r/>
    </w:p>
    <w:p>
      <w:pPr>
        <w:pStyle w:val="698"/>
        <w:rPr>
          <w:highlight w:val="none"/>
        </w:rPr>
      </w:pPr>
      <w:r>
        <w:rPr>
          <w:highlight w:val="none"/>
        </w:rPr>
      </w:r>
      <w:r/>
    </w:p>
    <w:p>
      <w:pPr>
        <w:pStyle w:val="697"/>
        <w:jc w:val="center"/>
        <w:spacing w:line="360" w:lineRule="auto"/>
        <w:rPr>
          <w:sz w:val="44"/>
          <w:szCs w:val="44"/>
        </w:rPr>
      </w:pPr>
      <w:r>
        <w:rPr>
          <w:rFonts w:hint="eastAsia" w:ascii="宋体" w:hAnsi="宋体"/>
          <w:b/>
          <w:color w:val="000000"/>
          <w:sz w:val="44"/>
          <w:szCs w:val="44"/>
          <w:highlight w:val="none"/>
        </w:rPr>
        <w:t xml:space="preserve"> 徐州市第一人民医院</w:t>
      </w:r>
      <w:r/>
    </w:p>
    <w:p>
      <w:pPr>
        <w:pStyle w:val="697"/>
        <w:jc w:val="center"/>
        <w:spacing w:line="360" w:lineRule="auto"/>
        <w:rPr>
          <w:rFonts w:ascii="宋体" w:hAnsi="宋体"/>
          <w:b/>
          <w:color w:val="000000"/>
          <w:sz w:val="44"/>
          <w:szCs w:val="44"/>
          <w:highlight w:val="none"/>
        </w:rPr>
      </w:pPr>
      <w:r>
        <w:rPr>
          <w:rFonts w:ascii="宋体" w:hAnsi="宋体"/>
          <w:b/>
          <w:color w:val="000000"/>
          <w:sz w:val="44"/>
          <w:szCs w:val="44"/>
          <w:highlight w:val="none"/>
        </w:rPr>
        <w:t xml:space="preserve">《</w:t>
      </w:r>
      <w:r>
        <w:rPr>
          <w:rFonts w:hint="eastAsia" w:ascii="宋体" w:hAnsi="宋体"/>
          <w:b/>
          <w:color w:val="000000"/>
          <w:sz w:val="44"/>
          <w:szCs w:val="44"/>
          <w:highlight w:val="none"/>
          <w:lang w:eastAsia="zh-CN"/>
        </w:rPr>
        <w:t xml:space="preserve">3.0T核磁共振及大孔径CT维保</w:t>
      </w:r>
      <w:r>
        <w:rPr>
          <w:rFonts w:ascii="宋体" w:hAnsi="宋体"/>
          <w:b/>
          <w:color w:val="000000"/>
          <w:sz w:val="44"/>
          <w:szCs w:val="44"/>
          <w:highlight w:val="none"/>
        </w:rPr>
        <w:t xml:space="preserve">项目》</w:t>
      </w:r>
      <w:r/>
    </w:p>
    <w:p>
      <w:pPr>
        <w:pStyle w:val="697"/>
        <w:jc w:val="center"/>
        <w:spacing w:line="360" w:lineRule="auto"/>
        <w:rPr>
          <w:rFonts w:ascii="宋体" w:hAnsi="宋体"/>
          <w:b/>
          <w:color w:val="000000"/>
          <w:sz w:val="44"/>
          <w:szCs w:val="44"/>
          <w:highlight w:val="none"/>
        </w:rPr>
      </w:pPr>
      <w:r>
        <w:rPr>
          <w:rFonts w:ascii="宋体" w:hAnsi="宋体"/>
          <w:b/>
          <w:color w:val="000000"/>
          <w:sz w:val="44"/>
          <w:szCs w:val="44"/>
          <w:highlight w:val="none"/>
        </w:rPr>
        <w:t xml:space="preserve">招标文件 </w:t>
      </w:r>
      <w:r/>
    </w:p>
    <w:p>
      <w:pPr>
        <w:pStyle w:val="697"/>
        <w:spacing w:line="360" w:lineRule="auto"/>
        <w:rPr>
          <w:rFonts w:ascii="宋体" w:hAnsi="宋体"/>
          <w:b/>
          <w:color w:val="000000"/>
          <w:sz w:val="30"/>
          <w:szCs w:val="30"/>
          <w:highlight w:val="none"/>
        </w:rPr>
      </w:pPr>
      <w:r>
        <w:rPr>
          <w:rFonts w:ascii="宋体" w:hAnsi="宋体"/>
          <w:b/>
          <w:color w:val="000000"/>
          <w:sz w:val="30"/>
          <w:szCs w:val="30"/>
          <w:highlight w:val="none"/>
        </w:rPr>
        <w:t xml:space="preserve">    </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697"/>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917"/>
        <w:spacing w:line="520" w:lineRule="exact"/>
        <w:rPr>
          <w:rFonts w:ascii="宋体" w:hAnsi="宋体" w:eastAsia="宋体"/>
          <w:color w:val="000000"/>
          <w:sz w:val="32"/>
          <w:szCs w:val="32"/>
          <w:highlight w:val="none"/>
        </w:rPr>
      </w:pPr>
      <w:r/>
      <w:bookmarkStart w:id="3" w:name="_Toc523404695"/>
      <w:r>
        <w:rPr>
          <w:rFonts w:ascii="宋体" w:hAnsi="宋体" w:eastAsia="宋体"/>
          <w:color w:val="000000"/>
          <w:sz w:val="32"/>
          <w:szCs w:val="32"/>
          <w:highlight w:val="none"/>
        </w:rPr>
        <w:t xml:space="preserve">第一章  投标邀请</w:t>
      </w:r>
      <w:bookmarkEnd w:id="3"/>
      <w:r/>
      <w:r/>
    </w:p>
    <w:p>
      <w:pPr>
        <w:pStyle w:val="697"/>
        <w:jc w:val="center"/>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对</w:t>
      </w:r>
      <w:r>
        <w:rPr>
          <w:rFonts w:hint="eastAsia" w:ascii="宋体" w:hAnsi="宋体"/>
          <w:color w:val="000000"/>
          <w:sz w:val="28"/>
          <w:szCs w:val="28"/>
          <w:highlight w:val="none"/>
        </w:rPr>
        <w:t xml:space="preserve">徐州市第一人民医院“</w:t>
      </w:r>
      <w:r>
        <w:rPr>
          <w:rFonts w:hint="eastAsia" w:ascii="宋体" w:hAnsi="宋体"/>
          <w:color w:val="000000"/>
          <w:sz w:val="28"/>
          <w:szCs w:val="28"/>
          <w:highlight w:val="none"/>
          <w:lang w:eastAsia="zh-CN"/>
        </w:rPr>
        <w:t xml:space="preserve">3.0T核磁共振及大孔径CT维保</w:t>
      </w:r>
      <w:r>
        <w:rPr>
          <w:rFonts w:hint="eastAsia" w:ascii="宋体" w:hAnsi="宋体"/>
          <w:color w:val="000000"/>
          <w:sz w:val="28"/>
          <w:szCs w:val="28"/>
          <w:highlight w:val="none"/>
        </w:rPr>
        <w:t xml:space="preserve">项目”进行公开招标采购，现邀请符合相关条件的供应商投标。</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一、项目名称和项目编号</w:t>
      </w:r>
      <w:r/>
    </w:p>
    <w:p>
      <w:pPr>
        <w:pStyle w:val="697"/>
        <w:ind w:left="0"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3.0T核磁共振及大孔径CT维保</w:t>
      </w:r>
      <w:r/>
    </w:p>
    <w:p>
      <w:pPr>
        <w:pStyle w:val="697"/>
        <w:ind w:left="0"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JSZC-320300-SMDG-G2026-0111 </w:t>
      </w:r>
      <w:r>
        <w:rPr>
          <w:rFonts w:hint="eastAsia" w:ascii="宋体" w:hAnsi="宋体"/>
          <w:color w:val="000000"/>
          <w:sz w:val="28"/>
          <w:szCs w:val="28"/>
          <w:highlight w:val="none"/>
        </w:rPr>
        <w:t xml:space="preserve"> </w:t>
      </w:r>
      <w:r/>
    </w:p>
    <w:p>
      <w:pPr>
        <w:pStyle w:val="697"/>
        <w:ind w:left="0" w:firstLine="600"/>
        <w:spacing w:line="520" w:lineRule="exact"/>
        <w:rPr>
          <w:rFonts w:hint="eastAsia"/>
        </w:rPr>
      </w:pPr>
      <w:r>
        <w:rPr>
          <w:rFonts w:hint="eastAsia" w:ascii="宋体" w:hAnsi="宋体"/>
          <w:color w:val="000000"/>
          <w:sz w:val="28"/>
          <w:szCs w:val="28"/>
          <w:highlight w:val="none"/>
          <w:lang w:val="en-US" w:eastAsia="zh-CN"/>
        </w:rPr>
        <w:t xml:space="preserve">3.总预算/最高限价：432万元人民币（3年）</w:t>
      </w:r>
      <w:r/>
    </w:p>
    <w:p>
      <w:pPr>
        <w:pStyle w:val="697"/>
        <w:ind w:left="0" w:firstLine="600"/>
        <w:spacing w:line="52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4.维保清单</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2577"/>
        <w:gridCol w:w="1336"/>
        <w:gridCol w:w="1163"/>
        <w:gridCol w:w="2523"/>
      </w:tblGrid>
      <w:tr>
        <w:trPr>
          <w:jc w:val="center"/>
        </w:trPr>
        <w:tc>
          <w:tcPr>
            <w:tcW w:w="1098" w:type="dxa"/>
            <w:vAlign w:val="center"/>
            <w:textDirection w:val="lrTb"/>
            <w:noWrap w:val="false"/>
          </w:tcPr>
          <w:p>
            <w:pPr>
              <w:jc w:val="center"/>
              <w:widowControl/>
              <w:rPr>
                <w:rFonts w:hint="eastAsia"/>
                <w:sz w:val="28"/>
                <w:szCs w:val="28"/>
              </w:rPr>
            </w:pPr>
            <w:r>
              <w:rPr>
                <w:rStyle w:val="1026"/>
                <w:rFonts w:hint="default"/>
                <w:sz w:val="28"/>
                <w:szCs w:val="28"/>
              </w:rPr>
              <w:t xml:space="preserve">序号</w:t>
            </w:r>
            <w:r/>
          </w:p>
        </w:tc>
        <w:tc>
          <w:tcPr>
            <w:tcW w:w="2577" w:type="dxa"/>
            <w:vAlign w:val="center"/>
            <w:textDirection w:val="lrTb"/>
            <w:noWrap w:val="false"/>
          </w:tcPr>
          <w:p>
            <w:pPr>
              <w:jc w:val="center"/>
              <w:widowControl/>
              <w:rPr>
                <w:rFonts w:hint="eastAsia"/>
                <w:sz w:val="28"/>
                <w:szCs w:val="28"/>
              </w:rPr>
            </w:pPr>
            <w:r>
              <w:rPr>
                <w:rStyle w:val="1026"/>
                <w:rFonts w:hint="default"/>
                <w:sz w:val="28"/>
                <w:szCs w:val="28"/>
              </w:rPr>
              <w:t xml:space="preserve">设备名称</w:t>
            </w:r>
            <w:r/>
          </w:p>
        </w:tc>
        <w:tc>
          <w:tcPr>
            <w:tcW w:w="1336" w:type="dxa"/>
            <w:vAlign w:val="center"/>
            <w:textDirection w:val="lrTb"/>
            <w:noWrap w:val="false"/>
          </w:tcPr>
          <w:p>
            <w:pPr>
              <w:jc w:val="center"/>
              <w:widowControl/>
              <w:rPr>
                <w:rFonts w:hint="eastAsia"/>
                <w:sz w:val="28"/>
                <w:szCs w:val="28"/>
              </w:rPr>
            </w:pPr>
            <w:r>
              <w:rPr>
                <w:rStyle w:val="1026"/>
                <w:rFonts w:hint="default"/>
                <w:sz w:val="28"/>
                <w:szCs w:val="28"/>
              </w:rPr>
              <w:t xml:space="preserve">单位</w:t>
            </w:r>
            <w:r/>
          </w:p>
        </w:tc>
        <w:tc>
          <w:tcPr>
            <w:tcW w:w="1163" w:type="dxa"/>
            <w:vAlign w:val="center"/>
            <w:textDirection w:val="lrTb"/>
            <w:noWrap w:val="false"/>
          </w:tcPr>
          <w:p>
            <w:pPr>
              <w:jc w:val="center"/>
              <w:widowControl/>
              <w:rPr>
                <w:rFonts w:hint="eastAsia"/>
                <w:sz w:val="28"/>
                <w:szCs w:val="28"/>
              </w:rPr>
            </w:pPr>
            <w:r>
              <w:rPr>
                <w:rStyle w:val="1026"/>
                <w:rFonts w:hint="default"/>
                <w:sz w:val="28"/>
                <w:szCs w:val="28"/>
              </w:rPr>
              <w:t xml:space="preserve">数量</w:t>
            </w:r>
            <w:r/>
          </w:p>
        </w:tc>
        <w:tc>
          <w:tcPr>
            <w:tcW w:w="2523" w:type="dxa"/>
            <w:vAlign w:val="center"/>
            <w:textDirection w:val="lrTb"/>
            <w:noWrap w:val="false"/>
          </w:tcPr>
          <w:p>
            <w:pPr>
              <w:jc w:val="center"/>
              <w:widowControl/>
              <w:rPr>
                <w:rFonts w:hint="eastAsia" w:eastAsia="宋体"/>
                <w:sz w:val="28"/>
                <w:szCs w:val="28"/>
                <w:lang w:eastAsia="zh-CN"/>
              </w:rPr>
            </w:pPr>
            <w:r>
              <w:rPr>
                <w:rFonts w:hint="eastAsia" w:ascii="宋体" w:hAnsi="宋体"/>
                <w:color w:val="000000"/>
                <w:sz w:val="28"/>
                <w:szCs w:val="28"/>
                <w:highlight w:val="none"/>
                <w:lang w:val="en-US" w:eastAsia="zh-CN"/>
              </w:rPr>
              <w:t xml:space="preserve">预算/最高限价</w:t>
            </w:r>
            <w:r/>
          </w:p>
        </w:tc>
      </w:tr>
      <w:tr>
        <w:trPr>
          <w:jc w:val="center"/>
          <w:trHeight w:val="613"/>
        </w:trPr>
        <w:tc>
          <w:tcPr>
            <w:tcW w:w="1098" w:type="dxa"/>
            <w:vAlign w:val="center"/>
            <w:textDirection w:val="lrTb"/>
            <w:noWrap w:val="false"/>
          </w:tcPr>
          <w:p>
            <w:pPr>
              <w:jc w:val="center"/>
              <w:rPr>
                <w:rFonts w:hint="default" w:eastAsia="宋体"/>
                <w:sz w:val="28"/>
                <w:szCs w:val="28"/>
                <w:highlight w:val="none"/>
                <w:lang w:val="en-US" w:eastAsia="zh-CN"/>
              </w:rPr>
            </w:pPr>
            <w:r>
              <w:rPr>
                <w:rFonts w:hint="eastAsia"/>
                <w:sz w:val="28"/>
                <w:szCs w:val="28"/>
                <w:highlight w:val="none"/>
                <w:lang w:val="en-US" w:eastAsia="zh-CN"/>
              </w:rPr>
              <w:t xml:space="preserve">1</w:t>
            </w:r>
            <w:r/>
          </w:p>
        </w:tc>
        <w:tc>
          <w:tcPr>
            <w:tcW w:w="2577" w:type="dxa"/>
            <w:vAlign w:val="center"/>
            <w:textDirection w:val="lrTb"/>
            <w:noWrap w:val="false"/>
          </w:tcPr>
          <w:p>
            <w:pPr>
              <w:jc w:val="center"/>
              <w:rPr>
                <w:rFonts w:hint="eastAsia"/>
                <w:bCs/>
                <w:sz w:val="28"/>
                <w:szCs w:val="28"/>
              </w:rPr>
            </w:pPr>
            <w:r>
              <w:rPr>
                <w:rFonts w:hint="eastAsia" w:ascii="宋体" w:hAnsi="宋体"/>
                <w:color w:val="000000"/>
                <w:sz w:val="28"/>
                <w:szCs w:val="28"/>
                <w:highlight w:val="none"/>
                <w:lang w:eastAsia="zh-CN"/>
              </w:rPr>
              <w:t xml:space="preserve">3.0T核磁共振维保</w:t>
            </w:r>
            <w:r/>
          </w:p>
        </w:tc>
        <w:tc>
          <w:tcPr>
            <w:tcW w:w="1336" w:type="dxa"/>
            <w:vAlign w:val="center"/>
            <w:textDirection w:val="lrTb"/>
            <w:noWrap w:val="false"/>
          </w:tcPr>
          <w:p>
            <w:pPr>
              <w:jc w:val="center"/>
              <w:rPr>
                <w:rFonts w:hint="eastAsia"/>
                <w:sz w:val="28"/>
                <w:szCs w:val="28"/>
              </w:rPr>
            </w:pPr>
            <w:r>
              <w:rPr>
                <w:rFonts w:hint="eastAsia"/>
                <w:sz w:val="28"/>
                <w:szCs w:val="28"/>
              </w:rPr>
              <w:t xml:space="preserve">台</w:t>
            </w:r>
            <w:r/>
          </w:p>
        </w:tc>
        <w:tc>
          <w:tcPr>
            <w:tcW w:w="1163" w:type="dxa"/>
            <w:vAlign w:val="center"/>
            <w:textDirection w:val="lrTb"/>
            <w:noWrap w:val="false"/>
          </w:tcPr>
          <w:p>
            <w:pPr>
              <w:jc w:val="center"/>
              <w:rPr>
                <w:rFonts w:hint="eastAsia"/>
                <w:sz w:val="28"/>
                <w:szCs w:val="28"/>
              </w:rPr>
            </w:pPr>
            <w:r>
              <w:rPr>
                <w:rFonts w:hint="eastAsia"/>
                <w:sz w:val="28"/>
                <w:szCs w:val="28"/>
              </w:rPr>
              <w:t xml:space="preserve">1</w:t>
            </w:r>
            <w:r/>
          </w:p>
        </w:tc>
        <w:tc>
          <w:tcPr>
            <w:tcW w:w="2523" w:type="dxa"/>
            <w:vAlign w:val="center"/>
            <w:textDirection w:val="lrTb"/>
            <w:noWrap w:val="false"/>
          </w:tcPr>
          <w:p>
            <w:pPr>
              <w:jc w:val="center"/>
              <w:rPr>
                <w:rFonts w:hint="default"/>
                <w:sz w:val="28"/>
                <w:szCs w:val="28"/>
                <w:lang w:val="en-US" w:eastAsia="zh-CN"/>
              </w:rPr>
            </w:pPr>
            <w:r>
              <w:rPr>
                <w:rFonts w:hint="eastAsia"/>
                <w:sz w:val="28"/>
                <w:szCs w:val="28"/>
                <w:lang w:val="en-US" w:eastAsia="zh-CN"/>
              </w:rPr>
              <w:t xml:space="preserve">330万元人民币</w:t>
            </w:r>
            <w:r/>
          </w:p>
        </w:tc>
      </w:tr>
      <w:tr>
        <w:trPr>
          <w:jc w:val="center"/>
          <w:trHeight w:val="598"/>
        </w:trPr>
        <w:tc>
          <w:tcPr>
            <w:tcW w:w="1098" w:type="dxa"/>
            <w:vAlign w:val="center"/>
            <w:textDirection w:val="lrTb"/>
            <w:noWrap w:val="false"/>
          </w:tcPr>
          <w:p>
            <w:pPr>
              <w:jc w:val="center"/>
              <w:rPr>
                <w:rFonts w:hint="default" w:eastAsia="宋体"/>
                <w:sz w:val="28"/>
                <w:szCs w:val="28"/>
                <w:highlight w:val="none"/>
                <w:lang w:val="en-US" w:eastAsia="zh-CN"/>
              </w:rPr>
            </w:pPr>
            <w:r>
              <w:rPr>
                <w:rFonts w:hint="eastAsia"/>
                <w:sz w:val="28"/>
                <w:szCs w:val="28"/>
                <w:highlight w:val="none"/>
                <w:lang w:val="en-US" w:eastAsia="zh-CN"/>
              </w:rPr>
              <w:t xml:space="preserve">2</w:t>
            </w:r>
            <w:r/>
          </w:p>
        </w:tc>
        <w:tc>
          <w:tcPr>
            <w:tcW w:w="2577" w:type="dxa"/>
            <w:vAlign w:val="center"/>
            <w:textDirection w:val="lrTb"/>
            <w:noWrap w:val="false"/>
          </w:tcPr>
          <w:p>
            <w:pPr>
              <w:jc w:val="center"/>
              <w:rPr>
                <w:rFonts w:hint="eastAsia"/>
                <w:bCs/>
                <w:sz w:val="28"/>
                <w:szCs w:val="28"/>
              </w:rPr>
            </w:pPr>
            <w:r>
              <w:rPr>
                <w:rFonts w:hint="eastAsia" w:ascii="宋体" w:hAnsi="宋体"/>
                <w:color w:val="000000"/>
                <w:sz w:val="28"/>
                <w:szCs w:val="28"/>
                <w:highlight w:val="none"/>
                <w:lang w:eastAsia="zh-CN"/>
              </w:rPr>
              <w:t xml:space="preserve">大孔径CT维保</w:t>
            </w:r>
            <w:r/>
          </w:p>
        </w:tc>
        <w:tc>
          <w:tcPr>
            <w:tcW w:w="1336" w:type="dxa"/>
            <w:vAlign w:val="center"/>
            <w:textDirection w:val="lrTb"/>
            <w:noWrap w:val="false"/>
          </w:tcPr>
          <w:p>
            <w:pPr>
              <w:jc w:val="center"/>
              <w:rPr>
                <w:rFonts w:hint="eastAsia"/>
                <w:sz w:val="28"/>
                <w:szCs w:val="28"/>
              </w:rPr>
            </w:pPr>
            <w:r>
              <w:rPr>
                <w:rFonts w:hint="eastAsia"/>
                <w:sz w:val="28"/>
                <w:szCs w:val="28"/>
              </w:rPr>
              <w:t xml:space="preserve">台</w:t>
            </w:r>
            <w:r/>
          </w:p>
        </w:tc>
        <w:tc>
          <w:tcPr>
            <w:tcW w:w="1163" w:type="dxa"/>
            <w:vAlign w:val="center"/>
            <w:textDirection w:val="lrTb"/>
            <w:noWrap w:val="false"/>
          </w:tcPr>
          <w:p>
            <w:pPr>
              <w:jc w:val="center"/>
              <w:rPr>
                <w:rFonts w:hint="eastAsia"/>
                <w:sz w:val="28"/>
                <w:szCs w:val="28"/>
              </w:rPr>
            </w:pPr>
            <w:r>
              <w:rPr>
                <w:rFonts w:hint="eastAsia"/>
                <w:sz w:val="28"/>
                <w:szCs w:val="28"/>
              </w:rPr>
              <w:t xml:space="preserve">1</w:t>
            </w:r>
            <w:r/>
          </w:p>
        </w:tc>
        <w:tc>
          <w:tcPr>
            <w:tcW w:w="2523" w:type="dxa"/>
            <w:vAlign w:val="center"/>
            <w:textDirection w:val="lrTb"/>
            <w:noWrap w:val="false"/>
          </w:tcPr>
          <w:p>
            <w:pPr>
              <w:jc w:val="center"/>
              <w:rPr>
                <w:rFonts w:hint="default" w:eastAsia="宋体"/>
                <w:sz w:val="28"/>
                <w:szCs w:val="28"/>
                <w:lang w:val="en-US" w:eastAsia="zh-CN"/>
              </w:rPr>
            </w:pPr>
            <w:r>
              <w:rPr>
                <w:rFonts w:hint="eastAsia"/>
                <w:sz w:val="28"/>
                <w:szCs w:val="28"/>
                <w:lang w:val="en-US" w:eastAsia="zh-CN"/>
              </w:rPr>
              <w:t xml:space="preserve">102万元人民币</w:t>
            </w:r>
            <w:r/>
          </w:p>
        </w:tc>
      </w:tr>
    </w:tbl>
    <w:p>
      <w:pPr>
        <w:pStyle w:val="697"/>
        <w:ind w:firstLine="560"/>
        <w:spacing w:line="520" w:lineRule="exact"/>
        <w:rPr>
          <w:rFonts w:hint="default"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5.服务期限：3年</w:t>
      </w:r>
      <w:r/>
    </w:p>
    <w:p>
      <w:pPr>
        <w:pStyle w:val="697"/>
        <w:ind w:left="0"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二、对投标人的资格要求</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w:t>
      </w:r>
      <w:r/>
    </w:p>
    <w:p>
      <w:pPr>
        <w:ind w:firstLine="600"/>
        <w:spacing w:line="520" w:lineRule="exact"/>
        <w:shd w:val="clear" w:color="auto" w:fill="ffffff"/>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2.落实政府采购政策需满足的资格要求：本项目属于专门面向中小企业采购的项目</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投标人应为中小微企业、监狱企业、残疾人福利性单位。</w:t>
      </w:r>
      <w:r/>
    </w:p>
    <w:p>
      <w:pPr>
        <w:ind w:firstLine="600"/>
        <w:spacing w:line="520" w:lineRule="exact"/>
        <w:shd w:val="clear" w:color="auto" w:fill="ffffff"/>
        <w:rPr>
          <w:rFonts w:hint="eastAsia" w:ascii="宋体" w:hAnsi="宋体" w:eastAsia="宋体" w:cs="宋体"/>
          <w:sz w:val="28"/>
          <w:szCs w:val="28"/>
          <w:highlight w:val="none"/>
          <w:lang w:val="en-US" w:eastAsia="zh-CN"/>
        </w:rPr>
      </w:pPr>
      <w:r>
        <w:rPr>
          <w:rFonts w:hint="eastAsia" w:ascii="宋体" w:hAnsi="宋体" w:cs="宋体"/>
          <w:sz w:val="28"/>
          <w:szCs w:val="28"/>
          <w:highlight w:val="none"/>
        </w:rPr>
        <w:t xml:space="preserve">3.本项目的特定资格要求：</w:t>
      </w:r>
      <w:r>
        <w:rPr>
          <w:rFonts w:hint="eastAsia" w:ascii="宋体" w:hAnsi="宋体" w:cs="宋体"/>
          <w:sz w:val="28"/>
          <w:szCs w:val="28"/>
          <w:highlight w:val="none"/>
          <w:lang w:val="en-US" w:eastAsia="zh-CN"/>
        </w:rPr>
        <w:t xml:space="preserve">无</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4.拒绝下述供应商参加本次采购活动：</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（1）供应商单位负责人为同一人或者存在直接控股、管理关系的不同供应商，不得参加同一合同项下的政府采购活动；</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（2）凡为采购项目提供整体设计、规范编制或者项目管理、监理、检测等服务的供应商，不得再参加本项目的采购活动；</w:t>
      </w:r>
      <w:r/>
    </w:p>
    <w:p>
      <w:pPr>
        <w:ind w:firstLine="600"/>
        <w:spacing w:line="520" w:lineRule="exact"/>
        <w:shd w:val="clear" w:color="auto" w:fill="ffffff"/>
        <w:rPr>
          <w:sz w:val="28"/>
          <w:szCs w:val="28"/>
          <w:highlight w:val="none"/>
        </w:rPr>
      </w:pPr>
      <w:r>
        <w:rPr>
          <w:rFonts w:hint="eastAsia" w:ascii="宋体" w:hAnsi="宋体" w:cs="宋体"/>
          <w:sz w:val="28"/>
          <w:szCs w:val="28"/>
          <w:highlight w:val="none"/>
        </w:rPr>
        <w:t xml:space="preserve">（3）被“信用中国”网站(www.creditchina.gov.cn)、中国政府采购网(www.ccgp.gov.cn) 、“信用江苏”网站（http://credit.jiangsu.gov.cn）</w:t>
      </w:r>
      <w:r>
        <w:rPr>
          <w:rFonts w:hint="eastAsia" w:ascii="宋体" w:hAnsi="宋体" w:cs="宋体"/>
          <w:sz w:val="28"/>
          <w:szCs w:val="28"/>
          <w:highlight w:val="none"/>
          <w:lang w:eastAsia="zh-CN"/>
        </w:rPr>
        <w:t xml:space="preserve">、“信用徐州”</w:t>
      </w:r>
      <w:r>
        <w:rPr>
          <w:rFonts w:hint="eastAsia" w:ascii="宋体" w:hAnsi="宋体" w:cs="宋体"/>
          <w:sz w:val="28"/>
          <w:szCs w:val="28"/>
          <w:highlight w:val="none"/>
        </w:rPr>
        <w:t xml:space="preserve">网站</w:t>
      </w:r>
      <w:r>
        <w:rPr>
          <w:rFonts w:hint="eastAsia" w:ascii="宋体" w:hAnsi="宋体" w:cs="宋体"/>
          <w:sz w:val="28"/>
          <w:szCs w:val="28"/>
          <w:highlight w:val="none"/>
          <w:lang w:eastAsia="zh-CN"/>
        </w:rPr>
        <w:t xml:space="preserve">（www.xuzhoucredit.gov.cn/）</w:t>
      </w:r>
      <w:r>
        <w:rPr>
          <w:rFonts w:hint="eastAsia" w:ascii="宋体" w:hAnsi="宋体" w:cs="宋体"/>
          <w:sz w:val="28"/>
          <w:szCs w:val="28"/>
          <w:highlight w:val="none"/>
        </w:rPr>
        <w:t xml:space="preserve">列入失信被执行人、重大税收违法案件当事人名单、政府采购严重违法失信行为记录名单的供应商。</w:t>
      </w:r>
      <w:r/>
    </w:p>
    <w:p>
      <w:pPr>
        <w:ind w:firstLine="600"/>
        <w:spacing w:line="520" w:lineRule="exact"/>
        <w:shd w:val="clear" w:color="auto" w:fill="ffffff"/>
        <w:rPr>
          <w:rFonts w:hint="eastAsia" w:eastAsia="宋体"/>
          <w:sz w:val="28"/>
          <w:szCs w:val="28"/>
          <w:highlight w:val="none"/>
          <w:lang w:val="en-US" w:eastAsia="zh-CN"/>
        </w:rPr>
      </w:pPr>
      <w:r>
        <w:rPr>
          <w:rFonts w:hint="eastAsia" w:ascii="宋体" w:hAnsi="宋体" w:cs="宋体"/>
          <w:sz w:val="28"/>
          <w:szCs w:val="28"/>
          <w:highlight w:val="none"/>
        </w:rPr>
        <w:t xml:space="preserve">5.本项目不接受联合体投标。</w:t>
      </w:r>
      <w:r>
        <w:rPr>
          <w:rFonts w:hint="eastAsia" w:ascii="宋体" w:hAnsi="宋体" w:cs="宋体"/>
          <w:sz w:val="28"/>
          <w:szCs w:val="28"/>
          <w:highlight w:val="none"/>
          <w:lang w:val="en-US" w:eastAsia="zh-CN"/>
        </w:rPr>
        <w:t xml:space="preserve"> </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三、获取招标文件</w:t>
      </w:r>
      <w:bookmarkEnd w:id="0"/>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（一）潜在投标人访问电子招标投标交易平台的网络地址和方法：</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（3）“CA数字证书”的获取：</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一下载专区”中的《“苏采云”系统政务CA办理材料、操作手册及控件下载》。</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（二）采购代理机构将数据电文形式的招标文件加载至电子招标投标交易平台，供潜在投标人下载或者查阅。</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（三）售价：免费。</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四、投标有关信息</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（一）投标截止时间：</w:t>
      </w:r>
      <w:bookmarkStart w:id="21" w:name="_GoBack"/>
      <w:r/>
      <w:bookmarkEnd w:id="21"/>
      <w:r>
        <w:rPr>
          <w:rFonts w:hint="eastAsia" w:ascii="宋体" w:hAnsi="宋体"/>
          <w:color w:val="000000"/>
          <w:sz w:val="28"/>
          <w:szCs w:val="28"/>
          <w:highlight w:val="none"/>
          <w:lang w:eastAsia="zh-CN"/>
        </w:rPr>
        <w:t xml:space="preserve">2026年10月28日北京时间9:30</w:t>
      </w:r>
      <w:r>
        <w:rPr>
          <w:rFonts w:ascii="宋体" w:hAnsi="宋体"/>
          <w:color w:val="000000"/>
          <w:sz w:val="28"/>
          <w:szCs w:val="28"/>
          <w:highlight w:val="none"/>
        </w:rPr>
        <w:t xml:space="preserve">。</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（二）开标时间：</w:t>
      </w:r>
      <w:r>
        <w:rPr>
          <w:rFonts w:hint="eastAsia" w:ascii="宋体" w:hAnsi="宋体"/>
          <w:color w:val="000000"/>
          <w:sz w:val="28"/>
          <w:szCs w:val="28"/>
          <w:highlight w:val="none"/>
          <w:lang w:eastAsia="zh-CN"/>
        </w:rPr>
        <w:t xml:space="preserve">2026年10月28日北京时间9:30</w:t>
      </w:r>
      <w:r>
        <w:rPr>
          <w:rFonts w:ascii="宋体" w:hAnsi="宋体"/>
          <w:color w:val="000000"/>
          <w:sz w:val="28"/>
          <w:szCs w:val="28"/>
          <w:highlight w:val="none"/>
        </w:rPr>
        <w:t xml:space="preserve">。</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（三）开标地点：“苏采云”系统（网址：http://jszfcg.jsczt.cn/）“开标大厅”或进入徐州政府采购网（网址：http://czj.xz.gov.cn/Home/HomeIndex）-业务工作 -用户登录，点击“苏采云”进入系统“开标大厅”。</w:t>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五、采购人信息</w:t>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名 称：徐州市第一人民医院</w:t>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地址：徐州市铜山区大学路269号</w:t>
      </w:r>
      <w:r/>
    </w:p>
    <w:p>
      <w:pPr>
        <w:pStyle w:val="697"/>
        <w:ind w:firstLine="600"/>
        <w:spacing w:line="520" w:lineRule="exact"/>
        <w:rPr>
          <w:rFonts w:hint="default"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联系人：</w:t>
      </w:r>
      <w:r>
        <w:rPr>
          <w:rFonts w:hint="eastAsia" w:ascii="宋体" w:hAnsi="宋体"/>
          <w:color w:val="000000"/>
          <w:sz w:val="28"/>
          <w:szCs w:val="28"/>
          <w:highlight w:val="none"/>
          <w:lang w:val="en-US" w:eastAsia="zh-CN"/>
        </w:rPr>
        <w:t xml:space="preserve">张宇辰</w:t>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联系方式：</w:t>
      </w:r>
      <w:bookmarkStart w:id="4" w:name="_Toc28359086"/>
      <w:r/>
      <w:bookmarkStart w:id="5" w:name="_Toc28359009"/>
      <w:r>
        <w:rPr>
          <w:rFonts w:hint="eastAsia" w:ascii="宋体" w:hAnsi="宋体"/>
          <w:color w:val="000000"/>
          <w:sz w:val="28"/>
          <w:szCs w:val="28"/>
          <w:highlight w:val="none"/>
        </w:rPr>
        <w:t xml:space="preserve">0516</w:t>
      </w:r>
      <w:r>
        <w:rPr>
          <w:rFonts w:hint="eastAsia" w:ascii="宋体" w:hAnsi="宋体"/>
          <w:color w:val="000000"/>
          <w:sz w:val="28"/>
          <w:szCs w:val="28"/>
          <w:highlight w:val="none"/>
          <w:lang w:val="en-US" w:eastAsia="zh-CN"/>
        </w:rPr>
        <w:t xml:space="preserve">-</w:t>
      </w:r>
      <w:r>
        <w:rPr>
          <w:rFonts w:hint="eastAsia" w:ascii="宋体" w:hAnsi="宋体"/>
          <w:color w:val="000000"/>
          <w:sz w:val="28"/>
          <w:szCs w:val="28"/>
          <w:highlight w:val="none"/>
        </w:rPr>
        <w:t xml:space="preserve">68383042</w:t>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六、采购代理机构信息</w:t>
      </w:r>
      <w:bookmarkEnd w:id="4"/>
      <w:r/>
      <w:bookmarkEnd w:id="5"/>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名 </w: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 xml:space="preserve">称：苏美达国际技术贸易有限公司</w:t>
      </w:r>
      <w:r/>
    </w:p>
    <w:p>
      <w:pPr>
        <w:pStyle w:val="697"/>
        <w:ind w:firstLine="600"/>
        <w:spacing w:line="520" w:lineRule="exact"/>
        <w:rPr>
          <w:rFonts w:hint="default"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地　址：</w:t>
      </w:r>
      <w:r>
        <w:rPr>
          <w:rFonts w:hint="eastAsia" w:ascii="宋体" w:hAnsi="宋体"/>
          <w:color w:val="000000"/>
          <w:sz w:val="28"/>
          <w:szCs w:val="28"/>
          <w:highlight w:val="none"/>
          <w:lang w:eastAsia="zh-CN"/>
        </w:rPr>
        <w:t xml:space="preserve">徐州经济技术开发区金龙湖科技金融广场A座41</w:t>
      </w:r>
      <w:r>
        <w:rPr>
          <w:rFonts w:hint="eastAsia" w:ascii="宋体" w:hAnsi="宋体"/>
          <w:color w:val="000000"/>
          <w:sz w:val="28"/>
          <w:szCs w:val="28"/>
          <w:highlight w:val="none"/>
          <w:lang w:val="en-US" w:eastAsia="zh-CN"/>
        </w:rPr>
        <w:t xml:space="preserve">1</w:t>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联系</w:t>
      </w:r>
      <w:bookmarkStart w:id="6" w:name="_Toc28359010"/>
      <w:r/>
      <w:bookmarkStart w:id="7" w:name="_Toc28359087"/>
      <w:r>
        <w:rPr>
          <w:rFonts w:hint="eastAsia" w:ascii="宋体" w:hAnsi="宋体"/>
          <w:color w:val="000000"/>
          <w:sz w:val="28"/>
          <w:szCs w:val="28"/>
          <w:highlight w:val="none"/>
        </w:rPr>
        <w:t xml:space="preserve">人：</w:t>
      </w:r>
      <w:r>
        <w:rPr>
          <w:rFonts w:hint="eastAsia" w:ascii="宋体" w:hAnsi="宋体"/>
          <w:color w:val="000000"/>
          <w:sz w:val="28"/>
          <w:szCs w:val="28"/>
          <w:highlight w:val="none"/>
          <w:lang w:eastAsia="zh-CN"/>
        </w:rPr>
        <w:t xml:space="preserve">朱志云</w:t>
      </w:r>
      <w:r>
        <w:rPr>
          <w:rFonts w:hint="eastAsia" w:ascii="宋体" w:hAnsi="宋体"/>
          <w:color w:val="000000"/>
          <w:sz w:val="28"/>
          <w:szCs w:val="28"/>
          <w:highlight w:val="none"/>
        </w:rPr>
        <w:t xml:space="preserve">、丁慧慧</w:t>
      </w:r>
      <w:r/>
    </w:p>
    <w:p>
      <w:pPr>
        <w:pStyle w:val="697"/>
        <w:ind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联系电话：</w:t>
      </w:r>
      <w:r>
        <w:rPr>
          <w:rFonts w:hint="eastAsia" w:ascii="宋体" w:hAnsi="宋体"/>
          <w:color w:val="000000"/>
          <w:sz w:val="28"/>
          <w:szCs w:val="28"/>
          <w:highlight w:val="none"/>
          <w:lang w:eastAsia="zh-CN"/>
        </w:rPr>
        <w:t xml:space="preserve">025-84531057</w:t>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七、项目联系方式</w:t>
      </w:r>
      <w:bookmarkEnd w:id="6"/>
      <w:r/>
      <w:bookmarkEnd w:id="7"/>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项目联系人：</w:t>
      </w:r>
      <w:r>
        <w:rPr>
          <w:rFonts w:hint="eastAsia" w:ascii="宋体" w:hAnsi="宋体"/>
          <w:color w:val="000000"/>
          <w:sz w:val="28"/>
          <w:szCs w:val="28"/>
          <w:highlight w:val="none"/>
          <w:lang w:eastAsia="zh-CN"/>
        </w:rPr>
        <w:t xml:space="preserve">朱志云</w:t>
      </w:r>
      <w:r>
        <w:rPr>
          <w:rFonts w:hint="eastAsia" w:ascii="宋体" w:hAnsi="宋体"/>
          <w:color w:val="000000"/>
          <w:sz w:val="28"/>
          <w:szCs w:val="28"/>
          <w:highlight w:val="none"/>
        </w:rPr>
        <w:t xml:space="preserve">、丁慧慧</w:t>
      </w:r>
      <w:r/>
    </w:p>
    <w:p>
      <w:pPr>
        <w:pStyle w:val="697"/>
        <w:ind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电　话：</w:t>
      </w:r>
      <w:r>
        <w:rPr>
          <w:rFonts w:hint="eastAsia" w:ascii="宋体" w:hAnsi="宋体"/>
          <w:color w:val="000000"/>
          <w:sz w:val="28"/>
          <w:szCs w:val="28"/>
          <w:highlight w:val="none"/>
          <w:lang w:eastAsia="zh-CN"/>
        </w:rPr>
        <w:t xml:space="preserve">025-84531057</w:t>
      </w:r>
      <w:r/>
    </w:p>
    <w:p>
      <w:pPr>
        <w:pStyle w:val="69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邮箱：</w:t>
      </w:r>
      <w:r>
        <w:rPr>
          <w:sz w:val="28"/>
          <w:szCs w:val="28"/>
          <w:highlight w:val="none"/>
        </w:rPr>
        <w:fldChar w:fldCharType="begin"/>
      </w:r>
      <w:r>
        <w:rPr>
          <w:sz w:val="28"/>
          <w:szCs w:val="28"/>
          <w:highlight w:val="none"/>
        </w:rPr>
        <w:instrText xml:space="preserve"> HYPERLINK "mailto:zhuzhiyun@sumec.com.cn" </w:instrText>
      </w:r>
      <w:r>
        <w:rPr>
          <w:sz w:val="28"/>
          <w:szCs w:val="28"/>
          <w:highlight w:val="none"/>
        </w:rPr>
        <w:fldChar w:fldCharType="separate"/>
      </w:r>
      <w:r>
        <w:rPr>
          <w:rFonts w:hint="eastAsia" w:ascii="宋体" w:hAnsi="宋体"/>
          <w:color w:val="000000"/>
          <w:sz w:val="28"/>
          <w:szCs w:val="28"/>
          <w:highlight w:val="none"/>
          <w:lang w:eastAsia="zh-CN"/>
        </w:rPr>
        <w:t xml:space="preserve">zhuzhiyun@sumec.com.cn</w:t>
      </w:r>
      <w:r>
        <w:rPr>
          <w:rFonts w:hint="eastAsia" w:ascii="宋体" w:hAnsi="宋体"/>
          <w:color w:val="000000"/>
          <w:sz w:val="28"/>
          <w:szCs w:val="28"/>
          <w:highlight w:val="none"/>
        </w:rPr>
        <w:fldChar w:fldCharType="end"/>
      </w:r>
      <w:r/>
    </w:p>
    <w:p>
      <w:pPr>
        <w:pStyle w:val="697"/>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697"/>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917"/>
        <w:rPr>
          <w:rFonts w:ascii="宋体" w:hAnsi="宋体" w:eastAsia="宋体"/>
          <w:color w:val="000000"/>
          <w:sz w:val="28"/>
          <w:szCs w:val="28"/>
          <w:highlight w:val="none"/>
        </w:rPr>
        <w:sectPr>
          <w:footnotePr/>
          <w:endnotePr/>
          <w:type w:val="nextPage"/>
          <w:pgSz w:w="12240" w:h="15840" w:orient="portrait"/>
          <w:pgMar w:top="1346" w:right="1134" w:bottom="1344" w:left="1134" w:header="0" w:footer="0" w:gutter="0"/>
          <w:cols w:num="1" w:sep="0" w:space="720" w:equalWidth="1"/>
          <w:docGrid w:linePitch="360"/>
        </w:sectPr>
      </w:pPr>
      <w:r/>
      <w:bookmarkStart w:id="8" w:name="_Toc523404696"/>
      <w:r/>
      <w:bookmarkStart w:id="9" w:name="_Toc522790131"/>
      <w:r/>
      <w:r/>
    </w:p>
    <w:p>
      <w:pPr>
        <w:pStyle w:val="917"/>
        <w:rPr>
          <w:rFonts w:ascii="宋体" w:hAnsi="宋体" w:eastAsia="宋体"/>
          <w:color w:val="000000"/>
          <w:sz w:val="32"/>
          <w:szCs w:val="32"/>
          <w:highlight w:val="none"/>
        </w:rPr>
      </w:pPr>
      <w:r>
        <w:rPr>
          <w:rFonts w:ascii="宋体" w:hAnsi="宋体" w:eastAsia="宋体"/>
          <w:color w:val="000000"/>
          <w:sz w:val="32"/>
          <w:szCs w:val="32"/>
          <w:highlight w:val="none"/>
        </w:rPr>
        <w:t xml:space="preserve">第二章  投标人须知</w:t>
      </w:r>
      <w:bookmarkEnd w:id="8"/>
      <w:r/>
      <w:bookmarkEnd w:id="9"/>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一、总则</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（一）采购人。采购人即指依法进行政府采购的国家机关、事业单位和团体组织。</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（二）政府招标采购方式。政府采购货物或服务（以下简称“货物服务”）的招标方式，分为公开招标和邀请招标。</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（五）采购人委托采购代理机构代理招标的，采购代理机构必须在采购人委托的范围内依法开展采购活动。</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（六）投标人的资格条件：</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投标人是指响应招标、参加投标竞争的法人、其他组织或者自然人。</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2.投标人授权代表系指法定代表人或受法人委托的受托人。</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（七）投标费用：投标人应承担所有与准备和参加投标有关的费用。无论投标的结果如何，采购代理机构对上述费用不承担任何责任和义务。</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二、招标</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（八）招标文件应包括以下内容：</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第一章，投标邀请；</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第二章，投标人须知；</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第三章，投标资料表；</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第四章，评标标准；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第五章，拟签订的合同文本；</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第六章，采购需求；</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第七章，投标文件相关格式。</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（九）招标文件澄清或者修改：</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2.现场考察以本文件第三章《投标资料表》中的要求为准。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3.开标前答疑会以本文件第三章《投标资料表》中的要求为准。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三、投标</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（十）投标人应当按照招标文件的要求编制投标文件。投标文件应对招标文件提出的要求和条件作出实质性响应。</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（十二）投标文件的构成：</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1.投标文件的构成以本文件第三章《投标资料表》中的要求为准。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2.投标人应当提交的资格、资信证明文件，以本文件第三章《投标资料表》中的所提要求为准。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（十三）投标函和价格表、商务条件、交货和提供服务的时间：</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1.投标函和价格表的要求见本章（十二）、（十三），格式见本文件第七章《投标文件相关格式》中《投标函》和《开标一览表》。</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2.商务条件以本文件第三章《投标资料表》中的要求为准。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3.交货和提供服务的时间，以本文件第三章《投标资料表》中所提要求为准。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（十四）投标报价要求：</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1.投标人应按照招标文件的要求报出分项价格和总价。</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2.投标人应按照招标文件的要求进行报价，如投标人作出偏离，应在《</w:t>
      </w:r>
      <w:r>
        <w:rPr>
          <w:rFonts w:hint="eastAsia" w:ascii="宋体" w:hAnsi="宋体"/>
          <w:color w:val="000000"/>
          <w:sz w:val="28"/>
          <w:szCs w:val="28"/>
          <w:highlight w:val="none"/>
        </w:rPr>
        <w:t xml:space="preserve">偏离响应表</w:t>
      </w:r>
      <w:r>
        <w:rPr>
          <w:rFonts w:ascii="宋体" w:hAnsi="宋体"/>
          <w:color w:val="000000"/>
          <w:sz w:val="28"/>
          <w:szCs w:val="28"/>
          <w:highlight w:val="none"/>
        </w:rPr>
        <w:t xml:space="preserve">》中列出。</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3.采购人不支付报价以外的任何费用。</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5.投标人只能提交一个投标价格，投标人提交多个价格的投标文件，在资格性、符合性检查时按照无效投标处理。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（十五）投标货币。以本文件第三章《投标资料表》中所提要求为准。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（十六）投标有效期：</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1.投标有效期为开标之日后90天。采购人可以要求对投标有效期延长一次，但该延长期最长不得超过30天。</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（十七）投标文件的编制要求和签署要求：</w:t>
      </w:r>
      <w:r/>
    </w:p>
    <w:p>
      <w:pPr>
        <w:pStyle w:val="69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69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（2）投标人应对 CA 证书妥善保管，如被他人盗用投标，因此带来的结果均由投标人自行承担。</w:t>
      </w:r>
      <w:r/>
    </w:p>
    <w:p>
      <w:pPr>
        <w:pStyle w:val="69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（3）投标人应当对招标文件提出的要求和条件作出实质性响应，并在电子投标系统逐条应答。</w:t>
      </w:r>
      <w:r/>
    </w:p>
    <w:p>
      <w:pPr>
        <w:pStyle w:val="69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（4）投标人应对要求提供的资格证明文件（如资质证书、资格证书）、技术资料（如白皮书、彩页、手册、检测报告等）扫描上传至投标系统。</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（十八）投标文件的盖章要求：</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投标文件的盖章要求，以本文件第三章《投标资料表》中所提要求为准。</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（二十）凡在招标文件要求提交投标文件的截止时间之后送达的投标文件，均为无效投标文件，采购代理机构应当拒收。在规定时间内各投标人携带CA锁进行网上解密。</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（二十二）本项目不允许分包。</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（二十三）投标人应当遵循公平竞争的原则，不得恶意串通，不得妨碍其他投标人的竞争行为，不得损害采购人或者其他投标人的合法权益。</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在评标过程中发现投标人有上述情形的，评标委员会应当认定其投标无效，并书面报告本级财政部门。</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（二十四）有下列情形之一的，其投标无效。</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1.不同投标人的投标文件，由同一单位或者个人编制；</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2.不同投标人委托同一单位或者个人办理投标事宜；</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3.不同投标人的投标文件中，所载明的项目管理成员或联系人为同一人；</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4.不同投标人的投标文件，异常一致或者投标报价呈规律性差异；</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5.不同投标人的投标文件相互混装；</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6.不同投标人投标文件内容存在非正常一致、项目组成员出现同一人、投标文件中错误（或异常）一致或雷同、电子文档信息一致或雷同的、投标报价呈规律性差异的；</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7.电子投标文件未按规定期限投标的；</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8.电子投标文件未按招标文件要求签章的；</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9.投标人未在规定时间内解密电子投标文件的；</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10.投标文件未按招标文件规定的内容和要求填写的；没有在投标系统指定位置上传对应文件、材料的。</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11.不具备招标文件中规定的资格要求的；</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12.报价超过招标文件中规定的预算金额或者最高限价的；</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13.投标文件含有采购人不能接受的附加条件的；</w:t>
      </w:r>
      <w:r/>
    </w:p>
    <w:p>
      <w:pPr>
        <w:pStyle w:val="69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14.法律法规和招标文件规定的其他无效情形。</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四、开标</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（二十五）开标：</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1.开标时间及地点。开标应当在招标文件确定的提交投标文件截止时间的同一时间公开进行；开标地点应当为招标文件中预先确定的地点。</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2.由电子招标投标交易平台主持，邀请投标人参加。</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3.所有投标单位使用 CA 证书在开标时间时，解密各自投标文件，由工作人员操作系统进行开标，投标人不足3家的，不得</w:t>
      </w:r>
      <w:r>
        <w:rPr>
          <w:rFonts w:hint="eastAsia" w:ascii="宋体" w:hAnsi="宋体"/>
          <w:color w:val="000000"/>
          <w:sz w:val="28"/>
          <w:szCs w:val="28"/>
          <w:highlight w:val="none"/>
        </w:rPr>
        <w:t xml:space="preserve">开</w:t>
      </w:r>
      <w:r>
        <w:rPr>
          <w:rFonts w:ascii="宋体" w:hAnsi="宋体"/>
          <w:color w:val="000000"/>
          <w:sz w:val="28"/>
          <w:szCs w:val="28"/>
          <w:highlight w:val="none"/>
        </w:rPr>
        <w:t xml:space="preserve">标。</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五、评标</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（二十六）公开招标采购项目开标结束后，采购人依法对投标人的资格进行审查。合格投标人不足3家的，不得评标。</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1.评标工作由采购代理机构负责组织，并履行下列职责：</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（2）宣布评标纪律；</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（3）公布投标人名单，告知评审专家应当回避的情形；</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（4）组织评标委员会推选评标组长（采购人代表不得担任组长）；</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（5）在评标期间采取必要的通讯管理措施，保证评标活动不受外界干扰；</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（6）根据评标委员会的要求介绍政府采购相关政策法规、招标文件；</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（8）核对评标结果，对有《</w:t>
      </w:r>
      <w:r>
        <w:rPr>
          <w:sz w:val="28"/>
          <w:szCs w:val="28"/>
          <w:highlight w:val="none"/>
        </w:rPr>
        <w:fldChar w:fldCharType="begin"/>
      </w:r>
      <w:r>
        <w:rPr>
          <w:sz w:val="28"/>
          <w:szCs w:val="28"/>
          <w:highlight w:val="none"/>
        </w:rPr>
        <w:instrText xml:space="preserve"> HYPERLINK "http://www.caigou2003.com/" \t "_blank" </w:instrText>
      </w:r>
      <w:r>
        <w:rPr>
          <w:sz w:val="28"/>
          <w:szCs w:val="28"/>
          <w:highlight w:val="none"/>
        </w:rPr>
        <w:fldChar w:fldCharType="separate"/>
      </w:r>
      <w:r>
        <w:rPr>
          <w:rFonts w:ascii="宋体" w:hAnsi="宋体"/>
          <w:color w:val="000000"/>
          <w:sz w:val="28"/>
          <w:szCs w:val="28"/>
          <w:highlight w:val="none"/>
        </w:rPr>
        <w:t xml:space="preserve">政府采购</w:t>
      </w:r>
      <w:r>
        <w:rPr>
          <w:rFonts w:ascii="宋体" w:hAnsi="宋体"/>
          <w:color w:val="000000"/>
          <w:sz w:val="28"/>
          <w:szCs w:val="28"/>
          <w:highlight w:val="none"/>
        </w:rPr>
        <w:fldChar w:fldCharType="end"/>
      </w:r>
      <w:r>
        <w:rPr>
          <w:rFonts w:ascii="宋体" w:hAnsi="宋体"/>
          <w:color w:val="000000"/>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（9）评审工作完成后，按照规定向评审专家支付劳务报酬和异地评审差旅费，不得向评审专家以外的其他人员支付评审劳务报酬； </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（10）处理与评标有关的其他事项。</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2.评标委员会负责具体评标事务，并独立履行下列职责：</w:t>
      </w:r>
      <w:r/>
    </w:p>
    <w:p>
      <w:pPr>
        <w:pStyle w:val="69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（1）审查、评价投标文件是否符合招标文件的商务、技术等实质性要求；</w:t>
      </w:r>
      <w:r/>
    </w:p>
    <w:p>
      <w:pPr>
        <w:pStyle w:val="69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（2）要求投标人对投标文件有关事项作出澄清或者说明；</w:t>
      </w:r>
      <w:r/>
    </w:p>
    <w:p>
      <w:pPr>
        <w:pStyle w:val="69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（3）对投标文件进行比较和评价；</w:t>
      </w:r>
      <w:r/>
    </w:p>
    <w:p>
      <w:pPr>
        <w:pStyle w:val="69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（4）确定中标候选人名单，以及根据采购人委托直接确定中标人；</w:t>
      </w:r>
      <w:r/>
    </w:p>
    <w:p>
      <w:pPr>
        <w:pStyle w:val="69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（5）向采购人、采购代理机构或有关部门报告评标中发现的违法行为。</w:t>
      </w:r>
      <w:r/>
    </w:p>
    <w:p>
      <w:pPr>
        <w:pStyle w:val="69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（二十七）评标方法分为最低评标价法和综合评分法。</w:t>
      </w:r>
      <w:r/>
    </w:p>
    <w:p>
      <w:pPr>
        <w:pStyle w:val="69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（二十八）评标</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1.评标工作程序：</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（1）投标文件初审。</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①资格性审查。</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②符合性审查。</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（2）澄清有关问题。</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（3）比较与评价。</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（4）推荐中标候选供应商名单。</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（5）编写评审报告（评标报告）。</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3.采用</w:t>
      </w:r>
      <w:r>
        <w:rPr>
          <w:sz w:val="28"/>
          <w:szCs w:val="28"/>
          <w:highlight w:val="none"/>
        </w:rPr>
        <w:fldChar w:fldCharType="begin"/>
      </w:r>
      <w:r>
        <w:rPr>
          <w:sz w:val="28"/>
          <w:szCs w:val="28"/>
          <w:highlight w:val="none"/>
        </w:rPr>
        <w:instrText xml:space="preserve"> HYPERLINK "http://lilun.caigou2003.com/recijiedu/2365668.html" \t "_blank" </w:instrText>
      </w:r>
      <w:r>
        <w:rPr>
          <w:sz w:val="28"/>
          <w:szCs w:val="28"/>
          <w:highlight w:val="none"/>
        </w:rPr>
        <w:fldChar w:fldCharType="separate"/>
      </w:r>
      <w:r>
        <w:rPr>
          <w:rFonts w:ascii="宋体" w:hAnsi="宋体"/>
          <w:color w:val="000000"/>
          <w:sz w:val="28"/>
          <w:szCs w:val="28"/>
          <w:highlight w:val="none"/>
        </w:rPr>
        <w:t xml:space="preserve">最低评标价法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采用</w:t>
      </w:r>
      <w:r>
        <w:rPr>
          <w:sz w:val="28"/>
          <w:szCs w:val="28"/>
          <w:highlight w:val="none"/>
        </w:rPr>
        <w:fldChar w:fldCharType="begin"/>
      </w:r>
      <w:r>
        <w:rPr>
          <w:sz w:val="28"/>
          <w:szCs w:val="28"/>
          <w:highlight w:val="none"/>
        </w:rPr>
        <w:instrText xml:space="preserve"> HYPERLINK "http://lilun.caigou2003.com/recijiedu/2365667.html" \t "_blank" </w:instrText>
      </w:r>
      <w:r>
        <w:rPr>
          <w:sz w:val="28"/>
          <w:szCs w:val="28"/>
          <w:highlight w:val="none"/>
        </w:rPr>
        <w:fldChar w:fldCharType="separate"/>
      </w:r>
      <w:r>
        <w:rPr>
          <w:rFonts w:ascii="宋体" w:hAnsi="宋体"/>
          <w:color w:val="000000"/>
          <w:sz w:val="28"/>
          <w:szCs w:val="28"/>
          <w:highlight w:val="none"/>
        </w:rPr>
        <w:t xml:space="preserve">综合评分法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非单一产品采购项目，多家投标人提供的核心产品品牌相同的，按前两款规定处理。</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（二十九）投标文件报价出现前后不一致的，按照下列规定修正：</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1.投标文件中开标一览表（报价表）内容与投标文件中相应内容不一致的，以开标一览表（报价表）为准；</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2.大写金额和小写金额不一致的，以大写金额为准；</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3.单价金额小数点或者百分比有明显错位的，以开标一览表的总价为准，并修改单价；</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4.总价金额与按单价合计金额不一致的，以单价金额计算结果为准。</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697"/>
        <w:ind w:firstLine="600"/>
        <w:jc w:val="left"/>
        <w:spacing w:line="520" w:lineRule="exact"/>
        <w:widowControl/>
        <w:rPr>
          <w:rFonts w:ascii="宋体" w:hAnsi="宋体"/>
          <w:i/>
          <w:color w:val="000000"/>
          <w:sz w:val="28"/>
          <w:szCs w:val="28"/>
          <w:highlight w:val="none"/>
        </w:rPr>
      </w:pP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（三十二）废标条款：</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出现下列情形之一的，应予废标。</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1.符合专业条件的供应商或者对招标文件作实质响应的供应商不足三家的；</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2.出现影响采购公正的违法、违规行为的；</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3.投标人的报价均超过了采购预算，采购人不能支付的；</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4.因重大变故，采购任务取消的。</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六、定标</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（三十三）采购代理机构应当在评标结束后2个工作日内将评标报告送采购人。</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（三十四）采购人应当自收到评标报告之日起5个工作日内，在评标报告确定的中标候选人名单中按顺序确定中标人。</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七、政府采购合同</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（三十六）签订政府采购合同（合同签订方式）：</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69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采购人不得向中标人提出任何不合理的要求作为签订合同的条件。</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color w:val="000000"/>
          <w:sz w:val="28"/>
          <w:szCs w:val="28"/>
          <w:highlight w:val="none"/>
        </w:rPr>
        <w:t xml:space="preserve">中华人民共和国民法典</w:t>
      </w:r>
      <w:r>
        <w:rPr>
          <w:rFonts w:ascii="宋体" w:hAnsi="宋体"/>
          <w:color w:val="000000"/>
          <w:sz w:val="28"/>
          <w:szCs w:val="28"/>
          <w:highlight w:val="none"/>
        </w:rPr>
        <w:t xml:space="preserve">》相关条款执行。</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（三十八）履约保证金：</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1.中标人应在政府采购合同签订后，向采购人提交本文件第三章《投标资料表》中规定金额的履约保证金。</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2.如果中标人没有遵守本章（三十八）</w:t>
      </w:r>
      <w:r>
        <w:rPr>
          <w:rFonts w:hint="eastAsia" w:ascii="宋体" w:hAnsi="宋体"/>
          <w:color w:val="000000"/>
          <w:sz w:val="28"/>
          <w:szCs w:val="28"/>
          <w:highlight w:val="none"/>
          <w:lang w:val="en-US" w:eastAsia="zh-CN"/>
        </w:rPr>
        <w:t xml:space="preserve">1</w:t>
      </w:r>
      <w:r>
        <w:rPr>
          <w:rFonts w:ascii="宋体" w:hAnsi="宋体"/>
          <w:color w:val="000000"/>
          <w:sz w:val="28"/>
          <w:szCs w:val="28"/>
          <w:highlight w:val="none"/>
        </w:rPr>
        <w:t xml:space="preserve">或本章（三十九）的规定，采购代理机构有权取消该中标决定。在此情况下，采购人可以与排位在中标人之后第一位的中标候选人签订政府采购合同，以此类推。</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3.中标人凭采购人出具验收书的复印件及收款收据办理履约保证金退付手续。履约保证金在采购人处存放期间，不计利息。</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（三十九）腐败和欺诈行为：</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1.采购代理机构、采购人、投标人等参与招投标的各方，均应在招标、采购、合同执行等过程中保持廉洁和最高的道德水准。</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（1）腐败和欺诈行为的含义：</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（2）如果被推荐的中标人有腐败和欺诈行为，将取消其中标资格。</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69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八、询问和质疑</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（四十）询问和质疑</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九、电子招标投标交易平台</w:t>
      </w:r>
      <w:r/>
    </w:p>
    <w:p>
      <w:pPr>
        <w:pStyle w:val="69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（四十一）电子招标投标交易平台（即“苏采云”系统，网址：</w:t>
      </w:r>
      <w:r>
        <w:rPr>
          <w:sz w:val="28"/>
          <w:szCs w:val="28"/>
          <w:highlight w:val="none"/>
        </w:rPr>
        <w:fldChar w:fldCharType="begin"/>
      </w:r>
      <w:r>
        <w:rPr>
          <w:sz w:val="28"/>
          <w:szCs w:val="28"/>
          <w:highlight w:val="none"/>
        </w:rPr>
        <w:instrText xml:space="preserve"> HYPERLINK "http://jszfcg.jsczt.cn/" \o "http://jszfcg.jsczt.cn/" </w:instrText>
      </w:r>
      <w:r>
        <w:rPr>
          <w:sz w:val="28"/>
          <w:szCs w:val="28"/>
          <w:highlight w:val="none"/>
        </w:rPr>
        <w:fldChar w:fldCharType="separate"/>
      </w:r>
      <w:r>
        <w:rPr>
          <w:rFonts w:ascii="宋体" w:hAnsi="宋体"/>
          <w:color w:val="000000"/>
          <w:sz w:val="28"/>
          <w:szCs w:val="28"/>
          <w:highlight w:val="none"/>
        </w:rPr>
        <w:t xml:space="preserve">http://jszfcg.jsczt.cn/</w:t>
      </w:r>
      <w:r>
        <w:rPr>
          <w:rFonts w:ascii="宋体" w:hAnsi="宋体"/>
          <w:color w:val="000000"/>
          <w:sz w:val="28"/>
          <w:szCs w:val="28"/>
          <w:highlight w:val="none"/>
        </w:rPr>
        <w:fldChar w:fldCharType="end"/>
      </w:r>
      <w:r>
        <w:rPr>
          <w:rFonts w:ascii="宋体" w:hAnsi="宋体"/>
          <w:color w:val="000000"/>
          <w:sz w:val="28"/>
          <w:szCs w:val="28"/>
          <w:highlight w:val="none"/>
        </w:rPr>
        <w:t xml:space="preserve">）相关要求是本招标文件的组成部分。</w:t>
      </w:r>
      <w:r/>
    </w:p>
    <w:p>
      <w:pPr>
        <w:pStyle w:val="1000"/>
        <w:rPr>
          <w:rFonts w:hAnsi="宋体" w:eastAsia="宋体"/>
          <w:color w:val="000000"/>
          <w:highlight w:val="none"/>
        </w:rPr>
      </w:pPr>
      <w:r/>
      <w:bookmarkStart w:id="10" w:name="_Toc522790132"/>
      <w:r/>
      <w:bookmarkStart w:id="11" w:name="_Toc523404697"/>
      <w:r/>
      <w:r/>
    </w:p>
    <w:p>
      <w:pPr>
        <w:pStyle w:val="1001"/>
        <w:rPr>
          <w:rFonts w:ascii="宋体" w:hAnsi="宋体"/>
          <w:color w:val="000000"/>
          <w:highlight w:val="none"/>
        </w:rPr>
      </w:pPr>
      <w:r>
        <w:rPr>
          <w:rFonts w:ascii="宋体" w:hAnsi="宋体"/>
          <w:color w:val="000000"/>
          <w:highlight w:val="none"/>
        </w:rPr>
      </w:r>
      <w:r/>
    </w:p>
    <w:p>
      <w:pPr>
        <w:pStyle w:val="697"/>
        <w:rPr>
          <w:color w:val="000000"/>
          <w:highlight w:val="none"/>
        </w:rPr>
      </w:pPr>
      <w:r>
        <w:rPr>
          <w:color w:val="000000"/>
          <w:highlight w:val="none"/>
        </w:rPr>
      </w:r>
      <w:r/>
    </w:p>
    <w:p>
      <w:pPr>
        <w:pStyle w:val="917"/>
        <w:rPr>
          <w:rFonts w:ascii="宋体" w:hAnsi="宋体" w:eastAsia="宋体"/>
          <w:color w:val="000000"/>
          <w:highlight w:val="none"/>
        </w:rPr>
        <w:sectPr>
          <w:footnotePr/>
          <w:endnotePr/>
          <w:type w:val="nextPage"/>
          <w:pgSz w:w="12240" w:h="15840" w:orient="portrait"/>
          <w:pgMar w:top="1346" w:right="1134" w:bottom="1344" w:left="1134" w:header="0" w:footer="0" w:gutter="0"/>
          <w:cols w:num="1" w:sep="0" w:space="720" w:equalWidth="1"/>
          <w:docGrid w:linePitch="360"/>
        </w:sectPr>
      </w:pPr>
      <w:r>
        <w:rPr>
          <w:rFonts w:ascii="宋体" w:hAnsi="宋体" w:eastAsia="宋体"/>
          <w:color w:val="000000"/>
          <w:highlight w:val="none"/>
        </w:rPr>
      </w:r>
      <w:r/>
    </w:p>
    <w:p>
      <w:pPr>
        <w:pStyle w:val="917"/>
        <w:rPr>
          <w:rFonts w:ascii="宋体" w:hAnsi="宋体" w:eastAsia="宋体"/>
          <w:color w:val="000000"/>
          <w:sz w:val="32"/>
          <w:szCs w:val="32"/>
          <w:highlight w:val="none"/>
        </w:rPr>
      </w:pPr>
      <w:r>
        <w:rPr>
          <w:rFonts w:ascii="宋体" w:hAnsi="宋体" w:eastAsia="宋体"/>
          <w:color w:val="000000"/>
          <w:sz w:val="32"/>
          <w:szCs w:val="32"/>
          <w:highlight w:val="none"/>
        </w:rPr>
        <w:t xml:space="preserve">第三章  投标资料表</w:t>
      </w:r>
      <w:bookmarkEnd w:id="10"/>
      <w:r/>
      <w:bookmarkEnd w:id="11"/>
      <w:r/>
      <w:r/>
    </w:p>
    <w:p>
      <w:pPr>
        <w:pStyle w:val="952"/>
        <w:ind w:firstLine="600"/>
        <w:spacing w:line="520" w:lineRule="exact"/>
        <w:rPr>
          <w:rFonts w:ascii="宋体" w:hAnsi="宋体" w:eastAsia="宋体" w:cs="宋体"/>
          <w:color w:val="000000"/>
          <w:sz w:val="28"/>
          <w:szCs w:val="28"/>
          <w:highlight w:val="none"/>
        </w:rPr>
      </w:pPr>
      <w:r>
        <w:rPr>
          <w:rFonts w:ascii="宋体" w:hAnsi="宋体" w:eastAsia="宋体"/>
          <w:color w:val="000000"/>
          <w:sz w:val="28"/>
          <w:szCs w:val="28"/>
          <w:highlight w:val="none"/>
        </w:rPr>
        <w:t xml:space="preserve">该资料表的条款项号是与《投标人须知》的条款项号相对应的，若有增加的条款，是对《投标人须知》的补充、修改和完善，如果因此而造成矛盾</w:t>
      </w:r>
      <w:r>
        <w:rPr>
          <w:rFonts w:hint="eastAsia" w:ascii="宋体" w:hAnsi="宋体" w:eastAsia="宋体" w:cs="宋体"/>
          <w:color w:val="000000"/>
          <w:sz w:val="28"/>
          <w:szCs w:val="28"/>
          <w:highlight w:val="none"/>
        </w:rPr>
        <w:t xml:space="preserve">时，应以本资料表为准。</w:t>
      </w:r>
      <w:r/>
    </w:p>
    <w:p>
      <w:pPr>
        <w:pStyle w:val="697"/>
        <w:spacing w:line="240" w:lineRule="exact"/>
        <w:rPr>
          <w:rFonts w:ascii="宋体" w:hAnsi="宋体" w:cs="宋体"/>
          <w:color w:val="000000"/>
          <w:sz w:val="28"/>
          <w:szCs w:val="28"/>
          <w:highlight w:val="none"/>
        </w:rPr>
      </w:pPr>
      <w:r>
        <w:rPr>
          <w:rFonts w:ascii="宋体" w:hAnsi="宋体" w:cs="宋体"/>
          <w:color w:val="000000"/>
          <w:sz w:val="28"/>
          <w:szCs w:val="28"/>
          <w:highlight w:val="none"/>
        </w:rPr>
      </w:r>
      <w:r/>
    </w:p>
    <w:tbl>
      <w:tblPr>
        <w:tblStyle w:val="695"/>
        <w:tblW w:w="9281"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18"/>
        <w:gridCol w:w="7163"/>
      </w:tblGrid>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本项目采购人：徐州市第一人民医院</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采购人确定的采购项目属性：</w:t>
            </w:r>
            <w:r>
              <w:rPr>
                <w:rFonts w:hint="eastAsia" w:ascii="宋体" w:hAnsi="宋体" w:cs="宋体"/>
                <w:color w:val="000000"/>
                <w:sz w:val="28"/>
                <w:szCs w:val="28"/>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本项目采购代理机构：苏美达国际技术贸易有限公司</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一、投标人的资格条件：</w:t>
            </w:r>
            <w:r/>
          </w:p>
          <w:p>
            <w:pPr>
              <w:pStyle w:val="698"/>
              <w:rPr>
                <w:rFonts w:ascii="宋体" w:hAnsi="宋体" w:cs="宋体"/>
                <w:color w:val="000000"/>
                <w:sz w:val="28"/>
                <w:szCs w:val="28"/>
                <w:highlight w:val="none"/>
              </w:rPr>
            </w:pPr>
            <w:r>
              <w:rPr>
                <w:rFonts w:hint="eastAsia" w:ascii="宋体" w:hAnsi="宋体" w:cs="宋体"/>
                <w:color w:val="000000"/>
                <w:sz w:val="28"/>
                <w:szCs w:val="28"/>
                <w:highlight w:val="none"/>
              </w:rPr>
              <w:t xml:space="preserve">1.满足《中华人民共和国政府采购法》第二十二条规定。</w:t>
            </w:r>
            <w:r/>
          </w:p>
          <w:p>
            <w:pPr>
              <w:spacing w:line="520" w:lineRule="exact"/>
              <w:shd w:val="clear" w:color="auto" w:fill="ffffff"/>
              <w:rPr>
                <w:rFonts w:ascii="宋体" w:hAnsi="宋体" w:cs="宋体"/>
                <w:sz w:val="28"/>
                <w:szCs w:val="28"/>
                <w:highlight w:val="none"/>
              </w:rPr>
            </w:pPr>
            <w:r>
              <w:rPr>
                <w:rFonts w:hint="eastAsia" w:ascii="宋体" w:hAnsi="宋体" w:cs="宋体"/>
                <w:color w:val="000000"/>
                <w:sz w:val="28"/>
                <w:szCs w:val="28"/>
                <w:highlight w:val="none"/>
              </w:rPr>
              <w:t xml:space="preserve">2.落实政府采购政策需满足的资格要求：</w:t>
            </w:r>
            <w:r>
              <w:rPr>
                <w:rFonts w:hint="eastAsia" w:ascii="宋体" w:hAnsi="宋体" w:cs="宋体"/>
                <w:sz w:val="28"/>
                <w:szCs w:val="28"/>
                <w:highlight w:val="none"/>
              </w:rPr>
              <w:t xml:space="preserve">本项目专门面向中小微企业</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投标人应为中小微企业、监狱企业、残疾人福利性单位。</w:t>
            </w:r>
            <w:r/>
          </w:p>
          <w:p>
            <w:pPr>
              <w:pStyle w:val="698"/>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3.本项目的特定资格要求：</w:t>
            </w:r>
            <w:r>
              <w:rPr>
                <w:rFonts w:hint="eastAsia" w:ascii="宋体" w:hAnsi="宋体" w:cs="宋体"/>
                <w:color w:val="000000"/>
                <w:sz w:val="28"/>
                <w:szCs w:val="28"/>
                <w:highlight w:val="none"/>
                <w:lang w:val="en-US" w:eastAsia="zh-CN"/>
              </w:rPr>
              <w:t xml:space="preserve">无</w:t>
            </w:r>
            <w:r/>
          </w:p>
          <w:p>
            <w:pPr>
              <w:pStyle w:val="69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4.拒绝下述供应商参加本次采购活动：</w:t>
            </w:r>
            <w:r/>
          </w:p>
          <w:p>
            <w:pPr>
              <w:pStyle w:val="698"/>
              <w:rPr>
                <w:rFonts w:ascii="宋体" w:hAnsi="宋体" w:cs="宋体"/>
                <w:color w:val="000000"/>
                <w:sz w:val="28"/>
                <w:szCs w:val="28"/>
                <w:highlight w:val="none"/>
              </w:rPr>
            </w:pPr>
            <w:r>
              <w:rPr>
                <w:rFonts w:hint="eastAsia" w:ascii="宋体" w:hAnsi="宋体" w:cs="宋体"/>
                <w:color w:val="000000"/>
                <w:sz w:val="28"/>
                <w:szCs w:val="28"/>
                <w:highlight w:val="none"/>
              </w:rPr>
              <w:t xml:space="preserve">（1）供应商单位负责人为同一人或者存在直接控股、管理关系的不同供应商，不得参加同一合同项下的政府采购活动；</w:t>
            </w:r>
            <w:r/>
          </w:p>
          <w:p>
            <w:pPr>
              <w:pStyle w:val="698"/>
              <w:rPr>
                <w:rFonts w:ascii="宋体" w:hAnsi="宋体" w:cs="宋体"/>
                <w:color w:val="000000"/>
                <w:sz w:val="28"/>
                <w:szCs w:val="28"/>
                <w:highlight w:val="none"/>
              </w:rPr>
            </w:pPr>
            <w:r>
              <w:rPr>
                <w:rFonts w:hint="eastAsia" w:ascii="宋体" w:hAnsi="宋体" w:cs="宋体"/>
                <w:color w:val="000000"/>
                <w:sz w:val="28"/>
                <w:szCs w:val="28"/>
                <w:highlight w:val="none"/>
              </w:rPr>
              <w:t xml:space="preserve">（2）凡为采购项目提供整体设计、规范编制或者项目管理、监理、检测等服务的供应商，不得再参加本项目的采购活动；</w:t>
            </w:r>
            <w:r/>
          </w:p>
          <w:p>
            <w:pPr>
              <w:pStyle w:val="698"/>
              <w:jc w:val="left"/>
              <w:rPr>
                <w:rFonts w:ascii="宋体" w:hAnsi="宋体" w:cs="宋体"/>
                <w:color w:val="000000"/>
                <w:sz w:val="28"/>
                <w:szCs w:val="28"/>
                <w:highlight w:val="none"/>
              </w:rPr>
            </w:pPr>
            <w:r>
              <w:rPr>
                <w:rFonts w:hint="eastAsia" w:ascii="宋体" w:hAnsi="宋体" w:cs="宋体"/>
                <w:color w:val="000000"/>
                <w:sz w:val="28"/>
                <w:szCs w:val="28"/>
                <w:highlight w:val="none"/>
              </w:rPr>
              <w:t xml:space="preserve">（3）被“信用中国”网站(www.creditchina.gov.cn)、中国政府采购网(www.ccgp.gov.cn) 、“信用江苏”网站（http://credit.jiangsu.gov.cn）</w:t>
            </w:r>
            <w:r>
              <w:rPr>
                <w:rFonts w:hint="eastAsia" w:ascii="宋体" w:hAnsi="宋体" w:cs="宋体"/>
                <w:color w:val="000000"/>
                <w:sz w:val="28"/>
                <w:szCs w:val="28"/>
                <w:highlight w:val="none"/>
                <w:lang w:eastAsia="zh-CN"/>
              </w:rPr>
              <w:t xml:space="preserve">、</w:t>
            </w:r>
            <w:r>
              <w:rPr>
                <w:rFonts w:hint="eastAsia" w:ascii="宋体" w:hAnsi="宋体" w:cs="宋体"/>
                <w:sz w:val="28"/>
                <w:szCs w:val="28"/>
                <w:highlight w:val="none"/>
                <w:lang w:eastAsia="zh-CN"/>
              </w:rPr>
              <w:t xml:space="preserve">“信用徐州”</w:t>
            </w:r>
            <w:r>
              <w:rPr>
                <w:rFonts w:hint="eastAsia" w:ascii="宋体" w:hAnsi="宋体" w:cs="宋体"/>
                <w:sz w:val="28"/>
                <w:szCs w:val="28"/>
                <w:highlight w:val="none"/>
              </w:rPr>
              <w:t xml:space="preserve">网站</w:t>
            </w:r>
            <w:r>
              <w:rPr>
                <w:rFonts w:hint="eastAsia" w:ascii="宋体" w:hAnsi="宋体" w:cs="宋体"/>
                <w:sz w:val="28"/>
                <w:szCs w:val="28"/>
                <w:highlight w:val="none"/>
                <w:lang w:eastAsia="zh-CN"/>
              </w:rPr>
              <w:t xml:space="preserve">（www.xuzhoucredit.gov.cn/）</w:t>
            </w:r>
            <w:r>
              <w:rPr>
                <w:rFonts w:hint="eastAsia" w:ascii="宋体" w:hAnsi="宋体" w:cs="宋体"/>
                <w:color w:val="000000"/>
                <w:sz w:val="28"/>
                <w:szCs w:val="28"/>
                <w:highlight w:val="none"/>
              </w:rPr>
              <w:t xml:space="preserve">列入失信被执行人、重大税收违法案件当事人名单、政府采购严重违法失信行为记录名单的供应商。</w:t>
            </w:r>
            <w:r/>
          </w:p>
          <w:p>
            <w:pPr>
              <w:pStyle w:val="69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5.本项目不接受联合体投标。</w:t>
            </w:r>
            <w:r/>
          </w:p>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二、由采购人查询信用信息。</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查询渠道包括：</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1.“信用中国”网（</w:t>
            </w:r>
            <w:r>
              <w:rPr>
                <w:sz w:val="28"/>
                <w:szCs w:val="28"/>
                <w:highlight w:val="none"/>
              </w:rPr>
              <w:fldChar w:fldCharType="begin"/>
            </w:r>
            <w:r>
              <w:rPr>
                <w:sz w:val="28"/>
                <w:szCs w:val="28"/>
                <w:highlight w:val="none"/>
              </w:rPr>
              <w:instrText xml:space="preserve"> HYPERLINK "http://www.creditchina.gov.cn/" </w:instrText>
            </w:r>
            <w:r>
              <w:rPr>
                <w:sz w:val="28"/>
                <w:szCs w:val="28"/>
                <w:highlight w:val="none"/>
              </w:rPr>
              <w:fldChar w:fldCharType="separate"/>
            </w:r>
            <w:r>
              <w:rPr>
                <w:rFonts w:hint="eastAsia" w:ascii="宋体" w:hAnsi="宋体" w:cs="宋体"/>
                <w:color w:val="000000"/>
                <w:sz w:val="28"/>
                <w:szCs w:val="28"/>
                <w:highlight w:val="none"/>
              </w:rPr>
              <w:t xml:space="preserve">www.creditchina.gov.cn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2.“中国政府采购”网（</w:t>
            </w:r>
            <w:r>
              <w:rPr>
                <w:sz w:val="28"/>
                <w:szCs w:val="28"/>
                <w:highlight w:val="none"/>
              </w:rPr>
              <w:fldChar w:fldCharType="begin"/>
            </w:r>
            <w:r>
              <w:rPr>
                <w:sz w:val="28"/>
                <w:szCs w:val="28"/>
                <w:highlight w:val="none"/>
              </w:rPr>
              <w:instrText xml:space="preserve"> HYPERLINK "http://www.ccgp.gov.cn/" </w:instrText>
            </w:r>
            <w:r>
              <w:rPr>
                <w:sz w:val="28"/>
                <w:szCs w:val="28"/>
                <w:highlight w:val="none"/>
              </w:rPr>
              <w:fldChar w:fldCharType="separate"/>
            </w:r>
            <w:r>
              <w:rPr>
                <w:rFonts w:hint="eastAsia" w:ascii="宋体" w:hAnsi="宋体" w:cs="宋体"/>
                <w:color w:val="000000"/>
                <w:sz w:val="28"/>
                <w:szCs w:val="28"/>
                <w:highlight w:val="none"/>
              </w:rPr>
              <w:t xml:space="preserve">www.ccgp.gov.cn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697"/>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3.“信用江苏”网（http://credit.jiangsu.gov.cn/）；</w:t>
            </w:r>
            <w:r/>
          </w:p>
          <w:p>
            <w:pPr>
              <w:pStyle w:val="69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“信用徐州”网（www.xuzhoucredit.gov.cn/）；</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4.截止时点（查询环节）：开标后资格审查结束前；</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5.信用信息查询记录和证据留存的具体方式：网页截屏打印，与其他采购文件一并保存；</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招标代理服务费由中标人支付，标准不高于《招标代理服务收费标准》（见附件）</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本项目预算包含招标代理服务费，各投标供应商应将招标代理服务费自行考虑包含在投标报价中，本项费用无需在投标报价表中单列。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tabs>
                <w:tab w:val="left" w:pos="5760"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(十二)1</w:t>
            </w:r>
            <w:r/>
          </w:p>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线上投标文件编制要求：</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请按照以下要求（包括但不限于以下要求）制作：</w:t>
            </w:r>
            <w:r/>
          </w:p>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一、基本目录</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1.《开标一览表》（加盖电子签章，政府采购客户端工具输入报价自动生成）；</w:t>
            </w:r>
            <w:r>
              <w:rPr>
                <w:rFonts w:hint="eastAsia" w:ascii="宋体" w:hAnsi="宋体" w:cs="宋体"/>
                <w:b/>
                <w:bCs/>
                <w:color w:val="000000"/>
                <w:sz w:val="28"/>
                <w:szCs w:val="28"/>
                <w:highlight w:val="none"/>
              </w:rPr>
              <w:t xml:space="preserve">（必须提供，否则投标无效）</w:t>
            </w:r>
            <w:r/>
          </w:p>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二、资格条件（1-</w:t>
            </w:r>
            <w:r>
              <w:rPr>
                <w:rFonts w:hint="eastAsia" w:ascii="宋体" w:hAnsi="宋体" w:cs="宋体"/>
                <w:b/>
                <w:bCs/>
                <w:color w:val="000000"/>
                <w:sz w:val="28"/>
                <w:szCs w:val="28"/>
                <w:highlight w:val="none"/>
                <w:lang w:val="en-US" w:eastAsia="zh-CN"/>
              </w:rPr>
              <w:t xml:space="preserve">10</w:t>
            </w:r>
            <w:r>
              <w:rPr>
                <w:rFonts w:hint="eastAsia" w:ascii="宋体" w:hAnsi="宋体" w:cs="宋体"/>
                <w:b/>
                <w:bCs/>
                <w:color w:val="000000"/>
                <w:sz w:val="28"/>
                <w:szCs w:val="28"/>
                <w:highlight w:val="none"/>
              </w:rPr>
              <w:t xml:space="preserve">必须提供，否则投标无效）</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1.投标人合法有效的法人的营业执照扫描件，或事业单位法人证书扫描件，或民办非企业单位登记证书扫描件；</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2.财务状况报告（即提供投标人本项目开标时间前6个月内任何1个月的资产负债表、利润表各扫描件一份或提供投标人近两年度任一年度的财务报告或开标时间前6个月内银行出具的资信证明扫描件）；</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4.具备履行合同所必需的设备和专业技术能力的证明材料</w:t>
            </w:r>
            <w:r>
              <w:rPr>
                <w:rFonts w:hint="eastAsia" w:ascii="宋体" w:hAnsi="宋体" w:cs="宋体"/>
                <w:color w:val="000000"/>
                <w:sz w:val="28"/>
                <w:szCs w:val="28"/>
                <w:highlight w:val="none"/>
                <w:lang w:val="en-US" w:eastAsia="zh-CN"/>
              </w:rPr>
              <w:t xml:space="preserve">或者</w:t>
            </w:r>
            <w:r>
              <w:rPr>
                <w:rFonts w:hint="eastAsia" w:ascii="宋体" w:hAnsi="宋体" w:cs="宋体"/>
                <w:color w:val="000000"/>
                <w:sz w:val="28"/>
                <w:szCs w:val="28"/>
                <w:highlight w:val="none"/>
              </w:rPr>
              <w:t xml:space="preserve">提供承诺书；</w:t>
            </w:r>
            <w:r/>
          </w:p>
          <w:p>
            <w:pPr>
              <w:pStyle w:val="697"/>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pStyle w:val="697"/>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6.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rPr>
                <w:rFonts w:hint="eastAsia" w:ascii="宋体" w:hAnsi="宋体" w:cs="宋体"/>
                <w:color w:val="000000"/>
                <w:sz w:val="28"/>
                <w:szCs w:val="28"/>
                <w:highlight w:val="none"/>
                <w:lang w:eastAsia="zh-CN"/>
              </w:rPr>
              <w:t xml:space="preserve">；</w:t>
            </w:r>
            <w:r/>
          </w:p>
          <w:p>
            <w:pPr>
              <w:pStyle w:val="698"/>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698"/>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p>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三、符合条件（必须提供，否则投标无效）</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(一)报价</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1.《开标一览表》（加盖电子签章，格式见招标文件第七章《投标文件相关格式》。）</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2.《分项价格表》（加盖电子签章，格式见招标文件第七章《投标文件相关格式》。）</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（二）商务资信</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1.《投标函》（加盖电子签章，格式见招标文件第七章《投标文件相关格式》。）</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2.《法定代表人授权委托书》及法人和授权代表身份证（提供原件的扫描件，格式见招标文件第七章《投标文件相关格式》）；</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（三）技术响应</w:t>
            </w:r>
            <w:r/>
          </w:p>
          <w:p>
            <w:pPr>
              <w:pStyle w:val="697"/>
              <w:spacing w:line="400" w:lineRule="exact"/>
              <w:rPr>
                <w:rFonts w:ascii="宋体" w:hAnsi="宋体" w:cs="宋体"/>
                <w:b/>
                <w:bCs/>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采购需求</w:t>
            </w:r>
            <w:r>
              <w:rPr>
                <w:rFonts w:hint="eastAsia" w:ascii="宋体" w:hAnsi="宋体" w:cs="宋体"/>
                <w:color w:val="000000"/>
                <w:sz w:val="28"/>
                <w:szCs w:val="28"/>
                <w:highlight w:val="none"/>
              </w:rPr>
              <w:t xml:space="preserve">偏离响应表》（加盖电子签章，格式见招标文件第七章《投标文件相关格式》）</w:t>
            </w:r>
            <w:r/>
          </w:p>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四、综合评审评分项</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（一）技术部分</w:t>
            </w:r>
            <w:r/>
          </w:p>
          <w:p>
            <w:pPr>
              <w:pStyle w:val="69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.服务方案（格式自拟，要求见招标文件第六章《采购需求》）</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（二）商务部分</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1.投标人业绩（要求见招标文件第四章《评标标准》）；</w:t>
            </w:r>
            <w:r/>
          </w:p>
          <w:p>
            <w:pPr>
              <w:pStyle w:val="697"/>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b/>
                <w:bCs/>
                <w:color w:val="000000"/>
                <w:sz w:val="28"/>
                <w:szCs w:val="28"/>
                <w:highlight w:val="none"/>
              </w:rPr>
              <w:t xml:space="preserve">五、价格折扣文件格式</w:t>
            </w:r>
            <w:r>
              <w:rPr>
                <w:rFonts w:hint="eastAsia" w:ascii="宋体" w:hAnsi="宋体" w:cs="宋体"/>
                <w:b/>
                <w:bCs/>
                <w:color w:val="000000"/>
                <w:sz w:val="28"/>
                <w:szCs w:val="28"/>
                <w:highlight w:val="none"/>
                <w:lang w:val="en-US" w:eastAsia="zh-CN"/>
              </w:rPr>
              <w:t xml:space="preserve"> </w:t>
            </w:r>
            <w:r/>
          </w:p>
          <w:p>
            <w:pPr>
              <w:pStyle w:val="697"/>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（一）企业报价折扣证明：</w:t>
            </w:r>
            <w:r>
              <w:rPr>
                <w:rFonts w:hint="eastAsia" w:ascii="宋体" w:hAnsi="宋体" w:cs="宋体"/>
                <w:b/>
                <w:color w:val="000000"/>
                <w:sz w:val="28"/>
                <w:szCs w:val="28"/>
                <w:highlight w:val="none"/>
              </w:rPr>
              <w:t xml:space="preserve">无。</w:t>
            </w:r>
            <w:r/>
          </w:p>
          <w:p>
            <w:pPr>
              <w:pStyle w:val="697"/>
              <w:numPr>
                <w:ilvl w:val="0"/>
                <w:numId w:val="1"/>
              </w:numP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投标人应对以上文件的合法性、真实性负责。</w:t>
            </w:r>
            <w:r/>
          </w:p>
          <w:p>
            <w:pPr>
              <w:pStyle w:val="697"/>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widowControl/>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商务条件见：</w:t>
            </w:r>
            <w:r>
              <w:rPr>
                <w:rFonts w:hint="eastAsia" w:ascii="宋体" w:hAnsi="宋体" w:cs="宋体"/>
                <w:color w:val="000000"/>
                <w:sz w:val="28"/>
                <w:szCs w:val="28"/>
                <w:highlight w:val="none"/>
                <w:lang w:val="en-US" w:eastAsia="zh-CN"/>
              </w:rPr>
              <w:t xml:space="preserve"> </w:t>
            </w:r>
            <w:r/>
          </w:p>
          <w:p>
            <w:pPr>
              <w:pStyle w:val="697"/>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p>
          <w:p>
            <w:pPr>
              <w:pStyle w:val="697"/>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本项目不接受超过</w:t>
            </w:r>
            <w:r>
              <w:rPr>
                <w:rFonts w:hint="eastAsia" w:ascii="宋体" w:hAnsi="宋体" w:cs="宋体"/>
                <w:bCs/>
                <w:color w:val="000000"/>
                <w:sz w:val="28"/>
                <w:szCs w:val="28"/>
                <w:highlight w:val="none"/>
                <w:lang w:val="en-US" w:eastAsia="zh-CN"/>
              </w:rPr>
              <w:t xml:space="preserve">432万元人民币</w:t>
            </w:r>
            <w:r>
              <w:rPr>
                <w:rFonts w:hint="eastAsia" w:ascii="宋体" w:hAnsi="宋体" w:cs="宋体"/>
                <w:bCs/>
                <w:color w:val="000000"/>
                <w:sz w:val="28"/>
                <w:szCs w:val="28"/>
                <w:highlight w:val="none"/>
              </w:rPr>
              <w:t xml:space="preserve">（采购项目预算金额</w:t>
            </w:r>
            <w:r>
              <w:rPr>
                <w:rFonts w:hint="eastAsia" w:ascii="宋体" w:hAnsi="宋体" w:cs="宋体"/>
                <w:bCs/>
                <w:color w:val="000000"/>
                <w:sz w:val="28"/>
                <w:szCs w:val="28"/>
                <w:highlight w:val="none"/>
                <w:lang w:val="en-US" w:eastAsia="zh-CN"/>
              </w:rPr>
              <w:t xml:space="preserve">/最高限价</w:t>
            </w:r>
            <w:r>
              <w:rPr>
                <w:rFonts w:hint="eastAsia" w:ascii="宋体" w:hAnsi="宋体" w:cs="宋体"/>
                <w:bCs/>
                <w:color w:val="000000"/>
                <w:sz w:val="28"/>
                <w:szCs w:val="28"/>
                <w:highlight w:val="none"/>
              </w:rPr>
              <w:t xml:space="preserve">）的投标报价。</w:t>
            </w:r>
            <w:r>
              <w:rPr>
                <w:rFonts w:hint="eastAsia" w:ascii="宋体" w:hAnsi="宋体" w:cs="宋体"/>
                <w:color w:val="000000"/>
                <w:sz w:val="28"/>
                <w:szCs w:val="28"/>
                <w:highlight w:val="none"/>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线上要求：</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特别说明：通过“苏采云”系统提交政府采购客户端工具导出加密的投标文件（后缀名为zip）。投标文件不得超过</w:t>
            </w: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50M！</w:t>
            </w:r>
            <w:r/>
          </w:p>
          <w:p>
            <w:pPr>
              <w:pStyle w:val="697"/>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投标文投标文件的提交： </w:t>
            </w:r>
            <w:r/>
          </w:p>
          <w:p>
            <w:pPr>
              <w:pStyle w:val="697"/>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1.投标文件提交时间：</w:t>
            </w:r>
            <w:r>
              <w:rPr>
                <w:rFonts w:hint="eastAsia" w:ascii="宋体" w:hAnsi="宋体" w:cs="宋体"/>
                <w:color w:val="000000"/>
                <w:sz w:val="28"/>
                <w:szCs w:val="28"/>
                <w:highlight w:val="none"/>
                <w:lang w:eastAsia="zh-CN"/>
              </w:rPr>
              <w:t xml:space="preserve">2026年10月28日北京时间9:30</w:t>
            </w:r>
            <w:r>
              <w:rPr>
                <w:rFonts w:hint="eastAsia" w:ascii="宋体" w:hAnsi="宋体" w:cs="宋体"/>
                <w:color w:val="000000"/>
                <w:sz w:val="28"/>
                <w:szCs w:val="28"/>
                <w:highlight w:val="none"/>
              </w:rPr>
              <w:t xml:space="preserve">。</w:t>
            </w:r>
            <w:r/>
          </w:p>
          <w:p>
            <w:pPr>
              <w:pStyle w:val="697"/>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2.投标截止时间：</w:t>
            </w:r>
            <w:r>
              <w:rPr>
                <w:rFonts w:hint="eastAsia" w:ascii="宋体" w:hAnsi="宋体" w:cs="宋体"/>
                <w:color w:val="000000"/>
                <w:sz w:val="28"/>
                <w:szCs w:val="28"/>
                <w:highlight w:val="none"/>
                <w:lang w:eastAsia="zh-CN"/>
              </w:rPr>
              <w:t xml:space="preserve">2026年10月28日北京时间9:30</w:t>
            </w:r>
            <w:r>
              <w:rPr>
                <w:rFonts w:hint="eastAsia" w:ascii="宋体" w:hAnsi="宋体" w:cs="宋体"/>
                <w:color w:val="000000"/>
                <w:sz w:val="28"/>
                <w:szCs w:val="28"/>
                <w:highlight w:val="none"/>
              </w:rPr>
              <w:t xml:space="preserve">。</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p>
          <w:p>
            <w:pPr>
              <w:pStyle w:val="69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1.开标时间：</w:t>
            </w:r>
            <w:r>
              <w:rPr>
                <w:rFonts w:hint="eastAsia" w:ascii="宋体" w:hAnsi="宋体" w:cs="宋体"/>
                <w:color w:val="000000"/>
                <w:sz w:val="28"/>
                <w:szCs w:val="28"/>
                <w:highlight w:val="none"/>
                <w:lang w:eastAsia="zh-CN"/>
              </w:rPr>
              <w:t xml:space="preserve">2026年10月28日北京时间9:30</w:t>
            </w:r>
            <w:r/>
          </w:p>
          <w:p>
            <w:pPr>
              <w:pStyle w:val="69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p>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p>
          <w:p>
            <w:pPr>
              <w:pStyle w:val="697"/>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二、采用综合评分法的，按评审后得分由高到低顺序排列。得分相同的，按投标报价由低到高顺序排列。得分且投标报价相同的，按技术参数得分顺序排列。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（二十九）</w:t>
            </w:r>
            <w:r/>
          </w:p>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采购人与中标、中标人应当在中标、成交通知书发出之日起30日内，按照采购文件确定的事项签订政府采购合同。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ind w:firstLine="28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履约保证金：本项目不收取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供应商在法定质疑期内一次性提出针对同一采购程序环节的质疑。</w:t>
            </w:r>
            <w:r/>
          </w:p>
          <w:p>
            <w:pPr>
              <w:pStyle w:val="69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朱志云</w:t>
            </w:r>
            <w:r>
              <w:rPr>
                <w:rFonts w:hint="eastAsia" w:ascii="宋体" w:hAnsi="宋体" w:cs="宋体"/>
                <w:color w:val="000000"/>
                <w:sz w:val="28"/>
                <w:szCs w:val="28"/>
                <w:highlight w:val="none"/>
              </w:rPr>
              <w:t xml:space="preserve">、丁慧慧；联系电话：</w:t>
            </w:r>
            <w:r>
              <w:rPr>
                <w:rFonts w:hint="eastAsia" w:ascii="宋体" w:hAnsi="宋体" w:cs="宋体"/>
                <w:color w:val="000000"/>
                <w:sz w:val="28"/>
                <w:szCs w:val="28"/>
                <w:highlight w:val="none"/>
                <w:lang w:eastAsia="zh-CN"/>
              </w:rPr>
              <w:t xml:space="preserve">025-84531057</w:t>
            </w:r>
            <w:r>
              <w:rPr>
                <w:rFonts w:hint="eastAsia" w:ascii="宋体" w:hAnsi="宋体" w:cs="宋体"/>
                <w:color w:val="000000"/>
                <w:sz w:val="28"/>
                <w:szCs w:val="28"/>
                <w:highlight w:val="none"/>
              </w:rPr>
              <w:t xml:space="preserve">；</w:t>
            </w:r>
            <w:r/>
          </w:p>
          <w:p>
            <w:pPr>
              <w:pStyle w:val="697"/>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收件</w:t>
            </w:r>
            <w:r>
              <w:rPr>
                <w:rFonts w:hint="eastAsia" w:ascii="宋体" w:hAnsi="宋体" w:cs="宋体"/>
                <w:color w:val="000000"/>
                <w:sz w:val="28"/>
                <w:szCs w:val="28"/>
                <w:highlight w:val="none"/>
              </w:rPr>
              <w:t xml:space="preserve">地址：</w:t>
            </w:r>
            <w:r>
              <w:rPr>
                <w:rFonts w:hint="eastAsia" w:ascii="宋体" w:hAnsi="宋体" w:cs="宋体"/>
                <w:color w:val="000000"/>
                <w:sz w:val="28"/>
                <w:szCs w:val="28"/>
                <w:highlight w:val="none"/>
                <w:lang w:val="en-US" w:eastAsia="zh-CN"/>
              </w:rPr>
              <w:t xml:space="preserve">南京市长江路198号苏美达大厦9楼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697"/>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697"/>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中标供应商须在领取中标通知书之前向代理机构提供纸质标书文件一式两份，正本一份，副本一份。</w:t>
            </w:r>
            <w:r/>
          </w:p>
        </w:tc>
      </w:tr>
    </w:tbl>
    <w:p>
      <w:pPr>
        <w:pStyle w:val="697"/>
        <w:ind w:firstLine="600"/>
        <w:spacing w:line="240" w:lineRule="exact"/>
        <w:widowControl/>
        <w:rPr>
          <w:rFonts w:ascii="宋体" w:hAnsi="宋体" w:cs="宋体"/>
          <w:color w:val="000000"/>
          <w:sz w:val="28"/>
          <w:szCs w:val="28"/>
          <w:highlight w:val="none"/>
        </w:rPr>
      </w:pPr>
      <w:r/>
      <w:bookmarkStart w:id="12" w:name="_Toc522790133"/>
      <w:r/>
      <w:r/>
    </w:p>
    <w:p>
      <w:pPr>
        <w:pStyle w:val="697"/>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697"/>
        <w:ind w:firstLine="600"/>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697"/>
        <w:spacing w:line="360" w:lineRule="auto"/>
        <w:widowControl/>
        <w:rPr>
          <w:rFonts w:ascii="宋体" w:hAnsi="宋体"/>
          <w:b/>
          <w:color w:val="000000"/>
          <w:sz w:val="28"/>
          <w:szCs w:val="28"/>
          <w:highlight w:val="none"/>
        </w:rPr>
      </w:pPr>
      <w:r>
        <w:rPr>
          <w:rFonts w:hint="eastAsia" w:ascii="宋体" w:hAnsi="宋体" w:cs="宋体"/>
          <w:color w:val="000000"/>
          <w:sz w:val="28"/>
          <w:szCs w:val="28"/>
          <w:highlight w:val="none"/>
        </w:rPr>
        <w:br w:type="page" w:clear="all"/>
      </w:r>
      <w:bookmarkStart w:id="13" w:name="_Toc523404698"/>
      <w:r>
        <w:rPr>
          <w:rFonts w:ascii="宋体" w:hAnsi="宋体"/>
          <w:color w:val="000000"/>
          <w:sz w:val="28"/>
          <w:szCs w:val="28"/>
          <w:highlight w:val="none"/>
        </w:rPr>
        <w:t xml:space="preserve">本章附件：</w:t>
      </w:r>
      <w:r>
        <w:rPr>
          <w:rFonts w:ascii="宋体" w:hAnsi="宋体"/>
          <w:b/>
          <w:color w:val="000000"/>
          <w:sz w:val="28"/>
          <w:szCs w:val="28"/>
          <w:highlight w:val="none"/>
        </w:rPr>
        <w:t xml:space="preserve">招标代理服务收费标准</w:t>
      </w:r>
      <w:r/>
    </w:p>
    <w:tbl>
      <w:tblPr>
        <w:tblStyle w:val="695"/>
        <w:tblW w:w="0" w:type="auto"/>
        <w:tblCellSpacing w:w="0"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4"/>
        <w:gridCol w:w="3302"/>
      </w:tblGrid>
      <w:tr>
        <w:trPr>
          <w:tblCellSpacing w:w="0" w:type="dxa"/>
          <w:trHeight w:val="590"/>
        </w:trPr>
        <w:tc>
          <w:tcPr>
            <w:shd w:val="clear" w:color="auto" w:fill="auto"/>
            <w:tcW w:w="5214"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中标或者成交金额</w:t>
            </w:r>
            <w:r/>
          </w:p>
        </w:tc>
        <w:tc>
          <w:tcPr>
            <w:shd w:val="clear" w:color="auto" w:fill="auto"/>
            <w:tcW w:w="3302"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费率</w:t>
            </w:r>
            <w:r/>
          </w:p>
        </w:tc>
      </w:tr>
      <w:tr>
        <w:trPr>
          <w:tblCellSpacing w:w="0" w:type="dxa"/>
          <w:trHeight w:val="590"/>
        </w:trPr>
        <w:tc>
          <w:tcPr>
            <w:shd w:val="clear" w:color="auto" w:fill="auto"/>
            <w:tcW w:w="5214"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最低收费金额(每个委托项目)</w:t>
            </w:r>
            <w:r/>
          </w:p>
        </w:tc>
        <w:tc>
          <w:tcPr>
            <w:shd w:val="clear" w:color="auto" w:fill="auto"/>
            <w:tcW w:w="3302"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5000元</w:t>
            </w:r>
            <w:r/>
          </w:p>
        </w:tc>
      </w:tr>
      <w:tr>
        <w:trPr>
          <w:tblCellSpacing w:w="0" w:type="dxa"/>
          <w:trHeight w:val="590"/>
        </w:trPr>
        <w:tc>
          <w:tcPr>
            <w:shd w:val="clear" w:color="auto" w:fill="auto"/>
            <w:tcW w:w="5214"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50万元以下(含50万元)</w:t>
            </w:r>
            <w:r/>
          </w:p>
        </w:tc>
        <w:tc>
          <w:tcPr>
            <w:shd w:val="clear" w:color="auto" w:fill="auto"/>
            <w:tcW w:w="3302"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1.6%</w:t>
            </w:r>
            <w:r/>
          </w:p>
        </w:tc>
      </w:tr>
      <w:tr>
        <w:trPr>
          <w:tblCellSpacing w:w="0" w:type="dxa"/>
          <w:trHeight w:val="590"/>
        </w:trPr>
        <w:tc>
          <w:tcPr>
            <w:shd w:val="clear" w:color="auto" w:fill="auto"/>
            <w:tcW w:w="5214"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(含</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w:t>
            </w:r>
            <w:r/>
          </w:p>
        </w:tc>
        <w:tc>
          <w:tcPr>
            <w:shd w:val="clear" w:color="auto" w:fill="auto"/>
            <w:tcW w:w="3302"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1.5%</w:t>
            </w:r>
            <w:r/>
          </w:p>
        </w:tc>
      </w:tr>
      <w:tr>
        <w:trPr>
          <w:tblCellSpacing w:w="0" w:type="dxa"/>
          <w:trHeight w:val="590"/>
        </w:trPr>
        <w:tc>
          <w:tcPr>
            <w:shd w:val="clear" w:color="auto" w:fill="auto"/>
            <w:tcW w:w="5214"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400-1000万元(含1000万元)</w:t>
            </w:r>
            <w:r/>
          </w:p>
        </w:tc>
        <w:tc>
          <w:tcPr>
            <w:shd w:val="clear" w:color="auto" w:fill="auto"/>
            <w:tcW w:w="3302"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w:t>
            </w:r>
            <w:r/>
          </w:p>
        </w:tc>
      </w:tr>
      <w:tr>
        <w:trPr>
          <w:tblCellSpacing w:w="0" w:type="dxa"/>
          <w:trHeight w:val="590"/>
        </w:trPr>
        <w:tc>
          <w:tcPr>
            <w:shd w:val="clear" w:color="auto" w:fill="auto"/>
            <w:tcW w:w="5214"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1000-5000万元(含5000万元)</w:t>
            </w:r>
            <w:r/>
          </w:p>
        </w:tc>
        <w:tc>
          <w:tcPr>
            <w:shd w:val="clear" w:color="auto" w:fill="auto"/>
            <w:tcW w:w="3302"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0.8%</w:t>
            </w:r>
            <w:r/>
          </w:p>
        </w:tc>
      </w:tr>
      <w:tr>
        <w:trPr>
          <w:tblCellSpacing w:w="0" w:type="dxa"/>
          <w:trHeight w:val="590"/>
        </w:trPr>
        <w:tc>
          <w:tcPr>
            <w:shd w:val="clear" w:color="auto" w:fill="auto"/>
            <w:tcW w:w="5214"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5000-1亿元(含1亿元)</w:t>
            </w:r>
            <w:r/>
          </w:p>
        </w:tc>
        <w:tc>
          <w:tcPr>
            <w:shd w:val="clear" w:color="auto" w:fill="auto"/>
            <w:tcW w:w="3302"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0.25%</w:t>
            </w:r>
            <w:r/>
          </w:p>
        </w:tc>
      </w:tr>
      <w:tr>
        <w:trPr>
          <w:tblCellSpacing w:w="0" w:type="dxa"/>
          <w:trHeight w:val="590"/>
        </w:trPr>
        <w:tc>
          <w:tcPr>
            <w:shd w:val="clear" w:color="auto" w:fill="auto"/>
            <w:tcW w:w="5214"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1-10亿元(含10亿元)</w:t>
            </w:r>
            <w:r/>
          </w:p>
        </w:tc>
        <w:tc>
          <w:tcPr>
            <w:shd w:val="clear" w:color="auto" w:fill="auto"/>
            <w:tcW w:w="3302"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0.05%</w:t>
            </w:r>
            <w:r/>
          </w:p>
        </w:tc>
      </w:tr>
      <w:tr>
        <w:trPr>
          <w:tblCellSpacing w:w="0" w:type="dxa"/>
          <w:trHeight w:val="547"/>
        </w:trPr>
        <w:tc>
          <w:tcPr>
            <w:shd w:val="clear" w:color="auto" w:fill="auto"/>
            <w:tcW w:w="5214"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10-50亿元(含50亿元)</w:t>
            </w:r>
            <w:r/>
          </w:p>
        </w:tc>
        <w:tc>
          <w:tcPr>
            <w:shd w:val="clear" w:color="auto" w:fill="auto"/>
            <w:tcW w:w="3302"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0.01%</w:t>
            </w:r>
            <w:r/>
          </w:p>
        </w:tc>
      </w:tr>
      <w:tr>
        <w:trPr>
          <w:tblCellSpacing w:w="0" w:type="dxa"/>
          <w:trHeight w:val="547"/>
        </w:trPr>
        <w:tc>
          <w:tcPr>
            <w:shd w:val="clear" w:color="auto" w:fill="auto"/>
            <w:tcW w:w="5214"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50亿元以上</w:t>
            </w:r>
            <w:r/>
          </w:p>
        </w:tc>
        <w:tc>
          <w:tcPr>
            <w:shd w:val="clear" w:color="auto" w:fill="auto"/>
            <w:tcW w:w="3302" w:type="dxa"/>
            <w:vAlign w:val="center"/>
            <w:textDirection w:val="lrTb"/>
            <w:noWrap w:val="false"/>
          </w:tcPr>
          <w:p>
            <w:pPr>
              <w:pStyle w:val="722"/>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0.005%</w:t>
            </w:r>
            <w:r/>
          </w:p>
        </w:tc>
      </w:tr>
    </w:tbl>
    <w:p>
      <w:pPr>
        <w:pStyle w:val="698"/>
        <w:rPr>
          <w:sz w:val="28"/>
          <w:szCs w:val="28"/>
          <w:highlight w:val="none"/>
        </w:rPr>
      </w:pPr>
      <w:r>
        <w:rPr>
          <w:sz w:val="28"/>
          <w:szCs w:val="28"/>
          <w:highlight w:val="none"/>
        </w:rPr>
      </w:r>
      <w:r/>
    </w:p>
    <w:p>
      <w:pPr>
        <w:pStyle w:val="697"/>
        <w:jc w:val="left"/>
        <w:spacing w:line="360" w:lineRule="auto"/>
        <w:rPr>
          <w:rFonts w:hint="eastAsia" w:ascii="宋体" w:hAnsi="宋体"/>
          <w:sz w:val="28"/>
          <w:szCs w:val="28"/>
          <w:highlight w:val="none"/>
        </w:rPr>
      </w:pPr>
      <w:r>
        <w:rPr>
          <w:rFonts w:hint="eastAsia" w:ascii="宋体" w:hAnsi="宋体"/>
          <w:sz w:val="28"/>
          <w:szCs w:val="28"/>
          <w:highlight w:val="none"/>
        </w:rPr>
        <w:t xml:space="preserve">说明：</w:t>
      </w:r>
      <w:r/>
    </w:p>
    <w:p>
      <w:pPr>
        <w:pStyle w:val="697"/>
        <w:jc w:val="left"/>
        <w:spacing w:line="360" w:lineRule="auto"/>
        <w:rPr>
          <w:rFonts w:hint="eastAsia" w:ascii="宋体" w:hAnsi="宋体"/>
          <w:sz w:val="28"/>
          <w:szCs w:val="28"/>
          <w:highlight w:val="none"/>
        </w:rPr>
      </w:pPr>
      <w:r>
        <w:rPr>
          <w:rFonts w:hint="eastAsia" w:ascii="宋体" w:hAnsi="宋体"/>
          <w:sz w:val="28"/>
          <w:szCs w:val="28"/>
          <w:highlight w:val="none"/>
        </w:rPr>
        <w:t xml:space="preserve">1.按上表计算的收费为代理服务全过程的收费金额。各社会代理机构不再收取采购文件制作售卖费用。</w:t>
      </w:r>
      <w:r/>
    </w:p>
    <w:p>
      <w:pPr>
        <w:pStyle w:val="697"/>
        <w:jc w:val="left"/>
        <w:spacing w:line="360" w:lineRule="auto"/>
        <w:rPr>
          <w:rFonts w:hint="eastAsia" w:ascii="宋体" w:hAnsi="宋体"/>
          <w:sz w:val="28"/>
          <w:szCs w:val="28"/>
          <w:highlight w:val="none"/>
        </w:rPr>
      </w:pPr>
      <w:r>
        <w:rPr>
          <w:rFonts w:hint="eastAsia" w:ascii="宋体" w:hAnsi="宋体"/>
          <w:sz w:val="28"/>
          <w:szCs w:val="28"/>
          <w:highlight w:val="none"/>
        </w:rPr>
        <w:t xml:space="preserve">2.代理服务费按差额定率累进法计算。</w:t>
      </w:r>
      <w:r/>
    </w:p>
    <w:p>
      <w:pPr>
        <w:pStyle w:val="697"/>
        <w:jc w:val="left"/>
        <w:spacing w:line="360" w:lineRule="auto"/>
        <w:rPr>
          <w:rFonts w:hint="eastAsia" w:ascii="宋体" w:hAnsi="宋体"/>
          <w:sz w:val="28"/>
          <w:szCs w:val="28"/>
          <w:highlight w:val="none"/>
        </w:rPr>
      </w:pPr>
      <w:r>
        <w:rPr>
          <w:rFonts w:hint="eastAsia" w:ascii="宋体" w:hAnsi="宋体"/>
          <w:sz w:val="28"/>
          <w:szCs w:val="28"/>
          <w:highlight w:val="none"/>
        </w:rPr>
        <w:t xml:space="preserve">3.代理服务费基准金额(按差额定率累进法计算的)=中标金额(按差额定率累进法计算的)*费率(%)</w:t>
      </w:r>
      <w:r/>
    </w:p>
    <w:p>
      <w:pPr>
        <w:pStyle w:val="697"/>
        <w:jc w:val="left"/>
        <w:spacing w:line="360" w:lineRule="auto"/>
        <w:rPr>
          <w:rFonts w:hint="eastAsia" w:ascii="宋体" w:hAnsi="宋体"/>
          <w:sz w:val="28"/>
          <w:szCs w:val="28"/>
          <w:highlight w:val="none"/>
        </w:rPr>
      </w:pPr>
      <w:r>
        <w:rPr>
          <w:rFonts w:hint="eastAsia" w:ascii="宋体" w:hAnsi="宋体"/>
          <w:sz w:val="28"/>
          <w:szCs w:val="28"/>
          <w:highlight w:val="none"/>
        </w:rPr>
        <w:t xml:space="preserve">4.代理服务费应收取金额=代理服务费基准金额(按差额定率累进法计算的)的合计数。</w:t>
      </w:r>
      <w:r/>
    </w:p>
    <w:p>
      <w:pPr>
        <w:pStyle w:val="697"/>
        <w:jc w:val="left"/>
        <w:spacing w:line="360" w:lineRule="auto"/>
        <w:rPr>
          <w:rFonts w:hint="eastAsia" w:ascii="宋体" w:hAnsi="宋体"/>
          <w:sz w:val="28"/>
          <w:szCs w:val="28"/>
          <w:highlight w:val="none"/>
        </w:rPr>
      </w:pPr>
      <w:r>
        <w:rPr>
          <w:rFonts w:hint="eastAsia" w:ascii="宋体" w:hAnsi="宋体"/>
          <w:sz w:val="28"/>
          <w:szCs w:val="28"/>
          <w:highlight w:val="none"/>
        </w:rPr>
        <w:t xml:space="preserve">5.定点类等无金额或事先不能计算出价格总额的项目，按中标(成交)金额100万元计算。</w:t>
      </w:r>
      <w:r/>
    </w:p>
    <w:p>
      <w:pPr>
        <w:pStyle w:val="697"/>
        <w:jc w:val="left"/>
        <w:spacing w:line="360" w:lineRule="auto"/>
        <w:rPr>
          <w:rFonts w:hint="eastAsia" w:ascii="宋体" w:hAnsi="宋体"/>
          <w:sz w:val="28"/>
          <w:szCs w:val="28"/>
          <w:highlight w:val="none"/>
        </w:rPr>
      </w:pPr>
      <w:r>
        <w:rPr>
          <w:rFonts w:hint="eastAsia" w:ascii="宋体" w:hAnsi="宋体"/>
          <w:sz w:val="28"/>
          <w:szCs w:val="28"/>
          <w:highlight w:val="none"/>
        </w:rPr>
        <w:t xml:space="preserve">6.有分包(分标段)的按一个项目计算。</w:t>
      </w:r>
      <w:r/>
    </w:p>
    <w:p>
      <w:pPr>
        <w:pStyle w:val="697"/>
        <w:jc w:val="left"/>
        <w:spacing w:line="360" w:lineRule="auto"/>
        <w:rPr>
          <w:rFonts w:hint="eastAsia" w:ascii="宋体" w:hAnsi="宋体"/>
          <w:sz w:val="28"/>
          <w:szCs w:val="28"/>
          <w:highlight w:val="none"/>
        </w:rPr>
      </w:pPr>
      <w:r>
        <w:rPr>
          <w:rFonts w:hint="eastAsia" w:ascii="宋体" w:hAnsi="宋体"/>
          <w:sz w:val="28"/>
          <w:szCs w:val="28"/>
          <w:highlight w:val="none"/>
        </w:rPr>
        <w:t xml:space="preserve">7.以上价格为协会指导价，双方可根据项目难易程度和优质优价原则协商确定。</w:t>
      </w:r>
      <w:r/>
    </w:p>
    <w:p>
      <w:pPr>
        <w:pStyle w:val="697"/>
        <w:jc w:val="left"/>
        <w:spacing w:line="360" w:lineRule="auto"/>
        <w:rPr>
          <w:rFonts w:ascii="宋体" w:hAnsi="宋体"/>
          <w:sz w:val="28"/>
          <w:szCs w:val="28"/>
          <w:highlight w:val="none"/>
        </w:rPr>
      </w:pPr>
      <w:r>
        <w:rPr>
          <w:rFonts w:hint="eastAsia" w:ascii="宋体" w:hAnsi="宋体"/>
          <w:sz w:val="28"/>
          <w:szCs w:val="28"/>
          <w:highlight w:val="none"/>
          <w:lang w:val="en-US" w:eastAsia="zh-CN"/>
        </w:rPr>
        <w:t xml:space="preserve">8</w:t>
      </w:r>
      <w:r>
        <w:rPr>
          <w:rFonts w:hint="eastAsia" w:ascii="宋体" w:hAnsi="宋体"/>
          <w:sz w:val="28"/>
          <w:szCs w:val="28"/>
          <w:highlight w:val="none"/>
        </w:rPr>
        <w:t xml:space="preserve">.账户信息：</w:t>
      </w:r>
      <w:r/>
    </w:p>
    <w:p>
      <w:pPr>
        <w:pStyle w:val="697"/>
        <w:jc w:val="left"/>
        <w:spacing w:line="360" w:lineRule="auto"/>
        <w:rPr>
          <w:rFonts w:ascii="宋体" w:hAnsi="宋体"/>
          <w:sz w:val="28"/>
          <w:szCs w:val="28"/>
          <w:highlight w:val="none"/>
        </w:rPr>
      </w:pPr>
      <w:r>
        <w:rPr>
          <w:rFonts w:hint="eastAsia" w:ascii="宋体" w:hAnsi="宋体"/>
          <w:sz w:val="28"/>
          <w:szCs w:val="28"/>
          <w:highlight w:val="none"/>
        </w:rPr>
        <w:t xml:space="preserve">收款人：苏美达国际技术贸易有限公司 </w:t>
      </w:r>
      <w:r/>
    </w:p>
    <w:p>
      <w:pPr>
        <w:pStyle w:val="697"/>
        <w:jc w:val="left"/>
        <w:spacing w:line="360" w:lineRule="auto"/>
        <w:rPr>
          <w:rFonts w:ascii="宋体" w:hAnsi="宋体"/>
          <w:sz w:val="28"/>
          <w:szCs w:val="28"/>
          <w:highlight w:val="none"/>
        </w:rPr>
      </w:pPr>
      <w:r>
        <w:rPr>
          <w:rFonts w:hint="eastAsia" w:ascii="宋体" w:hAnsi="宋体"/>
          <w:sz w:val="28"/>
          <w:szCs w:val="28"/>
          <w:highlight w:val="none"/>
        </w:rPr>
        <w:t xml:space="preserve">开户银行：中信南京分行营业部 </w:t>
      </w:r>
      <w:r/>
    </w:p>
    <w:p>
      <w:pPr>
        <w:pStyle w:val="697"/>
        <w:jc w:val="left"/>
        <w:spacing w:line="360" w:lineRule="auto"/>
        <w:rPr>
          <w:rFonts w:ascii="宋体" w:hAnsi="宋体"/>
          <w:sz w:val="28"/>
          <w:szCs w:val="28"/>
          <w:highlight w:val="none"/>
        </w:rPr>
      </w:pPr>
      <w:r>
        <w:rPr>
          <w:rFonts w:hint="eastAsia" w:ascii="宋体" w:hAnsi="宋体"/>
          <w:sz w:val="28"/>
          <w:szCs w:val="28"/>
          <w:highlight w:val="none"/>
        </w:rPr>
        <w:t xml:space="preserve">账号：7321010182300013675</w:t>
      </w:r>
      <w:r/>
    </w:p>
    <w:p>
      <w:pPr>
        <w:pStyle w:val="697"/>
        <w:ind w:firstLine="675"/>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697"/>
        <w:numPr>
          <w:ilvl w:val="0"/>
          <w:numId w:val="2"/>
        </w:numPr>
        <w:ind w:firstLine="420"/>
        <w:jc w:val="center"/>
        <w:spacing w:line="360" w:lineRule="auto"/>
        <w:widowControl/>
        <w:rPr>
          <w:rFonts w:ascii="宋体" w:hAnsi="宋体"/>
          <w:b/>
          <w:bCs/>
          <w:sz w:val="28"/>
          <w:szCs w:val="28"/>
          <w:highlight w:val="none"/>
        </w:rPr>
      </w:pPr>
      <w:r>
        <w:rPr>
          <w:rFonts w:ascii="宋体" w:hAnsi="宋体"/>
          <w:color w:val="000000"/>
          <w:highlight w:val="none"/>
        </w:rPr>
        <w:br w:type="page" w:clear="all"/>
      </w:r>
      <w:r>
        <w:rPr>
          <w:rFonts w:ascii="宋体" w:hAnsi="宋体"/>
          <w:b/>
          <w:bCs/>
          <w:color w:val="000000"/>
          <w:sz w:val="30"/>
          <w:szCs w:val="44"/>
          <w:highlight w:val="none"/>
        </w:rPr>
        <w:t xml:space="preserve"> 评标标准</w:t>
      </w:r>
      <w:bookmarkEnd w:id="12"/>
      <w:r/>
      <w:bookmarkEnd w:id="13"/>
      <w:r/>
      <w:bookmarkStart w:id="14" w:name="_Toc2153"/>
      <w:r/>
      <w:r/>
    </w:p>
    <w:p>
      <w:pPr>
        <w:pStyle w:val="697"/>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一、评标办法：</w:t>
      </w:r>
      <w:bookmarkEnd w:id="1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1.本次招标评标采用综合评分法，综合评分法是指投标文件满足招标文件全部实质性要求，且按照评审因素的量化指标评审得分最高的投标人为中标人的评标方法。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2.采用综合评分法的，评标结果按评审后得分由高到低顺序排列。</w:t>
      </w:r>
      <w:r>
        <w:rPr>
          <w:rFonts w:hint="eastAsia" w:ascii="宋体" w:hAnsi="宋体" w:cs="宋体"/>
          <w:sz w:val="24"/>
          <w:szCs w:val="24"/>
          <w:highlight w:val="none"/>
          <w:lang w:val="en-US" w:eastAsia="zh-CN"/>
        </w:rPr>
        <w:t xml:space="preserve">得分</w:t>
      </w:r>
      <w:r>
        <w:rPr>
          <w:rFonts w:hint="eastAsia" w:ascii="宋体" w:hAnsi="宋体" w:eastAsia="宋体" w:cs="宋体"/>
          <w:sz w:val="24"/>
          <w:szCs w:val="24"/>
          <w:highlight w:val="none"/>
        </w:rPr>
        <w:t xml:space="preserve">相同的，按投标报价由低到高顺序排列。得分且投标报价相同的，按技术参数得分顺序排列。</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.评委会根据本招标文件规定评分办法与评分标准综合打分，并按综合得分由高到低顺序（综合得分相同的，按价格从低到高顺序）确定3名中标候选人，排名第1者，为中标单位。 </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sz w:val="24"/>
          <w:szCs w:val="24"/>
          <w:highlight w:val="none"/>
          <w:lang w:val="en-US" w:eastAsia="zh-CN"/>
        </w:rPr>
        <w:t xml:space="preserve">评审过程中出现下列情形之一的，评审委员会应当启动异常低价投标（响应）审查程序：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bidi="ar-SA"/>
        </w:rPr>
        <w:t xml:space="preserve">、评分标准：</w:t>
      </w:r>
      <w:r/>
    </w:p>
    <w:p>
      <w:pPr>
        <w:ind w:firstLine="480"/>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本次采购的评标方法采用综合评分法，小数点后保留两位，四舍五入。</w:t>
      </w:r>
      <w:r/>
    </w:p>
    <w:tbl>
      <w:tblPr>
        <w:tblStyle w:val="695"/>
        <w:tblW w:w="91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2123"/>
        <w:gridCol w:w="5267"/>
      </w:tblGrid>
      <w:tr>
        <w:trPr>
          <w:trHeight w:val="90"/>
        </w:trPr>
        <w:tc>
          <w:tcPr>
            <w:gridSpan w:val="2"/>
            <w:tcW w:w="3864" w:type="dxa"/>
            <w:vAlign w:val="center"/>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 价格分值(</w:t>
            </w: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分)</w:t>
            </w:r>
            <w:r/>
          </w:p>
        </w:tc>
        <w:tc>
          <w:tcPr>
            <w:tcW w:w="5267" w:type="dxa"/>
            <w:vAlign w:val="center"/>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以通过评标初审，实质性响应招标文件要求且报价最低的投标报价为评标基准价（须未超过采购预算或最高限价（如有），其价格分为满分</w:t>
            </w: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分。其他投标商的价格分统一按照下列公式计算：</w:t>
            </w:r>
            <w:r/>
          </w:p>
          <w:p>
            <w:pPr>
              <w:pStyle w:val="989"/>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投标报价得分=（评标基准价/投标报价）×价格权值×100（价格权值为</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0%）</w:t>
            </w:r>
            <w:r/>
          </w:p>
        </w:tc>
      </w:tr>
      <w:tr>
        <w:trPr>
          <w:trHeight w:val="934"/>
        </w:trPr>
        <w:tc>
          <w:tcPr>
            <w:gridSpan w:val="2"/>
            <w:tcW w:w="3864" w:type="dxa"/>
            <w:vAlign w:val="center"/>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二、项目需求响应情况（</w:t>
            </w:r>
            <w:r>
              <w:rPr>
                <w:rFonts w:hint="eastAsia" w:asciiTheme="minorEastAsia" w:hAnsiTheme="minorEastAsia" w:eastAsiaTheme="minorEastAsia" w:cstheme="minorEastAsia"/>
                <w:sz w:val="24"/>
                <w:szCs w:val="24"/>
                <w:highlight w:val="none"/>
                <w:lang w:val="en-US" w:eastAsia="zh-CN"/>
              </w:rPr>
              <w:t xml:space="preserve">30</w:t>
            </w:r>
            <w:r>
              <w:rPr>
                <w:rFonts w:hint="eastAsia" w:asciiTheme="minorEastAsia" w:hAnsiTheme="minorEastAsia" w:eastAsiaTheme="minorEastAsia" w:cstheme="minorEastAsia"/>
                <w:sz w:val="24"/>
                <w:szCs w:val="24"/>
                <w:highlight w:val="none"/>
              </w:rPr>
              <w:t xml:space="preserve">分）</w:t>
            </w:r>
            <w:r/>
          </w:p>
          <w:p>
            <w:pPr>
              <w:pStyle w:val="989"/>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267" w:type="dxa"/>
            <w:vAlign w:val="center"/>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招标文件</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需求的响应程度：全部响应即满足</w:t>
            </w:r>
            <w:r>
              <w:rPr>
                <w:rFonts w:hint="eastAsia" w:asciiTheme="minorEastAsia" w:hAnsiTheme="minorEastAsia" w:eastAsiaTheme="minorEastAsia" w:cstheme="minorEastAsia"/>
                <w:sz w:val="24"/>
                <w:szCs w:val="24"/>
                <w:highlight w:val="none"/>
                <w:lang w:val="en-US" w:eastAsia="zh-CN"/>
              </w:rPr>
              <w:t xml:space="preserve">采购需</w:t>
            </w:r>
            <w:r>
              <w:rPr>
                <w:rFonts w:hint="eastAsia" w:asciiTheme="minorEastAsia" w:hAnsiTheme="minorEastAsia" w:eastAsiaTheme="minorEastAsia" w:cstheme="minorEastAsia"/>
                <w:sz w:val="24"/>
                <w:szCs w:val="24"/>
                <w:highlight w:val="none"/>
              </w:rPr>
              <w:t xml:space="preserve">求的得</w:t>
            </w:r>
            <w:r>
              <w:rPr>
                <w:rFonts w:hint="eastAsia" w:asciiTheme="minorEastAsia" w:hAnsiTheme="minorEastAsia" w:eastAsiaTheme="minorEastAsia" w:cstheme="minorEastAsia"/>
                <w:sz w:val="24"/>
                <w:szCs w:val="24"/>
                <w:highlight w:val="none"/>
                <w:lang w:val="en-US" w:eastAsia="zh-CN"/>
              </w:rPr>
              <w:t xml:space="preserve">30</w:t>
            </w:r>
            <w:r>
              <w:rPr>
                <w:rFonts w:hint="eastAsia" w:asciiTheme="minorEastAsia" w:hAnsiTheme="minorEastAsia" w:eastAsiaTheme="minorEastAsia" w:cstheme="minorEastAsia"/>
                <w:sz w:val="24"/>
                <w:szCs w:val="24"/>
                <w:highlight w:val="none"/>
              </w:rPr>
              <w:t xml:space="preserve">分；标注“★”的为实质性条款，负偏离将导致其投标无效；标注“</w:t>
            </w:r>
            <w:r>
              <w:rPr>
                <w:rFonts w:hint="eastAsia" w:ascii="宋体" w:hAnsi="宋体" w:eastAsia="宋体" w:cs="宋体"/>
                <w:sz w:val="24"/>
                <w:szCs w:val="24"/>
                <w:highlight w:val="none"/>
              </w:rPr>
              <w:t xml:space="preserve">▲</w:t>
            </w:r>
            <w:r>
              <w:rPr>
                <w:rFonts w:hint="eastAsia" w:asciiTheme="minorEastAsia" w:hAnsiTheme="minorEastAsia" w:eastAsiaTheme="minorEastAsia" w:cstheme="minorEastAsia"/>
                <w:sz w:val="24"/>
                <w:szCs w:val="24"/>
                <w:highlight w:val="none"/>
              </w:rPr>
              <w:t xml:space="preserve">”的为</w:t>
            </w:r>
            <w:r>
              <w:rPr>
                <w:rFonts w:hint="eastAsia" w:asciiTheme="minorEastAsia" w:hAnsiTheme="minorEastAsia" w:eastAsiaTheme="minorEastAsia" w:cstheme="minorEastAsia"/>
                <w:sz w:val="24"/>
                <w:szCs w:val="24"/>
                <w:highlight w:val="none"/>
                <w:lang w:val="en-US" w:eastAsia="zh-CN"/>
              </w:rPr>
              <w:t xml:space="preserve">重要</w:t>
            </w:r>
            <w:r>
              <w:rPr>
                <w:rFonts w:hint="eastAsia" w:asciiTheme="minorEastAsia" w:hAnsiTheme="minorEastAsia" w:eastAsiaTheme="minorEastAsia" w:cstheme="minorEastAsia"/>
                <w:sz w:val="24"/>
                <w:szCs w:val="24"/>
                <w:highlight w:val="none"/>
              </w:rPr>
              <w:t xml:space="preserve">条款</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如有</w:t>
            </w:r>
            <w:r>
              <w:rPr>
                <w:rFonts w:hint="eastAsia" w:asciiTheme="minorEastAsia" w:hAnsiTheme="minorEastAsia" w:eastAsiaTheme="minorEastAsia" w:cstheme="minorEastAsia"/>
                <w:sz w:val="24"/>
                <w:szCs w:val="24"/>
                <w:highlight w:val="none"/>
              </w:rPr>
              <w:t xml:space="preserve">负偏离每项扣</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分；其余为一般指标，如有负偏离，每项扣</w:t>
            </w:r>
            <w:r>
              <w:rPr>
                <w:rFonts w:hint="eastAsia" w:asciiTheme="minorEastAsia" w:hAnsiTheme="minorEastAsia" w:eastAsiaTheme="minorEastAsia" w:cstheme="minorEastAsia"/>
                <w:sz w:val="24"/>
                <w:szCs w:val="24"/>
                <w:highlight w:val="none"/>
                <w:lang w:val="en-US" w:eastAsia="zh-CN"/>
              </w:rPr>
              <w:t xml:space="preserve">0.6</w:t>
            </w:r>
            <w:r>
              <w:rPr>
                <w:rFonts w:hint="eastAsia" w:asciiTheme="minorEastAsia" w:hAnsiTheme="minorEastAsia" w:eastAsiaTheme="minorEastAsia" w:cstheme="minorEastAsia"/>
                <w:sz w:val="24"/>
                <w:szCs w:val="24"/>
                <w:highlight w:val="none"/>
              </w:rPr>
              <w:t xml:space="preserve">分，扣完为止。</w:t>
            </w:r>
            <w:r/>
          </w:p>
        </w:tc>
      </w:tr>
      <w:tr>
        <w:trPr>
          <w:trHeight w:val="635"/>
        </w:trPr>
        <w:tc>
          <w:tcPr>
            <w:tcW w:w="1741" w:type="dxa"/>
            <w:vAlign w:val="center"/>
            <w:vMerge w:val="restart"/>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lang w:val="en-US" w:eastAsia="zh-CN"/>
              </w:rPr>
              <w:t xml:space="preserve">三、服务方案（46分）</w:t>
            </w:r>
            <w:r/>
          </w:p>
        </w:tc>
        <w:tc>
          <w:tcPr>
            <w:tcW w:w="2123" w:type="dxa"/>
            <w:vAlign w:val="center"/>
            <w:textDirection w:val="lrTb"/>
            <w:noWrap w:val="false"/>
          </w:tcPr>
          <w:p>
            <w:pPr>
              <w:pStyle w:val="989"/>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rPr>
              <w:t xml:space="preserve">针对本项目的日常维护方案</w:t>
            </w:r>
            <w:r/>
          </w:p>
        </w:tc>
        <w:tc>
          <w:tcPr>
            <w:tcW w:w="5267"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①日常维护方案描述</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根据维护方案的完整性、可行性等情况评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，包括：维护服务流程、服务标准、服务管理、服务措施等方面。方案详细完整，针对性强、可操作性强，思路合理得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分；方案简单，针对性、可操作性一般，思路可行性不高得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分；未提供方案，不得分。</w:t>
            </w:r>
            <w:r/>
          </w:p>
          <w:p>
            <w:pPr>
              <w:jc w:val="left"/>
              <w:keepLines w:val="0"/>
              <w:keepNext w:val="0"/>
              <w:pageBreakBefore w:val="0"/>
              <w:spacing w:line="24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rPr>
              <w:t xml:space="preserve">②</w:t>
            </w:r>
            <w:r>
              <w:rPr>
                <w:rFonts w:hint="eastAsia" w:asciiTheme="minorEastAsia" w:hAnsiTheme="minorEastAsia" w:eastAsiaTheme="minorEastAsia" w:cstheme="minorEastAsia"/>
                <w:color w:val="auto"/>
                <w:sz w:val="24"/>
                <w:szCs w:val="24"/>
                <w:lang w:val="en-US" w:eastAsia="zh-CN"/>
              </w:rPr>
              <w:t xml:space="preserve">日常维护</w:t>
            </w:r>
            <w:r>
              <w:rPr>
                <w:rFonts w:hint="eastAsia" w:asciiTheme="minorEastAsia" w:hAnsiTheme="minorEastAsia" w:eastAsiaTheme="minorEastAsia" w:cstheme="minorEastAsia"/>
                <w:color w:val="auto"/>
                <w:sz w:val="24"/>
                <w:szCs w:val="24"/>
              </w:rPr>
              <w:t xml:space="preserve">方案的可行性保证措施。</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4分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根据方案保证措施的完整性、合理性等方面</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审，包括：服务流程、服务标准是否满足实际情况、日常维护流程和服务措施是否合理等方面。</w:t>
            </w:r>
            <w:r>
              <w:rPr>
                <w:rFonts w:hint="eastAsia" w:asciiTheme="minorEastAsia" w:hAnsiTheme="minorEastAsia" w:eastAsiaTheme="minorEastAsia" w:cstheme="minorEastAsia"/>
                <w:color w:val="auto"/>
                <w:sz w:val="24"/>
                <w:szCs w:val="24"/>
              </w:rPr>
              <w:t xml:space="preserve">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分；方案简单，针对性、可操作性一般，思路可行性不高得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分；未提供方案，不得分。</w:t>
            </w:r>
            <w:r/>
          </w:p>
        </w:tc>
      </w:tr>
      <w:tr>
        <w:trPr>
          <w:trHeight w:val="193"/>
        </w:trPr>
        <w:tc>
          <w:tcPr>
            <w:tcW w:w="1741" w:type="dxa"/>
            <w:vAlign w:val="center"/>
            <w:vMerge w:val="continue"/>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989"/>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rPr>
              <w:t xml:space="preserve">针对本项目服务的质量保证措施</w:t>
            </w:r>
            <w:r/>
          </w:p>
        </w:tc>
        <w:tc>
          <w:tcPr>
            <w:tcW w:w="5267"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lang w:val="en-US" w:eastAsia="zh-CN"/>
              </w:rPr>
              <w:t xml:space="preserve">质量保证措施</w:t>
            </w:r>
            <w:r>
              <w:rPr>
                <w:rFonts w:hint="eastAsia" w:asciiTheme="minorEastAsia" w:hAnsiTheme="minorEastAsia" w:eastAsiaTheme="minorEastAsia" w:cstheme="minorEastAsia"/>
                <w:color w:val="auto"/>
                <w:sz w:val="24"/>
                <w:szCs w:val="24"/>
              </w:rPr>
              <w:t xml:space="preserve">的完整性、可行性等情况评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。包括但不限于：维保</w:t>
            </w:r>
            <w:r>
              <w:rPr>
                <w:rFonts w:hint="eastAsia" w:asciiTheme="minorEastAsia" w:hAnsiTheme="minorEastAsia" w:eastAsiaTheme="minorEastAsia" w:cstheme="minorEastAsia"/>
                <w:color w:val="auto"/>
                <w:sz w:val="24"/>
                <w:szCs w:val="24"/>
                <w:lang w:val="en-US" w:eastAsia="zh-CN"/>
              </w:rPr>
              <w:t xml:space="preserve">流程</w:t>
            </w:r>
            <w:r>
              <w:rPr>
                <w:rFonts w:hint="eastAsia" w:asciiTheme="minorEastAsia" w:hAnsiTheme="minorEastAsia" w:eastAsiaTheme="minorEastAsia" w:cstheme="minorEastAsia"/>
                <w:color w:val="auto"/>
                <w:sz w:val="24"/>
                <w:szCs w:val="24"/>
              </w:rPr>
              <w:t xml:space="preserve">保障措施、质量控制</w:t>
            </w:r>
            <w:r>
              <w:rPr>
                <w:rFonts w:hint="eastAsia" w:asciiTheme="minorEastAsia" w:hAnsiTheme="minorEastAsia" w:eastAsiaTheme="minorEastAsia" w:cstheme="minorEastAsia"/>
                <w:color w:val="auto"/>
                <w:sz w:val="24"/>
                <w:szCs w:val="24"/>
                <w:lang w:val="en-US" w:eastAsia="zh-CN"/>
              </w:rPr>
              <w:t xml:space="preserve">方案</w:t>
            </w:r>
            <w:r>
              <w:rPr>
                <w:rFonts w:hint="eastAsia" w:asciiTheme="minorEastAsia" w:hAnsiTheme="minorEastAsia" w:eastAsiaTheme="minorEastAsia" w:cstheme="minorEastAsia"/>
                <w:color w:val="auto"/>
                <w:sz w:val="24"/>
                <w:szCs w:val="24"/>
              </w:rPr>
              <w:t xml:space="preserve">等方面。</w:t>
            </w:r>
            <w:r>
              <w:rPr>
                <w:rFonts w:hint="eastAsia" w:asciiTheme="minorEastAsia" w:hAnsiTheme="minorEastAsia" w:eastAsiaTheme="minorEastAsia" w:cstheme="minorEastAsia"/>
                <w:color w:val="auto"/>
                <w:sz w:val="24"/>
                <w:szCs w:val="24"/>
                <w:lang w:val="en-US" w:eastAsia="zh-CN"/>
              </w:rPr>
              <w:t xml:space="preserve">质量保证措施</w:t>
            </w:r>
            <w:r>
              <w:rPr>
                <w:rFonts w:hint="eastAsia" w:asciiTheme="minorEastAsia" w:hAnsiTheme="minorEastAsia" w:eastAsiaTheme="minorEastAsia" w:cstheme="minorEastAsia"/>
                <w:color w:val="auto"/>
                <w:sz w:val="24"/>
                <w:szCs w:val="24"/>
              </w:rPr>
              <w:t xml:space="preserve">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val="en-US" w:eastAsia="zh-CN"/>
              </w:rPr>
              <w:t xml:space="preserve">质量保证措施</w:t>
            </w:r>
            <w:r>
              <w:rPr>
                <w:rFonts w:hint="eastAsia" w:asciiTheme="minorEastAsia" w:hAnsiTheme="minorEastAsia" w:eastAsiaTheme="minorEastAsia" w:cstheme="minorEastAsia"/>
                <w:color w:val="auto"/>
                <w:sz w:val="24"/>
                <w:szCs w:val="24"/>
              </w:rPr>
              <w:t xml:space="preserve">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val="en-US" w:eastAsia="zh-CN"/>
              </w:rPr>
              <w:t xml:space="preserve">质量保证措施</w:t>
            </w:r>
            <w:r>
              <w:rPr>
                <w:rFonts w:hint="eastAsia" w:asciiTheme="minorEastAsia" w:hAnsiTheme="minorEastAsia" w:eastAsiaTheme="minorEastAsia" w:cstheme="minorEastAsia"/>
                <w:color w:val="auto"/>
                <w:sz w:val="24"/>
                <w:szCs w:val="24"/>
              </w:rPr>
              <w:t xml:space="preserve">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w:t>
            </w:r>
            <w:r>
              <w:rPr>
                <w:rFonts w:hint="eastAsia" w:asciiTheme="minorEastAsia" w:hAnsiTheme="minorEastAsia" w:eastAsiaTheme="minorEastAsia" w:cstheme="minorEastAsia"/>
                <w:color w:val="auto"/>
                <w:sz w:val="24"/>
                <w:szCs w:val="24"/>
                <w:lang w:val="en-US" w:eastAsia="zh-CN"/>
              </w:rPr>
              <w:t xml:space="preserve">质量保证措施</w:t>
            </w:r>
            <w:r>
              <w:rPr>
                <w:rFonts w:hint="eastAsia" w:asciiTheme="minorEastAsia" w:hAnsiTheme="minorEastAsia" w:eastAsiaTheme="minorEastAsia" w:cstheme="minorEastAsia"/>
                <w:color w:val="auto"/>
                <w:sz w:val="24"/>
                <w:szCs w:val="24"/>
              </w:rPr>
              <w:t xml:space="preserve">，不得分。</w:t>
            </w:r>
            <w:r/>
          </w:p>
        </w:tc>
      </w:tr>
      <w:tr>
        <w:trPr>
          <w:trHeight w:val="635"/>
        </w:trPr>
        <w:tc>
          <w:tcPr>
            <w:tcW w:w="1741" w:type="dxa"/>
            <w:vAlign w:val="center"/>
            <w:vMerge w:val="continue"/>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989"/>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lang w:val="en-US" w:eastAsia="zh-CN"/>
              </w:rPr>
              <w:t xml:space="preserve">提升临床应用水平的方案</w:t>
            </w:r>
            <w:r/>
          </w:p>
        </w:tc>
        <w:tc>
          <w:tcPr>
            <w:tcW w:w="5267" w:type="dxa"/>
            <w:vAlign w:val="center"/>
            <w:textDirection w:val="lrTb"/>
            <w:noWrap w:val="false"/>
          </w:tcPr>
          <w:p>
            <w:pPr>
              <w:pStyle w:val="989"/>
              <w:jc w:val="left"/>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lang w:val="en-US" w:eastAsia="zh-CN"/>
              </w:rPr>
              <w:t xml:space="preserve">根据投</w:t>
            </w:r>
            <w:r>
              <w:rPr>
                <w:rFonts w:hint="eastAsia" w:asciiTheme="minorEastAsia" w:hAnsiTheme="minorEastAsia" w:eastAsiaTheme="minorEastAsia" w:cstheme="minorEastAsia"/>
                <w:color w:val="auto"/>
                <w:sz w:val="24"/>
                <w:szCs w:val="24"/>
              </w:rPr>
              <w:t xml:space="preserve">提升临床应用水平的相关有效的方案</w:t>
            </w:r>
            <w:r>
              <w:rPr>
                <w:rFonts w:hint="eastAsia" w:asciiTheme="minorEastAsia" w:hAnsiTheme="minorEastAsia" w:eastAsiaTheme="minorEastAsia" w:cstheme="minorEastAsia"/>
                <w:color w:val="auto"/>
                <w:sz w:val="24"/>
                <w:szCs w:val="24"/>
                <w:lang w:val="en-US" w:eastAsia="zh-CN"/>
              </w:rPr>
              <w:t xml:space="preserve">的完整性、合理性</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包括：提升临床应用水平的人员培训方案、提升方案的可行性等。方案</w:t>
            </w:r>
            <w:r>
              <w:rPr>
                <w:rFonts w:hint="eastAsia" w:asciiTheme="minorEastAsia" w:hAnsiTheme="minorEastAsia" w:eastAsiaTheme="minorEastAsia" w:cstheme="minorEastAsia"/>
                <w:color w:val="auto"/>
                <w:sz w:val="24"/>
                <w:szCs w:val="24"/>
              </w:rPr>
              <w:t xml:space="preserve">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val="en-US" w:eastAsia="zh-CN"/>
              </w:rPr>
              <w:t xml:space="preserve">方案</w:t>
            </w:r>
            <w:r>
              <w:rPr>
                <w:rFonts w:hint="eastAsia" w:asciiTheme="minorEastAsia" w:hAnsiTheme="minorEastAsia" w:eastAsiaTheme="minorEastAsia" w:cstheme="minorEastAsia"/>
                <w:color w:val="auto"/>
                <w:sz w:val="24"/>
                <w:szCs w:val="24"/>
              </w:rPr>
              <w:t xml:space="preserve">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val="en-US" w:eastAsia="zh-CN"/>
              </w:rPr>
              <w:t xml:space="preserve">方案</w:t>
            </w:r>
            <w:r>
              <w:rPr>
                <w:rFonts w:hint="eastAsia" w:asciiTheme="minorEastAsia" w:hAnsiTheme="minorEastAsia" w:eastAsiaTheme="minorEastAsia" w:cstheme="minorEastAsia"/>
                <w:color w:val="auto"/>
                <w:sz w:val="24"/>
                <w:szCs w:val="24"/>
              </w:rPr>
              <w:t xml:space="preserve">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w:t>
            </w:r>
            <w:r>
              <w:rPr>
                <w:rFonts w:hint="eastAsia" w:asciiTheme="minorEastAsia" w:hAnsiTheme="minorEastAsia" w:eastAsiaTheme="minorEastAsia" w:cstheme="minorEastAsia"/>
                <w:color w:val="auto"/>
                <w:sz w:val="24"/>
                <w:szCs w:val="24"/>
                <w:lang w:val="en-US" w:eastAsia="zh-CN"/>
              </w:rPr>
              <w:t xml:space="preserve">相关方案</w:t>
            </w:r>
            <w:r>
              <w:rPr>
                <w:rFonts w:hint="eastAsia" w:asciiTheme="minorEastAsia" w:hAnsiTheme="minorEastAsia" w:eastAsiaTheme="minorEastAsia" w:cstheme="minorEastAsia"/>
                <w:color w:val="auto"/>
                <w:sz w:val="24"/>
                <w:szCs w:val="24"/>
              </w:rPr>
              <w:t xml:space="preserve">，不得分。</w:t>
            </w:r>
            <w:r/>
          </w:p>
        </w:tc>
      </w:tr>
      <w:tr>
        <w:trPr>
          <w:trHeight w:val="635"/>
        </w:trPr>
        <w:tc>
          <w:tcPr>
            <w:tcW w:w="1741" w:type="dxa"/>
            <w:vAlign w:val="center"/>
            <w:vMerge w:val="continue"/>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989"/>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lang w:val="en-US" w:eastAsia="zh-CN"/>
              </w:rPr>
              <w:t xml:space="preserve">维修技术人员能力培训方案</w:t>
            </w:r>
            <w:r/>
          </w:p>
        </w:tc>
        <w:tc>
          <w:tcPr>
            <w:tcW w:w="5267" w:type="dxa"/>
            <w:vAlign w:val="center"/>
            <w:textDirection w:val="lrTb"/>
            <w:noWrap w:val="false"/>
          </w:tcPr>
          <w:p>
            <w:pPr>
              <w:pStyle w:val="989"/>
              <w:jc w:val="left"/>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rPr>
              <w:t xml:space="preserve">根据培训方案的完整性、可行性等情况评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。包括但不限于：</w:t>
            </w:r>
            <w:r>
              <w:rPr>
                <w:rFonts w:hint="eastAsia" w:asciiTheme="minorEastAsia" w:hAnsiTheme="minorEastAsia" w:eastAsiaTheme="minorEastAsia" w:cstheme="minorEastAsia"/>
                <w:color w:val="auto"/>
                <w:sz w:val="24"/>
                <w:szCs w:val="24"/>
                <w:lang w:val="en-US" w:eastAsia="zh-CN"/>
              </w:rPr>
              <w:t xml:space="preserve">维修技术人员的安全培训、专业技术培训等方面</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培训方案</w:t>
            </w:r>
            <w:r>
              <w:rPr>
                <w:rFonts w:hint="eastAsia" w:asciiTheme="minorEastAsia" w:hAnsiTheme="minorEastAsia" w:eastAsiaTheme="minorEastAsia" w:cstheme="minorEastAsia"/>
                <w:color w:val="auto"/>
                <w:sz w:val="24"/>
                <w:szCs w:val="24"/>
              </w:rPr>
              <w:t xml:space="preserve">内容详实、需求贴合度高且条理清晰的该</w:t>
            </w:r>
            <w:r>
              <w:rPr>
                <w:rFonts w:hint="eastAsia" w:asciiTheme="minorEastAsia" w:hAnsiTheme="minorEastAsia" w:eastAsiaTheme="minorEastAsia" w:cstheme="minorEastAsia"/>
                <w:color w:val="auto"/>
                <w:sz w:val="24"/>
                <w:szCs w:val="24"/>
                <w:highlight w:val="none"/>
              </w:rPr>
              <w:t xml:space="preserve">条得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eastAsia="zh-CN"/>
              </w:rPr>
              <w:t xml:space="preserve">培</w:t>
            </w:r>
            <w:r>
              <w:rPr>
                <w:rFonts w:hint="eastAsia" w:asciiTheme="minorEastAsia" w:hAnsiTheme="minorEastAsia" w:eastAsiaTheme="minorEastAsia" w:cstheme="minorEastAsia"/>
                <w:color w:val="auto"/>
                <w:sz w:val="24"/>
                <w:szCs w:val="24"/>
                <w:lang w:val="en-US" w:eastAsia="zh-CN"/>
              </w:rPr>
              <w:t xml:space="preserve">训方案</w:t>
            </w:r>
            <w:r>
              <w:rPr>
                <w:rFonts w:hint="eastAsia" w:asciiTheme="minorEastAsia" w:hAnsiTheme="minorEastAsia" w:eastAsiaTheme="minorEastAsia" w:cstheme="minorEastAsia"/>
                <w:color w:val="auto"/>
                <w:sz w:val="24"/>
                <w:szCs w:val="24"/>
              </w:rPr>
              <w:t xml:space="preserve">内容较为详实、条理较为清晰的该条得3分；</w:t>
            </w:r>
            <w:r>
              <w:rPr>
                <w:rFonts w:hint="eastAsia" w:asciiTheme="minorEastAsia" w:hAnsiTheme="minorEastAsia" w:eastAsiaTheme="minorEastAsia" w:cstheme="minorEastAsia"/>
                <w:color w:val="auto"/>
                <w:sz w:val="24"/>
                <w:szCs w:val="24"/>
                <w:lang w:val="en-US" w:eastAsia="zh-CN"/>
              </w:rPr>
              <w:t xml:space="preserve">培训方案</w:t>
            </w:r>
            <w:r>
              <w:rPr>
                <w:rFonts w:hint="eastAsia" w:asciiTheme="minorEastAsia" w:hAnsiTheme="minorEastAsia" w:eastAsiaTheme="minorEastAsia" w:cstheme="minorEastAsia"/>
                <w:color w:val="auto"/>
                <w:sz w:val="24"/>
                <w:szCs w:val="24"/>
              </w:rPr>
              <w:t xml:space="preserve">内容较为简单、可行、细节待完善的该条得1分。</w:t>
            </w:r>
            <w:r>
              <w:rPr>
                <w:rFonts w:hint="eastAsia" w:asciiTheme="minorEastAsia" w:hAnsiTheme="minorEastAsia" w:eastAsiaTheme="minorEastAsia" w:cstheme="minorEastAsia"/>
                <w:color w:val="auto"/>
                <w:sz w:val="24"/>
                <w:szCs w:val="24"/>
                <w:lang w:val="en-US" w:eastAsia="zh-CN"/>
              </w:rPr>
              <w:t xml:space="preserve">未提供相关人员培训方案的</w:t>
            </w:r>
            <w:r>
              <w:rPr>
                <w:rFonts w:hint="eastAsia" w:asciiTheme="minorEastAsia" w:hAnsiTheme="minorEastAsia" w:eastAsiaTheme="minorEastAsia" w:cstheme="minorEastAsia"/>
                <w:color w:val="auto"/>
                <w:sz w:val="24"/>
                <w:szCs w:val="24"/>
              </w:rPr>
              <w:t xml:space="preserve">，该</w:t>
            </w:r>
            <w:r>
              <w:rPr>
                <w:rFonts w:hint="eastAsia" w:asciiTheme="minorEastAsia" w:hAnsiTheme="minorEastAsia" w:eastAsiaTheme="minorEastAsia" w:cstheme="minorEastAsia"/>
                <w:color w:val="auto"/>
                <w:sz w:val="24"/>
                <w:szCs w:val="24"/>
                <w:lang w:val="en-US" w:eastAsia="zh-CN"/>
              </w:rPr>
              <w:t xml:space="preserve">项</w:t>
            </w:r>
            <w:r>
              <w:rPr>
                <w:rFonts w:hint="eastAsia" w:asciiTheme="minorEastAsia" w:hAnsiTheme="minorEastAsia" w:eastAsiaTheme="minorEastAsia" w:cstheme="minorEastAsia"/>
                <w:color w:val="auto"/>
                <w:sz w:val="24"/>
                <w:szCs w:val="24"/>
              </w:rPr>
              <w:t xml:space="preserve">不得分。</w:t>
            </w:r>
            <w:r/>
          </w:p>
        </w:tc>
      </w:tr>
      <w:tr>
        <w:trPr>
          <w:trHeight w:val="635"/>
        </w:trPr>
        <w:tc>
          <w:tcPr>
            <w:tcW w:w="1741" w:type="dxa"/>
            <w:vAlign w:val="center"/>
            <w:vMerge w:val="continue"/>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989"/>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lang w:val="en-US" w:eastAsia="zh-CN"/>
              </w:rPr>
              <w:t xml:space="preserve">针对本项目应急抢修方案及质量保障措施</w:t>
            </w:r>
            <w:r/>
          </w:p>
        </w:tc>
        <w:tc>
          <w:tcPr>
            <w:tcW w:w="5267"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lang w:val="en-US" w:eastAsia="zh-CN"/>
              </w:rPr>
              <w:t xml:space="preserve">①针对本项目的应急抢修方案。（4分）：根据方案的完整性、可行性等情况</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包括但不限于：重大故障处理、应急抢修流程及人员安排等方面。方案详细完整，针对性强、可操作性强，思路合理得4分；方案较详细，针对性、可操作性较强，思路较合理得3分；方案简单，针对性、可操作性一般，思路可行性不高得1分；未提供方案，不得分。</w:t>
            </w:r>
            <w:r/>
          </w:p>
          <w:p>
            <w:pPr>
              <w:jc w:val="left"/>
              <w:keepLines w:val="0"/>
              <w:keepNext w:val="0"/>
              <w:pageBreakBefore w:val="0"/>
              <w:spacing w:line="24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lang w:val="en-US" w:eastAsia="zh-CN"/>
              </w:rPr>
              <w:t xml:space="preserve">②应急抢修的质量保证措施。（4分）：根据应急抢修的质量保证措施的完整性、合理性等方面</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审，包括：</w:t>
            </w:r>
            <w:r>
              <w:rPr>
                <w:rFonts w:hint="eastAsia" w:asciiTheme="minorEastAsia" w:hAnsiTheme="minorEastAsia" w:eastAsiaTheme="minorEastAsia" w:cstheme="minorEastAsia"/>
                <w:color w:val="auto"/>
                <w:sz w:val="24"/>
                <w:szCs w:val="24"/>
                <w:highlight w:val="none"/>
                <w:lang w:val="en-US" w:eastAsia="zh-CN"/>
              </w:rPr>
              <w:t xml:space="preserve">应急抢修、流程安排，应急抢修时与院方的协调方案等。</w:t>
            </w:r>
            <w:r>
              <w:rPr>
                <w:rFonts w:hint="eastAsia" w:asciiTheme="minorEastAsia" w:hAnsiTheme="minorEastAsia" w:eastAsiaTheme="minorEastAsia" w:cstheme="minorEastAsia"/>
                <w:color w:val="auto"/>
                <w:sz w:val="24"/>
                <w:szCs w:val="24"/>
              </w:rPr>
              <w:t xml:space="preserve">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分；方案简单，针对性、可操作性一般，思路可行性不高得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分；未提供方案，不得分。</w:t>
            </w:r>
            <w:r/>
          </w:p>
        </w:tc>
      </w:tr>
      <w:tr>
        <w:trPr>
          <w:trHeight w:val="635"/>
        </w:trPr>
        <w:tc>
          <w:tcPr>
            <w:tcW w:w="1741" w:type="dxa"/>
            <w:vAlign w:val="center"/>
            <w:vMerge w:val="continue"/>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989"/>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rPr>
              <w:t xml:space="preserve">针对本项目重点活动保障的应急维护方案及可行性保证措施</w:t>
            </w:r>
            <w:r/>
          </w:p>
        </w:tc>
        <w:tc>
          <w:tcPr>
            <w:tcW w:w="5267"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 xml:space="preserve">①针对本项目重点活动保障的应急维护方案。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4分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根据方案的完整性、可行性等情况</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包括但不限于：重点活动情况分析、重点活动保障的维护流程及人员安排等方面。方案详细完整，针对性强、可操作性强，思路合理得4分；方案较详细，针对性、可操作性较强，思路较合理得3分；方案简单，针对性、可操作性一般，思路可行性不高得1分；未提供方案，不得分。</w:t>
            </w:r>
            <w:r/>
          </w:p>
          <w:p>
            <w:pPr>
              <w:jc w:val="left"/>
              <w:keepLines w:val="0"/>
              <w:keepNext w:val="0"/>
              <w:pageBreakBefore w:val="0"/>
              <w:spacing w:line="240" w:lineRule="auto"/>
              <w:widowControl w:val="off"/>
              <w:rPr>
                <w:rFonts w:hint="eastAsia"/>
              </w:rPr>
            </w:pPr>
            <w:r>
              <w:rPr>
                <w:rFonts w:hint="eastAsia" w:asciiTheme="minorEastAsia" w:hAnsiTheme="minorEastAsia" w:eastAsiaTheme="minorEastAsia" w:cstheme="minorEastAsia"/>
                <w:color w:val="auto"/>
                <w:sz w:val="24"/>
                <w:szCs w:val="24"/>
                <w:lang w:val="en-US" w:eastAsia="zh-CN"/>
              </w:rPr>
              <w:t xml:space="preserve">②详细描述方案的可行性保证措施。（4分）：根据应急抢修的质量保证措施的完整性、合理性等方面</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审，包括</w:t>
            </w:r>
            <w:r>
              <w:rPr>
                <w:rFonts w:hint="eastAsia" w:asciiTheme="minorEastAsia" w:hAnsiTheme="minorEastAsia" w:eastAsiaTheme="minorEastAsia" w:cstheme="minorEastAsia"/>
                <w:color w:val="auto"/>
                <w:sz w:val="24"/>
                <w:szCs w:val="24"/>
                <w:highlight w:val="none"/>
                <w:lang w:val="en-US" w:eastAsia="zh-CN"/>
              </w:rPr>
              <w:t xml:space="preserve">：重大故障处理人员配置、流程安排，与院方的协调方案等。</w:t>
            </w:r>
            <w:r>
              <w:rPr>
                <w:rFonts w:hint="eastAsia" w:asciiTheme="minorEastAsia" w:hAnsiTheme="minorEastAsia" w:eastAsiaTheme="minorEastAsia" w:cstheme="minorEastAsia"/>
                <w:color w:val="auto"/>
                <w:sz w:val="24"/>
                <w:szCs w:val="24"/>
              </w:rPr>
              <w:t xml:space="preserve">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分；方案简单，针对性、可操作性一般，思路可行性不高得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分；未提供方案，不得分。</w:t>
            </w:r>
            <w:r/>
          </w:p>
        </w:tc>
      </w:tr>
      <w:tr>
        <w:trPr>
          <w:trHeight w:val="308"/>
        </w:trPr>
        <w:tc>
          <w:tcPr>
            <w:tcW w:w="1741" w:type="dxa"/>
            <w:vAlign w:val="center"/>
            <w:vMerge w:val="continue"/>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989"/>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rPr>
              <w:t xml:space="preserve">项目协调方案</w:t>
            </w:r>
            <w:r/>
          </w:p>
        </w:tc>
        <w:tc>
          <w:tcPr>
            <w:tcW w:w="5267"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rPr>
              <w:t xml:space="preserve">根据方案的完整性、可行性等情况评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。包括但不限于：与业主方以及其他单位、部门的综合协调等方面。方案详细完整，针对性强、可操作性强，思路合理得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分；方案较详细，针对性、可操作性较强，思路较合理得3分；方案简单，针对性、可操作性一般，思路可行性不高得1分；未提供方案，不得分。</w:t>
            </w:r>
            <w:r/>
          </w:p>
        </w:tc>
      </w:tr>
      <w:tr>
        <w:trPr>
          <w:trHeight w:val="90"/>
        </w:trPr>
        <w:tc>
          <w:tcPr>
            <w:tcW w:w="1741" w:type="dxa"/>
            <w:vAlign w:val="center"/>
            <w:vMerge w:val="continue"/>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989"/>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lang w:val="en-US" w:eastAsia="zh-CN"/>
              </w:rPr>
              <w:t xml:space="preserve">安全管理方案</w:t>
            </w:r>
            <w:r/>
          </w:p>
        </w:tc>
        <w:tc>
          <w:tcPr>
            <w:tcW w:w="5267"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rPr>
              <w:t xml:space="preserve">根据方案的完整性、可行性等情况评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包括但不限于</w:t>
            </w:r>
            <w:r>
              <w:rPr>
                <w:rFonts w:hint="eastAsia" w:asciiTheme="minorEastAsia" w:hAnsiTheme="minorEastAsia" w:eastAsiaTheme="minorEastAsia" w:cstheme="minorEastAsia"/>
                <w:color w:val="auto"/>
                <w:sz w:val="24"/>
                <w:szCs w:val="24"/>
              </w:rPr>
              <w:t xml:space="preserve">安全保障措施、设备安全防护设施等</w:t>
            </w:r>
            <w:r>
              <w:rPr>
                <w:rFonts w:hint="eastAsia" w:asciiTheme="minorEastAsia" w:hAnsiTheme="minorEastAsia" w:eastAsiaTheme="minorEastAsia" w:cstheme="minorEastAsia"/>
                <w:color w:val="auto"/>
                <w:sz w:val="24"/>
                <w:szCs w:val="24"/>
                <w:lang w:val="en-US" w:eastAsia="zh-CN"/>
              </w:rPr>
              <w:t xml:space="preserve">方案</w:t>
            </w:r>
            <w:r>
              <w:rPr>
                <w:rFonts w:hint="eastAsia" w:asciiTheme="minorEastAsia" w:hAnsiTheme="minorEastAsia" w:eastAsiaTheme="minorEastAsia" w:cstheme="minorEastAsia"/>
                <w:color w:val="auto"/>
                <w:sz w:val="24"/>
                <w:szCs w:val="24"/>
              </w:rPr>
              <w:t xml:space="preserve">。报价供应商须针对该内容进行阐述。方案详细完整，针对性强、可操作性强，思路合理得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分；方案较详细，针对性、可操作性较强，思路较合理得3分；方案简单，针对性、可操作性一般，思路可行性不高得1分；未提供方案，不得分。</w:t>
            </w:r>
            <w:r/>
          </w:p>
        </w:tc>
      </w:tr>
      <w:tr>
        <w:trPr>
          <w:trHeight w:val="1363"/>
        </w:trPr>
        <w:tc>
          <w:tcPr>
            <w:gridSpan w:val="2"/>
            <w:tcW w:w="3864" w:type="dxa"/>
            <w:vAlign w:val="center"/>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rPr>
              <w:t xml:space="preserve">、业绩（</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tc>
        <w:tc>
          <w:tcPr>
            <w:tcW w:w="5267" w:type="dxa"/>
            <w:vAlign w:val="center"/>
            <w:textDirection w:val="lrTb"/>
            <w:noWrap w:val="false"/>
          </w:tcPr>
          <w:p>
            <w:pPr>
              <w:pStyle w:val="989"/>
              <w:keepLines w:val="0"/>
              <w:keepNext w:val="0"/>
              <w:pageBreakBefore w:val="0"/>
              <w:spacing w:line="240" w:lineRule="auto"/>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z w:val="24"/>
                <w:szCs w:val="24"/>
                <w:highlight w:val="none"/>
                <w:lang w:val="en-US" w:eastAsia="zh-CN"/>
              </w:rPr>
              <w:t xml:space="preserve">自2023年8月1日起承担过同类服务项目的业绩（以合同签订日期为准），每提供</w:t>
            </w:r>
            <w:r>
              <w:rPr>
                <w:rFonts w:hint="eastAsia" w:asciiTheme="minorEastAsia" w:hAnsiTheme="minorEastAsia" w:eastAsiaTheme="minorEastAsia" w:cstheme="minorEastAsia"/>
                <w:color w:val="auto"/>
                <w:sz w:val="24"/>
                <w:szCs w:val="24"/>
                <w:highlight w:val="none"/>
              </w:rPr>
              <w:t xml:space="preserve">一个</w:t>
            </w:r>
            <w:r>
              <w:rPr>
                <w:rFonts w:hint="eastAsia" w:asciiTheme="minorEastAsia" w:hAnsiTheme="minorEastAsia" w:eastAsiaTheme="minorEastAsia" w:cstheme="minorEastAsia"/>
                <w:color w:val="auto"/>
                <w:sz w:val="24"/>
                <w:szCs w:val="24"/>
                <w:highlight w:val="none"/>
                <w:lang w:val="en-US" w:eastAsia="zh-CN"/>
              </w:rPr>
              <w:t xml:space="preserve">业绩</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投标时需提供相关服务合同原件扫描件并加盖供应商公章，不提供或提供资料不符合要求均不得分。</w:t>
            </w:r>
            <w:r/>
          </w:p>
        </w:tc>
      </w:tr>
    </w:tbl>
    <w:p>
      <w:pPr>
        <w:pStyle w:val="698"/>
        <w:rPr>
          <w:rFonts w:hint="eastAsia"/>
          <w:highlight w:val="none"/>
          <w:lang w:val="en-US" w:eastAsia="zh-CN"/>
        </w:rPr>
      </w:pPr>
      <w:r/>
      <w:bookmarkStart w:id="15" w:name="_Toc522790134"/>
      <w:r/>
      <w:bookmarkEnd w:id="15"/>
      <w:r/>
      <w:bookmarkStart w:id="16" w:name="_Toc523404699"/>
      <w:r/>
      <w:bookmarkEnd w:id="16"/>
      <w:r/>
      <w:r/>
    </w:p>
    <w:p>
      <w:pPr>
        <w:rPr>
          <w:rFonts w:hint="eastAsia" w:asciiTheme="minorEastAsia" w:hAnsiTheme="minorEastAsia" w:eastAsiaTheme="minorEastAsia" w:cstheme="minorEastAsia"/>
          <w:b/>
          <w:bCs/>
          <w:color w:val="auto"/>
          <w:sz w:val="32"/>
          <w:szCs w:val="32"/>
        </w:rPr>
      </w:pPr>
      <w:r/>
      <w:bookmarkStart w:id="17" w:name="_Toc522790135"/>
      <w:r/>
      <w:bookmarkStart w:id="18" w:name="_Toc523404700"/>
      <w:r>
        <w:rPr>
          <w:rFonts w:hint="eastAsia" w:asciiTheme="minorEastAsia" w:hAnsiTheme="minorEastAsia" w:eastAsiaTheme="minorEastAsia" w:cstheme="minorEastAsia"/>
          <w:b/>
          <w:bCs/>
          <w:color w:val="auto"/>
          <w:sz w:val="32"/>
          <w:szCs w:val="32"/>
        </w:rPr>
        <w:br w:type="page" w:clear="all"/>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宋体" w:hAnsi="宋体"/>
          <w:color w:val="000000"/>
          <w:sz w:val="30"/>
          <w:szCs w:val="30"/>
          <w:highlight w:val="none"/>
          <w:lang w:eastAsia="zh-CN"/>
        </w:rPr>
        <w:t xml:space="preserve">JSZC-320300-SMDG-G2026-0111 </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both"/>
        <w:spacing w:after="120"/>
        <w:widowControl w:val="off"/>
        <w:rPr>
          <w:rFonts w:hint="eastAsia" w:ascii="宋体" w:hAnsi="宋体" w:eastAsia="宋体" w:cs="宋体"/>
          <w:color w:val="000000"/>
          <w:sz w:val="30"/>
          <w:szCs w:val="30"/>
          <w:highlight w:val="none"/>
          <w:lang w:val="en-US" w:eastAsia="zh-CN" w:bidi="ar-SA"/>
        </w:rPr>
      </w:pPr>
      <w:r>
        <w:rPr>
          <w:rFonts w:hint="eastAsia" w:asciiTheme="minorEastAsia" w:hAnsiTheme="minorEastAsia" w:eastAsiaTheme="minorEastAsia" w:cstheme="minorEastAsia"/>
          <w:b/>
          <w:color w:val="auto"/>
          <w:sz w:val="30"/>
          <w:szCs w:val="30"/>
        </w:rPr>
        <w:t xml:space="preserve">项目名称：</w:t>
      </w:r>
      <w:r>
        <w:rPr>
          <w:rFonts w:hint="eastAsia" w:ascii="宋体" w:hAnsi="宋体" w:eastAsia="宋体" w:cs="宋体"/>
          <w:b w:val="0"/>
          <w:bCs/>
          <w:sz w:val="30"/>
          <w:szCs w:val="30"/>
          <w:highlight w:val="none"/>
          <w:lang w:eastAsia="zh-CN"/>
        </w:rPr>
        <w:t xml:space="preserve">徐州市第一人民医院</w:t>
      </w:r>
      <w:r>
        <w:rPr>
          <w:rFonts w:hint="eastAsia" w:ascii="宋体" w:hAnsi="宋体" w:cs="宋体"/>
          <w:b w:val="0"/>
          <w:bCs/>
          <w:color w:val="000000"/>
          <w:sz w:val="30"/>
          <w:szCs w:val="30"/>
          <w:highlight w:val="none"/>
          <w:lang w:eastAsia="zh-CN"/>
        </w:rPr>
        <w:t xml:space="preserve">3.0T核磁共振及大孔径CT维保</w:t>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strike/>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705"/>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05"/>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05"/>
        <w:ind w:left="0" w:right="0"/>
        <w:spacing w:after="0" w:line="360" w:lineRule="auto"/>
        <w:rPr>
          <w:rFonts w:hint="eastAsia" w:asciiTheme="minorEastAsia" w:hAnsiTheme="minorEastAsia" w:eastAsiaTheme="minorEastAsia" w:cstheme="minorEastAsia"/>
          <w:b/>
          <w:color w:val="auto"/>
          <w:sz w:val="24"/>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cs="宋体"/>
          <w:b w:val="0"/>
          <w:bCs/>
          <w:color w:val="auto"/>
          <w:sz w:val="30"/>
          <w:szCs w:val="30"/>
          <w:highlight w:val="none"/>
          <w:lang w:val="en-US" w:eastAsia="zh-CN"/>
        </w:rPr>
        <w:t xml:space="preserve">采购</w:t>
      </w:r>
      <w:r>
        <w:rPr>
          <w:rFonts w:hint="eastAsia" w:ascii="宋体" w:hAnsi="宋体" w:eastAsia="宋体" w:cs="宋体"/>
          <w:b w:val="0"/>
          <w:bCs/>
          <w:color w:val="auto"/>
          <w:sz w:val="30"/>
          <w:szCs w:val="30"/>
          <w:highlight w:val="none"/>
        </w:rPr>
        <w:t xml:space="preserve">合同</w:t>
      </w:r>
      <w:r/>
    </w:p>
    <w:p>
      <w:pPr>
        <w:jc w:val="center"/>
        <w:spacing w:line="360" w:lineRule="auto"/>
        <w:rPr>
          <w:rFonts w:hint="eastAsia" w:ascii="宋体" w:hAnsi="宋体" w:eastAsia="宋体" w:cs="宋体"/>
          <w:b w:val="0"/>
          <w:bCs/>
          <w:color w:val="auto"/>
          <w:sz w:val="24"/>
          <w:highlight w:val="none"/>
          <w:lang w:eastAsia="zh-CN"/>
        </w:rPr>
      </w:pPr>
      <w:r>
        <w:rPr>
          <w:rFonts w:hint="eastAsia" w:ascii="宋体" w:hAnsi="宋体" w:cs="宋体"/>
          <w:b w:val="0"/>
          <w:bCs/>
          <w:color w:val="auto"/>
          <w:sz w:val="30"/>
          <w:szCs w:val="30"/>
          <w:highlight w:val="none"/>
          <w:lang w:eastAsia="zh-CN"/>
        </w:rPr>
        <w:t xml:space="preserve">（</w:t>
      </w:r>
      <w:r>
        <w:rPr>
          <w:rFonts w:hint="eastAsia" w:ascii="宋体" w:hAnsi="宋体" w:cs="宋体"/>
          <w:b w:val="0"/>
          <w:bCs/>
          <w:color w:val="auto"/>
          <w:sz w:val="30"/>
          <w:szCs w:val="30"/>
          <w:highlight w:val="none"/>
          <w:lang w:val="en-US" w:eastAsia="zh-CN"/>
        </w:rPr>
        <w:t xml:space="preserve">供参考</w:t>
      </w:r>
      <w:r>
        <w:rPr>
          <w:rFonts w:hint="eastAsia" w:ascii="宋体" w:hAnsi="宋体" w:cs="宋体"/>
          <w:b w:val="0"/>
          <w:bCs/>
          <w:color w:val="auto"/>
          <w:sz w:val="30"/>
          <w:szCs w:val="30"/>
          <w:highlight w:val="none"/>
          <w:lang w:eastAsia="zh-CN"/>
        </w:rPr>
        <w:t xml:space="preserve">）</w:t>
      </w:r>
      <w:r/>
    </w:p>
    <w:p>
      <w:pPr>
        <w:spacing w:line="460" w:lineRule="exact"/>
        <w:rPr>
          <w:rFonts w:ascii="宋体" w:hAnsi="宋体" w:eastAsia="宋体" w:cs="Times New Roman"/>
          <w:sz w:val="24"/>
        </w:rPr>
      </w:pPr>
      <w:r>
        <w:rPr>
          <w:rFonts w:hint="eastAsia" w:ascii="宋体" w:hAnsi="宋体" w:eastAsia="宋体" w:cs="Times New Roman"/>
          <w:bCs/>
          <w:sz w:val="24"/>
        </w:rPr>
        <w:t xml:space="preserve">合同编号：</w:t>
      </w:r>
      <w:r/>
    </w:p>
    <w:p>
      <w:pPr>
        <w:ind w:firstLine="480"/>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医疗设备保修合同</w:t>
      </w:r>
      <w:r/>
    </w:p>
    <w:p>
      <w:pPr>
        <w:ind w:right="210" w:firstLine="480"/>
        <w:jc w:val="right"/>
        <w:spacing w:line="460" w:lineRule="exact"/>
        <w:rPr>
          <w:rFonts w:ascii="宋体" w:hAnsi="宋体" w:eastAsia="宋体" w:cs="Times New Roman"/>
          <w:bCs/>
          <w:sz w:val="24"/>
        </w:rPr>
      </w:pPr>
      <w:r>
        <w:rPr>
          <w:rFonts w:ascii="宋体" w:hAnsi="宋体" w:eastAsia="宋体" w:cs="Times New Roman"/>
          <w:bCs/>
          <w:sz w:val="24"/>
        </w:rPr>
      </w:r>
      <w:r/>
    </w:p>
    <w:p>
      <w:pPr>
        <w:ind w:right="210" w:firstLine="480"/>
        <w:jc w:val="right"/>
        <w:spacing w:line="460" w:lineRule="exact"/>
        <w:rPr>
          <w:rFonts w:ascii="宋体" w:hAnsi="宋体" w:eastAsia="宋体" w:cs="Times New Roman"/>
          <w:bCs/>
          <w:sz w:val="24"/>
        </w:rPr>
      </w:pPr>
      <w:r>
        <w:rPr>
          <w:rFonts w:hint="eastAsia" w:ascii="宋体" w:hAnsi="宋体" w:eastAsia="宋体" w:cs="Times New Roman"/>
          <w:bCs/>
          <w:sz w:val="24"/>
        </w:rPr>
        <w:t xml:space="preserve">签约日期:     年  月  日                                                         </w:t>
      </w:r>
      <w:r/>
    </w:p>
    <w:p>
      <w:pPr>
        <w:ind w:right="210" w:firstLine="480"/>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                                </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 xml:space="preserve">签约地点：</w:t>
      </w:r>
      <w:r>
        <w:rPr>
          <w:rFonts w:hint="eastAsia" w:ascii="宋体" w:hAnsi="宋体" w:eastAsia="宋体" w:cs="宋体"/>
          <w:sz w:val="24"/>
        </w:rPr>
        <w:t xml:space="preserve"> </w:t>
      </w:r>
      <w:r>
        <w:rPr>
          <w:rFonts w:ascii="宋体" w:hAnsi="宋体" w:eastAsia="宋体" w:cs="宋体"/>
          <w:sz w:val="24"/>
        </w:rPr>
        <w:t xml:space="preserve">        </w:t>
      </w:r>
      <w:r>
        <w:rPr>
          <w:rFonts w:hint="eastAsia" w:ascii="宋体" w:hAnsi="宋体" w:eastAsia="宋体" w:cs="宋体"/>
          <w:sz w:val="24"/>
        </w:rPr>
        <w:t xml:space="preserve">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甲方（采购人）：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乙方（中标方）： </w:t>
      </w:r>
      <w:r/>
    </w:p>
    <w:p>
      <w:pPr>
        <w:spacing w:line="460" w:lineRule="exact"/>
        <w:rPr>
          <w:rFonts w:ascii="宋体" w:hAnsi="宋体" w:eastAsia="宋体" w:cs="Times New Roman"/>
          <w:bCs/>
          <w:sz w:val="24"/>
        </w:rPr>
      </w:pPr>
      <w:r>
        <w:rPr>
          <w:rFonts w:ascii="宋体" w:hAnsi="宋体" w:eastAsia="宋体" w:cs="Times New Roman"/>
          <w:bCs/>
          <w:sz w:val="24"/>
        </w:rPr>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为保证甲方</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医疗设备正常运行，经友好协商，甲乙双方签定本协议，共同信守。</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一、保修设备名称、型号   　　　    </w:t>
      </w:r>
      <w:r/>
    </w:p>
    <w:tbl>
      <w:tblPr>
        <w:tblStyle w:val="6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417"/>
        <w:gridCol w:w="1134"/>
        <w:gridCol w:w="1418"/>
        <w:gridCol w:w="1275"/>
      </w:tblGrid>
      <w:tr>
        <w:trPr>
          <w:jc w:val="center"/>
          <w:trHeight w:val="895"/>
        </w:trPr>
        <w:tc>
          <w:tcPr>
            <w:tcW w:w="675" w:type="dxa"/>
            <w:vAlign w:val="center"/>
            <w:textDirection w:val="lrTb"/>
            <w:noWrap w:val="false"/>
          </w:tcPr>
          <w:p>
            <w:pPr>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序号</w:t>
            </w:r>
            <w:r/>
          </w:p>
        </w:tc>
        <w:tc>
          <w:tcPr>
            <w:tcW w:w="1985" w:type="dxa"/>
            <w:vAlign w:val="center"/>
            <w:textDirection w:val="lrTb"/>
            <w:noWrap w:val="false"/>
          </w:tcPr>
          <w:p>
            <w:pPr>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设备名称</w:t>
            </w:r>
            <w:r/>
          </w:p>
        </w:tc>
        <w:tc>
          <w:tcPr>
            <w:tcW w:w="1417" w:type="dxa"/>
            <w:vAlign w:val="center"/>
            <w:textDirection w:val="lrTb"/>
            <w:noWrap w:val="false"/>
          </w:tcPr>
          <w:p>
            <w:pPr>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型号</w:t>
            </w:r>
            <w:r/>
          </w:p>
        </w:tc>
        <w:tc>
          <w:tcPr>
            <w:tcW w:w="1134" w:type="dxa"/>
            <w:vAlign w:val="center"/>
            <w:textDirection w:val="lrTb"/>
            <w:noWrap w:val="false"/>
          </w:tcPr>
          <w:p>
            <w:pPr>
              <w:jc w:val="center"/>
              <w:spacing w:line="460" w:lineRule="exact"/>
              <w:rPr>
                <w:rFonts w:ascii="宋体" w:hAnsi="宋体" w:eastAsia="宋体" w:cs="Times New Roman"/>
                <w:bCs/>
                <w:sz w:val="24"/>
              </w:rPr>
            </w:pPr>
            <w:r>
              <w:rPr>
                <w:rFonts w:ascii="宋体" w:hAnsi="宋体" w:eastAsia="宋体" w:cs="Times New Roman"/>
                <w:bCs/>
                <w:sz w:val="24"/>
              </w:rPr>
              <w:t xml:space="preserve">S/N</w:t>
            </w:r>
            <w:r/>
          </w:p>
        </w:tc>
        <w:tc>
          <w:tcPr>
            <w:tcW w:w="1418" w:type="dxa"/>
            <w:vAlign w:val="center"/>
            <w:textDirection w:val="lrTb"/>
            <w:noWrap w:val="false"/>
          </w:tcPr>
          <w:p>
            <w:pPr>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安装日期</w:t>
            </w:r>
            <w:r/>
          </w:p>
        </w:tc>
        <w:tc>
          <w:tcPr>
            <w:tcW w:w="1275" w:type="dxa"/>
            <w:vAlign w:val="center"/>
            <w:textDirection w:val="lrTb"/>
            <w:noWrap w:val="false"/>
          </w:tcPr>
          <w:p>
            <w:pPr>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备注</w:t>
            </w:r>
            <w:r/>
          </w:p>
        </w:tc>
      </w:tr>
      <w:tr>
        <w:trPr>
          <w:jc w:val="center"/>
        </w:trPr>
        <w:tc>
          <w:tcPr>
            <w:tcW w:w="675" w:type="dxa"/>
            <w:vAlign w:val="center"/>
            <w:textDirection w:val="lrTb"/>
            <w:noWrap w:val="false"/>
          </w:tcPr>
          <w:p>
            <w:pPr>
              <w:jc w:val="center"/>
              <w:spacing w:line="460" w:lineRule="exact"/>
              <w:rPr>
                <w:rFonts w:ascii="宋体" w:hAnsi="宋体" w:eastAsia="宋体" w:cs="Times New Roman"/>
                <w:bCs/>
                <w:sz w:val="24"/>
              </w:rPr>
            </w:pPr>
            <w:r>
              <w:rPr>
                <w:rFonts w:ascii="宋体" w:hAnsi="宋体" w:eastAsia="宋体" w:cs="Times New Roman"/>
                <w:bCs/>
                <w:sz w:val="24"/>
              </w:rPr>
            </w:r>
            <w:r/>
          </w:p>
        </w:tc>
        <w:tc>
          <w:tcPr>
            <w:tcW w:w="1985" w:type="dxa"/>
            <w:textDirection w:val="lrTb"/>
            <w:noWrap w:val="false"/>
          </w:tcPr>
          <w:p>
            <w:pPr>
              <w:jc w:val="center"/>
              <w:spacing w:line="460" w:lineRule="exact"/>
              <w:rPr>
                <w:rFonts w:ascii="宋体" w:hAnsi="宋体" w:eastAsia="宋体" w:cs="Times New Roman"/>
                <w:bCs/>
                <w:sz w:val="24"/>
              </w:rPr>
            </w:pPr>
            <w:r>
              <w:rPr>
                <w:rFonts w:ascii="宋体" w:hAnsi="宋体" w:eastAsia="宋体" w:cs="Times New Roman"/>
                <w:bCs/>
                <w:sz w:val="24"/>
              </w:rPr>
            </w:r>
            <w:r/>
          </w:p>
        </w:tc>
        <w:tc>
          <w:tcPr>
            <w:tcW w:w="1417" w:type="dxa"/>
            <w:textDirection w:val="lrTb"/>
            <w:noWrap w:val="false"/>
          </w:tcPr>
          <w:p>
            <w:pPr>
              <w:jc w:val="left"/>
              <w:spacing w:line="460" w:lineRule="exact"/>
              <w:rPr>
                <w:rFonts w:ascii="宋体" w:hAnsi="宋体" w:eastAsia="宋体" w:cs="Times New Roman"/>
                <w:bCs/>
                <w:sz w:val="24"/>
              </w:rPr>
            </w:pPr>
            <w:r>
              <w:rPr>
                <w:rFonts w:ascii="宋体" w:hAnsi="宋体" w:eastAsia="宋体" w:cs="Times New Roman"/>
                <w:bCs/>
                <w:sz w:val="24"/>
              </w:rPr>
            </w:r>
            <w:r/>
          </w:p>
        </w:tc>
        <w:tc>
          <w:tcPr>
            <w:tcW w:w="1134" w:type="dxa"/>
            <w:textDirection w:val="lrTb"/>
            <w:noWrap w:val="false"/>
          </w:tcPr>
          <w:p>
            <w:pPr>
              <w:jc w:val="left"/>
              <w:spacing w:line="460" w:lineRule="exact"/>
              <w:rPr>
                <w:rFonts w:ascii="宋体" w:hAnsi="宋体" w:eastAsia="宋体" w:cs="Times New Roman"/>
                <w:bCs/>
                <w:sz w:val="24"/>
              </w:rPr>
            </w:pPr>
            <w:r>
              <w:rPr>
                <w:rFonts w:ascii="宋体" w:hAnsi="宋体" w:eastAsia="宋体" w:cs="Times New Roman"/>
                <w:bCs/>
                <w:sz w:val="24"/>
              </w:rPr>
            </w:r>
            <w:r/>
          </w:p>
        </w:tc>
        <w:tc>
          <w:tcPr>
            <w:tcW w:w="1418" w:type="dxa"/>
            <w:textDirection w:val="lrTb"/>
            <w:noWrap w:val="false"/>
          </w:tcPr>
          <w:p>
            <w:pPr>
              <w:jc w:val="left"/>
              <w:spacing w:line="460" w:lineRule="exact"/>
              <w:rPr>
                <w:rFonts w:ascii="宋体" w:hAnsi="宋体" w:eastAsia="宋体" w:cs="Times New Roman"/>
                <w:bCs/>
                <w:sz w:val="24"/>
              </w:rPr>
            </w:pPr>
            <w:r>
              <w:rPr>
                <w:rFonts w:ascii="宋体" w:hAnsi="宋体" w:eastAsia="宋体" w:cs="Times New Roman"/>
                <w:bCs/>
                <w:sz w:val="24"/>
              </w:rPr>
            </w:r>
            <w:r/>
          </w:p>
        </w:tc>
        <w:tc>
          <w:tcPr>
            <w:tcW w:w="1275" w:type="dxa"/>
            <w:vAlign w:val="center"/>
            <w:textDirection w:val="lrTb"/>
            <w:noWrap w:val="false"/>
          </w:tcPr>
          <w:p>
            <w:pPr>
              <w:spacing w:line="460" w:lineRule="exact"/>
              <w:rPr>
                <w:rFonts w:ascii="宋体" w:hAnsi="宋体" w:eastAsia="宋体" w:cs="Times New Roman"/>
                <w:bCs/>
                <w:sz w:val="24"/>
              </w:rPr>
            </w:pPr>
            <w:r>
              <w:rPr>
                <w:rFonts w:ascii="宋体" w:hAnsi="宋体" w:eastAsia="宋体" w:cs="Times New Roman"/>
                <w:bCs/>
                <w:sz w:val="24"/>
              </w:rPr>
            </w:r>
            <w:r/>
          </w:p>
        </w:tc>
      </w:tr>
    </w:tbl>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二、保修期限</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1.保修期限：</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年，自</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日 至</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日止。</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2.维修响应时间：</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小时（国家法定节日假期除外）。</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三、保修类型：</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 ，如有需要可另附页注明具体保修或升级的详细项目清单及范围，并签字确认。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四、保修期内双方责任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（一）保修期内甲方责任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1.甲方应保证设备电源质量稳定、可靠，并对设备进行日常清洁保养和基本维护工作，做好故障记录。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2.未经乙方许可，原则上甲方不得自行拆卸，更换机上的线路板，元件或用本机测试其他单位线路板。</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3.保修期间，甲方提供乙方在甲方的基本工作条件。</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4.保修期间，甲方有义务保存乙方人员所需的设备书面资料及故障记录以备使用。</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5.保修期间，甲方应该按照设备使用手册的要求正确操作设备，并保证设备使用的电、气和水的正常供应，同时保证设备开启关闭时的环境处于正常状态。</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（二）保修期内乙方责任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1.乙方承担上述保修设备责任，在接到甲方故障通知后，须给予明确的答复，并在_____小时内赶到现场，由培训认证合格的专业工程师提供快速优质的现场服务。</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2.乙方人员在维修期间的往返费用由乙方自理。</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3.为保证甲方设备的正常运行，乙方应根据设备运行状况提供每年_____次（2、3、4）定期预防性维护，确保设备达到制造商标准运行；</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A)维护内容包括：a.设备清洁；b.性能测试；c.校准；d.必要的机械，电气检查；</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B)乙方工程师向甲方提供一份计划性的定期维修报告。乙方在预期保养时间之前二周通知甲方保养时间。乙方就计划性定期的维修服务检测内容需列出检测清单，同时需每年提交年检报告一份。</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4.乙方在系统故障维修过程中，⑴若签全保合同则必须免费更换配件，并由乙方承担人工费、搬运费、安装调试费及系统软件升级等保修过程中产生的一切费用。⑵若签半保（人工）合同则由乙方承担人工的所有一切费用。⑶若签半保（零配件合同）则由乙方承担零配件及其搬运、安装、调试等安装费用。⑷若签升级合同则由乙方承担升级中所牵涉到的任何费用。</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5.全保型开机率承诺：乙方承诺本合同所涉设备一年内开机率保证在95%以上。每年累计因设备故障原因停机不超过18个日历日，自合同签订之日起一年以365个日历日计算，停机天数超过一天，保修期限延长一天</w:t>
      </w:r>
      <w:r>
        <w:rPr>
          <w:rFonts w:hint="eastAsia" w:ascii="宋体" w:hAnsi="宋体" w:eastAsia="宋体" w:cs="Times New Roman"/>
          <w:bCs/>
          <w:color w:val="ff0000"/>
          <w:sz w:val="24"/>
        </w:rPr>
        <w:t xml:space="preserve">。</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6.不在本保修范围内的配套设施，如需更换，乙方以市场价的</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％优惠提供。</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7.如在维修中有任何设备零配件的更换，乙方需书面提供零配件损坏或报废证明及相应零配件价格清单，甲方根据需要书面确认后，乙方方可更换。乙方保证其更换的零配件质量合格，符合该设备运转需要，保修期内，非因</w:t>
      </w:r>
      <w:r>
        <w:rPr>
          <w:rFonts w:ascii="宋体" w:hAnsi="宋体" w:eastAsia="宋体" w:cs="Times New Roman"/>
          <w:bCs/>
          <w:sz w:val="24"/>
        </w:rPr>
        <w:t xml:space="preserve">甲方</w:t>
      </w:r>
      <w:r>
        <w:rPr>
          <w:rFonts w:hint="eastAsia" w:ascii="宋体" w:hAnsi="宋体" w:eastAsia="宋体" w:cs="Times New Roman"/>
          <w:bCs/>
          <w:sz w:val="24"/>
        </w:rPr>
        <w:t xml:space="preserve">原因造成的配件损耗，均由乙方承担。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8.保修期内，每次故障维修及保养事件，必须向甲方提供故障记录、保养记录、更换维修备件的数目及发生的所有费用清单并到设备部门备案登记。</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9.乙方维修人员在维修期间必须遵守院方在安全、防盗、停车、周围环境卫生及排放污物的有关规定，否则一切后果自负。</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10.若有其他优惠条件请另附页。</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五、合同总额及支付方式</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1.合同总额（人民币）：</w:t>
      </w:r>
      <w:r>
        <w:rPr>
          <w:rFonts w:hint="eastAsia" w:ascii="宋体" w:hAnsi="宋体" w:eastAsia="宋体" w:cs="Times New Roman"/>
          <w:bCs/>
          <w:sz w:val="24"/>
          <w:u w:val="single"/>
        </w:rPr>
        <w:t xml:space="preserve"> </w:t>
      </w:r>
      <w:r>
        <w:rPr>
          <w:rFonts w:hint="eastAsia" w:ascii="宋体" w:hAnsi="宋体" w:eastAsia="宋体" w:cs="Times New Roman"/>
          <w:bCs/>
          <w:sz w:val="24"/>
          <w:u w:val="single"/>
        </w:rPr>
        <w:tab/>
      </w:r>
      <w:r>
        <w:rPr>
          <w:rFonts w:hint="eastAsia" w:ascii="宋体" w:hAnsi="宋体" w:eastAsia="宋体" w:cs="Times New Roman"/>
          <w:bCs/>
          <w:sz w:val="24"/>
          <w:u w:val="single"/>
        </w:rPr>
        <w:tab/>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(大写)：</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  </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2.支付方式：经双方协商一致，选择以下第</w:t>
      </w:r>
      <w:r>
        <w:rPr>
          <w:rFonts w:hint="eastAsia" w:ascii="宋体" w:hAnsi="宋体" w:eastAsia="宋体" w:cs="Times New Roman"/>
          <w:bCs/>
          <w:sz w:val="24"/>
          <w:u w:val="single"/>
        </w:rPr>
        <w:t xml:space="preserve">     种</w:t>
      </w:r>
      <w:r>
        <w:rPr>
          <w:rFonts w:hint="eastAsia" w:ascii="宋体" w:hAnsi="宋体" w:eastAsia="宋体" w:cs="Times New Roman"/>
          <w:bCs/>
          <w:sz w:val="24"/>
        </w:rPr>
        <w:t xml:space="preserve">付款方式：</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付款方式一：（提交预付款保函的）</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第一年合同价款的百分之四十（40%），即￥    ；大写：人民币   ，在合同签订生效且乙方向甲方出具第一年合同总价的百分之四十（40%)的预付款保函，由甲方根据审批流程，办理政府采购结算手续，经审核符合条件后，乙方向甲方开具相应金额的正式发票，甲方自收到发票后10个工作日内，将资金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第一年合同价款的百分之六十（60%），即￥    ；大写：人民币    ，在乙方履行维保服务期限满1年，达到甲方服务要求，甲方可凭乙方出具的设备年度服务合格报告，经双方书面确认符合维保要求，无责任纠纷，将乙方服务资金费用一次性支付到合同约定的乙方账户。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第二年合同价款的百分之百（100%），即￥    ；大写：人民币    ，在乙方履行维保服务期限满2年，达到甲方服务要求，甲方可凭乙方出具的设备年度服务合格报告，经双方书面确认符合维保要求，无责任纠纷，将乙方服务资金费用一次性支付到合同约定的乙方账户。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第三年合同价款的百分之百（100%），即￥    ；大写：人民币    ，在乙方履行维保服务期限满3年，达到甲方服务要求，甲方可凭乙方出具的设备年度服务合格报告，经双方书面确认符合维保要求，无责任纠纷，将乙方服务资金费用一次性支付到合同约定的乙方账户。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在签订合同时，如乙方明确表示无需预付款的，甲方可凭乙方出具的设备年度服务合格报告，经双方书面确认符合维保要求，无责任纠纷，将乙方服务资金费用一次性支付到合同约定的乙方账户，（一年一付）（注：此条符合苏财购〔2020〕52号文件要求））</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付款方式二：（不提交预付款保函的）</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第一年合同价款的百分之三十（30%），即￥    ；大写：人民币    ，在合同签订生效后，由甲方根据审批流程，办理政府采购结算手续，经审核符合条件后，乙方向甲方开具相应金额的正式发票，甲方自收到发票后10个工作日内，将资金支付到合同约定的乙方账户。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第一年合同价款的百分之七十（70%），即￥    ；大写：人民币   ，在乙方履行维保服务期限满1年，达到甲方服务要求，甲方可凭乙方出具的设备年度服务合格报告，经双方书面确认符合维保要求，无责任纠纷，将乙方服务资金费用一次性支付到合同约定的乙方账户。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第二年合同价款的百分之百（100%），即￥    ；大写：人民币    ，在乙方履行维保服务期限满2年，达到甲方服务要求，甲方可凭乙方出具的设备年度服务合格报告，经双方书面确认符合维保要求，无责任纠纷，将乙方服务资金费用一次性支付到合同约定的乙方账户。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第三年合同价款的百分之百（100%），即￥    ；大写：人民币    ，在乙方履行维保服务期限满3年，达到甲方服务要求，甲方可凭乙方出具的设备年度服务合格报告，经双方书面确认符合维保要求，无责任纠纷，将乙方服务资金费用一次性支付到合同约定的乙方账户。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付款方式三：（乙方明确表示无需预付款）</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服务每满半年，甲方可凭乙方出具的设备年度服务合格报告，经双方书面确认符合维保要求，无责任纠纷，甲方根据审批流程，经审核符合支付条件，乙方向甲方开具相应金额的正式发票，甲方自收到发票后</w:t>
      </w:r>
      <w:r>
        <w:rPr>
          <w:rFonts w:hint="eastAsia" w:ascii="宋体" w:hAnsi="宋体" w:cs="Times New Roman"/>
          <w:bCs/>
          <w:sz w:val="24"/>
          <w:lang w:val="en-US" w:eastAsia="zh-CN"/>
        </w:rPr>
        <w:t xml:space="preserve">10</w:t>
      </w:r>
      <w:r>
        <w:rPr>
          <w:rFonts w:hint="eastAsia" w:ascii="宋体" w:hAnsi="宋体" w:eastAsia="宋体" w:cs="Times New Roman"/>
          <w:bCs/>
          <w:sz w:val="24"/>
        </w:rPr>
        <w:t xml:space="preserve">个工作日内，将乙方服务资金费用按半年一次性支付到合同约定的乙方账号（服务期内半年一付，直到期满付清）（注：此条符合苏财购〔2020〕52号文件要求）</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开户银行：</w:t>
      </w:r>
      <w:r/>
    </w:p>
    <w:p>
      <w:pPr>
        <w:ind w:firstLine="480"/>
        <w:spacing w:line="460" w:lineRule="exact"/>
        <w:rPr>
          <w:rFonts w:ascii="宋体" w:hAnsi="宋体" w:eastAsia="宋体" w:cs="Times New Roman"/>
          <w:bCs/>
          <w:sz w:val="24"/>
          <w:u w:val="single"/>
        </w:rPr>
      </w:pPr>
      <w:r>
        <w:rPr>
          <w:rFonts w:hint="eastAsia" w:ascii="宋体" w:hAnsi="宋体" w:eastAsia="宋体" w:cs="Times New Roman"/>
          <w:bCs/>
          <w:sz w:val="24"/>
        </w:rPr>
        <w:t xml:space="preserve">银行帐号：</w:t>
      </w:r>
      <w:r>
        <w:rPr>
          <w:rFonts w:hint="eastAsia" w:ascii="宋体" w:hAnsi="宋体" w:eastAsia="宋体" w:cs="Times New Roman"/>
          <w:bCs/>
          <w:sz w:val="24"/>
          <w:u w:val="single"/>
        </w:rPr>
        <w:t xml:space="preserve">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六、违约责任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1.由于公认的不可抗力事件造成的损坏（如自然灾害、爆炸、房屋倒塌、暴乱、坠机及撞蓄意破坏、缺乏燃料或水电、劳资纠纷、罢工等），乙方根据实际情况部分或全部免除责任，但应及时通知甲方。</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2.因为乙方不履行合同或者履行合同不符合约定给甲方造成损失的，乙方负责赔偿直接与间接损失， 该损失赔偿额包括但不限于损害赔偿金、需方为解决纠纷而产生的律师费、诉讼费、差旅费等费用。</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3.在维修合同有效期内，如需更换第三方零备件，需双方协商解决。</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4.在执行维修合同期间，如甲方停用设备，按实际使用月数结算维修款，停用起止日以甲方书面通知达到乙方为准；遇其他情况终止合同，需经双方协商解决。</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七、乙方在保修期内维护保养的次数与内容、更换维修备件的数目及发生的所有费用以年末甲、乙双方共同核对为准，相关文件交甲方存档。</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八、争议解决</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双方应本着友好协商的原则解决争议。若争议发生后的三十天内双方仍未达成解决方案，则任何一方有权向甲方所在地人民法院起诉。本合同适用中华人民共和国法律。</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九、合同不可分割部分</w:t>
      </w:r>
      <w:r/>
    </w:p>
    <w:p>
      <w:pPr>
        <w:ind w:firstLine="480"/>
        <w:jc w:val="left"/>
        <w:spacing w:line="440" w:lineRule="exact"/>
        <w:tabs>
          <w:tab w:val="left" w:pos="210" w:leader="none"/>
          <w:tab w:val="left" w:pos="420" w:leader="none"/>
          <w:tab w:val="left" w:pos="1155" w:leader="none"/>
        </w:tabs>
        <w:rPr>
          <w:rFonts w:ascii="宋体" w:hAnsi="宋体" w:eastAsia="宋体" w:cs="Times New Roman"/>
          <w:bCs/>
          <w:sz w:val="24"/>
        </w:rPr>
      </w:pPr>
      <w:r>
        <w:rPr>
          <w:rFonts w:hint="eastAsia" w:ascii="宋体" w:hAnsi="宋体" w:eastAsia="宋体" w:cs="Times New Roman"/>
          <w:bCs/>
          <w:sz w:val="24"/>
          <w:szCs w:val="24"/>
        </w:rPr>
        <w:t xml:space="preserve">招标文件、投标文件、合同条款及中标通知书，供方在投标、评标过程中所作其它有关承诺、声明、书面澄清等均为合同不可分割的部分，与主合同具有同等法律效力</w:t>
      </w:r>
      <w:r>
        <w:rPr>
          <w:rFonts w:hint="eastAsia" w:ascii="宋体" w:hAnsi="宋体" w:eastAsia="宋体" w:cs="Times New Roman"/>
          <w:bCs/>
          <w:sz w:val="24"/>
        </w:rPr>
        <w:t xml:space="preserve">。</w:t>
      </w:r>
      <w:r/>
    </w:p>
    <w:p>
      <w:pPr>
        <w:ind w:firstLine="480"/>
        <w:jc w:val="left"/>
        <w:spacing w:line="440" w:lineRule="exact"/>
        <w:tabs>
          <w:tab w:val="left" w:pos="210" w:leader="none"/>
          <w:tab w:val="left" w:pos="735" w:leader="none"/>
          <w:tab w:val="left" w:pos="1155" w:leader="none"/>
        </w:tabs>
        <w:rPr>
          <w:rFonts w:ascii="宋体" w:hAnsi="宋体" w:eastAsia="宋体" w:cs="Times New Roman"/>
          <w:bCs/>
          <w:sz w:val="24"/>
        </w:rPr>
      </w:pPr>
      <w:r>
        <w:rPr>
          <w:rFonts w:hint="eastAsia" w:ascii="宋体" w:hAnsi="宋体" w:eastAsia="宋体" w:cs="Times New Roman"/>
          <w:bCs/>
          <w:sz w:val="24"/>
        </w:rPr>
        <w:t xml:space="preserve">十、</w:t>
      </w:r>
      <w:r>
        <w:rPr>
          <w:rFonts w:hint="eastAsia" w:ascii="宋体" w:hAnsi="宋体" w:eastAsia="宋体" w:cs="Times New Roman"/>
          <w:bCs/>
          <w:sz w:val="24"/>
          <w:szCs w:val="24"/>
        </w:rPr>
        <w:t xml:space="preserve">合同一式</w:t>
      </w:r>
      <w:r>
        <w:rPr>
          <w:rFonts w:hint="eastAsia" w:ascii="宋体" w:hAnsi="宋体" w:cs="Times New Roman"/>
          <w:bCs/>
          <w:sz w:val="24"/>
          <w:szCs w:val="24"/>
          <w:lang w:val="en-US" w:eastAsia="zh-CN"/>
        </w:rPr>
        <w:t xml:space="preserve">肆</w:t>
      </w:r>
      <w:r>
        <w:rPr>
          <w:rFonts w:hint="eastAsia" w:ascii="宋体" w:hAnsi="宋体" w:eastAsia="宋体" w:cs="Times New Roman"/>
          <w:bCs/>
          <w:sz w:val="24"/>
          <w:szCs w:val="24"/>
        </w:rPr>
        <w:t xml:space="preserve">份，甲方</w:t>
      </w:r>
      <w:r>
        <w:rPr>
          <w:rFonts w:hint="eastAsia" w:ascii="宋体" w:hAnsi="宋体" w:cs="Times New Roman"/>
          <w:bCs/>
          <w:sz w:val="24"/>
          <w:szCs w:val="24"/>
          <w:lang w:val="en-US" w:eastAsia="zh-CN"/>
        </w:rPr>
        <w:t xml:space="preserve">贰</w:t>
      </w:r>
      <w:r>
        <w:rPr>
          <w:rFonts w:hint="eastAsia" w:ascii="宋体" w:hAnsi="宋体" w:eastAsia="宋体" w:cs="Times New Roman"/>
          <w:bCs/>
          <w:sz w:val="24"/>
          <w:szCs w:val="24"/>
        </w:rPr>
        <w:t xml:space="preserve">份，乙方</w:t>
      </w:r>
      <w:r>
        <w:rPr>
          <w:rFonts w:hint="eastAsia" w:ascii="宋体" w:hAnsi="宋体" w:cs="Times New Roman"/>
          <w:bCs/>
          <w:sz w:val="24"/>
          <w:szCs w:val="24"/>
          <w:lang w:val="en-US" w:eastAsia="zh-CN"/>
        </w:rPr>
        <w:t xml:space="preserve">贰</w:t>
      </w:r>
      <w:r>
        <w:rPr>
          <w:rFonts w:hint="eastAsia" w:ascii="宋体" w:hAnsi="宋体" w:eastAsia="宋体" w:cs="Times New Roman"/>
          <w:bCs/>
          <w:sz w:val="24"/>
          <w:szCs w:val="24"/>
        </w:rPr>
        <w:t xml:space="preserve">份</w:t>
      </w:r>
      <w:r>
        <w:rPr>
          <w:rFonts w:hint="eastAsia" w:ascii="宋体" w:hAnsi="宋体" w:eastAsia="宋体" w:cs="Times New Roman"/>
          <w:bCs/>
          <w:sz w:val="24"/>
        </w:rPr>
        <w:t xml:space="preserve">。</w:t>
      </w:r>
      <w:r>
        <w:rPr>
          <w:rFonts w:hint="eastAsia" w:ascii="宋体" w:hAnsi="宋体" w:eastAsia="宋体" w:cs="Times New Roman"/>
          <w:bCs/>
          <w:sz w:val="24"/>
          <w:szCs w:val="24"/>
        </w:rPr>
        <w:t xml:space="preserve">本合同由供需双方签字、盖章，见证后生效。</w:t>
      </w:r>
      <w:r>
        <w:rPr>
          <w:rFonts w:hint="eastAsia" w:ascii="宋体" w:hAnsi="宋体" w:eastAsia="宋体" w:cs="Times New Roman"/>
          <w:bCs/>
          <w:sz w:val="24"/>
        </w:rPr>
        <w:t xml:space="preserve">合同生效后，在合同有效期内，除非双方的授权代表以书面的方式确认，任何一方不得擅自变更本合同内容。未尽事宜，双方应本着友好合作精神协商解决。</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十一、本合同首部确定的各方联系方式为各方确定的合同履行期间相关材料及争议解决时法律文书的送达地址。送达</w:t>
      </w:r>
      <w:r>
        <w:rPr>
          <w:rFonts w:ascii="宋体" w:hAnsi="宋体" w:eastAsia="宋体" w:cs="Times New Roman"/>
          <w:bCs/>
          <w:sz w:val="24"/>
        </w:rPr>
        <w:t xml:space="preserve">地址如发生改变应当</w:t>
      </w:r>
      <w:r>
        <w:rPr>
          <w:rFonts w:hint="eastAsia" w:ascii="宋体" w:hAnsi="宋体" w:eastAsia="宋体" w:cs="Times New Roman"/>
          <w:bCs/>
          <w:sz w:val="24"/>
        </w:rPr>
        <w:t xml:space="preserve">在</w:t>
      </w:r>
      <w:r>
        <w:rPr>
          <w:rFonts w:ascii="宋体" w:hAnsi="宋体" w:eastAsia="宋体" w:cs="Times New Roman"/>
          <w:bCs/>
          <w:sz w:val="24"/>
        </w:rPr>
        <w:t xml:space="preserve">变更前五日内书面通知对方</w:t>
      </w:r>
      <w:r>
        <w:rPr>
          <w:rFonts w:hint="eastAsia" w:ascii="宋体" w:hAnsi="宋体" w:eastAsia="宋体" w:cs="Times New Roman"/>
          <w:bCs/>
          <w:sz w:val="24"/>
        </w:rPr>
        <w:t xml:space="preserve">。本合同</w:t>
      </w:r>
      <w:r>
        <w:rPr>
          <w:rFonts w:ascii="宋体" w:hAnsi="宋体" w:eastAsia="宋体" w:cs="Times New Roman"/>
          <w:bCs/>
          <w:sz w:val="24"/>
        </w:rPr>
        <w:t xml:space="preserve">履行期间相关材料</w:t>
      </w:r>
      <w:r>
        <w:rPr>
          <w:rFonts w:hint="eastAsia" w:ascii="宋体" w:hAnsi="宋体" w:eastAsia="宋体" w:cs="Times New Roman"/>
          <w:bCs/>
          <w:sz w:val="24"/>
        </w:rPr>
        <w:t xml:space="preserve">及</w:t>
      </w:r>
      <w:r>
        <w:rPr>
          <w:rFonts w:ascii="宋体" w:hAnsi="宋体" w:eastAsia="宋体" w:cs="Times New Roman"/>
          <w:bCs/>
          <w:sz w:val="24"/>
        </w:rPr>
        <w:t xml:space="preserve">争议解决时法律文书到达合同约定的</w:t>
      </w:r>
      <w:r>
        <w:rPr>
          <w:rFonts w:hint="eastAsia" w:ascii="宋体" w:hAnsi="宋体" w:eastAsia="宋体" w:cs="Times New Roman"/>
          <w:bCs/>
          <w:sz w:val="24"/>
        </w:rPr>
        <w:t xml:space="preserve">地址</w:t>
      </w:r>
      <w:r>
        <w:rPr>
          <w:rFonts w:ascii="宋体" w:hAnsi="宋体" w:eastAsia="宋体" w:cs="Times New Roman"/>
          <w:bCs/>
          <w:sz w:val="24"/>
        </w:rPr>
        <w:t xml:space="preserve">、</w:t>
      </w:r>
      <w:r>
        <w:rPr>
          <w:rFonts w:hint="eastAsia" w:ascii="宋体" w:hAnsi="宋体" w:eastAsia="宋体" w:cs="Times New Roman"/>
          <w:bCs/>
          <w:sz w:val="24"/>
        </w:rPr>
        <w:t xml:space="preserve">联系</w:t>
      </w:r>
      <w:r>
        <w:rPr>
          <w:rFonts w:ascii="宋体" w:hAnsi="宋体" w:eastAsia="宋体" w:cs="Times New Roman"/>
          <w:bCs/>
          <w:sz w:val="24"/>
        </w:rPr>
        <w:t xml:space="preserve">人、邮箱</w:t>
      </w:r>
      <w:r>
        <w:rPr>
          <w:rFonts w:hint="eastAsia" w:ascii="宋体" w:hAnsi="宋体" w:eastAsia="宋体" w:cs="Times New Roman"/>
          <w:bCs/>
          <w:sz w:val="24"/>
        </w:rPr>
        <w:t xml:space="preserve">时</w:t>
      </w:r>
      <w:r>
        <w:rPr>
          <w:rFonts w:ascii="宋体" w:hAnsi="宋体" w:eastAsia="宋体" w:cs="Times New Roman"/>
          <w:bCs/>
          <w:sz w:val="24"/>
        </w:rPr>
        <w:t xml:space="preserve">视为</w:t>
      </w:r>
      <w:r>
        <w:rPr>
          <w:rFonts w:hint="eastAsia" w:ascii="宋体" w:hAnsi="宋体" w:eastAsia="宋体" w:cs="Times New Roman"/>
          <w:bCs/>
          <w:sz w:val="24"/>
        </w:rPr>
        <w:t xml:space="preserve">相关</w:t>
      </w:r>
      <w:r>
        <w:rPr>
          <w:rFonts w:ascii="宋体" w:hAnsi="宋体" w:eastAsia="宋体" w:cs="Times New Roman"/>
          <w:bCs/>
          <w:sz w:val="24"/>
        </w:rPr>
        <w:t xml:space="preserve">材料送达</w:t>
      </w:r>
      <w:r>
        <w:rPr>
          <w:rFonts w:hint="eastAsia" w:ascii="宋体" w:hAnsi="宋体" w:eastAsia="宋体" w:cs="Times New Roman"/>
          <w:bCs/>
          <w:sz w:val="24"/>
        </w:rPr>
        <w:t xml:space="preserve">完成</w:t>
      </w:r>
      <w:r>
        <w:rPr>
          <w:rFonts w:ascii="宋体" w:hAnsi="宋体" w:eastAsia="宋体" w:cs="Times New Roman"/>
          <w:bCs/>
          <w:sz w:val="24"/>
        </w:rPr>
        <w:t xml:space="preserve">。</w:t>
      </w:r>
      <w:r/>
    </w:p>
    <w:p>
      <w:pPr>
        <w:spacing w:line="460" w:lineRule="exact"/>
        <w:rPr>
          <w:rFonts w:ascii="宋体" w:hAnsi="宋体" w:eastAsia="宋体" w:cs="Times New Roman"/>
          <w:bCs/>
          <w:sz w:val="24"/>
        </w:rPr>
      </w:pPr>
      <w:r>
        <w:rPr>
          <w:rFonts w:ascii="宋体" w:hAnsi="宋体" w:eastAsia="宋体" w:cs="Times New Roman"/>
          <w:bCs/>
          <w:sz w:val="24"/>
        </w:rPr>
      </w:r>
      <w:r/>
    </w:p>
    <w:p>
      <w:pPr>
        <w:ind w:firstLine="480"/>
        <w:spacing w:line="460" w:lineRule="exact"/>
        <w:rPr>
          <w:rFonts w:ascii="宋体" w:hAnsi="宋体" w:eastAsia="宋体" w:cs="Times New Roman"/>
          <w:sz w:val="24"/>
        </w:rPr>
      </w:pPr>
      <w:r>
        <w:rPr>
          <w:rFonts w:hint="eastAsia" w:ascii="宋体" w:hAnsi="宋体" w:eastAsia="宋体" w:cs="Times New Roman"/>
          <w:bCs/>
          <w:sz w:val="24"/>
        </w:rPr>
        <w:t xml:space="preserve">甲方：（盖章）                              乙方： （盖章）</w:t>
      </w:r>
      <w:r/>
    </w:p>
    <w:p>
      <w:pPr>
        <w:ind w:firstLine="480"/>
        <w:spacing w:line="460" w:lineRule="exact"/>
        <w:rPr>
          <w:rFonts w:ascii="宋体" w:hAnsi="宋体" w:eastAsia="宋体" w:cs="Times New Roman"/>
          <w:sz w:val="24"/>
        </w:rPr>
      </w:pPr>
      <w:r>
        <w:rPr>
          <w:rFonts w:hint="eastAsia" w:ascii="宋体" w:hAnsi="宋体" w:eastAsia="宋体" w:cs="Times New Roman"/>
          <w:bCs/>
          <w:sz w:val="24"/>
        </w:rPr>
        <w:t xml:space="preserve"> </w:t>
      </w:r>
      <w:r/>
    </w:p>
    <w:p>
      <w:pPr>
        <w:ind w:firstLine="480"/>
        <w:spacing w:line="460" w:lineRule="exact"/>
        <w:rPr>
          <w:rFonts w:ascii="宋体" w:hAnsi="宋体" w:eastAsia="宋体" w:cs="Times New Roman"/>
          <w:sz w:val="24"/>
        </w:rPr>
      </w:pPr>
      <w:r>
        <w:rPr>
          <w:rFonts w:hint="eastAsia" w:ascii="宋体" w:hAnsi="宋体" w:eastAsia="宋体" w:cs="Times New Roman"/>
          <w:bCs/>
          <w:sz w:val="24"/>
        </w:rPr>
        <w:t xml:space="preserve">甲方法定代表人                              乙方法定代表人</w:t>
      </w:r>
      <w:r/>
    </w:p>
    <w:p>
      <w:pPr>
        <w:ind w:firstLine="480"/>
        <w:spacing w:line="460" w:lineRule="exact"/>
        <w:rPr>
          <w:rFonts w:ascii="宋体" w:hAnsi="宋体" w:eastAsia="宋体" w:cs="Times New Roman"/>
          <w:sz w:val="24"/>
        </w:rPr>
      </w:pPr>
      <w:r>
        <w:rPr>
          <w:rFonts w:hint="eastAsia" w:ascii="宋体" w:hAnsi="宋体" w:eastAsia="宋体" w:cs="Times New Roman"/>
          <w:bCs/>
          <w:sz w:val="24"/>
        </w:rPr>
        <w:t xml:space="preserve">或授权代表人：                              或授权代表人：</w:t>
      </w:r>
      <w:r/>
    </w:p>
    <w:p>
      <w:pPr>
        <w:ind w:firstLine="480"/>
        <w:spacing w:line="460" w:lineRule="exact"/>
        <w:rPr>
          <w:rFonts w:ascii="宋体" w:hAnsi="宋体" w:eastAsia="宋体" w:cs="Times New Roman"/>
          <w:bCs/>
          <w:sz w:val="24"/>
        </w:rPr>
      </w:pPr>
      <w:r>
        <w:rPr>
          <w:rFonts w:hint="eastAsia" w:ascii="宋体" w:hAnsi="宋体" w:eastAsia="宋体" w:cs="Times New Roman"/>
          <w:sz w:val="24"/>
        </w:rPr>
        <w:t xml:space="preserve">____________________                        __________________</w:t>
      </w:r>
      <w:r/>
    </w:p>
    <w:p>
      <w:pPr>
        <w:spacing w:after="200" w:line="276" w:lineRule="auto"/>
        <w:rPr>
          <w:rFonts w:ascii="宋体" w:hAnsi="宋体" w:eastAsia="宋体" w:cs="Times New Roman"/>
          <w:bCs/>
          <w:sz w:val="24"/>
        </w:rPr>
      </w:pPr>
      <w:r>
        <w:rPr>
          <w:rFonts w:ascii="宋体" w:hAnsi="宋体" w:eastAsia="宋体" w:cs="Times New Roman"/>
          <w:bCs/>
          <w:sz w:val="24"/>
        </w:rPr>
      </w:r>
      <w:r/>
    </w:p>
    <w:p>
      <w:pPr>
        <w:spacing w:line="360" w:lineRule="auto"/>
        <w:rPr>
          <w:rFonts w:hint="eastAsia" w:ascii="宋体" w:hAnsi="宋体" w:eastAsia="宋体" w:cs="宋体"/>
          <w:b w:val="0"/>
          <w:bCs/>
          <w:color w:val="auto"/>
          <w:sz w:val="24"/>
          <w:highlight w:val="none"/>
        </w:rPr>
      </w:pPr>
      <w:r>
        <w:rPr>
          <w:rFonts w:hint="eastAsia" w:ascii="宋体" w:hAnsi="宋体" w:cs="Times New Roman"/>
          <w:bCs/>
          <w:sz w:val="24"/>
          <w:lang w:val="en-US" w:eastAsia="zh-CN"/>
        </w:rPr>
        <w:t xml:space="preserve"> </w:t>
      </w:r>
      <w:r>
        <w:rPr>
          <w:rFonts w:hint="eastAsia" w:ascii="宋体" w:hAnsi="宋体" w:eastAsia="宋体" w:cs="宋体"/>
          <w:b w:val="0"/>
          <w:bCs/>
          <w:color w:val="auto"/>
          <w:sz w:val="24"/>
          <w:highlight w:val="none"/>
        </w:rPr>
        <w:t xml:space="preserve">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24"/>
          <w:highlight w:val="none"/>
        </w:rPr>
        <w:br w:type="page" w:clear="all"/>
      </w:r>
      <w:r/>
    </w:p>
    <w:p>
      <w:pPr>
        <w:jc w:val="both"/>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w:t>
      </w:r>
      <w:r>
        <w:rPr>
          <w:rFonts w:hint="eastAsia" w:ascii="宋体" w:hAnsi="宋体" w:cs="宋体"/>
          <w:b w:val="0"/>
          <w:bCs/>
          <w:color w:val="auto"/>
          <w:sz w:val="24"/>
          <w:szCs w:val="24"/>
          <w:highlight w:val="none"/>
          <w:lang w:val="en-US" w:eastAsia="zh-CN"/>
        </w:rPr>
        <w:t xml:space="preserve">关</w:t>
      </w:r>
      <w:r>
        <w:rPr>
          <w:rFonts w:hint="eastAsia" w:ascii="宋体" w:hAnsi="宋体" w:eastAsia="宋体" w:cs="宋体"/>
          <w:b w:val="0"/>
          <w:bCs/>
          <w:color w:val="auto"/>
          <w:sz w:val="24"/>
          <w:szCs w:val="24"/>
          <w:highlight w:val="none"/>
        </w:rPr>
        <w:t xml:space="preserve">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jc w:val="center"/>
        <w:rPr>
          <w:rFonts w:hint="default" w:ascii="Times New Roman" w:hAnsi="Times New Roman" w:eastAsia="宋体" w:cs="Times New Roman"/>
          <w:color w:val="000000"/>
          <w:highlight w:val="none"/>
        </w:rPr>
      </w:pPr>
      <w:r>
        <w:rPr>
          <w:rFonts w:ascii="宋体" w:hAnsi="宋体" w:eastAsia="宋体"/>
          <w:color w:val="000000"/>
          <w:highlight w:val="none"/>
        </w:rPr>
        <w:br w:type="page" w:clear="all"/>
      </w:r>
      <w:r>
        <w:rPr>
          <w:rFonts w:ascii="宋体" w:hAnsi="宋体" w:eastAsia="宋体" w:cs="Times New Roman"/>
          <w:b/>
          <w:bCs/>
          <w:color w:val="000000"/>
          <w:sz w:val="30"/>
          <w:szCs w:val="44"/>
          <w:highlight w:val="none"/>
          <w:lang w:val="en-US" w:eastAsia="zh-CN" w:bidi="ar-SA"/>
        </w:rPr>
        <w:t xml:space="preserve">第六章  采购需求</w:t>
      </w:r>
      <w:bookmarkEnd w:id="17"/>
      <w:r/>
      <w:bookmarkEnd w:id="18"/>
      <w:r/>
      <w:r/>
    </w:p>
    <w:p>
      <w:pPr>
        <w:keepLines w:val="0"/>
        <w:keepNext w:val="0"/>
        <w:pageBreakBefore w:val="0"/>
        <w:spacing w:line="360" w:lineRule="auto"/>
        <w:widowControl/>
        <w:rPr>
          <w:rFonts w:hint="eastAsia" w:asciiTheme="minorEastAsia" w:hAnsiTheme="minorEastAsia" w:eastAsiaTheme="minorEastAsia" w:cstheme="minorEastAsia"/>
          <w:b/>
          <w:bCs/>
          <w:sz w:val="24"/>
          <w:szCs w:val="24"/>
        </w:rPr>
      </w:pPr>
      <w:r/>
      <w:bookmarkStart w:id="19" w:name="_Toc522790136"/>
      <w:r/>
      <w:bookmarkStart w:id="20" w:name="_Toc523404701"/>
      <w:r>
        <w:rPr>
          <w:rFonts w:hint="eastAsia" w:asciiTheme="minorEastAsia" w:hAnsiTheme="minorEastAsia" w:eastAsiaTheme="minorEastAsia" w:cstheme="minorEastAsia"/>
          <w:b/>
          <w:bCs/>
          <w:sz w:val="24"/>
          <w:szCs w:val="24"/>
          <w:lang w:val="en-US" w:eastAsia="zh-CN"/>
        </w:rPr>
        <w:t xml:space="preserve">一</w:t>
      </w:r>
      <w:r>
        <w:rPr>
          <w:rFonts w:hint="eastAsia" w:asciiTheme="minorEastAsia" w:hAnsiTheme="minorEastAsia" w:eastAsiaTheme="minorEastAsia" w:cstheme="minorEastAsia"/>
          <w:b/>
          <w:bCs/>
          <w:sz w:val="24"/>
          <w:szCs w:val="24"/>
        </w:rPr>
        <w:t xml:space="preserve">、维保清单</w:t>
      </w:r>
      <w:r/>
    </w:p>
    <w:tbl>
      <w:tblPr>
        <w:tblStyle w:val="725"/>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gridCol w:w="1906"/>
        <w:gridCol w:w="3044"/>
        <w:gridCol w:w="720"/>
      </w:tblGrid>
      <w:tr>
        <w:trPr/>
        <w:tc>
          <w:tcPr>
            <w:tcW w:w="111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90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设备名称</w:t>
            </w:r>
            <w:r/>
          </w:p>
        </w:tc>
        <w:tc>
          <w:tcPr>
            <w:tcW w:w="304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型号</w:t>
            </w:r>
            <w:r/>
          </w:p>
        </w:tc>
        <w:tc>
          <w:tcPr>
            <w:tcW w:w="72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r>
      <w:tr>
        <w:trPr/>
        <w:tc>
          <w:tcPr>
            <w:tcW w:w="1112" w:type="dxa"/>
            <w:vAlign w:val="center"/>
            <w:textDirection w:val="lrTb"/>
            <w:noWrap w:val="false"/>
          </w:tcPr>
          <w:p>
            <w:pPr>
              <w:jc w:val="center"/>
              <w:keepLines w:val="0"/>
              <w:keepNext w:val="0"/>
              <w:pageBreakBefore w:val="0"/>
              <w:spacing w:line="360" w:lineRule="auto"/>
              <w:widowControl/>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p>
        </w:tc>
        <w:tc>
          <w:tcPr>
            <w:tcW w:w="190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AU"/>
              </w:rPr>
            </w:pPr>
            <w:r>
              <w:rPr>
                <w:rFonts w:hint="eastAsia" w:asciiTheme="minorEastAsia" w:hAnsiTheme="minorEastAsia" w:eastAsiaTheme="minorEastAsia" w:cstheme="minorEastAsia"/>
                <w:sz w:val="24"/>
                <w:szCs w:val="24"/>
                <w:lang w:eastAsia="zh-CN"/>
              </w:rPr>
              <w:t xml:space="preserve">3.0T核磁共振</w:t>
            </w:r>
            <w:r/>
          </w:p>
        </w:tc>
        <w:tc>
          <w:tcPr>
            <w:tcW w:w="304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AU"/>
              </w:rPr>
              <w:t xml:space="preserve">Ingenia 3.0T</w:t>
            </w:r>
            <w:r/>
          </w:p>
        </w:tc>
        <w:tc>
          <w:tcPr>
            <w:tcW w:w="72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台</w:t>
            </w:r>
            <w:r/>
          </w:p>
        </w:tc>
      </w:tr>
      <w:tr>
        <w:trPr/>
        <w:tc>
          <w:tcPr>
            <w:tcW w:w="1112" w:type="dxa"/>
            <w:vAlign w:val="center"/>
            <w:textDirection w:val="lrTb"/>
            <w:noWrap w:val="false"/>
          </w:tcPr>
          <w:p>
            <w:pPr>
              <w:jc w:val="center"/>
              <w:keepLines w:val="0"/>
              <w:keepNext w:val="0"/>
              <w:pageBreakBefore w:val="0"/>
              <w:spacing w:line="360" w:lineRule="auto"/>
              <w:widowControl/>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w:t>
            </w:r>
            <w:r/>
          </w:p>
        </w:tc>
        <w:tc>
          <w:tcPr>
            <w:tcW w:w="190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AU"/>
              </w:rPr>
            </w:pPr>
            <w:r>
              <w:rPr>
                <w:rFonts w:hint="eastAsia" w:asciiTheme="minorEastAsia" w:hAnsiTheme="minorEastAsia" w:eastAsiaTheme="minorEastAsia" w:cstheme="minorEastAsia"/>
                <w:sz w:val="24"/>
                <w:szCs w:val="24"/>
                <w:lang w:eastAsia="zh-CN"/>
              </w:rPr>
              <w:t xml:space="preserve">大孔径CT</w:t>
            </w:r>
            <w:r/>
          </w:p>
        </w:tc>
        <w:tc>
          <w:tcPr>
            <w:tcW w:w="304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AU"/>
              </w:rPr>
              <w:t xml:space="preserve">Brilliance CT BIG BORE</w:t>
            </w:r>
            <w:r/>
          </w:p>
        </w:tc>
        <w:tc>
          <w:tcPr>
            <w:tcW w:w="72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台</w:t>
            </w:r>
            <w:r/>
          </w:p>
        </w:tc>
      </w:tr>
    </w:tbl>
    <w:p>
      <w:pPr>
        <w:keepLines w:val="0"/>
        <w:keepNext w:val="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r>
      <w:r/>
    </w:p>
    <w:p>
      <w:pPr>
        <w:keepLines w:val="0"/>
        <w:keepNext w:val="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二、维保要求</w:t>
      </w:r>
      <w:r/>
    </w:p>
    <w:p>
      <w:pPr>
        <w:keepLines w:val="0"/>
        <w:keepNext w:val="0"/>
        <w:pageBreakBefore w:val="0"/>
        <w:spacing w:line="360" w:lineRule="auto"/>
        <w:widowControl/>
        <w:rPr>
          <w:rFonts w:hint="eastAsia" w:asciiTheme="minorEastAsia" w:hAnsiTheme="minorEastAsia" w:eastAsiaTheme="minorEastAsia" w:cstheme="minorEastAsia"/>
          <w:b/>
          <w:bCs/>
          <w:sz w:val="24"/>
          <w:szCs w:val="24"/>
          <w:lang w:val="en-AU"/>
        </w:rPr>
      </w:pPr>
      <w:r>
        <w:rPr>
          <w:rFonts w:hint="eastAsia" w:asciiTheme="minorEastAsia" w:hAnsiTheme="minorEastAsia" w:eastAsiaTheme="minorEastAsia" w:cstheme="minorEastAsia"/>
          <w:b/>
          <w:bCs/>
          <w:sz w:val="24"/>
          <w:szCs w:val="24"/>
        </w:rPr>
        <w:t xml:space="preserve">（一）、飞利浦</w:t>
      </w:r>
      <w:r>
        <w:rPr>
          <w:rFonts w:hint="eastAsia" w:asciiTheme="minorEastAsia" w:hAnsiTheme="minorEastAsia" w:eastAsiaTheme="minorEastAsia" w:cstheme="minorEastAsia"/>
          <w:b/>
          <w:bCs/>
          <w:sz w:val="24"/>
          <w:szCs w:val="24"/>
          <w:lang w:val="en-AU"/>
        </w:rPr>
        <w:t xml:space="preserve">Ingenia 3.0T维保要求：</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1、维保服务范围：Ingenia 3.0T,数量：1台，全保（含磁体、线圈、液氦、工作站、精密空调、水冷机等），不含第三方设备</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2、服务期限：叁年</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3、开机率保证：≥95%（按照 365 天/年计），即正常开机达到 347 天/年，停机不超过18 天/年。如未达到，每超过一日维保顺延两日。</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4、响应及修复时间:故障报修后30分钟内电话响应，12小时内工程师必须赶到现场进行</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维修，24小时内解决问题，不能解决的，须向院方提出维修方案、原因及修复时限。</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5、具有24小时服务热线800或400免费电话支持：提供24小时800或400免费维修服务热线</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提供远程诊断功能：能实现远程可视化中央控制、实施管理，对故障有预判性。具备互联网远程故障排除能力，能通过互联网连接远程进行故障排除，能通过互联网连接进行远程应用支持且可以实时显示操作界面</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7、维护保养：维修、保养、更换所含配件，每年免费上门为整机 提供每季度一次安全检查，影像质量检查 确保原厂性能质控要求，提供相关质控检测数据资料，为医院安全质控做可备案材料。</w:t>
      </w:r>
      <w:r/>
    </w:p>
    <w:p>
      <w:pPr>
        <w:keepLines w:val="0"/>
        <w:keepNext w:val="0"/>
        <w:pageBreakBefore w:val="0"/>
        <w:spacing w:line="360" w:lineRule="auto"/>
        <w:widowControl/>
        <w:rPr>
          <w:rFonts w:hint="default" w:asciiTheme="minorEastAsia" w:hAnsiTheme="minorEastAsia" w:eastAsiaTheme="minorEastAsia" w:cstheme="minorEastAsia"/>
          <w:sz w:val="24"/>
          <w:szCs w:val="24"/>
          <w:lang w:val="en-US" w:eastAsia="zh-CN"/>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8、工程师要求：≥</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 个（需配备不少于</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名专职工程师）。具备经飞利浦原厂培训的专业工程师，提供飞利浦原厂的该型号设备的培训证书复印件或影印件，证书需有防伪二维码，可查验</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highlight w:val="none"/>
          <w:lang w:val="en-US" w:eastAsia="zh-CN"/>
        </w:rPr>
        <w:t xml:space="preserve">提供查询截图。</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9、系统软件及硬件升级： 提供设备的系统软件及硬件的安全性改版升级和技术支持；并保证所有系统软件（非新增加功能软件）为最新版本。</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eastAsiaTheme="minorEastAsia" w:cstheme="minorEastAsia"/>
          <w:sz w:val="24"/>
          <w:szCs w:val="24"/>
          <w:highlight w:val="none"/>
        </w:rPr>
        <w:t xml:space="preserve">备件库数量≥1，</w:t>
      </w:r>
      <w:r>
        <w:rPr>
          <w:rFonts w:hint="eastAsia" w:asciiTheme="minorEastAsia" w:hAnsiTheme="minorEastAsia" w:eastAsiaTheme="minorEastAsia" w:cstheme="minorEastAsia"/>
          <w:sz w:val="24"/>
          <w:szCs w:val="24"/>
          <w:highlight w:val="none"/>
          <w:lang w:val="en-US" w:eastAsia="zh-CN"/>
        </w:rPr>
        <w:t xml:space="preserve">面积不得小于500平方米，</w:t>
      </w:r>
      <w:r>
        <w:rPr>
          <w:rFonts w:hint="eastAsia" w:asciiTheme="minorEastAsia" w:hAnsiTheme="minorEastAsia" w:eastAsiaTheme="minorEastAsia" w:cstheme="minorEastAsia"/>
          <w:sz w:val="24"/>
          <w:szCs w:val="24"/>
          <w:highlight w:val="none"/>
        </w:rPr>
        <w:t xml:space="preserve">并提供相关证明材料</w:t>
      </w:r>
      <w:r>
        <w:rPr>
          <w:rFonts w:hint="eastAsia" w:asciiTheme="minorEastAsia" w:hAnsiTheme="minorEastAsia" w:eastAsiaTheme="minorEastAsia" w:cstheme="minorEastAsia"/>
          <w:sz w:val="24"/>
          <w:szCs w:val="24"/>
          <w:highlight w:val="none"/>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11、所有零备件均为经设备生产厂家检测合格的原规格</w:t>
      </w:r>
      <w:r>
        <w:rPr>
          <w:rFonts w:hint="eastAsia" w:asciiTheme="minorEastAsia" w:hAnsiTheme="minorEastAsia" w:eastAsiaTheme="minorEastAsia" w:cstheme="minorEastAsia"/>
          <w:sz w:val="24"/>
          <w:szCs w:val="24"/>
          <w:lang w:val="en-US" w:eastAsia="zh-CN"/>
        </w:rPr>
        <w:t xml:space="preserve">全新</w:t>
      </w:r>
      <w:r>
        <w:rPr>
          <w:rFonts w:hint="eastAsia" w:asciiTheme="minorEastAsia" w:hAnsiTheme="minorEastAsia" w:eastAsiaTheme="minorEastAsia" w:cstheme="minorEastAsia"/>
          <w:sz w:val="24"/>
          <w:szCs w:val="24"/>
          <w:highlight w:val="none"/>
        </w:rPr>
        <w:t xml:space="preserve">备件</w:t>
      </w:r>
      <w:r>
        <w:rPr>
          <w:rFonts w:hint="eastAsia" w:asciiTheme="minorEastAsia" w:hAnsiTheme="minorEastAsia" w:eastAsiaTheme="minorEastAsia" w:cstheme="minorEastAsia"/>
          <w:sz w:val="24"/>
          <w:szCs w:val="24"/>
          <w:highlight w:val="none"/>
          <w:lang w:val="en-US" w:eastAsia="zh-CN"/>
        </w:rPr>
        <w:t xml:space="preserve">且可溯源</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rPr>
        <w:t xml:space="preserve">保证备件的来源及使用合规、合法。磁体、射频放大器等高值备件更换时，须提供报关单和商检证明；承诺若为不合规备件，则医院保修不付款，同时赔偿医院损失。</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12、系统保养内容需求：</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（1）对保修设备及相关配套设备作出日常保养计划，定期进行保养、维护，并做好记录。</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（2）每年为保修设备提供至少 4 次维护保养服务，并做好记录，维护保养服务包括设备清洁、性能测试及校准、安全检查、必要的机械或电气的检查等，并根据客户要求对设备的数据进行备份。根据用户要求的时间段，进行保养工作。</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（3）保养时，负责机器调试到最佳状态，保证全部检测指标达国家标准，保证该设备能通过相关专业检测， 并提供当年的系统状态报告。</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（4）保修期内提供不限次数故障诊断，人工检测，现场维修，必要时免费更换所含备件，备件应为原厂全新备件</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b/>
          <w:bCs/>
          <w:sz w:val="24"/>
          <w:szCs w:val="24"/>
          <w:lang w:val="en-AU"/>
        </w:rPr>
      </w:pPr>
      <w:r>
        <w:rPr>
          <w:rFonts w:hint="eastAsia" w:asciiTheme="minorEastAsia" w:hAnsiTheme="minorEastAsia" w:eastAsiaTheme="minorEastAsia" w:cstheme="minorEastAsia"/>
          <w:b/>
          <w:bCs/>
          <w:sz w:val="24"/>
          <w:szCs w:val="24"/>
        </w:rPr>
        <w:t xml:space="preserve">（二）、飞利浦</w:t>
      </w:r>
      <w:r>
        <w:rPr>
          <w:rFonts w:hint="eastAsia" w:asciiTheme="minorEastAsia" w:hAnsiTheme="minorEastAsia" w:eastAsiaTheme="minorEastAsia" w:cstheme="minorEastAsia"/>
          <w:b/>
          <w:bCs/>
          <w:sz w:val="24"/>
          <w:szCs w:val="24"/>
          <w:lang w:val="en-AU"/>
        </w:rPr>
        <w:t xml:space="preserve">Brilliance CT BIG BORE维保要求：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1、维保范围：</w:t>
      </w:r>
      <w:r>
        <w:rPr>
          <w:rFonts w:hint="eastAsia" w:asciiTheme="minorEastAsia" w:hAnsiTheme="minorEastAsia" w:eastAsiaTheme="minorEastAsia" w:cstheme="minorEastAsia"/>
          <w:spacing w:val="-2"/>
          <w:sz w:val="24"/>
          <w:szCs w:val="24"/>
          <w:lang w:val="en-AU"/>
        </w:rPr>
        <w:t xml:space="preserve">飞利浦BIG BORE CT</w:t>
      </w:r>
      <w:r>
        <w:rPr>
          <w:rFonts w:hint="eastAsia" w:asciiTheme="minorEastAsia" w:hAnsiTheme="minorEastAsia" w:eastAsiaTheme="minorEastAsia" w:cstheme="minorEastAsia"/>
          <w:sz w:val="24"/>
          <w:szCs w:val="24"/>
        </w:rPr>
        <w:t xml:space="preserve">（数量：1台）</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保修（除球管、探测器全保），不含第三方设备。</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2、服务期限：叁年</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3、开机率保证：≥95%（ 按照 365 天/年计），即正常开机达到 347 天/年， 停机不超过18 天/年。 如未达到， 每超过一日维保顺延两日。</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4、响应及修复时间:故障报修后30分钟内电话响应，12小时内工程师必须赶到现场进行</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维修，24小时内解决问题，不能解决的，须向院方提出维修方案、原因及修复时限。</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5、供应商保证更换的零备件符合相应的国内、国际机械电气标准。</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6、工程师要求：≥2 个（需配备不少于2名专职工程师）。具备经飞利浦原厂培训的专业工程师，提供飞利浦原厂的该型号设备的培训证书复印件或影印件，证书需有防伪二维码，可查验</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highlight w:val="none"/>
          <w:lang w:val="en-US" w:eastAsia="zh-CN"/>
        </w:rPr>
        <w:t xml:space="preserve">提供查询截图。</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7、电话报修响应时间≤1小时，电话指导不能解决问题的，工程师到达现场时间≤12小时</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8、预防性保养：≥4次/年，并提交维护保养报告</w:t>
      </w:r>
      <w:r/>
    </w:p>
    <w:p>
      <w:pPr>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bCs/>
          <w:sz w:val="24"/>
          <w:szCs w:val="24"/>
        </w:rPr>
        <w:t xml:space="preserve">免费提供设备的系统软件及硬件的安全性改版升级和技术支持；并保证所有系统软件（非新增加功能软件）为最新版本</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10、系统保养</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1）对保修设备及相关配套设备作出日常保养计划，定期进行保养、维护，并做好记录。</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2）对我院工程技术人员进行培训，以便及时处理简单故障保证设备正常使用。</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3）每年为保修设备提供肆次维护保养服务，并做好记录（设备清洁、性能测试及校准、必要的机械或电气的检查，根据客户要求对设备的数据进行备份。根据用户要求的时间段，进行保养工作）。</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4）年检时，中标单位负责机器调试到最佳状态，保证全部检测指标达国家标准，保证该设备能通过相关专业检测，并提供当年的系统状态报告。</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5）保修期内提供不限次数现场维修，免费更换所含备件。</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6）所保设备提供系统及配套设备的相关软件、数字备份，并建立档案。</w:t>
      </w:r>
      <w:r/>
    </w:p>
    <w:p>
      <w:pPr>
        <w:pStyle w:val="696"/>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Cs/>
          <w:sz w:val="24"/>
          <w:szCs w:val="24"/>
          <w:highlight w:val="none"/>
          <w:lang w:val="en-US" w:eastAsia="zh-CN"/>
        </w:rPr>
        <w:t xml:space="preserve">11、</w:t>
      </w:r>
      <w:r>
        <w:rPr>
          <w:rFonts w:hint="eastAsia" w:asciiTheme="minorEastAsia" w:hAnsiTheme="minorEastAsia" w:eastAsiaTheme="minorEastAsia" w:cstheme="minorEastAsia"/>
          <w:sz w:val="24"/>
          <w:szCs w:val="24"/>
          <w:highlight w:val="none"/>
        </w:rPr>
        <w:t xml:space="preserve">备件库数量≥1，</w:t>
      </w:r>
      <w:r>
        <w:rPr>
          <w:rFonts w:hint="eastAsia" w:asciiTheme="minorEastAsia" w:hAnsiTheme="minorEastAsia" w:eastAsiaTheme="minorEastAsia" w:cstheme="minorEastAsia"/>
          <w:sz w:val="24"/>
          <w:szCs w:val="24"/>
          <w:highlight w:val="none"/>
          <w:lang w:val="en-US" w:eastAsia="zh-CN"/>
        </w:rPr>
        <w:t xml:space="preserve">面积不得小于500平方米，</w:t>
      </w:r>
      <w:r>
        <w:rPr>
          <w:rFonts w:hint="eastAsia" w:asciiTheme="minorEastAsia" w:hAnsiTheme="minorEastAsia" w:eastAsiaTheme="minorEastAsia" w:cstheme="minorEastAsia"/>
          <w:sz w:val="24"/>
          <w:szCs w:val="24"/>
          <w:highlight w:val="none"/>
        </w:rPr>
        <w:t xml:space="preserve">并提供相关证明材料</w:t>
      </w:r>
      <w:r>
        <w:rPr>
          <w:rFonts w:hint="eastAsia" w:asciiTheme="minorEastAsia" w:hAnsiTheme="minorEastAsia" w:eastAsiaTheme="minorEastAsia" w:cstheme="minorEastAsia"/>
          <w:sz w:val="24"/>
          <w:szCs w:val="24"/>
          <w:highlight w:val="none"/>
          <w:lang w:eastAsia="zh-CN"/>
        </w:rPr>
        <w:t xml:space="preserve">。</w:t>
      </w:r>
      <w:r/>
    </w:p>
    <w:p>
      <w:pPr>
        <w:pStyle w:val="696"/>
        <w:spacing w:line="360" w:lineRule="auto"/>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12、</w:t>
      </w:r>
      <w:r>
        <w:rPr>
          <w:rFonts w:hint="eastAsia" w:asciiTheme="minorEastAsia" w:hAnsiTheme="minorEastAsia" w:eastAsiaTheme="minorEastAsia" w:cstheme="minorEastAsia"/>
          <w:sz w:val="24"/>
          <w:szCs w:val="24"/>
          <w:highlight w:val="none"/>
        </w:rPr>
        <w:t xml:space="preserve">保修期内提供不限次数故障诊断，人工检测，现场维修，必要时免费更换所含备件，备件应为原厂全新备件</w:t>
      </w:r>
      <w:r>
        <w:rPr>
          <w:rFonts w:hint="eastAsia" w:asciiTheme="minorEastAsia" w:hAnsiTheme="minorEastAsia" w:eastAsiaTheme="minorEastAsia" w:cstheme="minorEastAsia"/>
          <w:sz w:val="24"/>
          <w:szCs w:val="24"/>
          <w:highlight w:val="none"/>
          <w:lang w:val="en-US" w:eastAsia="zh-CN"/>
        </w:rPr>
        <w:t xml:space="preserve">且可溯源。</w:t>
      </w:r>
      <w:r/>
    </w:p>
    <w:p>
      <w:pPr>
        <w:pStyle w:val="696"/>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yellow"/>
          <w:lang w:val="en-US" w:eastAsia="zh-CN"/>
        </w:rPr>
      </w:r>
      <w:r/>
    </w:p>
    <w:p>
      <w:pPr>
        <w:numPr>
          <w:ilvl w:val="0"/>
          <w:numId w:val="0"/>
        </w:numPr>
        <w:spacing w:line="360" w:lineRule="auto"/>
        <w:widowControl/>
        <w:rPr>
          <w:rFonts w:hint="default"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其他要求</w:t>
      </w:r>
      <w:r/>
    </w:p>
    <w:p>
      <w:pPr>
        <w:ind w:left="0" w:firstLine="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1、付款方式： 服务期内每半年付一次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直到期满付清</w:t>
      </w:r>
      <w:r/>
    </w:p>
    <w:p>
      <w:pPr>
        <w:ind w:left="0" w:firstLine="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2、采购项目交付时间：合同签署后</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lang w:val="en-US" w:eastAsia="zh-CN"/>
        </w:rPr>
        <w:t xml:space="preserve">工作日内开始服务响应</w:t>
      </w:r>
      <w:r>
        <w:rPr>
          <w:rFonts w:hint="eastAsia" w:ascii="宋体" w:hAnsi="宋体" w:cs="宋体"/>
          <w:color w:val="auto"/>
          <w:sz w:val="24"/>
          <w:szCs w:val="24"/>
          <w:lang w:val="en-US" w:eastAsia="zh-CN"/>
        </w:rPr>
        <w:t xml:space="preserve">。</w:t>
      </w:r>
      <w:r/>
    </w:p>
    <w:p>
      <w:pPr>
        <w:ind w:left="0" w:firstLine="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3、中标供应商须将招标期间已发生的配件费用及人工费含在合同中，采购人将不再单独付费。</w:t>
      </w:r>
      <w:r/>
    </w:p>
    <w:p>
      <w:pPr>
        <w:ind w:left="0" w:firstLine="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服务范围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保修期内若发生故障免费更换所有有问题的零部件;所更换的零部件必须为合格的原厂同型号匹配备件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所有的配件、人工、差旅、搬运、快递、安装调试及系统软件升级、相关技术支持及培训费用等全部费用包含在本次报价中，采购人不再额外支付任何费用。</w:t>
      </w:r>
      <w:r/>
    </w:p>
    <w:p>
      <w:pPr>
        <w:pStyle w:val="696"/>
        <w:rPr>
          <w:rFonts w:hint="eastAsia"/>
        </w:rPr>
      </w:pPr>
      <w:r>
        <w:rPr>
          <w:rFonts w:hint="eastAsia"/>
        </w:rPr>
      </w:r>
      <w:r/>
    </w:p>
    <w:p>
      <w:pPr>
        <w:keepLines w:val="0"/>
        <w:keepNext w:val="0"/>
        <w:pageBreakBefore w:val="0"/>
        <w:spacing w:line="360" w:lineRule="auto"/>
        <w:widowControl/>
        <w:rPr>
          <w:rFonts w:hint="eastAsia"/>
          <w:sz w:val="24"/>
        </w:rPr>
      </w:pPr>
      <w:r>
        <w:rPr>
          <w:rFonts w:hint="eastAsia"/>
          <w:sz w:val="24"/>
        </w:rPr>
      </w:r>
      <w:r/>
    </w:p>
    <w:p>
      <w:pPr>
        <w:ind w:firstLine="480"/>
        <w:keepLines w:val="0"/>
        <w:keepNext w:val="0"/>
        <w:pageBreakBefore w:val="0"/>
        <w:spacing w:line="360" w:lineRule="auto"/>
        <w:widowControl/>
        <w:rPr>
          <w:rFonts w:hint="eastAsia"/>
          <w:sz w:val="24"/>
        </w:rPr>
      </w:pPr>
      <w:r>
        <w:rPr>
          <w:rFonts w:hint="eastAsia"/>
          <w:sz w:val="24"/>
        </w:rPr>
      </w:r>
      <w:r/>
    </w:p>
    <w:p>
      <w:pPr>
        <w:keepLines w:val="0"/>
        <w:keepNext w:val="0"/>
        <w:pageBreakBefore w:val="0"/>
        <w:spacing w:line="360" w:lineRule="auto"/>
        <w:widowControl/>
        <w:rPr>
          <w:rFonts w:ascii="宋体" w:hAnsi="宋体" w:eastAsia="宋体"/>
          <w:color w:val="000000"/>
          <w:highlight w:val="none"/>
        </w:rPr>
      </w:pPr>
      <w:r>
        <w:rPr>
          <w:rFonts w:ascii="宋体" w:hAnsi="宋体" w:eastAsia="宋体"/>
          <w:color w:val="000000"/>
          <w:highlight w:val="none"/>
        </w:rPr>
        <w:br w:type="page" w:clear="all"/>
      </w:r>
      <w:r/>
    </w:p>
    <w:p>
      <w:pPr>
        <w:pStyle w:val="917"/>
        <w:rPr>
          <w:rFonts w:ascii="宋体" w:hAnsi="宋体" w:eastAsia="宋体"/>
          <w:color w:val="000000"/>
          <w:sz w:val="32"/>
          <w:szCs w:val="32"/>
          <w:highlight w:val="none"/>
        </w:rPr>
      </w:pPr>
      <w:r>
        <w:rPr>
          <w:rFonts w:ascii="宋体" w:hAnsi="宋体" w:eastAsia="宋体"/>
          <w:color w:val="000000"/>
          <w:sz w:val="32"/>
          <w:szCs w:val="32"/>
          <w:highlight w:val="none"/>
        </w:rPr>
        <w:t xml:space="preserve">第七章  投标文件相关格式</w:t>
      </w:r>
      <w:bookmarkEnd w:id="19"/>
      <w:r/>
      <w:bookmarkEnd w:id="20"/>
      <w:r/>
      <w:r/>
    </w:p>
    <w:p>
      <w:pPr>
        <w:pStyle w:val="697"/>
        <w:rPr>
          <w:rFonts w:ascii="宋体" w:hAnsi="宋体"/>
          <w:b/>
          <w:bCs/>
          <w:color w:val="000000"/>
          <w:sz w:val="28"/>
          <w:szCs w:val="28"/>
          <w:highlight w:val="none"/>
        </w:rPr>
      </w:pPr>
      <w:r>
        <w:rPr>
          <w:rFonts w:ascii="宋体" w:hAnsi="宋体"/>
          <w:b/>
          <w:bCs/>
          <w:color w:val="000000"/>
          <w:sz w:val="28"/>
          <w:szCs w:val="28"/>
          <w:highlight w:val="none"/>
        </w:rPr>
        <w:t xml:space="preserve">一、投标函格式</w:t>
      </w:r>
      <w:r/>
    </w:p>
    <w:p>
      <w:pPr>
        <w:pStyle w:val="697"/>
        <w:rPr>
          <w:rFonts w:ascii="宋体" w:hAnsi="宋体"/>
          <w:color w:val="000000"/>
          <w:sz w:val="28"/>
          <w:szCs w:val="28"/>
          <w:highlight w:val="none"/>
        </w:rPr>
      </w:pPr>
      <w:r>
        <w:rPr>
          <w:rFonts w:ascii="宋体" w:hAnsi="宋体"/>
          <w:color w:val="000000"/>
          <w:sz w:val="28"/>
          <w:szCs w:val="28"/>
          <w:highlight w:val="none"/>
        </w:rPr>
        <w:t xml:space="preserve">致：</w:t>
      </w:r>
      <w:r>
        <w:rPr>
          <w:rFonts w:hint="eastAsia" w:ascii="宋体" w:hAnsi="宋体"/>
          <w:color w:val="000000"/>
          <w:sz w:val="28"/>
          <w:szCs w:val="28"/>
          <w:highlight w:val="none"/>
          <w:u w:val="single"/>
        </w:rPr>
        <w:t xml:space="preserve">苏美达国际技术贸易有限公司</w:t>
      </w:r>
      <w:r/>
    </w:p>
    <w:p>
      <w:pPr>
        <w:pStyle w:val="697"/>
        <w:ind w:firstLine="600"/>
        <w:rPr>
          <w:rFonts w:ascii="宋体" w:hAnsi="宋体"/>
          <w:color w:val="000000"/>
          <w:sz w:val="28"/>
          <w:szCs w:val="28"/>
          <w:highlight w:val="none"/>
        </w:rPr>
      </w:pPr>
      <w:r>
        <w:rPr>
          <w:rFonts w:ascii="宋体" w:hAnsi="宋体"/>
          <w:color w:val="000000"/>
          <w:sz w:val="28"/>
          <w:szCs w:val="28"/>
          <w:highlight w:val="none"/>
        </w:rPr>
        <w:t xml:space="preserve">根据</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]招标文件，</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(姓名)代表我方</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（投标人的名称）全权处理本次投标的有关事宜。</w:t>
      </w:r>
      <w:r/>
    </w:p>
    <w:p>
      <w:pPr>
        <w:pStyle w:val="697"/>
        <w:ind w:firstLine="600"/>
        <w:rPr>
          <w:rFonts w:ascii="宋体" w:hAnsi="宋体"/>
          <w:color w:val="000000"/>
          <w:sz w:val="28"/>
          <w:szCs w:val="28"/>
          <w:highlight w:val="none"/>
        </w:rPr>
      </w:pPr>
      <w:r>
        <w:rPr>
          <w:rFonts w:ascii="宋体" w:hAnsi="宋体"/>
          <w:color w:val="000000"/>
          <w:sz w:val="28"/>
          <w:szCs w:val="28"/>
          <w:highlight w:val="none"/>
        </w:rPr>
        <w:t xml:space="preserve">据此函，投标人承诺并同意如下： </w:t>
      </w:r>
      <w:r/>
    </w:p>
    <w:p>
      <w:pPr>
        <w:pStyle w:val="697"/>
        <w:ind w:firstLine="600"/>
        <w:rPr>
          <w:rFonts w:ascii="宋体" w:hAnsi="宋体"/>
          <w:color w:val="000000"/>
          <w:sz w:val="28"/>
          <w:szCs w:val="28"/>
          <w:highlight w:val="none"/>
        </w:rPr>
      </w:pPr>
      <w:r>
        <w:rPr>
          <w:rFonts w:ascii="宋体" w:hAnsi="宋体"/>
          <w:color w:val="000000"/>
          <w:sz w:val="28"/>
          <w:szCs w:val="28"/>
          <w:highlight w:val="none"/>
        </w:rPr>
        <w:t xml:space="preserve">1. 投标人唯一投标报价见《开标一览表》。</w:t>
      </w:r>
      <w:r/>
    </w:p>
    <w:p>
      <w:pPr>
        <w:pStyle w:val="697"/>
        <w:ind w:firstLine="600"/>
        <w:rPr>
          <w:rFonts w:ascii="宋体" w:hAnsi="宋体"/>
          <w:color w:val="000000"/>
          <w:sz w:val="28"/>
          <w:szCs w:val="28"/>
          <w:highlight w:val="none"/>
        </w:rPr>
      </w:pPr>
      <w:r>
        <w:rPr>
          <w:rFonts w:ascii="宋体" w:hAnsi="宋体"/>
          <w:color w:val="000000"/>
          <w:sz w:val="28"/>
          <w:szCs w:val="28"/>
          <w:highlight w:val="none"/>
        </w:rPr>
        <w:t xml:space="preserve">2. 投标人将按招标文件的规定履行合同责任和义务。</w:t>
      </w:r>
      <w:r/>
    </w:p>
    <w:p>
      <w:pPr>
        <w:pStyle w:val="697"/>
        <w:ind w:firstLine="600"/>
        <w:rPr>
          <w:rFonts w:ascii="宋体" w:hAnsi="宋体"/>
          <w:color w:val="000000"/>
          <w:sz w:val="28"/>
          <w:szCs w:val="28"/>
          <w:highlight w:val="none"/>
        </w:rPr>
      </w:pPr>
      <w:r>
        <w:rPr>
          <w:rFonts w:ascii="宋体" w:hAnsi="宋体"/>
          <w:color w:val="000000"/>
          <w:sz w:val="28"/>
          <w:szCs w:val="28"/>
          <w:highlight w:val="none"/>
        </w:rPr>
        <w:t xml:space="preserve">3. 投标人已详细审查全部招标文件，包括第[插入编号] [补遗书][如果有的话]。投标人完全理解并同意放弃对这方面有不明及误解的权力。</w:t>
      </w:r>
      <w:r/>
    </w:p>
    <w:p>
      <w:pPr>
        <w:pStyle w:val="697"/>
        <w:ind w:firstLine="600"/>
        <w:rPr>
          <w:rFonts w:ascii="宋体" w:hAnsi="宋体"/>
          <w:color w:val="000000"/>
          <w:sz w:val="28"/>
          <w:szCs w:val="28"/>
          <w:highlight w:val="none"/>
        </w:rPr>
      </w:pPr>
      <w:r>
        <w:rPr>
          <w:rFonts w:ascii="宋体" w:hAnsi="宋体"/>
          <w:color w:val="000000"/>
          <w:sz w:val="28"/>
          <w:szCs w:val="28"/>
          <w:highlight w:val="none"/>
        </w:rPr>
        <w:t xml:space="preserve">4. 投标有效期为开标之日后90天。</w:t>
      </w:r>
      <w:r/>
    </w:p>
    <w:p>
      <w:pPr>
        <w:pStyle w:val="697"/>
        <w:ind w:firstLine="600"/>
        <w:rPr>
          <w:rFonts w:ascii="宋体" w:hAnsi="宋体"/>
          <w:color w:val="000000"/>
          <w:sz w:val="28"/>
          <w:szCs w:val="28"/>
          <w:highlight w:val="none"/>
        </w:rPr>
      </w:pPr>
      <w:r>
        <w:rPr>
          <w:rFonts w:ascii="宋体" w:hAnsi="宋体"/>
          <w:color w:val="000000"/>
          <w:sz w:val="28"/>
          <w:szCs w:val="28"/>
          <w:highlight w:val="none"/>
        </w:rPr>
        <w:t xml:space="preserve">5. 投标人同意提供按照贵方可能要求的与其投标有关的一切数据或资料，完全理解贵方不一定接受最低价的投标或收到的任何投标。</w:t>
      </w:r>
      <w:r/>
    </w:p>
    <w:p>
      <w:pPr>
        <w:pStyle w:val="697"/>
        <w:ind w:firstLine="600"/>
        <w:rPr>
          <w:rFonts w:ascii="宋体" w:hAnsi="宋体"/>
          <w:color w:val="000000"/>
          <w:sz w:val="28"/>
          <w:szCs w:val="28"/>
          <w:highlight w:val="none"/>
        </w:rPr>
      </w:pPr>
      <w:r>
        <w:rPr>
          <w:rFonts w:ascii="宋体" w:hAnsi="宋体"/>
          <w:color w:val="000000"/>
          <w:sz w:val="28"/>
          <w:szCs w:val="28"/>
          <w:highlight w:val="none"/>
        </w:rPr>
        <w:t xml:space="preserve">6. 投标人同意在授予合同后，按照有关规定支付公证费(如有)。</w:t>
      </w:r>
      <w:r/>
    </w:p>
    <w:p>
      <w:pPr>
        <w:pStyle w:val="697"/>
        <w:ind w:right="29" w:firstLine="600"/>
        <w:rPr>
          <w:rFonts w:ascii="宋体" w:hAnsi="宋体"/>
          <w:color w:val="000000"/>
          <w:sz w:val="28"/>
          <w:szCs w:val="28"/>
          <w:highlight w:val="none"/>
        </w:rPr>
      </w:pPr>
      <w:r>
        <w:rPr>
          <w:rFonts w:ascii="宋体" w:hAnsi="宋体"/>
          <w:color w:val="000000"/>
          <w:sz w:val="28"/>
          <w:szCs w:val="28"/>
          <w:highlight w:val="none"/>
        </w:rPr>
        <w:t xml:space="preserve">7. 投标人同意在授予中标通知书时，按照招标文件规定支付招标代理费。</w:t>
      </w:r>
      <w:r/>
    </w:p>
    <w:p>
      <w:pPr>
        <w:pStyle w:val="697"/>
        <w:ind w:right="29" w:firstLine="600"/>
        <w:rPr>
          <w:rFonts w:ascii="宋体" w:hAnsi="宋体"/>
          <w:color w:val="000000"/>
          <w:sz w:val="28"/>
          <w:szCs w:val="28"/>
          <w:highlight w:val="none"/>
        </w:rPr>
      </w:pPr>
      <w:r>
        <w:rPr>
          <w:rFonts w:ascii="宋体" w:hAnsi="宋体"/>
          <w:color w:val="000000"/>
          <w:sz w:val="28"/>
          <w:szCs w:val="28"/>
          <w:highlight w:val="none"/>
        </w:rPr>
        <w:t xml:space="preserve">8. </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有权将我单位本项目的《开标一览表》和《分项价格表》予以公示，公示的方式由</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确定。</w:t>
      </w:r>
      <w:r/>
    </w:p>
    <w:p>
      <w:pPr>
        <w:pStyle w:val="697"/>
        <w:ind w:right="29" w:firstLine="600"/>
        <w:rPr>
          <w:color w:val="000000"/>
          <w:sz w:val="28"/>
          <w:szCs w:val="28"/>
          <w:highlight w:val="none"/>
        </w:rPr>
      </w:pPr>
      <w:r>
        <w:rPr>
          <w:rFonts w:ascii="宋体" w:hAnsi="宋体"/>
          <w:color w:val="000000"/>
          <w:sz w:val="28"/>
          <w:szCs w:val="28"/>
          <w:highlight w:val="none"/>
        </w:rPr>
        <w:t xml:space="preserve">9. 采购人有权对投标人投标文件的真实性进行核实，</w:t>
      </w:r>
      <w:r>
        <w:rPr>
          <w:rFonts w:ascii="宋体" w:hAnsi="宋体"/>
          <w:bCs/>
          <w:color w:val="000000"/>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697"/>
        <w:ind w:firstLine="600"/>
        <w:rPr>
          <w:rFonts w:ascii="宋体" w:hAnsi="宋体"/>
          <w:color w:val="000000"/>
          <w:sz w:val="28"/>
          <w:szCs w:val="28"/>
          <w:highlight w:val="none"/>
        </w:rPr>
      </w:pPr>
      <w:r>
        <w:rPr>
          <w:rFonts w:ascii="宋体" w:hAnsi="宋体"/>
          <w:color w:val="000000"/>
          <w:sz w:val="28"/>
          <w:szCs w:val="28"/>
          <w:highlight w:val="none"/>
        </w:rPr>
        <w:t xml:space="preserve">10. 与本投标有关的一切正式往来信函请寄：</w:t>
      </w:r>
      <w:r/>
    </w:p>
    <w:p>
      <w:pPr>
        <w:pStyle w:val="697"/>
        <w:ind w:firstLine="1200"/>
        <w:rPr>
          <w:rFonts w:ascii="宋体" w:hAnsi="宋体"/>
          <w:color w:val="000000"/>
          <w:sz w:val="28"/>
          <w:szCs w:val="28"/>
          <w:highlight w:val="none"/>
        </w:rPr>
      </w:pPr>
      <w:r>
        <w:rPr>
          <w:rFonts w:ascii="宋体" w:hAnsi="宋体"/>
          <w:color w:val="000000"/>
          <w:sz w:val="28"/>
          <w:szCs w:val="28"/>
          <w:highlight w:val="none"/>
        </w:rPr>
        <w:t xml:space="preserve">地址： </w:t>
      </w:r>
      <w:r/>
    </w:p>
    <w:p>
      <w:pPr>
        <w:pStyle w:val="697"/>
        <w:ind w:firstLine="1200"/>
        <w:rPr>
          <w:rFonts w:ascii="宋体" w:hAnsi="宋体"/>
          <w:color w:val="000000"/>
          <w:sz w:val="28"/>
          <w:szCs w:val="28"/>
          <w:highlight w:val="none"/>
        </w:rPr>
      </w:pPr>
      <w:r>
        <w:rPr>
          <w:rFonts w:ascii="宋体" w:hAnsi="宋体"/>
          <w:color w:val="000000"/>
          <w:sz w:val="28"/>
          <w:szCs w:val="28"/>
          <w:highlight w:val="none"/>
        </w:rPr>
        <w:t xml:space="preserve">电话： </w:t>
      </w:r>
      <w:r/>
    </w:p>
    <w:p>
      <w:pPr>
        <w:pStyle w:val="697"/>
        <w:ind w:firstLine="1200"/>
        <w:rPr>
          <w:rFonts w:ascii="宋体" w:hAnsi="宋体"/>
          <w:color w:val="000000"/>
          <w:sz w:val="28"/>
          <w:szCs w:val="28"/>
          <w:highlight w:val="none"/>
        </w:rPr>
      </w:pPr>
      <w:r>
        <w:rPr>
          <w:rFonts w:ascii="宋体" w:hAnsi="宋体"/>
          <w:color w:val="000000"/>
          <w:sz w:val="28"/>
          <w:szCs w:val="28"/>
          <w:highlight w:val="none"/>
        </w:rPr>
        <w:t xml:space="preserve">传真：</w:t>
      </w:r>
      <w:r/>
    </w:p>
    <w:p>
      <w:pPr>
        <w:pStyle w:val="697"/>
        <w:ind w:firstLine="2700"/>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697"/>
        <w:ind w:firstLine="600"/>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697"/>
        <w:ind w:firstLine="4500"/>
        <w:rPr>
          <w:rFonts w:ascii="宋体" w:hAnsi="宋体"/>
          <w:color w:val="000000"/>
          <w:sz w:val="30"/>
          <w:szCs w:val="30"/>
          <w:highlight w:val="none"/>
        </w:rPr>
      </w:pPr>
      <w:r>
        <w:rPr>
          <w:rFonts w:ascii="宋体" w:hAnsi="宋体"/>
          <w:color w:val="000000"/>
          <w:sz w:val="30"/>
          <w:szCs w:val="30"/>
          <w:highlight w:val="none"/>
        </w:rPr>
        <w:t xml:space="preserve">日期：   年  月  日</w:t>
      </w:r>
      <w:r/>
    </w:p>
    <w:p>
      <w:pPr>
        <w:pStyle w:val="698"/>
        <w:rPr>
          <w:highlight w:val="none"/>
        </w:rPr>
      </w:pPr>
      <w:r>
        <w:rPr>
          <w:highlight w:val="none"/>
        </w:rPr>
      </w:r>
      <w:r/>
    </w:p>
    <w:p>
      <w:pPr>
        <w:pStyle w:val="697"/>
        <w:rPr>
          <w:highlight w:val="none"/>
        </w:rPr>
      </w:pPr>
      <w:r>
        <w:rPr>
          <w:highlight w:val="none"/>
        </w:rPr>
      </w:r>
      <w:r/>
    </w:p>
    <w:p>
      <w:pPr>
        <w:pStyle w:val="698"/>
        <w:rPr>
          <w:highlight w:val="none"/>
        </w:rPr>
      </w:pPr>
      <w:r>
        <w:rPr>
          <w:highlight w:val="none"/>
        </w:rPr>
      </w:r>
      <w:r/>
    </w:p>
    <w:p>
      <w:pPr>
        <w:pStyle w:val="697"/>
        <w:rPr>
          <w:highlight w:val="none"/>
        </w:rPr>
      </w:pPr>
      <w:r>
        <w:rPr>
          <w:highlight w:val="none"/>
        </w:rPr>
      </w:r>
      <w:r/>
    </w:p>
    <w:p>
      <w:pPr>
        <w:pStyle w:val="698"/>
        <w:rPr>
          <w:highlight w:val="none"/>
        </w:rPr>
      </w:pPr>
      <w:r>
        <w:rPr>
          <w:highlight w:val="none"/>
        </w:rPr>
      </w:r>
      <w:r/>
    </w:p>
    <w:p>
      <w:pPr>
        <w:pStyle w:val="697"/>
        <w:rPr>
          <w:highlight w:val="none"/>
        </w:rPr>
      </w:pPr>
      <w:r>
        <w:rPr>
          <w:highlight w:val="none"/>
        </w:rPr>
      </w:r>
      <w:r/>
    </w:p>
    <w:p>
      <w:pPr>
        <w:pStyle w:val="698"/>
        <w:rPr>
          <w:highlight w:val="none"/>
        </w:rPr>
      </w:pPr>
      <w:r>
        <w:rPr>
          <w:highlight w:val="none"/>
        </w:rPr>
      </w:r>
      <w:r/>
    </w:p>
    <w:p>
      <w:pPr>
        <w:pStyle w:val="698"/>
        <w:rPr>
          <w:highlight w:val="none"/>
        </w:rPr>
      </w:pPr>
      <w:r>
        <w:rPr>
          <w:highlight w:val="none"/>
        </w:rPr>
      </w:r>
      <w:r/>
    </w:p>
    <w:p>
      <w:pPr>
        <w:pStyle w:val="698"/>
        <w:numPr>
          <w:ilvl w:val="0"/>
          <w:numId w:val="3"/>
        </w:numPr>
        <w:rPr>
          <w:rFonts w:ascii="宋体" w:hAnsi="宋体"/>
          <w:b/>
          <w:bCs/>
          <w:color w:val="000000"/>
          <w:sz w:val="28"/>
          <w:szCs w:val="28"/>
          <w:highlight w:val="none"/>
        </w:rPr>
      </w:pPr>
      <w:r>
        <w:rPr>
          <w:rFonts w:hint="eastAsia" w:ascii="宋体" w:hAnsi="宋体"/>
          <w:b/>
          <w:bCs/>
          <w:color w:val="000000"/>
          <w:sz w:val="28"/>
          <w:szCs w:val="28"/>
          <w:highlight w:val="none"/>
        </w:rPr>
        <w:t xml:space="preserve">法定代表人授权委托书(格式)：</w:t>
      </w:r>
      <w:r/>
    </w:p>
    <w:p>
      <w:pPr>
        <w:jc w:val="center"/>
        <w:spacing w:line="360" w:lineRule="auto"/>
        <w:widowControl w:val="off"/>
        <w:rPr>
          <w:rFonts w:ascii="宋体" w:hAnsi="宋体" w:cs="宋体"/>
          <w:bCs/>
          <w:sz w:val="24"/>
          <w:szCs w:val="24"/>
          <w:highlight w:val="none"/>
        </w:rPr>
      </w:pPr>
      <w:r>
        <w:rPr>
          <w:rFonts w:hint="eastAsia" w:ascii="宋体" w:hAnsi="宋体"/>
          <w:b/>
          <w:bCs/>
          <w:color w:val="000000"/>
          <w:sz w:val="28"/>
          <w:szCs w:val="28"/>
          <w:highlight w:val="none"/>
        </w:rPr>
        <w:t xml:space="preserve">法定代表人授权委托书</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苏美达国际技术贸易有限公司：</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系中华人民共和国合法企业，特授权</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代表我公司(单位)全权办理针对本项目</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的投标、参与开标、评标、签约等具体工作，并签署全部有关的文件、协议及合同。</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我公司(单位)对被授权人的签名负全部责任。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在撤销授权的书面通知送达你处以前，本授权书一直有效，被授权人签署的所有文件(在授权书有效期内签署的)不因授权的撤销而失效。</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被授权人情况：</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姓名：         性别：             电话：</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ascii="宋体" w:hAnsi="宋体" w:cs="宋体"/>
          <w:bCs/>
          <w:sz w:val="28"/>
          <w:szCs w:val="28"/>
          <w:highlight w:val="none"/>
        </w:rPr>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投标人： （盖单位电子签章）</w:t>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ind w:firstLine="47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法定代表人(签字或盖章)：</w:t>
      </w:r>
      <w:r/>
    </w:p>
    <w:p>
      <w:pPr>
        <w:spacing w:line="360" w:lineRule="auto"/>
        <w:rPr>
          <w:bCs/>
          <w:sz w:val="28"/>
          <w:szCs w:val="28"/>
          <w:highlight w:val="none"/>
        </w:rPr>
      </w:pPr>
      <w:r>
        <w:rPr>
          <w:bCs/>
          <w:sz w:val="28"/>
          <w:szCs w:val="28"/>
          <w:highlight w:val="none"/>
        </w:rPr>
      </w:r>
      <w:r/>
    </w:p>
    <w:p>
      <w:pPr>
        <w:pStyle w:val="697"/>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日期：   年  月  日</w:t>
      </w:r>
      <w:r/>
    </w:p>
    <w:p>
      <w:pPr>
        <w:ind w:firstLine="4760"/>
        <w:spacing w:line="360" w:lineRule="auto"/>
        <w:rPr>
          <w:bCs/>
          <w:sz w:val="28"/>
          <w:szCs w:val="28"/>
          <w:highlight w:val="none"/>
        </w:rPr>
      </w:pPr>
      <w:r>
        <w:rPr>
          <w:bCs/>
          <w:sz w:val="28"/>
          <w:szCs w:val="28"/>
          <w:highlight w:val="none"/>
        </w:rPr>
      </w:r>
      <w:r/>
    </w:p>
    <w:p>
      <w:pPr>
        <w:ind w:firstLine="4080"/>
        <w:spacing w:line="360" w:lineRule="auto"/>
        <w:rPr>
          <w:bCs/>
          <w:sz w:val="24"/>
          <w:szCs w:val="24"/>
          <w:highlight w:val="none"/>
        </w:rPr>
      </w:pPr>
      <w:r>
        <w:rPr>
          <w:bCs/>
          <w:sz w:val="24"/>
          <w:szCs w:val="24"/>
          <w:highlight w:val="none"/>
        </w:rPr>
      </w:r>
      <w:r/>
    </w:p>
    <w:p>
      <w:pPr>
        <w:pStyle w:val="697"/>
        <w:rPr>
          <w:highlight w:val="none"/>
        </w:rPr>
      </w:pPr>
      <w:r>
        <w:rPr>
          <w:highlight w:val="none"/>
        </w:rPr>
      </w:r>
      <w:r/>
    </w:p>
    <w:p>
      <w:pPr>
        <w:pStyle w:val="698"/>
        <w:rPr>
          <w:highlight w:val="none"/>
        </w:rPr>
      </w:pPr>
      <w:r>
        <w:rPr>
          <w:highlight w:val="none"/>
        </w:rPr>
      </w:r>
      <w:r/>
    </w:p>
    <w:p>
      <w:pPr>
        <w:pStyle w:val="697"/>
        <w:rPr>
          <w:highlight w:val="none"/>
        </w:rPr>
      </w:pPr>
      <w:r>
        <w:rPr>
          <w:highlight w:val="none"/>
        </w:rPr>
      </w:r>
      <w:r/>
    </w:p>
    <w:p>
      <w:pPr>
        <w:pStyle w:val="698"/>
        <w:rPr>
          <w:highlight w:val="none"/>
        </w:rPr>
      </w:pPr>
      <w:r>
        <w:rPr>
          <w:highlight w:val="none"/>
        </w:rPr>
      </w:r>
      <w:r/>
    </w:p>
    <w:p>
      <w:pPr>
        <w:pStyle w:val="697"/>
        <w:rPr>
          <w:highlight w:val="none"/>
        </w:rPr>
      </w:pPr>
      <w:r>
        <w:rPr>
          <w:highlight w:val="none"/>
        </w:rPr>
      </w:r>
      <w:r/>
    </w:p>
    <w:p>
      <w:pPr>
        <w:pStyle w:val="698"/>
        <w:rPr>
          <w:highlight w:val="none"/>
        </w:rPr>
      </w:pPr>
      <w:r>
        <w:rPr>
          <w:highlight w:val="none"/>
        </w:rPr>
      </w:r>
      <w:r/>
    </w:p>
    <w:p>
      <w:pPr>
        <w:pStyle w:val="697"/>
        <w:rPr>
          <w:highlight w:val="none"/>
        </w:rPr>
      </w:pPr>
      <w:r>
        <w:rPr>
          <w:highlight w:val="none"/>
        </w:rPr>
      </w:r>
      <w:r/>
    </w:p>
    <w:p>
      <w:pPr>
        <w:pStyle w:val="698"/>
        <w:rPr>
          <w:highlight w:val="none"/>
        </w:rPr>
      </w:pPr>
      <w:r>
        <w:rPr>
          <w:highlight w:val="none"/>
        </w:rPr>
      </w:r>
      <w:r/>
    </w:p>
    <w:p>
      <w:pPr>
        <w:pStyle w:val="688"/>
        <w:rPr>
          <w:rFonts w:ascii="黑体" w:hAnsi="黑体" w:eastAsia="黑体" w:cs="黑体"/>
          <w:highlight w:val="none"/>
        </w:rPr>
      </w:pPr>
      <w:r>
        <w:rPr>
          <w:rFonts w:hint="eastAsia" w:ascii="黑体" w:hAnsi="黑体" w:eastAsia="黑体" w:cs="黑体"/>
          <w:highlight w:val="none"/>
        </w:rPr>
        <w:t xml:space="preserve">附：</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报价人法定代表人身份证扫描件：</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807335" cy="1584960"/>
                <wp:effectExtent l="4445" t="4445" r="7620" b="10795"/>
                <wp:docPr id="2"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679700" cy="1584960"/>
                <wp:effectExtent l="4445" t="4445" r="20955" b="10795"/>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法定代表人授权代表身份证扫描件：</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（法定代表人亲自参与投标的除外）</w:t>
      </w:r>
      <w:r/>
    </w:p>
    <w:p>
      <w:pPr>
        <w:pStyle w:val="698"/>
        <w:rPr>
          <w:highlight w:val="none"/>
        </w:rPr>
      </w:pPr>
      <w:r>
        <w:rPr>
          <w:bCs/>
          <w:sz w:val="24"/>
          <w:highlight w:val="none"/>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highlight w:val="none"/>
        </w:rPr>
        <mc:AlternateContent>
          <mc:Choice Requires="wpg">
            <w:drawing>
              <wp:inline xmlns:wp="http://schemas.openxmlformats.org/drawingml/2006/wordprocessingDrawing" distT="0" distB="0" distL="0" distR="0">
                <wp:extent cx="2719705" cy="1584960"/>
                <wp:effectExtent l="5080" t="4445" r="18415" b="10795"/>
                <wp:docPr id="5"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pStyle w:val="697"/>
        <w:ind w:firstLine="3120"/>
        <w:spacing w:line="360" w:lineRule="auto"/>
        <w:rPr>
          <w:rFonts w:ascii="宋体" w:hAnsi="宋体"/>
          <w:color w:val="000000"/>
          <w:sz w:val="24"/>
          <w:highlight w:val="none"/>
        </w:rPr>
      </w:pPr>
      <w:r>
        <w:rPr>
          <w:rFonts w:ascii="宋体" w:hAnsi="宋体"/>
          <w:color w:val="000000"/>
          <w:sz w:val="24"/>
          <w:highlight w:val="none"/>
        </w:rPr>
      </w:r>
      <w:r/>
    </w:p>
    <w:p>
      <w:pPr>
        <w:pStyle w:val="697"/>
        <w:ind w:firstLine="4560"/>
        <w:spacing w:line="360" w:lineRule="auto"/>
        <w:rPr>
          <w:rFonts w:ascii="宋体" w:hAnsi="宋体"/>
          <w:color w:val="000000"/>
          <w:sz w:val="24"/>
          <w:highlight w:val="none"/>
        </w:rPr>
      </w:pPr>
      <w:r>
        <w:rPr>
          <w:rFonts w:ascii="宋体" w:hAnsi="宋体"/>
          <w:color w:val="000000"/>
          <w:sz w:val="24"/>
          <w:highlight w:val="none"/>
        </w:rPr>
      </w:r>
      <w:r/>
    </w:p>
    <w:p>
      <w:pPr>
        <w:pStyle w:val="698"/>
        <w:rPr>
          <w:rFonts w:ascii="宋体" w:hAnsi="宋体"/>
          <w:color w:val="000000"/>
          <w:sz w:val="24"/>
          <w:highlight w:val="none"/>
        </w:rPr>
      </w:pPr>
      <w:r>
        <w:rPr>
          <w:rFonts w:ascii="宋体" w:hAnsi="宋体"/>
          <w:color w:val="000000"/>
          <w:sz w:val="24"/>
          <w:highlight w:val="none"/>
        </w:rPr>
      </w:r>
      <w:r/>
    </w:p>
    <w:p>
      <w:pPr>
        <w:pStyle w:val="697"/>
        <w:rPr>
          <w:rFonts w:ascii="宋体" w:hAnsi="宋体"/>
          <w:color w:val="000000"/>
          <w:sz w:val="24"/>
          <w:highlight w:val="none"/>
        </w:rPr>
      </w:pPr>
      <w:r>
        <w:rPr>
          <w:rFonts w:ascii="宋体" w:hAnsi="宋体"/>
          <w:color w:val="000000"/>
          <w:sz w:val="24"/>
          <w:highlight w:val="none"/>
        </w:rPr>
      </w:r>
      <w:r/>
    </w:p>
    <w:p>
      <w:pPr>
        <w:pStyle w:val="698"/>
        <w:rPr>
          <w:rFonts w:ascii="宋体" w:hAnsi="宋体"/>
          <w:color w:val="000000"/>
          <w:sz w:val="24"/>
          <w:highlight w:val="none"/>
        </w:rPr>
      </w:pPr>
      <w:r>
        <w:rPr>
          <w:rFonts w:ascii="宋体" w:hAnsi="宋体"/>
          <w:color w:val="000000"/>
          <w:sz w:val="24"/>
          <w:highlight w:val="none"/>
        </w:rPr>
      </w:r>
      <w:r/>
    </w:p>
    <w:p>
      <w:pPr>
        <w:pStyle w:val="697"/>
        <w:rPr>
          <w:rFonts w:ascii="宋体" w:hAnsi="宋体"/>
          <w:color w:val="000000"/>
          <w:sz w:val="24"/>
          <w:highlight w:val="none"/>
        </w:rPr>
      </w:pPr>
      <w:r>
        <w:rPr>
          <w:rFonts w:ascii="宋体" w:hAnsi="宋体"/>
          <w:color w:val="000000"/>
          <w:sz w:val="24"/>
          <w:highlight w:val="none"/>
        </w:rPr>
      </w:r>
      <w:r/>
    </w:p>
    <w:p>
      <w:pPr>
        <w:pStyle w:val="698"/>
        <w:rPr>
          <w:rFonts w:ascii="宋体" w:hAnsi="宋体"/>
          <w:color w:val="000000"/>
          <w:sz w:val="24"/>
          <w:highlight w:val="none"/>
        </w:rPr>
      </w:pPr>
      <w:r>
        <w:rPr>
          <w:rFonts w:ascii="宋体" w:hAnsi="宋体"/>
          <w:color w:val="000000"/>
          <w:sz w:val="24"/>
          <w:highlight w:val="none"/>
        </w:rPr>
      </w:r>
      <w:r/>
    </w:p>
    <w:p>
      <w:pPr>
        <w:pStyle w:val="697"/>
        <w:rPr>
          <w:rFonts w:ascii="宋体" w:hAnsi="宋体"/>
          <w:color w:val="000000"/>
          <w:sz w:val="24"/>
          <w:highlight w:val="none"/>
        </w:rPr>
      </w:pPr>
      <w:r>
        <w:rPr>
          <w:rFonts w:ascii="宋体" w:hAnsi="宋体"/>
          <w:color w:val="000000"/>
          <w:sz w:val="24"/>
          <w:highlight w:val="none"/>
        </w:rPr>
      </w:r>
      <w:r/>
    </w:p>
    <w:p>
      <w:pPr>
        <w:pStyle w:val="698"/>
        <w:rPr>
          <w:rFonts w:ascii="宋体" w:hAnsi="宋体"/>
          <w:color w:val="000000"/>
          <w:sz w:val="24"/>
          <w:highlight w:val="none"/>
        </w:rPr>
      </w:pPr>
      <w:r>
        <w:rPr>
          <w:rFonts w:ascii="宋体" w:hAnsi="宋体"/>
          <w:color w:val="000000"/>
          <w:sz w:val="24"/>
          <w:highlight w:val="none"/>
        </w:rPr>
      </w:r>
      <w:r/>
    </w:p>
    <w:p>
      <w:pPr>
        <w:pStyle w:val="697"/>
        <w:rPr>
          <w:rFonts w:ascii="宋体" w:hAnsi="宋体"/>
          <w:color w:val="000000"/>
          <w:sz w:val="24"/>
          <w:highlight w:val="none"/>
        </w:rPr>
      </w:pPr>
      <w:r>
        <w:rPr>
          <w:rFonts w:ascii="宋体" w:hAnsi="宋体"/>
          <w:color w:val="000000"/>
          <w:sz w:val="24"/>
          <w:highlight w:val="none"/>
        </w:rPr>
      </w:r>
      <w:r/>
    </w:p>
    <w:p>
      <w:pPr>
        <w:pStyle w:val="698"/>
        <w:rPr>
          <w:rFonts w:ascii="宋体" w:hAnsi="宋体"/>
          <w:color w:val="000000"/>
          <w:sz w:val="24"/>
          <w:highlight w:val="none"/>
        </w:rPr>
      </w:pPr>
      <w:r>
        <w:rPr>
          <w:rFonts w:ascii="宋体" w:hAnsi="宋体"/>
          <w:color w:val="000000"/>
          <w:sz w:val="24"/>
          <w:highlight w:val="none"/>
        </w:rPr>
      </w:r>
      <w:r/>
    </w:p>
    <w:p>
      <w:pPr>
        <w:pStyle w:val="697"/>
        <w:spacing w:line="480" w:lineRule="exact"/>
        <w:rPr>
          <w:rFonts w:ascii="宋体" w:hAnsi="宋体" w:cs="宋体"/>
          <w:b/>
          <w:sz w:val="28"/>
          <w:szCs w:val="28"/>
          <w:highlight w:val="none"/>
        </w:rPr>
      </w:pPr>
      <w:r>
        <w:rPr>
          <w:rFonts w:hint="eastAsia" w:ascii="宋体" w:hAnsi="宋体" w:cs="宋体"/>
          <w:b/>
          <w:sz w:val="30"/>
          <w:szCs w:val="30"/>
          <w:highlight w:val="none"/>
        </w:rPr>
        <w:t xml:space="preserve">三、</w:t>
      </w:r>
      <w:r>
        <w:rPr>
          <w:rFonts w:hint="eastAsia" w:ascii="宋体" w:hAnsi="宋体" w:cs="宋体"/>
          <w:b/>
          <w:sz w:val="28"/>
          <w:szCs w:val="28"/>
          <w:highlight w:val="none"/>
        </w:rPr>
        <w:t xml:space="preserve">开标一览表格式</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3.0T核磁共振及大孔径CT维保</w:t>
      </w:r>
      <w:r>
        <w:rPr>
          <w:rFonts w:ascii="宋体" w:hAnsi="宋体"/>
          <w:color w:val="000000"/>
          <w:sz w:val="28"/>
          <w:szCs w:val="28"/>
          <w:highlight w:val="none"/>
        </w:rPr>
        <w:t xml:space="preserve"> </w:t>
      </w:r>
      <w:r/>
    </w:p>
    <w:p>
      <w:pPr>
        <w:pStyle w:val="697"/>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p>
    <w:p>
      <w:pPr>
        <w:pStyle w:val="697"/>
        <w:ind w:firstLine="6720"/>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695"/>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697"/>
              <w:jc w:val="center"/>
              <w:rPr>
                <w:rFonts w:ascii="宋体" w:hAnsi="宋体"/>
                <w:color w:val="000000"/>
                <w:sz w:val="28"/>
                <w:szCs w:val="28"/>
                <w:highlight w:val="none"/>
              </w:rPr>
            </w:pPr>
            <w:r>
              <w:rPr>
                <w:rFonts w:ascii="宋体" w:hAnsi="宋体"/>
                <w:color w:val="000000"/>
                <w:sz w:val="28"/>
                <w:szCs w:val="28"/>
                <w:highlight w:val="none"/>
              </w:rPr>
              <w:t xml:space="preserve">项目名称</w:t>
            </w:r>
            <w:r/>
          </w:p>
        </w:tc>
        <w:tc>
          <w:tcPr>
            <w:tcW w:w="2835" w:type="dxa"/>
            <w:vAlign w:val="center"/>
            <w:textDirection w:val="lrTb"/>
            <w:noWrap w:val="false"/>
          </w:tcPr>
          <w:p>
            <w:pPr>
              <w:pStyle w:val="697"/>
              <w:jc w:val="center"/>
              <w:rPr>
                <w:rFonts w:ascii="宋体" w:hAnsi="宋体"/>
                <w:color w:val="000000"/>
                <w:sz w:val="28"/>
                <w:szCs w:val="28"/>
                <w:highlight w:val="none"/>
              </w:rPr>
            </w:pPr>
            <w:r>
              <w:rPr>
                <w:rFonts w:ascii="宋体" w:hAnsi="宋体"/>
                <w:color w:val="000000"/>
                <w:sz w:val="28"/>
                <w:szCs w:val="28"/>
                <w:highlight w:val="none"/>
              </w:rPr>
              <w:t xml:space="preserve">项目内容</w:t>
            </w:r>
            <w:r/>
          </w:p>
        </w:tc>
        <w:tc>
          <w:tcPr>
            <w:tcW w:w="2943" w:type="dxa"/>
            <w:vAlign w:val="center"/>
            <w:textDirection w:val="lrTb"/>
            <w:noWrap w:val="false"/>
          </w:tcPr>
          <w:p>
            <w:pPr>
              <w:pStyle w:val="697"/>
              <w:jc w:val="center"/>
              <w:rPr>
                <w:rFonts w:ascii="宋体" w:hAnsi="宋体"/>
                <w:color w:val="000000"/>
                <w:sz w:val="28"/>
                <w:szCs w:val="28"/>
                <w:highlight w:val="none"/>
              </w:rPr>
            </w:pPr>
            <w:r>
              <w:rPr>
                <w:rFonts w:ascii="宋体" w:hAnsi="宋体"/>
                <w:color w:val="000000"/>
                <w:sz w:val="28"/>
                <w:szCs w:val="28"/>
                <w:highlight w:val="none"/>
              </w:rPr>
              <w:t xml:space="preserve">总价（小写）</w:t>
            </w:r>
            <w:r/>
          </w:p>
        </w:tc>
      </w:tr>
      <w:tr>
        <w:trPr>
          <w:cantSplit/>
          <w:jc w:val="center"/>
          <w:trHeight w:val="1214"/>
        </w:trPr>
        <w:tc>
          <w:tcPr>
            <w:tcW w:w="3556" w:type="dxa"/>
            <w:vAlign w:val="center"/>
            <w:textDirection w:val="lrTb"/>
            <w:noWrap w:val="false"/>
          </w:tcPr>
          <w:p>
            <w:pPr>
              <w:pStyle w:val="697"/>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3.0T核磁共振及大孔径CT维保</w:t>
            </w:r>
            <w:r/>
          </w:p>
        </w:tc>
        <w:tc>
          <w:tcPr>
            <w:tcW w:w="2835" w:type="dxa"/>
            <w:vAlign w:val="center"/>
            <w:textDirection w:val="lrTb"/>
            <w:noWrap w:val="false"/>
          </w:tcPr>
          <w:p>
            <w:pPr>
              <w:pStyle w:val="697"/>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3.0T核磁共振及大孔径CT维保</w:t>
            </w:r>
            <w:r/>
          </w:p>
        </w:tc>
        <w:tc>
          <w:tcPr>
            <w:tcW w:w="2943" w:type="dxa"/>
            <w:vAlign w:val="center"/>
            <w:textDirection w:val="lrTb"/>
            <w:noWrap w:val="false"/>
          </w:tcPr>
          <w:p>
            <w:pPr>
              <w:pStyle w:val="697"/>
              <w:jc w:val="center"/>
              <w:rPr>
                <w:rFonts w:ascii="宋体" w:hAnsi="宋体"/>
                <w:color w:val="000000"/>
                <w:sz w:val="28"/>
                <w:szCs w:val="28"/>
                <w:highlight w:val="none"/>
              </w:rPr>
            </w:pPr>
            <w:r>
              <w:rPr>
                <w:rFonts w:ascii="宋体" w:hAnsi="宋体"/>
                <w:color w:val="000000"/>
                <w:sz w:val="28"/>
                <w:szCs w:val="28"/>
                <w:highlight w:val="none"/>
              </w:rPr>
            </w:r>
            <w:r/>
          </w:p>
        </w:tc>
      </w:tr>
      <w:tr>
        <w:trPr>
          <w:cantSplit/>
          <w:jc w:val="center"/>
          <w:trHeight w:val="1452"/>
        </w:trPr>
        <w:tc>
          <w:tcPr>
            <w:tcW w:w="3556" w:type="dxa"/>
            <w:vAlign w:val="center"/>
            <w:textDirection w:val="lrTb"/>
            <w:noWrap w:val="false"/>
          </w:tcPr>
          <w:p>
            <w:pPr>
              <w:pStyle w:val="697"/>
              <w:jc w:val="center"/>
              <w:rPr>
                <w:rFonts w:ascii="宋体" w:hAnsi="宋体"/>
                <w:color w:val="000000"/>
                <w:sz w:val="28"/>
                <w:szCs w:val="28"/>
                <w:highlight w:val="none"/>
              </w:rPr>
            </w:pPr>
            <w:r>
              <w:rPr>
                <w:rFonts w:ascii="宋体" w:hAnsi="宋体"/>
                <w:color w:val="000000"/>
                <w:sz w:val="28"/>
                <w:szCs w:val="28"/>
                <w:highlight w:val="none"/>
              </w:rPr>
              <w:t xml:space="preserve">总价（大写）：</w:t>
            </w:r>
            <w:r/>
          </w:p>
        </w:tc>
        <w:tc>
          <w:tcPr>
            <w:gridSpan w:val="2"/>
            <w:tcW w:w="5778" w:type="dxa"/>
            <w:vAlign w:val="center"/>
            <w:textDirection w:val="lrTb"/>
            <w:noWrap w:val="false"/>
          </w:tcPr>
          <w:p>
            <w:pPr>
              <w:pStyle w:val="697"/>
              <w:jc w:val="center"/>
              <w:rPr>
                <w:rFonts w:ascii="宋体" w:hAnsi="宋体"/>
                <w:color w:val="000000"/>
                <w:sz w:val="28"/>
                <w:szCs w:val="28"/>
                <w:highlight w:val="none"/>
              </w:rPr>
            </w:pPr>
            <w:r>
              <w:rPr>
                <w:rFonts w:ascii="宋体" w:hAnsi="宋体"/>
                <w:color w:val="000000"/>
                <w:sz w:val="28"/>
                <w:szCs w:val="28"/>
                <w:highlight w:val="none"/>
              </w:rPr>
            </w:r>
            <w:r/>
          </w:p>
        </w:tc>
      </w:tr>
    </w:tbl>
    <w:p>
      <w:pPr>
        <w:pStyle w:val="697"/>
        <w:rPr>
          <w:rFonts w:ascii="宋体" w:hAnsi="宋体"/>
          <w:b/>
          <w:color w:val="000000"/>
          <w:sz w:val="28"/>
          <w:szCs w:val="28"/>
          <w:highlight w:val="none"/>
        </w:rPr>
      </w:pPr>
      <w:r>
        <w:rPr>
          <w:rFonts w:ascii="宋体" w:hAnsi="宋体"/>
          <w:b/>
          <w:color w:val="000000"/>
          <w:sz w:val="28"/>
          <w:szCs w:val="28"/>
          <w:highlight w:val="none"/>
        </w:rPr>
      </w:r>
      <w:r/>
    </w:p>
    <w:p>
      <w:pPr>
        <w:pStyle w:val="697"/>
        <w:rPr>
          <w:rFonts w:ascii="宋体" w:hAnsi="宋体"/>
          <w:color w:val="000000"/>
          <w:sz w:val="28"/>
          <w:szCs w:val="28"/>
          <w:highlight w:val="none"/>
        </w:rPr>
      </w:pPr>
      <w:r>
        <w:rPr>
          <w:rFonts w:ascii="宋体" w:hAnsi="宋体"/>
          <w:color w:val="000000"/>
          <w:sz w:val="28"/>
          <w:szCs w:val="28"/>
          <w:highlight w:val="none"/>
        </w:rPr>
      </w:r>
      <w:r/>
    </w:p>
    <w:p>
      <w:pPr>
        <w:pStyle w:val="697"/>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ind w:firstLine="31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697"/>
        <w:ind w:firstLine="39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spacing w:line="480" w:lineRule="exact"/>
        <w:rPr>
          <w:rFonts w:ascii="宋体" w:hAnsi="宋体"/>
          <w:b/>
          <w:bCs/>
          <w:color w:val="000000"/>
          <w:sz w:val="32"/>
          <w:szCs w:val="32"/>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四、</w:t>
      </w:r>
      <w:r>
        <w:rPr>
          <w:rFonts w:hint="eastAsia" w:ascii="宋体" w:hAnsi="宋体" w:cs="宋体"/>
          <w:b/>
          <w:bCs/>
          <w:sz w:val="28"/>
          <w:szCs w:val="28"/>
          <w:highlight w:val="none"/>
        </w:rPr>
        <w:t xml:space="preserve">分项价格表格式</w:t>
      </w:r>
      <w:r/>
    </w:p>
    <w:p>
      <w:pPr>
        <w:pStyle w:val="698"/>
        <w:rPr>
          <w:highlight w:val="none"/>
        </w:rPr>
      </w:pPr>
      <w:r>
        <w:rPr>
          <w:highlight w:val="none"/>
        </w:rPr>
      </w:r>
      <w:r/>
    </w:p>
    <w:p>
      <w:pPr>
        <w:pStyle w:val="697"/>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3.0T核磁共振及大孔径CT维保</w:t>
      </w:r>
      <w:r>
        <w:rPr>
          <w:rFonts w:ascii="宋体" w:hAnsi="宋体"/>
          <w:color w:val="000000"/>
          <w:sz w:val="28"/>
          <w:szCs w:val="28"/>
          <w:highlight w:val="none"/>
        </w:rPr>
        <w:t xml:space="preserve">  </w:t>
      </w:r>
      <w:r/>
    </w:p>
    <w:p>
      <w:pPr>
        <w:pStyle w:val="697"/>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p>
    <w:p>
      <w:pPr>
        <w:pStyle w:val="697"/>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695"/>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190"/>
        <w:gridCol w:w="1600"/>
        <w:gridCol w:w="1093"/>
        <w:gridCol w:w="970"/>
        <w:gridCol w:w="720"/>
        <w:gridCol w:w="1145"/>
        <w:gridCol w:w="900"/>
        <w:gridCol w:w="1295"/>
      </w:tblGrid>
      <w:tr>
        <w:trPr>
          <w:jc w:val="center"/>
        </w:trPr>
        <w:tc>
          <w:tcPr>
            <w:tcW w:w="761"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序号</w:t>
            </w:r>
            <w:r/>
          </w:p>
        </w:tc>
        <w:tc>
          <w:tcPr>
            <w:tcW w:w="1190"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维保设备名称</w:t>
            </w:r>
            <w:r/>
          </w:p>
        </w:tc>
        <w:tc>
          <w:tcPr>
            <w:tcW w:w="1600"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品牌、型号、规格</w:t>
            </w:r>
            <w:r/>
          </w:p>
        </w:tc>
        <w:tc>
          <w:tcPr>
            <w:tcW w:w="1093"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维保内容</w:t>
            </w:r>
            <w:r/>
          </w:p>
        </w:tc>
        <w:tc>
          <w:tcPr>
            <w:tcW w:w="970"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单位</w:t>
            </w:r>
            <w:r/>
          </w:p>
        </w:tc>
        <w:tc>
          <w:tcPr>
            <w:tcW w:w="720"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数量</w:t>
            </w:r>
            <w:r/>
          </w:p>
        </w:tc>
        <w:tc>
          <w:tcPr>
            <w:tcW w:w="1145"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维保单价（元）</w:t>
            </w:r>
            <w:r/>
          </w:p>
        </w:tc>
        <w:tc>
          <w:tcPr>
            <w:tcW w:w="900"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维保期</w:t>
            </w:r>
            <w:r/>
          </w:p>
        </w:tc>
        <w:tc>
          <w:tcPr>
            <w:tcW w:w="1295"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维保总价（元）</w:t>
            </w:r>
            <w:r/>
          </w:p>
        </w:tc>
      </w:tr>
      <w:tr>
        <w:trPr>
          <w:jc w:val="center"/>
        </w:trPr>
        <w:tc>
          <w:tcPr>
            <w:tcW w:w="761"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cantSplit/>
          <w:jc w:val="center"/>
        </w:trPr>
        <w:tc>
          <w:tcPr>
            <w:gridSpan w:val="9"/>
            <w:tcW w:w="9674" w:type="dxa"/>
            <w:textDirection w:val="lrTb"/>
            <w:noWrap w:val="false"/>
          </w:tcPr>
          <w:p>
            <w:pP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投标总价：</w:t>
            </w:r>
            <w:r/>
          </w:p>
          <w:p>
            <w:pP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金额大写                            元</w:t>
            </w:r>
            <w:r/>
          </w:p>
        </w:tc>
      </w:tr>
    </w:tbl>
    <w:p>
      <w:pPr>
        <w:pStyle w:val="697"/>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697"/>
        <w:ind w:firstLine="39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697"/>
        <w:ind w:left="1496" w:hanging="900"/>
        <w:spacing w:line="480" w:lineRule="exact"/>
        <w:rPr>
          <w:rFonts w:hint="eastAsia" w:ascii="宋体" w:hAnsi="宋体" w:eastAsia="宋体"/>
          <w:color w:val="000000"/>
          <w:sz w:val="28"/>
          <w:szCs w:val="28"/>
          <w:highlight w:val="none"/>
          <w:lang w:val="en-US" w:eastAsia="zh-CN"/>
        </w:rPr>
      </w:pPr>
      <w:r>
        <w:rPr>
          <w:rFonts w:ascii="宋体" w:hAnsi="宋体"/>
          <w:color w:val="000000"/>
          <w:sz w:val="28"/>
          <w:szCs w:val="28"/>
          <w:highlight w:val="none"/>
        </w:rPr>
        <w:t xml:space="preserve">注：如果不提供详细分项报价的，将视为没有实质性响应招标文</w:t>
      </w:r>
      <w:r>
        <w:rPr>
          <w:rFonts w:hint="eastAsia" w:ascii="宋体" w:hAnsi="宋体"/>
          <w:color w:val="000000"/>
          <w:sz w:val="28"/>
          <w:szCs w:val="28"/>
          <w:highlight w:val="none"/>
          <w:lang w:val="en-US" w:eastAsia="zh-CN"/>
        </w:rPr>
        <w:t xml:space="preserve">件。</w:t>
      </w:r>
      <w:r/>
    </w:p>
    <w:p>
      <w:pPr>
        <w:pStyle w:val="697"/>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97"/>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97"/>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97"/>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97"/>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97"/>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97"/>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97"/>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97"/>
        <w:ind w:firstLine="1124"/>
        <w:spacing w:line="480" w:lineRule="exact"/>
        <w:rPr>
          <w:rFonts w:ascii="宋体" w:hAnsi="宋体"/>
          <w:color w:val="000000"/>
          <w:sz w:val="28"/>
          <w:szCs w:val="28"/>
          <w:highlight w:val="none"/>
        </w:rPr>
      </w:pPr>
      <w:r>
        <w:rPr>
          <w:rFonts w:hint="eastAsia" w:ascii="宋体" w:hAnsi="宋体"/>
          <w:b/>
          <w:bCs/>
          <w:color w:val="000000"/>
          <w:sz w:val="28"/>
          <w:szCs w:val="28"/>
          <w:highlight w:val="none"/>
        </w:rPr>
        <w:t xml:space="preserve">五、偏离响应表格式</w:t>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jc w:val="center"/>
        <w:spacing w:line="480" w:lineRule="exac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lang w:eastAsia="zh-CN"/>
        </w:rPr>
        <w:t xml:space="preserve">采购需求偏离响应表</w:t>
      </w:r>
      <w:r/>
    </w:p>
    <w:p>
      <w:pPr>
        <w:pStyle w:val="697"/>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3.0T核磁共振及大孔径CT维保</w:t>
      </w:r>
      <w:r>
        <w:rPr>
          <w:rFonts w:ascii="宋体" w:hAnsi="宋体"/>
          <w:color w:val="000000"/>
          <w:sz w:val="28"/>
          <w:szCs w:val="28"/>
          <w:highlight w:val="none"/>
        </w:rPr>
        <w:t xml:space="preserve">  </w:t>
      </w:r>
      <w:r/>
    </w:p>
    <w:p>
      <w:pPr>
        <w:pStyle w:val="696"/>
        <w:rPr>
          <w:szCs w:val="28"/>
          <w:highlight w:val="none"/>
        </w:rPr>
      </w:pPr>
      <w:r>
        <w:rPr>
          <w:rFonts w:ascii="宋体" w:hAnsi="宋体" w:eastAsia="宋体"/>
          <w:color w:val="000000"/>
          <w:szCs w:val="28"/>
          <w:highlight w:val="none"/>
        </w:rPr>
        <w:t xml:space="preserve">项目编号：</w:t>
      </w:r>
      <w:r>
        <w:rPr>
          <w:rFonts w:hint="eastAsia" w:ascii="宋体" w:hAnsi="宋体"/>
          <w:color w:val="000000"/>
          <w:szCs w:val="28"/>
          <w:highlight w:val="none"/>
        </w:rPr>
        <w:t xml:space="preserve"> </w:t>
      </w:r>
      <w:r>
        <w:rPr>
          <w:rFonts w:ascii="宋体" w:hAnsi="宋体" w:eastAsia="宋体"/>
          <w:color w:val="000000"/>
          <w:szCs w:val="28"/>
          <w:highlight w:val="none"/>
        </w:rPr>
        <w:t xml:space="preserve"> </w:t>
      </w:r>
      <w:r>
        <w:rPr>
          <w:rFonts w:hint="eastAsia" w:ascii="宋体" w:hAnsi="宋体" w:eastAsia="宋体" w:cs="宋体"/>
          <w:szCs w:val="28"/>
          <w:highlight w:val="none"/>
        </w:rPr>
        <w:t xml:space="preserve">  </w:t>
      </w:r>
      <w:r/>
    </w:p>
    <w:tbl>
      <w:tblPr>
        <w:tblStyle w:val="695"/>
        <w:tblpPr w:horzAnchor="text" w:tblpXSpec="center" w:vertAnchor="text" w:tblpY="1" w:leftFromText="180" w:topFromText="0" w:rightFromText="180" w:bottomFromText="0"/>
        <w:tblW w:w="93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019"/>
        <w:gridCol w:w="2643"/>
        <w:gridCol w:w="2190"/>
        <w:gridCol w:w="1417"/>
      </w:tblGrid>
      <w:tr>
        <w:trPr>
          <w:jc w:val="center"/>
          <w:trHeight w:val="855"/>
        </w:trPr>
        <w:tc>
          <w:tcPr>
            <w:tcW w:w="1043" w:type="dxa"/>
            <w:vAlign w:val="center"/>
            <w:textDirection w:val="lrTb"/>
            <w:noWrap w:val="false"/>
          </w:tcPr>
          <w:p>
            <w:pPr>
              <w:pStyle w:val="697"/>
              <w:jc w:val="center"/>
              <w:rPr>
                <w:rFonts w:ascii="宋体" w:hAnsi="宋体"/>
                <w:color w:val="000000"/>
                <w:sz w:val="28"/>
                <w:szCs w:val="28"/>
                <w:highlight w:val="none"/>
              </w:rPr>
            </w:pPr>
            <w:r>
              <w:rPr>
                <w:rFonts w:hint="eastAsia" w:ascii="宋体" w:hAnsi="宋体"/>
                <w:color w:val="000000"/>
                <w:sz w:val="28"/>
                <w:szCs w:val="28"/>
                <w:highlight w:val="none"/>
              </w:rPr>
              <w:t xml:space="preserve">序号</w:t>
            </w:r>
            <w:r/>
          </w:p>
        </w:tc>
        <w:tc>
          <w:tcPr>
            <w:tcW w:w="2019" w:type="dxa"/>
            <w:vAlign w:val="center"/>
            <w:textDirection w:val="lrTb"/>
            <w:noWrap w:val="false"/>
          </w:tcPr>
          <w:p>
            <w:pPr>
              <w:pStyle w:val="697"/>
              <w:jc w:val="center"/>
              <w:rPr>
                <w:rFonts w:ascii="宋体" w:hAnsi="宋体"/>
                <w:color w:val="000000"/>
                <w:sz w:val="28"/>
                <w:szCs w:val="28"/>
                <w:highlight w:val="none"/>
              </w:rPr>
            </w:pPr>
            <w:r>
              <w:rPr>
                <w:rFonts w:hint="eastAsia" w:ascii="宋体" w:hAnsi="宋体"/>
                <w:color w:val="000000"/>
                <w:sz w:val="28"/>
                <w:szCs w:val="28"/>
                <w:highlight w:val="none"/>
              </w:rPr>
              <w:t xml:space="preserve">招标文件条目号</w:t>
            </w:r>
            <w:r/>
          </w:p>
        </w:tc>
        <w:tc>
          <w:tcPr>
            <w:tcW w:w="2643" w:type="dxa"/>
            <w:vAlign w:val="center"/>
            <w:textDirection w:val="lrTb"/>
            <w:noWrap w:val="false"/>
          </w:tcPr>
          <w:p>
            <w:pPr>
              <w:pStyle w:val="697"/>
              <w:jc w:val="center"/>
              <w:rPr>
                <w:rFonts w:ascii="宋体" w:hAnsi="宋体"/>
                <w:color w:val="000000"/>
                <w:sz w:val="28"/>
                <w:szCs w:val="28"/>
                <w:highlight w:val="none"/>
              </w:rPr>
            </w:pPr>
            <w:r>
              <w:rPr>
                <w:rFonts w:hint="eastAsia" w:ascii="宋体" w:hAnsi="宋体"/>
                <w:color w:val="000000"/>
                <w:sz w:val="28"/>
                <w:szCs w:val="28"/>
                <w:highlight w:val="none"/>
              </w:rPr>
              <w:t xml:space="preserve">招标要求规格</w:t>
            </w:r>
            <w:r/>
          </w:p>
        </w:tc>
        <w:tc>
          <w:tcPr>
            <w:tcW w:w="2190" w:type="dxa"/>
            <w:vAlign w:val="center"/>
            <w:textDirection w:val="lrTb"/>
            <w:noWrap w:val="false"/>
          </w:tcPr>
          <w:p>
            <w:pPr>
              <w:pStyle w:val="697"/>
              <w:jc w:val="center"/>
              <w:rPr>
                <w:rFonts w:ascii="宋体" w:hAnsi="宋体"/>
                <w:color w:val="000000"/>
                <w:sz w:val="28"/>
                <w:szCs w:val="28"/>
                <w:highlight w:val="none"/>
              </w:rPr>
            </w:pPr>
            <w:r>
              <w:rPr>
                <w:rFonts w:hint="eastAsia" w:ascii="宋体" w:hAnsi="宋体"/>
                <w:color w:val="000000"/>
                <w:sz w:val="28"/>
                <w:szCs w:val="28"/>
                <w:highlight w:val="none"/>
              </w:rPr>
              <w:t xml:space="preserve">投标文件响应情况</w:t>
            </w:r>
            <w:r/>
          </w:p>
        </w:tc>
        <w:tc>
          <w:tcPr>
            <w:tcW w:w="1417" w:type="dxa"/>
            <w:vAlign w:val="center"/>
            <w:textDirection w:val="lrTb"/>
            <w:noWrap w:val="false"/>
          </w:tcPr>
          <w:p>
            <w:pPr>
              <w:pStyle w:val="697"/>
              <w:jc w:val="center"/>
              <w:rPr>
                <w:rFonts w:ascii="宋体" w:hAnsi="宋体"/>
                <w:color w:val="000000"/>
                <w:sz w:val="28"/>
                <w:szCs w:val="28"/>
                <w:highlight w:val="none"/>
              </w:rPr>
            </w:pPr>
            <w:r>
              <w:rPr>
                <w:rFonts w:hint="eastAsia" w:ascii="宋体" w:hAnsi="宋体"/>
                <w:color w:val="000000"/>
                <w:sz w:val="28"/>
                <w:szCs w:val="28"/>
                <w:highlight w:val="none"/>
              </w:rPr>
              <w:t xml:space="preserve">偏离/响应</w:t>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95"/>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bl>
    <w:p>
      <w:pPr>
        <w:pStyle w:val="697"/>
        <w:rPr>
          <w:rFonts w:ascii="宋体" w:hAnsi="宋体"/>
          <w:color w:val="000000"/>
          <w:sz w:val="28"/>
          <w:szCs w:val="28"/>
          <w:highlight w:val="none"/>
          <w:u w:val="single"/>
        </w:rPr>
      </w:pPr>
      <w:r>
        <w:rPr>
          <w:rFonts w:ascii="宋体" w:hAnsi="宋体"/>
          <w:color w:val="000000"/>
          <w:sz w:val="28"/>
          <w:szCs w:val="28"/>
          <w:highlight w:val="none"/>
          <w:u w:val="singl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说明：</w:t>
      </w:r>
      <w:r/>
    </w:p>
    <w:p>
      <w:pPr>
        <w:pStyle w:val="697"/>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1、投标人应对招标文件“第六章、</w:t>
      </w:r>
      <w:r>
        <w:rPr>
          <w:rFonts w:hint="eastAsia" w:ascii="宋体" w:hAnsi="宋体"/>
          <w:color w:val="000000"/>
          <w:sz w:val="28"/>
          <w:szCs w:val="28"/>
          <w:highlight w:val="none"/>
          <w:lang w:val="zh-CN"/>
        </w:rPr>
        <w:t xml:space="preserve">采购</w:t>
      </w:r>
      <w:r>
        <w:rPr>
          <w:rFonts w:hint="eastAsia" w:ascii="宋体" w:hAnsi="宋体"/>
          <w:color w:val="000000"/>
          <w:sz w:val="28"/>
          <w:szCs w:val="28"/>
          <w:highlight w:val="none"/>
        </w:rPr>
        <w:t xml:space="preserve">需求”中的内容给予逐条响应，若漏项或不逐条应答视为负偏离。</w:t>
      </w:r>
      <w:r/>
    </w:p>
    <w:p>
      <w:pPr>
        <w:pStyle w:val="697"/>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2、“偏离/响应”栏请注明”响应或无偏离/正偏离/负偏离，正偏离指供应商的响应高于招标文件要求，负偏离指供应商的响应低于招标文件要求。</w:t>
      </w:r>
      <w:r/>
    </w:p>
    <w:p>
      <w:pPr>
        <w:pStyle w:val="697"/>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3、如果行数不够，请自行增加。</w:t>
      </w:r>
      <w:r/>
    </w:p>
    <w:p>
      <w:pPr>
        <w:pStyle w:val="697"/>
        <w:ind w:firstLine="2850"/>
        <w:spacing w:line="300" w:lineRule="auto"/>
        <w:rPr>
          <w:rFonts w:ascii="宋体" w:hAnsi="宋体" w:cs="宋体"/>
          <w:szCs w:val="21"/>
          <w:highlight w:val="none"/>
        </w:rPr>
      </w:pPr>
      <w:r>
        <w:rPr>
          <w:rFonts w:ascii="宋体" w:hAnsi="宋体" w:cs="宋体"/>
          <w:szCs w:val="21"/>
          <w:highlight w:val="none"/>
        </w:rPr>
      </w:r>
      <w:r/>
    </w:p>
    <w:p>
      <w:pPr>
        <w:pStyle w:val="698"/>
        <w:rPr>
          <w:highlight w:val="none"/>
        </w:rPr>
      </w:pPr>
      <w:r>
        <w:rPr>
          <w:highlight w:val="none"/>
        </w:rPr>
      </w:r>
      <w:r/>
    </w:p>
    <w:p>
      <w:pPr>
        <w:pStyle w:val="697"/>
        <w:ind w:firstLine="2850"/>
        <w:spacing w:line="300" w:lineRule="auto"/>
        <w:rPr>
          <w:rFonts w:ascii="宋体" w:hAnsi="宋体" w:cs="宋体"/>
          <w:szCs w:val="21"/>
          <w:highlight w:val="none"/>
        </w:rPr>
      </w:pPr>
      <w:r>
        <w:rPr>
          <w:rFonts w:ascii="宋体" w:hAnsi="宋体" w:cs="宋体"/>
          <w:szCs w:val="21"/>
          <w:highlight w:val="none"/>
        </w:rPr>
      </w:r>
      <w:r/>
    </w:p>
    <w:p>
      <w:pPr>
        <w:pStyle w:val="697"/>
        <w:ind w:firstLine="2850"/>
        <w:spacing w:line="300" w:lineRule="auto"/>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697"/>
        <w:ind w:firstLine="600"/>
        <w:spacing w:line="300" w:lineRule="auto"/>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697"/>
        <w:ind w:firstLine="3640"/>
        <w:spacing w:line="360" w:lineRule="auto"/>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69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697"/>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六、法定代表人授权书格式</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委托人：</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t xml:space="preserve">地  址：</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法定代表人（负责人）：               职务：</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t xml:space="preserve">统一社会信用代码：</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                   性别：男（女）  </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t xml:space="preserve">年龄：  岁                 民族：   族</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t xml:space="preserve">职务：</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t xml:space="preserve">身份证号：</w:t>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兹委托（      ）全权代表我企业（公司）参与（</w:t>
      </w:r>
      <w:r>
        <w:rPr>
          <w:rFonts w:hint="eastAsia" w:ascii="宋体" w:hAnsi="宋体"/>
          <w:color w:val="000000"/>
          <w:sz w:val="28"/>
          <w:szCs w:val="28"/>
          <w:highlight w:val="none"/>
          <w:lang w:eastAsia="zh-CN"/>
        </w:rPr>
        <w:t xml:space="preserve">3.0T核磁共振及大孔径CT维保</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697"/>
        <w:ind w:firstLine="630"/>
        <w:spacing w:line="480" w:lineRule="exact"/>
        <w:rPr>
          <w:rFonts w:ascii="宋体" w:hAnsi="宋体"/>
          <w:color w:val="000000"/>
          <w:sz w:val="28"/>
          <w:szCs w:val="28"/>
          <w:highlight w:val="none"/>
        </w:rPr>
      </w:pPr>
      <w:r>
        <w:rPr>
          <w:rFonts w:ascii="宋体" w:hAnsi="宋体"/>
          <w:color w:val="000000"/>
          <w:sz w:val="28"/>
          <w:szCs w:val="28"/>
          <w:highlight w:val="none"/>
        </w:rPr>
        <w:t xml:space="preserve">特此授权委托。</w:t>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委托人（盖单位电子签章）：        受托人（签字或盖章）：</w:t>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法定代表人（签字或盖章）： </w:t>
      </w:r>
      <w:r/>
    </w:p>
    <w:p>
      <w:pPr>
        <w:pStyle w:val="697"/>
        <w:ind w:right="600" w:firstLine="6150"/>
        <w:spacing w:line="480" w:lineRule="exact"/>
        <w:rPr>
          <w:rFonts w:ascii="宋体" w:hAnsi="宋体"/>
          <w:color w:val="000000"/>
          <w:sz w:val="28"/>
          <w:szCs w:val="28"/>
          <w:highlight w:val="none"/>
        </w:rPr>
      </w:pPr>
      <w:r>
        <w:rPr>
          <w:rFonts w:ascii="宋体" w:hAnsi="宋体"/>
          <w:color w:val="000000"/>
          <w:sz w:val="28"/>
          <w:szCs w:val="28"/>
          <w:highlight w:val="none"/>
        </w:rPr>
        <w:t xml:space="preserve">年   月   日 </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(受托人身份证</w:t>
      </w:r>
      <w:r>
        <w:rPr>
          <w:rFonts w:hint="eastAsia" w:ascii="宋体" w:hAnsi="宋体"/>
          <w:color w:val="000000"/>
          <w:sz w:val="28"/>
          <w:szCs w:val="28"/>
          <w:highlight w:val="none"/>
          <w:lang w:val="en-US" w:eastAsia="zh-CN"/>
        </w:rPr>
        <w:t xml:space="preserve">扫描件</w:t>
      </w:r>
      <w:r>
        <w:rPr>
          <w:rFonts w:ascii="宋体" w:hAnsi="宋体"/>
          <w:color w:val="000000"/>
          <w:sz w:val="28"/>
          <w:szCs w:val="28"/>
          <w:highlight w:val="none"/>
        </w:rPr>
        <w:t xml:space="preserve">附后)</w:t>
      </w:r>
      <w:r/>
    </w:p>
    <w:p>
      <w:pPr>
        <w:pStyle w:val="697"/>
        <w:ind w:firstLine="4470"/>
        <w:rPr>
          <w:rFonts w:ascii="宋体" w:hAnsi="宋体"/>
          <w:color w:val="000000"/>
          <w:sz w:val="28"/>
          <w:szCs w:val="28"/>
          <w:highlight w:val="none"/>
        </w:rPr>
      </w:pPr>
      <w:r>
        <w:rPr>
          <w:rFonts w:ascii="宋体" w:hAnsi="宋体"/>
          <w:color w:val="000000"/>
          <w:sz w:val="28"/>
          <w:szCs w:val="28"/>
          <w:highlight w:val="none"/>
        </w:rPr>
        <w:t xml:space="preserve"> </w:t>
      </w:r>
      <w:r/>
    </w:p>
    <w:p>
      <w:pPr>
        <w:pStyle w:val="697"/>
        <w:ind w:firstLine="4470"/>
        <w:rPr>
          <w:rFonts w:ascii="宋体" w:hAnsi="宋体"/>
          <w:color w:val="000000"/>
          <w:sz w:val="28"/>
          <w:szCs w:val="28"/>
          <w:highlight w:val="none"/>
        </w:rPr>
      </w:pPr>
      <w:r>
        <w:rPr>
          <w:rFonts w:ascii="宋体" w:hAnsi="宋体"/>
          <w:color w:val="000000"/>
          <w:sz w:val="28"/>
          <w:szCs w:val="28"/>
          <w:highlight w:val="none"/>
        </w:rPr>
      </w:r>
      <w:r/>
    </w:p>
    <w:p>
      <w:pPr>
        <w:pStyle w:val="697"/>
        <w:ind w:firstLine="4470"/>
        <w:rPr>
          <w:rFonts w:ascii="宋体" w:hAnsi="宋体"/>
          <w:color w:val="000000"/>
          <w:sz w:val="28"/>
          <w:szCs w:val="28"/>
          <w:highlight w:val="none"/>
        </w:rPr>
      </w:pPr>
      <w:r>
        <w:rPr>
          <w:rFonts w:ascii="宋体" w:hAnsi="宋体"/>
          <w:color w:val="000000"/>
          <w:sz w:val="28"/>
          <w:szCs w:val="28"/>
          <w:highlight w:val="none"/>
        </w:rPr>
      </w:r>
      <w:r/>
    </w:p>
    <w:p>
      <w:pPr>
        <w:pStyle w:val="697"/>
        <w:ind w:firstLine="4470"/>
        <w:rPr>
          <w:rFonts w:ascii="宋体" w:hAnsi="宋体"/>
          <w:color w:val="000000"/>
          <w:sz w:val="28"/>
          <w:szCs w:val="28"/>
          <w:highlight w:val="none"/>
        </w:rPr>
      </w:pPr>
      <w:r>
        <w:rPr>
          <w:rFonts w:ascii="宋体" w:hAnsi="宋体"/>
          <w:color w:val="000000"/>
          <w:sz w:val="28"/>
          <w:szCs w:val="28"/>
          <w:highlight w:val="none"/>
        </w:rPr>
      </w:r>
      <w:r/>
    </w:p>
    <w:p>
      <w:pPr>
        <w:pStyle w:val="697"/>
        <w:ind w:firstLine="4470"/>
        <w:rPr>
          <w:rFonts w:ascii="宋体" w:hAnsi="宋体"/>
          <w:color w:val="000000"/>
          <w:sz w:val="28"/>
          <w:szCs w:val="28"/>
          <w:highlight w:val="none"/>
        </w:rPr>
      </w:pPr>
      <w:r>
        <w:rPr>
          <w:rFonts w:ascii="宋体" w:hAnsi="宋体"/>
          <w:color w:val="000000"/>
          <w:sz w:val="28"/>
          <w:szCs w:val="28"/>
          <w:highlight w:val="none"/>
        </w:rPr>
      </w:r>
      <w:r/>
    </w:p>
    <w:p>
      <w:pPr>
        <w:pStyle w:val="698"/>
        <w:rPr>
          <w:rFonts w:ascii="宋体" w:hAnsi="宋体"/>
          <w:color w:val="000000"/>
          <w:sz w:val="28"/>
          <w:szCs w:val="28"/>
          <w:highlight w:val="none"/>
        </w:rPr>
      </w:pPr>
      <w:r>
        <w:rPr>
          <w:rFonts w:ascii="宋体" w:hAnsi="宋体"/>
          <w:color w:val="000000"/>
          <w:sz w:val="28"/>
          <w:szCs w:val="28"/>
          <w:highlight w:val="none"/>
        </w:rPr>
      </w:r>
      <w:r/>
    </w:p>
    <w:p>
      <w:pPr>
        <w:pStyle w:val="697"/>
        <w:rPr>
          <w:rFonts w:ascii="宋体" w:hAnsi="宋体"/>
          <w:color w:val="000000"/>
          <w:sz w:val="28"/>
          <w:szCs w:val="28"/>
          <w:highlight w:val="none"/>
        </w:rPr>
      </w:pPr>
      <w:r>
        <w:rPr>
          <w:rFonts w:ascii="宋体" w:hAnsi="宋体"/>
          <w:color w:val="000000"/>
          <w:sz w:val="28"/>
          <w:szCs w:val="28"/>
          <w:highlight w:val="none"/>
        </w:rPr>
      </w:r>
      <w:r/>
    </w:p>
    <w:p>
      <w:pPr>
        <w:pStyle w:val="698"/>
        <w:rPr>
          <w:highlight w:val="none"/>
        </w:rPr>
      </w:pPr>
      <w:r>
        <w:rPr>
          <w:highlight w:val="none"/>
        </w:rPr>
      </w:r>
      <w:r/>
    </w:p>
    <w:p>
      <w:pPr>
        <w:pStyle w:val="697"/>
        <w:rPr>
          <w:rFonts w:ascii="宋体" w:hAnsi="宋体"/>
          <w:color w:val="000000"/>
          <w:sz w:val="28"/>
          <w:szCs w:val="28"/>
          <w:highlight w:val="none"/>
        </w:rPr>
      </w:pPr>
      <w:r>
        <w:rPr>
          <w:rFonts w:ascii="宋体" w:hAnsi="宋体"/>
          <w:color w:val="000000"/>
          <w:sz w:val="28"/>
          <w:szCs w:val="28"/>
          <w:highlight w:val="none"/>
        </w:rPr>
      </w:r>
      <w:r/>
    </w:p>
    <w:p>
      <w:pPr>
        <w:pStyle w:val="698"/>
        <w:rPr>
          <w:highlight w:val="none"/>
        </w:rPr>
      </w:pPr>
      <w:r>
        <w:rPr>
          <w:highlight w:val="none"/>
        </w:rPr>
      </w:r>
      <w:r/>
    </w:p>
    <w:p>
      <w:pPr>
        <w:pStyle w:val="697"/>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七、中小企业声明函格式</w:t>
      </w:r>
      <w:r/>
    </w:p>
    <w:p>
      <w:pPr>
        <w:pStyle w:val="698"/>
        <w:rPr>
          <w:sz w:val="28"/>
          <w:szCs w:val="28"/>
          <w:highlight w:val="none"/>
        </w:rPr>
      </w:pPr>
      <w:r>
        <w:rPr>
          <w:sz w:val="28"/>
          <w:szCs w:val="28"/>
          <w:highlight w:val="none"/>
        </w:rPr>
      </w:r>
      <w:r/>
    </w:p>
    <w:p>
      <w:pPr>
        <w:pStyle w:val="989"/>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u w:val="single"/>
          <w:lang w:eastAsia="zh-CN"/>
        </w:rPr>
        <w:t xml:space="preserve">3.0T核磁共振及大孔径CT维保</w:t>
      </w:r>
      <w:r>
        <w:rPr>
          <w:rFonts w:ascii="宋体" w:hAnsi="宋体"/>
          <w:color w:val="000000"/>
          <w:sz w:val="28"/>
          <w:szCs w:val="28"/>
          <w:highlight w:val="none"/>
          <w:u w:val="single"/>
        </w:rPr>
        <w:t xml:space="preserve">          </w:t>
      </w:r>
      <w:r/>
    </w:p>
    <w:p>
      <w:pPr>
        <w:pStyle w:val="989"/>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p>
    <w:p>
      <w:pPr>
        <w:pStyle w:val="989"/>
        <w:numPr>
          <w:ilvl w:val="0"/>
          <w:numId w:val="0"/>
        </w:numPr>
        <w:jc w:val="left"/>
        <w:spacing w:line="400" w:lineRule="exact"/>
        <w:widowControl/>
        <w:rPr>
          <w:sz w:val="28"/>
          <w:szCs w:val="28"/>
          <w:highlight w:val="none"/>
        </w:rPr>
      </w:pPr>
      <w:r>
        <w:rPr>
          <w:rFonts w:hint="eastAsia"/>
          <w:sz w:val="28"/>
          <w:szCs w:val="28"/>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89"/>
        <w:numPr>
          <w:ilvl w:val="0"/>
          <w:numId w:val="0"/>
        </w:numPr>
        <w:jc w:val="left"/>
        <w:spacing w:line="400" w:lineRule="exact"/>
        <w:widowControl/>
        <w:rPr>
          <w:sz w:val="28"/>
          <w:szCs w:val="28"/>
          <w:highlight w:val="none"/>
        </w:rPr>
      </w:pPr>
      <w:r>
        <w:rPr>
          <w:rFonts w:hint="eastAsia"/>
          <w:sz w:val="28"/>
          <w:szCs w:val="28"/>
          <w:highlight w:val="none"/>
        </w:rPr>
        <w:t xml:space="preserve">1. （标的名称） ，属于（招标文件中明确的所属行业）；承建（承接）企业为（企业名称），从业人员    人，营业收入为    万元，资产总额为    万元1，属于（中型企业、小型企业、微型企业）；</w:t>
      </w:r>
      <w:r/>
    </w:p>
    <w:p>
      <w:pPr>
        <w:pStyle w:val="989"/>
        <w:numPr>
          <w:ilvl w:val="0"/>
          <w:numId w:val="0"/>
        </w:numPr>
        <w:jc w:val="left"/>
        <w:spacing w:line="400" w:lineRule="exact"/>
        <w:widowControl/>
        <w:rPr>
          <w:sz w:val="28"/>
          <w:szCs w:val="28"/>
          <w:highlight w:val="none"/>
        </w:rPr>
      </w:pPr>
      <w:r>
        <w:rPr>
          <w:rFonts w:hint="eastAsia"/>
          <w:sz w:val="28"/>
          <w:szCs w:val="28"/>
          <w:highlight w:val="none"/>
        </w:rPr>
        <w:t xml:space="preserve">2. （标的名称） ，属于（招标文件中明确的所属行业）；承建（承接）企业为（企业名称），从业人员    人，营业收入为    万元，资产总额为    万元，属于（中型企业、小型企业、微型企业）；</w:t>
      </w:r>
      <w:r/>
    </w:p>
    <w:p>
      <w:pPr>
        <w:pStyle w:val="989"/>
        <w:numPr>
          <w:ilvl w:val="0"/>
          <w:numId w:val="0"/>
        </w:numPr>
        <w:jc w:val="left"/>
        <w:spacing w:line="400" w:lineRule="exact"/>
        <w:widowControl/>
        <w:rPr>
          <w:sz w:val="28"/>
          <w:szCs w:val="28"/>
          <w:highlight w:val="none"/>
        </w:rPr>
      </w:pPr>
      <w:r>
        <w:rPr>
          <w:rFonts w:hint="eastAsia"/>
          <w:sz w:val="28"/>
          <w:szCs w:val="28"/>
          <w:highlight w:val="none"/>
        </w:rPr>
        <w:t xml:space="preserve">……</w:t>
      </w:r>
      <w:r/>
    </w:p>
    <w:p>
      <w:pPr>
        <w:pStyle w:val="989"/>
        <w:numPr>
          <w:ilvl w:val="0"/>
          <w:numId w:val="0"/>
        </w:numPr>
        <w:jc w:val="left"/>
        <w:spacing w:line="400" w:lineRule="exact"/>
        <w:widowControl/>
        <w:rPr>
          <w:sz w:val="28"/>
          <w:szCs w:val="28"/>
          <w:highlight w:val="none"/>
        </w:rPr>
      </w:pPr>
      <w:r>
        <w:rPr>
          <w:rFonts w:hint="eastAsia"/>
          <w:sz w:val="28"/>
          <w:szCs w:val="28"/>
          <w:highlight w:val="none"/>
        </w:rPr>
        <w:t xml:space="preserve">以上企业，不属于大企业的分支机构，不存在控股股东为大企业的情形，也不存在与大企业的负责人为同一人的情形。</w:t>
      </w:r>
      <w:r/>
    </w:p>
    <w:p>
      <w:pPr>
        <w:pStyle w:val="989"/>
        <w:numPr>
          <w:ilvl w:val="0"/>
          <w:numId w:val="0"/>
        </w:numPr>
        <w:jc w:val="left"/>
        <w:spacing w:line="400" w:lineRule="exact"/>
        <w:widowControl/>
        <w:rPr>
          <w:sz w:val="28"/>
          <w:szCs w:val="28"/>
          <w:highlight w:val="none"/>
        </w:rPr>
      </w:pPr>
      <w:r>
        <w:rPr>
          <w:rFonts w:hint="eastAsia"/>
          <w:sz w:val="28"/>
          <w:szCs w:val="28"/>
          <w:highlight w:val="none"/>
        </w:rPr>
        <w:t xml:space="preserve">本企业对上述声明内容的真实性负责。如有虚假，将依法承担相应责任。</w:t>
      </w:r>
      <w:r/>
    </w:p>
    <w:p>
      <w:pPr>
        <w:pStyle w:val="989"/>
        <w:rPr>
          <w:sz w:val="28"/>
          <w:szCs w:val="28"/>
          <w:highlight w:val="none"/>
        </w:rPr>
      </w:pPr>
      <w:r>
        <w:rPr>
          <w:sz w:val="28"/>
          <w:szCs w:val="28"/>
          <w:highlight w:val="none"/>
        </w:rPr>
      </w:r>
      <w:r/>
    </w:p>
    <w:p>
      <w:pPr>
        <w:pStyle w:val="989"/>
        <w:ind w:firstLine="480"/>
        <w:jc w:val="center"/>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企业名称（供应商名称）（盖章）： </w:t>
      </w:r>
      <w:r/>
    </w:p>
    <w:p>
      <w:pPr>
        <w:pStyle w:val="989"/>
        <w:ind w:right="480"/>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日  期：  年  月  日</w:t>
      </w:r>
      <w:r/>
    </w:p>
    <w:p>
      <w:pPr>
        <w:pStyle w:val="989"/>
        <w:spacing w:line="40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w:t>
      </w:r>
      <w:r>
        <w:rPr>
          <w:rFonts w:hint="eastAsia" w:ascii="宋体" w:hAnsi="宋体"/>
          <w:b/>
          <w:bCs/>
          <w:color w:val="000000"/>
          <w:sz w:val="28"/>
          <w:szCs w:val="28"/>
          <w:highlight w:val="none"/>
          <w:lang w:val="en-US" w:eastAsia="zh-CN"/>
        </w:rPr>
        <w:t xml:space="preserve">服务</w:t>
      </w:r>
      <w:r>
        <w:rPr>
          <w:rFonts w:ascii="宋体" w:hAnsi="宋体"/>
          <w:b/>
          <w:bCs/>
          <w:color w:val="000000"/>
          <w:sz w:val="28"/>
          <w:szCs w:val="28"/>
          <w:highlight w:val="none"/>
        </w:rPr>
        <w:t xml:space="preserve">属于</w:t>
      </w:r>
      <w:r>
        <w:rPr>
          <w:rFonts w:hint="eastAsia" w:ascii="宋体" w:hAnsi="宋体"/>
          <w:b/>
          <w:bCs/>
          <w:color w:val="000000"/>
          <w:sz w:val="28"/>
          <w:szCs w:val="28"/>
          <w:highlight w:val="none"/>
          <w:u w:val="single"/>
          <w:lang w:eastAsia="zh-CN"/>
        </w:rPr>
        <w:t xml:space="preserve">其他未列明行业</w:t>
      </w:r>
      <w:r>
        <w:rPr>
          <w:rFonts w:ascii="宋体" w:hAnsi="宋体"/>
          <w:b/>
          <w:bCs/>
          <w:color w:val="000000"/>
          <w:sz w:val="28"/>
          <w:szCs w:val="28"/>
          <w:highlight w:val="none"/>
        </w:rPr>
        <w:t xml:space="preserve">。</w:t>
      </w:r>
      <w:r/>
    </w:p>
    <w:p>
      <w:pPr>
        <w:pStyle w:val="990"/>
        <w:rPr>
          <w:rFonts w:eastAsia="宋体"/>
          <w:sz w:val="28"/>
          <w:szCs w:val="28"/>
          <w:highlight w:val="none"/>
        </w:rPr>
      </w:pPr>
      <w:r>
        <w:rPr>
          <w:rFonts w:hAnsi="宋体" w:eastAsia="宋体"/>
          <w:b/>
          <w:bCs/>
          <w:color w:val="000000"/>
          <w:sz w:val="28"/>
          <w:szCs w:val="28"/>
          <w:highlight w:val="none"/>
        </w:rPr>
        <w:t xml:space="preserve">如以上标的名称与采购需求中的标的名称不一致的以采购需求中的标的名称为准。</w:t>
      </w:r>
      <w:r/>
    </w:p>
    <w:p>
      <w:pPr>
        <w:pStyle w:val="989"/>
        <w:ind w:firstLine="600"/>
        <w:jc w:val="left"/>
        <w:spacing w:line="400" w:lineRule="exact"/>
        <w:rPr>
          <w:rFonts w:ascii="宋体" w:hAnsi="宋体"/>
          <w:color w:val="000000"/>
          <w:sz w:val="18"/>
          <w:szCs w:val="18"/>
          <w:highlight w:val="none"/>
        </w:rPr>
      </w:pPr>
      <w:r>
        <w:rPr>
          <w:rFonts w:ascii="宋体" w:hAnsi="宋体"/>
          <w:color w:val="000000"/>
          <w:sz w:val="18"/>
          <w:szCs w:val="18"/>
          <w:highlight w:val="none"/>
        </w:rPr>
        <w:t xml:space="preserve">备注：</w:t>
      </w:r>
      <w:r/>
    </w:p>
    <w:p>
      <w:pPr>
        <w:pStyle w:val="989"/>
        <w:ind w:firstLine="600"/>
        <w:jc w:val="left"/>
        <w:spacing w:line="400" w:lineRule="exact"/>
        <w:rPr>
          <w:rFonts w:ascii="宋体" w:hAnsi="宋体"/>
          <w:color w:val="000000"/>
          <w:sz w:val="18"/>
          <w:szCs w:val="18"/>
          <w:highlight w:val="none"/>
        </w:rPr>
      </w:pPr>
      <w:r>
        <w:rPr>
          <w:rFonts w:ascii="宋体" w:hAnsi="宋体"/>
          <w:color w:val="000000"/>
          <w:sz w:val="18"/>
          <w:szCs w:val="18"/>
          <w:highlight w:val="none"/>
        </w:rPr>
        <w:t xml:space="preserve">1、从业人员、营业收入、资产总额填报上一年度数据，无上一年度数据的新成立企业可不填报。</w:t>
      </w:r>
      <w:r/>
    </w:p>
    <w:p>
      <w:pPr>
        <w:pStyle w:val="990"/>
        <w:ind w:firstLine="600"/>
        <w:spacing w:line="400" w:lineRule="exact"/>
        <w:rPr>
          <w:rFonts w:hAnsi="宋体" w:eastAsia="宋体"/>
          <w:color w:val="000000"/>
          <w:sz w:val="18"/>
          <w:szCs w:val="18"/>
          <w:highlight w:val="none"/>
        </w:rPr>
      </w:pPr>
      <w:r>
        <w:rPr>
          <w:rFonts w:hAnsi="宋体" w:eastAsia="宋体"/>
          <w:color w:val="000000"/>
          <w:sz w:val="18"/>
          <w:szCs w:val="18"/>
          <w:highlight w:val="none"/>
        </w:rPr>
        <w:t xml:space="preserve">2、《中小企业声明函》查询渠道参考</w:t>
      </w:r>
      <w:r>
        <w:rPr>
          <w:rFonts w:hint="eastAsia" w:hAnsi="宋体" w:eastAsia="宋体"/>
          <w:color w:val="000000"/>
          <w:sz w:val="18"/>
          <w:szCs w:val="18"/>
          <w:highlight w:val="none"/>
          <w:lang w:eastAsia="zh-CN"/>
        </w:rPr>
        <w:t xml:space="preserve">其他未列明行业</w:t>
      </w:r>
      <w:r>
        <w:rPr>
          <w:rFonts w:hAnsi="宋体" w:eastAsia="宋体"/>
          <w:color w:val="000000"/>
          <w:sz w:val="18"/>
          <w:szCs w:val="18"/>
          <w:highlight w:val="none"/>
        </w:rPr>
        <w:t xml:space="preserve">和信息化部发布的中小企业规模自测小程序。</w:t>
      </w:r>
      <w:r/>
    </w:p>
    <w:p>
      <w:pPr>
        <w:pStyle w:val="1001"/>
        <w:rPr>
          <w:rFonts w:ascii="宋体" w:hAnsi="宋体"/>
          <w:color w:val="000000"/>
          <w:sz w:val="30"/>
          <w:szCs w:val="30"/>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2494280</wp:posOffset>
                </wp:positionH>
                <wp:positionV relativeFrom="paragraph">
                  <wp:posOffset>116840</wp:posOffset>
                </wp:positionV>
                <wp:extent cx="1950720" cy="2733675"/>
                <wp:effectExtent l="0" t="0" r="0" b="9525"/>
                <wp:wrapNone/>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5"/>
                        <a:stretch/>
                      </pic:blipFill>
                      <pic:spPr bwMode="auto">
                        <a:xfrm>
                          <a:off x="0" y="0"/>
                          <a:ext cx="1950720" cy="2733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96.4pt;mso-position-horizontal:absolute;mso-position-vertical-relative:text;margin-top:9.2pt;mso-position-vertical:absolute;width:153.6pt;height:215.2pt;mso-wrap-distance-left:9.0pt;mso-wrap-distance-top:0.0pt;mso-wrap-distance-right:9.0pt;mso-wrap-distance-bottom:0.0pt;" stroked="f">
                <v:path textboxrect="0,0,0,0"/>
                <v:imagedata r:id="rId15" o:title=""/>
              </v:shape>
            </w:pict>
          </mc:Fallback>
        </mc:AlternateContent>
      </w:r>
      <w:r/>
    </w:p>
    <w:p>
      <w:pPr>
        <w:pStyle w:val="1000"/>
        <w:rPr>
          <w:rFonts w:hAnsi="宋体" w:eastAsia="宋体"/>
          <w:color w:val="000000"/>
          <w:sz w:val="30"/>
          <w:szCs w:val="30"/>
          <w:highlight w:val="none"/>
        </w:rPr>
      </w:pPr>
      <w:r>
        <w:rPr>
          <w:rFonts w:hAnsi="宋体" w:eastAsia="宋体"/>
          <w:color w:val="000000"/>
          <w:sz w:val="30"/>
          <w:szCs w:val="30"/>
          <w:highlight w:val="none"/>
        </w:rPr>
      </w:r>
      <w:r/>
    </w:p>
    <w:p>
      <w:pPr>
        <w:pStyle w:val="1001"/>
        <w:rPr>
          <w:rFonts w:ascii="宋体" w:hAnsi="宋体"/>
          <w:color w:val="000000"/>
          <w:highlight w:val="none"/>
        </w:rPr>
      </w:pPr>
      <w:r>
        <w:rPr>
          <w:rFonts w:ascii="宋体" w:hAnsi="宋体"/>
          <w:color w:val="000000"/>
          <w:highlight w:val="none"/>
        </w:rPr>
      </w:r>
      <w:r/>
    </w:p>
    <w:p>
      <w:pPr>
        <w:pStyle w:val="697"/>
        <w:spacing w:line="480" w:lineRule="exact"/>
        <w:rPr>
          <w:rFonts w:ascii="宋体" w:hAnsi="宋体"/>
          <w:b/>
          <w:color w:val="000000"/>
          <w:spacing w:val="6"/>
          <w:sz w:val="28"/>
          <w:szCs w:val="28"/>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八、残疾人福利性单位声明函格式</w:t>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3.0T核磁共振及大孔径CT维保</w:t>
      </w:r>
      <w:r>
        <w:rPr>
          <w:rFonts w:ascii="宋体" w:hAnsi="宋体"/>
          <w:color w:val="000000"/>
          <w:spacing w:val="6"/>
          <w:sz w:val="28"/>
          <w:szCs w:val="28"/>
          <w:highlight w:val="none"/>
        </w:rPr>
        <w:t xml:space="preserve"> </w:t>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本单位郑重声明，根据《财政部 民政部 中国残疾人联合会关于促进残疾人就业政府采购政策的通知》（财库</w:t>
      </w:r>
      <w:r>
        <w:rPr>
          <w:rFonts w:ascii="宋体" w:hAnsi="宋体"/>
          <w:color w:val="000000"/>
          <w:sz w:val="28"/>
          <w:szCs w:val="28"/>
          <w:highlight w:val="none"/>
        </w:rPr>
        <w:t xml:space="preserve">〔2017〕 141</w:t>
      </w:r>
      <w:r>
        <w:rPr>
          <w:rFonts w:ascii="宋体" w:hAnsi="宋体"/>
          <w:color w:val="000000"/>
          <w:spacing w:val="6"/>
          <w:sz w:val="28"/>
          <w:szCs w:val="28"/>
          <w:highlight w:val="none"/>
        </w:rPr>
        <w:t xml:space="preserve">号）的规定，本单位为符合条件的残疾人福利性单位，且本单位参加</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单位的</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本单位对上述声明的真实性负责。如有虚假，将依法承担相应责任。</w:t>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697"/>
        <w:ind w:firstLine="25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697"/>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ind w:firstLine="45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698"/>
        <w:rPr>
          <w:rFonts w:ascii="宋体" w:hAnsi="宋体"/>
          <w:color w:val="000000"/>
          <w:sz w:val="28"/>
          <w:szCs w:val="28"/>
          <w:highlight w:val="none"/>
        </w:rPr>
      </w:pPr>
      <w:r>
        <w:rPr>
          <w:rFonts w:ascii="宋体" w:hAnsi="宋体"/>
          <w:color w:val="000000"/>
          <w:sz w:val="28"/>
          <w:szCs w:val="28"/>
          <w:highlight w:val="none"/>
        </w:rPr>
      </w:r>
      <w:r/>
    </w:p>
    <w:p>
      <w:pPr>
        <w:pStyle w:val="697"/>
        <w:rPr>
          <w:rFonts w:ascii="宋体" w:hAnsi="宋体"/>
          <w:color w:val="000000"/>
          <w:sz w:val="28"/>
          <w:szCs w:val="28"/>
          <w:highlight w:val="none"/>
        </w:rPr>
      </w:pPr>
      <w:r>
        <w:rPr>
          <w:rFonts w:ascii="宋体" w:hAnsi="宋体"/>
          <w:color w:val="000000"/>
          <w:sz w:val="28"/>
          <w:szCs w:val="28"/>
          <w:highlight w:val="none"/>
        </w:rPr>
      </w:r>
      <w:r/>
    </w:p>
    <w:p>
      <w:pPr>
        <w:pStyle w:val="698"/>
        <w:rPr>
          <w:rFonts w:ascii="宋体" w:hAnsi="宋体"/>
          <w:color w:val="000000"/>
          <w:sz w:val="28"/>
          <w:szCs w:val="28"/>
          <w:highlight w:val="none"/>
        </w:rPr>
      </w:pPr>
      <w:r>
        <w:rPr>
          <w:rFonts w:ascii="宋体" w:hAnsi="宋体"/>
          <w:color w:val="000000"/>
          <w:sz w:val="28"/>
          <w:szCs w:val="28"/>
          <w:highlight w:val="none"/>
        </w:rPr>
      </w:r>
      <w:r/>
    </w:p>
    <w:p>
      <w:pPr>
        <w:pStyle w:val="697"/>
        <w:rPr>
          <w:rFonts w:ascii="宋体" w:hAnsi="宋体"/>
          <w:color w:val="000000"/>
          <w:sz w:val="28"/>
          <w:szCs w:val="28"/>
          <w:highlight w:val="none"/>
        </w:rPr>
      </w:pPr>
      <w:r>
        <w:rPr>
          <w:rFonts w:ascii="宋体" w:hAnsi="宋体"/>
          <w:color w:val="000000"/>
          <w:sz w:val="28"/>
          <w:szCs w:val="28"/>
          <w:highlight w:val="none"/>
        </w:rPr>
      </w:r>
      <w:r/>
    </w:p>
    <w:p>
      <w:pPr>
        <w:pStyle w:val="698"/>
        <w:rPr>
          <w:rFonts w:ascii="宋体" w:hAnsi="宋体"/>
          <w:color w:val="000000"/>
          <w:sz w:val="28"/>
          <w:szCs w:val="28"/>
          <w:highlight w:val="none"/>
        </w:rPr>
      </w:pPr>
      <w:r>
        <w:rPr>
          <w:rFonts w:ascii="宋体" w:hAnsi="宋体"/>
          <w:color w:val="000000"/>
          <w:sz w:val="28"/>
          <w:szCs w:val="28"/>
          <w:highlight w:val="none"/>
        </w:rPr>
      </w:r>
      <w:r/>
    </w:p>
    <w:p>
      <w:pPr>
        <w:pStyle w:val="697"/>
        <w:rPr>
          <w:rFonts w:ascii="宋体" w:hAnsi="宋体"/>
          <w:color w:val="000000"/>
          <w:sz w:val="28"/>
          <w:szCs w:val="28"/>
          <w:highlight w:val="none"/>
        </w:rPr>
      </w:pPr>
      <w:r>
        <w:rPr>
          <w:rFonts w:ascii="宋体" w:hAnsi="宋体"/>
          <w:color w:val="000000"/>
          <w:sz w:val="28"/>
          <w:szCs w:val="28"/>
          <w:highlight w:val="none"/>
        </w:rPr>
      </w:r>
      <w:r/>
    </w:p>
    <w:p>
      <w:pPr>
        <w:pStyle w:val="698"/>
        <w:rPr>
          <w:rFonts w:ascii="宋体" w:hAnsi="宋体"/>
          <w:color w:val="000000"/>
          <w:sz w:val="28"/>
          <w:szCs w:val="28"/>
          <w:highlight w:val="none"/>
        </w:rPr>
      </w:pPr>
      <w:r>
        <w:rPr>
          <w:rFonts w:ascii="宋体" w:hAnsi="宋体"/>
          <w:color w:val="000000"/>
          <w:sz w:val="28"/>
          <w:szCs w:val="28"/>
          <w:highlight w:val="none"/>
        </w:rPr>
      </w:r>
      <w:r/>
    </w:p>
    <w:p>
      <w:pPr>
        <w:pStyle w:val="697"/>
        <w:rPr>
          <w:rFonts w:ascii="宋体" w:hAnsi="宋体"/>
          <w:color w:val="000000"/>
          <w:sz w:val="28"/>
          <w:szCs w:val="28"/>
          <w:highlight w:val="none"/>
        </w:rPr>
      </w:pPr>
      <w:r>
        <w:rPr>
          <w:rFonts w:ascii="宋体" w:hAnsi="宋体"/>
          <w:color w:val="000000"/>
          <w:sz w:val="28"/>
          <w:szCs w:val="28"/>
          <w:highlight w:val="none"/>
        </w:rPr>
      </w:r>
      <w:r/>
    </w:p>
    <w:p>
      <w:pPr>
        <w:pStyle w:val="698"/>
        <w:rPr>
          <w:rFonts w:ascii="宋体" w:hAnsi="宋体"/>
          <w:color w:val="000000"/>
          <w:sz w:val="28"/>
          <w:szCs w:val="28"/>
          <w:highlight w:val="none"/>
        </w:rPr>
      </w:pPr>
      <w:r>
        <w:rPr>
          <w:rFonts w:ascii="宋体" w:hAnsi="宋体"/>
          <w:color w:val="000000"/>
          <w:sz w:val="28"/>
          <w:szCs w:val="28"/>
          <w:highlight w:val="none"/>
        </w:rPr>
      </w:r>
      <w:r/>
    </w:p>
    <w:p>
      <w:pPr>
        <w:pStyle w:val="697"/>
        <w:rPr>
          <w:rFonts w:ascii="宋体" w:hAnsi="宋体"/>
          <w:color w:val="000000"/>
          <w:sz w:val="28"/>
          <w:szCs w:val="28"/>
          <w:highlight w:val="none"/>
        </w:rPr>
      </w:pPr>
      <w:r>
        <w:rPr>
          <w:rFonts w:ascii="宋体" w:hAnsi="宋体"/>
          <w:color w:val="000000"/>
          <w:sz w:val="28"/>
          <w:szCs w:val="28"/>
          <w:highlight w:val="none"/>
        </w:rPr>
      </w:r>
      <w:r/>
    </w:p>
    <w:p>
      <w:pPr>
        <w:pStyle w:val="698"/>
        <w:rPr>
          <w:rFonts w:ascii="宋体" w:hAnsi="宋体"/>
          <w:color w:val="000000"/>
          <w:sz w:val="28"/>
          <w:szCs w:val="28"/>
          <w:highlight w:val="none"/>
        </w:rPr>
      </w:pPr>
      <w:r>
        <w:rPr>
          <w:rFonts w:ascii="宋体" w:hAnsi="宋体"/>
          <w:color w:val="000000"/>
          <w:sz w:val="28"/>
          <w:szCs w:val="28"/>
          <w:highlight w:val="none"/>
        </w:rPr>
      </w:r>
      <w:r/>
    </w:p>
    <w:p>
      <w:pPr>
        <w:pStyle w:val="697"/>
        <w:rPr>
          <w:rFonts w:ascii="宋体" w:hAnsi="宋体"/>
          <w:color w:val="000000"/>
          <w:sz w:val="28"/>
          <w:szCs w:val="28"/>
          <w:highlight w:val="none"/>
        </w:rPr>
      </w:pPr>
      <w:r>
        <w:rPr>
          <w:rFonts w:ascii="宋体" w:hAnsi="宋体"/>
          <w:color w:val="000000"/>
          <w:sz w:val="28"/>
          <w:szCs w:val="28"/>
          <w:highlight w:val="none"/>
        </w:rPr>
      </w:r>
      <w:r/>
    </w:p>
    <w:p>
      <w:pPr>
        <w:pStyle w:val="697"/>
        <w:spacing w:line="480" w:lineRule="exact"/>
        <w:rPr>
          <w:rFonts w:hint="eastAsia" w:ascii="宋体" w:hAnsi="宋体"/>
          <w:color w:val="000000"/>
          <w:sz w:val="30"/>
          <w:szCs w:val="30"/>
          <w:highlight w:val="none"/>
        </w:rPr>
      </w:pPr>
      <w:r>
        <w:rPr>
          <w:rFonts w:hint="eastAsia" w:ascii="宋体" w:hAnsi="宋体"/>
          <w:color w:val="000000"/>
          <w:sz w:val="30"/>
          <w:szCs w:val="30"/>
          <w:highlight w:val="none"/>
          <w:lang w:val="en-US" w:eastAsia="zh-CN"/>
        </w:rPr>
        <w:t xml:space="preserve">九、</w:t>
      </w:r>
      <w:r>
        <w:rPr>
          <w:rFonts w:hint="eastAsia" w:ascii="宋体" w:hAnsi="宋体"/>
          <w:color w:val="000000"/>
          <w:sz w:val="30"/>
          <w:szCs w:val="30"/>
          <w:highlight w:val="none"/>
        </w:rPr>
        <w:t xml:space="preserve">关于符合本国产品标准的声明函（格式）：</w:t>
      </w:r>
      <w:r/>
    </w:p>
    <w:p>
      <w:pPr>
        <w:pStyle w:val="738"/>
        <w:ind w:firstLine="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关于符合本国产品标准的声明函</w:t>
      </w:r>
      <w:r/>
    </w:p>
    <w:p>
      <w:pPr>
        <w:pStyle w:val="722"/>
        <w:ind w:firstLine="420"/>
        <w:jc w:val="both"/>
        <w:spacing w:before="30" w:beforeAutospacing="0" w:after="30" w:afterAutospacing="0" w:line="30" w:lineRule="atLeast"/>
        <w:shd w:val="clear" w:color="auto" w:fill="ffffff"/>
        <w:widowControl/>
        <w:rPr>
          <w:rFonts w:hint="eastAsia" w:ascii="宋体" w:hAnsi="宋体" w:cs="宋体"/>
          <w:color w:val="auto"/>
          <w:sz w:val="27"/>
          <w:szCs w:val="27"/>
          <w:highlight w:val="none"/>
        </w:rPr>
      </w:pPr>
      <w:r>
        <w:rPr>
          <w:rFonts w:hint="eastAsia" w:ascii="宋体" w:hAnsi="宋体" w:cs="宋体"/>
          <w:color w:val="auto"/>
          <w:sz w:val="27"/>
          <w:szCs w:val="27"/>
          <w:highlight w:val="none"/>
        </w:rPr>
      </w:r>
      <w:r/>
    </w:p>
    <w:p>
      <w:pPr>
        <w:pStyle w:val="722"/>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2"/>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22"/>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722"/>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p>
      <w:pPr>
        <w:pStyle w:val="722"/>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本公司（单位）对上述声明内容的真实性负责。如有虚假，愿承担相应法律责任。</w:t>
      </w:r>
      <w:r/>
    </w:p>
    <w:p>
      <w:pPr>
        <w:pStyle w:val="722"/>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722"/>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22"/>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公司（单位）名称（盖章）：　        </w:t>
      </w:r>
      <w:r/>
    </w:p>
    <w:p>
      <w:pPr>
        <w:pStyle w:val="722"/>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  日 </w:t>
      </w:r>
      <w:r/>
    </w:p>
    <w:p>
      <w:pPr>
        <w:pStyle w:val="738"/>
        <w:ind w:firstLine="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38"/>
        <w:rPr>
          <w:color w:val="auto"/>
          <w:highlight w:val="none"/>
        </w:rPr>
      </w:pPr>
      <w:r>
        <w:rPr>
          <w:color w:val="auto"/>
          <w:highlight w:val="none"/>
        </w:rPr>
      </w:r>
      <w:r/>
    </w:p>
    <w:p>
      <w:pPr>
        <w:pStyle w:val="696"/>
        <w:rPr>
          <w:color w:val="auto"/>
          <w:highlight w:val="none"/>
        </w:rPr>
      </w:pPr>
      <w:r>
        <w:rPr>
          <w:color w:val="auto"/>
          <w:highlight w:val="none"/>
        </w:rPr>
      </w:r>
      <w:r/>
    </w:p>
    <w:p>
      <w:pPr>
        <w:pStyle w:val="738"/>
        <w:ind w:firstLine="0"/>
        <w:rPr>
          <w:color w:val="auto"/>
          <w:highlight w:val="none"/>
        </w:rPr>
      </w:pPr>
      <w:r>
        <w:rPr>
          <w:color w:val="auto"/>
          <w:highlight w:val="none"/>
        </w:rPr>
      </w:r>
      <w:r/>
    </w:p>
    <w:p>
      <w:pPr>
        <w:pStyle w:val="975"/>
        <w:ind w:firstLine="240"/>
        <w:rPr>
          <w:rFonts w:ascii="Arial" w:hAnsi="Arial" w:cs="Arial"/>
          <w:color w:val="auto"/>
          <w:sz w:val="24"/>
          <w:highlight w:val="none"/>
        </w:rPr>
      </w:pPr>
      <w:r>
        <w:rPr>
          <w:rFonts w:hint="eastAsia" w:ascii="Arial" w:hAnsi="Arial" w:cs="Arial"/>
          <w:color w:val="auto"/>
          <w:sz w:val="24"/>
          <w:highlight w:val="none"/>
        </w:rPr>
        <w:t xml:space="preserve">__________________</w:t>
      </w:r>
      <w:r/>
    </w:p>
    <w:p>
      <w:pPr>
        <w:pStyle w:val="975"/>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1.产品如有型号，请在“产品名称”栏一并填写。</w:t>
      </w:r>
      <w:r/>
    </w:p>
    <w:p>
      <w:pPr>
        <w:pStyle w:val="975"/>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2.生产厂名与厂址应与生产厂营业执照载明的相关信息保持一致。</w:t>
      </w:r>
      <w:r/>
    </w:p>
    <w:p>
      <w:pPr>
        <w:pStyle w:val="975"/>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3.该产品的中国境内生产的组件成本占比相关要求实施前，“规定比例”栏可不填，下同。</w:t>
      </w:r>
      <w:r/>
    </w:p>
    <w:p>
      <w:pPr>
        <w:pStyle w:val="975"/>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4.该产品的关键组件要求实施前，“关键组件”栏可不填，下同。</w:t>
      </w:r>
      <w:r/>
    </w:p>
    <w:p>
      <w:pPr>
        <w:pStyle w:val="975"/>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5.该产品的关键工序要求实施前，“关键工序”栏可不填，下同。</w:t>
      </w:r>
      <w:r/>
    </w:p>
    <w:p>
      <w:pPr>
        <w:pStyle w:val="975"/>
        <w:ind w:firstLine="240"/>
        <w:rPr>
          <w:rFonts w:ascii="Arial" w:hAnsi="Arial" w:cs="Arial"/>
          <w:color w:val="auto"/>
          <w:sz w:val="24"/>
          <w:highlight w:val="none"/>
        </w:rPr>
      </w:pPr>
      <w:r>
        <w:rPr>
          <w:rFonts w:ascii="Arial" w:hAnsi="Arial" w:cs="Arial"/>
          <w:color w:val="auto"/>
          <w:sz w:val="24"/>
          <w:highlight w:val="none"/>
        </w:rPr>
      </w:r>
      <w:r/>
    </w:p>
    <w:p>
      <w:pPr>
        <w:pStyle w:val="697"/>
        <w:rPr>
          <w:highlight w:val="none"/>
        </w:rPr>
      </w:pPr>
      <w:r>
        <w:rPr>
          <w:highlight w:val="none"/>
        </w:rPr>
      </w:r>
      <w:r/>
    </w:p>
    <w:p>
      <w:pPr>
        <w:pStyle w:val="697"/>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br w:type="page" w:clear="all"/>
      </w:r>
      <w:r/>
    </w:p>
    <w:p>
      <w:pPr>
        <w:pStyle w:val="697"/>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lang w:val="en-US" w:eastAsia="zh-CN"/>
        </w:rPr>
        <w:t xml:space="preserve">十</w:t>
      </w:r>
      <w:r>
        <w:rPr>
          <w:rFonts w:ascii="宋体" w:hAnsi="宋体"/>
          <w:b/>
          <w:bCs/>
          <w:color w:val="000000"/>
          <w:sz w:val="28"/>
          <w:szCs w:val="28"/>
          <w:highlight w:val="none"/>
        </w:rPr>
        <w:t xml:space="preserve">、投标人参加政府采购活动前3年内在经营活动中没有重大违法记录的书面声明格式</w:t>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我单位在参加</w:t>
      </w:r>
      <w:r>
        <w:rPr>
          <w:rFonts w:hint="eastAsia" w:ascii="宋体" w:hAnsi="宋体"/>
          <w:color w:val="000000"/>
          <w:sz w:val="28"/>
          <w:szCs w:val="28"/>
          <w:highlight w:val="none"/>
          <w:lang w:eastAsia="zh-CN"/>
        </w:rPr>
        <w:t xml:space="preserve">3.0T核磁共振及大孔径CT维保</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82"/>
        <w:ind w:firstLine="600"/>
        <w:spacing w:before="0" w:beforeAutospacing="0" w:after="0" w:afterAutospacing="0" w:line="480" w:lineRule="exact"/>
        <w:rPr>
          <w:color w:val="000000"/>
          <w:sz w:val="28"/>
          <w:szCs w:val="28"/>
          <w:highlight w:val="none"/>
        </w:rPr>
      </w:pPr>
      <w:r>
        <w:rPr>
          <w:color w:val="000000"/>
          <w:sz w:val="28"/>
          <w:szCs w:val="28"/>
          <w:highlight w:val="none"/>
        </w:rPr>
        <w:t xml:space="preserve">我单位对上述声明的真实性负责。如有虚假，将依法承担相应责任。</w:t>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69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697"/>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697"/>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697"/>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697"/>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69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69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69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989"/>
        <w:jc w:val="left"/>
        <w:widowControl/>
        <w:rPr>
          <w:rFonts w:ascii="宋体" w:hAnsi="宋体"/>
          <w:bCs/>
          <w:color w:val="000000"/>
          <w:sz w:val="28"/>
          <w:szCs w:val="28"/>
          <w:highlight w:val="none"/>
        </w:rPr>
      </w:pPr>
      <w:r>
        <w:rPr>
          <w:rFonts w:ascii="宋体" w:hAnsi="宋体"/>
          <w:b/>
          <w:color w:val="000000"/>
          <w:sz w:val="28"/>
          <w:szCs w:val="28"/>
          <w:highlight w:val="none"/>
        </w:rPr>
        <w:br w:type="page" w:clear="all"/>
      </w:r>
      <w:r>
        <w:rPr>
          <w:rFonts w:hint="eastAsia"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一</w:t>
      </w:r>
      <w:r>
        <w:rPr>
          <w:rFonts w:ascii="宋体" w:hAnsi="宋体"/>
          <w:b/>
          <w:bCs/>
          <w:color w:val="000000"/>
          <w:sz w:val="28"/>
          <w:szCs w:val="28"/>
          <w:highlight w:val="none"/>
        </w:rPr>
        <w:t xml:space="preserve">、投标人相关承诺</w:t>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3.0T核磁共振及大孔径CT维保</w:t>
      </w:r>
      <w:r>
        <w:rPr>
          <w:rFonts w:ascii="宋体" w:hAnsi="宋体"/>
          <w:color w:val="000000"/>
          <w:spacing w:val="6"/>
          <w:sz w:val="28"/>
          <w:szCs w:val="28"/>
          <w:highlight w:val="none"/>
        </w:rPr>
        <w:t xml:space="preserve"> </w:t>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989"/>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89"/>
        <w:rPr>
          <w:rFonts w:ascii="宋体" w:hAnsi="宋体"/>
          <w:color w:val="000000"/>
          <w:spacing w:val="6"/>
          <w:sz w:val="28"/>
          <w:szCs w:val="28"/>
          <w:highlight w:val="none"/>
        </w:rPr>
      </w:pPr>
      <w:r>
        <w:rPr>
          <w:rFonts w:ascii="宋体" w:hAnsi="宋体"/>
          <w:color w:val="000000"/>
          <w:spacing w:val="6"/>
          <w:sz w:val="28"/>
          <w:szCs w:val="28"/>
          <w:highlight w:val="none"/>
        </w:rPr>
        <w:t xml:space="preserve">我单位承诺：</w:t>
      </w:r>
      <w:r/>
    </w:p>
    <w:p>
      <w:pPr>
        <w:pStyle w:val="989"/>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89"/>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89"/>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我单位对上述承诺负责，并依法承担相应责任。</w:t>
      </w:r>
      <w:r/>
    </w:p>
    <w:p>
      <w:pPr>
        <w:pStyle w:val="992"/>
        <w:ind w:left="0" w:firstLine="0"/>
        <w:rPr>
          <w:rFonts w:ascii="宋体" w:hAnsi="宋体"/>
          <w:color w:val="000000"/>
          <w:sz w:val="28"/>
          <w:szCs w:val="28"/>
          <w:highlight w:val="none"/>
        </w:rPr>
      </w:pPr>
      <w:r>
        <w:rPr>
          <w:rFonts w:ascii="宋体" w:hAnsi="宋体"/>
          <w:color w:val="000000"/>
          <w:sz w:val="28"/>
          <w:szCs w:val="28"/>
          <w:highlight w:val="none"/>
        </w:rPr>
      </w:r>
      <w:r/>
    </w:p>
    <w:p>
      <w:pPr>
        <w:pStyle w:val="992"/>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89"/>
        <w:ind w:firstLine="3120"/>
        <w:spacing w:line="30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投标人（电子签章）： </w:t>
      </w:r>
      <w:r/>
    </w:p>
    <w:p>
      <w:pPr>
        <w:pStyle w:val="989"/>
        <w:ind w:firstLine="3120"/>
        <w:spacing w:line="36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日期：   年  月  日</w:t>
      </w:r>
      <w:r/>
    </w:p>
    <w:p>
      <w:pPr>
        <w:pStyle w:val="989"/>
        <w:jc w:val="center"/>
        <w:rPr>
          <w:rFonts w:ascii="宋体" w:hAnsi="宋体"/>
          <w:color w:val="000000"/>
          <w:sz w:val="30"/>
          <w:szCs w:val="30"/>
          <w:highlight w:val="none"/>
        </w:rPr>
      </w:pPr>
      <w:r>
        <w:rPr>
          <w:rFonts w:ascii="宋体" w:hAnsi="宋体"/>
          <w:color w:val="000000"/>
          <w:sz w:val="30"/>
          <w:szCs w:val="30"/>
          <w:highlight w:val="none"/>
        </w:rPr>
      </w:r>
      <w:r/>
    </w:p>
    <w:p>
      <w:pPr>
        <w:pStyle w:val="989"/>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989"/>
        <w:ind w:firstLine="7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89"/>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89"/>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92"/>
        <w:rPr>
          <w:color w:val="000000"/>
          <w:highlight w:val="none"/>
        </w:rPr>
      </w:pPr>
      <w:r>
        <w:rPr>
          <w:color w:val="000000"/>
          <w:highlight w:val="none"/>
        </w:rPr>
      </w:r>
      <w:r/>
    </w:p>
    <w:p>
      <w:pPr>
        <w:pStyle w:val="989"/>
        <w:widowControl/>
        <w:rPr>
          <w:rFonts w:ascii="宋体" w:hAnsi="宋体"/>
          <w:color w:val="000000"/>
          <w:sz w:val="28"/>
          <w:szCs w:val="28"/>
          <w:highlight w:val="none"/>
        </w:rPr>
      </w:pPr>
      <w:r>
        <w:rPr>
          <w:rFonts w:ascii="仿宋" w:hAnsi="仿宋" w:eastAsia="仿宋"/>
          <w:color w:val="000000"/>
          <w:sz w:val="28"/>
          <w:szCs w:val="28"/>
          <w:highlight w:val="none"/>
        </w:rPr>
        <w:br w:type="page" w:clear="all"/>
      </w: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二</w:t>
      </w:r>
      <w:r>
        <w:rPr>
          <w:rFonts w:ascii="宋体" w:hAnsi="宋体"/>
          <w:b/>
          <w:bCs/>
          <w:color w:val="000000"/>
          <w:sz w:val="28"/>
          <w:szCs w:val="28"/>
          <w:highlight w:val="none"/>
        </w:rPr>
        <w:t xml:space="preserve">、投标人</w:t>
      </w:r>
      <w:r>
        <w:rPr>
          <w:rFonts w:ascii="宋体" w:hAnsi="宋体"/>
          <w:b/>
          <w:bCs/>
          <w:color w:val="000000"/>
          <w:spacing w:val="6"/>
          <w:sz w:val="28"/>
          <w:szCs w:val="28"/>
          <w:highlight w:val="none"/>
        </w:rPr>
        <w:t xml:space="preserve">书面声明</w:t>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3.0T核磁共振及大孔径CT维保</w:t>
      </w:r>
      <w:r>
        <w:rPr>
          <w:rFonts w:ascii="宋体" w:hAnsi="宋体"/>
          <w:color w:val="000000"/>
          <w:spacing w:val="6"/>
          <w:sz w:val="28"/>
          <w:szCs w:val="28"/>
          <w:highlight w:val="none"/>
        </w:rPr>
        <w:t xml:space="preserve"> </w:t>
      </w:r>
      <w:r/>
    </w:p>
    <w:p>
      <w:pPr>
        <w:pStyle w:val="69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989"/>
        <w:ind w:firstLine="480"/>
        <w:jc w:val="left"/>
        <w:widowControl/>
        <w:rPr>
          <w:rFonts w:ascii="宋体" w:hAnsi="宋体"/>
          <w:color w:val="000000"/>
          <w:sz w:val="28"/>
          <w:szCs w:val="28"/>
          <w:highlight w:val="none"/>
        </w:rPr>
      </w:pPr>
      <w:r>
        <w:rPr>
          <w:rFonts w:ascii="宋体" w:hAnsi="宋体"/>
          <w:color w:val="000000"/>
          <w:sz w:val="28"/>
          <w:szCs w:val="28"/>
          <w:highlight w:val="none"/>
        </w:rPr>
      </w:r>
      <w:r/>
    </w:p>
    <w:p>
      <w:pPr>
        <w:pStyle w:val="989"/>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我单位不是为本采购项目提供整体设计、规范编制或者项目管理、监理、检测等服务的供应商。</w:t>
      </w:r>
      <w:r/>
    </w:p>
    <w:p>
      <w:pPr>
        <w:pStyle w:val="989"/>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特此声明。</w:t>
      </w:r>
      <w:r/>
    </w:p>
    <w:p>
      <w:pPr>
        <w:pStyle w:val="989"/>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我单位对上述声明的真实性负责。如有虚假，将依法承担相应责任。</w:t>
      </w:r>
      <w:r/>
    </w:p>
    <w:p>
      <w:pPr>
        <w:pStyle w:val="992"/>
        <w:rPr>
          <w:rFonts w:ascii="宋体" w:hAnsi="宋体"/>
          <w:color w:val="000000"/>
          <w:sz w:val="28"/>
          <w:szCs w:val="28"/>
          <w:highlight w:val="none"/>
        </w:rPr>
      </w:pPr>
      <w:r>
        <w:rPr>
          <w:rFonts w:ascii="宋体" w:hAnsi="宋体"/>
          <w:color w:val="000000"/>
          <w:sz w:val="28"/>
          <w:szCs w:val="28"/>
          <w:highlight w:val="none"/>
        </w:rPr>
      </w:r>
      <w:r/>
    </w:p>
    <w:p>
      <w:pPr>
        <w:pStyle w:val="992"/>
        <w:rPr>
          <w:rFonts w:ascii="宋体" w:hAnsi="宋体"/>
          <w:color w:val="000000"/>
          <w:sz w:val="28"/>
          <w:szCs w:val="28"/>
          <w:highlight w:val="none"/>
        </w:rPr>
      </w:pPr>
      <w:r>
        <w:rPr>
          <w:rFonts w:ascii="宋体" w:hAnsi="宋体"/>
          <w:color w:val="000000"/>
          <w:sz w:val="28"/>
          <w:szCs w:val="28"/>
          <w:highlight w:val="none"/>
        </w:rPr>
      </w:r>
      <w:r/>
    </w:p>
    <w:p>
      <w:pPr>
        <w:pStyle w:val="1010"/>
        <w:ind w:firstLine="2880"/>
        <w:rPr>
          <w:rFonts w:ascii="宋体" w:hAnsi="宋体"/>
          <w:color w:val="000000"/>
          <w:sz w:val="28"/>
          <w:szCs w:val="28"/>
          <w:highlight w:val="none"/>
        </w:rPr>
      </w:pPr>
      <w:r>
        <w:rPr>
          <w:rFonts w:ascii="宋体" w:hAnsi="宋体"/>
          <w:color w:val="000000"/>
          <w:sz w:val="28"/>
          <w:szCs w:val="28"/>
          <w:highlight w:val="none"/>
        </w:rPr>
        <w:t xml:space="preserve">投标人（电子签章）：</w:t>
      </w:r>
      <w:r/>
    </w:p>
    <w:p>
      <w:pPr>
        <w:pStyle w:val="1010"/>
        <w:ind w:firstLine="2880"/>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697"/>
        <w:ind w:firstLine="56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697"/>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三</w:t>
      </w:r>
      <w:r>
        <w:rPr>
          <w:rFonts w:ascii="宋体" w:hAnsi="宋体"/>
          <w:b/>
          <w:bCs/>
          <w:color w:val="000000"/>
          <w:sz w:val="28"/>
          <w:szCs w:val="28"/>
          <w:highlight w:val="none"/>
        </w:rPr>
        <w:t xml:space="preserve">、预付款保函支付条款模板</w:t>
      </w:r>
      <w:r/>
    </w:p>
    <w:p>
      <w:pPr>
        <w:pStyle w:val="722"/>
        <w:ind w:left="0" w:right="0"/>
        <w:keepLines w:val="0"/>
        <w:keepNext w:val="0"/>
        <w:spacing w:before="0" w:beforeAutospacing="1" w:after="0" w:afterAutospacing="1" w:line="27" w:lineRule="atLeast"/>
        <w:widowControl/>
        <w:rPr>
          <w:highlight w:val="none"/>
        </w:rPr>
        <w:suppressLineNumbers w:val="0"/>
      </w:pPr>
      <w:r>
        <w:rPr>
          <w:highlight w:val="none"/>
        </w:rPr>
      </w:r>
      <w:r/>
    </w:p>
    <w:p>
      <w:pPr>
        <w:pStyle w:val="722"/>
        <w:ind w:left="0" w:right="0"/>
        <w:keepLines w:val="0"/>
        <w:keepNext w:val="0"/>
        <w:spacing w:before="0" w:beforeAutospacing="1" w:after="0" w:afterAutospacing="1" w:line="27" w:lineRule="atLeast"/>
        <w:widowControl/>
        <w:rPr>
          <w:highlight w:val="none"/>
        </w:rPr>
        <w:suppressLineNumbers w:val="0"/>
      </w:pPr>
      <w:r>
        <w:rPr>
          <w:sz w:val="30"/>
          <w:szCs w:val="30"/>
          <w:highlight w:val="none"/>
        </w:rPr>
        <w:t xml:space="preserve">符合条件一：提交预付款保函的</w:t>
      </w:r>
      <w:r>
        <w:rPr>
          <w:highlight w:val="none"/>
        </w:rPr>
        <w:t xml:space="preserve"> </w:t>
      </w:r>
      <w:r/>
    </w:p>
    <w:p>
      <w:pPr>
        <w:pStyle w:val="722"/>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（1）合同签订且乙方向甲方出具预付款保函后个工作日内，甲方应支付合同价款的百分之 XX（ XX%），小写￥大写：人民币。 </w:t>
      </w:r>
      <w:r/>
    </w:p>
    <w:p>
      <w:pPr>
        <w:pStyle w:val="722"/>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722"/>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722"/>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722"/>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符合条件二：不提交预付款保函的 </w:t>
      </w:r>
      <w:r/>
    </w:p>
    <w:p>
      <w:pPr>
        <w:pStyle w:val="722"/>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（1）合同签订后个工作日内，甲方应支付合同价款的百分之XX（ XX%），小写￥大写：人民币。 </w:t>
      </w:r>
      <w:r/>
    </w:p>
    <w:p>
      <w:pPr>
        <w:pStyle w:val="722"/>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722"/>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722"/>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722"/>
        <w:ind w:left="140" w:right="0" w:firstLine="605"/>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注: </w:t>
      </w:r>
      <w:r/>
    </w:p>
    <w:p>
      <w:pPr>
        <w:pStyle w:val="722"/>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1、付款条件一中，出具预付款保函后支付的合同款应当与保函金额一致。 </w:t>
      </w:r>
      <w:r/>
    </w:p>
    <w:p>
      <w:pPr>
        <w:pStyle w:val="722"/>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2、付款条件二中，预付款比例设定应符合《关于做好政府采购支持企业发展有关事项的通知》(苏财购〔2020〕52号)要求。 </w:t>
      </w:r>
      <w:r/>
    </w:p>
    <w:sectPr>
      <w:headerReference w:type="default" r:id="rId10"/>
      <w:footerReference w:type="default" r:id="rId12"/>
      <w:footnotePr/>
      <w:endnotePr/>
      <w:type w:val="nextPage"/>
      <w:pgSz w:w="11906" w:h="16838" w:orient="portrait"/>
      <w:pgMar w:top="1701" w:right="1134" w:bottom="1701"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Courier New">
    <w:panose1 w:val="02070309020205020404"/>
  </w:font>
  <w:font w:name="方正仿宋简体">
    <w:panose1 w:val="020B0503020202020204"/>
  </w:font>
  <w:font w:name="Calibri">
    <w:panose1 w:val="020F0502020204030204"/>
  </w:font>
  <w:font w:name="黑体">
    <w:panose1 w:val="02010609060101010101"/>
  </w:font>
  <w:font w:name="华文中宋">
    <w:panose1 w:val="02010600040101010101"/>
  </w:font>
  <w:font w:name="仿宋_GB2312">
    <w:panose1 w:val="02010609060101010101"/>
  </w:font>
  <w:font w:name="Calibri Light">
    <w:panose1 w:val="020F0302020204030204"/>
  </w:font>
  <w:font w:name="Microsoft YaHei UI">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38</w:t>
    </w:r>
    <w:r>
      <w:fldChar w:fldCharType="end"/>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top w:val="none" w:color="auto" w:sz="0" w:space="1"/>
        <w:left w:val="none" w:color="auto" w:sz="0" w:space="4"/>
        <w:bottom w:val="none" w:color="000000" w:sz="0" w:space="1"/>
        <w:right w:val="none" w:color="auto" w:sz="0" w:space="4"/>
        <w:between w:val="none" w:color="auto" w:sz="0" w:space="0"/>
      </w:pBdr>
    </w:pP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1022"/>
    <w:uiPriority w:val="0"/>
    <w:qFormat/>
    <w:rPr>
      <w:rFonts w:hint="default" w:ascii="Times New Roman" w:hAnsi="Times New Roman" w:eastAsia="宋体" w:cs="Times New Roman"/>
      <w:lang w:val="en-US" w:eastAsia="zh-CN" w:bidi="ar-SA"/>
    </w:rPr>
  </w:style>
  <w:style w:type="paragraph" w:styleId="685">
    <w:name w:val="Heading 1"/>
    <w:next w:val="684"/>
    <w:link w:val="770"/>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686">
    <w:name w:val="Heading 2"/>
    <w:basedOn w:val="697"/>
    <w:next w:val="697"/>
    <w:uiPriority w:val="0"/>
    <w:qFormat/>
    <w:pPr>
      <w:jc w:val="left"/>
      <w:keepLines/>
      <w:keepNext/>
      <w:spacing w:before="260" w:after="260" w:line="416" w:lineRule="auto"/>
      <w:outlineLvl w:val="1"/>
    </w:pPr>
    <w:rPr>
      <w:rFonts w:ascii="Calibri Light" w:hAnsi="Calibri Light"/>
      <w:b/>
      <w:bCs/>
      <w:sz w:val="24"/>
      <w:szCs w:val="32"/>
    </w:rPr>
  </w:style>
  <w:style w:type="paragraph" w:styleId="687">
    <w:name w:val="Heading 3"/>
    <w:basedOn w:val="684"/>
    <w:next w:val="684"/>
    <w:link w:val="772"/>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3"/>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next w:val="684"/>
    <w:link w:val="774"/>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690">
    <w:name w:val="Heading 6"/>
    <w:next w:val="684"/>
    <w:link w:val="775"/>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691">
    <w:name w:val="Heading 7"/>
    <w:next w:val="684"/>
    <w:link w:val="776"/>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92">
    <w:name w:val="Heading 8"/>
    <w:next w:val="684"/>
    <w:link w:val="777"/>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693">
    <w:name w:val="Heading 9"/>
    <w:next w:val="684"/>
    <w:link w:val="778"/>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Body Text"/>
    <w:basedOn w:val="684"/>
    <w:uiPriority w:val="99"/>
    <w:qFormat/>
    <w:rPr>
      <w:rFonts w:ascii="华文中宋" w:eastAsia="华文中宋"/>
      <w:bCs/>
      <w:sz w:val="28"/>
    </w:rPr>
  </w:style>
  <w:style w:type="paragraph" w:styleId="697" w:customStyle="1">
    <w:name w:val="正文11"/>
    <w:next w:val="698"/>
    <w:link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customStyle="1">
    <w:name w:val="正文文本1"/>
    <w:basedOn w:val="697"/>
    <w:link w:val="956"/>
    <w:uiPriority w:val="0"/>
    <w:qFormat/>
    <w:pPr>
      <w:spacing w:after="120"/>
    </w:pPr>
    <w:rPr>
      <w:rFonts w:ascii="Calibri" w:hAnsi="Calibri"/>
    </w:rPr>
  </w:style>
  <w:style w:type="paragraph" w:styleId="699">
    <w:name w:val="toc 7"/>
    <w:next w:val="684"/>
    <w:uiPriority w:val="39"/>
    <w:unhideWhenUsed/>
    <w:qFormat/>
    <w:pPr>
      <w:ind w:left="1701"/>
      <w:spacing w:after="57"/>
    </w:pPr>
    <w:rPr>
      <w:rFonts w:hint="default" w:ascii="Times New Roman" w:hAnsi="Times New Roman" w:eastAsia="宋体" w:cs="Times New Roman"/>
      <w:lang w:val="en-US" w:eastAsia="zh-CN" w:bidi="ar-SA"/>
    </w:rPr>
  </w:style>
  <w:style w:type="paragraph" w:styleId="700">
    <w:name w:val="Normal Indent"/>
    <w:basedOn w:val="684"/>
    <w:next w:val="684"/>
    <w:uiPriority w:val="99"/>
    <w:qFormat/>
    <w:pPr>
      <w:ind w:firstLine="420"/>
    </w:pPr>
    <w:rPr>
      <w:b/>
      <w:sz w:val="24"/>
    </w:rPr>
  </w:style>
  <w:style w:type="paragraph" w:styleId="701">
    <w:name w:val="Caption"/>
    <w:next w:val="684"/>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02">
    <w:name w:val="annotation text"/>
    <w:basedOn w:val="684"/>
    <w:link w:val="1018"/>
    <w:uiPriority w:val="99"/>
    <w:semiHidden/>
    <w:unhideWhenUsed/>
    <w:qFormat/>
  </w:style>
  <w:style w:type="paragraph" w:styleId="703">
    <w:name w:val="Body Text Indent"/>
    <w:basedOn w:val="684"/>
    <w:next w:val="704"/>
    <w:uiPriority w:val="99"/>
    <w:unhideWhenUsed/>
    <w:qFormat/>
    <w:pPr>
      <w:ind w:left="570"/>
      <w:spacing w:line="520" w:lineRule="exact"/>
    </w:pPr>
    <w:rPr>
      <w:rFonts w:ascii="方正仿宋简体" w:hAnsi="创艺简仿宋" w:eastAsia="方正仿宋简体"/>
      <w:sz w:val="24"/>
      <w:lang w:val="zh-CN"/>
    </w:rPr>
  </w:style>
  <w:style w:type="paragraph" w:styleId="704">
    <w:name w:val="envelope return"/>
    <w:basedOn w:val="684"/>
    <w:uiPriority w:val="99"/>
    <w:unhideWhenUsed/>
    <w:qFormat/>
    <w:pPr>
      <w:jc w:val="both"/>
      <w:widowControl w:val="off"/>
    </w:pPr>
    <w:rPr>
      <w:rFonts w:ascii="Arial" w:hAnsi="Arial"/>
      <w:sz w:val="21"/>
      <w:szCs w:val="24"/>
    </w:rPr>
  </w:style>
  <w:style w:type="paragraph" w:styleId="705">
    <w:name w:val="Block Text"/>
    <w:basedOn w:val="684"/>
    <w:uiPriority w:val="0"/>
    <w:qFormat/>
    <w:pPr>
      <w:ind w:left="1440" w:right="1440"/>
      <w:spacing w:after="120"/>
    </w:pPr>
  </w:style>
  <w:style w:type="paragraph" w:styleId="706">
    <w:name w:val="toc 5"/>
    <w:next w:val="684"/>
    <w:uiPriority w:val="39"/>
    <w:unhideWhenUsed/>
    <w:qFormat/>
    <w:pPr>
      <w:ind w:left="1134"/>
      <w:spacing w:after="57"/>
    </w:pPr>
    <w:rPr>
      <w:rFonts w:hint="default" w:ascii="Times New Roman" w:hAnsi="Times New Roman" w:eastAsia="宋体" w:cs="Times New Roman"/>
      <w:lang w:val="en-US" w:eastAsia="zh-CN" w:bidi="ar-SA"/>
    </w:rPr>
  </w:style>
  <w:style w:type="paragraph" w:styleId="707">
    <w:name w:val="toc 3"/>
    <w:next w:val="684"/>
    <w:uiPriority w:val="39"/>
    <w:unhideWhenUsed/>
    <w:qFormat/>
    <w:pPr>
      <w:ind w:left="567"/>
      <w:spacing w:after="57"/>
    </w:pPr>
    <w:rPr>
      <w:rFonts w:hint="default" w:ascii="Times New Roman" w:hAnsi="Times New Roman" w:eastAsia="宋体" w:cs="Times New Roman"/>
      <w:lang w:val="en-US" w:eastAsia="zh-CN" w:bidi="ar-SA"/>
    </w:rPr>
  </w:style>
  <w:style w:type="paragraph" w:styleId="708">
    <w:name w:val="Plain Text"/>
    <w:uiPriority w:val="0"/>
    <w:qFormat/>
    <w:pPr>
      <w:jc w:val="left"/>
      <w:widowControl/>
    </w:pPr>
    <w:rPr>
      <w:rFonts w:hint="default" w:ascii="宋体" w:hAnsi="Courier New" w:eastAsia="宋体" w:cs="Times New Roman"/>
      <w:sz w:val="21"/>
      <w:lang w:val="en-US" w:eastAsia="zh-CN" w:bidi="ar-SA"/>
    </w:rPr>
  </w:style>
  <w:style w:type="paragraph" w:styleId="709">
    <w:name w:val="toc 8"/>
    <w:next w:val="684"/>
    <w:uiPriority w:val="39"/>
    <w:unhideWhenUsed/>
    <w:qFormat/>
    <w:pPr>
      <w:ind w:left="1984"/>
      <w:spacing w:after="57"/>
    </w:pPr>
    <w:rPr>
      <w:rFonts w:hint="default" w:ascii="Times New Roman" w:hAnsi="Times New Roman" w:eastAsia="宋体" w:cs="Times New Roman"/>
      <w:lang w:val="en-US" w:eastAsia="zh-CN" w:bidi="ar-SA"/>
    </w:rPr>
  </w:style>
  <w:style w:type="paragraph" w:styleId="710">
    <w:name w:val="endnote text"/>
    <w:link w:val="915"/>
    <w:uiPriority w:val="99"/>
    <w:unhideWhenUsed/>
    <w:qFormat/>
    <w:rPr>
      <w:rFonts w:hint="default" w:ascii="Times New Roman" w:hAnsi="Times New Roman" w:eastAsia="宋体" w:cs="Times New Roman"/>
      <w:lang w:val="en-US" w:eastAsia="zh-CN" w:bidi="ar-SA"/>
    </w:rPr>
  </w:style>
  <w:style w:type="paragraph" w:styleId="711">
    <w:name w:val="Footer"/>
    <w:basedOn w:val="684"/>
    <w:link w:val="788"/>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12">
    <w:name w:val="Header"/>
    <w:link w:val="786"/>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13">
    <w:name w:val="toc 1"/>
    <w:next w:val="684"/>
    <w:uiPriority w:val="39"/>
    <w:unhideWhenUsed/>
    <w:qFormat/>
    <w:pPr>
      <w:spacing w:after="57"/>
    </w:pPr>
    <w:rPr>
      <w:rFonts w:hint="default" w:ascii="Times New Roman" w:hAnsi="Times New Roman" w:eastAsia="宋体" w:cs="Times New Roman"/>
      <w:lang w:val="en-US" w:eastAsia="zh-CN" w:bidi="ar-SA"/>
    </w:rPr>
  </w:style>
  <w:style w:type="paragraph" w:styleId="714">
    <w:name w:val="toc 4"/>
    <w:next w:val="684"/>
    <w:uiPriority w:val="39"/>
    <w:unhideWhenUsed/>
    <w:qFormat/>
    <w:pPr>
      <w:ind w:left="850"/>
      <w:spacing w:after="57"/>
    </w:pPr>
    <w:rPr>
      <w:rFonts w:hint="default" w:ascii="Times New Roman" w:hAnsi="Times New Roman" w:eastAsia="宋体" w:cs="Times New Roman"/>
      <w:lang w:val="en-US" w:eastAsia="zh-CN" w:bidi="ar-SA"/>
    </w:rPr>
  </w:style>
  <w:style w:type="paragraph" w:styleId="715">
    <w:name w:val="Subtitle"/>
    <w:link w:val="781"/>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16">
    <w:name w:val="List"/>
    <w:basedOn w:val="684"/>
    <w:uiPriority w:val="0"/>
    <w:qFormat/>
    <w:pPr>
      <w:ind w:left="450" w:hanging="450"/>
      <w:spacing w:after="20" w:line="288" w:lineRule="auto"/>
      <w:tabs>
        <w:tab w:val="left" w:pos="420" w:leader="none"/>
        <w:tab w:val="left" w:pos="450" w:leader="none"/>
        <w:tab w:val="left" w:pos="898" w:leader="none"/>
      </w:tabs>
    </w:pPr>
  </w:style>
  <w:style w:type="paragraph" w:styleId="717">
    <w:name w:val="footnote text"/>
    <w:link w:val="914"/>
    <w:uiPriority w:val="99"/>
    <w:unhideWhenUsed/>
    <w:qFormat/>
    <w:pPr>
      <w:spacing w:after="40"/>
    </w:pPr>
    <w:rPr>
      <w:rFonts w:hint="default" w:ascii="Times New Roman" w:hAnsi="Times New Roman" w:eastAsia="宋体" w:cs="Times New Roman"/>
      <w:sz w:val="18"/>
      <w:lang w:val="en-US" w:eastAsia="zh-CN" w:bidi="ar-SA"/>
    </w:rPr>
  </w:style>
  <w:style w:type="paragraph" w:styleId="718">
    <w:name w:val="toc 6"/>
    <w:next w:val="684"/>
    <w:uiPriority w:val="39"/>
    <w:unhideWhenUsed/>
    <w:qFormat/>
    <w:pPr>
      <w:ind w:left="1417"/>
      <w:spacing w:after="57"/>
    </w:pPr>
    <w:rPr>
      <w:rFonts w:hint="default" w:ascii="Times New Roman" w:hAnsi="Times New Roman" w:eastAsia="宋体" w:cs="Times New Roman"/>
      <w:lang w:val="en-US" w:eastAsia="zh-CN" w:bidi="ar-SA"/>
    </w:rPr>
  </w:style>
  <w:style w:type="paragraph" w:styleId="719">
    <w:name w:val="table of figures"/>
    <w:next w:val="684"/>
    <w:uiPriority w:val="99"/>
    <w:unhideWhenUsed/>
    <w:qFormat/>
    <w:rPr>
      <w:rFonts w:hint="default" w:ascii="Times New Roman" w:hAnsi="Times New Roman" w:eastAsia="宋体" w:cs="Times New Roman"/>
      <w:lang w:val="en-US" w:eastAsia="zh-CN" w:bidi="ar-SA"/>
    </w:rPr>
  </w:style>
  <w:style w:type="paragraph" w:styleId="720">
    <w:name w:val="toc 2"/>
    <w:next w:val="684"/>
    <w:uiPriority w:val="39"/>
    <w:unhideWhenUsed/>
    <w:qFormat/>
    <w:pPr>
      <w:ind w:left="283"/>
      <w:spacing w:after="57"/>
    </w:pPr>
    <w:rPr>
      <w:rFonts w:hint="default" w:ascii="Times New Roman" w:hAnsi="Times New Roman" w:eastAsia="宋体" w:cs="Times New Roman"/>
      <w:lang w:val="en-US" w:eastAsia="zh-CN" w:bidi="ar-SA"/>
    </w:rPr>
  </w:style>
  <w:style w:type="paragraph" w:styleId="721">
    <w:name w:val="toc 9"/>
    <w:next w:val="684"/>
    <w:uiPriority w:val="39"/>
    <w:unhideWhenUsed/>
    <w:qFormat/>
    <w:pPr>
      <w:ind w:left="2268"/>
      <w:spacing w:after="57"/>
    </w:pPr>
    <w:rPr>
      <w:rFonts w:hint="default" w:ascii="Times New Roman" w:hAnsi="Times New Roman" w:eastAsia="宋体" w:cs="Times New Roman"/>
      <w:lang w:val="en-US" w:eastAsia="zh-CN" w:bidi="ar-SA"/>
    </w:rPr>
  </w:style>
  <w:style w:type="paragraph" w:styleId="722">
    <w:name w:val="Normal (Web)"/>
    <w:basedOn w:val="684"/>
    <w:uiPriority w:val="99"/>
    <w:semiHidden/>
    <w:unhideWhenUsed/>
    <w:qFormat/>
    <w:pPr>
      <w:ind w:left="0" w:right="0"/>
      <w:jc w:val="left"/>
      <w:spacing w:before="0" w:beforeAutospacing="1" w:after="0" w:afterAutospacing="1"/>
    </w:pPr>
    <w:rPr>
      <w:sz w:val="24"/>
      <w:lang w:val="en-US" w:eastAsia="zh-CN" w:bidi="ar"/>
    </w:rPr>
  </w:style>
  <w:style w:type="paragraph" w:styleId="723">
    <w:name w:val="Title"/>
    <w:link w:val="780"/>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724">
    <w:name w:val="annotation subject"/>
    <w:basedOn w:val="702"/>
    <w:next w:val="702"/>
    <w:link w:val="1019"/>
    <w:uiPriority w:val="99"/>
    <w:semiHidden/>
    <w:unhideWhenUsed/>
    <w:qFormat/>
    <w:rPr>
      <w:b/>
      <w:bCs/>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unhideWhenUsed/>
    <w:qFormat/>
    <w:rPr>
      <w:vertAlign w:val="superscript"/>
    </w:rPr>
  </w:style>
  <w:style w:type="character" w:styleId="727">
    <w:name w:val="Hyperlink"/>
    <w:uiPriority w:val="99"/>
    <w:unhideWhenUsed/>
    <w:qFormat/>
    <w:rPr>
      <w:color w:val="0000ff"/>
      <w:u w:val="single"/>
    </w:rPr>
  </w:style>
  <w:style w:type="character" w:styleId="728">
    <w:name w:val="annotation reference"/>
    <w:uiPriority w:val="99"/>
    <w:semiHidden/>
    <w:unhideWhenUsed/>
    <w:qFormat/>
    <w:rPr>
      <w:sz w:val="21"/>
      <w:szCs w:val="21"/>
    </w:rPr>
  </w:style>
  <w:style w:type="character" w:styleId="729">
    <w:name w:val="footnote reference"/>
    <w:uiPriority w:val="99"/>
    <w:unhideWhenUsed/>
    <w:qFormat/>
    <w:rPr>
      <w:vertAlign w:val="superscript"/>
    </w:rPr>
  </w:style>
  <w:style w:type="character" w:styleId="730" w:customStyle="1">
    <w:name w:val="Heading 1 Char"/>
    <w:basedOn w:val="694"/>
    <w:uiPriority w:val="9"/>
    <w:qFormat/>
    <w:rPr>
      <w:rFonts w:ascii="Arial" w:hAnsi="Arial" w:eastAsia="Arial" w:cs="Arial"/>
      <w:sz w:val="40"/>
      <w:szCs w:val="40"/>
    </w:rPr>
  </w:style>
  <w:style w:type="character" w:styleId="731" w:customStyle="1">
    <w:name w:val="Heading 3 Char"/>
    <w:basedOn w:val="694"/>
    <w:uiPriority w:val="9"/>
    <w:qFormat/>
    <w:rPr>
      <w:rFonts w:ascii="Arial" w:hAnsi="Arial" w:eastAsia="Arial" w:cs="Arial"/>
      <w:sz w:val="30"/>
      <w:szCs w:val="30"/>
    </w:rPr>
  </w:style>
  <w:style w:type="character" w:styleId="732" w:customStyle="1">
    <w:name w:val="Heading 4 Char"/>
    <w:basedOn w:val="694"/>
    <w:uiPriority w:val="9"/>
    <w:qFormat/>
    <w:rPr>
      <w:rFonts w:ascii="Arial" w:hAnsi="Arial" w:eastAsia="Arial" w:cs="Arial"/>
      <w:b/>
      <w:bCs/>
      <w:sz w:val="26"/>
      <w:szCs w:val="26"/>
    </w:rPr>
  </w:style>
  <w:style w:type="character" w:styleId="733" w:customStyle="1">
    <w:name w:val="Heading 5 Char"/>
    <w:basedOn w:val="694"/>
    <w:uiPriority w:val="9"/>
    <w:qFormat/>
    <w:rPr>
      <w:rFonts w:ascii="Arial" w:hAnsi="Arial" w:eastAsia="Arial" w:cs="Arial"/>
      <w:b/>
      <w:bCs/>
      <w:sz w:val="24"/>
      <w:szCs w:val="24"/>
    </w:rPr>
  </w:style>
  <w:style w:type="character" w:styleId="734" w:customStyle="1">
    <w:name w:val="Heading 6 Char"/>
    <w:basedOn w:val="694"/>
    <w:uiPriority w:val="9"/>
    <w:qFormat/>
    <w:rPr>
      <w:rFonts w:ascii="Arial" w:hAnsi="Arial" w:eastAsia="Arial" w:cs="Arial"/>
      <w:b/>
      <w:bCs/>
      <w:sz w:val="22"/>
      <w:szCs w:val="22"/>
    </w:rPr>
  </w:style>
  <w:style w:type="character" w:styleId="735" w:customStyle="1">
    <w:name w:val="Heading 7 Char"/>
    <w:basedOn w:val="694"/>
    <w:uiPriority w:val="9"/>
    <w:qFormat/>
    <w:rPr>
      <w:rFonts w:ascii="Arial" w:hAnsi="Arial" w:eastAsia="Arial" w:cs="Arial"/>
      <w:b/>
      <w:bCs/>
      <w:i/>
      <w:iCs/>
      <w:sz w:val="22"/>
      <w:szCs w:val="22"/>
    </w:rPr>
  </w:style>
  <w:style w:type="character" w:styleId="736" w:customStyle="1">
    <w:name w:val="Heading 8 Char"/>
    <w:basedOn w:val="694"/>
    <w:uiPriority w:val="9"/>
    <w:qFormat/>
    <w:rPr>
      <w:rFonts w:ascii="Arial" w:hAnsi="Arial" w:eastAsia="Arial" w:cs="Arial"/>
      <w:i/>
      <w:iCs/>
      <w:sz w:val="22"/>
      <w:szCs w:val="22"/>
    </w:rPr>
  </w:style>
  <w:style w:type="character" w:styleId="737" w:customStyle="1">
    <w:name w:val="Heading 9 Char"/>
    <w:basedOn w:val="694"/>
    <w:uiPriority w:val="9"/>
    <w:qFormat/>
    <w:rPr>
      <w:rFonts w:ascii="Arial" w:hAnsi="Arial" w:eastAsia="Arial" w:cs="Arial"/>
      <w:i/>
      <w:iCs/>
      <w:sz w:val="21"/>
      <w:szCs w:val="21"/>
    </w:rPr>
  </w:style>
  <w:style w:type="paragraph" w:styleId="738">
    <w:name w:val="List Paragraph"/>
    <w:basedOn w:val="684"/>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basedOn w:val="694"/>
    <w:uiPriority w:val="10"/>
    <w:qFormat/>
    <w:rPr>
      <w:sz w:val="48"/>
      <w:szCs w:val="48"/>
    </w:rPr>
  </w:style>
  <w:style w:type="character" w:styleId="741" w:customStyle="1">
    <w:name w:val="Subtitle Char"/>
    <w:basedOn w:val="694"/>
    <w:uiPriority w:val="11"/>
    <w:qFormat/>
    <w:rPr>
      <w:sz w:val="24"/>
      <w:szCs w:val="24"/>
    </w:rPr>
  </w:style>
  <w:style w:type="paragraph" w:styleId="742">
    <w:name w:val="Quote"/>
    <w:basedOn w:val="684"/>
    <w:next w:val="684"/>
    <w:uiPriority w:val="29"/>
    <w:qFormat/>
    <w:pPr>
      <w:ind w:left="720" w:right="720"/>
    </w:pPr>
    <w:rPr>
      <w:i/>
    </w:rPr>
  </w:style>
  <w:style w:type="paragraph" w:styleId="743">
    <w:name w:val="Intense Quote"/>
    <w:basedOn w:val="684"/>
    <w:next w:val="6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Header Char"/>
    <w:basedOn w:val="694"/>
    <w:uiPriority w:val="99"/>
    <w:qFormat/>
  </w:style>
  <w:style w:type="character" w:styleId="745" w:customStyle="1">
    <w:name w:val="Caption Char"/>
    <w:uiPriority w:val="99"/>
    <w:qFormat/>
  </w:style>
  <w:style w:type="table" w:styleId="746"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5" w:customStyle="1">
    <w:name w:val="Footnote Text Char"/>
    <w:uiPriority w:val="99"/>
    <w:qFormat/>
    <w:rPr>
      <w:sz w:val="18"/>
    </w:rPr>
  </w:style>
  <w:style w:type="character" w:styleId="766" w:customStyle="1">
    <w:name w:val="Endnote Text Char"/>
    <w:uiPriority w:val="99"/>
    <w:qFormat/>
    <w:rPr>
      <w:sz w:val="20"/>
    </w:rPr>
  </w:style>
  <w:style w:type="paragraph" w:styleId="767" w:customStyle="1">
    <w:name w:val="TOC Heading"/>
    <w:uiPriority w:val="39"/>
    <w:unhideWhenUsed/>
    <w:qFormat/>
    <w:rPr>
      <w:rFonts w:hint="default" w:ascii="Times New Roman" w:hAnsi="Times New Roman" w:eastAsia="宋体" w:cs="Times New Roman"/>
    </w:rPr>
  </w:style>
  <w:style w:type="paragraph" w:styleId="768" w:customStyle="1">
    <w:name w:val="段"/>
    <w:basedOn w:val="697"/>
    <w:next w:val="684"/>
    <w:uiPriority w:val="0"/>
    <w:qFormat/>
    <w:pPr>
      <w:ind w:firstLine="200"/>
      <w:widowControl/>
    </w:pPr>
    <w:rPr>
      <w:rFonts w:ascii="宋体"/>
      <w:sz w:val="20"/>
      <w:szCs w:val="20"/>
    </w:rPr>
  </w:style>
  <w:style w:type="paragraph" w:styleId="769" w:customStyle="1">
    <w:name w:val="表格文字"/>
    <w:basedOn w:val="684"/>
    <w:uiPriority w:val="0"/>
    <w:qFormat/>
    <w:pPr>
      <w:spacing w:line="420" w:lineRule="atLeast"/>
    </w:pPr>
  </w:style>
  <w:style w:type="character" w:styleId="770" w:customStyle="1">
    <w:name w:val="标题 1 字符1"/>
    <w:link w:val="685"/>
    <w:uiPriority w:val="9"/>
    <w:qFormat/>
    <w:rPr>
      <w:rFonts w:ascii="Arial" w:hAnsi="Arial" w:eastAsia="Arial" w:cs="Arial"/>
      <w:sz w:val="40"/>
      <w:szCs w:val="40"/>
    </w:rPr>
  </w:style>
  <w:style w:type="character" w:styleId="771" w:customStyle="1">
    <w:name w:val="Heading 2 Char"/>
    <w:uiPriority w:val="9"/>
    <w:qFormat/>
    <w:rPr>
      <w:rFonts w:ascii="Arial" w:hAnsi="Arial" w:eastAsia="Arial" w:cs="Arial"/>
      <w:sz w:val="34"/>
    </w:rPr>
  </w:style>
  <w:style w:type="character" w:styleId="772" w:customStyle="1">
    <w:name w:val="标题 3 字符1"/>
    <w:link w:val="687"/>
    <w:uiPriority w:val="9"/>
    <w:qFormat/>
    <w:rPr>
      <w:rFonts w:ascii="Arial" w:hAnsi="Arial" w:eastAsia="Arial" w:cs="Arial"/>
      <w:sz w:val="30"/>
      <w:szCs w:val="30"/>
    </w:rPr>
  </w:style>
  <w:style w:type="character" w:styleId="773" w:customStyle="1">
    <w:name w:val="标题 4 字符1"/>
    <w:link w:val="688"/>
    <w:uiPriority w:val="9"/>
    <w:qFormat/>
    <w:rPr>
      <w:rFonts w:ascii="Arial" w:hAnsi="Arial" w:eastAsia="Arial" w:cs="Arial"/>
      <w:b/>
      <w:bCs/>
      <w:sz w:val="26"/>
      <w:szCs w:val="26"/>
    </w:rPr>
  </w:style>
  <w:style w:type="character" w:styleId="774" w:customStyle="1">
    <w:name w:val="标题 5 字符1"/>
    <w:link w:val="689"/>
    <w:uiPriority w:val="9"/>
    <w:qFormat/>
    <w:rPr>
      <w:rFonts w:ascii="Arial" w:hAnsi="Arial" w:eastAsia="Arial" w:cs="Arial"/>
      <w:b/>
      <w:bCs/>
      <w:sz w:val="24"/>
      <w:szCs w:val="24"/>
    </w:rPr>
  </w:style>
  <w:style w:type="character" w:styleId="775" w:customStyle="1">
    <w:name w:val="标题 6 字符"/>
    <w:link w:val="690"/>
    <w:uiPriority w:val="9"/>
    <w:qFormat/>
    <w:rPr>
      <w:rFonts w:ascii="Arial" w:hAnsi="Arial" w:eastAsia="Arial" w:cs="Arial"/>
      <w:b/>
      <w:bCs/>
      <w:sz w:val="22"/>
      <w:szCs w:val="22"/>
    </w:rPr>
  </w:style>
  <w:style w:type="character" w:styleId="776" w:customStyle="1">
    <w:name w:val="标题 7 字符1"/>
    <w:link w:val="691"/>
    <w:uiPriority w:val="9"/>
    <w:qFormat/>
    <w:rPr>
      <w:rFonts w:ascii="Arial" w:hAnsi="Arial" w:eastAsia="Arial" w:cs="Arial"/>
      <w:b/>
      <w:bCs/>
      <w:i/>
      <w:iCs/>
      <w:sz w:val="22"/>
      <w:szCs w:val="22"/>
    </w:rPr>
  </w:style>
  <w:style w:type="character" w:styleId="777" w:customStyle="1">
    <w:name w:val="标题 8 字符"/>
    <w:link w:val="692"/>
    <w:uiPriority w:val="9"/>
    <w:qFormat/>
    <w:rPr>
      <w:rFonts w:ascii="Arial" w:hAnsi="Arial" w:eastAsia="Arial" w:cs="Arial"/>
      <w:i/>
      <w:iCs/>
      <w:sz w:val="22"/>
      <w:szCs w:val="22"/>
    </w:rPr>
  </w:style>
  <w:style w:type="character" w:styleId="778" w:customStyle="1">
    <w:name w:val="标题 9 字符"/>
    <w:link w:val="693"/>
    <w:uiPriority w:val="9"/>
    <w:qFormat/>
    <w:rPr>
      <w:rFonts w:ascii="Arial" w:hAnsi="Arial" w:eastAsia="Arial" w:cs="Arial"/>
      <w:i/>
      <w:iCs/>
      <w:sz w:val="21"/>
      <w:szCs w:val="21"/>
    </w:rPr>
  </w:style>
  <w:style w:type="paragraph" w:styleId="779" w:customStyle="1">
    <w:name w:val="列表段落1"/>
    <w:uiPriority w:val="34"/>
    <w:qFormat/>
    <w:pPr>
      <w:contextualSpacing/>
      <w:ind w:left="720"/>
    </w:pPr>
    <w:rPr>
      <w:rFonts w:hint="default" w:ascii="Times New Roman" w:hAnsi="Times New Roman" w:eastAsia="宋体" w:cs="Times New Roman"/>
      <w:lang w:val="en-US" w:eastAsia="zh-CN" w:bidi="ar-SA"/>
    </w:rPr>
  </w:style>
  <w:style w:type="character" w:styleId="780" w:customStyle="1">
    <w:name w:val="标题 字符"/>
    <w:link w:val="723"/>
    <w:uiPriority w:val="10"/>
    <w:qFormat/>
    <w:rPr>
      <w:sz w:val="48"/>
      <w:szCs w:val="48"/>
    </w:rPr>
  </w:style>
  <w:style w:type="character" w:styleId="781" w:customStyle="1">
    <w:name w:val="副标题 字符"/>
    <w:link w:val="715"/>
    <w:uiPriority w:val="11"/>
    <w:qFormat/>
    <w:rPr>
      <w:sz w:val="24"/>
      <w:szCs w:val="24"/>
    </w:rPr>
  </w:style>
  <w:style w:type="paragraph" w:styleId="782" w:customStyle="1">
    <w:name w:val="引用1"/>
    <w:link w:val="783"/>
    <w:uiPriority w:val="29"/>
    <w:qFormat/>
    <w:pPr>
      <w:ind w:left="720" w:right="720"/>
    </w:pPr>
    <w:rPr>
      <w:rFonts w:hint="default" w:ascii="Times New Roman" w:hAnsi="Times New Roman" w:eastAsia="宋体" w:cs="Times New Roman"/>
      <w:i/>
      <w:lang w:val="en-US" w:eastAsia="zh-CN" w:bidi="ar-SA"/>
    </w:rPr>
  </w:style>
  <w:style w:type="character" w:styleId="783" w:customStyle="1">
    <w:name w:val="Quote Char"/>
    <w:link w:val="782"/>
    <w:uiPriority w:val="29"/>
    <w:qFormat/>
    <w:rPr>
      <w:i/>
    </w:rPr>
  </w:style>
  <w:style w:type="paragraph" w:styleId="784" w:customStyle="1">
    <w:name w:val="明显引用1"/>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785" w:customStyle="1">
    <w:name w:val="Intense Quote Char"/>
    <w:link w:val="784"/>
    <w:uiPriority w:val="30"/>
    <w:qFormat/>
    <w:rPr>
      <w:i/>
    </w:rPr>
  </w:style>
  <w:style w:type="character" w:styleId="786" w:customStyle="1">
    <w:name w:val="页眉 字符1"/>
    <w:link w:val="712"/>
    <w:uiPriority w:val="99"/>
    <w:qFormat/>
  </w:style>
  <w:style w:type="character" w:styleId="787" w:customStyle="1">
    <w:name w:val="Footer Char"/>
    <w:uiPriority w:val="99"/>
    <w:qFormat/>
  </w:style>
  <w:style w:type="character" w:styleId="788" w:customStyle="1">
    <w:name w:val="页脚 字符1"/>
    <w:link w:val="711"/>
    <w:uiPriority w:val="99"/>
    <w:qFormat/>
  </w:style>
  <w:style w:type="table" w:styleId="78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2" w:customStyle="1">
    <w:name w:val="无格式表格 31"/>
    <w:uiPriority w:val="99"/>
    <w:qFormat/>
    <w:tblPr>
      <w:tblCellMar>
        <w:left w:w="0" w:type="dxa"/>
        <w:top w:w="0" w:type="dxa"/>
        <w:right w:w="0" w:type="dxa"/>
        <w:bottom w:w="0" w:type="dxa"/>
      </w:tblCellMar>
    </w:tblPr>
  </w:style>
  <w:style w:type="table" w:styleId="793" w:customStyle="1">
    <w:name w:val="无格式表格 41"/>
    <w:uiPriority w:val="99"/>
    <w:qFormat/>
    <w:tblPr>
      <w:tblCellMar>
        <w:left w:w="0" w:type="dxa"/>
        <w:top w:w="0" w:type="dxa"/>
        <w:right w:w="0" w:type="dxa"/>
        <w:bottom w:w="0" w:type="dxa"/>
      </w:tblCellMar>
    </w:tblPr>
  </w:style>
  <w:style w:type="table" w:styleId="794" w:customStyle="1">
    <w:name w:val="无格式表格 51"/>
    <w:uiPriority w:val="99"/>
    <w:qFormat/>
    <w:tblPr>
      <w:tblCellMar>
        <w:left w:w="0" w:type="dxa"/>
        <w:top w:w="0" w:type="dxa"/>
        <w:right w:w="0" w:type="dxa"/>
        <w:bottom w:w="0" w:type="dxa"/>
      </w:tblCellMar>
    </w:tblPr>
  </w:style>
  <w:style w:type="table" w:styleId="79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4" w:customStyle="1">
    <w:name w:val="清单表 1 浅色1"/>
    <w:uiPriority w:val="99"/>
    <w:qFormat/>
    <w:tblPr>
      <w:tblCellMar>
        <w:left w:w="0" w:type="dxa"/>
        <w:top w:w="0" w:type="dxa"/>
        <w:right w:w="0" w:type="dxa"/>
        <w:bottom w:w="0" w:type="dxa"/>
      </w:tblCellMar>
    </w:tblPr>
  </w:style>
  <w:style w:type="table" w:styleId="845" w:customStyle="1">
    <w:name w:val="List Table 1 Light - Accent 1"/>
    <w:uiPriority w:val="99"/>
    <w:qFormat/>
    <w:tblPr>
      <w:tblCellMar>
        <w:left w:w="0" w:type="dxa"/>
        <w:top w:w="0" w:type="dxa"/>
        <w:right w:w="0" w:type="dxa"/>
        <w:bottom w:w="0" w:type="dxa"/>
      </w:tblCellMar>
    </w:tblPr>
  </w:style>
  <w:style w:type="table" w:styleId="846" w:customStyle="1">
    <w:name w:val="List Table 1 Light - Accent 2"/>
    <w:uiPriority w:val="99"/>
    <w:qFormat/>
    <w:tblPr>
      <w:tblCellMar>
        <w:left w:w="0" w:type="dxa"/>
        <w:top w:w="0" w:type="dxa"/>
        <w:right w:w="0" w:type="dxa"/>
        <w:bottom w:w="0" w:type="dxa"/>
      </w:tblCellMar>
    </w:tblPr>
  </w:style>
  <w:style w:type="table" w:styleId="847" w:customStyle="1">
    <w:name w:val="List Table 1 Light - Accent 3"/>
    <w:uiPriority w:val="99"/>
    <w:qFormat/>
    <w:tblPr>
      <w:tblCellMar>
        <w:left w:w="0" w:type="dxa"/>
        <w:top w:w="0" w:type="dxa"/>
        <w:right w:w="0" w:type="dxa"/>
        <w:bottom w:w="0" w:type="dxa"/>
      </w:tblCellMar>
    </w:tblPr>
  </w:style>
  <w:style w:type="table" w:styleId="848" w:customStyle="1">
    <w:name w:val="List Table 1 Light - Accent 4"/>
    <w:uiPriority w:val="99"/>
    <w:qFormat/>
    <w:tblPr>
      <w:tblCellMar>
        <w:left w:w="0" w:type="dxa"/>
        <w:top w:w="0" w:type="dxa"/>
        <w:right w:w="0" w:type="dxa"/>
        <w:bottom w:w="0" w:type="dxa"/>
      </w:tblCellMar>
    </w:tblPr>
  </w:style>
  <w:style w:type="table" w:styleId="849" w:customStyle="1">
    <w:name w:val="List Table 1 Light - Accent 5"/>
    <w:uiPriority w:val="99"/>
    <w:qFormat/>
    <w:tblPr>
      <w:tblCellMar>
        <w:left w:w="0" w:type="dxa"/>
        <w:top w:w="0" w:type="dxa"/>
        <w:right w:w="0" w:type="dxa"/>
        <w:bottom w:w="0" w:type="dxa"/>
      </w:tblCellMar>
    </w:tblPr>
  </w:style>
  <w:style w:type="table" w:styleId="850" w:customStyle="1">
    <w:name w:val="List Table 1 Light - Accent 6"/>
    <w:uiPriority w:val="99"/>
    <w:qFormat/>
    <w:tblPr>
      <w:tblCellMar>
        <w:left w:w="0" w:type="dxa"/>
        <w:top w:w="0" w:type="dxa"/>
        <w:right w:w="0" w:type="dxa"/>
        <w:bottom w:w="0" w:type="dxa"/>
      </w:tblCellMar>
    </w:tblPr>
  </w:style>
  <w:style w:type="table" w:styleId="85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3" w:customStyle="1">
    <w:name w:val="Lined - Accent"/>
    <w:uiPriority w:val="99"/>
    <w:qFormat/>
    <w:rPr>
      <w:color w:val="404040"/>
    </w:rPr>
    <w:tblPr>
      <w:tblCellMar>
        <w:left w:w="0" w:type="dxa"/>
        <w:top w:w="0" w:type="dxa"/>
        <w:right w:w="0" w:type="dxa"/>
        <w:bottom w:w="0" w:type="dxa"/>
      </w:tblCellMar>
    </w:tblPr>
  </w:style>
  <w:style w:type="table" w:styleId="894" w:customStyle="1">
    <w:name w:val="Lined - Accent 1"/>
    <w:uiPriority w:val="99"/>
    <w:qFormat/>
    <w:rPr>
      <w:color w:val="404040"/>
    </w:rPr>
    <w:tblPr>
      <w:tblCellMar>
        <w:left w:w="0" w:type="dxa"/>
        <w:top w:w="0" w:type="dxa"/>
        <w:right w:w="0" w:type="dxa"/>
        <w:bottom w:w="0" w:type="dxa"/>
      </w:tblCellMar>
    </w:tblPr>
  </w:style>
  <w:style w:type="table" w:styleId="895" w:customStyle="1">
    <w:name w:val="Lined - Accent 2"/>
    <w:uiPriority w:val="99"/>
    <w:qFormat/>
    <w:rPr>
      <w:color w:val="404040"/>
    </w:rPr>
    <w:tblPr>
      <w:tblCellMar>
        <w:left w:w="0" w:type="dxa"/>
        <w:top w:w="0" w:type="dxa"/>
        <w:right w:w="0" w:type="dxa"/>
        <w:bottom w:w="0" w:type="dxa"/>
      </w:tblCellMar>
    </w:tblPr>
  </w:style>
  <w:style w:type="table" w:styleId="896" w:customStyle="1">
    <w:name w:val="Lined - Accent 3"/>
    <w:uiPriority w:val="99"/>
    <w:qFormat/>
    <w:rPr>
      <w:color w:val="404040"/>
    </w:rPr>
    <w:tblPr>
      <w:tblCellMar>
        <w:left w:w="0" w:type="dxa"/>
        <w:top w:w="0" w:type="dxa"/>
        <w:right w:w="0" w:type="dxa"/>
        <w:bottom w:w="0" w:type="dxa"/>
      </w:tblCellMar>
    </w:tblPr>
  </w:style>
  <w:style w:type="table" w:styleId="897" w:customStyle="1">
    <w:name w:val="Lined - Accent 4"/>
    <w:uiPriority w:val="99"/>
    <w:qFormat/>
    <w:rPr>
      <w:color w:val="404040"/>
    </w:rPr>
    <w:tblPr>
      <w:tblCellMar>
        <w:left w:w="0" w:type="dxa"/>
        <w:top w:w="0" w:type="dxa"/>
        <w:right w:w="0" w:type="dxa"/>
        <w:bottom w:w="0" w:type="dxa"/>
      </w:tblCellMar>
    </w:tblPr>
  </w:style>
  <w:style w:type="table" w:styleId="898" w:customStyle="1">
    <w:name w:val="Lined - Accent 5"/>
    <w:uiPriority w:val="99"/>
    <w:qFormat/>
    <w:rPr>
      <w:color w:val="404040"/>
    </w:rPr>
    <w:tblPr>
      <w:tblCellMar>
        <w:left w:w="0" w:type="dxa"/>
        <w:top w:w="0" w:type="dxa"/>
        <w:right w:w="0" w:type="dxa"/>
        <w:bottom w:w="0" w:type="dxa"/>
      </w:tblCellMar>
    </w:tblPr>
  </w:style>
  <w:style w:type="table" w:styleId="899" w:customStyle="1">
    <w:name w:val="Lined - Accent 6"/>
    <w:uiPriority w:val="99"/>
    <w:qFormat/>
    <w:rPr>
      <w:color w:val="404040"/>
    </w:rPr>
    <w:tblPr>
      <w:tblCellMar>
        <w:left w:w="0" w:type="dxa"/>
        <w:top w:w="0" w:type="dxa"/>
        <w:right w:w="0" w:type="dxa"/>
        <w:bottom w:w="0" w:type="dxa"/>
      </w:tblCellMar>
    </w:tblPr>
  </w:style>
  <w:style w:type="table" w:styleId="90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4" w:customStyle="1">
    <w:name w:val="脚注文本 字符"/>
    <w:link w:val="717"/>
    <w:uiPriority w:val="99"/>
    <w:qFormat/>
    <w:rPr>
      <w:sz w:val="18"/>
    </w:rPr>
  </w:style>
  <w:style w:type="character" w:styleId="915" w:customStyle="1">
    <w:name w:val="尾注文本 字符"/>
    <w:link w:val="710"/>
    <w:uiPriority w:val="99"/>
    <w:qFormat/>
    <w:rPr>
      <w:sz w:val="20"/>
    </w:rPr>
  </w:style>
  <w:style w:type="paragraph" w:styleId="916" w:customStyle="1">
    <w:name w:val="TOC 标题1"/>
    <w:uiPriority w:val="39"/>
    <w:unhideWhenUsed/>
    <w:qFormat/>
    <w:rPr>
      <w:rFonts w:hint="default" w:ascii="Times New Roman" w:hAnsi="Times New Roman" w:eastAsia="宋体" w:cs="Times New Roman"/>
      <w:lang w:val="en-US" w:eastAsia="zh-CN" w:bidi="ar-SA"/>
    </w:rPr>
  </w:style>
  <w:style w:type="paragraph" w:styleId="917" w:customStyle="1">
    <w:name w:val="标题 11"/>
    <w:basedOn w:val="697"/>
    <w:next w:val="697"/>
    <w:link w:val="933"/>
    <w:uiPriority w:val="0"/>
    <w:qFormat/>
    <w:pPr>
      <w:jc w:val="center"/>
      <w:keepLines/>
      <w:keepNext/>
      <w:spacing w:line="578" w:lineRule="auto"/>
      <w:outlineLvl w:val="0"/>
    </w:pPr>
    <w:rPr>
      <w:rFonts w:eastAsia="新宋体"/>
      <w:b/>
      <w:bCs/>
      <w:sz w:val="30"/>
      <w:szCs w:val="44"/>
    </w:rPr>
  </w:style>
  <w:style w:type="paragraph" w:styleId="918" w:customStyle="1">
    <w:name w:val="标题 21"/>
    <w:basedOn w:val="697"/>
    <w:next w:val="697"/>
    <w:link w:val="960"/>
    <w:uiPriority w:val="0"/>
    <w:qFormat/>
    <w:pPr>
      <w:keepLines/>
      <w:keepNext/>
      <w:spacing w:before="260" w:after="260" w:line="416" w:lineRule="auto"/>
      <w:outlineLvl w:val="1"/>
    </w:pPr>
    <w:rPr>
      <w:rFonts w:ascii="Cambria" w:hAnsi="Cambria"/>
      <w:b/>
      <w:bCs/>
      <w:sz w:val="32"/>
      <w:szCs w:val="32"/>
    </w:rPr>
  </w:style>
  <w:style w:type="paragraph" w:styleId="919" w:customStyle="1">
    <w:name w:val="标题 31"/>
    <w:basedOn w:val="697"/>
    <w:next w:val="697"/>
    <w:link w:val="967"/>
    <w:uiPriority w:val="0"/>
    <w:qFormat/>
    <w:pPr>
      <w:keepLines/>
      <w:keepNext/>
      <w:spacing w:before="260" w:after="260" w:line="416" w:lineRule="auto"/>
      <w:outlineLvl w:val="2"/>
    </w:pPr>
    <w:rPr>
      <w:b/>
      <w:bCs/>
      <w:sz w:val="32"/>
      <w:szCs w:val="32"/>
    </w:rPr>
  </w:style>
  <w:style w:type="paragraph" w:styleId="920" w:customStyle="1">
    <w:name w:val="标题 411"/>
    <w:basedOn w:val="697"/>
    <w:next w:val="697"/>
    <w:link w:val="978"/>
    <w:uiPriority w:val="0"/>
    <w:qFormat/>
    <w:pPr>
      <w:keepLines/>
      <w:keepNext/>
      <w:spacing w:before="280" w:after="290" w:line="376" w:lineRule="auto"/>
      <w:outlineLvl w:val="3"/>
    </w:pPr>
    <w:rPr>
      <w:rFonts w:ascii="Cambria" w:hAnsi="Cambria"/>
      <w:b/>
      <w:bCs/>
      <w:sz w:val="28"/>
      <w:szCs w:val="28"/>
    </w:rPr>
  </w:style>
  <w:style w:type="paragraph" w:styleId="921" w:customStyle="1">
    <w:name w:val="标题 51"/>
    <w:basedOn w:val="697"/>
    <w:next w:val="697"/>
    <w:link w:val="973"/>
    <w:uiPriority w:val="0"/>
    <w:qFormat/>
    <w:pPr>
      <w:keepLines/>
      <w:keepNext/>
      <w:spacing w:before="280" w:after="290" w:line="376" w:lineRule="auto"/>
      <w:outlineLvl w:val="4"/>
    </w:pPr>
    <w:rPr>
      <w:b/>
      <w:bCs/>
      <w:sz w:val="28"/>
      <w:szCs w:val="28"/>
    </w:rPr>
  </w:style>
  <w:style w:type="paragraph" w:styleId="922" w:customStyle="1">
    <w:name w:val="标题 71"/>
    <w:basedOn w:val="697"/>
    <w:next w:val="697"/>
    <w:link w:val="959"/>
    <w:uiPriority w:val="0"/>
    <w:qFormat/>
    <w:pPr>
      <w:keepLines/>
      <w:keepNext/>
      <w:spacing w:before="240" w:after="64" w:line="320" w:lineRule="auto"/>
      <w:outlineLvl w:val="6"/>
    </w:pPr>
    <w:rPr>
      <w:rFonts w:ascii="Calibri" w:hAnsi="Calibri"/>
      <w:b/>
      <w:bCs/>
      <w:sz w:val="24"/>
    </w:rPr>
  </w:style>
  <w:style w:type="character" w:styleId="923" w:customStyle="1">
    <w:name w:val="默认段落字体1"/>
    <w:uiPriority w:val="0"/>
    <w:semiHidden/>
    <w:qFormat/>
  </w:style>
  <w:style w:type="table" w:styleId="924" w:customStyle="1">
    <w:name w:val="普通表格1"/>
    <w:uiPriority w:val="0"/>
    <w:semiHidden/>
    <w:qFormat/>
    <w:tblPr>
      <w:tblCellMar>
        <w:left w:w="0" w:type="dxa"/>
        <w:top w:w="0" w:type="dxa"/>
        <w:right w:w="0" w:type="dxa"/>
        <w:bottom w:w="0" w:type="dxa"/>
      </w:tblCellMar>
    </w:tblPr>
  </w:style>
  <w:style w:type="character" w:styleId="925" w:customStyle="1">
    <w:name w:val="页脚 字符"/>
    <w:link w:val="926"/>
    <w:uiPriority w:val="0"/>
    <w:qFormat/>
    <w:rPr>
      <w:sz w:val="18"/>
      <w:szCs w:val="18"/>
    </w:rPr>
  </w:style>
  <w:style w:type="paragraph" w:styleId="926" w:customStyle="1">
    <w:name w:val="页脚1"/>
    <w:basedOn w:val="697"/>
    <w:link w:val="925"/>
    <w:uiPriority w:val="0"/>
    <w:qFormat/>
    <w:pPr>
      <w:jc w:val="left"/>
      <w:tabs>
        <w:tab w:val="center" w:pos="4153" w:leader="none"/>
        <w:tab w:val="right" w:pos="8306" w:leader="none"/>
      </w:tabs>
    </w:pPr>
    <w:rPr>
      <w:sz w:val="18"/>
      <w:szCs w:val="18"/>
    </w:rPr>
  </w:style>
  <w:style w:type="character" w:styleId="927" w:customStyle="1">
    <w:name w:val="正文文本 Char"/>
    <w:uiPriority w:val="0"/>
    <w:qFormat/>
    <w:rPr>
      <w:sz w:val="21"/>
      <w:szCs w:val="24"/>
    </w:rPr>
  </w:style>
  <w:style w:type="character" w:styleId="928" w:customStyle="1">
    <w:name w:val="正文首行缩进 2 字符"/>
    <w:link w:val="929"/>
    <w:uiPriority w:val="0"/>
    <w:qFormat/>
    <w:rPr>
      <w:sz w:val="21"/>
      <w:szCs w:val="24"/>
    </w:rPr>
  </w:style>
  <w:style w:type="paragraph" w:styleId="929" w:customStyle="1">
    <w:name w:val="_Style 63"/>
    <w:basedOn w:val="930"/>
    <w:next w:val="697"/>
    <w:link w:val="928"/>
    <w:uiPriority w:val="0"/>
    <w:qFormat/>
    <w:pPr>
      <w:ind w:firstLine="420"/>
    </w:pPr>
    <w:rPr>
      <w:rFonts w:ascii="Times New Roman" w:hAnsi="Times New Roman"/>
    </w:rPr>
  </w:style>
  <w:style w:type="paragraph" w:styleId="930" w:customStyle="1">
    <w:name w:val="正文文本缩进11"/>
    <w:basedOn w:val="697"/>
    <w:link w:val="935"/>
    <w:uiPriority w:val="0"/>
    <w:qFormat/>
    <w:pPr>
      <w:ind w:left="420"/>
      <w:spacing w:after="120"/>
    </w:pPr>
    <w:rPr>
      <w:rFonts w:ascii="Calibri" w:hAnsi="Calibri"/>
    </w:rPr>
  </w:style>
  <w:style w:type="character" w:styleId="931" w:customStyle="1">
    <w:name w:val="正文缩进 字符"/>
    <w:link w:val="932"/>
    <w:uiPriority w:val="0"/>
    <w:qFormat/>
    <w:rPr>
      <w:sz w:val="21"/>
      <w:szCs w:val="24"/>
      <w:lang w:bidi="ar-SA"/>
    </w:rPr>
  </w:style>
  <w:style w:type="paragraph" w:styleId="932" w:customStyle="1">
    <w:name w:val="正文缩进1"/>
    <w:basedOn w:val="697"/>
    <w:link w:val="931"/>
    <w:uiPriority w:val="0"/>
    <w:qFormat/>
    <w:pPr>
      <w:ind w:firstLine="420"/>
    </w:pPr>
  </w:style>
  <w:style w:type="character" w:styleId="933" w:customStyle="1">
    <w:name w:val="标题 1 字符"/>
    <w:link w:val="917"/>
    <w:uiPriority w:val="0"/>
    <w:qFormat/>
    <w:rPr>
      <w:rFonts w:eastAsia="新宋体"/>
      <w:b/>
      <w:bCs/>
      <w:sz w:val="30"/>
      <w:szCs w:val="44"/>
    </w:rPr>
  </w:style>
  <w:style w:type="character" w:styleId="934" w:customStyle="1">
    <w:name w:val="正文文本首行缩进 2 字符"/>
    <w:basedOn w:val="935"/>
    <w:link w:val="936"/>
    <w:uiPriority w:val="0"/>
    <w:qFormat/>
    <w:rPr>
      <w:rFonts w:ascii="Calibri" w:hAnsi="Calibri"/>
      <w:sz w:val="21"/>
      <w:szCs w:val="24"/>
    </w:rPr>
  </w:style>
  <w:style w:type="character" w:styleId="935" w:customStyle="1">
    <w:name w:val="正文文本缩进 字符"/>
    <w:link w:val="930"/>
    <w:uiPriority w:val="0"/>
    <w:qFormat/>
    <w:rPr>
      <w:rFonts w:ascii="Calibri" w:hAnsi="Calibri"/>
      <w:sz w:val="21"/>
      <w:szCs w:val="24"/>
    </w:rPr>
  </w:style>
  <w:style w:type="paragraph" w:styleId="936" w:customStyle="1">
    <w:name w:val="正文首行缩进 22"/>
    <w:basedOn w:val="930"/>
    <w:link w:val="934"/>
    <w:uiPriority w:val="0"/>
    <w:qFormat/>
    <w:pPr>
      <w:ind w:firstLine="420"/>
    </w:pPr>
    <w:rPr>
      <w:rFonts w:ascii="Times New Roman" w:hAnsi="Times New Roman"/>
    </w:rPr>
  </w:style>
  <w:style w:type="character" w:styleId="937" w:customStyle="1">
    <w:name w:val="页脚 Char"/>
    <w:uiPriority w:val="0"/>
    <w:qFormat/>
    <w:rPr>
      <w:sz w:val="18"/>
      <w:szCs w:val="18"/>
    </w:rPr>
  </w:style>
  <w:style w:type="character" w:styleId="938" w:customStyle="1">
    <w:name w:val="页码1"/>
    <w:uiPriority w:val="0"/>
    <w:qFormat/>
  </w:style>
  <w:style w:type="character" w:styleId="939" w:customStyle="1">
    <w:name w:val="批注主题 字符"/>
    <w:link w:val="940"/>
    <w:uiPriority w:val="0"/>
    <w:qFormat/>
    <w:rPr>
      <w:b/>
      <w:bCs/>
      <w:sz w:val="21"/>
      <w:szCs w:val="24"/>
    </w:rPr>
  </w:style>
  <w:style w:type="paragraph" w:styleId="940" w:customStyle="1">
    <w:name w:val="批注主题1"/>
    <w:basedOn w:val="941"/>
    <w:next w:val="941"/>
    <w:link w:val="939"/>
    <w:uiPriority w:val="0"/>
    <w:qFormat/>
    <w:rPr>
      <w:b/>
      <w:bCs/>
    </w:rPr>
  </w:style>
  <w:style w:type="paragraph" w:styleId="941" w:customStyle="1">
    <w:name w:val="批注文字1"/>
    <w:basedOn w:val="697"/>
    <w:link w:val="958"/>
    <w:uiPriority w:val="0"/>
    <w:qFormat/>
    <w:pPr>
      <w:jc w:val="left"/>
    </w:pPr>
  </w:style>
  <w:style w:type="character" w:styleId="942" w:customStyle="1">
    <w:name w:val="超链接1"/>
    <w:uiPriority w:val="0"/>
    <w:qFormat/>
    <w:rPr>
      <w:color w:val="0000ff"/>
      <w:u w:val="single"/>
    </w:rPr>
  </w:style>
  <w:style w:type="character" w:styleId="943" w:customStyle="1">
    <w:name w:val="纯文本 Char"/>
    <w:uiPriority w:val="0"/>
    <w:semiHidden/>
    <w:qFormat/>
    <w:rPr>
      <w:rFonts w:ascii="宋体" w:hAnsi="Courier New" w:eastAsia="宋体"/>
      <w:sz w:val="21"/>
      <w:szCs w:val="21"/>
    </w:rPr>
  </w:style>
  <w:style w:type="character" w:styleId="944" w:customStyle="1">
    <w:name w:val="页眉 Char"/>
    <w:uiPriority w:val="0"/>
    <w:qFormat/>
    <w:rPr>
      <w:sz w:val="18"/>
      <w:szCs w:val="18"/>
    </w:rPr>
  </w:style>
  <w:style w:type="character" w:styleId="945" w:customStyle="1">
    <w:name w:val="apple-converted-space"/>
    <w:uiPriority w:val="0"/>
    <w:qFormat/>
  </w:style>
  <w:style w:type="character" w:styleId="946" w:customStyle="1">
    <w:name w:val="页眉 字符"/>
    <w:link w:val="947"/>
    <w:uiPriority w:val="0"/>
    <w:qFormat/>
    <w:rPr>
      <w:sz w:val="18"/>
      <w:szCs w:val="18"/>
    </w:rPr>
  </w:style>
  <w:style w:type="paragraph" w:styleId="947" w:customStyle="1">
    <w:name w:val="页眉1"/>
    <w:basedOn w:val="697"/>
    <w:link w:val="946"/>
    <w:uiPriority w:val="0"/>
    <w:qFormat/>
    <w:pPr>
      <w:jc w:val="center"/>
      <w:tabs>
        <w:tab w:val="center" w:pos="4153" w:leader="none"/>
        <w:tab w:val="right" w:pos="8306" w:leader="none"/>
      </w:tabs>
      <w:pBdr>
        <w:bottom w:val="single" w:color="000000" w:sz="6" w:space="1"/>
      </w:pBdr>
    </w:pPr>
    <w:rPr>
      <w:sz w:val="18"/>
      <w:szCs w:val="18"/>
    </w:rPr>
  </w:style>
  <w:style w:type="character" w:styleId="948" w:customStyle="1">
    <w:name w:val="要点1"/>
    <w:uiPriority w:val="0"/>
    <w:qFormat/>
    <w:rPr>
      <w:b/>
      <w:bCs/>
    </w:rPr>
  </w:style>
  <w:style w:type="character" w:styleId="949" w:customStyle="1">
    <w:name w:val="纯文本 Char1"/>
    <w:uiPriority w:val="0"/>
    <w:qFormat/>
    <w:rPr>
      <w:rFonts w:ascii="宋体" w:hAnsi="Courier New" w:eastAsia="宋体"/>
      <w:sz w:val="20"/>
      <w:szCs w:val="20"/>
    </w:rPr>
  </w:style>
  <w:style w:type="character" w:styleId="950" w:customStyle="1">
    <w:name w:val="标题 4 字符"/>
    <w:uiPriority w:val="0"/>
    <w:semiHidden/>
    <w:qFormat/>
    <w:rPr>
      <w:rFonts w:ascii="等线 Light" w:hAnsi="等线 Light" w:eastAsia="等线 Light"/>
      <w:b/>
      <w:bCs/>
      <w:sz w:val="28"/>
      <w:szCs w:val="28"/>
    </w:rPr>
  </w:style>
  <w:style w:type="character" w:styleId="951" w:customStyle="1">
    <w:name w:val="日期 Char"/>
    <w:link w:val="952"/>
    <w:uiPriority w:val="0"/>
    <w:qFormat/>
    <w:rPr>
      <w:rFonts w:eastAsia="仿宋_GB2312"/>
      <w:sz w:val="28"/>
    </w:rPr>
  </w:style>
  <w:style w:type="paragraph" w:styleId="952" w:customStyle="1">
    <w:name w:val="日期1"/>
    <w:basedOn w:val="697"/>
    <w:next w:val="697"/>
    <w:link w:val="951"/>
    <w:uiPriority w:val="0"/>
    <w:qFormat/>
    <w:rPr>
      <w:rFonts w:eastAsia="仿宋_GB2312"/>
      <w:sz w:val="28"/>
      <w:szCs w:val="20"/>
    </w:rPr>
  </w:style>
  <w:style w:type="character" w:styleId="953" w:customStyle="1">
    <w:name w:val="批注引用1"/>
    <w:uiPriority w:val="0"/>
    <w:qFormat/>
    <w:rPr>
      <w:sz w:val="21"/>
      <w:szCs w:val="21"/>
    </w:rPr>
  </w:style>
  <w:style w:type="character" w:styleId="954" w:customStyle="1">
    <w:name w:val="批注框文本 Char"/>
    <w:uiPriority w:val="0"/>
    <w:semiHidden/>
    <w:qFormat/>
    <w:rPr>
      <w:sz w:val="18"/>
      <w:szCs w:val="18"/>
    </w:rPr>
  </w:style>
  <w:style w:type="character" w:styleId="955" w:customStyle="1">
    <w:name w:val="强调1"/>
    <w:uiPriority w:val="0"/>
    <w:qFormat/>
    <w:rPr>
      <w:i/>
    </w:rPr>
  </w:style>
  <w:style w:type="character" w:styleId="956" w:customStyle="1">
    <w:name w:val="正文文本 字符"/>
    <w:link w:val="698"/>
    <w:uiPriority w:val="0"/>
    <w:qFormat/>
    <w:rPr>
      <w:rFonts w:ascii="Calibri" w:hAnsi="Calibri"/>
      <w:sz w:val="21"/>
      <w:szCs w:val="24"/>
    </w:rPr>
  </w:style>
  <w:style w:type="character" w:styleId="957" w:customStyle="1">
    <w:name w:val="标题 2 字符"/>
    <w:uiPriority w:val="0"/>
    <w:semiHidden/>
    <w:qFormat/>
    <w:rPr>
      <w:rFonts w:ascii="等线 Light" w:hAnsi="等线 Light" w:eastAsia="等线 Light"/>
      <w:b/>
      <w:bCs/>
      <w:sz w:val="32"/>
      <w:szCs w:val="32"/>
    </w:rPr>
  </w:style>
  <w:style w:type="character" w:styleId="958" w:customStyle="1">
    <w:name w:val="批注文字 字符"/>
    <w:link w:val="941"/>
    <w:uiPriority w:val="0"/>
    <w:qFormat/>
    <w:rPr>
      <w:sz w:val="21"/>
      <w:szCs w:val="24"/>
    </w:rPr>
  </w:style>
  <w:style w:type="character" w:styleId="959" w:customStyle="1">
    <w:name w:val="标题 7 字符"/>
    <w:link w:val="922"/>
    <w:uiPriority w:val="0"/>
    <w:semiHidden/>
    <w:qFormat/>
    <w:rPr>
      <w:rFonts w:ascii="Calibri" w:hAnsi="Calibri"/>
      <w:b/>
      <w:bCs/>
      <w:sz w:val="24"/>
      <w:szCs w:val="24"/>
    </w:rPr>
  </w:style>
  <w:style w:type="character" w:styleId="960" w:customStyle="1">
    <w:name w:val="标题 2 Char"/>
    <w:link w:val="918"/>
    <w:uiPriority w:val="0"/>
    <w:qFormat/>
    <w:rPr>
      <w:rFonts w:ascii="Cambria" w:hAnsi="Cambria"/>
      <w:b/>
      <w:bCs/>
      <w:sz w:val="32"/>
      <w:szCs w:val="32"/>
    </w:rPr>
  </w:style>
  <w:style w:type="character" w:styleId="961" w:customStyle="1">
    <w:name w:val="批注框文本 字符"/>
    <w:link w:val="962"/>
    <w:uiPriority w:val="0"/>
    <w:qFormat/>
    <w:rPr>
      <w:sz w:val="18"/>
      <w:szCs w:val="18"/>
    </w:rPr>
  </w:style>
  <w:style w:type="paragraph" w:styleId="962" w:customStyle="1">
    <w:name w:val="批注框文本1"/>
    <w:basedOn w:val="697"/>
    <w:link w:val="961"/>
    <w:uiPriority w:val="0"/>
    <w:qFormat/>
    <w:rPr>
      <w:sz w:val="18"/>
      <w:szCs w:val="18"/>
    </w:rPr>
  </w:style>
  <w:style w:type="character" w:styleId="963" w:customStyle="1">
    <w:name w:val="文档结构图 Char"/>
    <w:link w:val="964"/>
    <w:uiPriority w:val="0"/>
    <w:qFormat/>
    <w:rPr>
      <w:rFonts w:ascii="宋体" w:hAnsi="Calibri"/>
      <w:sz w:val="18"/>
      <w:szCs w:val="18"/>
    </w:rPr>
  </w:style>
  <w:style w:type="paragraph" w:styleId="964" w:customStyle="1">
    <w:name w:val="文档结构图1"/>
    <w:basedOn w:val="697"/>
    <w:link w:val="963"/>
    <w:uiPriority w:val="0"/>
    <w:qFormat/>
    <w:rPr>
      <w:rFonts w:ascii="宋体" w:hAnsi="Calibri"/>
      <w:sz w:val="18"/>
      <w:szCs w:val="18"/>
    </w:rPr>
  </w:style>
  <w:style w:type="character" w:styleId="965" w:customStyle="1">
    <w:name w:val="标题 1 Char"/>
    <w:uiPriority w:val="0"/>
    <w:qFormat/>
    <w:rPr>
      <w:b/>
      <w:bCs/>
      <w:sz w:val="44"/>
      <w:szCs w:val="44"/>
    </w:rPr>
  </w:style>
  <w:style w:type="character" w:styleId="966" w:customStyle="1">
    <w:name w:val="文档结构图 字符"/>
    <w:uiPriority w:val="0"/>
    <w:qFormat/>
    <w:rPr>
      <w:rFonts w:ascii="Microsoft YaHei UI" w:eastAsia="Microsoft YaHei UI"/>
      <w:sz w:val="18"/>
      <w:szCs w:val="18"/>
    </w:rPr>
  </w:style>
  <w:style w:type="character" w:styleId="967" w:customStyle="1">
    <w:name w:val="标题 3 字符"/>
    <w:link w:val="919"/>
    <w:uiPriority w:val="0"/>
    <w:semiHidden/>
    <w:qFormat/>
    <w:rPr>
      <w:b/>
      <w:bCs/>
      <w:sz w:val="32"/>
      <w:szCs w:val="32"/>
    </w:rPr>
  </w:style>
  <w:style w:type="character" w:styleId="968" w:customStyle="1">
    <w:name w:val="标题 3 Char"/>
    <w:uiPriority w:val="0"/>
    <w:qFormat/>
    <w:rPr>
      <w:rFonts w:ascii="Arial" w:hAnsi="Arial" w:eastAsia="宋体"/>
      <w:b/>
      <w:sz w:val="32"/>
      <w:szCs w:val="20"/>
    </w:rPr>
  </w:style>
  <w:style w:type="character" w:styleId="969" w:customStyle="1">
    <w:name w:val="正文文本缩进 2 字符"/>
    <w:link w:val="970"/>
    <w:uiPriority w:val="0"/>
    <w:qFormat/>
    <w:rPr>
      <w:rFonts w:ascii="仿宋_GB2312" w:eastAsia="仿宋_GB2312"/>
      <w:sz w:val="24"/>
      <w:szCs w:val="24"/>
      <w:lang w:bidi="ar-SA"/>
    </w:rPr>
  </w:style>
  <w:style w:type="paragraph" w:styleId="970" w:customStyle="1">
    <w:name w:val="正文文本缩进 21"/>
    <w:basedOn w:val="697"/>
    <w:link w:val="969"/>
    <w:uiPriority w:val="0"/>
    <w:qFormat/>
    <w:pPr>
      <w:ind w:firstLine="475"/>
      <w:spacing w:line="10" w:lineRule="atLeast"/>
    </w:pPr>
    <w:rPr>
      <w:rFonts w:ascii="仿宋_GB2312" w:eastAsia="仿宋_GB2312"/>
      <w:sz w:val="24"/>
    </w:rPr>
  </w:style>
  <w:style w:type="character" w:styleId="971" w:customStyle="1">
    <w:name w:val="纯文本 字符"/>
    <w:link w:val="972"/>
    <w:uiPriority w:val="0"/>
    <w:qFormat/>
    <w:rPr>
      <w:rFonts w:ascii="宋体" w:hAnsi="Courier New"/>
      <w:sz w:val="21"/>
    </w:rPr>
  </w:style>
  <w:style w:type="paragraph" w:styleId="972" w:customStyle="1">
    <w:name w:val="纯文本1"/>
    <w:basedOn w:val="697"/>
    <w:link w:val="971"/>
    <w:uiPriority w:val="0"/>
    <w:qFormat/>
    <w:rPr>
      <w:rFonts w:ascii="宋体" w:hAnsi="Courier New"/>
      <w:sz w:val="20"/>
      <w:szCs w:val="20"/>
    </w:rPr>
  </w:style>
  <w:style w:type="character" w:styleId="973" w:customStyle="1">
    <w:name w:val="标题 5 字符"/>
    <w:link w:val="921"/>
    <w:uiPriority w:val="0"/>
    <w:semiHidden/>
    <w:qFormat/>
    <w:rPr>
      <w:b/>
      <w:bCs/>
      <w:sz w:val="28"/>
      <w:szCs w:val="28"/>
    </w:rPr>
  </w:style>
  <w:style w:type="character" w:styleId="974" w:customStyle="1">
    <w:name w:val="正文首行缩进 字符"/>
    <w:link w:val="975"/>
    <w:uiPriority w:val="0"/>
    <w:qFormat/>
    <w:rPr>
      <w:rFonts w:ascii="仿宋_GB2312" w:hAnsi="Times New Roman" w:eastAsia="仿宋_GB2312"/>
      <w:sz w:val="30"/>
      <w:szCs w:val="30"/>
    </w:rPr>
  </w:style>
  <w:style w:type="paragraph" w:styleId="975" w:customStyle="1">
    <w:name w:val="正文首行缩进1"/>
    <w:basedOn w:val="698"/>
    <w:link w:val="974"/>
    <w:uiPriority w:val="0"/>
    <w:qFormat/>
    <w:pPr>
      <w:ind w:firstLine="420"/>
    </w:pPr>
    <w:rPr>
      <w:rFonts w:ascii="仿宋_GB2312" w:hAnsi="Times New Roman" w:eastAsia="仿宋_GB2312"/>
      <w:sz w:val="30"/>
      <w:szCs w:val="30"/>
    </w:rPr>
  </w:style>
  <w:style w:type="character" w:styleId="976" w:customStyle="1">
    <w:name w:val="NormalCharacter"/>
    <w:uiPriority w:val="0"/>
    <w:semiHidden/>
    <w:qFormat/>
    <w:rPr>
      <w:sz w:val="28"/>
      <w:lang w:val="en-US" w:eastAsia="zh-CN" w:bidi="ar-SA"/>
    </w:rPr>
  </w:style>
  <w:style w:type="character" w:styleId="977" w:customStyle="1">
    <w:name w:val="正文文本首行缩进 字符"/>
    <w:basedOn w:val="956"/>
    <w:link w:val="697"/>
    <w:uiPriority w:val="0"/>
    <w:qFormat/>
    <w:rPr>
      <w:rFonts w:ascii="Calibri" w:hAnsi="Calibri"/>
      <w:sz w:val="21"/>
      <w:szCs w:val="24"/>
    </w:rPr>
  </w:style>
  <w:style w:type="character" w:styleId="978" w:customStyle="1">
    <w:name w:val="标题 4 Char"/>
    <w:link w:val="920"/>
    <w:uiPriority w:val="0"/>
    <w:semiHidden/>
    <w:qFormat/>
    <w:rPr>
      <w:rFonts w:ascii="Cambria" w:hAnsi="Cambria"/>
      <w:b/>
      <w:bCs/>
      <w:sz w:val="28"/>
      <w:szCs w:val="28"/>
    </w:rPr>
  </w:style>
  <w:style w:type="paragraph" w:styleId="979" w:customStyle="1">
    <w:name w:val="_Style 15"/>
    <w:basedOn w:val="697"/>
    <w:next w:val="980"/>
    <w:uiPriority w:val="0"/>
    <w:qFormat/>
    <w:pPr>
      <w:ind w:firstLine="420"/>
    </w:pPr>
    <w:rPr>
      <w:rFonts w:ascii="Calibri" w:hAnsi="Calibri"/>
      <w:sz w:val="22"/>
      <w:szCs w:val="22"/>
    </w:rPr>
  </w:style>
  <w:style w:type="paragraph" w:styleId="980" w:customStyle="1">
    <w:name w:val="列表段落2"/>
    <w:basedOn w:val="697"/>
    <w:uiPriority w:val="0"/>
    <w:qFormat/>
    <w:pPr>
      <w:ind w:firstLine="420"/>
    </w:pPr>
  </w:style>
  <w:style w:type="paragraph" w:styleId="981" w:customStyle="1">
    <w:name w:val="_Style 8"/>
    <w:basedOn w:val="697"/>
    <w:next w:val="980"/>
    <w:uiPriority w:val="0"/>
    <w:qFormat/>
    <w:pPr>
      <w:ind w:firstLine="420"/>
    </w:pPr>
    <w:rPr>
      <w:rFonts w:ascii="Calibri" w:hAnsi="Calibri"/>
    </w:rPr>
  </w:style>
  <w:style w:type="paragraph" w:styleId="982" w:customStyle="1">
    <w:name w:val="普通(网站)1"/>
    <w:basedOn w:val="697"/>
    <w:uiPriority w:val="0"/>
    <w:qFormat/>
    <w:pPr>
      <w:jc w:val="left"/>
      <w:spacing w:before="100" w:beforeAutospacing="1" w:after="100" w:afterAutospacing="1"/>
      <w:widowControl/>
    </w:pPr>
    <w:rPr>
      <w:rFonts w:ascii="宋体" w:hAnsi="宋体"/>
      <w:sz w:val="24"/>
    </w:rPr>
  </w:style>
  <w:style w:type="paragraph" w:styleId="983" w:customStyle="1">
    <w:name w:val="p0"/>
    <w:basedOn w:val="697"/>
    <w:uiPriority w:val="0"/>
    <w:qFormat/>
    <w:pPr>
      <w:widowControl/>
    </w:pPr>
    <w:rPr>
      <w:szCs w:val="21"/>
    </w:rPr>
  </w:style>
  <w:style w:type="paragraph" w:styleId="984" w:customStyle="1">
    <w:name w:val="投标文件正文"/>
    <w:basedOn w:val="697"/>
    <w:uiPriority w:val="0"/>
    <w:qFormat/>
    <w:pPr>
      <w:ind w:firstLine="200"/>
      <w:spacing w:before="40" w:after="40" w:line="400" w:lineRule="exact"/>
    </w:pPr>
    <w:rPr>
      <w:sz w:val="24"/>
    </w:rPr>
  </w:style>
  <w:style w:type="paragraph" w:styleId="985" w:customStyle="1">
    <w:name w:val="TOC 标题2"/>
    <w:basedOn w:val="917"/>
    <w:next w:val="697"/>
    <w:uiPriority w:val="0"/>
    <w:qFormat/>
    <w:pPr>
      <w:jc w:val="left"/>
      <w:spacing w:before="480" w:line="276" w:lineRule="auto"/>
      <w:widowControl/>
      <w:outlineLvl w:val="9"/>
    </w:pPr>
    <w:rPr>
      <w:rFonts w:ascii="Cambria" w:hAnsi="Cambria" w:eastAsia="宋体"/>
      <w:color w:val="365f91"/>
      <w:sz w:val="28"/>
      <w:szCs w:val="28"/>
    </w:rPr>
  </w:style>
  <w:style w:type="paragraph" w:styleId="986" w:customStyle="1">
    <w:name w:val="文本块11"/>
    <w:basedOn w:val="697"/>
    <w:uiPriority w:val="0"/>
    <w:qFormat/>
    <w:pPr>
      <w:ind w:left="420" w:right="33"/>
      <w:jc w:val="left"/>
    </w:pPr>
    <w:rPr>
      <w:sz w:val="24"/>
      <w:szCs w:val="20"/>
    </w:rPr>
  </w:style>
  <w:style w:type="paragraph" w:styleId="987" w:customStyle="1">
    <w:name w:val="UserStyle_1"/>
    <w:basedOn w:val="697"/>
    <w:uiPriority w:val="0"/>
    <w:qFormat/>
    <w:pPr>
      <w:ind w:left="-6" w:hanging="99"/>
      <w:jc w:val="left"/>
    </w:pPr>
    <w:rPr>
      <w:rFonts w:ascii="宋体"/>
      <w:b/>
    </w:rPr>
  </w:style>
  <w:style w:type="paragraph" w:styleId="988" w:customStyle="1">
    <w:name w:val="标题 41"/>
    <w:basedOn w:val="989"/>
    <w:next w:val="989"/>
    <w:uiPriority w:val="0"/>
    <w:qFormat/>
    <w:pPr>
      <w:keepLines/>
      <w:keepNext/>
      <w:spacing w:before="280" w:after="290" w:line="376" w:lineRule="auto"/>
      <w:outlineLvl w:val="3"/>
    </w:pPr>
    <w:rPr>
      <w:rFonts w:ascii="Cambria" w:hAnsi="Cambria"/>
      <w:b/>
      <w:bCs/>
      <w:sz w:val="28"/>
      <w:szCs w:val="28"/>
    </w:rPr>
  </w:style>
  <w:style w:type="paragraph" w:styleId="989" w:customStyle="1">
    <w:name w:val="正文1"/>
    <w:next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脚注文本1"/>
    <w:basedOn w:val="989"/>
    <w:next w:val="991"/>
    <w:uiPriority w:val="0"/>
    <w:qFormat/>
    <w:pPr>
      <w:jc w:val="left"/>
    </w:pPr>
    <w:rPr>
      <w:rFonts w:ascii="宋体" w:eastAsia="Times New Roman"/>
      <w:sz w:val="18"/>
      <w:szCs w:val="18"/>
    </w:rPr>
  </w:style>
  <w:style w:type="paragraph" w:styleId="991" w:customStyle="1">
    <w:name w:val="索引 51"/>
    <w:basedOn w:val="989"/>
    <w:next w:val="989"/>
    <w:uiPriority w:val="0"/>
    <w:qFormat/>
    <w:pPr>
      <w:ind w:left="798"/>
      <w:jc w:val="left"/>
    </w:pPr>
    <w:rPr>
      <w:rFonts w:ascii="Calibri" w:hAnsi="Calibri"/>
    </w:rPr>
  </w:style>
  <w:style w:type="paragraph" w:styleId="992" w:customStyle="1">
    <w:name w:val="正文首行缩进 21"/>
    <w:basedOn w:val="993"/>
    <w:uiPriority w:val="0"/>
    <w:qFormat/>
    <w:pPr>
      <w:ind w:firstLine="420"/>
    </w:pPr>
  </w:style>
  <w:style w:type="paragraph" w:styleId="993" w:customStyle="1">
    <w:name w:val="正文文本缩进1"/>
    <w:basedOn w:val="989"/>
    <w:uiPriority w:val="0"/>
    <w:qFormat/>
    <w:pPr>
      <w:ind w:left="420"/>
      <w:spacing w:after="120"/>
    </w:pPr>
    <w:rPr>
      <w:rFonts w:ascii="Calibri" w:hAnsi="Calibri"/>
    </w:rPr>
  </w:style>
  <w:style w:type="paragraph" w:styleId="994" w:customStyle="1">
    <w:name w:val="无间隔1"/>
    <w:uiPriority w:val="0"/>
    <w:qFormat/>
    <w:rPr>
      <w:rFonts w:hint="default" w:ascii="Times New Roman" w:hAnsi="Times New Roman" w:eastAsia="宋体" w:cs="Times New Roman"/>
      <w:lang w:val="en-US" w:eastAsia="zh-CN" w:bidi="ar-SA"/>
    </w:rPr>
  </w:style>
  <w:style w:type="paragraph" w:styleId="99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9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7" w:customStyle="1">
    <w:name w:val="Other|1"/>
    <w:basedOn w:val="697"/>
    <w:uiPriority w:val="0"/>
    <w:qFormat/>
    <w:pPr>
      <w:ind w:firstLine="400"/>
      <w:spacing w:line="418" w:lineRule="auto"/>
    </w:pPr>
    <w:rPr>
      <w:rFonts w:ascii="宋体" w:hAnsi="宋体"/>
      <w:sz w:val="30"/>
      <w:szCs w:val="30"/>
      <w:lang w:val="zh-TW" w:eastAsia="zh-TW" w:bidi="zh-TW"/>
    </w:rPr>
  </w:style>
  <w:style w:type="paragraph" w:styleId="998" w:customStyle="1">
    <w:name w:val="章标题"/>
    <w:next w:val="69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9" w:customStyle="1">
    <w:name w:val="HTML 预设格式1"/>
    <w:basedOn w:val="69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bidi="en-US"/>
    </w:rPr>
  </w:style>
  <w:style w:type="paragraph" w:styleId="1000" w:customStyle="1">
    <w:name w:val="脚注文本11"/>
    <w:basedOn w:val="697"/>
    <w:next w:val="1001"/>
    <w:uiPriority w:val="0"/>
    <w:qFormat/>
    <w:pPr>
      <w:jc w:val="left"/>
    </w:pPr>
    <w:rPr>
      <w:rFonts w:ascii="宋体" w:eastAsia="Times New Roman"/>
      <w:sz w:val="18"/>
      <w:szCs w:val="18"/>
    </w:rPr>
  </w:style>
  <w:style w:type="paragraph" w:styleId="1001" w:customStyle="1">
    <w:name w:val="索引 511"/>
    <w:basedOn w:val="697"/>
    <w:next w:val="697"/>
    <w:uiPriority w:val="0"/>
    <w:qFormat/>
    <w:pPr>
      <w:ind w:left="798"/>
      <w:jc w:val="left"/>
    </w:pPr>
    <w:rPr>
      <w:rFonts w:ascii="Calibri" w:hAnsi="Calibri"/>
    </w:rPr>
  </w:style>
  <w:style w:type="paragraph" w:styleId="1002" w:customStyle="1">
    <w:name w:val="BodyTextIndent"/>
    <w:basedOn w:val="697"/>
    <w:uiPriority w:val="0"/>
    <w:qFormat/>
    <w:pPr>
      <w:ind w:left="420"/>
      <w:spacing w:after="120"/>
    </w:pPr>
    <w:rPr>
      <w:sz w:val="28"/>
      <w:szCs w:val="20"/>
    </w:rPr>
  </w:style>
  <w:style w:type="paragraph" w:styleId="1003" w:customStyle="1">
    <w:name w:val="寄信人地址1"/>
    <w:basedOn w:val="697"/>
    <w:uiPriority w:val="0"/>
    <w:qFormat/>
    <w:rPr>
      <w:rFonts w:ascii="Arial" w:hAnsi="Arial"/>
    </w:rPr>
  </w:style>
  <w:style w:type="paragraph" w:styleId="1004" w:customStyle="1">
    <w:name w:val="首行缩进"/>
    <w:basedOn w:val="697"/>
    <w:uiPriority w:val="0"/>
    <w:qFormat/>
    <w:pPr>
      <w:ind w:firstLine="480"/>
    </w:pPr>
    <w:rPr>
      <w:sz w:val="20"/>
      <w:szCs w:val="20"/>
      <w:lang w:val="zh-CN"/>
    </w:rPr>
  </w:style>
  <w:style w:type="paragraph" w:styleId="1005" w:customStyle="1">
    <w:name w:val="一级条标题"/>
    <w:basedOn w:val="998"/>
    <w:next w:val="768"/>
    <w:uiPriority w:val="0"/>
    <w:qFormat/>
    <w:pPr>
      <w:ind w:left="907" w:hanging="907"/>
      <w:spacing w:before="0" w:after="0"/>
      <w:tabs>
        <w:tab w:val="left" w:pos="907" w:leader="none"/>
      </w:tabs>
      <w:outlineLvl w:val="2"/>
    </w:pPr>
    <w:rPr>
      <w:rFonts w:hAnsi="宋体"/>
      <w:sz w:val="20"/>
      <w:szCs w:val="20"/>
    </w:rPr>
  </w:style>
  <w:style w:type="paragraph" w:styleId="1006" w:customStyle="1">
    <w:name w:val="目录 11"/>
    <w:basedOn w:val="697"/>
    <w:next w:val="697"/>
    <w:uiPriority w:val="0"/>
    <w:qFormat/>
  </w:style>
  <w:style w:type="paragraph" w:styleId="1007" w:customStyle="1">
    <w:name w:val="索引 41"/>
    <w:basedOn w:val="697"/>
    <w:next w:val="697"/>
    <w:uiPriority w:val="0"/>
    <w:qFormat/>
    <w:pPr>
      <w:ind w:left="600"/>
    </w:pPr>
    <w:rPr>
      <w:rFonts w:ascii="Calibri" w:hAnsi="Calibri"/>
      <w:sz w:val="22"/>
      <w:szCs w:val="22"/>
    </w:rPr>
  </w:style>
  <w:style w:type="paragraph" w:styleId="1008" w:customStyle="1">
    <w:name w:val="179"/>
    <w:basedOn w:val="697"/>
    <w:uiPriority w:val="0"/>
    <w:qFormat/>
    <w:pPr>
      <w:ind w:firstLine="420"/>
      <w:jc w:val="left"/>
      <w:widowControl/>
    </w:pPr>
    <w:rPr>
      <w:rFonts w:ascii="宋体" w:hAnsi="宋体"/>
      <w:sz w:val="24"/>
    </w:rPr>
  </w:style>
  <w:style w:type="paragraph" w:styleId="1009" w:customStyle="1">
    <w:name w:val="one-p"/>
    <w:basedOn w:val="697"/>
    <w:uiPriority w:val="0"/>
    <w:qFormat/>
    <w:pPr>
      <w:jc w:val="left"/>
      <w:spacing w:before="100" w:beforeAutospacing="1" w:after="100" w:afterAutospacing="1"/>
      <w:widowControl/>
    </w:pPr>
    <w:rPr>
      <w:rFonts w:ascii="宋体" w:hAnsi="宋体"/>
      <w:sz w:val="24"/>
    </w:rPr>
  </w:style>
  <w:style w:type="paragraph" w:styleId="1010" w:customStyle="1">
    <w:name w:val="文本块1"/>
    <w:basedOn w:val="989"/>
    <w:next w:val="988"/>
    <w:uiPriority w:val="0"/>
    <w:qFormat/>
    <w:pPr>
      <w:ind w:left="1440" w:right="1440"/>
      <w:spacing w:after="120"/>
    </w:pPr>
  </w:style>
  <w:style w:type="paragraph" w:styleId="1011" w:customStyle="1">
    <w:name w:val="列出段落1"/>
    <w:basedOn w:val="697"/>
    <w:uiPriority w:val="0"/>
    <w:qFormat/>
    <w:pPr>
      <w:ind w:firstLine="420"/>
    </w:pPr>
    <w:rPr>
      <w:rFonts w:ascii="Calibri" w:hAnsi="Calibri"/>
    </w:rPr>
  </w:style>
  <w:style w:type="table" w:styleId="1012" w:customStyle="1">
    <w:name w:val="网格型11"/>
    <w:basedOn w:val="924"/>
    <w:uiPriority w:val="0"/>
    <w:qFormat/>
    <w:pPr>
      <w:jc w:val="both"/>
      <w:widowControl w:val="off"/>
    </w:pPr>
    <w:tblPr>
      <w:tblCellMar>
        <w:left w:w="0" w:type="dxa"/>
        <w:top w:w="0" w:type="dxa"/>
        <w:right w:w="0" w:type="dxa"/>
        <w:bottom w:w="0" w:type="dxa"/>
      </w:tblCellMar>
    </w:tblPr>
  </w:style>
  <w:style w:type="table" w:styleId="1013" w:customStyle="1">
    <w:name w:val="网格型1"/>
    <w:basedOn w:val="924"/>
    <w:uiPriority w:val="0"/>
    <w:qFormat/>
    <w:pPr>
      <w:jc w:val="both"/>
      <w:widowControl w:val="off"/>
    </w:pPr>
    <w:tblPr>
      <w:tblCellMar>
        <w:left w:w="0" w:type="dxa"/>
        <w:top w:w="0" w:type="dxa"/>
        <w:right w:w="0" w:type="dxa"/>
        <w:bottom w:w="0" w:type="dxa"/>
      </w:tblCellMar>
    </w:tblPr>
  </w:style>
  <w:style w:type="paragraph" w:styleId="1014" w:customStyle="1">
    <w:name w:val="纯文本2"/>
    <w:basedOn w:val="684"/>
    <w:uiPriority w:val="0"/>
    <w:qFormat/>
    <w:rPr>
      <w:rFonts w:ascii="宋体" w:hAnsi="Courier New"/>
    </w:rPr>
  </w:style>
  <w:style w:type="paragraph" w:styleId="1015" w:customStyle="1">
    <w:name w:val="纯文本21"/>
    <w:basedOn w:val="684"/>
    <w:uiPriority w:val="0"/>
    <w:qFormat/>
    <w:rPr>
      <w:rFonts w:ascii="宋体" w:hAnsi="Courier New"/>
    </w:rPr>
  </w:style>
  <w:style w:type="table" w:styleId="1016" w:customStyle="1">
    <w:name w:val="Table Normal"/>
    <w:uiPriority w:val="0"/>
    <w:semiHidden/>
    <w:unhideWhenUsed/>
    <w:qFormat/>
    <w:tblPr>
      <w:tblCellMar>
        <w:left w:w="0" w:type="dxa"/>
        <w:top w:w="0" w:type="dxa"/>
        <w:right w:w="0" w:type="dxa"/>
        <w:bottom w:w="0" w:type="dxa"/>
      </w:tblCellMar>
    </w:tblPr>
  </w:style>
  <w:style w:type="paragraph" w:styleId="101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18" w:customStyle="1">
    <w:name w:val="批注文字 字符1"/>
    <w:basedOn w:val="694"/>
    <w:link w:val="702"/>
    <w:uiPriority w:val="99"/>
    <w:semiHidden/>
    <w:qFormat/>
  </w:style>
  <w:style w:type="character" w:styleId="1019" w:customStyle="1">
    <w:name w:val="批注主题 字符1"/>
    <w:link w:val="724"/>
    <w:uiPriority w:val="99"/>
    <w:semiHidden/>
    <w:qFormat/>
    <w:rPr>
      <w:b/>
      <w:bCs/>
    </w:rPr>
  </w:style>
  <w:style w:type="paragraph" w:styleId="1020" w:customStyle="1">
    <w:name w:val="信息标题1"/>
    <w:basedOn w:val="684"/>
    <w:next w:val="102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21" w:customStyle="1">
    <w:name w:val="正文文本12"/>
    <w:basedOn w:val="684"/>
    <w:next w:val="684"/>
    <w:uiPriority w:val="99"/>
    <w:qFormat/>
    <w:pPr>
      <w:spacing w:after="120"/>
    </w:pPr>
  </w:style>
  <w:style w:type="character" w:styleId="1022" w:customStyle="1">
    <w:name w:val="wyg1"/>
    <w:link w:val="684"/>
    <w:uiPriority w:val="6"/>
    <w:qFormat/>
    <w:rPr>
      <w:rFonts w:hint="default" w:ascii="Times New Roman" w:hAnsi="Times New Roman" w:eastAsia="宋体" w:cs="Times New Roman"/>
      <w:lang w:val="en-US" w:eastAsia="zh-CN" w:bidi="ar-SA"/>
    </w:rPr>
  </w:style>
  <w:style w:type="paragraph" w:styleId="1023" w:customStyle="1">
    <w:name w:val="正文缩进11"/>
    <w:basedOn w:val="684"/>
    <w:uiPriority w:val="0"/>
    <w:unhideWhenUsed/>
    <w:qFormat/>
    <w:pPr>
      <w:ind w:firstLine="420"/>
    </w:pPr>
  </w:style>
  <w:style w:type="paragraph" w:styleId="1024" w:customStyle="1">
    <w:name w:val="列表段落"/>
    <w:basedOn w:val="684"/>
    <w:uiPriority w:val="34"/>
    <w:qFormat/>
    <w:pPr>
      <w:contextualSpacing/>
      <w:ind w:left="720"/>
    </w:pPr>
  </w:style>
  <w:style w:type="paragraph" w:styleId="1025" w:customStyle="1">
    <w:name w:val="Body text|21"/>
    <w:basedOn w:val="684"/>
    <w:uiPriority w:val="0"/>
    <w:qFormat/>
    <w:pPr>
      <w:spacing w:before="500" w:after="260" w:line="200" w:lineRule="exact"/>
      <w:shd w:val="clear" w:color="auto" w:fill="ffffff"/>
    </w:pPr>
    <w:rPr>
      <w:rFonts w:ascii="PMingLiU" w:hAnsi="PMingLiU" w:eastAsia="PMingLiU" w:cs="PMingLiU"/>
      <w:spacing w:val="10"/>
      <w:sz w:val="20"/>
      <w:szCs w:val="20"/>
    </w:rPr>
  </w:style>
  <w:style w:type="character" w:styleId="1026" w:customStyle="1">
    <w:name w:val="fontstyle01"/>
    <w:basedOn w:val="694"/>
    <w:uiPriority w:val="0"/>
    <w:qFormat/>
    <w:rPr>
      <w:rFonts w:hint="eastAsia" w:ascii="宋体" w:hAnsi="宋体" w:eastAsia="宋体"/>
      <w:color w:val="000000"/>
      <w:sz w:val="24"/>
      <w:szCs w:val="24"/>
    </w:rPr>
  </w:style>
  <w:style w:type="numbering" w:styleId="8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朱志云</dc:creator>
  <cp:lastModifiedBy>朱志云</cp:lastModifiedBy>
  <cp:revision>10</cp:revision>
  <dcterms:created xsi:type="dcterms:W3CDTF">2022-08-28T12:11:00Z</dcterms:created>
  <dcterms:modified xsi:type="dcterms:W3CDTF">2026-10-14T07:38:29Z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09730CF8C4D744A4A887DD60753BF6F9_13</vt:lpwstr>
  </property>
  <property fmtid="{D5CDD505-2E9C-101B-9397-08002B2CF9AE}" pid="4" name="KSOTemplateDocerSaveRecord">
    <vt:lpwstr>eyJoZGlkIjoiMDgzM2JjOTYzZjVkZjI3NDFmYmZmZDgxMjU4NThiNzEiLCJ1c2VySWQiOiIzMDYyODI0MDcifQ==</vt:lpwstr>
  </property>
</Properties>
</file>