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hint="eastAsia" w:ascii="宋体" w:hAnsi="宋体"/>
          <w:b/>
          <w:bCs/>
          <w:color w:val="auto"/>
          <w:sz w:val="60"/>
          <w:szCs w:val="60"/>
          <w:highlight w:val="none"/>
        </w:rPr>
      </w:pPr>
      <w:r>
        <w:rPr>
          <w:rFonts w:hint="eastAsia" w:ascii="宋体" w:hAnsi="宋体"/>
          <w:b/>
          <w:bCs/>
          <w:color w:val="auto"/>
          <w:sz w:val="60"/>
          <w:szCs w:val="60"/>
          <w:highlight w:val="none"/>
        </w:rPr>
      </w:r>
      <w:r/>
    </w:p>
    <w:p>
      <w:pPr>
        <w:pStyle w:val="1037"/>
        <w:rPr>
          <w:rFonts w:hint="eastAsia"/>
          <w:color w:val="auto"/>
          <w:highlight w:val="none"/>
        </w:rPr>
      </w:pPr>
      <w:r>
        <w:rPr>
          <w:rFonts w:hint="eastAsia"/>
          <w:color w:val="auto"/>
          <w:highlight w:val="none"/>
        </w:rPr>
      </w:r>
      <w:r/>
    </w:p>
    <w:p>
      <w:pPr>
        <w:pStyle w:val="103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2"/>
        <w:ind w:firstLine="210"/>
        <w:rPr>
          <w:color w:val="auto"/>
          <w:highlight w:val="none"/>
        </w:rPr>
      </w:pPr>
      <w:r>
        <w:rPr>
          <w:color w:val="auto"/>
          <w:highlight w:val="none"/>
        </w:rPr>
        <w:tab/>
      </w:r>
      <w:r/>
    </w:p>
    <w:p>
      <w:pPr>
        <w:ind w:left="2007" w:hanging="1280"/>
        <w:jc w:val="left"/>
        <w:spacing w:line="360" w:lineRule="auto"/>
        <w:tabs>
          <w:tab w:val="left" w:pos="5609" w:leader="none"/>
        </w:tabs>
        <w:rPr>
          <w:bCs/>
          <w:color w:val="auto"/>
          <w:sz w:val="32"/>
          <w:szCs w:val="36"/>
          <w:highlight w:val="none"/>
        </w:rPr>
      </w:pPr>
      <w:r>
        <w:rPr>
          <w:bCs/>
          <w:color w:val="auto"/>
          <w:sz w:val="32"/>
          <w:szCs w:val="36"/>
          <w:highlight w:val="none"/>
        </w:rPr>
        <w:t xml:space="preserve">项目名称</w:t>
      </w:r>
      <w:r>
        <w:rPr>
          <w:rFonts w:hint="eastAsia"/>
          <w:bCs/>
          <w:color w:val="auto"/>
          <w:sz w:val="32"/>
          <w:szCs w:val="36"/>
          <w:highlight w:val="none"/>
        </w:rPr>
        <w:t xml:space="preserve">：常州市美丽河湖保护与建设项目绩效评估与验收技术服务项目</w:t>
      </w:r>
      <w:r/>
    </w:p>
    <w:p>
      <w:pPr>
        <w:ind w:left="1687" w:hanging="960"/>
        <w:jc w:val="left"/>
        <w:spacing w:line="360" w:lineRule="auto"/>
        <w:tabs>
          <w:tab w:val="left" w:pos="5609" w:leader="none"/>
        </w:tabs>
        <w:rPr>
          <w:bCs/>
          <w:color w:val="auto"/>
          <w:sz w:val="32"/>
          <w:szCs w:val="36"/>
          <w:highlight w:val="none"/>
        </w:rPr>
      </w:pPr>
      <w:r>
        <w:rPr>
          <w:bCs/>
          <w:color w:val="auto"/>
          <w:sz w:val="32"/>
          <w:szCs w:val="36"/>
          <w:highlight w:val="none"/>
        </w:rPr>
        <w:t xml:space="preserve">项目编号：</w:t>
      </w:r>
      <w:r>
        <w:rPr>
          <w:rFonts w:hint="eastAsia"/>
          <w:bCs/>
          <w:color w:val="auto"/>
          <w:sz w:val="32"/>
          <w:szCs w:val="36"/>
          <w:highlight w:val="none"/>
        </w:rPr>
        <w:t xml:space="preserve">JSZC-320400-ZCCZ-C2026-0027</w:t>
      </w:r>
      <w:r/>
    </w:p>
    <w:p>
      <w:pPr>
        <w:ind w:left="2379" w:hanging="1600"/>
        <w:jc w:val="left"/>
        <w:spacing w:line="360" w:lineRule="auto"/>
        <w:tabs>
          <w:tab w:val="left" w:pos="5609" w:leader="none"/>
        </w:tabs>
        <w:rPr>
          <w:bCs/>
          <w:color w:val="auto"/>
          <w:sz w:val="32"/>
          <w:szCs w:val="36"/>
          <w:highlight w:val="none"/>
        </w:rPr>
      </w:pPr>
      <w:r>
        <w:rPr>
          <w:bCs/>
          <w:color w:val="auto"/>
          <w:sz w:val="32"/>
          <w:szCs w:val="36"/>
          <w:highlight w:val="none"/>
        </w:rPr>
        <w:t xml:space="preserve">采 购 人：</w:t>
      </w:r>
      <w:r>
        <w:rPr>
          <w:rFonts w:hint="eastAsia"/>
          <w:bCs/>
          <w:color w:val="auto"/>
          <w:sz w:val="32"/>
          <w:szCs w:val="36"/>
          <w:highlight w:val="none"/>
        </w:rPr>
        <w:t xml:space="preserve">常州市生态环境局</w:t>
      </w:r>
      <w:r/>
    </w:p>
    <w:p>
      <w:pPr>
        <w:ind w:firstLine="822"/>
        <w:jc w:val="left"/>
        <w:spacing w:line="360" w:lineRule="auto"/>
        <w:tabs>
          <w:tab w:val="left" w:pos="3240" w:leader="none"/>
          <w:tab w:val="left" w:pos="3420"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209"/>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67355964"/>
      <w:r/>
      <w:bookmarkStart w:id="2" w:name="_Toc193985577"/>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r/>
    </w:p>
    <w:p>
      <w:pPr>
        <w:rPr>
          <w:color w:val="auto"/>
          <w:highlight w:val="none"/>
        </w:rPr>
      </w:pPr>
      <w:r>
        <w:rPr>
          <w:color w:val="auto"/>
          <w:highlight w:val="none"/>
        </w:rPr>
      </w:r>
      <w:r/>
    </w:p>
    <w:p>
      <w:pPr>
        <w:pStyle w:val="1050"/>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color w:val="auto"/>
          <w:highlight w:val="none"/>
        </w:rPr>
        <w:fldChar w:fldCharType="begin"/>
      </w:r>
      <w:r>
        <w:rPr>
          <w:color w:val="auto"/>
          <w:highlight w:val="none"/>
        </w:rPr>
        <w:instrText xml:space="preserve"> HYPERLINK \l "_Toc193985577" </w:instrText>
      </w:r>
      <w:r>
        <w:rPr>
          <w:color w:val="auto"/>
          <w:highlight w:val="none"/>
        </w:rPr>
        <w:fldChar w:fldCharType="separate"/>
      </w:r>
      <w:r>
        <w:rPr>
          <w:color w:val="auto"/>
          <w:highlight w:val="none"/>
        </w:rPr>
        <w:fldChar w:fldCharType="end"/>
      </w:r>
      <w:r/>
    </w:p>
    <w:p>
      <w:pPr>
        <w:pStyle w:val="105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"_Toc193985578" </w:instrText>
      </w:r>
      <w:r>
        <w:rPr>
          <w:color w:val="auto"/>
          <w:highlight w:val="none"/>
        </w:rPr>
        <w:fldChar w:fldCharType="separate"/>
      </w:r>
      <w:r>
        <w:rPr>
          <w:rStyle w:val="1069"/>
          <w:rFonts w:hint="eastAsia"/>
          <w:color w:val="auto"/>
          <w:highlight w:val="none"/>
        </w:rPr>
        <w:t xml:space="preserve">第一章</w:t>
      </w:r>
      <w:r>
        <w:rPr>
          <w:rStyle w:val="1069"/>
          <w:color w:val="auto"/>
          <w:highlight w:val="none"/>
        </w:rPr>
        <w:t xml:space="preserve">   </w:t>
      </w:r>
      <w:r>
        <w:rPr>
          <w:rStyle w:val="1069"/>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_Toc193985578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05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"_Toc193985579" </w:instrText>
      </w:r>
      <w:r>
        <w:rPr>
          <w:color w:val="auto"/>
          <w:highlight w:val="none"/>
        </w:rPr>
        <w:fldChar w:fldCharType="separate"/>
      </w:r>
      <w:r>
        <w:rPr>
          <w:rStyle w:val="1069"/>
          <w:rFonts w:hint="eastAsia"/>
          <w:color w:val="auto"/>
          <w:highlight w:val="none"/>
        </w:rPr>
        <w:t xml:space="preserve">第二章</w:t>
      </w:r>
      <w:r>
        <w:rPr>
          <w:rStyle w:val="1069"/>
          <w:color w:val="auto"/>
          <w:highlight w:val="none"/>
        </w:rPr>
        <w:t xml:space="preserve">   </w:t>
      </w:r>
      <w:r>
        <w:rPr>
          <w:rStyle w:val="1069"/>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_Toc193985579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05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"_Toc193985580" </w:instrText>
      </w:r>
      <w:r>
        <w:rPr>
          <w:color w:val="auto"/>
          <w:highlight w:val="none"/>
        </w:rPr>
        <w:fldChar w:fldCharType="separate"/>
      </w:r>
      <w:r>
        <w:rPr>
          <w:rStyle w:val="1069"/>
          <w:rFonts w:hint="eastAsia"/>
          <w:color w:val="auto"/>
          <w:highlight w:val="none"/>
        </w:rPr>
        <w:t xml:space="preserve">第三章</w:t>
      </w:r>
      <w:r>
        <w:rPr>
          <w:rStyle w:val="1069"/>
          <w:color w:val="auto"/>
          <w:highlight w:val="none"/>
        </w:rPr>
        <w:t xml:space="preserve">   </w:t>
      </w:r>
      <w:r>
        <w:rPr>
          <w:rStyle w:val="1069"/>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_Toc193985580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05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"_Toc193985581" </w:instrText>
      </w:r>
      <w:r>
        <w:rPr>
          <w:color w:val="auto"/>
          <w:highlight w:val="none"/>
        </w:rPr>
        <w:fldChar w:fldCharType="separate"/>
      </w:r>
      <w:r>
        <w:rPr>
          <w:rStyle w:val="1069"/>
          <w:rFonts w:hint="eastAsia"/>
          <w:color w:val="auto"/>
          <w:highlight w:val="none"/>
        </w:rPr>
        <w:t xml:space="preserve">第四章</w:t>
      </w:r>
      <w:r>
        <w:rPr>
          <w:rStyle w:val="1069"/>
          <w:color w:val="auto"/>
          <w:highlight w:val="none"/>
        </w:rPr>
        <w:t xml:space="preserve">   </w:t>
      </w:r>
      <w:r>
        <w:rPr>
          <w:rStyle w:val="1069"/>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_Toc193985581 \h </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pStyle w:val="1050"/>
        <w:rPr>
          <w:rFonts w:asciiTheme="minorHAnsi" w:hAnsiTheme="minorHAnsi" w:cstheme="minorBidi"/>
          <w:b w:val="0"/>
          <w:color w:val="auto"/>
          <w:sz w:val="21"/>
          <w:szCs w:val="22"/>
          <w:highlight w:val="none"/>
        </w:rPr>
      </w:pPr>
      <w:r>
        <w:rPr>
          <w:color w:val="auto"/>
          <w:highlight w:val="none"/>
        </w:rPr>
        <w:fldChar w:fldCharType="begin"/>
      </w:r>
      <w:r>
        <w:rPr>
          <w:color w:val="auto"/>
          <w:highlight w:val="none"/>
        </w:rPr>
        <w:instrText xml:space="preserve"> HYPERLINK \l "_Toc193985582" </w:instrText>
      </w:r>
      <w:r>
        <w:rPr>
          <w:color w:val="auto"/>
          <w:highlight w:val="none"/>
        </w:rPr>
        <w:fldChar w:fldCharType="separate"/>
      </w:r>
      <w:r>
        <w:rPr>
          <w:rStyle w:val="1069"/>
          <w:rFonts w:hint="eastAsia"/>
          <w:color w:val="auto"/>
          <w:highlight w:val="none"/>
        </w:rPr>
        <w:t xml:space="preserve">第五章</w:t>
      </w:r>
      <w:r>
        <w:rPr>
          <w:rStyle w:val="1069"/>
          <w:color w:val="auto"/>
          <w:highlight w:val="none"/>
        </w:rPr>
        <w:t xml:space="preserve">   </w:t>
      </w:r>
      <w:r>
        <w:rPr>
          <w:rStyle w:val="1069"/>
          <w:rFonts w:hint="eastAsia"/>
          <w:color w:val="auto"/>
          <w:highlight w:val="none"/>
        </w:rPr>
        <w:t xml:space="preserve">合同草案条款</w:t>
      </w:r>
      <w:r>
        <w:rPr>
          <w:color w:val="auto"/>
          <w:highlight w:val="none"/>
        </w:rPr>
        <w:tab/>
      </w:r>
      <w:r>
        <w:rPr>
          <w:rFonts w:hint="eastAsia"/>
          <w:color w:val="auto"/>
          <w:highlight w:val="none"/>
        </w:rPr>
        <w:t xml:space="preserve">4</w:t>
      </w:r>
      <w:r>
        <w:rPr>
          <w:rFonts w:hint="eastAsia"/>
          <w:color w:val="auto"/>
          <w:highlight w:val="none"/>
        </w:rPr>
        <w:fldChar w:fldCharType="end"/>
      </w:r>
      <w:r>
        <w:rPr>
          <w:rFonts w:hint="eastAsia"/>
          <w:color w:val="auto"/>
          <w:highlight w:val="none"/>
        </w:rPr>
        <w:t xml:space="preserve">4</w:t>
      </w:r>
      <w:r/>
    </w:p>
    <w:p>
      <w:pPr>
        <w:pStyle w:val="105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"_Toc193985583" </w:instrText>
      </w:r>
      <w:r>
        <w:rPr>
          <w:color w:val="auto"/>
          <w:highlight w:val="none"/>
        </w:rPr>
        <w:fldChar w:fldCharType="separate"/>
      </w:r>
      <w:r>
        <w:rPr>
          <w:rStyle w:val="1069"/>
          <w:rFonts w:hint="eastAsia"/>
          <w:color w:val="auto"/>
          <w:highlight w:val="none"/>
        </w:rPr>
        <w:t xml:space="preserve">第六章</w:t>
      </w:r>
      <w:r>
        <w:rPr>
          <w:rStyle w:val="1069"/>
          <w:color w:val="auto"/>
          <w:highlight w:val="none"/>
        </w:rPr>
        <w:t xml:space="preserve">   </w:t>
      </w:r>
      <w:r>
        <w:rPr>
          <w:rStyle w:val="1069"/>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_Toc193985583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pStyle w:val="1050"/>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050"/>
        <w:spacing w:line="360" w:lineRule="auto"/>
        <w:rPr>
          <w:rFonts w:hint="eastAsia"/>
          <w:b w:val="0"/>
          <w:color w:val="auto"/>
          <w:sz w:val="36"/>
          <w:szCs w:val="36"/>
          <w:highlight w:val="none"/>
        </w:rPr>
      </w:pPr>
      <w:r>
        <w:rPr>
          <w:rFonts w:hint="eastAsia"/>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193985578"/>
      <w:r>
        <w:rPr>
          <w:b/>
          <w:color w:val="auto"/>
          <w:sz w:val="36"/>
          <w:szCs w:val="36"/>
          <w:highlight w:val="none"/>
        </w:rPr>
        <w:t xml:space="preserve">第一章   采购邀请</w:t>
      </w:r>
      <w:bookmarkEnd w:id="3"/>
      <w:r/>
      <w:bookmarkStart w:id="4" w:name="_Toc28359079"/>
      <w:r/>
      <w:bookmarkStart w:id="5" w:name="_Toc35393621"/>
      <w:r/>
      <w:bookmarkStart w:id="6" w:name="_Toc35393790"/>
      <w:r/>
      <w:bookmarkStart w:id="7" w:name="_Hlk24379207"/>
      <w:r/>
      <w:bookmarkStart w:id="8" w:name="_Toc28359002"/>
      <w:r/>
      <w:bookmarkEnd w:id="4"/>
      <w:r/>
      <w:bookmarkEnd w:id="5"/>
      <w:r/>
      <w:bookmarkEnd w:id="6"/>
      <w:r/>
      <w:bookmarkEnd w:id="7"/>
      <w:r/>
      <w:bookmarkEnd w:id="8"/>
      <w:r/>
      <w:r/>
    </w:p>
    <w:p>
      <w:pPr>
        <w:ind w:firstLine="480"/>
        <w:spacing w:line="360" w:lineRule="auto"/>
        <w:rPr>
          <w:rFonts w:hint="eastAsia"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hint="eastAsia"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rPr>
        <w:t xml:space="preserve">常州市美丽河湖保护与建设项目绩效评估与验收技术服务项目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rPr>
        <w:t xml:space="preserve">2026年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1021"/>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rPr>
        <w:t xml:space="preserve">JSZC-320400-ZCCZ-C2026-0027</w:t>
      </w:r>
      <w:r/>
    </w:p>
    <w:p>
      <w:pPr>
        <w:ind w:firstLine="480"/>
        <w:spacing w:line="360" w:lineRule="auto"/>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rPr>
        <w:t xml:space="preserve">常州市美丽河湖保护与建设项目绩效评估与验收技术服务项目</w:t>
      </w:r>
      <w:r/>
    </w:p>
    <w:p>
      <w:pPr>
        <w:ind w:firstLine="480"/>
        <w:spacing w:line="360" w:lineRule="auto"/>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4.项目预算金额：390万元，项目最高限价：390万元</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采购需求：</w:t>
      </w:r>
      <w:r>
        <w:rPr>
          <w:rFonts w:hint="eastAsia" w:asciiTheme="minorEastAsia" w:hAnsiTheme="minorEastAsia" w:eastAsiaTheme="minorEastAsia"/>
          <w:color w:val="auto"/>
          <w:sz w:val="24"/>
          <w:highlight w:val="none"/>
        </w:rPr>
        <w:t xml:space="preserve">本项目是常州市美丽河湖保护与建设项目绩效评估与验收技术服务项目。根据生态环境部《关于支持开展中央财政2026年度美丽河湖保护与建设项目的通知》，我市申报的常州市美丽河湖保护与建设项目成功纳入中央财政水污染防治资金支持实施清单，涉及13个项目，实施周期原则</w:t>
      </w:r>
      <w:r>
        <w:rPr>
          <w:rFonts w:hint="eastAsia" w:asciiTheme="minorEastAsia" w:hAnsiTheme="minorEastAsia" w:eastAsiaTheme="minorEastAsia"/>
          <w:color w:val="auto"/>
          <w:sz w:val="24"/>
          <w:highlight w:val="none"/>
        </w:rPr>
        <w:t xml:space="preserve">上为3年。按照生态环境部《水污染防治资金管理办法》及《关于加强中央生态环境资金项目竣工验收管理的通知》有关规定，中央生态环境资金项目要求生态环境部门实行资金使用、工程实施、绩效管控、竣工验收全周期闭环管理，相关管理环节涉及现场技术核查、绩效量化测算、竣工核验等专业工作。为规范项目实施、保障资金合规使用、按期完成绩效目标并顺利通过上级验收，常州市生态环境局拟通过政府购买服务委托第三方机构提供全过程绩效与验收技术服务，协助常州市生态环境局开展美丽河湖保护与建设项目全周期闭环管理相关工作。具体详见竞争性磋商文件。</w:t>
      </w:r>
      <w:r/>
    </w:p>
    <w:p>
      <w:pPr>
        <w:ind w:firstLine="480"/>
        <w:spacing w:line="360" w:lineRule="auto"/>
        <w:rPr>
          <w:rFonts w:hint="eastAsia" w:ascii="宋体" w:hAnsi="宋体" w:cs="宋体"/>
          <w:color w:val="auto"/>
          <w:sz w:val="24"/>
          <w:highlight w:val="none"/>
        </w:rPr>
      </w:pPr>
      <w:r>
        <w:rPr>
          <w:rFonts w:hint="eastAsia" w:asciiTheme="minorEastAsia" w:hAnsiTheme="minorEastAsia" w:eastAsiaTheme="minorEastAsia"/>
          <w:color w:val="auto"/>
          <w:sz w:val="24"/>
          <w:highlight w:val="none"/>
        </w:rPr>
        <w:t xml:space="preserve">6.</w:t>
      </w:r>
      <w:r>
        <w:rPr>
          <w:rFonts w:asciiTheme="minorEastAsia" w:hAnsiTheme="minorEastAsia" w:eastAsiaTheme="minorEastAsia"/>
          <w:color w:val="auto"/>
          <w:sz w:val="24"/>
          <w:highlight w:val="none"/>
        </w:rPr>
        <w:t xml:space="preserve">合同履行</w:t>
      </w:r>
      <w:r>
        <w:rPr>
          <w:rFonts w:hint="eastAsia" w:ascii="宋体" w:hAnsi="宋体" w:cs="宋体"/>
          <w:color w:val="auto"/>
          <w:sz w:val="24"/>
          <w:highlight w:val="none"/>
        </w:rPr>
        <w:t xml:space="preserve">期限：自合同签订之日起至2029年8月。</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.本项目是否接受联合体：</w:t>
      </w:r>
      <w:r>
        <w:rPr>
          <w:rFonts w:hint="eastAsia" w:ascii="宋体" w:hAnsi="宋体"/>
          <w:color w:val="auto"/>
          <w:sz w:val="24"/>
          <w:highlight w:val="none"/>
        </w:rPr>
        <w:t xml:space="preserve">■</w:t>
      </w:r>
      <w:r>
        <w:rPr>
          <w:rFonts w:asciiTheme="minorEastAsia" w:hAnsiTheme="minorEastAsia" w:eastAsiaTheme="minorEastAsia"/>
          <w:color w:val="auto"/>
          <w:sz w:val="24"/>
          <w:highlight w:val="none"/>
        </w:rPr>
        <w:t xml:space="preserve">否。</w:t>
      </w:r>
      <w:r/>
    </w:p>
    <w:p>
      <w:pPr>
        <w:pStyle w:val="1021"/>
        <w:jc w:val="left"/>
        <w:spacing w:before="0" w:line="360" w:lineRule="auto"/>
        <w:rPr>
          <w:rFonts w:ascii="Times New Roman" w:hAnsi="Times New Roman" w:eastAsia="宋体"/>
          <w:color w:val="auto"/>
          <w:sz w:val="24"/>
          <w:szCs w:val="24"/>
          <w:highlight w:val="none"/>
        </w:rPr>
      </w:pPr>
      <w:r/>
      <w:bookmarkStart w:id="9" w:name="_Toc35393622"/>
      <w:r/>
      <w:bookmarkStart w:id="10" w:name="_Toc35393791"/>
      <w:r/>
      <w:bookmarkStart w:id="11" w:name="_Toc28359080"/>
      <w:r/>
      <w:bookmarkStart w:id="12" w:name="_Toc28359003"/>
      <w:r>
        <w:rPr>
          <w:rFonts w:ascii="Times New Roman" w:hAnsi="Times New Roman" w:eastAsia="宋体"/>
          <w:color w:val="auto"/>
          <w:sz w:val="24"/>
          <w:szCs w:val="24"/>
          <w:highlight w:val="none"/>
        </w:rPr>
        <w:t xml:space="preserve">二、申请人的资格要求</w:t>
      </w:r>
      <w:bookmarkEnd w:id="9"/>
      <w:r/>
      <w:bookmarkEnd w:id="10"/>
      <w:r/>
      <w:bookmarkEnd w:id="11"/>
      <w:r/>
      <w:bookmarkEnd w:id="12"/>
      <w:r>
        <w:rPr>
          <w:rFonts w:ascii="Times New Roman" w:hAnsi="Times New Roman" w:eastAsia="宋体"/>
          <w:color w:val="auto"/>
          <w:sz w:val="24"/>
          <w:szCs w:val="24"/>
          <w:highlight w:val="none"/>
        </w:rPr>
        <w:t xml:space="preserve">：</w:t>
      </w:r>
      <w:r/>
    </w:p>
    <w:p>
      <w:pPr>
        <w:ind w:firstLine="480"/>
        <w:spacing w:line="360" w:lineRule="auto"/>
        <w:rPr>
          <w:rFonts w:hint="eastAsia" w:ascii="宋体" w:hAnsi="宋体"/>
          <w:color w:val="auto"/>
          <w:sz w:val="24"/>
          <w:highlight w:val="none"/>
        </w:rPr>
      </w:pPr>
      <w:r/>
      <w:bookmarkStart w:id="13" w:name="_Toc28359004"/>
      <w:r/>
      <w:bookmarkStart w:id="14" w:name="_Toc28359081"/>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1037"/>
        <w:ind w:firstLine="480"/>
        <w:rPr>
          <w:rFonts w:hint="eastAsia"/>
          <w:color w:val="auto"/>
          <w:highlight w:val="none"/>
        </w:rPr>
      </w:pPr>
      <w:r>
        <w:rPr>
          <w:rFonts w:hint="eastAsia"/>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hint="eastAsia"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hint="eastAsia" w:ascii="宋体" w:hAnsi="宋体" w:cs="MS Gothic"/>
          <w:color w:val="auto"/>
          <w:sz w:val="24"/>
          <w:highlight w:val="none"/>
        </w:rPr>
      </w:pPr>
      <w:r>
        <w:rPr>
          <w:rFonts w:hint="eastAsia" w:ascii="宋体" w:hAnsi="宋体" w:cs="MS Gothic"/>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hint="eastAsia"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hint="eastAsia" w:ascii="宋体" w:hAnsi="宋体"/>
          <w:color w:val="auto"/>
          <w:sz w:val="24"/>
          <w:highlight w:val="none"/>
        </w:rPr>
      </w:pPr>
      <w:r>
        <w:rPr>
          <w:rFonts w:hint="eastAsia" w:ascii="宋体" w:hAnsi="宋体" w:cs="MS Gothic"/>
          <w:color w:val="auto"/>
          <w:sz w:val="24"/>
          <w:highlight w:val="none"/>
        </w:rPr>
        <w:t xml:space="preserve">□</w:t>
      </w:r>
      <w:r>
        <w:rPr>
          <w:rFonts w:hint="eastAsia" w:ascii="宋体" w:hAnsi="宋体"/>
          <w:color w:val="auto"/>
          <w:sz w:val="24"/>
          <w:highlight w:val="none"/>
        </w:rPr>
        <w:t xml:space="preserve">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3.3其他特定资格要求：无。</w:t>
      </w:r>
      <w:bookmarkEnd w:id="13"/>
      <w:r/>
      <w:bookmarkEnd w:id="14"/>
      <w:r/>
      <w:r/>
    </w:p>
    <w:p>
      <w:pPr>
        <w:pStyle w:val="1021"/>
        <w:jc w:val="left"/>
        <w:spacing w:before="0" w:line="360" w:lineRule="auto"/>
        <w:rPr>
          <w:rFonts w:ascii="Times New Roman" w:hAnsi="Times New Roman" w:eastAsia="宋体"/>
          <w:color w:val="auto"/>
          <w:sz w:val="24"/>
          <w:szCs w:val="24"/>
          <w:highlight w:val="none"/>
        </w:rPr>
      </w:pPr>
      <w:r/>
      <w:bookmarkStart w:id="15" w:name="_Toc28359010"/>
      <w:r/>
      <w:bookmarkStart w:id="16" w:name="_Toc28359087"/>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ascii="Arial" w:hAnsi="Arial" w:cs="Arial"/>
          <w:color w:val="auto"/>
          <w:sz w:val="24"/>
          <w:highlight w:val="none"/>
        </w:rPr>
        <w:t xml:space="preserve">自磋商文件公告发布之日起5个工作日</w:t>
      </w:r>
      <w:r>
        <w:rPr>
          <w:rFonts w:hint="eastAsia" w:asciiTheme="minorEastAsia" w:hAnsiTheme="minorEastAsia" w:eastAsiaTheme="minorEastAsia"/>
          <w:color w:val="auto"/>
          <w:sz w:val="24"/>
          <w:highlight w:val="none"/>
        </w:rPr>
        <w:t xml:space="preserve">，每天上午00:00-12:00，下午12:00-23:59（北京时间，法定节假日除外）。</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2.地点：供应商完成注册并办理CA证书后登录“苏采云”（网址：http://jszfcg.jsczt.cn/jszc/login），下载本项目电子版采购文件。</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1037"/>
        <w:ind w:firstLine="480"/>
        <w:rPr>
          <w:rFonts w:hint="eastAsia"/>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rPr>
        <w:t xml:space="preserve">2026年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1021"/>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rPr>
        <w:t xml:space="preserve">2026年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102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102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技术支持服务热线   0519-85588210</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CA认证证书办理联系电话   0519-85588120</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1.1办理CA认证证书</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1.2注册</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供应商登录常州市政府采购网-下载中心-“苏采云”系统供应商操作手册”下载相关操作手册，查阅后进行自助注册。</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1.3控件、客户端下载</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供应商登录“苏采云”“驱动中心”下载相关控件和客户端。</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1.4 获取电子采购文件</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供应商持CA数字认证证书登录“苏采云”获取电子采购文件。未在规定期限内通过“苏采云”获取采购文件的响应无效。</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1.5编制电子投标（响应）文件</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1.6提交电子投标（响应）文件</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供应商应于投标（响应）截止时间（开启）前在“苏采云”提交电子投标（响应）文件，上传电子投标（响应）文件过程中请保持与互联网的连接畅通。</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1.7电子开标</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供应商使用CA认证证书登录“苏采云”进行电子化不见面开标。</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1.8注意事项</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1）有关本次招标的事项若存在变动或修改，敬请及时关注常州市政府采购网发布的更正公告。</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3）如潜在供应商未按上述要求操作，将自行承担所产生的风险。</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2.关于常州市中小企业政府采购信用融资：</w:t>
      </w:r>
      <w:r/>
    </w:p>
    <w:p>
      <w:pPr>
        <w:pStyle w:val="1058"/>
        <w:ind w:firstLine="480"/>
        <w:spacing w:line="400" w:lineRule="exact"/>
        <w:shd w:val="clear" w:color="auto" w:fill="ffffff"/>
        <w:rPr>
          <w:rFonts w:hint="eastAsia"/>
          <w:color w:val="auto"/>
          <w:highlight w:val="none"/>
        </w:rPr>
      </w:pPr>
      <w:r>
        <w:rPr>
          <w:rFonts w:hint="eastAsia"/>
          <w:color w:val="auto"/>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2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称：常州市生态环境局</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址：常州市新北区龙城大道1280号2号楼B座5楼</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联系方式：高女士  </w:t>
      </w:r>
      <w:r>
        <w:rPr>
          <w:rFonts w:hint="eastAsia" w:cs="宋体" w:asciiTheme="minorEastAsia" w:hAnsiTheme="minorEastAsia"/>
          <w:color w:val="auto"/>
          <w:sz w:val="24"/>
          <w:highlight w:val="none"/>
        </w:rPr>
        <w:t xml:space="preserve">0519-85686058</w:t>
      </w:r>
      <w:r/>
    </w:p>
    <w:p>
      <w:pPr>
        <w:pStyle w:val="1037"/>
        <w:rPr>
          <w:rFonts w:hint="eastAsia"/>
          <w:color w:val="auto"/>
          <w:highlight w:val="none"/>
        </w:rPr>
      </w:pPr>
      <w:r>
        <w:rPr>
          <w:rFonts w:hint="eastAsia"/>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联系方式：0519-86661066</w:t>
      </w:r>
      <w:r/>
    </w:p>
    <w:p>
      <w:pPr>
        <w:pStyle w:val="1037"/>
        <w:rPr>
          <w:rFonts w:hint="eastAsia"/>
          <w:color w:val="auto"/>
          <w:highlight w:val="none"/>
        </w:rPr>
      </w:pPr>
      <w:r>
        <w:rPr>
          <w:rFonts w:hint="eastAsia"/>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项目联系人：戴女士</w:t>
      </w:r>
      <w:r/>
    </w:p>
    <w:p>
      <w:pPr>
        <w:pStyle w:val="1037"/>
        <w:ind w:firstLine="480"/>
        <w:rPr>
          <w:rFonts w:hint="eastAsia"/>
          <w:color w:val="auto"/>
          <w:highlight w:val="none"/>
        </w:rPr>
      </w:pPr>
      <w:r>
        <w:rPr>
          <w:rFonts w:hint="eastAsia"/>
          <w:color w:val="auto"/>
          <w:highlight w:val="none"/>
        </w:rPr>
        <w:t xml:space="preserve">电  话：0519-86661067</w:t>
      </w:r>
      <w:r/>
    </w:p>
    <w:p>
      <w:pPr>
        <w:rPr>
          <w:b/>
          <w:color w:val="auto"/>
          <w:sz w:val="36"/>
          <w:szCs w:val="36"/>
          <w:highlight w:val="none"/>
        </w:rPr>
      </w:pPr>
      <w:r/>
      <w:bookmarkStart w:id="17" w:name="_Toc150774783"/>
      <w:r/>
      <w:bookmarkStart w:id="18" w:name="_Toc305158854"/>
      <w:r/>
      <w:bookmarkStart w:id="19" w:name="_Toc226965856"/>
      <w:r/>
      <w:bookmarkStart w:id="20" w:name="_Toc265228423"/>
      <w:r/>
      <w:bookmarkStart w:id="21" w:name="_Toc264969275"/>
      <w:r/>
      <w:bookmarkStart w:id="22" w:name="_Toc353873938"/>
      <w:r/>
      <w:bookmarkStart w:id="23" w:name="_Toc512937850"/>
      <w:r/>
      <w:bookmarkStart w:id="24" w:name="_Toc195842950"/>
      <w:r/>
      <w:bookmarkStart w:id="25" w:name="_Toc353825548"/>
      <w:r/>
      <w:bookmarkStart w:id="26" w:name="_Toc127151777"/>
      <w:r/>
      <w:bookmarkStart w:id="27" w:name="_Toc127161488"/>
      <w:r/>
      <w:bookmarkStart w:id="28" w:name="_Toc305158928"/>
      <w:r/>
      <w:bookmarkStart w:id="29" w:name="_Toc35393796"/>
      <w:r/>
      <w:bookmarkStart w:id="30" w:name="_Toc28359085"/>
      <w:r/>
      <w:bookmarkStart w:id="31" w:name="_Toc28359008"/>
      <w:r/>
      <w:bookmarkStart w:id="32" w:name="_Toc35393627"/>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3" w:name="_Toc193985579"/>
      <w:r>
        <w:rPr>
          <w:b/>
          <w:color w:val="auto"/>
          <w:sz w:val="36"/>
          <w:szCs w:val="36"/>
          <w:highlight w:val="none"/>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33"/>
      <w:r/>
      <w:r/>
    </w:p>
    <w:p>
      <w:pPr>
        <w:pStyle w:val="1021"/>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10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825"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480"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841"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480"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6841"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1480"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6841"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825" w:type="dxa"/>
            <w:vAlign w:val="center"/>
            <w:vMerge w:val="restart"/>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6841" w:type="dxa"/>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不组织</w:t>
            </w:r>
            <w:r/>
          </w:p>
          <w:p>
            <w:pPr>
              <w:pStyle w:val="1043"/>
              <w:rPr>
                <w:rFonts w:hAnsi="宋体" w:cs="宋体"/>
                <w:color w:val="auto"/>
                <w:sz w:val="24"/>
                <w:szCs w:val="24"/>
                <w:highlight w:val="none"/>
                <w:lang w:bidi="ar"/>
              </w:rPr>
            </w:pPr>
            <w:r>
              <w:rPr>
                <w:color w:val="auto"/>
                <w:highlight w:val="none"/>
              </w:rPr>
              <w:t xml:space="preserve">□</w:t>
            </w:r>
            <w:r>
              <w:rPr>
                <w:color w:val="auto"/>
                <w:sz w:val="24"/>
                <w:highlight w:val="none"/>
              </w:rPr>
              <w:t xml:space="preserve">组织，考察时间：</w:t>
            </w:r>
            <w:r>
              <w:rPr>
                <w:rFonts w:hAnsi="宋体" w:cs="宋体"/>
                <w:color w:val="auto"/>
                <w:sz w:val="24"/>
                <w:szCs w:val="24"/>
                <w:highlight w:val="none"/>
              </w:rPr>
              <w:t xml:space="preserve">___</w:t>
            </w:r>
            <w:r>
              <w:rPr>
                <w:rFonts w:hAnsi="宋体" w:cs="宋体"/>
                <w:color w:val="auto"/>
                <w:sz w:val="24"/>
                <w:szCs w:val="24"/>
                <w:highlight w:val="none"/>
                <w:lang w:bidi="ar"/>
              </w:rPr>
              <w:t xml:space="preserve">年</w:t>
            </w:r>
            <w:r>
              <w:rPr>
                <w:rFonts w:hAnsi="宋体" w:cs="宋体"/>
                <w:color w:val="auto"/>
                <w:sz w:val="24"/>
                <w:szCs w:val="24"/>
                <w:highlight w:val="none"/>
              </w:rPr>
              <w:t xml:space="preserve">___</w:t>
            </w:r>
            <w:r>
              <w:rPr>
                <w:rFonts w:hAnsi="宋体" w:cs="宋体"/>
                <w:color w:val="auto"/>
                <w:sz w:val="24"/>
                <w:szCs w:val="24"/>
                <w:highlight w:val="none"/>
                <w:lang w:bidi="ar"/>
              </w:rPr>
              <w:t xml:space="preserve">月</w:t>
            </w:r>
            <w:r>
              <w:rPr>
                <w:rFonts w:hAnsi="宋体" w:cs="宋体"/>
                <w:color w:val="auto"/>
                <w:sz w:val="24"/>
                <w:szCs w:val="24"/>
                <w:highlight w:val="none"/>
              </w:rPr>
              <w:t xml:space="preserve">___</w:t>
            </w:r>
            <w:r>
              <w:rPr>
                <w:rFonts w:hAnsi="宋体" w:cs="宋体"/>
                <w:color w:val="auto"/>
                <w:sz w:val="24"/>
                <w:szCs w:val="24"/>
                <w:highlight w:val="none"/>
                <w:lang w:bidi="ar"/>
              </w:rPr>
              <w:t xml:space="preserve">日</w:t>
            </w:r>
            <w:r>
              <w:rPr>
                <w:rFonts w:hAnsi="宋体" w:cs="宋体"/>
                <w:color w:val="auto"/>
                <w:sz w:val="24"/>
                <w:szCs w:val="24"/>
                <w:highlight w:val="none"/>
              </w:rPr>
              <w:t xml:space="preserve">___</w:t>
            </w:r>
            <w:r>
              <w:rPr>
                <w:rFonts w:hAnsi="宋体" w:cs="宋体"/>
                <w:color w:val="auto"/>
                <w:sz w:val="24"/>
                <w:szCs w:val="24"/>
                <w:highlight w:val="none"/>
                <w:lang w:bidi="ar"/>
              </w:rPr>
              <w:t xml:space="preserve">点</w:t>
            </w:r>
            <w:r>
              <w:rPr>
                <w:rFonts w:hAnsi="宋体" w:cs="宋体"/>
                <w:color w:val="auto"/>
                <w:sz w:val="24"/>
                <w:szCs w:val="24"/>
                <w:highlight w:val="none"/>
              </w:rPr>
              <w:t xml:space="preserve">___</w:t>
            </w:r>
            <w:r>
              <w:rPr>
                <w:rFonts w:hAnsi="宋体" w:cs="宋体"/>
                <w:color w:val="auto"/>
                <w:sz w:val="24"/>
                <w:szCs w:val="24"/>
                <w:highlight w:val="none"/>
                <w:lang w:bidi="ar"/>
              </w:rPr>
              <w:t xml:space="preserve">分</w:t>
            </w:r>
            <w:r/>
          </w:p>
          <w:p>
            <w:pPr>
              <w:pStyle w:val="1043"/>
              <w:rPr>
                <w:rFonts w:hAnsi="宋体" w:cs="宋体"/>
                <w:color w:val="auto"/>
                <w:sz w:val="24"/>
                <w:szCs w:val="24"/>
                <w:highlight w:val="none"/>
                <w:lang w:bidi="ar"/>
              </w:rPr>
            </w:pPr>
            <w:r>
              <w:rPr>
                <w:rFonts w:hAnsi="宋体" w:cs="宋体"/>
                <w:color w:val="auto"/>
                <w:sz w:val="24"/>
                <w:szCs w:val="24"/>
                <w:highlight w:val="none"/>
              </w:rPr>
              <w:t xml:space="preserve">召开地点：___________。</w:t>
            </w:r>
            <w:r/>
          </w:p>
        </w:tc>
      </w:tr>
      <w:tr>
        <w:trPr>
          <w:jc w:val="center"/>
          <w:trHeight w:val="20"/>
        </w:trPr>
        <w:tc>
          <w:tcPr>
            <w:tcW w:w="825" w:type="dxa"/>
            <w:vAlign w:val="center"/>
            <w:vMerge w:val="continue"/>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6841" w:type="dxa"/>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rPr>
                <w:rFonts w:hint="eastAsia"/>
                <w:color w:val="auto"/>
                <w:sz w:val="24"/>
                <w:highlight w:val="none"/>
                <w:u w:val="single"/>
              </w:rPr>
              <w:t xml:space="preserve"> </w:t>
            </w:r>
            <w:r/>
          </w:p>
        </w:tc>
      </w:tr>
      <w:tr>
        <w:trPr>
          <w:jc w:val="center"/>
          <w:trHeight w:val="1535"/>
        </w:trPr>
        <w:tc>
          <w:tcPr>
            <w:tcW w:w="825" w:type="dxa"/>
            <w:vAlign w:val="center"/>
            <w:textDirection w:val="lrTb"/>
            <w:noWrap w:val="false"/>
          </w:tcPr>
          <w:p>
            <w:pPr>
              <w:pStyle w:val="1043"/>
              <w:jc w:val="center"/>
              <w:rPr>
                <w:rFonts w:hAnsi="宋体" w:cs="宋体"/>
                <w:color w:val="auto"/>
                <w:sz w:val="24"/>
                <w:szCs w:val="24"/>
                <w:highlight w:val="none"/>
              </w:rPr>
            </w:pPr>
            <w:r>
              <w:rPr>
                <w:rFonts w:ascii="Times New Roman" w:hAnsi="Times New Roman"/>
                <w:color w:val="auto"/>
                <w:sz w:val="24"/>
                <w:szCs w:val="24"/>
                <w:highlight w:val="none"/>
              </w:rPr>
              <w:t xml:space="preserve">4.9</w:t>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color w:val="auto"/>
                <w:sz w:val="24"/>
                <w:highlight w:val="none"/>
              </w:rPr>
              <w:t xml:space="preserve">本国产品政策支持</w:t>
            </w:r>
            <w:r/>
          </w:p>
        </w:tc>
        <w:tc>
          <w:tcPr>
            <w:tcW w:w="6841" w:type="dxa"/>
            <w:vAlign w:val="center"/>
            <w:textDirection w:val="lrTb"/>
            <w:noWrap w:val="false"/>
          </w:tcPr>
          <w:p>
            <w:pPr>
              <w:jc w:val="left"/>
              <w:spacing w:line="360" w:lineRule="exact"/>
              <w:rPr>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297"/>
              <w:jc w:val="both"/>
              <w:keepLines w:val="0"/>
              <w:keepNext w:val="0"/>
              <w:spacing w:before="0" w:line="360" w:lineRule="exact"/>
              <w:shd w:val="clear" w:color="auto" w:fill="ffffff"/>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1480"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6841"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ascii="宋体" w:hAnsi="宋体" w:cs="宋体"/>
                <w:b/>
                <w:color w:val="auto"/>
                <w:sz w:val="24"/>
                <w:highlight w:val="none"/>
                <w:u w:val="single"/>
              </w:rPr>
              <w:t xml:space="preserve">本项目采用二次报价，</w:t>
            </w:r>
            <w:r>
              <w:rPr>
                <w:rFonts w:hint="eastAsia" w:ascii="宋体" w:hAnsi="宋体" w:cs="宋体"/>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6841"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1480"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6841"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1480"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6841"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1480"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6841"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825" w:type="dxa"/>
            <w:vAlign w:val="center"/>
            <w:textDirection w:val="lrTb"/>
            <w:noWrap w:val="false"/>
          </w:tcPr>
          <w:p>
            <w:pPr>
              <w:pStyle w:val="104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6841"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highlight w:val="none"/>
              </w:rPr>
              <w:t xml:space="preserve">■</w:t>
            </w:r>
            <w:r>
              <w:rPr>
                <w:rFonts w:hint="eastAsia"/>
                <w:color w:val="auto"/>
                <w:sz w:val="24"/>
                <w:highlight w:val="none"/>
              </w:rPr>
              <w:t xml:space="preserve">成交供应商</w:t>
            </w:r>
            <w:r/>
          </w:p>
          <w:p>
            <w:pPr>
              <w:jc w:val="left"/>
              <w:rPr>
                <w:color w:val="auto"/>
                <w:sz w:val="24"/>
                <w:highlight w:val="none"/>
              </w:rPr>
            </w:pPr>
            <w:r>
              <w:rPr>
                <w:rFonts w:hint="eastAsia"/>
                <w:color w:val="auto"/>
                <w:sz w:val="24"/>
                <w:highlight w:val="none"/>
              </w:rPr>
              <w:t xml:space="preserve">（1）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hint="eastAsia"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3" name="图片 4"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81264549787(1)"/>
                              <pic:cNvPicPr>
                                <a:picLocks noChangeAspect="1"/>
                              </pic:cNvPicPr>
                              <pic:nvPr/>
                            </pic:nvPicPr>
                            <pic:blipFill>
                              <a:blip r:embed="rId22"/>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8pt;height:81.8pt;mso-wrap-distance-left:0.0pt;mso-wrap-distance-top:0.0pt;mso-wrap-distance-right:0.0pt;mso-wrap-distance-bottom:0.0pt;" stroked="f">
                      <v:path textboxrect="0,0,0,0"/>
                      <v:imagedata r:id="rId22" o:title=""/>
                    </v:shape>
                  </w:pict>
                </mc:Fallback>
              </mc:AlternateContent>
            </w:r>
            <w:r/>
          </w:p>
          <w:p>
            <w:pPr>
              <w:spacing w:line="360" w:lineRule="auto"/>
              <w:rPr>
                <w:rFonts w:hint="eastAsia" w:asciiTheme="majorEastAsia" w:hAnsiTheme="majorEastAsia" w:eastAsiaTheme="majorEastAsia" w:cstheme="majorEastAsia"/>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）收费</w:t>
            </w:r>
            <w:r>
              <w:rPr>
                <w:rFonts w:hint="eastAsia" w:ascii="宋体" w:hAnsi="宋体" w:cs="宋体"/>
                <w:color w:val="auto"/>
                <w:sz w:val="24"/>
                <w:highlight w:val="none"/>
              </w:rPr>
              <w:t xml:space="preserve">比例按差额定率累进法计算，</w:t>
            </w:r>
            <w:r>
              <w:rPr>
                <w:rFonts w:hint="eastAsia" w:ascii="宋体" w:hAnsi="宋体"/>
                <w:color w:val="auto"/>
                <w:sz w:val="24"/>
                <w:highlight w:val="none"/>
              </w:rPr>
              <w:t xml:space="preserve">本项目采购代理服务费收费以成交金额为基数计算，按</w:t>
            </w:r>
            <w:r>
              <w:rPr>
                <w:rFonts w:hint="eastAsia" w:ascii="宋体" w:hAnsi="宋体" w:cs="宋体"/>
                <w:color w:val="auto"/>
                <w:sz w:val="24"/>
                <w:highlight w:val="none"/>
              </w:rPr>
              <w:t xml:space="preserve">上述计算方法不足人民币3000元的，按人民币3000元收取。</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color w:val="auto"/>
                <w:sz w:val="24"/>
                <w:highlight w:val="none"/>
              </w:rPr>
              <w:t xml:space="preserve">成交供应商</w:t>
            </w:r>
            <w:r>
              <w:rPr>
                <w:rFonts w:hint="eastAsia" w:ascii="宋体" w:hAnsi="宋体"/>
                <w:bCs/>
                <w:color w:val="auto"/>
                <w:sz w:val="24"/>
                <w:highlight w:val="none"/>
              </w:rPr>
              <w:t xml:space="preserve">领取中标通知书时须向中采招投标有限公司交纳代理服务费。</w:t>
            </w:r>
            <w:r/>
          </w:p>
          <w:p>
            <w:pPr>
              <w:spacing w:line="360" w:lineRule="auto"/>
              <w:tabs>
                <w:tab w:val="left" w:pos="510" w:leader="none"/>
                <w:tab w:val="left" w:pos="735" w:leader="none"/>
                <w:tab w:val="left" w:pos="945" w:leader="none"/>
                <w:tab w:val="left" w:pos="1155" w:leader="none"/>
                <w:tab w:val="left" w:pos="1980" w:leader="none"/>
              </w:tabs>
              <w:rPr>
                <w:rFonts w:hint="eastAsia"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hint="eastAsia"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hint="eastAsia"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hint="eastAsia"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1515"/>
        </w:trPr>
        <w:tc>
          <w:tcPr>
            <w:tcW w:w="825" w:type="dxa"/>
            <w:vAlign w:val="center"/>
            <w:textDirection w:val="lrTb"/>
            <w:noWrap w:val="false"/>
          </w:tcPr>
          <w:p>
            <w:pPr>
              <w:pStyle w:val="1286"/>
              <w:jc w:val="center"/>
              <w:rPr>
                <w:rFonts w:hAnsi="宋体" w:cs="宋体"/>
                <w:color w:val="auto"/>
                <w:sz w:val="24"/>
                <w:szCs w:val="24"/>
                <w:highlight w:val="none"/>
              </w:rPr>
            </w:pPr>
            <w:r>
              <w:rPr>
                <w:rFonts w:hAnsi="宋体" w:cs="宋体"/>
                <w:color w:val="auto"/>
                <w:sz w:val="24"/>
                <w:szCs w:val="24"/>
                <w:highlight w:val="none"/>
              </w:rPr>
              <w:t xml:space="preserve">26</w:t>
            </w:r>
            <w:r/>
          </w:p>
        </w:tc>
        <w:tc>
          <w:tcPr>
            <w:tcW w:w="1480"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tcW w:w="6841"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rPr>
          <w:color w:val="auto"/>
          <w:sz w:val="24"/>
          <w:highlight w:val="none"/>
        </w:rPr>
      </w:r>
      <w:r/>
    </w:p>
    <w:p>
      <w:pPr>
        <w:pStyle w:val="1021"/>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1021"/>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4" w:name="_Toc127151518"/>
      <w:r/>
      <w:bookmarkStart w:id="35" w:name="_Toc520356143"/>
      <w:r>
        <w:rPr>
          <w:rFonts w:ascii="Times New Roman" w:hAnsi="Times New Roman" w:eastAsia="宋体"/>
          <w:color w:val="auto"/>
          <w:sz w:val="28"/>
          <w:highlight w:val="none"/>
        </w:rPr>
        <w:tab/>
      </w:r>
      <w:bookmarkStart w:id="36" w:name="_Toc150509269"/>
      <w:r/>
      <w:bookmarkStart w:id="37" w:name="_Toc226309762"/>
      <w:r/>
      <w:bookmarkStart w:id="38" w:name="_Toc151193760"/>
      <w:r/>
      <w:bookmarkStart w:id="39" w:name="_Toc151193616"/>
      <w:r/>
      <w:bookmarkStart w:id="40" w:name="_Toc150480756"/>
      <w:r/>
      <w:bookmarkStart w:id="41" w:name="_Toc195842883"/>
      <w:r/>
      <w:bookmarkStart w:id="42" w:name="_Toc151193688"/>
      <w:r/>
      <w:bookmarkStart w:id="43" w:name="_Toc305158860"/>
      <w:r/>
      <w:bookmarkStart w:id="44" w:name="_Toc226965791"/>
      <w:r/>
      <w:bookmarkStart w:id="45" w:name="_Toc151193832"/>
      <w:r/>
      <w:bookmarkStart w:id="46" w:name="_Toc151193906"/>
      <w:r/>
      <w:bookmarkStart w:id="47" w:name="_Toc150774723"/>
      <w:r/>
      <w:bookmarkStart w:id="48" w:name="_Toc264969208"/>
      <w:r/>
      <w:bookmarkStart w:id="49" w:name="_Toc151190145"/>
      <w:r/>
      <w:bookmarkStart w:id="50" w:name="_Toc150774618"/>
      <w:r/>
      <w:bookmarkStart w:id="51" w:name="_Toc142311020"/>
      <w:r/>
      <w:bookmarkStart w:id="52" w:name="_Toc226965708"/>
      <w:r/>
      <w:bookmarkStart w:id="53" w:name="_Toc265228356"/>
      <w:r/>
      <w:bookmarkStart w:id="54" w:name="_Toc226337214"/>
      <w:r/>
      <w:bookmarkStart w:id="55" w:name="_Toc305158786"/>
      <w:r>
        <w:rPr>
          <w:rFonts w:ascii="Times New Roman" w:hAnsi="Times New Roman" w:eastAsia="宋体"/>
          <w:color w:val="auto"/>
          <w:sz w:val="28"/>
          <w:highlight w:val="none"/>
        </w:rPr>
        <w:t xml:space="preserve">一、说  明</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rFonts w:hint="eastAsia" w:ascii="宋体" w:hAnsi="宋体" w:cs="宋体"/>
          <w:color w:val="auto"/>
          <w:sz w:val="24"/>
          <w:highlight w:val="none"/>
        </w:rPr>
        <w:outlineLvl w:val="1"/>
      </w:pPr>
      <w:r/>
      <w:bookmarkStart w:id="56" w:name="_Toc305158787"/>
      <w:r/>
      <w:bookmarkStart w:id="57" w:name="_Toc265228357"/>
      <w:r/>
      <w:bookmarkStart w:id="58" w:name="_Toc264969209"/>
      <w:r/>
      <w:bookmarkStart w:id="59" w:name="_Toc305158861"/>
      <w:r>
        <w:rPr>
          <w:rFonts w:hint="eastAsia" w:ascii="宋体" w:hAnsi="宋体" w:cs="宋体"/>
          <w:color w:val="auto"/>
          <w:sz w:val="24"/>
          <w:highlight w:val="none"/>
        </w:rPr>
        <w:t xml:space="preserve">采购人、采购代理机构、供应商</w:t>
      </w:r>
      <w:bookmarkEnd w:id="56"/>
      <w:r/>
      <w:bookmarkEnd w:id="57"/>
      <w:r/>
      <w:bookmarkEnd w:id="58"/>
      <w:r/>
      <w:bookmarkEnd w:id="5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60" w:name="_Toc305158788"/>
      <w:r/>
      <w:bookmarkStart w:id="61" w:name="_Toc151193618"/>
      <w:r/>
      <w:bookmarkStart w:id="62" w:name="_Toc164351614"/>
      <w:r/>
      <w:bookmarkStart w:id="63" w:name="_Toc195842885"/>
      <w:r/>
      <w:bookmarkStart w:id="64" w:name="_Toc151193908"/>
      <w:r/>
      <w:bookmarkStart w:id="65" w:name="_Toc127151520"/>
      <w:r/>
      <w:bookmarkStart w:id="66" w:name="_Toc150509271"/>
      <w:r/>
      <w:bookmarkStart w:id="67" w:name="_Toc151193690"/>
      <w:r/>
      <w:bookmarkStart w:id="68" w:name="_Toc226965710"/>
      <w:r/>
      <w:bookmarkStart w:id="69" w:name="_Toc164608634"/>
      <w:r/>
      <w:bookmarkStart w:id="70" w:name="_Toc127151721"/>
      <w:r/>
      <w:bookmarkStart w:id="71" w:name="_Toc151190147"/>
      <w:r/>
      <w:bookmarkStart w:id="72" w:name="_Toc151193834"/>
      <w:r/>
      <w:bookmarkStart w:id="73" w:name="_Toc150774620"/>
      <w:r/>
      <w:bookmarkStart w:id="74" w:name="_Toc164229215"/>
      <w:r/>
      <w:bookmarkStart w:id="75" w:name="_Toc226309764"/>
      <w:r/>
      <w:bookmarkStart w:id="76" w:name="_Toc150774725"/>
      <w:r/>
      <w:bookmarkStart w:id="77" w:name="_Toc164229361"/>
      <w:r/>
      <w:bookmarkStart w:id="78" w:name="_Toc226337216"/>
      <w:r/>
      <w:bookmarkStart w:id="79" w:name="_Toc151193762"/>
      <w:r/>
      <w:bookmarkStart w:id="80" w:name="_Toc164608789"/>
      <w:r/>
      <w:bookmarkStart w:id="81" w:name="_Toc142311022"/>
      <w:r/>
      <w:bookmarkStart w:id="82" w:name="_Toc305158862"/>
      <w:r/>
      <w:bookmarkStart w:id="83" w:name="_Toc149720813"/>
      <w:r/>
      <w:bookmarkStart w:id="84" w:name="_Toc150480758"/>
      <w:r/>
      <w:bookmarkStart w:id="85" w:name="_Toc264969210"/>
      <w:r/>
      <w:bookmarkStart w:id="86" w:name="_Toc265228358"/>
      <w:r/>
      <w:bookmarkStart w:id="87" w:name="_Toc226965793"/>
      <w:r/>
      <w:bookmarkStart w:id="88" w:name="_Toc127161434"/>
      <w:r>
        <w:rPr>
          <w:rFonts w:hint="eastAsia" w:ascii="宋体" w:hAnsi="宋体" w:cs="宋体"/>
          <w:color w:val="auto"/>
          <w:sz w:val="24"/>
          <w:highlight w:val="none"/>
        </w:rPr>
        <w:t xml:space="preserve">资金来源</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89" w:name="_Toc305158790"/>
      <w:r/>
      <w:bookmarkStart w:id="90" w:name="_Toc226965712"/>
      <w:r/>
      <w:bookmarkStart w:id="91" w:name="_Toc150509273"/>
      <w:r/>
      <w:bookmarkStart w:id="92" w:name="_Toc151190149"/>
      <w:r/>
      <w:bookmarkStart w:id="93" w:name="_Toc151193836"/>
      <w:r/>
      <w:bookmarkStart w:id="94" w:name="_Toc150774622"/>
      <w:r/>
      <w:bookmarkStart w:id="95" w:name="_Toc151193620"/>
      <w:r/>
      <w:bookmarkStart w:id="96" w:name="_Toc151193764"/>
      <w:r/>
      <w:bookmarkStart w:id="97" w:name="_Toc151193692"/>
      <w:r/>
      <w:bookmarkStart w:id="98" w:name="_Toc520356146"/>
      <w:r/>
      <w:bookmarkStart w:id="99" w:name="_Toc151193910"/>
      <w:r/>
      <w:bookmarkStart w:id="100" w:name="_Toc195842887"/>
      <w:r/>
      <w:bookmarkStart w:id="101" w:name="_Toc264969212"/>
      <w:r/>
      <w:bookmarkStart w:id="102" w:name="_Toc142311024"/>
      <w:r/>
      <w:bookmarkStart w:id="103" w:name="_Toc127151522"/>
      <w:r/>
      <w:bookmarkStart w:id="104" w:name="_Toc150774727"/>
      <w:r/>
      <w:bookmarkStart w:id="105" w:name="_Toc226337218"/>
      <w:r/>
      <w:bookmarkStart w:id="106" w:name="_Toc226965795"/>
      <w:r/>
      <w:bookmarkStart w:id="107" w:name="_Toc265228360"/>
      <w:r/>
      <w:bookmarkStart w:id="108" w:name="_Toc305158864"/>
      <w:r/>
      <w:bookmarkStart w:id="109" w:name="_Toc226309766"/>
      <w:r/>
      <w:bookmarkStart w:id="110" w:name="_Toc150480760"/>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96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4.3政府采购节能产品、环境标志产品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4.3.4非政府强制采购的节能产品或环境标志产品，依据品目清单和认证证书实施政府优先采购。优先采购的具体规定见第三章《评审方法和评审标准》（如涉及）。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4.4支持乡村产业振兴管理</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4.5正版软件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4.6政府采购创新产品政策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4.7绿色采购政策</w:t>
      </w:r>
      <w:r/>
    </w:p>
    <w:p>
      <w:pPr>
        <w:ind w:firstLine="480"/>
        <w:spacing w:line="360" w:lineRule="auto"/>
        <w:tabs>
          <w:tab w:val="left" w:pos="2014" w:leader="none"/>
          <w:tab w:val="left" w:pos="226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4.7.1绿色数据中心政策</w:t>
      </w:r>
      <w:r/>
    </w:p>
    <w:p>
      <w:pPr>
        <w:pStyle w:val="1037"/>
        <w:rPr>
          <w:rFonts w:hint="eastAsia" w:cs="宋体"/>
          <w:color w:val="auto"/>
          <w:highlight w:val="none"/>
        </w:rPr>
      </w:pPr>
      <w:r>
        <w:rPr>
          <w:rFonts w:hint="eastAsia" w:cs="宋体"/>
          <w:color w:val="auto"/>
          <w:highlight w:val="none"/>
        </w:rPr>
        <w:t xml:space="preserve">依据《绿色数据中心政府采购需求标准（试行）》（财办库〔2023〕7 号）文件精神，采购人在采购数据中心相关设备、运维服务，应当有利于节约能源、环境保护和资源循环利用，</w:t>
      </w:r>
      <w:r>
        <w:rPr>
          <w:rFonts w:hint="eastAsia"/>
          <w:color w:val="auto"/>
          <w:highlight w:val="none"/>
        </w:rPr>
        <w:t xml:space="preserve">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w:t>
      </w:r>
      <w:r>
        <w:rPr>
          <w:rFonts w:hint="eastAsia" w:cs="宋体"/>
          <w:color w:val="auto"/>
          <w:highlight w:val="none"/>
        </w:rPr>
        <w:t xml:space="preserve">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4.7.2推广应用绿色建材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4.7.3优先使用低挥发性有机化合物产品</w:t>
      </w:r>
      <w:r/>
    </w:p>
    <w:p>
      <w:pPr>
        <w:pStyle w:val="1037"/>
        <w:rPr>
          <w:rFonts w:hint="eastAsia" w:cs="宋体"/>
          <w:color w:val="auto"/>
          <w:highlight w:val="none"/>
        </w:rPr>
      </w:pPr>
      <w:r>
        <w:rPr>
          <w:rFonts w:hint="eastAsia" w:cs="宋体"/>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4.8履约保证金相关政策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4.8.2</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4.9采购本国产品的支持政策</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1" w:name="_1.8_计量单位"/>
      <w:r/>
      <w:bookmarkEnd w:id="111"/>
      <w:r/>
      <w:r/>
    </w:p>
    <w:p>
      <w:pPr>
        <w:ind w:left="1080"/>
        <w:spacing w:line="360" w:lineRule="auto"/>
        <w:tabs>
          <w:tab w:val="left" w:pos="1080" w:leader="none"/>
          <w:tab w:val="left" w:pos="1589" w:leader="none"/>
          <w:tab w:val="left" w:pos="2014" w:leader="none"/>
        </w:tabs>
        <w:rPr>
          <w:rStyle w:val="1129"/>
          <w:color w:val="auto"/>
          <w:sz w:val="24"/>
          <w:highlight w:val="none"/>
        </w:rPr>
      </w:pPr>
      <w:r>
        <w:rPr>
          <w:color w:val="auto"/>
          <w:sz w:val="24"/>
          <w:highlight w:val="none"/>
        </w:rPr>
      </w:r>
      <w:r/>
    </w:p>
    <w:p>
      <w:pPr>
        <w:pStyle w:val="102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112" w:name="_Toc164608792"/>
      <w:r/>
      <w:bookmarkStart w:id="113" w:name="_Toc520356147"/>
      <w:r/>
      <w:bookmarkStart w:id="114" w:name="_Toc127161437"/>
      <w:r/>
      <w:bookmarkStart w:id="115" w:name="_Toc264969213"/>
      <w:r/>
      <w:bookmarkStart w:id="116" w:name="_Toc226337219"/>
      <w:r/>
      <w:bookmarkStart w:id="117" w:name="_Toc226309767"/>
      <w:r/>
      <w:bookmarkStart w:id="118" w:name="_Toc151193911"/>
      <w:r/>
      <w:bookmarkStart w:id="119" w:name="_Toc150774728"/>
      <w:r/>
      <w:bookmarkStart w:id="120" w:name="_Toc149720816"/>
      <w:r/>
      <w:bookmarkStart w:id="121" w:name="_Toc150480761"/>
      <w:r/>
      <w:bookmarkStart w:id="122" w:name="_Toc164608637"/>
      <w:r/>
      <w:bookmarkStart w:id="123" w:name="_Toc226965713"/>
      <w:r/>
      <w:bookmarkStart w:id="124" w:name="_Toc226965796"/>
      <w:r/>
      <w:bookmarkStart w:id="125" w:name="_Toc164229364"/>
      <w:r/>
      <w:bookmarkStart w:id="126" w:name="_Toc127151724"/>
      <w:r/>
      <w:bookmarkStart w:id="127" w:name="_Toc164229218"/>
      <w:r/>
      <w:bookmarkStart w:id="128" w:name="_Toc150509274"/>
      <w:r/>
      <w:bookmarkStart w:id="129" w:name="_Toc142311025"/>
      <w:r/>
      <w:bookmarkStart w:id="130" w:name="_Toc305158791"/>
      <w:r/>
      <w:bookmarkStart w:id="131" w:name="_Toc150774623"/>
      <w:r/>
      <w:bookmarkStart w:id="132" w:name="_Toc151193765"/>
      <w:r/>
      <w:bookmarkStart w:id="133" w:name="_Toc151190150"/>
      <w:r/>
      <w:bookmarkStart w:id="134" w:name="_Toc195842888"/>
      <w:r/>
      <w:bookmarkStart w:id="135" w:name="_Toc151193621"/>
      <w:r/>
      <w:bookmarkStart w:id="136" w:name="_Toc265228361"/>
      <w:r/>
      <w:bookmarkStart w:id="137" w:name="_Toc305158865"/>
      <w:r/>
      <w:bookmarkStart w:id="138" w:name="_Toc164351617"/>
      <w:r/>
      <w:bookmarkStart w:id="139" w:name="_Toc151193693"/>
      <w:r/>
      <w:bookmarkStart w:id="140" w:name="_Toc151193837"/>
      <w:r/>
      <w:bookmarkStart w:id="141" w:name="_Toc127151523"/>
      <w:r>
        <w:rPr>
          <w:rFonts w:hint="eastAsia" w:ascii="宋体" w:hAnsi="宋体" w:cs="宋体"/>
          <w:color w:val="auto"/>
          <w:sz w:val="24"/>
          <w:highlight w:val="none"/>
        </w:rPr>
        <w:t xml:space="preserve">竞争性磋商文件构</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2" w:name="_Toc516367020"/>
      <w:r/>
      <w:bookmarkStart w:id="143" w:name="_Toc226965799"/>
      <w:r/>
      <w:bookmarkStart w:id="144" w:name="_Toc151193914"/>
      <w:r/>
      <w:bookmarkStart w:id="145" w:name="_Toc226337222"/>
      <w:r/>
      <w:bookmarkStart w:id="146" w:name="_Toc151193840"/>
      <w:r/>
      <w:bookmarkStart w:id="147" w:name="_Toc226309770"/>
      <w:r/>
      <w:bookmarkStart w:id="148" w:name="_Toc264969216"/>
      <w:r/>
      <w:bookmarkStart w:id="149" w:name="_Toc151193624"/>
      <w:r/>
      <w:bookmarkStart w:id="150" w:name="_Toc151193768"/>
      <w:r/>
      <w:bookmarkStart w:id="151" w:name="_Toc305158868"/>
      <w:r/>
      <w:bookmarkStart w:id="152" w:name="_Toc226965716"/>
      <w:r/>
      <w:bookmarkStart w:id="153" w:name="_Toc150480764"/>
      <w:r/>
      <w:bookmarkStart w:id="154" w:name="_Toc265228364"/>
      <w:r/>
      <w:bookmarkStart w:id="155" w:name="_Toc150509277"/>
      <w:r/>
      <w:bookmarkStart w:id="156" w:name="_Toc150774731"/>
      <w:r/>
      <w:bookmarkStart w:id="157" w:name="_Toc305158794"/>
      <w:r/>
      <w:bookmarkStart w:id="158" w:name="_Toc142311028"/>
      <w:r/>
      <w:bookmarkStart w:id="159" w:name="_Toc151193696"/>
      <w:r/>
      <w:bookmarkStart w:id="160" w:name="_Toc127151526"/>
      <w:r/>
      <w:bookmarkStart w:id="161" w:name="_Toc151190153"/>
      <w:r/>
      <w:bookmarkStart w:id="162" w:name="_Toc520356150"/>
      <w:r/>
      <w:bookmarkStart w:id="163" w:name="_Toc150774626"/>
      <w:r/>
      <w:bookmarkStart w:id="164" w:name="_Toc195842891"/>
      <w:r/>
      <w:r/>
    </w:p>
    <w:p>
      <w:pPr>
        <w:pStyle w:val="102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2"/>
      <w:r>
        <w:rPr>
          <w:rFonts w:ascii="Times New Roman" w:hAnsi="Times New Roman" w:eastAsia="宋体"/>
          <w:color w:val="auto"/>
          <w:sz w:val="28"/>
          <w:highlight w:val="none"/>
        </w:rPr>
        <w:t xml:space="preserve">的编制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165" w:name="_Toc226965800"/>
      <w:r/>
      <w:bookmarkStart w:id="166" w:name="_Toc150774627"/>
      <w:r/>
      <w:bookmarkStart w:id="167" w:name="_Toc151193915"/>
      <w:r/>
      <w:bookmarkStart w:id="168" w:name="_Toc164229222"/>
      <w:r/>
      <w:bookmarkStart w:id="169" w:name="_Toc150774732"/>
      <w:r/>
      <w:bookmarkStart w:id="170" w:name="_Toc520356151"/>
      <w:r/>
      <w:bookmarkStart w:id="171" w:name="_Toc127151728"/>
      <w:r/>
      <w:bookmarkStart w:id="172" w:name="_Toc127161441"/>
      <w:r/>
      <w:bookmarkStart w:id="173" w:name="_Toc226337223"/>
      <w:r/>
      <w:bookmarkStart w:id="174" w:name="_Toc151193625"/>
      <w:r/>
      <w:bookmarkStart w:id="175" w:name="_Toc164229368"/>
      <w:r/>
      <w:bookmarkStart w:id="176" w:name="_Toc305158795"/>
      <w:r/>
      <w:bookmarkStart w:id="177" w:name="_Toc265228365"/>
      <w:r/>
      <w:bookmarkStart w:id="178" w:name="_Toc164351621"/>
      <w:r/>
      <w:bookmarkStart w:id="179" w:name="_Toc195842892"/>
      <w:r/>
      <w:bookmarkStart w:id="180" w:name="_Toc149720820"/>
      <w:r/>
      <w:bookmarkStart w:id="181" w:name="_Toc226965717"/>
      <w:r/>
      <w:bookmarkStart w:id="182" w:name="_Toc164608796"/>
      <w:r/>
      <w:bookmarkStart w:id="183" w:name="_Toc305158869"/>
      <w:r/>
      <w:bookmarkStart w:id="184" w:name="_Toc164608641"/>
      <w:r/>
      <w:bookmarkStart w:id="185" w:name="_Toc516367021"/>
      <w:r/>
      <w:bookmarkStart w:id="186" w:name="_Toc151193769"/>
      <w:r/>
      <w:bookmarkStart w:id="187" w:name="_Toc151190154"/>
      <w:r/>
      <w:bookmarkStart w:id="188" w:name="_Toc151193841"/>
      <w:r/>
      <w:bookmarkStart w:id="189" w:name="_Toc150509278"/>
      <w:r/>
      <w:bookmarkStart w:id="190" w:name="_Toc226309771"/>
      <w:r/>
      <w:bookmarkStart w:id="191" w:name="_Toc150480765"/>
      <w:r/>
      <w:bookmarkStart w:id="192" w:name="_Toc264969217"/>
      <w:r/>
      <w:bookmarkStart w:id="193" w:name="_Toc127151527"/>
      <w:r/>
      <w:bookmarkStart w:id="194" w:name="_Toc151193697"/>
      <w:r/>
      <w:bookmarkStart w:id="195" w:name="_Toc142311029"/>
      <w:r>
        <w:rPr>
          <w:rFonts w:hint="eastAsia" w:ascii="宋体" w:hAnsi="宋体" w:cs="宋体"/>
          <w:color w:val="auto"/>
          <w:sz w:val="24"/>
          <w:highlight w:val="none"/>
        </w:rPr>
        <w:t xml:space="preserve">响应范围、竞争性磋商文件中计量单位的使用</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196" w:name="_Ref467306195"/>
      <w:r/>
      <w:bookmarkStart w:id="197" w:name="_Ref467306676"/>
      <w:r/>
      <w:bookmarkStart w:id="198" w:name="_Toc516367022"/>
      <w:r/>
      <w:bookmarkStart w:id="199" w:name="_Toc149720821"/>
      <w:r/>
      <w:bookmarkStart w:id="200" w:name="_Toc127151528"/>
      <w:r/>
      <w:bookmarkStart w:id="201" w:name="_Toc264969218"/>
      <w:r/>
      <w:bookmarkStart w:id="202" w:name="_Toc151190155"/>
      <w:r/>
      <w:bookmarkStart w:id="203" w:name="_Toc150774628"/>
      <w:r/>
      <w:bookmarkStart w:id="204" w:name="_Toc150774733"/>
      <w:r/>
      <w:bookmarkStart w:id="205" w:name="_Toc226337224"/>
      <w:r/>
      <w:bookmarkStart w:id="206" w:name="_Toc164229223"/>
      <w:r/>
      <w:bookmarkStart w:id="207" w:name="_Toc127161442"/>
      <w:r/>
      <w:bookmarkStart w:id="208" w:name="_Toc127151729"/>
      <w:r/>
      <w:bookmarkStart w:id="209" w:name="_Toc164351622"/>
      <w:r/>
      <w:bookmarkStart w:id="210" w:name="_Toc305158870"/>
      <w:r/>
      <w:bookmarkStart w:id="211" w:name="_Toc265228366"/>
      <w:r/>
      <w:bookmarkStart w:id="212" w:name="_Toc226309772"/>
      <w:r/>
      <w:bookmarkStart w:id="213" w:name="_Toc520356152"/>
      <w:r/>
      <w:bookmarkStart w:id="214" w:name="_Toc151193770"/>
      <w:r/>
      <w:bookmarkStart w:id="215" w:name="_Toc150509279"/>
      <w:r/>
      <w:bookmarkStart w:id="216" w:name="_Toc151193626"/>
      <w:r/>
      <w:bookmarkStart w:id="217" w:name="_Toc305158796"/>
      <w:r/>
      <w:bookmarkStart w:id="218" w:name="_Toc226965718"/>
      <w:r/>
      <w:bookmarkStart w:id="219" w:name="_Toc151193698"/>
      <w:r/>
      <w:bookmarkStart w:id="220" w:name="_Toc164608797"/>
      <w:r/>
      <w:bookmarkStart w:id="221" w:name="_Toc151193916"/>
      <w:r/>
      <w:bookmarkStart w:id="222" w:name="_Toc226965801"/>
      <w:r/>
      <w:bookmarkStart w:id="223" w:name="_Toc164229369"/>
      <w:r/>
      <w:bookmarkStart w:id="224" w:name="_Toc195842893"/>
      <w:r/>
      <w:bookmarkStart w:id="225" w:name="_Toc150480766"/>
      <w:r/>
      <w:bookmarkStart w:id="226" w:name="_Toc142311030"/>
      <w:r/>
      <w:bookmarkStart w:id="227" w:name="_Toc164608642"/>
      <w:r/>
      <w:bookmarkStart w:id="228" w:name="_Toc151193842"/>
      <w:r>
        <w:rPr>
          <w:rFonts w:hint="eastAsia" w:ascii="宋体" w:hAnsi="宋体" w:cs="宋体"/>
          <w:color w:val="auto"/>
          <w:sz w:val="24"/>
          <w:highlight w:val="none"/>
        </w:rPr>
        <w:t xml:space="preserve">响应文件</w:t>
      </w:r>
      <w:bookmarkEnd w:id="196"/>
      <w:r/>
      <w:bookmarkEnd w:id="197"/>
      <w:r/>
      <w:bookmarkEnd w:id="198"/>
      <w:r>
        <w:rPr>
          <w:rFonts w:hint="eastAsia" w:ascii="宋体" w:hAnsi="宋体" w:cs="宋体"/>
          <w:color w:val="auto"/>
          <w:sz w:val="24"/>
          <w:highlight w:val="none"/>
        </w:rPr>
        <w:t xml:space="preserve">构成</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bookmarkStart w:id="229"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29"/>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230" w:name="_Toc142311032"/>
      <w:r/>
      <w:bookmarkStart w:id="231" w:name="_Toc164229225"/>
      <w:r/>
      <w:bookmarkStart w:id="232" w:name="_Toc150774630"/>
      <w:r/>
      <w:bookmarkStart w:id="233" w:name="_Toc151193700"/>
      <w:r/>
      <w:bookmarkStart w:id="234" w:name="_Toc164608799"/>
      <w:r/>
      <w:bookmarkStart w:id="235" w:name="_Toc127151731"/>
      <w:r/>
      <w:bookmarkStart w:id="236" w:name="_Toc195842895"/>
      <w:r/>
      <w:bookmarkStart w:id="237" w:name="_Toc151190157"/>
      <w:r/>
      <w:bookmarkStart w:id="238" w:name="_Toc164608644"/>
      <w:r/>
      <w:bookmarkStart w:id="239" w:name="_Toc151193628"/>
      <w:r/>
      <w:bookmarkStart w:id="240" w:name="_Toc150774735"/>
      <w:r/>
      <w:bookmarkStart w:id="241" w:name="_Toc151193772"/>
      <w:r/>
      <w:bookmarkStart w:id="242" w:name="_Toc164229371"/>
      <w:r/>
      <w:bookmarkStart w:id="243" w:name="_Toc151193844"/>
      <w:r/>
      <w:bookmarkStart w:id="244" w:name="_Toc127151530"/>
      <w:r/>
      <w:bookmarkStart w:id="245" w:name="_Toc151193918"/>
      <w:r/>
      <w:bookmarkStart w:id="246" w:name="_Toc149720823"/>
      <w:r/>
      <w:bookmarkStart w:id="247" w:name="_Toc520356155"/>
      <w:r/>
      <w:bookmarkStart w:id="248" w:name="_Toc150480768"/>
      <w:r/>
      <w:bookmarkStart w:id="249" w:name="_Toc150509281"/>
      <w:r/>
      <w:bookmarkStart w:id="250" w:name="_Toc127161444"/>
      <w:r/>
      <w:bookmarkStart w:id="251" w:name="_Toc164351624"/>
      <w:r>
        <w:rPr>
          <w:rFonts w:hint="eastAsia" w:ascii="宋体" w:hAnsi="宋体" w:cs="宋体"/>
          <w:color w:val="auto"/>
          <w:sz w:val="24"/>
          <w:highlight w:val="none"/>
        </w:rPr>
        <w:t xml:space="preserve">报价</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8"/>
        </w:numPr>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磋商保证金：根据江苏省和常州市的相关文件规定，免收保证金。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252" w:name="_Toc195842898"/>
      <w:r/>
      <w:bookmarkStart w:id="253" w:name="_Toc127151533"/>
      <w:r/>
      <w:bookmarkStart w:id="254" w:name="_Toc305158875"/>
      <w:r/>
      <w:bookmarkStart w:id="255" w:name="_Toc226965723"/>
      <w:r/>
      <w:bookmarkStart w:id="256" w:name="_Toc151193631"/>
      <w:r/>
      <w:bookmarkStart w:id="257" w:name="_Toc164229228"/>
      <w:r/>
      <w:bookmarkStart w:id="258" w:name="_Toc150480771"/>
      <w:r/>
      <w:bookmarkStart w:id="259" w:name="_Toc127161447"/>
      <w:r/>
      <w:bookmarkStart w:id="260" w:name="_Toc164608647"/>
      <w:r/>
      <w:bookmarkStart w:id="261" w:name="_Toc149720826"/>
      <w:r/>
      <w:bookmarkStart w:id="262" w:name="_Toc127151734"/>
      <w:r/>
      <w:bookmarkStart w:id="263" w:name="_Toc520356158"/>
      <w:r/>
      <w:bookmarkStart w:id="264" w:name="_Toc265228371"/>
      <w:r/>
      <w:bookmarkStart w:id="265" w:name="_Toc226309777"/>
      <w:r/>
      <w:bookmarkStart w:id="266" w:name="_Toc151193921"/>
      <w:r/>
      <w:bookmarkStart w:id="267" w:name="_Toc150509284"/>
      <w:r/>
      <w:bookmarkStart w:id="268" w:name="_Toc151193847"/>
      <w:r/>
      <w:bookmarkStart w:id="269" w:name="_Toc164351627"/>
      <w:r/>
      <w:bookmarkStart w:id="270" w:name="_Toc150774633"/>
      <w:r/>
      <w:bookmarkStart w:id="271" w:name="_Toc151190160"/>
      <w:r/>
      <w:bookmarkStart w:id="272" w:name="_Toc226337229"/>
      <w:r/>
      <w:bookmarkStart w:id="273" w:name="_Toc151193703"/>
      <w:r/>
      <w:bookmarkStart w:id="274" w:name="_Toc226965806"/>
      <w:r/>
      <w:bookmarkStart w:id="275" w:name="_Toc150774738"/>
      <w:r/>
      <w:bookmarkStart w:id="276" w:name="_Toc142311035"/>
      <w:r/>
      <w:bookmarkStart w:id="277" w:name="_Toc264969223"/>
      <w:r/>
      <w:bookmarkStart w:id="278" w:name="_Toc164608802"/>
      <w:r/>
      <w:bookmarkStart w:id="279" w:name="_Toc151193775"/>
      <w:r/>
      <w:bookmarkStart w:id="280" w:name="_Toc305158801"/>
      <w:r/>
      <w:bookmarkStart w:id="281" w:name="_Toc164229374"/>
      <w:r>
        <w:rPr>
          <w:rFonts w:hint="eastAsia" w:ascii="宋体" w:hAnsi="宋体" w:cs="宋体"/>
          <w:color w:val="auto"/>
          <w:sz w:val="24"/>
          <w:highlight w:val="none"/>
        </w:rPr>
        <w:t xml:space="preserve">响应文件的签署</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rFonts w:hint="eastAsia" w:ascii="宋体" w:hAnsi="宋体" w:cs="宋体"/>
          <w:color w:val="auto"/>
          <w:sz w:val="24"/>
          <w:highlight w:val="none"/>
        </w:rPr>
      </w:pPr>
      <w:r/>
      <w:bookmarkStart w:id="282" w:name="_Toc520356159"/>
      <w:r/>
      <w:bookmarkStart w:id="283" w:name="_Toc265228372"/>
      <w:r/>
      <w:bookmarkStart w:id="284" w:name="_Toc264969224"/>
      <w:r/>
      <w:bookmarkStart w:id="285" w:name="_Toc142311036"/>
      <w:r/>
      <w:bookmarkStart w:id="286" w:name="_Toc150774634"/>
      <w:r/>
      <w:bookmarkStart w:id="287" w:name="_Toc195842899"/>
      <w:r/>
      <w:bookmarkStart w:id="288" w:name="_Toc151193922"/>
      <w:r/>
      <w:bookmarkStart w:id="289" w:name="_Toc127151534"/>
      <w:r/>
      <w:bookmarkStart w:id="290" w:name="_Toc151193776"/>
      <w:r/>
      <w:bookmarkStart w:id="291" w:name="_Toc226309778"/>
      <w:r/>
      <w:bookmarkStart w:id="292" w:name="_Toc305158876"/>
      <w:r/>
      <w:bookmarkStart w:id="293" w:name="_Toc150480772"/>
      <w:r/>
      <w:bookmarkStart w:id="294" w:name="_Toc151193632"/>
      <w:r/>
      <w:bookmarkStart w:id="295" w:name="_Toc150509285"/>
      <w:r/>
      <w:bookmarkStart w:id="296" w:name="_Toc305158802"/>
      <w:r/>
      <w:bookmarkStart w:id="297" w:name="_Toc151193848"/>
      <w:r/>
      <w:bookmarkStart w:id="298" w:name="_Toc226965807"/>
      <w:r/>
      <w:bookmarkStart w:id="299" w:name="_Toc151190161"/>
      <w:r/>
      <w:bookmarkStart w:id="300" w:name="_Toc226337230"/>
      <w:r/>
      <w:bookmarkStart w:id="301" w:name="_Toc226965724"/>
      <w:r/>
      <w:bookmarkStart w:id="302" w:name="_Toc151193704"/>
      <w:r/>
      <w:bookmarkStart w:id="303" w:name="_Toc150774739"/>
      <w:r>
        <w:rPr>
          <w:rFonts w:hint="eastAsia" w:ascii="宋体" w:hAnsi="宋体" w:cs="宋体"/>
          <w:color w:val="auto"/>
          <w:sz w:val="24"/>
          <w:highlight w:val="none"/>
        </w:rPr>
        <w:t xml:space="preserve">竞争性磋商文件要求签字、盖章的内容，供应商须按规定签字、盖章。</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102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304" w:name="_Toc150480773"/>
      <w:r/>
      <w:bookmarkStart w:id="305" w:name="_Toc520356160"/>
      <w:r/>
      <w:bookmarkStart w:id="306" w:name="_Toc305158803"/>
      <w:r/>
      <w:bookmarkStart w:id="307" w:name="_Toc150509286"/>
      <w:r/>
      <w:bookmarkStart w:id="308" w:name="_Toc127151535"/>
      <w:r/>
      <w:bookmarkStart w:id="309" w:name="_Toc151193849"/>
      <w:r/>
      <w:bookmarkStart w:id="310" w:name="_Toc151190162"/>
      <w:r/>
      <w:bookmarkStart w:id="311" w:name="_Toc226965725"/>
      <w:r/>
      <w:bookmarkStart w:id="312" w:name="_Toc151193777"/>
      <w:r/>
      <w:bookmarkStart w:id="313" w:name="_Toc151193923"/>
      <w:r/>
      <w:bookmarkStart w:id="314" w:name="_Toc164229230"/>
      <w:r/>
      <w:bookmarkStart w:id="315" w:name="_Toc305158877"/>
      <w:r/>
      <w:bookmarkStart w:id="316" w:name="_Toc150774740"/>
      <w:r/>
      <w:bookmarkStart w:id="317" w:name="_Toc142311037"/>
      <w:r/>
      <w:bookmarkStart w:id="318" w:name="_Toc265228373"/>
      <w:r/>
      <w:bookmarkStart w:id="319" w:name="_Toc164351629"/>
      <w:r/>
      <w:bookmarkStart w:id="320" w:name="_Toc149720828"/>
      <w:r/>
      <w:bookmarkStart w:id="321" w:name="_Toc151193633"/>
      <w:r/>
      <w:bookmarkStart w:id="322" w:name="_Toc164608649"/>
      <w:r/>
      <w:bookmarkStart w:id="323" w:name="_Toc226309779"/>
      <w:r/>
      <w:bookmarkStart w:id="324" w:name="_Toc127161449"/>
      <w:r/>
      <w:bookmarkStart w:id="325" w:name="_Toc151193705"/>
      <w:r/>
      <w:bookmarkStart w:id="326" w:name="_Toc164229376"/>
      <w:r/>
      <w:bookmarkStart w:id="327" w:name="_Toc226965808"/>
      <w:r/>
      <w:bookmarkStart w:id="328" w:name="_Toc226337231"/>
      <w:r/>
      <w:bookmarkStart w:id="329" w:name="_Toc150774635"/>
      <w:r/>
      <w:bookmarkStart w:id="330" w:name="_Toc264969225"/>
      <w:r/>
      <w:bookmarkStart w:id="331" w:name="_Toc195842900"/>
      <w:r/>
      <w:bookmarkStart w:id="332" w:name="_Toc127151736"/>
      <w:r/>
      <w:bookmarkStart w:id="333" w:name="_Toc164608804"/>
      <w:r>
        <w:rPr>
          <w:rFonts w:hint="eastAsia" w:ascii="宋体" w:hAnsi="宋体" w:cs="宋体"/>
          <w:color w:val="auto"/>
          <w:sz w:val="24"/>
          <w:highlight w:val="none"/>
        </w:rPr>
        <w:t xml:space="preserve">响应文件的</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color w:val="auto"/>
          <w:sz w:val="24"/>
          <w:highlight w:val="none"/>
        </w:rPr>
        <w:t xml:space="preserve">磋商开启前不需要提供纸质响应文件。中标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334" w:name="_Toc127161450"/>
      <w:r/>
      <w:bookmarkStart w:id="335" w:name="_Toc150509287"/>
      <w:r/>
      <w:bookmarkStart w:id="336" w:name="_Toc164608805"/>
      <w:r/>
      <w:bookmarkStart w:id="337" w:name="_Toc264969226"/>
      <w:r/>
      <w:bookmarkStart w:id="338" w:name="_Toc127151536"/>
      <w:r/>
      <w:bookmarkStart w:id="339" w:name="_Toc305158804"/>
      <w:r/>
      <w:bookmarkStart w:id="340" w:name="_Toc226965726"/>
      <w:r/>
      <w:bookmarkStart w:id="341" w:name="_Toc151193924"/>
      <w:r/>
      <w:bookmarkStart w:id="342" w:name="_Toc150774741"/>
      <w:r/>
      <w:bookmarkStart w:id="343" w:name="_Toc305158878"/>
      <w:r/>
      <w:bookmarkStart w:id="344" w:name="_Toc151193706"/>
      <w:r/>
      <w:bookmarkStart w:id="345" w:name="_Toc164608650"/>
      <w:r/>
      <w:bookmarkStart w:id="346" w:name="_Toc127151737"/>
      <w:r/>
      <w:bookmarkStart w:id="347" w:name="_Toc149720829"/>
      <w:r/>
      <w:bookmarkStart w:id="348" w:name="_Toc226965809"/>
      <w:r/>
      <w:bookmarkStart w:id="349" w:name="_Toc151193850"/>
      <w:r/>
      <w:bookmarkStart w:id="350" w:name="_Toc520356161"/>
      <w:r/>
      <w:bookmarkStart w:id="351" w:name="_Toc226309780"/>
      <w:r/>
      <w:bookmarkStart w:id="352" w:name="_Toc150774636"/>
      <w:r/>
      <w:bookmarkStart w:id="353" w:name="_Toc151190163"/>
      <w:r/>
      <w:bookmarkStart w:id="354" w:name="_Toc195842901"/>
      <w:r/>
      <w:bookmarkStart w:id="355" w:name="_Toc142311038"/>
      <w:r/>
      <w:bookmarkStart w:id="356" w:name="_Toc164351630"/>
      <w:r/>
      <w:bookmarkStart w:id="357" w:name="_Toc164229231"/>
      <w:r/>
      <w:bookmarkStart w:id="358" w:name="_Toc151193634"/>
      <w:r/>
      <w:bookmarkStart w:id="359" w:name="_Toc226337232"/>
      <w:r/>
      <w:bookmarkStart w:id="360" w:name="_Toc150480774"/>
      <w:r/>
      <w:bookmarkStart w:id="361" w:name="_Toc164229377"/>
      <w:r/>
      <w:bookmarkStart w:id="362" w:name="_Toc151193778"/>
      <w:r/>
      <w:bookmarkStart w:id="363" w:name="_Toc265228374"/>
      <w:r>
        <w:rPr>
          <w:rFonts w:hint="eastAsia" w:ascii="宋体" w:hAnsi="宋体" w:cs="宋体"/>
          <w:color w:val="auto"/>
          <w:sz w:val="24"/>
          <w:highlight w:val="none"/>
        </w:rPr>
        <w:t xml:space="preserve">响应文件截止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color w:val="auto"/>
          <w:sz w:val="24"/>
          <w:highlight w:val="none"/>
        </w:rPr>
        <w:t xml:space="preserve">时间</w:t>
      </w:r>
      <w:r/>
    </w:p>
    <w:p>
      <w:pPr>
        <w:ind w:left="990" w:hanging="511"/>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364" w:name="_Toc520356162"/>
      <w:r/>
      <w:bookmarkStart w:id="365" w:name="_Toc151193707"/>
      <w:r/>
      <w:bookmarkStart w:id="366" w:name="_Toc265228375"/>
      <w:r/>
      <w:bookmarkStart w:id="367" w:name="_Toc150509288"/>
      <w:r/>
      <w:bookmarkStart w:id="368" w:name="_Toc142311039"/>
      <w:r/>
      <w:bookmarkStart w:id="369" w:name="_Toc127151537"/>
      <w:r/>
      <w:bookmarkStart w:id="370" w:name="_Toc149720830"/>
      <w:r/>
      <w:bookmarkStart w:id="371" w:name="_Toc164608651"/>
      <w:r/>
      <w:bookmarkStart w:id="372" w:name="_Toc226965810"/>
      <w:r/>
      <w:bookmarkStart w:id="373" w:name="_Toc195842902"/>
      <w:r/>
      <w:bookmarkStart w:id="374" w:name="_Toc164229378"/>
      <w:r/>
      <w:bookmarkStart w:id="375" w:name="_Toc164608806"/>
      <w:r/>
      <w:bookmarkStart w:id="376" w:name="_Toc151193779"/>
      <w:r/>
      <w:bookmarkStart w:id="377" w:name="_Toc150480775"/>
      <w:r/>
      <w:bookmarkStart w:id="378" w:name="_Toc305158805"/>
      <w:r/>
      <w:bookmarkStart w:id="379" w:name="_Toc264969227"/>
      <w:r/>
      <w:bookmarkStart w:id="380" w:name="_Toc226965727"/>
      <w:r/>
      <w:bookmarkStart w:id="381" w:name="_Toc150774742"/>
      <w:r/>
      <w:bookmarkStart w:id="382" w:name="_Toc151190164"/>
      <w:r/>
      <w:bookmarkStart w:id="383" w:name="_Toc151193635"/>
      <w:r/>
      <w:bookmarkStart w:id="384" w:name="_Toc305158879"/>
      <w:r/>
      <w:bookmarkStart w:id="385" w:name="_Toc150774637"/>
      <w:r/>
      <w:bookmarkStart w:id="386" w:name="_Toc226309781"/>
      <w:r/>
      <w:bookmarkStart w:id="387" w:name="_Toc151193925"/>
      <w:r/>
      <w:bookmarkStart w:id="388" w:name="_Toc127151738"/>
      <w:r/>
      <w:bookmarkStart w:id="389" w:name="_Toc226337233"/>
      <w:r/>
      <w:bookmarkStart w:id="390" w:name="_Toc164229232"/>
      <w:r/>
      <w:bookmarkStart w:id="391" w:name="_Toc151193851"/>
      <w:r/>
      <w:bookmarkStart w:id="392" w:name="_Toc164351631"/>
      <w:r/>
      <w:bookmarkStart w:id="393" w:name="_Toc127161451"/>
      <w:r>
        <w:rPr>
          <w:rFonts w:hint="eastAsia" w:ascii="宋体" w:hAnsi="宋体" w:cs="宋体"/>
          <w:color w:val="auto"/>
          <w:sz w:val="24"/>
          <w:highlight w:val="none"/>
        </w:rPr>
        <w:t xml:space="preserve">响应文件的修改与撤回</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991" w:hanging="422"/>
        <w:spacing w:line="360" w:lineRule="auto"/>
        <w:tabs>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21"/>
        <w:ind w:left="600" w:hanging="6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五、评审</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供应商不足3家的，不予开启。</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bookmarkStart w:id="394" w:name="_Toc520356165"/>
      <w:r>
        <w:rPr>
          <w:rFonts w:hint="eastAsia" w:ascii="宋体" w:hAnsi="宋体" w:cs="宋体"/>
          <w:color w:val="auto"/>
          <w:sz w:val="24"/>
          <w:highlight w:val="none"/>
        </w:rPr>
        <w:t xml:space="preserve">本项目不公开报价。</w:t>
      </w:r>
      <w:bookmarkEnd w:id="394"/>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395" w:name="_Toc520356166"/>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395"/>
      <w:r/>
      <w:bookmarkStart w:id="396" w:name="_Toc520356169"/>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21"/>
        <w:spacing w:before="0" w:line="360" w:lineRule="auto"/>
        <w:rPr>
          <w:rFonts w:ascii="Times New Roman" w:hAnsi="Times New Roman" w:eastAsia="宋体"/>
          <w:color w:val="auto"/>
          <w:sz w:val="28"/>
          <w:highlight w:val="none"/>
        </w:rPr>
      </w:pPr>
      <w:r/>
      <w:bookmarkStart w:id="397" w:name="_Toc151190172"/>
      <w:r/>
      <w:bookmarkStart w:id="398" w:name="_Toc151193787"/>
      <w:r/>
      <w:bookmarkStart w:id="399" w:name="_Toc151193643"/>
      <w:r/>
      <w:bookmarkStart w:id="400" w:name="_Toc142311047"/>
      <w:r/>
      <w:bookmarkStart w:id="401" w:name="_Toc127151545"/>
      <w:r/>
      <w:bookmarkStart w:id="402" w:name="_Toc226309789"/>
      <w:r/>
      <w:bookmarkStart w:id="403" w:name="_Toc151193859"/>
      <w:r/>
      <w:bookmarkStart w:id="404" w:name="_Toc226965735"/>
      <w:r/>
      <w:bookmarkStart w:id="405" w:name="_Toc265228383"/>
      <w:r/>
      <w:bookmarkStart w:id="406" w:name="_Toc195842910"/>
      <w:r/>
      <w:bookmarkStart w:id="407" w:name="_Toc151193715"/>
      <w:r/>
      <w:bookmarkStart w:id="408" w:name="_Toc150774645"/>
      <w:r/>
      <w:bookmarkStart w:id="409" w:name="_Toc226337241"/>
      <w:r/>
      <w:bookmarkStart w:id="410" w:name="_Toc305158813"/>
      <w:r/>
      <w:bookmarkStart w:id="411" w:name="_Toc150509296"/>
      <w:r/>
      <w:bookmarkStart w:id="412" w:name="_Toc150774750"/>
      <w:r/>
      <w:bookmarkStart w:id="413" w:name="_Toc305158887"/>
      <w:r/>
      <w:bookmarkStart w:id="414" w:name="_Toc150480783"/>
      <w:r/>
      <w:bookmarkStart w:id="415" w:name="_Toc264969235"/>
      <w:r/>
      <w:bookmarkStart w:id="416" w:name="_Toc226965818"/>
      <w:r/>
      <w:bookmarkStart w:id="417" w:name="_Toc151193933"/>
      <w:r>
        <w:rPr>
          <w:rFonts w:ascii="Times New Roman" w:hAnsi="Times New Roman" w:eastAsia="宋体"/>
          <w:color w:val="auto"/>
          <w:sz w:val="28"/>
          <w:highlight w:val="none"/>
        </w:rPr>
        <w:t xml:space="preserve">六</w:t>
      </w:r>
      <w:bookmarkEnd w:id="396"/>
      <w:r>
        <w:rPr>
          <w:rFonts w:ascii="Times New Roman" w:hAnsi="Times New Roman" w:eastAsia="宋体"/>
          <w:color w:val="auto"/>
          <w:sz w:val="28"/>
          <w:highlight w:val="none"/>
        </w:rPr>
        <w:t xml:space="preserve">、确定</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418" w:name="_Toc149720840"/>
      <w:r/>
      <w:bookmarkStart w:id="419" w:name="_Toc151193717"/>
      <w:r/>
      <w:bookmarkStart w:id="420" w:name="_Toc264969237"/>
      <w:r/>
      <w:bookmarkStart w:id="421" w:name="_Toc305158889"/>
      <w:r/>
      <w:bookmarkStart w:id="422" w:name="_Toc127151547"/>
      <w:r/>
      <w:bookmarkStart w:id="423" w:name="_Toc164229242"/>
      <w:r/>
      <w:bookmarkStart w:id="424" w:name="_Toc127151748"/>
      <w:r/>
      <w:bookmarkStart w:id="425" w:name="_Toc150480785"/>
      <w:r/>
      <w:bookmarkStart w:id="426" w:name="_Toc150774752"/>
      <w:r/>
      <w:bookmarkStart w:id="427" w:name="_Toc195842912"/>
      <w:r/>
      <w:bookmarkStart w:id="428" w:name="_Toc164608816"/>
      <w:r/>
      <w:bookmarkStart w:id="429" w:name="_Toc150509298"/>
      <w:r/>
      <w:bookmarkStart w:id="430" w:name="_Toc151190174"/>
      <w:r/>
      <w:bookmarkStart w:id="431" w:name="_Toc265228385"/>
      <w:r/>
      <w:bookmarkStart w:id="432" w:name="_Toc164608661"/>
      <w:r/>
      <w:bookmarkStart w:id="433" w:name="_Toc164229388"/>
      <w:r/>
      <w:bookmarkStart w:id="434" w:name="_Toc164351641"/>
      <w:r/>
      <w:bookmarkStart w:id="435" w:name="_Toc151193789"/>
      <w:r/>
      <w:bookmarkStart w:id="436" w:name="_Toc226965737"/>
      <w:r/>
      <w:bookmarkStart w:id="437" w:name="_Toc226337243"/>
      <w:r/>
      <w:bookmarkStart w:id="438" w:name="_Toc226309791"/>
      <w:r/>
      <w:bookmarkStart w:id="439" w:name="_Toc305158815"/>
      <w:r/>
      <w:bookmarkStart w:id="440" w:name="_Toc127161461"/>
      <w:r/>
      <w:bookmarkStart w:id="441" w:name="_Toc151193645"/>
      <w:r/>
      <w:bookmarkStart w:id="442" w:name="_Toc226965820"/>
      <w:r/>
      <w:bookmarkStart w:id="443" w:name="_Toc151193935"/>
      <w:r/>
      <w:bookmarkStart w:id="444" w:name="_Toc142311049"/>
      <w:r/>
      <w:bookmarkStart w:id="445" w:name="_Toc151193861"/>
      <w:r/>
      <w:bookmarkStart w:id="446" w:name="_Toc150774647"/>
      <w:r>
        <w:rPr>
          <w:rFonts w:hint="eastAsia" w:ascii="宋体" w:hAnsi="宋体" w:cs="宋体"/>
          <w:color w:val="auto"/>
          <w:sz w:val="24"/>
          <w:highlight w:val="none"/>
        </w:rPr>
        <w:t xml:space="preserve">确定成交供应商</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447" w:name="_Toc305158817"/>
      <w:r/>
      <w:bookmarkStart w:id="448" w:name="_Toc305158891"/>
      <w:r/>
      <w:bookmarkStart w:id="449" w:name="_Toc195842914"/>
      <w:r/>
      <w:bookmarkStart w:id="450" w:name="_Toc151193863"/>
      <w:r/>
      <w:bookmarkStart w:id="451" w:name="_Toc149720842"/>
      <w:r/>
      <w:bookmarkStart w:id="452" w:name="_Toc142311051"/>
      <w:r/>
      <w:bookmarkStart w:id="453" w:name="_Toc150509300"/>
      <w:r/>
      <w:bookmarkStart w:id="454" w:name="_Toc151193719"/>
      <w:r/>
      <w:bookmarkStart w:id="455" w:name="_Toc150774754"/>
      <w:r/>
      <w:bookmarkStart w:id="456" w:name="_Toc150774649"/>
      <w:r/>
      <w:bookmarkStart w:id="457" w:name="_Toc151190176"/>
      <w:r/>
      <w:bookmarkStart w:id="458" w:name="_Toc164229244"/>
      <w:r/>
      <w:bookmarkStart w:id="459" w:name="_Toc150480787"/>
      <w:r/>
      <w:bookmarkStart w:id="460" w:name="_Toc151193937"/>
      <w:r/>
      <w:bookmarkStart w:id="461" w:name="_Toc226965822"/>
      <w:r/>
      <w:bookmarkStart w:id="462" w:name="_Toc151193791"/>
      <w:r/>
      <w:bookmarkStart w:id="463" w:name="_Toc151193647"/>
      <w:r/>
      <w:bookmarkStart w:id="464" w:name="_Toc226965739"/>
      <w:r/>
      <w:bookmarkStart w:id="465" w:name="_Toc127151750"/>
      <w:r/>
      <w:bookmarkStart w:id="466" w:name="_Toc164351643"/>
      <w:r/>
      <w:bookmarkStart w:id="467" w:name="_Toc127151549"/>
      <w:r/>
      <w:bookmarkStart w:id="468" w:name="_Toc264969239"/>
      <w:r/>
      <w:bookmarkStart w:id="469" w:name="_Toc265228387"/>
      <w:r/>
      <w:bookmarkStart w:id="470" w:name="_Toc164608663"/>
      <w:r/>
      <w:bookmarkStart w:id="471" w:name="_Toc164229390"/>
      <w:r/>
      <w:bookmarkStart w:id="472" w:name="_Toc127161463"/>
      <w:r/>
      <w:bookmarkStart w:id="473" w:name="_Toc226337245"/>
      <w:r/>
      <w:bookmarkStart w:id="474" w:name="_Toc164608818"/>
      <w:r/>
      <w:bookmarkStart w:id="475" w:name="_Toc226309793"/>
      <w:r/>
      <w:bookmarkStart w:id="476" w:name="_Toc520356176"/>
      <w:r/>
      <w:bookmarkStart w:id="477" w:name="_Ref467306425"/>
      <w:r/>
      <w:bookmarkStart w:id="478" w:name="_Ref467307090"/>
      <w:r>
        <w:rPr>
          <w:rFonts w:hint="eastAsia" w:ascii="宋体" w:hAnsi="宋体" w:cs="宋体"/>
          <w:color w:val="auto"/>
          <w:sz w:val="24"/>
          <w:highlight w:val="none"/>
        </w:rPr>
        <w:t xml:space="preserve">成交公告与成交通知书</w:t>
      </w:r>
      <w:bookmarkEnd w:id="447"/>
      <w:r/>
      <w:bookmarkEnd w:id="448"/>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情况严重且影响采购活动公平、公正性的。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bookmarkStart w:id="479" w:name="_Toc164229391"/>
      <w:r/>
      <w:bookmarkStart w:id="480" w:name="_Toc164351644"/>
      <w:r/>
      <w:bookmarkStart w:id="481" w:name="_Toc164229245"/>
      <w:r/>
      <w:bookmarkStart w:id="482" w:name="_Toc226965823"/>
      <w:r/>
      <w:bookmarkStart w:id="483" w:name="_Toc265228388"/>
      <w:r/>
      <w:bookmarkStart w:id="484" w:name="_Toc164608664"/>
      <w:r/>
      <w:bookmarkStart w:id="485" w:name="_Toc150480788"/>
      <w:r/>
      <w:bookmarkStart w:id="486" w:name="_Ref467306978"/>
      <w:r/>
      <w:bookmarkStart w:id="487" w:name="_Ref467307204"/>
      <w:r/>
      <w:bookmarkStart w:id="488" w:name="_Toc150774650"/>
      <w:r/>
      <w:bookmarkStart w:id="489" w:name="_Toc226309794"/>
      <w:r/>
      <w:bookmarkStart w:id="490" w:name="_Toc150509301"/>
      <w:r/>
      <w:bookmarkStart w:id="491" w:name="_Toc226965740"/>
      <w:r/>
      <w:bookmarkStart w:id="492" w:name="_Toc305158818"/>
      <w:r/>
      <w:bookmarkStart w:id="493" w:name="_Toc151193864"/>
      <w:r/>
      <w:bookmarkStart w:id="494" w:name="_Toc520356175"/>
      <w:r/>
      <w:bookmarkStart w:id="495" w:name="_Toc151193648"/>
      <w:r/>
      <w:bookmarkStart w:id="496" w:name="_Toc149720843"/>
      <w:r/>
      <w:bookmarkStart w:id="497" w:name="_Ref467307062"/>
      <w:r/>
      <w:bookmarkStart w:id="498" w:name="_Toc164608819"/>
      <w:r/>
      <w:bookmarkStart w:id="499" w:name="_Toc127161464"/>
      <w:r/>
      <w:bookmarkStart w:id="500" w:name="_Toc151190177"/>
      <w:r/>
      <w:bookmarkStart w:id="501" w:name="_Toc305158892"/>
      <w:r/>
      <w:bookmarkStart w:id="502" w:name="_Ref467306377"/>
      <w:r/>
      <w:bookmarkStart w:id="503" w:name="_Toc264969240"/>
      <w:r/>
      <w:bookmarkStart w:id="504" w:name="_Toc226337246"/>
      <w:r/>
      <w:bookmarkStart w:id="505" w:name="_Toc142311052"/>
      <w:r/>
      <w:bookmarkStart w:id="506" w:name="_Toc195842915"/>
      <w:r/>
      <w:bookmarkStart w:id="507" w:name="_Toc151193938"/>
      <w:r/>
      <w:bookmarkStart w:id="508" w:name="_Toc127151550"/>
      <w:r/>
      <w:bookmarkStart w:id="509" w:name="_Toc150774755"/>
      <w:r/>
      <w:bookmarkStart w:id="510" w:name="_Toc151193720"/>
      <w:r/>
      <w:bookmarkStart w:id="511" w:name="_Toc151193792"/>
      <w:r/>
      <w:bookmarkStart w:id="512" w:name="_Toc127151751"/>
      <w:r>
        <w:rPr>
          <w:rFonts w:hint="eastAsia" w:ascii="宋体" w:hAnsi="宋体" w:cs="宋体"/>
          <w:color w:val="auto"/>
          <w:sz w:val="24"/>
          <w:highlight w:val="none"/>
        </w:rPr>
        <w:t xml:space="preserve">签订合同</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476"/>
      <w:r/>
      <w:bookmarkEnd w:id="477"/>
      <w:r/>
      <w:bookmarkEnd w:id="478"/>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HYPERLINK "http://gks.mof.gov.cn/ztztz/zhengfucaigouguanli/201802/t20180201_2804589.htm"</w:instrText>
      </w:r>
      <w:r>
        <w:rPr>
          <w:color w:val="auto"/>
          <w:highlight w:val="none"/>
        </w:rPr>
        <w:fldChar w:fldCharType="separate"/>
      </w:r>
      <w:r>
        <w:rPr>
          <w:rStyle w:val="1069"/>
          <w:rFonts w:hint="eastAsia" w:ascii="宋体" w:hAnsi="宋体" w:cs="宋体"/>
          <w:color w:val="auto"/>
          <w:sz w:val="24"/>
          <w:highlight w:val="none"/>
        </w:rPr>
        <w:t xml:space="preserve">http://gk</w:t>
      </w:r>
      <w:bookmarkStart w:id="513" w:name="_Hlt100654014"/>
      <w:r>
        <w:rPr>
          <w:rStyle w:val="1069"/>
          <w:rFonts w:hint="eastAsia" w:ascii="宋体" w:hAnsi="宋体" w:cs="宋体"/>
          <w:color w:val="auto"/>
          <w:sz w:val="24"/>
          <w:highlight w:val="none"/>
        </w:rPr>
        <w:t xml:space="preserve">s</w:t>
      </w:r>
      <w:bookmarkEnd w:id="513"/>
      <w:r>
        <w:rPr>
          <w:rStyle w:val="1069"/>
          <w:rFonts w:hint="eastAsia" w:ascii="宋体" w:hAnsi="宋体" w:cs="宋体"/>
          <w:color w:val="auto"/>
          <w:sz w:val="24"/>
          <w:highlight w:val="none"/>
        </w:rPr>
        <w:t xml:space="preserve">.m</w:t>
      </w:r>
      <w:bookmarkStart w:id="514" w:name="_Hlt100653994"/>
      <w:r/>
      <w:bookmarkStart w:id="515" w:name="_Hlt100653993"/>
      <w:r>
        <w:rPr>
          <w:rStyle w:val="1069"/>
          <w:rFonts w:hint="eastAsia" w:ascii="宋体" w:hAnsi="宋体" w:cs="宋体"/>
          <w:color w:val="auto"/>
          <w:sz w:val="24"/>
          <w:highlight w:val="none"/>
        </w:rPr>
        <w:t xml:space="preserve">o</w:t>
      </w:r>
      <w:bookmarkEnd w:id="514"/>
      <w:r/>
      <w:bookmarkEnd w:id="515"/>
      <w:r/>
      <w:bookmarkStart w:id="516" w:name="_Hlt101169156"/>
      <w:r>
        <w:rPr>
          <w:rStyle w:val="1069"/>
          <w:rFonts w:hint="eastAsia" w:ascii="宋体" w:hAnsi="宋体" w:cs="宋体"/>
          <w:color w:val="auto"/>
          <w:sz w:val="24"/>
          <w:highlight w:val="none"/>
        </w:rPr>
        <w:t xml:space="preserve">f</w:t>
      </w:r>
      <w:bookmarkEnd w:id="516"/>
      <w:r>
        <w:rPr>
          <w:rStyle w:val="1069"/>
          <w:rFonts w:hint="eastAsia" w:ascii="宋体" w:hAnsi="宋体" w:cs="宋体"/>
          <w:color w:val="auto"/>
          <w:sz w:val="24"/>
          <w:highlight w:val="none"/>
        </w:rPr>
        <w:t xml:space="preserve">.gov.cn/ztztz/zhengfucaigouguanli/201802/t20180201_2804589.htm</w:t>
      </w:r>
      <w:r>
        <w:rPr>
          <w:color w:val="auto"/>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cs="宋体"/>
          <w:color w:val="auto"/>
          <w:sz w:val="24"/>
          <w:highlight w:val="none"/>
        </w:rPr>
      </w:r>
      <w:bookmarkEnd w:id="15"/>
      <w:r/>
      <w:bookmarkEnd w:id="16"/>
      <w:r/>
      <w:bookmarkEnd w:id="29"/>
      <w:r/>
      <w:bookmarkEnd w:id="30"/>
      <w:r/>
      <w:bookmarkEnd w:id="31"/>
      <w:r/>
      <w:bookmarkEnd w:id="32"/>
      <w:r/>
      <w:r/>
    </w:p>
    <w:p>
      <w:pPr>
        <w:jc w:val="center"/>
        <w:spacing w:line="360" w:lineRule="auto"/>
        <w:rPr>
          <w:b/>
          <w:color w:val="auto"/>
          <w:sz w:val="36"/>
          <w:szCs w:val="36"/>
          <w:highlight w:val="none"/>
        </w:rPr>
        <w:outlineLvl w:val="0"/>
      </w:pPr>
      <w:r/>
      <w:bookmarkStart w:id="517" w:name="_Toc226337250"/>
      <w:r/>
      <w:bookmarkStart w:id="518" w:name="_Toc150774759"/>
      <w:r/>
      <w:bookmarkStart w:id="519" w:name="_Toc264969244"/>
      <w:r/>
      <w:bookmarkStart w:id="520" w:name="_Toc305158896"/>
      <w:r/>
      <w:bookmarkStart w:id="521" w:name="_Toc226965827"/>
      <w:r/>
      <w:bookmarkStart w:id="522" w:name="_Toc142311056"/>
      <w:r/>
      <w:bookmarkStart w:id="523" w:name="_Toc127151554"/>
      <w:r/>
      <w:bookmarkStart w:id="524" w:name="_Toc353825544"/>
      <w:r/>
      <w:bookmarkStart w:id="525" w:name="_Toc265228392"/>
      <w:r/>
      <w:bookmarkStart w:id="526" w:name="_Toc353873934"/>
      <w:r/>
      <w:bookmarkStart w:id="527" w:name="_Toc353873664"/>
      <w:r/>
      <w:bookmarkStart w:id="528" w:name="_Toc305158822"/>
      <w:r/>
      <w:bookmarkStart w:id="529" w:name="_Toc150480792"/>
      <w:r/>
      <w:bookmarkStart w:id="530" w:name="_Toc193985580"/>
      <w:r/>
      <w:bookmarkStart w:id="531" w:name="_Toc164229214"/>
      <w:r/>
      <w:bookmarkStart w:id="532" w:name="_Toc164229360"/>
      <w:r/>
      <w:bookmarkStart w:id="533" w:name="_Toc142311021"/>
      <w:r/>
      <w:bookmarkStart w:id="534" w:name="_Toc226965709"/>
      <w:r/>
      <w:bookmarkStart w:id="535" w:name="_Toc150480757"/>
      <w:r/>
      <w:bookmarkStart w:id="536" w:name="_Toc149720812"/>
      <w:r/>
      <w:bookmarkStart w:id="537" w:name="_Toc127151720"/>
      <w:r/>
      <w:bookmarkStart w:id="538" w:name="_Toc164608633"/>
      <w:r/>
      <w:bookmarkStart w:id="539" w:name="_Toc226965792"/>
      <w:r/>
      <w:bookmarkStart w:id="540" w:name="_Toc164608788"/>
      <w:r/>
      <w:bookmarkStart w:id="541" w:name="_Toc151193761"/>
      <w:r/>
      <w:bookmarkStart w:id="542" w:name="_Toc127161433"/>
      <w:r/>
      <w:bookmarkStart w:id="543" w:name="_Toc150774619"/>
      <w:r/>
      <w:bookmarkStart w:id="544" w:name="_Toc150509270"/>
      <w:r/>
      <w:bookmarkStart w:id="545" w:name="_Toc151193833"/>
      <w:r/>
      <w:bookmarkStart w:id="546" w:name="_Toc520356144"/>
      <w:r/>
      <w:bookmarkStart w:id="547" w:name="_Toc151193617"/>
      <w:r/>
      <w:bookmarkStart w:id="548" w:name="_Toc127151519"/>
      <w:r/>
      <w:bookmarkStart w:id="549" w:name="_Toc151193907"/>
      <w:r/>
      <w:bookmarkStart w:id="550" w:name="_Toc164351613"/>
      <w:r/>
      <w:bookmarkStart w:id="551" w:name="_Toc151193689"/>
      <w:r/>
      <w:bookmarkStart w:id="552" w:name="_Toc150774724"/>
      <w:r/>
      <w:bookmarkStart w:id="553" w:name="_Toc226309763"/>
      <w:r/>
      <w:bookmarkStart w:id="554" w:name="_Toc226337215"/>
      <w:r/>
      <w:bookmarkStart w:id="555" w:name="_Toc195842884"/>
      <w:r/>
      <w:bookmarkStart w:id="556" w:name="_Toc151190146"/>
      <w:r>
        <w:rPr>
          <w:b/>
          <w:color w:val="auto"/>
          <w:sz w:val="36"/>
          <w:szCs w:val="36"/>
          <w:highlight w:val="none"/>
        </w:rPr>
        <w:t xml:space="preserve">第三章   </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30"/>
      <w:r/>
      <w:bookmarkStart w:id="557" w:name="_Toc487900382"/>
      <w:r/>
      <w:r/>
    </w:p>
    <w:p>
      <w:pPr>
        <w:pStyle w:val="1021"/>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0"/>
          <w:numId w:val="10"/>
        </w:numPr>
        <w:spacing w:line="360" w:lineRule="auto"/>
        <w:tabs>
          <w:tab w:val="left" w:pos="360" w:leader="none"/>
        </w:tabs>
        <w:rPr>
          <w:color w:val="auto"/>
          <w:sz w:val="24"/>
          <w:highlight w:val="none"/>
        </w:rPr>
        <w:outlineLvl w:val="1"/>
      </w:pPr>
      <w:r/>
      <w:bookmarkStart w:id="558" w:name="_Toc226965731"/>
      <w:r/>
      <w:bookmarkStart w:id="559" w:name="_Toc151193639"/>
      <w:r/>
      <w:bookmarkStart w:id="560" w:name="_Toc226965814"/>
      <w:r/>
      <w:bookmarkStart w:id="561" w:name="_Toc150774746"/>
      <w:r/>
      <w:bookmarkStart w:id="562" w:name="_Toc305158809"/>
      <w:r/>
      <w:bookmarkStart w:id="563" w:name="_Toc127151541"/>
      <w:r/>
      <w:bookmarkStart w:id="564" w:name="_Toc150480779"/>
      <w:r/>
      <w:bookmarkStart w:id="565" w:name="_Toc264969231"/>
      <w:r/>
      <w:bookmarkStart w:id="566" w:name="_Toc164229236"/>
      <w:r/>
      <w:bookmarkStart w:id="567" w:name="_Toc151193929"/>
      <w:r/>
      <w:bookmarkStart w:id="568" w:name="_Toc127161455"/>
      <w:r/>
      <w:bookmarkStart w:id="569" w:name="_Toc151193855"/>
      <w:r/>
      <w:bookmarkStart w:id="570" w:name="_Toc142311043"/>
      <w:r/>
      <w:bookmarkStart w:id="571" w:name="_Toc151193783"/>
      <w:r/>
      <w:bookmarkStart w:id="572" w:name="_Toc151193711"/>
      <w:r/>
      <w:bookmarkStart w:id="573" w:name="_Toc164608810"/>
      <w:r/>
      <w:bookmarkStart w:id="574" w:name="_Toc164229382"/>
      <w:r/>
      <w:bookmarkStart w:id="575" w:name="_Toc149720834"/>
      <w:r/>
      <w:bookmarkStart w:id="576" w:name="_Toc164608655"/>
      <w:r/>
      <w:bookmarkStart w:id="577" w:name="_Toc150774641"/>
      <w:r/>
      <w:bookmarkStart w:id="578" w:name="_Toc305158883"/>
      <w:r/>
      <w:bookmarkStart w:id="579" w:name="_Toc127151742"/>
      <w:r/>
      <w:bookmarkStart w:id="580" w:name="_Toc164351635"/>
      <w:r/>
      <w:bookmarkStart w:id="581" w:name="_Toc265228379"/>
      <w:r/>
      <w:bookmarkStart w:id="582" w:name="_Toc226309785"/>
      <w:r/>
      <w:bookmarkStart w:id="583" w:name="_Toc226337237"/>
      <w:r/>
      <w:bookmarkStart w:id="584" w:name="_Toc151190168"/>
      <w:r/>
      <w:bookmarkStart w:id="585" w:name="_Toc195842906"/>
      <w:r/>
      <w:bookmarkStart w:id="586" w:name="_Toc150509292"/>
      <w:r/>
      <w:bookmarkStart w:id="587" w:name="_Toc353825551"/>
      <w:r/>
      <w:bookmarkStart w:id="588" w:name="_Toc353873941"/>
      <w:r/>
      <w:bookmarkStart w:id="589" w:name="_Toc265228393"/>
      <w:r/>
      <w:bookmarkStart w:id="590" w:name="_Toc353873935"/>
      <w:r/>
      <w:bookmarkStart w:id="591" w:name="_Toc195842920"/>
      <w:r/>
      <w:bookmarkStart w:id="592" w:name="_Toc142311057"/>
      <w:r/>
      <w:bookmarkStart w:id="593" w:name="_Toc305158823"/>
      <w:r/>
      <w:bookmarkStart w:id="594" w:name="_Toc353873665"/>
      <w:r/>
      <w:bookmarkStart w:id="595" w:name="_Toc226337251"/>
      <w:r/>
      <w:bookmarkStart w:id="596" w:name="_Toc150774760"/>
      <w:r/>
      <w:bookmarkStart w:id="597" w:name="_Toc226965828"/>
      <w:r/>
      <w:bookmarkStart w:id="598" w:name="_Toc353825545"/>
      <w:r/>
      <w:bookmarkStart w:id="599" w:name="_Toc127151555"/>
      <w:r/>
      <w:bookmarkStart w:id="600" w:name="_Toc150480793"/>
      <w:r/>
      <w:bookmarkStart w:id="601" w:name="_Toc264969245"/>
      <w:r/>
      <w:bookmarkStart w:id="602" w:name="_Toc305158897"/>
      <w:r>
        <w:rPr>
          <w:color w:val="auto"/>
          <w:sz w:val="24"/>
          <w:highlight w:val="none"/>
        </w:rPr>
        <w:t xml:space="preserve">响应文件的</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auto"/>
          <w:sz w:val="24"/>
          <w:highlight w:val="none"/>
        </w:rPr>
        <w:t xml:space="preserve">资格性检查和符合性审查</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965"/>
        <w:gridCol w:w="4753"/>
        <w:gridCol w:w="2019"/>
      </w:tblGrid>
      <w:tr>
        <w:trPr>
          <w:cantSplit/>
          <w:trHeight w:val="20"/>
          <w:tblHeader/>
        </w:trPr>
        <w:tc>
          <w:tcPr>
            <w:tcW w:w="338" w:type="pct"/>
            <w:vAlign w:val="center"/>
            <w:textDirection w:val="lrTb"/>
            <w:noWrap w:val="false"/>
          </w:tcPr>
          <w:p>
            <w:pPr>
              <w:jc w:val="center"/>
              <w:tabs>
                <w:tab w:val="left" w:pos="1080" w:leader="none"/>
              </w:tabs>
              <w:rPr>
                <w:b/>
                <w:color w:val="auto"/>
                <w:sz w:val="24"/>
                <w:highlight w:val="none"/>
              </w:rPr>
            </w:pPr>
            <w:r/>
            <w:bookmarkStart w:id="603" w:name="_Hlt487972895"/>
            <w:r/>
            <w:bookmarkEnd w:id="603"/>
            <w:r>
              <w:rPr>
                <w:b/>
                <w:color w:val="auto"/>
                <w:sz w:val="24"/>
                <w:highlight w:val="none"/>
              </w:rPr>
              <w:t xml:space="preserve">序号</w:t>
            </w:r>
            <w:r/>
          </w:p>
        </w:tc>
        <w:tc>
          <w:tcPr>
            <w:tcW w:w="1048"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5"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供应商非必须提供；供应商如是属于本项目所属行业的小型、微型企业，残疾人福利性单位、监狱企业的情形的可提供此格式文件，未提供的将不享受有关政策。《中小企业声明函》由参加政府采购活动的供应商出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35" w:type="pct"/>
            <w:vAlign w:val="center"/>
            <w:textDirection w:val="lrTb"/>
            <w:noWrap w:val="false"/>
          </w:tcPr>
          <w:p>
            <w:pPr>
              <w:spacing w:line="360" w:lineRule="auto"/>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bl>
    <w:p>
      <w:pPr>
        <w:jc w:val="left"/>
        <w:widowControl/>
        <w:rPr>
          <w:color w:val="auto"/>
          <w:sz w:val="24"/>
          <w:highlight w:val="none"/>
        </w:rPr>
      </w:pPr>
      <w:r>
        <w:rPr>
          <w:color w:val="auto"/>
          <w:sz w:val="24"/>
          <w:highlight w:val="none"/>
        </w:rPr>
        <w:br w:type="page" w:clear="all"/>
      </w:r>
      <w:r/>
    </w:p>
    <w:p>
      <w:pPr>
        <w:numPr>
          <w:ilvl w:val="1"/>
          <w:numId w:val="10"/>
        </w:numPr>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30"/>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784"/>
        <w:gridCol w:w="6212"/>
      </w:tblGrid>
      <w:tr>
        <w:trPr>
          <w:jc w:val="center"/>
          <w:trHeight w:val="300"/>
        </w:trPr>
        <w:tc>
          <w:tcPr>
            <w:tcW w:w="485"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007"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507"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9</w:t>
            </w:r>
            <w:r/>
          </w:p>
        </w:tc>
        <w:tc>
          <w:tcPr>
            <w:tcW w:w="1784" w:type="dxa"/>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tcW w:w="6212" w:type="dxa"/>
            <w:vAlign w:val="center"/>
            <w:textDirection w:val="lrTb"/>
            <w:noWrap w:val="false"/>
          </w:tcPr>
          <w:p>
            <w:pPr>
              <w:jc w:val="left"/>
              <w:widowControl/>
              <w:rPr>
                <w:color w:val="auto"/>
                <w:sz w:val="24"/>
                <w:highlight w:val="none"/>
              </w:rPr>
            </w:pPr>
            <w:r>
              <w:rPr>
                <w:rFonts w:hint="eastAsia"/>
                <w:color w:val="auto"/>
                <w:sz w:val="24"/>
                <w:highlight w:val="none"/>
              </w:rPr>
              <w:t xml:space="preserve">报价合理，或供应商的报价明显低于其他通过符合性审查供应商的报价，有可能影响产品质量或者不能诚信履约的，能够应磋商小组要求在规定时间内证明其报价合理性的；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rPr>
              <w:t xml:space="preserve">14</w:t>
            </w:r>
            <w:r/>
          </w:p>
        </w:tc>
        <w:tc>
          <w:tcPr>
            <w:tcW w:w="1007" w:type="pct"/>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bookmarkEnd w:id="587"/>
            <w:r/>
            <w:bookmarkEnd w:id="588"/>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1"/>
          <w:numId w:val="1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评审过程中出现下列情形之一的，磋商小组应当启动异常低价响应审查程序：</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响应报价低于全部通过符合性审查供应商响应报价平均值50%的，即响应报价＜全部通过符合性审查供应商响应报价平均值×50%；</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响应报价低于通过符合性审查的次低报价供应商响应报价50%的，即响应报价＜通过符合性审查的次低报价供应商响应报价×50%；</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响应报价低于采购项目最高限价45%的，即响应报价＜采购项目最高限价×45%；</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磋商小组基于专业判断，认为供应商报价过低，有可能影响产品质量或者不能诚信履约的其他情形。</w:t>
      </w:r>
      <w:r/>
    </w:p>
    <w:p>
      <w:pPr>
        <w:numPr>
          <w:ilvl w:val="1"/>
          <w:numId w:val="1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无，按下述3.2.2-3.2.5项规定修正。</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   </w:t>
      </w: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w:t>
      </w:r>
      <w:r>
        <w:rPr>
          <w:rFonts w:hint="eastAsia"/>
          <w:color w:val="auto"/>
          <w:sz w:val="24"/>
          <w:highlight w:val="none"/>
        </w:rPr>
        <w:t xml:space="preserve">、4.9</w:t>
      </w:r>
      <w:r>
        <w:rPr>
          <w:color w:val="auto"/>
          <w:sz w:val="24"/>
          <w:highlight w:val="none"/>
        </w:rPr>
        <w:t xml:space="preserve">条规定情形的，可以享受中小企业扶持政策，用扣除后的价格参加评审；否则，评审时价格不予扣除。</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小微企业价格扣除</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 采购本国产品的支持政策</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rPr>
        <w:t xml:space="preserve"> /</w:t>
      </w:r>
      <w:r>
        <w:rPr>
          <w:rFonts w:hint="eastAsia"/>
          <w:color w:val="auto"/>
          <w:sz w:val="24"/>
          <w:highlight w:val="none"/>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604" w:name="_Toc164229387"/>
      <w:r/>
      <w:bookmarkStart w:id="605" w:name="_Toc150774751"/>
      <w:r/>
      <w:bookmarkStart w:id="606" w:name="_Toc305158888"/>
      <w:r/>
      <w:bookmarkStart w:id="607" w:name="_Toc151193644"/>
      <w:r/>
      <w:bookmarkStart w:id="608" w:name="_Toc127161460"/>
      <w:r/>
      <w:bookmarkStart w:id="609" w:name="_Toc195842911"/>
      <w:r/>
      <w:bookmarkStart w:id="610" w:name="_Toc127151546"/>
      <w:r/>
      <w:bookmarkStart w:id="611" w:name="_Toc164608815"/>
      <w:r/>
      <w:bookmarkStart w:id="612" w:name="_Toc164351640"/>
      <w:r/>
      <w:bookmarkStart w:id="613" w:name="_Toc142311048"/>
      <w:r/>
      <w:bookmarkStart w:id="614" w:name="_Ref467307010"/>
      <w:r/>
      <w:bookmarkStart w:id="615" w:name="_Toc149720839"/>
      <w:r/>
      <w:bookmarkStart w:id="616" w:name="_Toc226337242"/>
      <w:r/>
      <w:bookmarkStart w:id="617" w:name="_Toc151193934"/>
      <w:r/>
      <w:bookmarkStart w:id="618" w:name="_Toc151190173"/>
      <w:r/>
      <w:bookmarkStart w:id="619" w:name="_Toc164608660"/>
      <w:r/>
      <w:bookmarkStart w:id="620" w:name="_Toc305158814"/>
      <w:r/>
      <w:bookmarkStart w:id="621" w:name="_Toc226965819"/>
      <w:r/>
      <w:bookmarkStart w:id="622" w:name="_Toc127151747"/>
      <w:r/>
      <w:bookmarkStart w:id="623" w:name="_Toc520356170"/>
      <w:r/>
      <w:bookmarkStart w:id="624" w:name="_Toc226965736"/>
      <w:r/>
      <w:bookmarkStart w:id="625" w:name="_Toc226309790"/>
      <w:r/>
      <w:bookmarkStart w:id="626" w:name="_Toc150480784"/>
      <w:r/>
      <w:bookmarkStart w:id="627" w:name="_Toc151193716"/>
      <w:r/>
      <w:bookmarkStart w:id="628" w:name="_Toc265228384"/>
      <w:r/>
      <w:bookmarkStart w:id="629" w:name="_Toc151193860"/>
      <w:r/>
      <w:bookmarkStart w:id="630" w:name="_Toc150774646"/>
      <w:r/>
      <w:bookmarkStart w:id="631" w:name="_Toc151193788"/>
      <w:r/>
      <w:bookmarkStart w:id="632" w:name="_Toc264969236"/>
      <w:r/>
      <w:bookmarkStart w:id="633" w:name="_Toc150509297"/>
      <w:r/>
      <w:bookmarkStart w:id="634" w:name="_Toc164229241"/>
      <w:r>
        <w:rPr>
          <w:color w:val="auto"/>
          <w:sz w:val="24"/>
          <w:highlight w:val="none"/>
        </w:rPr>
        <w:t xml:space="preserve">成交候选人名单</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1037"/>
        <w:rPr>
          <w:rFonts w:hint="eastAsia"/>
          <w:color w:val="auto"/>
          <w:highlight w:val="none"/>
        </w:rPr>
      </w:pPr>
      <w:r>
        <w:rPr>
          <w:color w:val="auto"/>
          <w:highlight w:val="none"/>
        </w:rPr>
        <w:br w:type="page" w:clear="all"/>
      </w:r>
      <w:r/>
    </w:p>
    <w:p>
      <w:pPr>
        <w:pStyle w:val="1021"/>
        <w:numPr>
          <w:ilvl w:val="0"/>
          <w:numId w:val="11"/>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30"/>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732"/>
        <w:gridCol w:w="4512"/>
        <w:gridCol w:w="2031"/>
      </w:tblGrid>
      <w:tr>
        <w:trPr>
          <w:jc w:val="center"/>
          <w:trHeight w:val="567"/>
          <w:tblHeader/>
        </w:trPr>
        <w:tc>
          <w:tcPr>
            <w:tcW w:w="817"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18"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732"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c>
          <w:tcPr>
            <w:tcW w:w="4512"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2031" w:type="dxa"/>
            <w:vAlign w:val="center"/>
            <w:textDirection w:val="lrTb"/>
            <w:noWrap w:val="false"/>
          </w:tcPr>
          <w:p>
            <w:pPr>
              <w:pStyle w:val="1268"/>
              <w:spacing w:before="0" w:after="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567"/>
        </w:trPr>
        <w:tc>
          <w:tcPr>
            <w:gridSpan w:val="5"/>
            <w:tcW w:w="951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一、价格分（10分）</w:t>
            </w:r>
            <w:r/>
          </w:p>
        </w:tc>
      </w:tr>
      <w:tr>
        <w:trPr>
          <w:jc w:val="center"/>
          <w:trHeight w:val="2138"/>
        </w:trPr>
        <w:tc>
          <w:tcPr>
            <w:tcW w:w="817"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18"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73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4512" w:type="dxa"/>
            <w:vAlign w:val="center"/>
            <w:textDirection w:val="lrTb"/>
            <w:noWrap w:val="false"/>
          </w:tcPr>
          <w:p>
            <w:pPr>
              <w:spacing w:line="36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价格分采用低价优先法计算，即满足采购文件要求且投标报价最低的投标报价为磋商基准价，其价格分为满分10分。其他投标供应商的价格分统一按照下列公式计算：投标报价得分 =磋商基准价／最后磋商报价×10%×100。</w:t>
            </w:r>
            <w:r/>
          </w:p>
        </w:tc>
        <w:tc>
          <w:tcPr>
            <w:tcW w:w="2031" w:type="dxa"/>
            <w:vAlign w:val="center"/>
            <w:textDirection w:val="lrTb"/>
            <w:noWrap w:val="false"/>
          </w:tcPr>
          <w:p>
            <w:pPr>
              <w:spacing w:line="36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此处最终报价指经过报价修正，及因落实政府采购政策进行价格调整后的最终报价。</w:t>
            </w:r>
            <w:r/>
          </w:p>
        </w:tc>
      </w:tr>
      <w:tr>
        <w:trPr>
          <w:jc w:val="center"/>
          <w:trHeight w:val="587"/>
        </w:trPr>
        <w:tc>
          <w:tcPr>
            <w:gridSpan w:val="5"/>
            <w:tcW w:w="9510"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二、技术分（46分）</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实施方案</w:t>
            </w:r>
            <w:r/>
          </w:p>
        </w:tc>
        <w:tc>
          <w:tcPr>
            <w:tcW w:w="7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451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根据供应商编制的项目实施方案（包括但不限于：实施步骤、实施阶段划分、关键工作节点、人员分工、工作组织模式等内容，充分匹配本项目绩效评估、验收技术服务工作内容），由磋商小组进行综合评审：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（1）供应商项目实施方案完整细致，实施步骤清晰合理，阶段划分科学，关键节点设置合理，人员分工明确，工作组织模式清晰，可完全满足本项目全部技术服务工作要求的，得10分；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（2）项目实施方案较全面，主要实施流程、阶段节点、人员分工齐全，整体安排合理，但存在少量细节不足，可较好满足本项目技术服务工作要求的，得7分；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（3）项目实施方案完整性一般，核心实施流程、工作节点内容基本具备，人员分工和组织模式基本明确，能够基本满足本项目技术服务工作要求的，得4分；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（4）项目实施方案内容较简单，仅对主要工作进行初步安排，关键内容不够具体，对项目实施要求响应一般，得1分；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（5）未提供不得分。</w:t>
            </w:r>
            <w:r/>
          </w:p>
        </w:tc>
        <w:tc>
          <w:tcPr>
            <w:tcW w:w="2031" w:type="dxa"/>
            <w:vAlign w:val="center"/>
            <w:textDirection w:val="lrTb"/>
            <w:noWrap w:val="false"/>
          </w:tcPr>
          <w:p>
            <w:pPr>
              <w:jc w:val="left"/>
              <w:rPr>
                <w:rStyle w:val="1291"/>
                <w:rFonts w:hint="eastAsia" w:cs="宋体"/>
                <w:color w:val="auto"/>
                <w:highlight w:val="none"/>
              </w:rPr>
            </w:pPr>
            <w:r>
              <w:rPr>
                <w:rFonts w:hint="eastAsia" w:cs="宋体"/>
                <w:color w:val="auto"/>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质量进度方案</w:t>
            </w:r>
            <w:r/>
          </w:p>
        </w:tc>
        <w:tc>
          <w:tcPr>
            <w:tcW w:w="732" w:type="dxa"/>
            <w:vAlign w:val="center"/>
            <w:textDirection w:val="lrTb"/>
            <w:noWrap w:val="false"/>
          </w:tcPr>
          <w:p>
            <w:pPr>
              <w:ind w:firstLine="2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451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供应商为本项目制定的质量进度方案（包括但不限于：质量计划、质量保证、质量控制、进度管控、工期纠偏措施等内容，充分匹配本项目3年服务周期及各阶段成果提交时限要求），由磋商小组进行综合评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（1）供应商质量进度方案完整细致，质量管控体系完善，进度计划清晰可行，工期偏差纠偏措施完备，可完全满足本项目质量、工期管控要求的，得8分；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（2）质量进度方案较全面，主要质量管控、进度计划、纠偏措施齐全，存在少量细节不足，可较好满足本项目质量及工期管控要求的，得6分；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（3）质量进度方案完整性一般，核心质量、进度管控内容基本具备，能够基本满足本项目质量及工期管控要求的，得4分；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（4）质量进度方案内容较简单，管控措施不够具体，仅能部分响应项目质量进度管控要求的，得2分；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（5）未提供不得分。</w:t>
            </w:r>
            <w:r/>
          </w:p>
        </w:tc>
        <w:tc>
          <w:tcPr>
            <w:tcW w:w="2031" w:type="dxa"/>
            <w:vAlign w:val="center"/>
            <w:textDirection w:val="lrTb"/>
            <w:noWrap w:val="false"/>
          </w:tcPr>
          <w:p>
            <w:pPr>
              <w:jc w:val="left"/>
              <w:rPr>
                <w:rStyle w:val="1291"/>
                <w:rFonts w:hint="eastAsia" w:cs="宋体"/>
                <w:color w:val="auto"/>
                <w:highlight w:val="none"/>
              </w:rPr>
            </w:pPr>
            <w:r>
              <w:rPr>
                <w:rFonts w:hint="eastAsia" w:cs="宋体"/>
                <w:color w:val="auto"/>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lang w:val="zh-Hans"/>
              </w:rPr>
              <w:t xml:space="preserve">重点、难点及解决方案</w:t>
            </w:r>
            <w:r/>
          </w:p>
        </w:tc>
        <w:tc>
          <w:tcPr>
            <w:tcW w:w="732" w:type="dxa"/>
            <w:vAlign w:val="center"/>
            <w:textDirection w:val="lrTb"/>
            <w:noWrap w:val="false"/>
          </w:tcPr>
          <w:p>
            <w:pPr>
              <w:ind w:firstLine="2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4512" w:type="dxa"/>
            <w:vAlign w:val="center"/>
            <w:textDirection w:val="lrTb"/>
            <w:noWrap w:val="false"/>
          </w:tcPr>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磋商小组根据供应商针对本项目拟定的重点、难点及解决方案进行综合评审：</w:t>
            </w:r>
            <w:r/>
          </w:p>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（1）方案完整细致，重难点识别全面准确，处置措施针对性强、可落地，可完全满足项目实施要求的，得7分；</w:t>
            </w:r>
            <w:r/>
          </w:p>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（2）方案较具体，主要重难点识别到位，处置措施较可行，可较好满足项目实施要求的，得5分；</w:t>
            </w:r>
            <w:r/>
          </w:p>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（3）方案完整性一般，主要重难点识别基本到位，处置措施基本可行，基本满足项目实施要求的，得3分；</w:t>
            </w:r>
            <w:r/>
          </w:p>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（4）方案内容较简单，仅识别部分重难点，应对举措笼统，对项目实施要求响应一般，得1分；</w:t>
            </w:r>
            <w:r/>
          </w:p>
          <w:p>
            <w:pPr>
              <w:pStyle w:val="10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（5）未提供不得分。</w:t>
            </w:r>
            <w:r/>
          </w:p>
        </w:tc>
        <w:tc>
          <w:tcPr>
            <w:tcW w:w="2031" w:type="dxa"/>
            <w:vAlign w:val="center"/>
            <w:textDirection w:val="lrTb"/>
            <w:noWrap w:val="false"/>
          </w:tcPr>
          <w:p>
            <w:pPr>
              <w:ind w:left="-3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2.4</w:t>
            </w:r>
            <w:r/>
          </w:p>
        </w:tc>
        <w:tc>
          <w:tcPr>
            <w:tcW w:w="1418" w:type="dxa"/>
            <w:vAlign w:val="center"/>
            <w:textDirection w:val="lrTb"/>
            <w:noWrap w:val="false"/>
          </w:tcPr>
          <w:p>
            <w:pPr>
              <w:jc w:val="center"/>
              <w:spacing w:line="360" w:lineRule="auto"/>
              <w:tabs>
                <w:tab w:val="left" w:pos="426" w:leader="none"/>
              </w:tabs>
              <w:rPr>
                <w:rFonts w:hint="eastAsia" w:ascii="宋体" w:hAnsi="宋体" w:cs="宋体"/>
                <w:bCs/>
                <w:color w:val="auto"/>
                <w:spacing w:val="-3"/>
                <w:sz w:val="24"/>
                <w:highlight w:val="none"/>
              </w:rPr>
            </w:pPr>
            <w:r>
              <w:rPr>
                <w:rFonts w:hint="eastAsia" w:ascii="宋体" w:hAnsi="宋体" w:cs="宋体"/>
                <w:color w:val="auto"/>
                <w:sz w:val="24"/>
                <w:highlight w:val="none"/>
              </w:rPr>
              <w:t xml:space="preserve">后期服务方案</w:t>
            </w:r>
            <w:r/>
          </w:p>
        </w:tc>
        <w:tc>
          <w:tcPr>
            <w:tcW w:w="732" w:type="dxa"/>
            <w:vAlign w:val="center"/>
            <w:textDirection w:val="lrTb"/>
            <w:noWrap w:val="false"/>
          </w:tcPr>
          <w:p>
            <w:pPr>
              <w:ind w:firstLine="28"/>
              <w:jc w:val="center"/>
              <w:rPr>
                <w:rFonts w:hint="eastAsia" w:ascii="宋体" w:hAnsi="宋体" w:cs="宋体"/>
                <w:bCs/>
                <w:color w:val="auto"/>
                <w:spacing w:val="-3"/>
                <w:sz w:val="24"/>
                <w:highlight w:val="none"/>
              </w:rPr>
            </w:pPr>
            <w:r>
              <w:rPr>
                <w:rFonts w:hint="eastAsia" w:ascii="宋体" w:hAnsi="宋体" w:cs="宋体"/>
                <w:color w:val="auto"/>
                <w:sz w:val="24"/>
                <w:highlight w:val="none"/>
                <w:lang w:bidi="ar"/>
              </w:rPr>
              <w:t xml:space="preserve">7</w:t>
            </w:r>
            <w:r/>
          </w:p>
        </w:tc>
        <w:tc>
          <w:tcPr>
            <w:tcW w:w="451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根据供应商为本项目制定的后期服务方案（包括但不限于：成果答疑、技术咨询、配合上级核查、问题整改响应、后续技术支持保障等内容，充分匹配本项目后期技术服务保障需求），由磋商小组进行综合评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（1）供应商后期服务方案完整细致，服务响应机制清晰，答疑、整改、配合保障措施完备，可完全满足本项目后期技术服务保障要求的，得7分；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（2）后期服务方案较全面，主要服务保障内容较齐全，可较好满足本项目后期技术服务保障要求的，得5分；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（3）后期服务方案基本全面，主要服务保障内容基本齐全，存在少量细节不足，基本满足本项目后期技术服务保障要求的，得3分；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（4）后期服务方案内容较简单，服务保障举措笼统，对项目后期服务要求响应一般，得1分；</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（5）未提供不得分。</w:t>
            </w:r>
            <w:r/>
          </w:p>
        </w:tc>
        <w:tc>
          <w:tcPr>
            <w:tcW w:w="2031" w:type="dxa"/>
            <w:vAlign w:val="center"/>
            <w:textDirection w:val="lrTb"/>
            <w:noWrap w:val="false"/>
          </w:tcPr>
          <w:p>
            <w:pPr>
              <w:ind w:left="-3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2.5</w:t>
            </w:r>
            <w:r/>
          </w:p>
        </w:tc>
        <w:tc>
          <w:tcPr>
            <w:tcW w:w="1418" w:type="dxa"/>
            <w:vAlign w:val="center"/>
            <w:textDirection w:val="lrTb"/>
            <w:noWrap w:val="false"/>
          </w:tcPr>
          <w:p>
            <w:pPr>
              <w:jc w:val="center"/>
              <w:spacing w:line="360" w:lineRule="auto"/>
              <w:tabs>
                <w:tab w:val="left" w:pos="426" w:leader="none"/>
              </w:tabs>
              <w:rPr>
                <w:color w:val="auto"/>
                <w:highlight w:val="none"/>
                <w:lang w:bidi="ar"/>
              </w:rPr>
            </w:pPr>
            <w:r>
              <w:rPr>
                <w:rFonts w:ascii="宋体" w:hAnsi="宋体" w:cs="宋体"/>
                <w:color w:val="auto"/>
                <w:sz w:val="24"/>
                <w:highlight w:val="none"/>
              </w:rPr>
              <w:t xml:space="preserve">现场核查与监测实施方案</w:t>
            </w:r>
            <w:r/>
          </w:p>
        </w:tc>
        <w:tc>
          <w:tcPr>
            <w:tcW w:w="732" w:type="dxa"/>
            <w:vAlign w:val="center"/>
            <w:textDirection w:val="lrTb"/>
            <w:noWrap w:val="false"/>
          </w:tcPr>
          <w:p>
            <w:pPr>
              <w:ind w:firstLine="28"/>
              <w:jc w:val="center"/>
              <w:rPr>
                <w:rFonts w:hint="eastAsia" w:ascii="宋体" w:hAnsi="宋体" w:cs="宋体"/>
                <w:color w:val="auto"/>
                <w:sz w:val="24"/>
                <w:highlight w:val="none"/>
                <w:lang w:bidi="ar"/>
              </w:rPr>
            </w:pPr>
            <w:r>
              <w:rPr>
                <w:rFonts w:hint="eastAsia" w:ascii="宋体" w:hAnsi="宋体" w:cs="等线"/>
                <w:color w:val="auto"/>
                <w:sz w:val="24"/>
                <w:highlight w:val="none"/>
              </w:rPr>
              <w:t xml:space="preserve">7</w:t>
            </w:r>
            <w:r/>
          </w:p>
        </w:tc>
        <w:tc>
          <w:tcPr>
            <w:tcW w:w="4512" w:type="dxa"/>
            <w:vAlign w:val="center"/>
            <w:textDirection w:val="lrTb"/>
            <w:noWrap w:val="false"/>
          </w:tcPr>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磋商小组根据供应商编制的现场核查与监测实施方案（包括但不限于：13个子项目现场核查计划、点位布设、采样监测安排、质量控制、现场人员安全保障等内容，充分匹配本项目现场核查及水质跟踪监测工作要求），由磋商小组进行综合评审：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供应商现场核查与监测实施方案完整细致，核查及监测计划科学合理，质控、安全保障措施完备，可完全满足本项目现场核查、水质监测工作要求的，得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现场核查与监测实施方案较全面，主要核查、监测安排及质控安全措施</w:t>
            </w:r>
            <w:r>
              <w:rPr>
                <w:rFonts w:hint="eastAsia" w:ascii="宋体" w:hAnsi="宋体" w:cs="宋体"/>
                <w:color w:val="auto"/>
                <w:sz w:val="24"/>
                <w:highlight w:val="none"/>
              </w:rPr>
              <w:t xml:space="preserve">较</w:t>
            </w:r>
            <w:r>
              <w:rPr>
                <w:rFonts w:ascii="宋体" w:hAnsi="宋体" w:cs="宋体"/>
                <w:color w:val="auto"/>
                <w:sz w:val="24"/>
                <w:highlight w:val="none"/>
              </w:rPr>
              <w:t xml:space="preserve">齐全，可较好满足本项目现场核查、水质监测工作要求的，得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现场核查与监测实施方案</w:t>
            </w:r>
            <w:r>
              <w:rPr>
                <w:rFonts w:hint="eastAsia" w:ascii="宋体" w:hAnsi="宋体" w:cs="宋体"/>
                <w:color w:val="auto"/>
                <w:sz w:val="24"/>
                <w:highlight w:val="none"/>
              </w:rPr>
              <w:t xml:space="preserve">基本</w:t>
            </w:r>
            <w:r>
              <w:rPr>
                <w:rFonts w:ascii="宋体" w:hAnsi="宋体" w:cs="宋体"/>
                <w:color w:val="auto"/>
                <w:sz w:val="24"/>
                <w:highlight w:val="none"/>
              </w:rPr>
              <w:t xml:space="preserve">全面，主要核查、监测安排及质控安全措施</w:t>
            </w:r>
            <w:r>
              <w:rPr>
                <w:rFonts w:hint="eastAsia" w:ascii="宋体" w:hAnsi="宋体" w:cs="宋体"/>
                <w:color w:val="auto"/>
                <w:sz w:val="24"/>
                <w:highlight w:val="none"/>
              </w:rPr>
              <w:t xml:space="preserve">基本</w:t>
            </w:r>
            <w:r>
              <w:rPr>
                <w:rFonts w:ascii="宋体" w:hAnsi="宋体" w:cs="宋体"/>
                <w:color w:val="auto"/>
                <w:sz w:val="24"/>
                <w:highlight w:val="none"/>
              </w:rPr>
              <w:t xml:space="preserve">齐全，存在少量细节不足，</w:t>
            </w:r>
            <w:r>
              <w:rPr>
                <w:rFonts w:hint="eastAsia" w:ascii="宋体" w:hAnsi="宋体" w:cs="宋体"/>
                <w:color w:val="auto"/>
                <w:sz w:val="24"/>
                <w:highlight w:val="none"/>
              </w:rPr>
              <w:t xml:space="preserve">基本</w:t>
            </w:r>
            <w:r>
              <w:rPr>
                <w:rFonts w:ascii="宋体" w:hAnsi="宋体" w:cs="宋体"/>
                <w:color w:val="auto"/>
                <w:sz w:val="24"/>
                <w:highlight w:val="none"/>
              </w:rPr>
              <w:t xml:space="preserve">满足本项目现场核查、水质监测工作要求的，得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4</w:t>
            </w:r>
            <w:r>
              <w:rPr>
                <w:rFonts w:ascii="宋体" w:hAnsi="宋体" w:cs="宋体"/>
                <w:color w:val="auto"/>
                <w:sz w:val="24"/>
                <w:highlight w:val="none"/>
              </w:rPr>
              <w:t xml:space="preserve">）现场核查与监测实施方案内容较简单，核查监测相关举措笼统，对项目现场核查、水质监测工作响应一般，得</w:t>
            </w:r>
            <w:r>
              <w:rPr>
                <w:rFonts w:hint="eastAsia" w:ascii="宋体" w:hAnsi="宋体" w:cs="宋体"/>
                <w:color w:val="auto"/>
                <w:sz w:val="24"/>
                <w:highlight w:val="none"/>
              </w:rPr>
              <w:t xml:space="preserve">1</w:t>
            </w:r>
            <w:r>
              <w:rPr>
                <w:rFonts w:ascii="宋体" w:hAnsi="宋体" w:cs="宋体"/>
                <w:color w:val="auto"/>
                <w:sz w:val="24"/>
                <w:highlight w:val="none"/>
              </w:rPr>
              <w:t xml:space="preserve">分； </w:t>
            </w:r>
            <w:r/>
          </w:p>
          <w:p>
            <w:pPr>
              <w:spacing w:line="360" w:lineRule="auto"/>
              <w:rPr>
                <w:color w:val="auto"/>
                <w:highlight w:val="none"/>
                <w:lang w:bidi="ar"/>
              </w:rPr>
            </w:pPr>
            <w:r>
              <w:rPr>
                <w:rFonts w:ascii="宋体" w:hAnsi="宋体" w:cs="宋体"/>
                <w:color w:val="auto"/>
                <w:sz w:val="24"/>
                <w:highlight w:val="none"/>
              </w:rPr>
              <w:t xml:space="preserve">（</w:t>
            </w:r>
            <w:r>
              <w:rPr>
                <w:rFonts w:hint="eastAsia" w:ascii="宋体" w:hAnsi="宋体" w:cs="宋体"/>
                <w:color w:val="auto"/>
                <w:sz w:val="24"/>
                <w:highlight w:val="none"/>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未提供不得分。</w:t>
            </w:r>
            <w:r/>
          </w:p>
        </w:tc>
        <w:tc>
          <w:tcPr>
            <w:tcW w:w="2031" w:type="dxa"/>
            <w:vAlign w:val="center"/>
            <w:textDirection w:val="lrTb"/>
            <w:noWrap w:val="false"/>
          </w:tcPr>
          <w:p>
            <w:pPr>
              <w:ind w:left="-3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2.6</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ascii="宋体" w:hAnsi="宋体" w:cs="宋体"/>
                <w:color w:val="auto"/>
                <w:sz w:val="24"/>
                <w:highlight w:val="none"/>
              </w:rPr>
              <w:t xml:space="preserve">档案台账与成果管理方案</w:t>
            </w:r>
            <w:r/>
          </w:p>
        </w:tc>
        <w:tc>
          <w:tcPr>
            <w:tcW w:w="73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4512" w:type="dxa"/>
            <w:vAlign w:val="center"/>
            <w:textDirection w:val="lrTb"/>
            <w:noWrap w:val="false"/>
          </w:tcPr>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磋商小组根据供应商编制的档案台账与成果管理方案（包括但不限于：报告、模型数据、原始监测资料等成果交付清单、交付格式、版本管控、项目资料归档、电子及纸质档案保管、资料移交等内容，充分匹配本项目技术成果归档要求），由磋商小组进行综合评审：</w:t>
            </w:r>
            <w:r/>
          </w:p>
          <w:p>
            <w:pPr>
              <w:ind w:left="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供应商档案台账与成果管理方案完整细致，交付清单清晰齐全，档案归档流程规范严谨，可完全满足项目成果交付与档案归档要求的，得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p>
          <w:p>
            <w:pPr>
              <w:ind w:left="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档案台账与成果管理方案较全面，主要交付资料、归档流程</w:t>
            </w:r>
            <w:r>
              <w:rPr>
                <w:rFonts w:hint="eastAsia" w:ascii="宋体" w:hAnsi="宋体" w:cs="宋体"/>
                <w:color w:val="auto"/>
                <w:sz w:val="24"/>
                <w:highlight w:val="none"/>
              </w:rPr>
              <w:t xml:space="preserve">较</w:t>
            </w:r>
            <w:r>
              <w:rPr>
                <w:rFonts w:ascii="宋体" w:hAnsi="宋体" w:cs="宋体"/>
                <w:color w:val="auto"/>
                <w:sz w:val="24"/>
                <w:highlight w:val="none"/>
              </w:rPr>
              <w:t xml:space="preserve">齐全，可较好满足项目成果交付与档案归档要求的，得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p>
          <w:p>
            <w:pPr>
              <w:ind w:left="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档案台账与成果管理方案</w:t>
            </w:r>
            <w:r>
              <w:rPr>
                <w:rFonts w:hint="eastAsia" w:ascii="宋体" w:hAnsi="宋体" w:cs="宋体"/>
                <w:color w:val="auto"/>
                <w:sz w:val="24"/>
                <w:highlight w:val="none"/>
              </w:rPr>
              <w:t xml:space="preserve">基本</w:t>
            </w:r>
            <w:r>
              <w:rPr>
                <w:rFonts w:ascii="宋体" w:hAnsi="宋体" w:cs="宋体"/>
                <w:color w:val="auto"/>
                <w:sz w:val="24"/>
                <w:highlight w:val="none"/>
              </w:rPr>
              <w:t xml:space="preserve">全面，主要交付资料、归档流程</w:t>
            </w:r>
            <w:r>
              <w:rPr>
                <w:rFonts w:hint="eastAsia" w:ascii="宋体" w:hAnsi="宋体" w:cs="宋体"/>
                <w:color w:val="auto"/>
                <w:sz w:val="24"/>
                <w:highlight w:val="none"/>
              </w:rPr>
              <w:t xml:space="preserve">基本</w:t>
            </w:r>
            <w:r>
              <w:rPr>
                <w:rFonts w:ascii="宋体" w:hAnsi="宋体" w:cs="宋体"/>
                <w:color w:val="auto"/>
                <w:sz w:val="24"/>
                <w:highlight w:val="none"/>
              </w:rPr>
              <w:t xml:space="preserve">齐全，存在少量细节不足，</w:t>
            </w:r>
            <w:r>
              <w:rPr>
                <w:rFonts w:hint="eastAsia" w:ascii="宋体" w:hAnsi="宋体" w:cs="宋体"/>
                <w:color w:val="auto"/>
                <w:sz w:val="24"/>
                <w:highlight w:val="none"/>
              </w:rPr>
              <w:t xml:space="preserve">基本</w:t>
            </w:r>
            <w:r>
              <w:rPr>
                <w:rFonts w:ascii="宋体" w:hAnsi="宋体" w:cs="宋体"/>
                <w:color w:val="auto"/>
                <w:sz w:val="24"/>
                <w:highlight w:val="none"/>
              </w:rPr>
              <w:t xml:space="preserve">满足项目成果交付与档案归档要求的，得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p>
          <w:p>
            <w:pPr>
              <w:ind w:left="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档案台账与成果管理方案内容较简单，交付归档相关举措笼统，对项目成果归档要求响应一般，得</w:t>
            </w:r>
            <w:r>
              <w:rPr>
                <w:rFonts w:hint="eastAsia" w:ascii="宋体" w:hAnsi="宋体" w:cs="宋体"/>
                <w:color w:val="auto"/>
                <w:sz w:val="24"/>
                <w:highlight w:val="none"/>
              </w:rPr>
              <w:t xml:space="preserve">1</w:t>
            </w:r>
            <w:r>
              <w:rPr>
                <w:rFonts w:ascii="宋体" w:hAnsi="宋体" w:cs="宋体"/>
                <w:color w:val="auto"/>
                <w:sz w:val="24"/>
                <w:highlight w:val="none"/>
              </w:rPr>
              <w:t xml:space="preserve">分；</w:t>
            </w:r>
            <w:r/>
          </w:p>
          <w:p>
            <w:pPr>
              <w:ind w:left="120"/>
              <w:spacing w:line="360" w:lineRule="auto"/>
              <w:rPr>
                <w:rFonts w:hint="eastAsia" w:ascii="宋体" w:hAnsi="宋体" w:cs="宋体"/>
                <w:bCs/>
                <w:color w:val="auto"/>
                <w:spacing w:val="-6"/>
                <w:sz w:val="24"/>
                <w:highlight w:val="none"/>
              </w:rPr>
            </w:pPr>
            <w:r>
              <w:rPr>
                <w:rFonts w:hint="eastAsia" w:ascii="宋体" w:hAnsi="宋体" w:cs="宋体"/>
                <w:color w:val="auto"/>
                <w:sz w:val="24"/>
                <w:highlight w:val="none"/>
              </w:rPr>
              <w:t xml:space="preserve">（5）未提供不得分</w:t>
            </w:r>
            <w:r>
              <w:rPr>
                <w:rFonts w:ascii="宋体" w:hAnsi="宋体" w:cs="宋体"/>
                <w:color w:val="auto"/>
                <w:sz w:val="24"/>
                <w:highlight w:val="none"/>
              </w:rPr>
              <w:t xml:space="preserve">。</w:t>
            </w:r>
            <w:r/>
          </w:p>
        </w:tc>
        <w:tc>
          <w:tcPr>
            <w:tcW w:w="2031" w:type="dxa"/>
            <w:vAlign w:val="center"/>
            <w:textDirection w:val="lrTb"/>
            <w:noWrap w:val="false"/>
          </w:tcPr>
          <w:p>
            <w:pPr>
              <w:ind w:left="-3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84"/>
        </w:trPr>
        <w:tc>
          <w:tcPr>
            <w:gridSpan w:val="5"/>
            <w:tcW w:w="9510" w:type="dxa"/>
            <w:vAlign w:val="center"/>
            <w:textDirection w:val="lrTb"/>
            <w:noWrap w:val="false"/>
          </w:tcPr>
          <w:p>
            <w:pPr>
              <w:ind w:left="-38"/>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三、商务分（44分）</w:t>
            </w:r>
            <w:r/>
          </w:p>
        </w:tc>
      </w:tr>
      <w:tr>
        <w:trPr>
          <w:jc w:val="center"/>
          <w:trHeight w:val="274"/>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c>
          <w:tcPr>
            <w:tcW w:w="732"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4512" w:type="dxa"/>
            <w:vAlign w:val="center"/>
            <w:textDirection w:val="lrTb"/>
            <w:noWrap w:val="false"/>
          </w:tcPr>
          <w:p>
            <w:pPr>
              <w:pStyle w:val="1298"/>
              <w:spacing w:line="360" w:lineRule="auto"/>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供应商自2023年1月1日（以合同签订时间或者证明文件时间为准）以来，具有与本项目服务内容同类的生态环境技术支撑服务业绩的，每提供一个得2分，本项最高得4分。</w:t>
            </w:r>
            <w:r/>
          </w:p>
          <w:p>
            <w:pPr>
              <w:pStyle w:val="1298"/>
              <w:spacing w:line="360" w:lineRule="auto"/>
              <w:rPr>
                <w:rFonts w:hint="eastAsia" w:ascii="宋体" w:hAnsi="宋体" w:eastAsiaTheme="minorEastAsia"/>
                <w:b/>
                <w:bCs/>
                <w:color w:val="auto"/>
                <w:sz w:val="24"/>
                <w:highlight w:val="none"/>
              </w:rPr>
            </w:pPr>
            <w:r>
              <w:rPr>
                <w:rFonts w:hint="eastAsia" w:ascii="宋体" w:hAnsi="宋体"/>
                <w:b/>
                <w:bCs/>
                <w:color w:val="auto"/>
                <w:sz w:val="24"/>
                <w:highlight w:val="none"/>
              </w:rPr>
              <w:t xml:space="preserve">注：磋商响应文件中提供合同复印件或者委托方出具的盖章编制证明作为证明材料并加盖供应商公章，否则不得分。</w:t>
            </w:r>
            <w:r/>
          </w:p>
          <w:p>
            <w:pPr>
              <w:pStyle w:val="1298"/>
              <w:spacing w:line="360" w:lineRule="auto"/>
              <w:rPr>
                <w:rFonts w:hint="eastAsia" w:ascii="宋体" w:hAnsi="宋体" w:cs="宋体" w:eastAsiaTheme="minorEastAsia"/>
                <w:color w:val="auto"/>
                <w:sz w:val="24"/>
                <w:szCs w:val="24"/>
                <w:highlight w:val="none"/>
              </w:rPr>
            </w:pPr>
            <w:r>
              <w:rPr>
                <w:rFonts w:hint="eastAsia" w:ascii="宋体" w:hAnsi="宋体" w:cs="宋体" w:eastAsiaTheme="minorEastAsia"/>
                <w:color w:val="auto"/>
                <w:sz w:val="24"/>
                <w:szCs w:val="24"/>
                <w:highlight w:val="none"/>
              </w:rPr>
              <w:t xml:space="preserve">（2）供应商自2023年1月1日（以合同签订时间为准）以来，具有环保类涉水资金项目监督检查、评估、验收项目的，每提供一个得2分，本项最高得4分。</w:t>
            </w:r>
            <w:r/>
          </w:p>
          <w:p>
            <w:pPr>
              <w:pStyle w:val="1298"/>
              <w:spacing w:line="360" w:lineRule="auto"/>
              <w:rPr>
                <w:rFonts w:hint="eastAsia" w:ascii="宋体" w:hAnsi="宋体" w:cs="宋体" w:eastAsiaTheme="minorEastAsia"/>
                <w:b/>
                <w:bCs/>
                <w:color w:val="auto"/>
                <w:sz w:val="24"/>
                <w:szCs w:val="24"/>
                <w:highlight w:val="none"/>
              </w:rPr>
            </w:pPr>
            <w:r>
              <w:rPr>
                <w:rFonts w:hint="eastAsia" w:ascii="宋体" w:hAnsi="宋体" w:cs="宋体" w:eastAsiaTheme="minorEastAsia"/>
                <w:b/>
                <w:bCs/>
                <w:color w:val="auto"/>
                <w:sz w:val="24"/>
                <w:szCs w:val="24"/>
                <w:highlight w:val="none"/>
              </w:rPr>
              <w:t xml:space="preserve">注：磋商响应文件中提供合同作为证明材料加盖供应商公章，否则不得分。</w:t>
            </w:r>
            <w:r/>
          </w:p>
          <w:p>
            <w:pPr>
              <w:pStyle w:val="1298"/>
              <w:spacing w:line="360" w:lineRule="auto"/>
              <w:rPr>
                <w:rFonts w:hint="eastAsia" w:ascii="宋体" w:hAnsi="宋体" w:cs="宋体" w:eastAsiaTheme="minorEastAsia"/>
                <w:color w:val="auto"/>
                <w:sz w:val="24"/>
                <w:szCs w:val="24"/>
                <w:highlight w:val="none"/>
              </w:rPr>
            </w:pPr>
            <w:r>
              <w:rPr>
                <w:rFonts w:hint="eastAsia" w:ascii="宋体" w:hAnsi="宋体" w:cs="宋体" w:eastAsiaTheme="minorEastAsia"/>
                <w:color w:val="auto"/>
                <w:sz w:val="24"/>
                <w:szCs w:val="24"/>
                <w:highlight w:val="none"/>
              </w:rPr>
              <w:t xml:space="preserve">（3）供应商自2023年1月1日（以合同签订时间或者证明文件时间为准）以来，具有编制湖泊流域水环境综合治理规划、行动方案、实施方案等规划类政策文件业绩的，每提供一个得1分，本项最高得2分。</w:t>
            </w:r>
            <w:r/>
          </w:p>
          <w:p>
            <w:pPr>
              <w:pStyle w:val="1298"/>
              <w:spacing w:line="360" w:lineRule="auto"/>
              <w:rPr>
                <w:rFonts w:hint="eastAsia" w:ascii="宋体" w:hAnsi="宋体" w:cs="宋体" w:eastAsiaTheme="minorEastAsia"/>
                <w:color w:val="auto"/>
                <w:sz w:val="24"/>
                <w:szCs w:val="24"/>
                <w:highlight w:val="none"/>
              </w:rPr>
            </w:pPr>
            <w:r>
              <w:rPr>
                <w:rFonts w:hint="eastAsia" w:ascii="宋体" w:hAnsi="宋体" w:cs="宋体" w:eastAsiaTheme="minorEastAsia"/>
                <w:b/>
                <w:bCs/>
                <w:color w:val="auto"/>
                <w:sz w:val="24"/>
                <w:szCs w:val="24"/>
                <w:highlight w:val="none"/>
              </w:rPr>
              <w:t xml:space="preserve">注：磋商响应文件中提供合同复印件或者委托方出具的盖章编制证明作为证明材料并加盖供应商公章，否则不得分。</w:t>
            </w:r>
            <w:r/>
          </w:p>
        </w:tc>
        <w:tc>
          <w:tcPr>
            <w:tcW w:w="2031" w:type="dxa"/>
            <w:vAlign w:val="center"/>
            <w:textDirection w:val="lrTb"/>
            <w:noWrap w:val="false"/>
          </w:tcPr>
          <w:p>
            <w:pPr>
              <w:jc w:val="left"/>
              <w:rPr>
                <w:rStyle w:val="1291"/>
                <w:rFonts w:hint="eastAsia" w:cs="宋体"/>
                <w:color w:val="auto"/>
                <w:highlight w:val="none"/>
              </w:rPr>
            </w:pPr>
            <w:r>
              <w:rPr>
                <w:rStyle w:val="1291"/>
                <w:rFonts w:hint="eastAsia" w:cs="宋体"/>
                <w:color w:val="auto"/>
                <w:highlight w:val="none"/>
              </w:rPr>
              <w:t xml:space="preserve"> </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综合实力</w:t>
            </w:r>
            <w:r/>
          </w:p>
        </w:tc>
        <w:tc>
          <w:tcPr>
            <w:tcW w:w="732"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4512" w:type="dxa"/>
            <w:vAlign w:val="center"/>
            <w:textDirection w:val="lrTb"/>
            <w:noWrap w:val="false"/>
          </w:tcPr>
          <w:p>
            <w:pPr>
              <w:pStyle w:val="1298"/>
              <w:spacing w:line="360" w:lineRule="auto"/>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1</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供应商作为技术服务单位承担中央水污染防治资金地表水保护治理项目实施方案编制并通过竞争性评审的，得4分；供应商承担地级市美丽河湖保护与建设项目实施方案编制并成功通过审批主管部门竞争性评审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分。本项最高得8分。</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注：磋商响应文件中提供合同或相关证明文件原件扫描件作为证明材料并加盖供应商公章，否则不得分。</w:t>
            </w:r>
            <w:bookmarkStart w:id="709" w:name="_GoBack"/>
            <w:r/>
            <w:bookmarkEnd w:id="709"/>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（2）针对本项目水质跟踪监测工作，</w:t>
            </w:r>
            <w:r>
              <w:rPr>
                <w:rFonts w:ascii="宋体" w:hAnsi="宋体"/>
                <w:bCs/>
                <w:color w:val="auto"/>
                <w:sz w:val="24"/>
                <w:highlight w:val="none"/>
              </w:rPr>
              <w:t xml:space="preserve">供应商自有CMA资质认定证书的，且资质认定范围涉及水质方面的指标达到50项及以</w:t>
            </w:r>
            <w:r>
              <w:rPr>
                <w:rFonts w:hint="eastAsia" w:ascii="宋体" w:hAnsi="宋体"/>
                <w:bCs/>
                <w:color w:val="auto"/>
                <w:sz w:val="24"/>
                <w:highlight w:val="none"/>
              </w:rPr>
              <w:t xml:space="preserve">上</w:t>
            </w:r>
            <w:r>
              <w:rPr>
                <w:rFonts w:ascii="宋体" w:hAnsi="宋体"/>
                <w:bCs/>
                <w:color w:val="auto"/>
                <w:sz w:val="24"/>
                <w:highlight w:val="none"/>
              </w:rPr>
              <w:t xml:space="preserve">的，得</w:t>
            </w:r>
            <w:r>
              <w:rPr>
                <w:rFonts w:hint="eastAsia" w:ascii="宋体" w:hAnsi="宋体"/>
                <w:bCs/>
                <w:color w:val="auto"/>
                <w:sz w:val="24"/>
                <w:highlight w:val="none"/>
              </w:rPr>
              <w:t xml:space="preserve">5</w:t>
            </w:r>
            <w:r>
              <w:rPr>
                <w:rFonts w:ascii="宋体" w:hAnsi="宋体"/>
                <w:bCs/>
                <w:color w:val="auto"/>
                <w:sz w:val="24"/>
                <w:highlight w:val="none"/>
              </w:rPr>
              <w:t xml:space="preserve">分；50项（不含）以</w:t>
            </w:r>
            <w:r>
              <w:rPr>
                <w:rFonts w:hint="eastAsia" w:ascii="宋体" w:hAnsi="宋体"/>
                <w:bCs/>
                <w:color w:val="auto"/>
                <w:sz w:val="24"/>
                <w:highlight w:val="none"/>
              </w:rPr>
              <w:t xml:space="preserve">下</w:t>
            </w:r>
            <w:r>
              <w:rPr>
                <w:rFonts w:ascii="宋体" w:hAnsi="宋体"/>
                <w:bCs/>
                <w:color w:val="auto"/>
                <w:sz w:val="24"/>
                <w:highlight w:val="none"/>
              </w:rPr>
              <w:t xml:space="preserve">的，得</w:t>
            </w:r>
            <w:r>
              <w:rPr>
                <w:rFonts w:hint="eastAsia" w:ascii="宋体" w:hAnsi="宋体"/>
                <w:bCs/>
                <w:color w:val="auto"/>
                <w:sz w:val="24"/>
                <w:highlight w:val="none"/>
              </w:rPr>
              <w:t xml:space="preserve">3</w:t>
            </w:r>
            <w:r>
              <w:rPr>
                <w:rFonts w:ascii="宋体" w:hAnsi="宋体"/>
                <w:bCs/>
                <w:color w:val="auto"/>
                <w:sz w:val="24"/>
                <w:highlight w:val="none"/>
              </w:rPr>
              <w:t xml:space="preserve">分</w:t>
            </w:r>
            <w:r>
              <w:rPr>
                <w:rFonts w:hint="eastAsia" w:ascii="宋体" w:hAnsi="宋体"/>
                <w:bCs/>
                <w:color w:val="auto"/>
                <w:sz w:val="24"/>
                <w:highlight w:val="none"/>
              </w:rPr>
              <w:t xml:space="preserve">；</w:t>
            </w:r>
            <w:r>
              <w:rPr>
                <w:rFonts w:ascii="宋体" w:hAnsi="宋体"/>
                <w:bCs/>
                <w:color w:val="auto"/>
                <w:sz w:val="24"/>
                <w:highlight w:val="none"/>
              </w:rPr>
              <w:t xml:space="preserve">供应商</w:t>
            </w:r>
            <w:r>
              <w:rPr>
                <w:rFonts w:hint="eastAsia" w:ascii="宋体" w:hAnsi="宋体"/>
                <w:bCs/>
                <w:color w:val="auto"/>
                <w:sz w:val="24"/>
                <w:highlight w:val="none"/>
              </w:rPr>
              <w:t xml:space="preserve">无CMA资质认证的，承诺委托</w:t>
            </w:r>
            <w:r>
              <w:rPr>
                <w:rFonts w:ascii="宋体" w:hAnsi="宋体"/>
                <w:bCs/>
                <w:color w:val="auto"/>
                <w:sz w:val="24"/>
                <w:highlight w:val="none"/>
              </w:rPr>
              <w:t xml:space="preserve">具备CMA资质</w:t>
            </w:r>
            <w:r>
              <w:rPr>
                <w:rFonts w:hint="eastAsia" w:ascii="宋体" w:hAnsi="宋体"/>
                <w:bCs/>
                <w:color w:val="auto"/>
                <w:sz w:val="24"/>
                <w:highlight w:val="none"/>
              </w:rPr>
              <w:t xml:space="preserve">的第三方机构实施水质监测，且对监测成果质量承担全部责任的</w:t>
            </w:r>
            <w:r>
              <w:rPr>
                <w:rFonts w:ascii="宋体" w:hAnsi="宋体"/>
                <w:bCs/>
                <w:color w:val="auto"/>
                <w:sz w:val="24"/>
                <w:highlight w:val="none"/>
              </w:rPr>
              <w:t xml:space="preserve">，得1分</w:t>
            </w:r>
            <w:r>
              <w:rPr>
                <w:rFonts w:hint="eastAsia" w:ascii="宋体" w:hAnsi="宋体"/>
                <w:bCs/>
                <w:color w:val="auto"/>
                <w:sz w:val="24"/>
                <w:highlight w:val="none"/>
              </w:rPr>
              <w:t xml:space="preserve">。</w:t>
            </w:r>
            <w:r>
              <w:rPr>
                <w:rFonts w:ascii="宋体" w:hAnsi="宋体"/>
                <w:bCs/>
                <w:color w:val="auto"/>
                <w:sz w:val="24"/>
                <w:highlight w:val="none"/>
              </w:rPr>
              <w:t xml:space="preserve">本项合计最高得</w:t>
            </w:r>
            <w:r>
              <w:rPr>
                <w:rFonts w:hint="eastAsia" w:ascii="宋体" w:hAnsi="宋体"/>
                <w:bCs/>
                <w:color w:val="auto"/>
                <w:sz w:val="24"/>
                <w:highlight w:val="none"/>
              </w:rPr>
              <w:t xml:space="preserve">5</w:t>
            </w:r>
            <w:r>
              <w:rPr>
                <w:rFonts w:ascii="宋体" w:hAnsi="宋体"/>
                <w:bCs/>
                <w:color w:val="auto"/>
                <w:sz w:val="24"/>
                <w:highlight w:val="none"/>
              </w:rPr>
              <w:t xml:space="preserve">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注：供应商自有CMA资质的，提供该实验室的CMA计量认证证书及能体现资质认定范围指标的证明材料的复印件并加盖供应商公章，否则不得分；供应商委托第三方机构的，须提供承诺函并加盖供应商公章，否则不得分。</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（3）供应商自2023年1月1日以来，获得生态环境领域奖项的，</w:t>
            </w:r>
            <w:r>
              <w:rPr>
                <w:rFonts w:hint="eastAsia" w:ascii="宋体" w:hAnsi="宋体"/>
                <w:bCs/>
                <w:color w:val="auto"/>
                <w:sz w:val="24"/>
                <w:highlight w:val="none"/>
              </w:rPr>
              <w:t xml:space="preserve">每有一项</w:t>
            </w:r>
            <w:r>
              <w:rPr>
                <w:rFonts w:ascii="宋体" w:hAnsi="宋体"/>
                <w:bCs/>
                <w:color w:val="auto"/>
                <w:sz w:val="24"/>
                <w:highlight w:val="none"/>
              </w:rPr>
              <w:t xml:space="preserve">得</w:t>
            </w:r>
            <w:r>
              <w:rPr>
                <w:rFonts w:hint="eastAsia" w:ascii="宋体" w:hAnsi="宋体"/>
                <w:bCs/>
                <w:color w:val="auto"/>
                <w:sz w:val="24"/>
                <w:highlight w:val="none"/>
              </w:rPr>
              <w:t xml:space="preserve">1</w:t>
            </w:r>
            <w:r>
              <w:rPr>
                <w:rFonts w:ascii="宋体" w:hAnsi="宋体"/>
                <w:bCs/>
                <w:color w:val="auto"/>
                <w:sz w:val="24"/>
                <w:highlight w:val="none"/>
              </w:rPr>
              <w:t xml:space="preserve">分。</w:t>
            </w:r>
            <w:r>
              <w:rPr>
                <w:rFonts w:hint="eastAsia" w:ascii="宋体" w:hAnsi="宋体"/>
                <w:bCs/>
                <w:color w:val="auto"/>
                <w:sz w:val="24"/>
                <w:highlight w:val="none"/>
              </w:rPr>
              <w:t xml:space="preserve">本项最高得2分。</w:t>
            </w:r>
            <w:r/>
          </w:p>
          <w:p>
            <w:pPr>
              <w:pStyle w:val="1298"/>
              <w:spacing w:line="360" w:lineRule="auto"/>
              <w:rPr>
                <w:rFonts w:hint="eastAsia" w:ascii="宋体" w:hAnsi="宋体" w:eastAsia="宋体" w:cs="宋体"/>
                <w:b/>
                <w:bCs/>
                <w:color w:val="auto"/>
                <w:sz w:val="24"/>
                <w:szCs w:val="24"/>
                <w:highlight w:val="none"/>
                <w:lang w:val="zh-Hans"/>
              </w:rPr>
            </w:pPr>
            <w:r>
              <w:rPr>
                <w:rFonts w:hint="eastAsia" w:ascii="宋体" w:hAnsi="宋体" w:eastAsia="宋体" w:cs="宋体"/>
                <w:b/>
                <w:bCs/>
                <w:color w:val="auto"/>
                <w:sz w:val="24"/>
                <w:szCs w:val="24"/>
                <w:highlight w:val="none"/>
                <w:lang w:val="zh-Hans"/>
              </w:rPr>
              <w:t xml:space="preserve">注：</w:t>
            </w:r>
            <w:r>
              <w:rPr>
                <w:rFonts w:ascii="宋体" w:hAnsi="宋体" w:eastAsia="宋体" w:cs="宋体"/>
                <w:b/>
                <w:bCs/>
                <w:color w:val="auto"/>
                <w:sz w:val="24"/>
                <w:szCs w:val="24"/>
                <w:highlight w:val="none"/>
                <w:lang w:val="zh-Hans"/>
              </w:rPr>
              <w:t xml:space="preserve">提供获奖证书</w:t>
            </w:r>
            <w:r>
              <w:rPr>
                <w:rFonts w:hint="eastAsia" w:ascii="宋体" w:hAnsi="宋体" w:eastAsia="宋体" w:cs="宋体"/>
                <w:b/>
                <w:bCs/>
                <w:color w:val="auto"/>
                <w:sz w:val="24"/>
                <w:szCs w:val="24"/>
                <w:highlight w:val="none"/>
                <w:lang w:val="zh-Hans"/>
              </w:rPr>
              <w:t xml:space="preserve">电子扫描件</w:t>
            </w:r>
            <w:r>
              <w:rPr>
                <w:rFonts w:hint="eastAsia" w:ascii="宋体" w:hAnsi="宋体"/>
                <w:b/>
                <w:bCs/>
                <w:color w:val="auto"/>
                <w:sz w:val="24"/>
                <w:highlight w:val="none"/>
              </w:rPr>
              <w:t xml:space="preserve">证明材料并加盖供应商公章</w:t>
            </w:r>
            <w:r>
              <w:rPr>
                <w:rFonts w:ascii="宋体" w:hAnsi="宋体" w:eastAsia="宋体" w:cs="宋体"/>
                <w:b/>
                <w:bCs/>
                <w:color w:val="auto"/>
                <w:sz w:val="24"/>
                <w:szCs w:val="24"/>
                <w:highlight w:val="none"/>
                <w:lang w:val="zh-Hans"/>
              </w:rPr>
              <w:t xml:space="preserve">，社会组织颁发的奖项无效，</w:t>
            </w:r>
            <w:r>
              <w:rPr>
                <w:rFonts w:hint="eastAsia" w:ascii="宋体" w:hAnsi="宋体" w:eastAsia="宋体" w:cs="宋体"/>
                <w:b/>
                <w:bCs/>
                <w:color w:val="auto"/>
                <w:sz w:val="24"/>
                <w:szCs w:val="24"/>
                <w:highlight w:val="none"/>
                <w:lang w:val="zh-Hans"/>
              </w:rPr>
              <w:t xml:space="preserve">否则</w:t>
            </w:r>
            <w:r>
              <w:rPr>
                <w:rFonts w:ascii="宋体" w:hAnsi="宋体" w:eastAsia="宋体" w:cs="宋体"/>
                <w:b/>
                <w:bCs/>
                <w:color w:val="auto"/>
                <w:sz w:val="24"/>
                <w:szCs w:val="24"/>
                <w:highlight w:val="none"/>
                <w:lang w:val="zh-Hans"/>
              </w:rPr>
              <w:t xml:space="preserve">不得分。</w:t>
            </w:r>
            <w:r/>
          </w:p>
          <w:p>
            <w:pPr>
              <w:pStyle w:val="1298"/>
              <w:spacing w:line="360" w:lineRule="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Hans"/>
              </w:rPr>
              <w:t xml:space="preserve">）</w:t>
            </w:r>
            <w:r>
              <w:rPr>
                <w:rFonts w:ascii="宋体" w:hAnsi="宋体" w:eastAsia="宋体" w:cs="宋体"/>
                <w:color w:val="auto"/>
                <w:sz w:val="24"/>
                <w:szCs w:val="24"/>
                <w:highlight w:val="none"/>
                <w:lang w:val="zh-Hans"/>
              </w:rPr>
              <w:t xml:space="preserve">供应商承担过国家科技重大专项</w:t>
            </w:r>
            <w:r>
              <w:rPr>
                <w:rFonts w:hint="eastAsia" w:ascii="宋体" w:hAnsi="宋体" w:eastAsia="宋体" w:cs="宋体"/>
                <w:color w:val="auto"/>
                <w:sz w:val="24"/>
                <w:szCs w:val="24"/>
                <w:highlight w:val="none"/>
                <w:lang w:val="zh-Hans"/>
              </w:rPr>
              <w:t xml:space="preserve">项目或重点研发计划项目</w:t>
            </w:r>
            <w:r>
              <w:rPr>
                <w:rFonts w:ascii="宋体" w:hAnsi="宋体" w:eastAsia="宋体" w:cs="宋体"/>
                <w:color w:val="auto"/>
                <w:sz w:val="24"/>
                <w:szCs w:val="24"/>
                <w:highlight w:val="none"/>
                <w:lang w:val="zh-Hans"/>
              </w:rPr>
              <w:t xml:space="preserve">的</w:t>
            </w:r>
            <w:r>
              <w:rPr>
                <w:rFonts w:hint="eastAsia" w:ascii="宋体" w:hAnsi="宋体" w:eastAsia="宋体" w:cs="宋体"/>
                <w:color w:val="auto"/>
                <w:sz w:val="24"/>
                <w:szCs w:val="24"/>
                <w:highlight w:val="none"/>
                <w:lang w:val="zh-Hans"/>
              </w:rPr>
              <w:t xml:space="preserve">，每有一项</w:t>
            </w:r>
            <w:r>
              <w:rPr>
                <w:rFonts w:ascii="宋体" w:hAnsi="宋体" w:eastAsia="宋体" w:cs="宋体"/>
                <w:color w:val="auto"/>
                <w:sz w:val="24"/>
                <w:szCs w:val="24"/>
                <w:highlight w:val="none"/>
                <w:lang w:val="zh-Hans"/>
              </w:rPr>
              <w:t xml:space="preserve">得</w:t>
            </w: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lang w:val="zh-Hans"/>
              </w:rPr>
              <w:t xml:space="preserve">分。</w:t>
            </w:r>
            <w:r>
              <w:rPr>
                <w:rFonts w:hint="eastAsia" w:ascii="宋体" w:hAnsi="宋体" w:eastAsia="宋体" w:cs="宋体"/>
                <w:color w:val="auto"/>
                <w:sz w:val="24"/>
                <w:szCs w:val="24"/>
                <w:highlight w:val="none"/>
                <w:lang w:val="zh-Hans"/>
              </w:rPr>
              <w:t xml:space="preserve">本项最高3分。</w:t>
            </w:r>
            <w:r/>
          </w:p>
          <w:p>
            <w:pPr>
              <w:pStyle w:val="1298"/>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Hans"/>
              </w:rPr>
              <w:t xml:space="preserve">注：</w:t>
            </w:r>
            <w:r>
              <w:rPr>
                <w:rFonts w:ascii="宋体" w:hAnsi="宋体" w:eastAsia="宋体" w:cs="宋体"/>
                <w:b/>
                <w:bCs/>
                <w:color w:val="auto"/>
                <w:sz w:val="24"/>
                <w:szCs w:val="24"/>
                <w:highlight w:val="none"/>
                <w:lang w:val="zh-Hans"/>
              </w:rPr>
              <w:t xml:space="preserve">提供</w:t>
            </w:r>
            <w:r>
              <w:rPr>
                <w:rFonts w:hint="eastAsia" w:ascii="宋体" w:hAnsi="宋体" w:eastAsia="宋体" w:cs="宋体"/>
                <w:b/>
                <w:bCs/>
                <w:color w:val="auto"/>
                <w:sz w:val="24"/>
                <w:szCs w:val="24"/>
                <w:highlight w:val="none"/>
                <w:lang w:val="zh-Hans"/>
              </w:rPr>
              <w:t xml:space="preserve">项目</w:t>
            </w:r>
            <w:r>
              <w:rPr>
                <w:rFonts w:ascii="宋体" w:hAnsi="宋体" w:eastAsia="宋体" w:cs="宋体"/>
                <w:b/>
                <w:bCs/>
                <w:color w:val="auto"/>
                <w:sz w:val="24"/>
                <w:szCs w:val="24"/>
                <w:highlight w:val="none"/>
                <w:lang w:val="zh-Hans"/>
              </w:rPr>
              <w:t xml:space="preserve">合同</w:t>
            </w:r>
            <w:r>
              <w:rPr>
                <w:rFonts w:hint="eastAsia" w:ascii="宋体" w:hAnsi="宋体" w:eastAsia="宋体" w:cs="宋体"/>
                <w:b/>
                <w:bCs/>
                <w:color w:val="auto"/>
                <w:sz w:val="24"/>
                <w:szCs w:val="24"/>
                <w:highlight w:val="none"/>
                <w:lang w:val="zh-Hans"/>
              </w:rPr>
              <w:t xml:space="preserve">、验收证明电子扫描件</w:t>
            </w:r>
            <w:r>
              <w:rPr>
                <w:rFonts w:hint="eastAsia" w:ascii="宋体" w:hAnsi="宋体"/>
                <w:b/>
                <w:bCs/>
                <w:color w:val="auto"/>
                <w:sz w:val="24"/>
                <w:highlight w:val="none"/>
              </w:rPr>
              <w:t xml:space="preserve">为证明材料</w:t>
            </w:r>
            <w:r>
              <w:rPr>
                <w:rFonts w:hint="eastAsia" w:ascii="宋体" w:hAnsi="宋体" w:eastAsia="宋体" w:cs="宋体"/>
                <w:b/>
                <w:bCs/>
                <w:color w:val="auto"/>
                <w:sz w:val="24"/>
                <w:highlight w:val="none"/>
              </w:rPr>
              <w:t xml:space="preserve">并</w:t>
            </w:r>
            <w:r>
              <w:rPr>
                <w:rFonts w:hint="eastAsia" w:ascii="宋体" w:hAnsi="宋体"/>
                <w:b/>
                <w:bCs/>
                <w:color w:val="auto"/>
                <w:sz w:val="24"/>
                <w:highlight w:val="none"/>
              </w:rPr>
              <w:t xml:space="preserve">加盖供应商公章，否则不得分</w:t>
            </w:r>
            <w:r>
              <w:rPr>
                <w:rFonts w:hint="eastAsia" w:ascii="宋体" w:hAnsi="宋体" w:eastAsia="宋体" w:cs="宋体"/>
                <w:b/>
                <w:bCs/>
                <w:color w:val="auto"/>
                <w:sz w:val="24"/>
                <w:szCs w:val="24"/>
                <w:highlight w:val="none"/>
                <w:lang w:val="zh-Hans"/>
              </w:rPr>
              <w:t xml:space="preserve">。</w:t>
            </w:r>
            <w:r/>
          </w:p>
        </w:tc>
        <w:tc>
          <w:tcPr>
            <w:tcW w:w="2031"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W w:w="1418"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c>
          <w:tcPr>
            <w:tcW w:w="732"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4512" w:type="dxa"/>
            <w:vAlign w:val="center"/>
            <w:textDirection w:val="lrTb"/>
            <w:noWrap w:val="false"/>
          </w:tcPr>
          <w:p>
            <w:pP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项目负责人：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（1）拟派项目负责人具有生态环境工程正高级技术职称的得2分；具有生态环境工程副高级技术职称的得1分。</w:t>
            </w:r>
            <w:r/>
          </w:p>
          <w:p>
            <w:pPr>
              <w:pStyle w:val="1298"/>
              <w:spacing w:line="360" w:lineRule="auto"/>
              <w:rPr>
                <w:rFonts w:ascii="宋体" w:hAnsi="宋体" w:cs="宋体"/>
                <w:color w:val="auto"/>
                <w:sz w:val="24"/>
                <w:highlight w:val="none"/>
              </w:rPr>
            </w:pPr>
            <w:r>
              <w:rPr>
                <w:rFonts w:hint="eastAsia" w:ascii="宋体" w:hAnsi="宋体" w:cs="宋体"/>
                <w:color w:val="auto"/>
                <w:sz w:val="24"/>
                <w:highlight w:val="none"/>
              </w:rPr>
              <w:t xml:space="preserve">（2）拟派项目负责人具有博士研究生学历的得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分；具有硕士研究生学历的得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w:t>
            </w:r>
            <w:r/>
          </w:p>
          <w:p>
            <w:pPr>
              <w:pStyle w:val="129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本项最高得4分。</w:t>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注：磋商响应文件中提供有效的职称证书及学历证书复印件及2026年6月至2026年8月中任意一个月供应商为项目负责人缴纳的社保证明材料复印件并加盖供应商公章，否则不得分。</w:t>
            </w:r>
            <w:r/>
          </w:p>
        </w:tc>
        <w:tc>
          <w:tcPr>
            <w:tcW w:w="2031" w:type="dxa"/>
            <w:vAlign w:val="center"/>
            <w:textDirection w:val="lrTb"/>
            <w:noWrap w:val="false"/>
          </w:tcPr>
          <w:p>
            <w:pPr>
              <w:jc w:val="left"/>
              <w:rPr>
                <w:rStyle w:val="1291"/>
                <w:rFonts w:hint="eastAsia" w:cs="宋体"/>
                <w:color w:val="auto"/>
                <w:highlight w:val="none"/>
              </w:rPr>
            </w:pPr>
            <w:r>
              <w:rPr>
                <w:rFonts w:hint="eastAsia" w:cs="宋体"/>
                <w:color w:val="auto"/>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3.4</w:t>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zh-Hans"/>
              </w:rPr>
              <w:t xml:space="preserve">项目组成员（除项目负责人外）</w:t>
            </w:r>
            <w:r/>
          </w:p>
        </w:tc>
        <w:tc>
          <w:tcPr>
            <w:tcW w:w="732" w:type="dxa"/>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4512" w:type="dxa"/>
            <w:vAlign w:val="center"/>
            <w:textDirection w:val="lrTb"/>
            <w:noWrap w:val="false"/>
          </w:tcPr>
          <w:p>
            <w:pP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项目组成员（除项目负责人外）：</w:t>
            </w:r>
            <w:r/>
          </w:p>
          <w:p>
            <w:pP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（1）拟派项目组成员（项目负责人除外）中，具有生态环境工程正高级技术职称的得</w:t>
            </w:r>
            <w:r>
              <w:rPr>
                <w:rFonts w:hint="eastAsia" w:ascii="宋体" w:hAnsi="宋体" w:cs="宋体"/>
                <w:color w:val="auto"/>
                <w:sz w:val="24"/>
                <w:highlight w:val="none"/>
              </w:rPr>
              <w:t xml:space="preserve">2</w:t>
            </w:r>
            <w:r>
              <w:rPr>
                <w:rFonts w:hint="eastAsia" w:ascii="宋体" w:hAnsi="宋体" w:cs="宋体"/>
                <w:color w:val="auto"/>
                <w:sz w:val="24"/>
                <w:highlight w:val="none"/>
                <w:lang w:val="zh-Hans"/>
              </w:rPr>
              <w:t xml:space="preserve">分；具有生态环境工程副高级技术职称的得</w:t>
            </w:r>
            <w:r>
              <w:rPr>
                <w:rFonts w:hint="eastAsia" w:ascii="宋体" w:hAnsi="宋体" w:cs="宋体"/>
                <w:color w:val="auto"/>
                <w:sz w:val="24"/>
                <w:highlight w:val="none"/>
              </w:rPr>
              <w:t xml:space="preserve">1</w:t>
            </w:r>
            <w:r>
              <w:rPr>
                <w:rFonts w:hint="eastAsia" w:ascii="宋体" w:hAnsi="宋体" w:cs="宋体"/>
                <w:color w:val="auto"/>
                <w:sz w:val="24"/>
                <w:highlight w:val="none"/>
                <w:lang w:val="zh-Hans"/>
              </w:rPr>
              <w:t xml:space="preserve">分。本项最高得</w:t>
            </w:r>
            <w:r>
              <w:rPr>
                <w:rFonts w:hint="eastAsia" w:ascii="宋体" w:hAnsi="宋体" w:cs="宋体"/>
                <w:color w:val="auto"/>
                <w:sz w:val="24"/>
                <w:highlight w:val="none"/>
              </w:rPr>
              <w:t xml:space="preserve">3</w:t>
            </w:r>
            <w:r>
              <w:rPr>
                <w:rFonts w:hint="eastAsia" w:ascii="宋体" w:hAnsi="宋体" w:cs="宋体"/>
                <w:color w:val="auto"/>
                <w:sz w:val="24"/>
                <w:highlight w:val="none"/>
                <w:lang w:val="zh-Hans"/>
              </w:rPr>
              <w:t xml:space="preserve">分。</w:t>
            </w:r>
            <w:r/>
          </w:p>
          <w:p>
            <w:pP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（2）拟派项目组成员（项目负责人除外）中，具有博士研究生学历的得</w:t>
            </w:r>
            <w:r>
              <w:rPr>
                <w:rFonts w:hint="eastAsia" w:ascii="宋体" w:hAnsi="宋体" w:cs="宋体"/>
                <w:color w:val="auto"/>
                <w:sz w:val="24"/>
                <w:highlight w:val="none"/>
              </w:rPr>
              <w:t xml:space="preserve">2</w:t>
            </w:r>
            <w:r>
              <w:rPr>
                <w:rFonts w:hint="eastAsia" w:ascii="宋体" w:hAnsi="宋体" w:cs="宋体"/>
                <w:color w:val="auto"/>
                <w:sz w:val="24"/>
                <w:highlight w:val="none"/>
                <w:lang w:val="zh-Hans"/>
              </w:rPr>
              <w:t xml:space="preserve">分；具有硕士研究生学历的得</w:t>
            </w:r>
            <w:r>
              <w:rPr>
                <w:rFonts w:hint="eastAsia" w:ascii="宋体" w:hAnsi="宋体" w:cs="宋体"/>
                <w:color w:val="auto"/>
                <w:sz w:val="24"/>
                <w:highlight w:val="none"/>
              </w:rPr>
              <w:t xml:space="preserve">1</w:t>
            </w:r>
            <w:r>
              <w:rPr>
                <w:rFonts w:hint="eastAsia" w:ascii="宋体" w:hAnsi="宋体" w:cs="宋体"/>
                <w:color w:val="auto"/>
                <w:sz w:val="24"/>
                <w:highlight w:val="none"/>
                <w:lang w:val="zh-Hans"/>
              </w:rPr>
              <w:t xml:space="preserve">分。本项最高得</w:t>
            </w:r>
            <w:r>
              <w:rPr>
                <w:rFonts w:hint="eastAsia" w:ascii="宋体" w:hAnsi="宋体" w:cs="宋体"/>
                <w:color w:val="auto"/>
                <w:sz w:val="24"/>
                <w:highlight w:val="none"/>
              </w:rPr>
              <w:t xml:space="preserve">3</w:t>
            </w:r>
            <w:r>
              <w:rPr>
                <w:rFonts w:hint="eastAsia" w:ascii="宋体" w:hAnsi="宋体" w:cs="宋体"/>
                <w:color w:val="auto"/>
                <w:sz w:val="24"/>
                <w:highlight w:val="none"/>
                <w:lang w:val="zh-Hans"/>
              </w:rPr>
              <w:t xml:space="preserve">分。</w:t>
            </w:r>
            <w:r>
              <w:rPr>
                <w:rFonts w:ascii="宋体" w:hAnsi="宋体" w:cs="宋体"/>
                <w:color w:val="auto"/>
                <w:sz w:val="24"/>
                <w:highlight w:val="none"/>
                <w:lang w:val="zh-Hans"/>
              </w:rPr>
              <w:t xml:space="preserve">同一人员不重复</w:t>
            </w:r>
            <w:r>
              <w:rPr>
                <w:rFonts w:hint="eastAsia" w:ascii="宋体" w:hAnsi="宋体" w:cs="宋体"/>
                <w:color w:val="auto"/>
                <w:sz w:val="24"/>
                <w:highlight w:val="none"/>
                <w:lang w:val="zh-Hans"/>
              </w:rPr>
              <w:t xml:space="preserve">得分。</w:t>
            </w:r>
            <w:r/>
          </w:p>
          <w:p>
            <w:pPr>
              <w:pStyle w:val="1298"/>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zh-Hans"/>
              </w:rPr>
              <w:t xml:space="preserve">（3）拟派项目组成员（项目负责人除外）中，所学专业为环境科学与工程(或环境科学或环境工程)、水文学及水资源（或水利工程）、生态学、市政工程专业，每提供1种专业得1分</w:t>
            </w:r>
            <w:r>
              <w:rPr>
                <w:rFonts w:hint="eastAsia" w:ascii="宋体" w:hAnsi="宋体" w:eastAsia="宋体" w:cs="宋体"/>
                <w:color w:val="auto"/>
                <w:sz w:val="24"/>
                <w:highlight w:val="none"/>
                <w:lang w:val="zh-Hans"/>
              </w:rPr>
              <w:t xml:space="preserve">。本项</w:t>
            </w:r>
            <w:r>
              <w:rPr>
                <w:rFonts w:hint="eastAsia" w:ascii="宋体" w:hAnsi="宋体" w:cs="宋体"/>
                <w:color w:val="auto"/>
                <w:sz w:val="24"/>
                <w:highlight w:val="none"/>
                <w:lang w:val="zh-Hans"/>
              </w:rPr>
              <w:t xml:space="preserve">最高得</w:t>
            </w:r>
            <w:r>
              <w:rPr>
                <w:rFonts w:hint="eastAsia" w:ascii="宋体" w:hAnsi="宋体" w:cs="宋体" w:eastAsiaTheme="minorEastAsia"/>
                <w:color w:val="auto"/>
                <w:sz w:val="24"/>
                <w:highlight w:val="none"/>
                <w:lang w:val="zh-Hans"/>
              </w:rPr>
              <w:t xml:space="preserve">3</w:t>
            </w:r>
            <w:r>
              <w:rPr>
                <w:rFonts w:hint="eastAsia" w:ascii="宋体" w:hAnsi="宋体" w:cs="宋体"/>
                <w:color w:val="auto"/>
                <w:sz w:val="24"/>
                <w:highlight w:val="none"/>
                <w:lang w:val="zh-Hans"/>
              </w:rPr>
              <w:t xml:space="preserve">分。</w:t>
            </w:r>
            <w:r>
              <w:rPr>
                <w:rFonts w:hint="eastAsia" w:ascii="宋体" w:hAnsi="宋体" w:eastAsia="宋体" w:cs="宋体"/>
                <w:b/>
                <w:bCs/>
                <w:color w:val="auto"/>
                <w:sz w:val="24"/>
                <w:highlight w:val="none"/>
              </w:rPr>
              <w:t xml:space="preserve">同一人不重复得分。</w:t>
            </w:r>
            <w:r/>
          </w:p>
          <w:p>
            <w:pPr>
              <w:pStyle w:val="1298"/>
              <w:spacing w:line="360" w:lineRule="auto"/>
              <w:rPr>
                <w:rFonts w:hint="eastAsia" w:ascii="宋体" w:hAnsi="宋体" w:eastAsia="宋体" w:cs="宋体"/>
                <w:b/>
                <w:bCs/>
                <w:color w:val="auto"/>
                <w:sz w:val="24"/>
                <w:highlight w:val="none"/>
              </w:rPr>
            </w:pPr>
            <w:r>
              <w:rPr>
                <w:rFonts w:hint="eastAsia" w:ascii="宋体" w:hAnsi="宋体" w:cs="宋体"/>
                <w:color w:val="auto"/>
                <w:sz w:val="24"/>
                <w:highlight w:val="none"/>
                <w:lang w:val="zh-Hans"/>
              </w:rPr>
              <w:t xml:space="preserve">（4）承诺提供驻点服务人员</w:t>
            </w:r>
            <w:r>
              <w:rPr>
                <w:rFonts w:ascii="宋体" w:hAnsi="宋体" w:cs="宋体"/>
                <w:color w:val="auto"/>
                <w:sz w:val="24"/>
                <w:highlight w:val="none"/>
                <w:lang w:val="zh-Hans"/>
              </w:rPr>
              <w:t xml:space="preserve">4</w:t>
            </w:r>
            <w:r>
              <w:rPr>
                <w:rFonts w:hint="eastAsia" w:ascii="宋体" w:hAnsi="宋体" w:cs="宋体"/>
                <w:color w:val="auto"/>
                <w:sz w:val="24"/>
                <w:highlight w:val="none"/>
                <w:lang w:val="zh-Hans"/>
              </w:rPr>
              <w:t xml:space="preserve">名，具有环境类中级及以上职称，具备5年以上环境生态类工作经验的得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zh-Hans"/>
              </w:rPr>
              <w:t xml:space="preserve">分。</w:t>
            </w:r>
            <w:r>
              <w:rPr>
                <w:rFonts w:hint="eastAsia" w:ascii="宋体" w:hAnsi="宋体" w:eastAsia="宋体" w:cs="宋体"/>
                <w:b/>
                <w:bCs/>
                <w:color w:val="auto"/>
                <w:sz w:val="24"/>
                <w:highlight w:val="none"/>
              </w:rPr>
              <w:t xml:space="preserve">须提供承诺函加盖公章，格式自拟。</w:t>
            </w:r>
            <w:r/>
          </w:p>
          <w:p>
            <w:pPr>
              <w:spacing w:line="360" w:lineRule="auto"/>
              <w:widowControl/>
              <w:rPr>
                <w:color w:val="auto"/>
                <w:highlight w:val="none"/>
              </w:rPr>
            </w:pPr>
            <w:r>
              <w:rPr>
                <w:rFonts w:hint="eastAsia" w:ascii="宋体" w:hAnsi="宋体" w:cs="宋体"/>
                <w:b/>
                <w:bCs/>
                <w:color w:val="auto"/>
                <w:sz w:val="24"/>
                <w:highlight w:val="none"/>
              </w:rPr>
              <w:t xml:space="preserve">注：磋商响应文件中提供相应的职称证书及学历证书复印件及2026年6月至2026年8月中任意一个月供应商为上述人员缴纳的社保证明材料复印件并加盖供应商公章，否则不得分。</w:t>
            </w:r>
            <w:r/>
          </w:p>
        </w:tc>
        <w:tc>
          <w:tcPr>
            <w:tcW w:w="2031" w:type="dxa"/>
            <w:vAlign w:val="center"/>
            <w:textDirection w:val="lrTb"/>
            <w:noWrap w:val="false"/>
          </w:tcPr>
          <w:p>
            <w:pPr>
              <w:jc w:val="left"/>
              <w:rPr>
                <w:rStyle w:val="1291"/>
                <w:rFonts w:hint="eastAsia" w:cs="宋体"/>
                <w:color w:val="auto"/>
                <w:highlight w:val="none"/>
              </w:rPr>
            </w:pPr>
            <w:r>
              <w:rPr>
                <w:rFonts w:hint="eastAsia" w:cs="宋体"/>
                <w:color w:val="auto"/>
                <w:highlight w:val="none"/>
              </w:rPr>
            </w:r>
            <w:r/>
          </w:p>
        </w:tc>
      </w:tr>
      <w:tr>
        <w:trPr>
          <w:jc w:val="center"/>
          <w:trHeight w:val="567"/>
        </w:trPr>
        <w:tc>
          <w:tcPr>
            <w:gridSpan w:val="2"/>
            <w:tcW w:w="22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tcW w:w="73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654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ind w:firstLine="480"/>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5" w:name="_Toc193985581"/>
      <w:r>
        <w:rPr>
          <w:b/>
          <w:color w:val="auto"/>
          <w:sz w:val="36"/>
          <w:szCs w:val="36"/>
          <w:highlight w:val="none"/>
        </w:rPr>
        <w:t xml:space="preserve">第四章   采购需求</w:t>
      </w:r>
      <w:bookmarkEnd w:id="635"/>
      <w:r/>
      <w:r/>
    </w:p>
    <w:p>
      <w:pPr>
        <w:jc w:val="left"/>
        <w:spacing w:line="360" w:lineRule="auto"/>
        <w:tabs>
          <w:tab w:val="left" w:pos="735" w:leader="none"/>
          <w:tab w:val="left" w:pos="945" w:leader="none"/>
          <w:tab w:val="left" w:pos="1155" w:leader="none"/>
        </w:tabs>
        <w:rPr>
          <w:rFonts w:hint="eastAsia" w:ascii="宋体" w:hAnsi="宋体" w:cs="宋体"/>
          <w:b/>
          <w:color w:val="auto"/>
          <w:sz w:val="24"/>
          <w:highlight w:val="none"/>
        </w:rPr>
      </w:pPr>
      <w:r/>
      <w:bookmarkStart w:id="636" w:name="_Toc193985582"/>
      <w:r>
        <w:rPr>
          <w:rFonts w:hint="eastAsia" w:ascii="宋体" w:hAnsi="宋体"/>
          <w:b/>
          <w:bCs/>
          <w:color w:val="auto"/>
          <w:sz w:val="24"/>
          <w:highlight w:val="none"/>
        </w:rPr>
        <w:t xml:space="preserve">一、</w:t>
      </w:r>
      <w:r>
        <w:rPr>
          <w:rFonts w:hint="eastAsia" w:ascii="宋体" w:hAnsi="宋体" w:cs="宋体"/>
          <w:b/>
          <w:color w:val="auto"/>
          <w:sz w:val="24"/>
          <w:highlight w:val="none"/>
        </w:rPr>
        <w:t xml:space="preserve">采购标的</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1.项目名称：</w:t>
      </w:r>
      <w:r>
        <w:rPr>
          <w:rFonts w:hint="eastAsia" w:ascii="宋体" w:hAnsi="宋体"/>
          <w:color w:val="auto"/>
          <w:sz w:val="24"/>
          <w:highlight w:val="none"/>
        </w:rPr>
        <w:t xml:space="preserve">常州市美丽河湖保护与建设项目绩效评估与验收技术服务项目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rPr>
        <w:t xml:space="preserve">390万元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3.最高限价：390万元</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4.采购需求（简介）：</w:t>
      </w:r>
      <w:r>
        <w:rPr>
          <w:rFonts w:hint="eastAsia" w:asciiTheme="minorEastAsia" w:hAnsiTheme="minorEastAsia" w:eastAsiaTheme="minorEastAsia"/>
          <w:color w:val="auto"/>
          <w:sz w:val="24"/>
          <w:highlight w:val="none"/>
        </w:rPr>
        <w:t xml:space="preserve">本项目是常州市美丽河湖保护与建设项目绩效评估与验收技术服务项目。根据生态环境部《关于支持开展中央财政2026年度美丽河湖保护与建设项目的通知》，我市申报的常州市美丽河湖保护与建设项目成功纳入中央财政水污染防治资金支持实施清单，涉及</w:t>
      </w:r>
      <w:r>
        <w:rPr>
          <w:rFonts w:hint="eastAsia" w:asciiTheme="minorEastAsia" w:hAnsiTheme="minorEastAsia" w:eastAsiaTheme="minorEastAsia"/>
          <w:color w:val="auto"/>
          <w:sz w:val="24"/>
          <w:highlight w:val="none"/>
        </w:rPr>
        <w:t xml:space="preserve">13个项目，实施周期原则上为3年。按照生态环境部《水污染防治资金管理办法》及《关于加强中央生态环境资金项目竣工验收管理的通知》有关规定，中央生态环境资金项目要求生态环境部门实行资金使用、工程实施、绩效管控、竣工验收全周期闭环管理，相关管理环节涉及现场技术核查、绩效量化测算、竣工核验等专业工作。为规范项目实施、保障资金合规使用、按期完成绩效目标并顺利通过上级验收，常州市生态环境局拟通过政府购买服务委托第三方机构提供全过程绩效与验收技术服务，协助常州市生态环境局开展美丽河湖保护与建设项目全周期闭环管理相关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5.合同履行期限：自合同签订之日起至2029年8月。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6.是/否接受联合体投标：不接受联合体投标。</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7.是/否接受分支机构参与响应：否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8.是/否属于政府购买服务：是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ascii="宋体" w:hAnsi="宋体" w:cs="宋体"/>
          <w:bCs/>
          <w:color w:val="auto"/>
          <w:sz w:val="24"/>
          <w:highlight w:val="none"/>
        </w:rPr>
        <w:t xml:space="preserve">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hint="eastAsia" w:ascii="宋体" w:hAnsi="宋体" w:cs="宋体"/>
          <w:b/>
          <w:bCs/>
          <w:i/>
          <w:color w:val="auto"/>
          <w:sz w:val="24"/>
          <w:highlight w:val="none"/>
        </w:rPr>
      </w:pPr>
      <w:r>
        <w:rPr>
          <w:rFonts w:hint="eastAsia" w:ascii="宋体" w:hAnsi="宋体" w:cs="宋体"/>
          <w:b/>
          <w:bCs/>
          <w:color w:val="auto"/>
          <w:sz w:val="24"/>
          <w:highlight w:val="none"/>
        </w:rPr>
        <w:t xml:space="preserve">（一）交付（实施）的时间（期限）和地点（范围）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1.时间：自合同签订之日起至2029年8月。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2.地点：采购人指定地点。</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（二）付款条件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合同签订后，采购人向成交供应商支付</w:t>
      </w:r>
      <w:r>
        <w:rPr>
          <w:rFonts w:hint="eastAsia" w:ascii="宋体" w:hAnsi="宋体"/>
          <w:color w:val="auto"/>
          <w:sz w:val="24"/>
          <w:highlight w:val="none"/>
        </w:rPr>
        <w:t xml:space="preserve">不超过</w:t>
      </w:r>
      <w:r>
        <w:rPr>
          <w:rFonts w:hint="eastAsia" w:ascii="宋体" w:hAnsi="宋体" w:cs="宋体"/>
          <w:color w:val="auto"/>
          <w:sz w:val="24"/>
          <w:highlight w:val="none"/>
        </w:rPr>
        <w:t xml:space="preserve">合同金额的30%；完成并提交2026年绩效评估报告后，采购人向成交供应商支付合同金额的30%；完成并提交2027年绩效评估报告后，采购人向成交供应商支付合同金额的30%；完成并提交2028年绩效评估报告、总体绩效评估技术报告、市级验收技术报告等，并顺利通过上级验收后，支付剩余合同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每笔款项支付前，成交供应商须向采购人提供合法有效的增值税发票，否则采购人有权顺延付款时间且不承担违约责任。</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（三）报价要求</w:t>
      </w:r>
      <w:r/>
    </w:p>
    <w:p>
      <w:pPr>
        <w:ind w:firstLine="480"/>
        <w:spacing w:line="360" w:lineRule="auto"/>
        <w:rPr>
          <w:rFonts w:hint="eastAsia" w:ascii="宋体" w:hAnsi="宋体" w:cs="宋体"/>
          <w:color w:val="auto"/>
          <w:spacing w:val="2"/>
          <w:sz w:val="24"/>
          <w:highlight w:val="none"/>
        </w:rPr>
      </w:pPr>
      <w:r>
        <w:rPr>
          <w:rFonts w:hint="eastAsia" w:ascii="宋体" w:hAnsi="宋体" w:cs="宋体"/>
          <w:color w:val="auto"/>
          <w:sz w:val="24"/>
          <w:highlight w:val="none"/>
        </w:rPr>
        <w:t xml:space="preserve">本项目磋商报价为</w:t>
      </w:r>
      <w:r>
        <w:rPr>
          <w:rFonts w:hint="eastAsia" w:ascii="宋体" w:hAnsi="宋体" w:cs="宋体"/>
          <w:b/>
          <w:bCs/>
          <w:color w:val="auto"/>
          <w:sz w:val="24"/>
          <w:highlight w:val="none"/>
        </w:rPr>
        <w:t xml:space="preserve">固定总价</w:t>
      </w:r>
      <w:r>
        <w:rPr>
          <w:rFonts w:hint="eastAsia" w:ascii="宋体" w:hAnsi="宋体" w:cs="宋体"/>
          <w:color w:val="auto"/>
          <w:sz w:val="24"/>
          <w:highlight w:val="none"/>
        </w:rPr>
        <w:t xml:space="preserve">，磋商报价应包括竞争性磋商文件所确定的采购范围相应服务的提供、人员（包括工资和补贴）、办公场所及设施、保险、劳保、管理、各种税费、利润、规费、税金、政策性文件规定及合同包含的所有风险、责任等各项应有费用，以及为完成该项服务项目所涉及到的一切相关费用，采购人不再支付其他任何费用。</w:t>
      </w:r>
      <w:r/>
    </w:p>
    <w:p>
      <w:pPr>
        <w:jc w:val="left"/>
        <w:spacing w:line="360" w:lineRule="auto"/>
        <w:tabs>
          <w:tab w:val="left" w:pos="735" w:leader="none"/>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color w:val="auto"/>
          <w:highlight w:val="none"/>
        </w:rPr>
      </w:pPr>
      <w:r>
        <w:rPr>
          <w:rFonts w:hint="eastAsia" w:ascii="宋体" w:hAnsi="宋体" w:cs="宋体"/>
          <w:b/>
          <w:color w:val="auto"/>
          <w:sz w:val="24"/>
          <w:highlight w:val="none"/>
        </w:rPr>
        <w:t xml:space="preserve">三、</w:t>
      </w:r>
      <w:r>
        <w:rPr>
          <w:rFonts w:hint="eastAsia" w:ascii="宋体" w:hAnsi="宋体" w:cs="宋体"/>
          <w:b/>
          <w:bCs/>
          <w:color w:val="auto"/>
          <w:sz w:val="24"/>
          <w:highlight w:val="none"/>
        </w:rPr>
        <w:t xml:space="preserve">服务内容</w:t>
      </w:r>
      <w:r/>
    </w:p>
    <w:p>
      <w:pPr>
        <w:contextualSpacing/>
        <w:ind w:firstLine="480"/>
        <w:spacing w:line="360" w:lineRule="auto"/>
        <w:rPr>
          <w:rFonts w:hint="eastAsia" w:ascii="宋体" w:hAnsi="宋体" w:cs="宋体"/>
          <w:bCs/>
          <w:color w:val="auto"/>
          <w:sz w:val="24"/>
          <w:highlight w:val="none"/>
        </w:rPr>
      </w:pPr>
      <w:r/>
      <w:bookmarkStart w:id="637" w:name="OLE_LINK7"/>
      <w:r>
        <w:rPr>
          <w:rFonts w:hint="eastAsia" w:ascii="宋体" w:hAnsi="宋体" w:cs="宋体"/>
          <w:bCs/>
          <w:color w:val="auto"/>
          <w:sz w:val="24"/>
          <w:highlight w:val="none"/>
        </w:rPr>
        <w:t xml:space="preserve">开展常态化管理服务、绩效评估、辅助项目验收等工作，建立</w:t>
      </w:r>
      <w:r>
        <w:rPr>
          <w:rFonts w:ascii="宋体" w:hAnsi="宋体" w:cs="宋体"/>
          <w:bCs/>
          <w:color w:val="auto"/>
          <w:sz w:val="24"/>
          <w:highlight w:val="none"/>
        </w:rPr>
        <w:t xml:space="preserve">健全项目全过程绩效管理体系</w:t>
      </w:r>
      <w:r>
        <w:rPr>
          <w:rFonts w:hint="eastAsia" w:ascii="宋体" w:hAnsi="宋体" w:cs="宋体"/>
          <w:bCs/>
          <w:color w:val="auto"/>
          <w:sz w:val="24"/>
          <w:highlight w:val="none"/>
        </w:rPr>
        <w:t xml:space="preserve">，为美丽河湖保护与建设项目高质量完成提供坚实专业技术支撑</w:t>
      </w:r>
      <w:r>
        <w:rPr>
          <w:rFonts w:ascii="宋体" w:hAnsi="宋体" w:cs="宋体"/>
          <w:bCs/>
          <w:color w:val="auto"/>
          <w:sz w:val="24"/>
          <w:highlight w:val="none"/>
        </w:rPr>
        <w:t xml:space="preserve">，确保中央资金使用合规高效，项目绩效目标按期实现</w:t>
      </w:r>
      <w:r>
        <w:rPr>
          <w:rFonts w:hint="eastAsia" w:ascii="宋体" w:hAnsi="宋体" w:cs="宋体"/>
          <w:bCs/>
          <w:color w:val="auto"/>
          <w:sz w:val="24"/>
          <w:highlight w:val="none"/>
        </w:rPr>
        <w:t xml:space="preserve">。</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项目跟踪管理技术服务</w:t>
      </w:r>
      <w:r>
        <w:rPr>
          <w:rFonts w:hint="eastAsia" w:ascii="宋体" w:hAnsi="宋体" w:cs="宋体"/>
          <w:b/>
          <w:color w:val="auto"/>
          <w:sz w:val="24"/>
          <w:highlight w:val="none"/>
        </w:rPr>
        <w:t xml:space="preserve">。</w:t>
      </w:r>
      <w:r>
        <w:rPr>
          <w:rFonts w:ascii="宋体" w:hAnsi="宋体" w:cs="宋体"/>
          <w:bCs/>
          <w:color w:val="auto"/>
          <w:sz w:val="24"/>
          <w:highlight w:val="none"/>
        </w:rPr>
        <w:t xml:space="preserve">依据《常州美丽河湖保护与建设项目实施方案》，第三方技术单位围绕项目绩效落地、进度管控、变更审核、问题整改等关键环节，开展全方位、闭环式技术支撑与指导服务。支持我局对项目开展常态化监管，推动项目合规、有序建设</w:t>
      </w:r>
      <w:bookmarkStart w:id="638" w:name="_Hlk234934179"/>
      <w:r>
        <w:rPr>
          <w:rFonts w:hint="eastAsia" w:ascii="宋体" w:hAnsi="宋体" w:cs="宋体"/>
          <w:bCs/>
          <w:color w:val="auto"/>
          <w:sz w:val="24"/>
          <w:highlight w:val="none"/>
        </w:rPr>
        <w:t xml:space="preserve">。</w:t>
      </w:r>
      <w:bookmarkEnd w:id="638"/>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基于《常州美丽河湖保护与建设项目实施方案》，对各子项施工设计方案进行符合性核查，逐级分解项目总体绩效目标与年度阶段性目标，形成覆盖武进、溧阳、金坛三区县及13个子项工程的绩效指标，明确各层级目标权重、时序节点及考核基准，使得目标可量化、可追溯、可校验；（2）安排驻点人员开展子</w:t>
      </w:r>
      <w:bookmarkStart w:id="639" w:name="OLE_LINK2"/>
      <w:r>
        <w:rPr>
          <w:rFonts w:hint="eastAsia" w:ascii="宋体" w:hAnsi="宋体" w:cs="宋体"/>
          <w:bCs/>
          <w:color w:val="auto"/>
          <w:sz w:val="24"/>
          <w:highlight w:val="none"/>
        </w:rPr>
        <w:t xml:space="preserve">项目跟踪管理</w:t>
      </w:r>
      <w:bookmarkEnd w:id="639"/>
      <w:r>
        <w:rPr>
          <w:rFonts w:hint="eastAsia" w:ascii="宋体" w:hAnsi="宋体" w:cs="宋体"/>
          <w:bCs/>
          <w:color w:val="auto"/>
          <w:sz w:val="24"/>
          <w:highlight w:val="none"/>
        </w:rPr>
        <w:t xml:space="preserve">服务，按月核验武进、溧阳、金坛三个区县提交的13个子项目进度、投资完成情况、绩效材料等材料，建立动态问题清单，依托工程计量、施工组织、合同履约及资金支付进度等多维专业视角，识别隐蔽性实施隐患，实施风险分级预警，即时反馈异常事项并出具针对性整改建议，为行政监管提供可溯源的量化技术依据；针对项目实施中的工程难点、绩效卡点、资金使用堵点组织专题技术研判，实行问题清单、责任清单、时限清单“三单化”技术帮扶，全程跟踪技术整改落地成效，破解基层项目实施专业能力不足难题。</w:t>
      </w:r>
      <w:bookmarkEnd w:id="637"/>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2.绩效评估技术服务。</w:t>
      </w:r>
      <w:r>
        <w:rPr>
          <w:rFonts w:ascii="宋体" w:hAnsi="宋体" w:cs="宋体"/>
          <w:bCs/>
          <w:color w:val="auto"/>
          <w:sz w:val="24"/>
          <w:highlight w:val="none"/>
        </w:rPr>
        <w:t xml:space="preserve">对照美丽河湖保护与建设实施方案中总体及分年度绩效目标，按照中央资金绩效管理要求，分年度开展市级绩效评估</w:t>
      </w:r>
      <w:r>
        <w:rPr>
          <w:rFonts w:hint="eastAsia" w:ascii="宋体" w:hAnsi="宋体" w:cs="宋体"/>
          <w:bCs/>
          <w:color w:val="auto"/>
          <w:sz w:val="24"/>
          <w:highlight w:val="none"/>
        </w:rPr>
        <w:t xml:space="preserve">技术服务，提出</w:t>
      </w:r>
      <w:r>
        <w:rPr>
          <w:rFonts w:ascii="宋体" w:hAnsi="宋体" w:cs="宋体"/>
          <w:bCs/>
          <w:color w:val="auto"/>
          <w:sz w:val="24"/>
          <w:highlight w:val="none"/>
        </w:rPr>
        <w:t xml:space="preserve">年度绩效目标动态优化建议</w:t>
      </w:r>
      <w:r>
        <w:rPr>
          <w:rFonts w:hint="eastAsia" w:ascii="宋体" w:hAnsi="宋体" w:cs="宋体"/>
          <w:bCs/>
          <w:color w:val="auto"/>
          <w:sz w:val="24"/>
          <w:highlight w:val="none"/>
        </w:rPr>
        <w:t xml:space="preserve">，确保目标可量化、可考核、可追溯</w:t>
      </w:r>
      <w:bookmarkStart w:id="640" w:name="_Hlk234934249"/>
      <w:r>
        <w:rPr>
          <w:rFonts w:hint="eastAsia" w:ascii="宋体" w:hAnsi="宋体" w:cs="宋体"/>
          <w:bCs/>
          <w:color w:val="auto"/>
          <w:sz w:val="24"/>
          <w:highlight w:val="none"/>
        </w:rPr>
        <w:t xml:space="preserve">，同时</w:t>
      </w:r>
      <w:r>
        <w:rPr>
          <w:rFonts w:ascii="宋体" w:hAnsi="宋体" w:cs="宋体"/>
          <w:bCs/>
          <w:color w:val="auto"/>
          <w:sz w:val="24"/>
          <w:highlight w:val="none"/>
        </w:rPr>
        <w:t xml:space="preserve">绩效未达标的项目梳理形成专项问题清单，提出可落地的技术性优化路径</w:t>
      </w:r>
      <w:r>
        <w:rPr>
          <w:rFonts w:hint="eastAsia" w:ascii="宋体" w:hAnsi="宋体" w:cs="宋体"/>
          <w:bCs/>
          <w:color w:val="auto"/>
          <w:sz w:val="24"/>
          <w:highlight w:val="none"/>
        </w:rPr>
        <w:t xml:space="preserve">，支持</w:t>
      </w:r>
      <w:r>
        <w:rPr>
          <w:rFonts w:hint="eastAsia" w:ascii="宋体" w:hAnsi="宋体" w:cs="宋体"/>
          <w:color w:val="auto"/>
          <w:spacing w:val="2"/>
          <w:sz w:val="24"/>
          <w:highlight w:val="none"/>
        </w:rPr>
        <w:t xml:space="preserve">常州市生态环境局</w:t>
      </w:r>
      <w:r>
        <w:rPr>
          <w:rFonts w:hint="eastAsia" w:ascii="宋体" w:hAnsi="宋体" w:cs="宋体"/>
          <w:bCs/>
          <w:color w:val="auto"/>
          <w:sz w:val="24"/>
          <w:highlight w:val="none"/>
        </w:rPr>
        <w:t xml:space="preserve">对项目开展分年度绩效评价，编制绩效自评报告</w:t>
      </w:r>
      <w:bookmarkStart w:id="641" w:name="OLE_LINK15"/>
      <w:r>
        <w:rPr>
          <w:rFonts w:hint="eastAsia" w:ascii="宋体" w:hAnsi="宋体" w:cs="宋体"/>
          <w:bCs/>
          <w:color w:val="auto"/>
          <w:sz w:val="24"/>
          <w:highlight w:val="none"/>
        </w:rPr>
        <w:t xml:space="preserve">，提交省生态环境厅审核。</w:t>
      </w:r>
      <w:bookmarkEnd w:id="640"/>
      <w:r/>
      <w:bookmarkEnd w:id="641"/>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包括：（1）指导各子项规范开展绩效监测与评价工作，依据工程</w:t>
      </w:r>
      <w:r>
        <w:rPr>
          <w:rFonts w:hint="eastAsia" w:ascii="宋体" w:hAnsi="宋体" w:cs="宋体"/>
          <w:bCs/>
          <w:color w:val="auto"/>
          <w:sz w:val="24"/>
          <w:highlight w:val="none"/>
        </w:rPr>
        <w:t xml:space="preserve">项目类型差异，分类构建绩效评估指标体系，明确差异化评价标准与监测频次，针对武进、溧阳、金坛三区县及13个子项工程提交的绩效评估方案，逐一进行合规性、科学性与可操作性审核，结合各项目实际出具针对性指导意见，确保绩效评估体系与项目目标深度契合。（2）全维度环境效益专项评估，逐一对武进、溧阳、金坛三区县提交的13个子项目开展环境效益综合分析，覆盖水环境改善、水生态修复等目标完成情况；供应商对13个子项工程开展水质跟踪监测，监测指标包括总磷、总氮、高锰酸盐指数、透明度、叶绿素，每年监测1次，每个子项不少于2个点位，</w:t>
      </w:r>
      <w:r>
        <w:rPr>
          <w:rFonts w:ascii="宋体" w:hAnsi="宋体" w:cs="宋体"/>
          <w:bCs/>
          <w:color w:val="auto"/>
          <w:sz w:val="24"/>
          <w:highlight w:val="none"/>
        </w:rPr>
        <w:t xml:space="preserve">如果</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无CMA</w:t>
      </w:r>
      <w:r>
        <w:rPr>
          <w:rFonts w:hint="eastAsia" w:ascii="宋体" w:hAnsi="宋体" w:cs="宋体"/>
          <w:bCs/>
          <w:color w:val="auto"/>
          <w:sz w:val="24"/>
          <w:highlight w:val="none"/>
        </w:rPr>
        <w:t xml:space="preserve">资质</w:t>
      </w:r>
      <w:r>
        <w:rPr>
          <w:rFonts w:ascii="宋体" w:hAnsi="宋体" w:cs="宋体"/>
          <w:bCs/>
          <w:color w:val="auto"/>
          <w:sz w:val="24"/>
          <w:highlight w:val="none"/>
        </w:rPr>
        <w:t xml:space="preserve">，可以委托</w:t>
      </w:r>
      <w:r>
        <w:rPr>
          <w:rFonts w:hint="eastAsia" w:ascii="宋体" w:hAnsi="宋体" w:cs="宋体"/>
          <w:bCs/>
          <w:color w:val="auto"/>
          <w:sz w:val="24"/>
          <w:highlight w:val="none"/>
        </w:rPr>
        <w:t xml:space="preserve">具备CMA资质的</w:t>
      </w:r>
      <w:r>
        <w:rPr>
          <w:rFonts w:ascii="宋体" w:hAnsi="宋体" w:cs="宋体"/>
          <w:bCs/>
          <w:color w:val="auto"/>
          <w:sz w:val="24"/>
          <w:highlight w:val="none"/>
        </w:rPr>
        <w:t xml:space="preserve">第三方机构</w:t>
      </w:r>
      <w:r>
        <w:rPr>
          <w:rFonts w:hint="eastAsia" w:ascii="宋体" w:hAnsi="宋体" w:cs="宋体"/>
          <w:bCs/>
          <w:color w:val="auto"/>
          <w:sz w:val="24"/>
          <w:highlight w:val="none"/>
        </w:rPr>
        <w:t xml:space="preserve">进行</w:t>
      </w:r>
      <w:r>
        <w:rPr>
          <w:rFonts w:ascii="宋体" w:hAnsi="宋体" w:cs="宋体"/>
          <w:bCs/>
          <w:color w:val="auto"/>
          <w:sz w:val="24"/>
          <w:highlight w:val="none"/>
        </w:rPr>
        <w:t xml:space="preserve">实施</w:t>
      </w:r>
      <w:r>
        <w:rPr>
          <w:rFonts w:hint="eastAsia" w:ascii="宋体" w:hAnsi="宋体" w:cs="宋体"/>
          <w:bCs/>
          <w:color w:val="auto"/>
          <w:sz w:val="24"/>
          <w:highlight w:val="none"/>
        </w:rPr>
        <w:t xml:space="preserve">；逐项核算22项绩效指</w:t>
      </w:r>
      <w:r>
        <w:rPr>
          <w:rFonts w:hint="eastAsia" w:ascii="宋体" w:hAnsi="宋体" w:cs="宋体"/>
          <w:bCs/>
          <w:color w:val="auto"/>
          <w:sz w:val="24"/>
          <w:highlight w:val="none"/>
        </w:rPr>
        <w:t xml:space="preserve">标三年实施成效，通过档案校核、现场采样核查、多源数据交叉比对完成量化打分；同步评估工程实际运行工况、长效管护实施实效，梳理未达标指标专项问题清单，出具可落地的绩效提升技术路径，为项目动态调整提供专业决策依据；（3）编制市级年度绩效评估技术报告，做出专业分析与风险提示，全面反映绩效目标完成度、资金执行率、工程实施进度等关键信息，客观评价年度工作成效，为项目管理和资金拨付提供依据；（4）所有子项目完工后，汇总整合历年各阶段绩效评估技术资料，编制绩效总体评估技术报告，全面梳理项目实施综合成效、典型做法与工作经验。</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3.市级项目验收技术服务。</w:t>
      </w:r>
      <w:r>
        <w:rPr>
          <w:rFonts w:ascii="宋体" w:hAnsi="宋体" w:cs="宋体"/>
          <w:bCs/>
          <w:color w:val="auto"/>
          <w:sz w:val="24"/>
          <w:highlight w:val="none"/>
        </w:rPr>
        <w:t xml:space="preserve">围绕绩效目标完成情况，辅助市级层面指导各区（县）开展子项目</w:t>
      </w:r>
      <w:r>
        <w:rPr>
          <w:rFonts w:hint="eastAsia" w:ascii="宋体" w:hAnsi="宋体" w:cs="宋体"/>
          <w:bCs/>
          <w:color w:val="auto"/>
          <w:sz w:val="24"/>
          <w:highlight w:val="none"/>
        </w:rPr>
        <w:t xml:space="preserve">竣工</w:t>
      </w:r>
      <w:r>
        <w:rPr>
          <w:rFonts w:ascii="宋体" w:hAnsi="宋体" w:cs="宋体"/>
          <w:bCs/>
          <w:color w:val="auto"/>
          <w:sz w:val="24"/>
          <w:highlight w:val="none"/>
        </w:rPr>
        <w:t xml:space="preserve">验收工作</w:t>
      </w:r>
      <w:r>
        <w:rPr>
          <w:rFonts w:hint="eastAsia" w:ascii="宋体" w:hAnsi="宋体" w:cs="宋体"/>
          <w:bCs/>
          <w:color w:val="auto"/>
          <w:sz w:val="24"/>
          <w:highlight w:val="none"/>
        </w:rPr>
        <w:t xml:space="preserve">，制定</w:t>
      </w:r>
      <w:r>
        <w:rPr>
          <w:rFonts w:ascii="宋体" w:hAnsi="宋体" w:cs="宋体"/>
          <w:bCs/>
          <w:color w:val="auto"/>
          <w:sz w:val="24"/>
          <w:highlight w:val="none"/>
        </w:rPr>
        <w:t xml:space="preserve">子项目验收技术要点</w:t>
      </w:r>
      <w:r>
        <w:rPr>
          <w:rFonts w:hint="eastAsia" w:ascii="宋体" w:hAnsi="宋体" w:cs="宋体"/>
          <w:bCs/>
          <w:color w:val="auto"/>
          <w:sz w:val="24"/>
          <w:highlight w:val="none"/>
        </w:rPr>
        <w:t xml:space="preserve">，开展子项目技术预审，提出完善意见，</w:t>
      </w:r>
      <w:bookmarkStart w:id="642" w:name="OLE_LINK17"/>
      <w:r>
        <w:rPr>
          <w:rFonts w:hint="eastAsia" w:ascii="宋体" w:hAnsi="宋体" w:cs="宋体"/>
          <w:bCs/>
          <w:color w:val="auto"/>
          <w:sz w:val="24"/>
          <w:highlight w:val="none"/>
        </w:rPr>
        <w:t xml:space="preserve">支持</w:t>
      </w:r>
      <w:r>
        <w:rPr>
          <w:rFonts w:hint="eastAsia" w:ascii="宋体" w:hAnsi="宋体" w:cs="宋体"/>
          <w:color w:val="auto"/>
          <w:spacing w:val="2"/>
          <w:sz w:val="24"/>
          <w:highlight w:val="none"/>
        </w:rPr>
        <w:t xml:space="preserve">常州市生态环境局</w:t>
      </w:r>
      <w:r>
        <w:rPr>
          <w:rFonts w:hint="eastAsia" w:ascii="宋体" w:hAnsi="宋体" w:cs="宋体"/>
          <w:bCs/>
          <w:color w:val="auto"/>
          <w:sz w:val="24"/>
          <w:highlight w:val="none"/>
        </w:rPr>
        <w:t xml:space="preserve">对项目开展市级验收，</w:t>
      </w:r>
      <w:r>
        <w:rPr>
          <w:rFonts w:ascii="宋体" w:hAnsi="宋体" w:cs="宋体"/>
          <w:bCs/>
          <w:color w:val="auto"/>
          <w:sz w:val="24"/>
          <w:highlight w:val="none"/>
        </w:rPr>
        <w:t xml:space="preserve">编制市级验收报告</w:t>
      </w:r>
      <w:r>
        <w:rPr>
          <w:rFonts w:hint="eastAsia" w:ascii="宋体" w:hAnsi="宋体" w:cs="宋体"/>
          <w:bCs/>
          <w:color w:val="auto"/>
          <w:sz w:val="24"/>
          <w:highlight w:val="none"/>
        </w:rPr>
        <w:t xml:space="preserve">，配合做好市级验收技术保障准备工作。</w:t>
      </w:r>
      <w:bookmarkEnd w:id="642"/>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制定验收技术标准，依据水污染防治资金管理相关规定及项目申报既定绩效目标梳理验收核查重点，制定子项目验收技术要点，明确验收流程、资料清单和绩效核查标准；（2）各子项目验收材料预审，组织行业专家开展系统性技术预审，构建与省级、国</w:t>
      </w:r>
      <w:r>
        <w:rPr>
          <w:rFonts w:hint="eastAsia" w:ascii="宋体" w:hAnsi="宋体" w:cs="宋体"/>
          <w:bCs/>
          <w:color w:val="auto"/>
          <w:sz w:val="24"/>
          <w:highlight w:val="none"/>
        </w:rPr>
        <w:t xml:space="preserve">家级资金管理技术团队的常态化专业沟通与协调联动机制，针对预审中发现的问题，逐项提出补充完善意见并督导整改落实，同时全程参与项目现场验收环节，确保验收程序规范、技术把关严格；（3）竣工验收评估，汇总各区（县）提供的子项目验收情况，编制市级验收技术报告，全面涵盖项目总体完成情况、绩效达标分析、资金使用与审计情况等，为市级整体验收提供专业支撑，提出下一步运行维护建议；成果编制及保障工作，配合市局做好上级验收技术保障工作，包含现场核查点位技术梳理、验收答辩技术材料撰写、项目台账与佐证资料统筹协调等专业技术保障工作。</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四、服务要求</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（一）验收评价标准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完成</w:t>
      </w:r>
      <w:r>
        <w:rPr>
          <w:rFonts w:hint="eastAsia"/>
          <w:color w:val="auto"/>
          <w:sz w:val="24"/>
          <w:highlight w:val="none"/>
        </w:rPr>
        <w:t xml:space="preserve">常州市美丽河湖保护与建设项目</w:t>
      </w:r>
      <w:r>
        <w:rPr>
          <w:rFonts w:hint="eastAsia" w:ascii="宋体" w:hAnsi="宋体" w:cs="宋体"/>
          <w:bCs/>
          <w:color w:val="auto"/>
          <w:sz w:val="24"/>
          <w:highlight w:val="none"/>
        </w:rPr>
        <w:t xml:space="preserve">绩效评估技术报告、市级验收技术报告，协助项目顺利通过上级管理部门验收。</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（二）服务质量标准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1.服务过程应建立项目质量管理体系，明确项目负责人和专职服务人员，实行专人专岗、责任到人，确保服务响应及时、沟通顺畅。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2.服务过程中应做好工作记录，形成完整的服务档案，包括工作底稿、审核意见、会议纪要、培训资料等，做到全程留痕、有据可查。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3.服务过程应定期向采购人汇报工作进展，重要事项及时报告，遇重大政策调整或突发情况应在24小时内提出应对建议。</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（三）交付要求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1.服务成果交付形式及时间：</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（1）2026、2027、2028</w:t>
      </w:r>
      <w:r>
        <w:rPr>
          <w:rFonts w:ascii="宋体" w:hAnsi="宋体" w:cs="宋体"/>
          <w:bCs/>
          <w:color w:val="auto"/>
          <w:sz w:val="24"/>
          <w:highlight w:val="none"/>
        </w:rPr>
        <w:t xml:space="preserve">年度绩效评估技术报告</w:t>
      </w:r>
      <w:r>
        <w:rPr>
          <w:rFonts w:hint="eastAsia" w:ascii="宋体" w:hAnsi="宋体" w:cs="宋体"/>
          <w:bCs/>
          <w:color w:val="auto"/>
          <w:sz w:val="24"/>
          <w:highlight w:val="none"/>
        </w:rPr>
        <w:t xml:space="preserve">各1份，次年3月底前提交；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技术服务月度工作简报36份</w:t>
      </w:r>
      <w:r>
        <w:rPr>
          <w:rFonts w:hint="eastAsia" w:ascii="宋体" w:hAnsi="宋体" w:cs="宋体"/>
          <w:bCs/>
          <w:color w:val="auto"/>
          <w:sz w:val="24"/>
          <w:highlight w:val="none"/>
        </w:rPr>
        <w:t xml:space="preserve">，次月10日前提交；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项目完工后总体绩效评估技术报告</w:t>
      </w:r>
      <w:r>
        <w:rPr>
          <w:rFonts w:hint="eastAsia" w:ascii="宋体" w:hAnsi="宋体" w:cs="宋体"/>
          <w:bCs/>
          <w:color w:val="auto"/>
          <w:sz w:val="24"/>
          <w:highlight w:val="none"/>
        </w:rPr>
        <w:t xml:space="preserve">1份、</w:t>
      </w:r>
      <w:r>
        <w:rPr>
          <w:rFonts w:ascii="宋体" w:hAnsi="宋体" w:cs="宋体"/>
          <w:bCs/>
          <w:color w:val="auto"/>
          <w:sz w:val="24"/>
          <w:highlight w:val="none"/>
        </w:rPr>
        <w:t xml:space="preserve">市级验收技术报告</w:t>
      </w:r>
      <w:r>
        <w:rPr>
          <w:rFonts w:hint="eastAsia" w:ascii="宋体" w:hAnsi="宋体" w:cs="宋体"/>
          <w:bCs/>
          <w:color w:val="auto"/>
          <w:sz w:val="24"/>
          <w:highlight w:val="none"/>
        </w:rPr>
        <w:t xml:space="preserve">1份、</w:t>
      </w:r>
      <w:r>
        <w:rPr>
          <w:rFonts w:ascii="宋体" w:hAnsi="宋体" w:cs="宋体"/>
          <w:bCs/>
          <w:color w:val="auto"/>
          <w:sz w:val="24"/>
          <w:highlight w:val="none"/>
        </w:rPr>
        <w:t xml:space="preserve">项目管理技术台账</w:t>
      </w:r>
      <w:r>
        <w:rPr>
          <w:rFonts w:hint="eastAsia" w:ascii="宋体" w:hAnsi="宋体" w:cs="宋体"/>
          <w:bCs/>
          <w:color w:val="auto"/>
          <w:sz w:val="24"/>
          <w:highlight w:val="none"/>
        </w:rPr>
        <w:t xml:space="preserve">13份，按照采购人指定时间提交。</w:t>
      </w:r>
      <w:r/>
    </w:p>
    <w:p>
      <w:pPr>
        <w:pStyle w:val="1290"/>
        <w:ind w:firstLine="480"/>
        <w:spacing w:before="0" w:line="360" w:lineRule="auto"/>
        <w:rPr>
          <w:rFonts w:hint="eastAsia" w:cs="宋体"/>
          <w:color w:val="auto"/>
          <w:highlight w:val="none"/>
        </w:rPr>
      </w:pPr>
      <w:r>
        <w:rPr>
          <w:rFonts w:hint="eastAsia" w:cs="宋体"/>
          <w:bCs/>
          <w:color w:val="auto"/>
          <w:highlight w:val="none"/>
        </w:rPr>
        <w:t xml:space="preserve">2.服务成果质量要求：在项目实施中，供应商须服从采购人进度调度和质量要求。</w:t>
      </w:r>
      <w:r/>
    </w:p>
    <w:p>
      <w:pPr>
        <w:ind w:right="21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21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五、人员及实施要求</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（一）项目人员要求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1.项目需配备专业团队，团队人员应具有与本项目相关的技术能力。团队主要成员须全程参与本项目，不得擅自更换，确因特殊情况需变更的，须经采购人书面同意并提前15日报备。</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项目团队需配备</w:t>
      </w:r>
      <w:bookmarkStart w:id="643" w:name="OLE_LINK3"/>
      <w:r>
        <w:rPr>
          <w:rFonts w:hint="eastAsia" w:ascii="宋体" w:hAnsi="宋体" w:cs="宋体"/>
          <w:bCs/>
          <w:color w:val="auto"/>
          <w:sz w:val="24"/>
          <w:highlight w:val="none"/>
        </w:rPr>
        <w:t xml:space="preserve">4名驻点</w:t>
      </w:r>
      <w:bookmarkEnd w:id="643"/>
      <w:r>
        <w:rPr>
          <w:rFonts w:hint="eastAsia" w:ascii="宋体" w:hAnsi="宋体" w:cs="宋体"/>
          <w:bCs/>
          <w:color w:val="auto"/>
          <w:sz w:val="24"/>
          <w:highlight w:val="none"/>
        </w:rPr>
        <w:t xml:space="preserve">服务人员常驻采购人单位，协助采购人开展子项目跟踪管理，服务期限为</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年，成交</w:t>
      </w:r>
      <w:r>
        <w:rPr>
          <w:rFonts w:ascii="宋体" w:hAnsi="宋体" w:cs="宋体"/>
          <w:bCs/>
          <w:color w:val="auto"/>
          <w:sz w:val="24"/>
          <w:highlight w:val="none"/>
        </w:rPr>
        <w:t xml:space="preserve">后未经</w:t>
      </w:r>
      <w:r>
        <w:rPr>
          <w:rFonts w:hint="eastAsia" w:ascii="宋体" w:hAnsi="宋体" w:cs="宋体"/>
          <w:bCs/>
          <w:color w:val="auto"/>
          <w:sz w:val="24"/>
          <w:highlight w:val="none"/>
        </w:rPr>
        <w:t xml:space="preserve">采购人</w:t>
      </w:r>
      <w:r>
        <w:rPr>
          <w:rFonts w:ascii="宋体" w:hAnsi="宋体" w:cs="宋体"/>
          <w:bCs/>
          <w:color w:val="auto"/>
          <w:sz w:val="24"/>
          <w:highlight w:val="none"/>
        </w:rPr>
        <w:t xml:space="preserve">书面同意</w:t>
      </w:r>
      <w:r>
        <w:rPr>
          <w:rFonts w:hint="eastAsia" w:ascii="宋体" w:hAnsi="宋体" w:cs="宋体"/>
          <w:bCs/>
          <w:color w:val="auto"/>
          <w:sz w:val="24"/>
          <w:highlight w:val="none"/>
        </w:rPr>
        <w:t xml:space="preserve">供应商不得</w:t>
      </w:r>
      <w:r>
        <w:rPr>
          <w:rFonts w:ascii="宋体" w:hAnsi="宋体" w:cs="宋体"/>
          <w:bCs/>
          <w:color w:val="auto"/>
          <w:sz w:val="24"/>
          <w:highlight w:val="none"/>
        </w:rPr>
        <w:t xml:space="preserve">更换</w:t>
      </w:r>
      <w:r>
        <w:rPr>
          <w:rFonts w:hint="eastAsia" w:ascii="宋体" w:hAnsi="宋体" w:cs="宋体"/>
          <w:bCs/>
          <w:color w:val="auto"/>
          <w:sz w:val="24"/>
          <w:highlight w:val="none"/>
        </w:rPr>
        <w:t xml:space="preserve">驻点人员。为更好地向采购人提供服务，驻点人员应具有</w:t>
      </w:r>
      <w:r>
        <w:rPr>
          <w:rFonts w:hint="eastAsia" w:ascii="宋体" w:hAnsi="宋体" w:cs="宋体"/>
          <w:color w:val="auto"/>
          <w:sz w:val="24"/>
          <w:highlight w:val="none"/>
          <w:lang w:val="zh-Hans"/>
        </w:rPr>
        <w:t xml:space="preserve">环境类</w:t>
      </w:r>
      <w:r>
        <w:rPr>
          <w:rFonts w:hint="eastAsia" w:ascii="宋体" w:hAnsi="宋体" w:cs="宋体"/>
          <w:bCs/>
          <w:color w:val="auto"/>
          <w:sz w:val="24"/>
          <w:highlight w:val="none"/>
        </w:rPr>
        <w:t xml:space="preserve">专业的本科学历并经采购人认可，驻点人员应接受采购人管理，遵守采购人单位的各项规章制度。若采购人认为供应商所派的驻点人员不合适的，采购人有权利要求供应商更换符合采购人要求的驻点人员。</w:t>
      </w:r>
      <w:r>
        <w:rPr>
          <w:rFonts w:ascii="宋体" w:hAnsi="宋体" w:cs="宋体"/>
          <w:bCs/>
          <w:color w:val="auto"/>
          <w:sz w:val="24"/>
          <w:highlight w:val="none"/>
        </w:rPr>
        <w:t xml:space="preserve">若</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存在驻点人员配置不到位、未经许可随意更换人员等情形，</w:t>
      </w:r>
      <w:r>
        <w:rPr>
          <w:rFonts w:hint="eastAsia" w:ascii="宋体" w:hAnsi="宋体" w:cs="宋体"/>
          <w:bCs/>
          <w:color w:val="auto"/>
          <w:sz w:val="24"/>
          <w:highlight w:val="none"/>
        </w:rPr>
        <w:t xml:space="preserve">采购人</w:t>
      </w:r>
      <w:r>
        <w:rPr>
          <w:rFonts w:ascii="宋体" w:hAnsi="宋体" w:cs="宋体"/>
          <w:bCs/>
          <w:color w:val="auto"/>
          <w:sz w:val="24"/>
          <w:highlight w:val="none"/>
        </w:rPr>
        <w:t xml:space="preserve">同样有权要求</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限期更换</w:t>
      </w:r>
      <w:r>
        <w:rPr>
          <w:rFonts w:hint="eastAsia" w:ascii="宋体" w:hAnsi="宋体" w:cs="宋体"/>
          <w:bCs/>
          <w:color w:val="auto"/>
          <w:sz w:val="24"/>
          <w:highlight w:val="none"/>
        </w:rPr>
        <w:t xml:space="preserve">采购人要求的</w:t>
      </w:r>
      <w:r>
        <w:rPr>
          <w:rFonts w:ascii="宋体" w:hAnsi="宋体" w:cs="宋体"/>
          <w:bCs/>
          <w:color w:val="auto"/>
          <w:sz w:val="24"/>
          <w:highlight w:val="none"/>
        </w:rPr>
        <w:t xml:space="preserve">驻点人员</w:t>
      </w:r>
      <w:r>
        <w:rPr>
          <w:rFonts w:hint="eastAsia" w:ascii="宋体" w:hAnsi="宋体" w:cs="宋体"/>
          <w:bCs/>
          <w:color w:val="auto"/>
          <w:sz w:val="24"/>
          <w:highlight w:val="none"/>
        </w:rPr>
        <w:t xml:space="preserve">。因驻点人员失职而造成采购人或第三方损失的，由供应商负责处理和赔偿，如由采购人先行支付的，采购人可向供应商进行追偿。供应商应依法与驻点人员成立劳动关系，并根据国家、省市有关规定及时、足额为驻点人员缴纳社会保险，按月足额支付驻点人员的工资等，如由采购人先行予以支付工资等的，采购人有权向供应商进行追偿。驻点人员如发生工伤、工亡等情形的，由供应商按法律法规支付一切费用并依法承担全部责任。</w:t>
      </w:r>
      <w:r/>
    </w:p>
    <w:p>
      <w:pPr>
        <w:ind w:right="210" w:firstLine="480"/>
        <w:jc w:val="left"/>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.项目团队应指定1名专职联络员，负责与采购人的日常沟通协调，确保信息传递及时准确，响应采购人服务需求。</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（二）项目实施要求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1.成交供应商须制定详细的项目实施方案，明确各阶段工作内容、时间节点、人员分工及质量保障措施。</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2.成交供应商须建立项目质量内控机制，对服务成果实行审核制度，确保出具的技术报告数据准确、依据充分、结论客观。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3.成交供应商须严格遵守保密规定，对服务过程中接触的资料履行保密义务，未经采购人书面许可不得对外披露或用于其他用途。</w:t>
      </w:r>
      <w:r/>
    </w:p>
    <w:p>
      <w:pPr>
        <w:ind w:right="210" w:firstLine="480"/>
        <w:jc w:val="left"/>
        <w:spacing w:line="360" w:lineRule="auto"/>
        <w:rPr>
          <w:rFonts w:hint="eastAsia" w:ascii="宋体" w:hAnsi="宋体" w:cs="宋体"/>
          <w:b/>
          <w:color w:val="auto"/>
          <w:sz w:val="24"/>
          <w:highlight w:val="none"/>
        </w:rPr>
      </w:pPr>
      <w:r>
        <w:rPr>
          <w:rFonts w:hint="eastAsia" w:ascii="宋体" w:hAnsi="宋体" w:cs="宋体"/>
          <w:bCs/>
          <w:color w:val="auto"/>
          <w:sz w:val="24"/>
          <w:highlight w:val="none"/>
        </w:rPr>
        <w:t xml:space="preserve">4.成交供应商须接受采购人及其上级主管部门的监督检查，配合做好相关审计、巡查及考核工作，按要求及时提供工作资料及情况说明。</w:t>
      </w:r>
      <w:r/>
    </w:p>
    <w:p>
      <w:pPr>
        <w:ind w:right="21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1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六、知识产权归属</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供应商在服务过程中形成的技术报告，其知识产权归采购人所有。</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供应商须保证所提交的成果文件不侵犯任何第三方的知识产权，如因知识产权纠纷导致采购人损失的，由</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供应商承担全部法律责任及赔偿责任。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3.未经采购人书面许可，</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供应商不得将本项目成果用于其他项目或对外公开发表、出版。</w:t>
      </w:r>
      <w:r/>
    </w:p>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七、保密义务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供应商须对服务过程中知悉的采购人商业秘密、技术秘密、财政资金信息、项目资料及相关数据严格保密，保密期限自合同签订之日起至永久。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供应商违反保密义务导致采购人损失的，须承担相应的赔偿责任；构成犯罪的，依法移送司法机关追究刑事责任。</w:t>
      </w:r>
      <w:r/>
    </w:p>
    <w:p>
      <w:pPr>
        <w:contextualSpacing/>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供应商未按合同约定时间交付服务成果的，每延迟1日按合同金额的0.1%向采购人支付违约金，延迟超过15日的，采购人有权解除合同并要求</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供应商赔偿损失。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供应商提交的服务成果不符合质量要求，经采购人提出后未在指定期限内整改或整改后仍不符合要求的，采购人有权拒付相应款项并要求</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供应商承担违约责任。</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3.因</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供应商原因导致采购人被上级部门通报批评或产生其他不良影响的，采购人有权解除合同，</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供应商须退还已收款项并赔偿采购人全部损失。</w:t>
      </w:r>
      <w:r/>
    </w:p>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62"/>
        <w:ind w:firstLine="0"/>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九、采购标的对应的中小企业划分标准所属行业一览表</w:t>
      </w:r>
      <w:r/>
    </w:p>
    <w:tbl>
      <w:tblPr>
        <w:tblStyle w:val="103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3766"/>
        <w:gridCol w:w="4371"/>
      </w:tblGrid>
      <w:tr>
        <w:trPr>
          <w:cantSplit/>
          <w:jc w:val="center"/>
        </w:trPr>
        <w:tc>
          <w:tcPr>
            <w:tcW w:w="657"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00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57"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00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常州市美丽河湖保护与建设项目绩效评估与验收技术服务项目</w:t>
            </w:r>
            <w:r/>
          </w:p>
        </w:tc>
        <w:tc>
          <w:tcPr>
            <w:tcW w:w="233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其他未列明行</w:t>
            </w:r>
            <w:r>
              <w:rPr>
                <w:rFonts w:hint="eastAsia"/>
                <w:color w:val="auto"/>
                <w:sz w:val="24"/>
                <w:highlight w:val="none"/>
              </w:rPr>
              <w:t xml:space="preserve">业</w:t>
            </w:r>
            <w:r/>
          </w:p>
        </w:tc>
      </w:tr>
    </w:tbl>
    <w:p>
      <w:pPr>
        <w:jc w:val="left"/>
        <w:widowControl/>
        <w:rPr>
          <w:rFonts w:hint="eastAsia" w:ascii="宋体" w:hAnsi="宋体"/>
          <w:color w:val="auto"/>
          <w:sz w:val="24"/>
          <w:highlight w:val="none"/>
        </w:rPr>
      </w:pPr>
      <w:r>
        <w:rPr>
          <w:rFonts w:hint="eastAsia" w:ascii="宋体" w:hAnsi="宋体"/>
          <w:color w:val="auto"/>
          <w:sz w:val="24"/>
          <w:highlight w:val="none"/>
        </w:rPr>
      </w:r>
      <w:r/>
    </w:p>
    <w:p>
      <w:pPr>
        <w:jc w:val="center"/>
        <w:pageBreakBefore/>
        <w:spacing w:line="360" w:lineRule="auto"/>
        <w:rPr>
          <w:b/>
          <w:color w:val="auto"/>
          <w:sz w:val="36"/>
          <w:szCs w:val="36"/>
          <w:highlight w:val="none"/>
        </w:rPr>
        <w:outlineLvl w:val="0"/>
      </w:pPr>
      <w:r>
        <w:rPr>
          <w:b/>
          <w:color w:val="auto"/>
          <w:sz w:val="36"/>
          <w:szCs w:val="36"/>
          <w:highlight w:val="none"/>
        </w:rPr>
        <w:t xml:space="preserve">第五章   合同草案条款</w:t>
      </w:r>
      <w:bookmarkEnd w:id="636"/>
      <w:r/>
      <w:r/>
    </w:p>
    <w:p>
      <w:pPr>
        <w:spacing w:line="480" w:lineRule="auto"/>
        <w:rPr>
          <w:rFonts w:hint="eastAsia"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pStyle w:val="103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103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ind w:right="-58"/>
        <w:jc w:val="center"/>
        <w:rPr>
          <w:rFonts w:hint="eastAsia"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常州市美丽河湖保护与建设项目绩效评估与验收技术服务项目合同</w:t>
      </w:r>
      <w:r/>
    </w:p>
    <w:p>
      <w:pPr>
        <w:pStyle w:val="1037"/>
        <w:rPr>
          <w:rFonts w:hint="eastAsia"/>
          <w:color w:val="auto"/>
          <w:highlight w:val="none"/>
        </w:rPr>
      </w:pPr>
      <w:r>
        <w:rPr>
          <w:rFonts w:hint="eastAsia"/>
          <w:color w:val="auto"/>
          <w:highlight w:val="none"/>
        </w:rPr>
      </w:r>
      <w:r/>
    </w:p>
    <w:p>
      <w:pPr>
        <w:jc w:val="left"/>
        <w:rPr>
          <w:rFonts w:hint="eastAsia" w:ascii="楷体" w:hAnsi="楷体" w:eastAsia="楷体"/>
          <w:color w:val="auto"/>
          <w:sz w:val="24"/>
          <w:highlight w:val="none"/>
        </w:rPr>
      </w:pPr>
      <w:r>
        <w:rPr>
          <w:rFonts w:hint="eastAsia" w:ascii="楷体" w:hAnsi="楷体" w:eastAsia="楷体"/>
          <w:color w:val="auto"/>
          <w:sz w:val="24"/>
          <w:highlight w:val="none"/>
        </w:rPr>
      </w:r>
      <w:r/>
    </w:p>
    <w:p>
      <w:pPr>
        <w:jc w:val="left"/>
        <w:rPr>
          <w:rFonts w:hint="eastAsia" w:ascii="楷体" w:hAnsi="楷体" w:eastAsia="楷体"/>
          <w:color w:val="auto"/>
          <w:sz w:val="24"/>
          <w:highlight w:val="none"/>
        </w:rPr>
      </w:pPr>
      <w:r>
        <w:rPr>
          <w:rFonts w:hint="eastAsia" w:ascii="楷体" w:hAnsi="楷体" w:eastAsia="楷体"/>
          <w:color w:val="auto"/>
          <w:sz w:val="24"/>
          <w:highlight w:val="none"/>
        </w:rPr>
      </w:r>
      <w:r/>
    </w:p>
    <w:p>
      <w:pPr>
        <w:spacing w:before="120" w:line="240" w:lineRule="atLeast"/>
        <w:rPr>
          <w:rFonts w:hint="eastAsia" w:ascii="楷体" w:hAnsi="楷体" w:eastAsia="楷体"/>
          <w:color w:val="auto"/>
          <w:sz w:val="24"/>
          <w:highlight w:val="none"/>
        </w:rPr>
      </w:pPr>
      <w:r>
        <w:rPr>
          <w:rFonts w:hint="eastAsia" w:ascii="楷体" w:hAnsi="楷体" w:eastAsia="楷体"/>
          <w:color w:val="auto"/>
          <w:sz w:val="24"/>
          <w:highlight w:val="none"/>
        </w:rPr>
        <w:t xml:space="preserve"> </w:t>
      </w:r>
      <w:r/>
    </w:p>
    <w:p>
      <w:pPr>
        <w:rPr>
          <w:rFonts w:hint="eastAsia" w:ascii="黑体" w:hAnsi="黑体" w:eastAsia="黑体"/>
          <w:color w:val="auto"/>
          <w:sz w:val="32"/>
          <w:szCs w:val="28"/>
          <w:highlight w:val="none"/>
        </w:rPr>
      </w:pPr>
      <w:r>
        <w:rPr>
          <w:rFonts w:hint="eastAsia" w:ascii="黑体" w:hAnsi="黑体" w:eastAsia="黑体"/>
          <w:color w:val="auto"/>
          <w:sz w:val="32"/>
          <w:szCs w:val="28"/>
          <w:highlight w:val="none"/>
        </w:rPr>
      </w:r>
      <w:r/>
    </w:p>
    <w:p>
      <w:pPr>
        <w:ind w:left="2560" w:hanging="964"/>
        <w:spacing w:before="120" w:line="240" w:lineRule="atLeast"/>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甲方：常州市生态环境局</w:t>
      </w:r>
      <w:r/>
    </w:p>
    <w:p>
      <w:pPr>
        <w:ind w:firstLine="1606"/>
        <w:spacing w:before="120" w:line="240" w:lineRule="atLeast"/>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1400"/>
        <w:spacing w:before="120" w:line="240" w:lineRule="atLeast"/>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103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center"/>
        <w:spacing w:before="120" w:line="240" w:lineRule="atLeast"/>
        <w:rPr>
          <w:rFonts w:hint="eastAsia"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hint="eastAsia"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hint="eastAsia" w:ascii="仿宋" w:hAnsi="仿宋" w:eastAsia="仿宋"/>
          <w:color w:val="auto"/>
          <w:sz w:val="32"/>
          <w:szCs w:val="32"/>
          <w:highlight w:val="none"/>
        </w:rPr>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u w:val="single"/>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常州市生态环境局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常州市美丽河湖保护与建设项目绩效评估与验收技术服务项目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常州市生态环境局</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(以下简称：乙方)协商一致，约定以下合同条款，以兹共同遵守、全面履行。</w:t>
      </w:r>
      <w:r/>
    </w:p>
    <w:p>
      <w:pPr>
        <w:ind w:firstLine="482"/>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2.成交通知书。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3.响应文件（含澄清或者说明文件）。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ind w:firstLine="482"/>
        <w:spacing w:line="360" w:lineRule="auto"/>
        <w:rPr>
          <w:b/>
          <w:color w:val="auto"/>
          <w:sz w:val="24"/>
          <w:highlight w:val="none"/>
        </w:rPr>
      </w:pPr>
      <w:r>
        <w:rPr>
          <w:rFonts w:hint="eastAsia"/>
          <w:b/>
          <w:color w:val="auto"/>
          <w:sz w:val="24"/>
          <w:highlight w:val="none"/>
        </w:rPr>
        <w:t xml:space="preserve">二、合同标的内容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1.项目名称：常州市美丽河湖保护与建设项目绩效评估与验收技术服务项目。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2.项目内容：</w:t>
      </w:r>
      <w:r>
        <w:rPr>
          <w:rFonts w:hint="eastAsia" w:asciiTheme="minorEastAsia" w:hAnsiTheme="minorEastAsia" w:eastAsiaTheme="minorEastAsia"/>
          <w:color w:val="auto"/>
          <w:sz w:val="24"/>
          <w:highlight w:val="none"/>
        </w:rPr>
        <w:t xml:space="preserve">本项目是常州市美丽河湖保护与建设项目绩效评估与验收技术服务项目。根据生态环境部《关于支持开展中央财政2026年度美丽河湖保护与建设项目的通知》，我市申报的常州市美丽河湖保护与建设项目成功纳入中央财政水污染防治资金支持实施清单，涉及</w:t>
      </w:r>
      <w:r>
        <w:rPr>
          <w:rFonts w:hint="eastAsia" w:asciiTheme="minorEastAsia" w:hAnsiTheme="minorEastAsia" w:eastAsiaTheme="minorEastAsia"/>
          <w:color w:val="auto"/>
          <w:sz w:val="24"/>
          <w:highlight w:val="none"/>
        </w:rPr>
        <w:t xml:space="preserve">13个项目，实施周期原则上为3年。按照生态环境部《水污染防治资金管理办法》及《关于加强中央生态环境资金项目竣工验收管理的通知》有关规定，中央生态环境资金项目要求生态环境部门实行资金使用、工程实施、绩效管控、竣工验收全周期闭环管理，相关管理环节涉及现场技术核查、绩效量化测算、竣工核验等专业工作。为规范项目实施、保障资金合规使用、按期完成绩效目标并顺利通过上级验收，常州市生态环境局拟通过政府购买服务委托第三方机构提供全过程绩效与验收技术服务，协助常州市生态环境局开展美丽河湖保护与建设项目全周期闭环管理相关工作。</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3.服务期限：</w:t>
      </w:r>
      <w:r>
        <w:rPr>
          <w:rFonts w:hint="eastAsia" w:ascii="宋体" w:hAnsi="宋体" w:cs="宋体"/>
          <w:color w:val="auto"/>
          <w:sz w:val="24"/>
          <w:highlight w:val="none"/>
        </w:rPr>
        <w:t xml:space="preserve">自合同签订之日起至2029年8月。</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三、合同价款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本合同总价为：¥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2"/>
        <w:spacing w:line="360" w:lineRule="auto"/>
        <w:rPr>
          <w:rFonts w:hint="eastAsia" w:ascii="宋体" w:hAnsi="宋体"/>
          <w:b/>
          <w:bCs/>
          <w:color w:val="auto"/>
          <w:sz w:val="24"/>
          <w:highlight w:val="none"/>
        </w:rPr>
      </w:pPr>
      <w:r/>
      <w:bookmarkStart w:id="644" w:name="_Toc60748168"/>
      <w:r>
        <w:rPr>
          <w:rFonts w:hint="eastAsia" w:ascii="宋体" w:hAnsi="宋体"/>
          <w:b/>
          <w:bCs/>
          <w:color w:val="auto"/>
          <w:sz w:val="24"/>
          <w:highlight w:val="none"/>
        </w:rPr>
        <w:t xml:space="preserve">四、付款方式和发票开具方式</w:t>
      </w:r>
      <w:bookmarkEnd w:id="64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1.本合同项下所有款项均以人民币支付。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2.结算原则：按固定总价进行结算。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3.支付方式：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签订后，甲方向乙方支付不超过合同金额的30%；完成并提交2026年绩效评估报告后，甲方向乙方支付合同金额的30%；完成并提交2027年绩效评估报告后，甲方向乙方支付合同金额的30%；完成并提交2028年绩效评估报告、总体绩效评估技术报告、市级验收技术报告等，并顺利通过上级验收后，支付剩余合同金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每笔款项支付前，乙方须向甲方提供合法有效的增值税发票，否则甲方有权顺延付款时间且不承担违约责任。</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五、服务内容</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开展常态化管理服务、绩效评估、辅助项目验收等工作，建立</w:t>
      </w:r>
      <w:r>
        <w:rPr>
          <w:rFonts w:ascii="宋体" w:hAnsi="宋体" w:cs="宋体"/>
          <w:bCs/>
          <w:color w:val="auto"/>
          <w:sz w:val="24"/>
          <w:highlight w:val="none"/>
        </w:rPr>
        <w:t xml:space="preserve">健全项目全过程绩效管理体系</w:t>
      </w:r>
      <w:r>
        <w:rPr>
          <w:rFonts w:hint="eastAsia" w:ascii="宋体" w:hAnsi="宋体" w:cs="宋体"/>
          <w:bCs/>
          <w:color w:val="auto"/>
          <w:sz w:val="24"/>
          <w:highlight w:val="none"/>
        </w:rPr>
        <w:t xml:space="preserve">，为美丽河湖保护与建设项目高质量完成提供坚实专业技术支撑</w:t>
      </w:r>
      <w:r>
        <w:rPr>
          <w:rFonts w:ascii="宋体" w:hAnsi="宋体" w:cs="宋体"/>
          <w:bCs/>
          <w:color w:val="auto"/>
          <w:sz w:val="24"/>
          <w:highlight w:val="none"/>
        </w:rPr>
        <w:t xml:space="preserve">，确保中央资金使用合规高效，项目绩效目标按期实现</w:t>
      </w:r>
      <w:r>
        <w:rPr>
          <w:rFonts w:hint="eastAsia" w:ascii="宋体" w:hAnsi="宋体" w:cs="宋体"/>
          <w:bCs/>
          <w:color w:val="auto"/>
          <w:sz w:val="24"/>
          <w:highlight w:val="none"/>
        </w:rPr>
        <w:t xml:space="preserve">。</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项目跟踪管理技术服务</w:t>
      </w:r>
      <w:r>
        <w:rPr>
          <w:rFonts w:hint="eastAsia" w:ascii="宋体" w:hAnsi="宋体" w:cs="宋体"/>
          <w:b/>
          <w:color w:val="auto"/>
          <w:sz w:val="24"/>
          <w:highlight w:val="none"/>
        </w:rPr>
        <w:t xml:space="preserve">。</w:t>
      </w:r>
      <w:r>
        <w:rPr>
          <w:rFonts w:ascii="宋体" w:hAnsi="宋体" w:cs="宋体"/>
          <w:bCs/>
          <w:color w:val="auto"/>
          <w:sz w:val="24"/>
          <w:highlight w:val="none"/>
        </w:rPr>
        <w:t xml:space="preserve">依据《常州美丽河湖保护与建设项目实施方案》，第三方技术单位围绕项目绩效落地、进度管控、变更审核、问题整改等关键环节，开展全方位、闭环式技术支撑与指导服务。支持我局对项目开展常态化监管，推动项目合规、有序建设</w:t>
      </w:r>
      <w:r>
        <w:rPr>
          <w:rFonts w:hint="eastAsia" w:ascii="宋体" w:hAnsi="宋体" w:cs="宋体"/>
          <w:bCs/>
          <w:color w:val="auto"/>
          <w:sz w:val="24"/>
          <w:highlight w:val="none"/>
        </w:rPr>
        <w:t xml:space="preserve">。</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基于《常州美丽河湖保护与建设项目实施方案》，对各子项施工设计方案进行符合性核查，逐级分解项目总体绩效目标与年度阶段性目标，形成覆盖武进、溧阳、金坛三区县及13个子项工程的绩效指标，明确各层级目标权重、时序节点及考核基准，使得目标可量化、可</w:t>
      </w:r>
      <w:r>
        <w:rPr>
          <w:rFonts w:hint="eastAsia" w:ascii="宋体" w:hAnsi="宋体" w:cs="宋体"/>
          <w:bCs/>
          <w:color w:val="auto"/>
          <w:sz w:val="24"/>
          <w:highlight w:val="none"/>
        </w:rPr>
        <w:t xml:space="preserve">追溯、可校验；（2）安排驻点人员开展子项目跟踪管理服务，按月核验武进、溧阳、金坛三个区县提交的13个子项目进度、投资完成情况、绩效材料等材料，建立动态问题清单，依托工程计量、施工组织、合同履约及资金支付进度等多维专业视角，识别隐蔽性实施隐患，实施风险分级预警，即时反馈异常事项并出具针对性整改建议，为行政监管提供可溯源的量化技术依据；针对项目实施中的工程难点、绩效卡点、资金使用堵点组织专题技术研判，实行问题清单、责任清单、时限清单“三单化”技术帮扶，全程跟踪技术整改落地成效，破解基层项目实施专业能力不足难题。</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2.绩效评估技术服务。</w:t>
      </w:r>
      <w:r>
        <w:rPr>
          <w:rFonts w:ascii="宋体" w:hAnsi="宋体" w:cs="宋体"/>
          <w:bCs/>
          <w:color w:val="auto"/>
          <w:sz w:val="24"/>
          <w:highlight w:val="none"/>
        </w:rPr>
        <w:t xml:space="preserve">对照美丽河湖保护与建设实施方案中总体及分年度绩效目标，按照中央资金绩效管理要求，分年度开展市级绩效评估</w:t>
      </w:r>
      <w:r>
        <w:rPr>
          <w:rFonts w:hint="eastAsia" w:ascii="宋体" w:hAnsi="宋体" w:cs="宋体"/>
          <w:bCs/>
          <w:color w:val="auto"/>
          <w:sz w:val="24"/>
          <w:highlight w:val="none"/>
        </w:rPr>
        <w:t xml:space="preserve">技术服务，提出</w:t>
      </w:r>
      <w:r>
        <w:rPr>
          <w:rFonts w:ascii="宋体" w:hAnsi="宋体" w:cs="宋体"/>
          <w:bCs/>
          <w:color w:val="auto"/>
          <w:sz w:val="24"/>
          <w:highlight w:val="none"/>
        </w:rPr>
        <w:t xml:space="preserve">年度绩效目标动态优化建议</w:t>
      </w:r>
      <w:r>
        <w:rPr>
          <w:rFonts w:hint="eastAsia" w:ascii="宋体" w:hAnsi="宋体" w:cs="宋体"/>
          <w:bCs/>
          <w:color w:val="auto"/>
          <w:sz w:val="24"/>
          <w:highlight w:val="none"/>
        </w:rPr>
        <w:t xml:space="preserve">，确保目标可量化、可考核、可追溯，同时</w:t>
      </w:r>
      <w:r>
        <w:rPr>
          <w:rFonts w:ascii="宋体" w:hAnsi="宋体" w:cs="宋体"/>
          <w:bCs/>
          <w:color w:val="auto"/>
          <w:sz w:val="24"/>
          <w:highlight w:val="none"/>
        </w:rPr>
        <w:t xml:space="preserve">绩效未达标的项目梳理形成专项问题清单，提出可落地的技术性优化路径</w:t>
      </w:r>
      <w:r>
        <w:rPr>
          <w:rFonts w:hint="eastAsia" w:ascii="宋体" w:hAnsi="宋体" w:cs="宋体"/>
          <w:bCs/>
          <w:color w:val="auto"/>
          <w:sz w:val="24"/>
          <w:highlight w:val="none"/>
        </w:rPr>
        <w:t xml:space="preserve">，支持</w:t>
      </w:r>
      <w:r>
        <w:rPr>
          <w:rFonts w:hint="eastAsia" w:ascii="宋体" w:hAnsi="宋体" w:cs="宋体"/>
          <w:color w:val="auto"/>
          <w:spacing w:val="2"/>
          <w:sz w:val="24"/>
          <w:highlight w:val="none"/>
        </w:rPr>
        <w:t xml:space="preserve">常州市生态环境局</w:t>
      </w:r>
      <w:r>
        <w:rPr>
          <w:rFonts w:hint="eastAsia" w:ascii="宋体" w:hAnsi="宋体" w:cs="宋体"/>
          <w:bCs/>
          <w:color w:val="auto"/>
          <w:sz w:val="24"/>
          <w:highlight w:val="none"/>
        </w:rPr>
        <w:t xml:space="preserve">对项目开展分年度绩效评价，编制绩效自评报告，提交省生态环境厅审核。</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包括：（1）指导各子项规范开展绩效监测与评价工作，依据工</w:t>
      </w:r>
      <w:r>
        <w:rPr>
          <w:rFonts w:hint="eastAsia" w:ascii="宋体" w:hAnsi="宋体" w:cs="宋体"/>
          <w:bCs/>
          <w:color w:val="auto"/>
          <w:sz w:val="24"/>
          <w:highlight w:val="none"/>
        </w:rPr>
        <w:t xml:space="preserve">程项目类型差异，分类构建绩效评估指标体系，明确差异化评价标准与监测频次，针对武进、溧阳、金坛三区县及13个子项工程提交的绩效评估方案，逐一进行合规性、科学性与可操作性审核，结合各项目实际出具针对性指导意见，确保绩效评估体系与项目目标深度契合。（2）全维度环境效益专项评估，逐一对武进、溧阳、金坛三区县提交的13个子项目开展环境效益综合分析，覆盖水环境改善、水生态修复等目标完成情况；乙方对13个子项工程开展水质跟踪监测，监测指标包括总磷、总氮、高锰酸盐指数、透明度、叶绿素，每年监测1次，每个子项不少于2个点位，</w:t>
      </w:r>
      <w:r>
        <w:rPr>
          <w:rFonts w:ascii="宋体" w:hAnsi="宋体" w:cs="宋体"/>
          <w:bCs/>
          <w:color w:val="auto"/>
          <w:sz w:val="24"/>
          <w:highlight w:val="none"/>
        </w:rPr>
        <w:t xml:space="preserve">如果</w:t>
      </w:r>
      <w:r>
        <w:rPr>
          <w:rFonts w:hint="eastAsia" w:ascii="宋体" w:hAnsi="宋体" w:cs="宋体"/>
          <w:bCs/>
          <w:color w:val="auto"/>
          <w:sz w:val="24"/>
          <w:highlight w:val="none"/>
        </w:rPr>
        <w:t xml:space="preserve">乙方</w:t>
      </w:r>
      <w:r>
        <w:rPr>
          <w:rFonts w:ascii="宋体" w:hAnsi="宋体" w:cs="宋体"/>
          <w:bCs/>
          <w:color w:val="auto"/>
          <w:sz w:val="24"/>
          <w:highlight w:val="none"/>
        </w:rPr>
        <w:t xml:space="preserve">无CMA</w:t>
      </w:r>
      <w:r>
        <w:rPr>
          <w:rFonts w:hint="eastAsia" w:ascii="宋体" w:hAnsi="宋体" w:cs="宋体"/>
          <w:bCs/>
          <w:color w:val="auto"/>
          <w:sz w:val="24"/>
          <w:highlight w:val="none"/>
        </w:rPr>
        <w:t xml:space="preserve">资质</w:t>
      </w:r>
      <w:r>
        <w:rPr>
          <w:rFonts w:ascii="宋体" w:hAnsi="宋体" w:cs="宋体"/>
          <w:bCs/>
          <w:color w:val="auto"/>
          <w:sz w:val="24"/>
          <w:highlight w:val="none"/>
        </w:rPr>
        <w:t xml:space="preserve">，可以委托</w:t>
      </w:r>
      <w:r>
        <w:rPr>
          <w:rFonts w:hint="eastAsia" w:ascii="宋体" w:hAnsi="宋体" w:cs="宋体"/>
          <w:bCs/>
          <w:color w:val="auto"/>
          <w:sz w:val="24"/>
          <w:highlight w:val="none"/>
        </w:rPr>
        <w:t xml:space="preserve">具备CMA资质的</w:t>
      </w:r>
      <w:r>
        <w:rPr>
          <w:rFonts w:ascii="宋体" w:hAnsi="宋体" w:cs="宋体"/>
          <w:bCs/>
          <w:color w:val="auto"/>
          <w:sz w:val="24"/>
          <w:highlight w:val="none"/>
        </w:rPr>
        <w:t xml:space="preserve">第三方机构</w:t>
      </w:r>
      <w:r>
        <w:rPr>
          <w:rFonts w:hint="eastAsia" w:ascii="宋体" w:hAnsi="宋体" w:cs="宋体"/>
          <w:bCs/>
          <w:color w:val="auto"/>
          <w:sz w:val="24"/>
          <w:highlight w:val="none"/>
        </w:rPr>
        <w:t xml:space="preserve">进行</w:t>
      </w:r>
      <w:r>
        <w:rPr>
          <w:rFonts w:ascii="宋体" w:hAnsi="宋体" w:cs="宋体"/>
          <w:bCs/>
          <w:color w:val="auto"/>
          <w:sz w:val="24"/>
          <w:highlight w:val="none"/>
        </w:rPr>
        <w:t xml:space="preserve">实施</w:t>
      </w:r>
      <w:r>
        <w:rPr>
          <w:rFonts w:hint="eastAsia" w:ascii="宋体" w:hAnsi="宋体" w:cs="宋体"/>
          <w:bCs/>
          <w:color w:val="auto"/>
          <w:sz w:val="24"/>
          <w:highlight w:val="none"/>
        </w:rPr>
        <w:t xml:space="preserve">；逐项核算22项绩效指</w:t>
      </w:r>
      <w:r>
        <w:rPr>
          <w:rFonts w:hint="eastAsia" w:ascii="宋体" w:hAnsi="宋体" w:cs="宋体"/>
          <w:bCs/>
          <w:color w:val="auto"/>
          <w:sz w:val="24"/>
          <w:highlight w:val="none"/>
        </w:rPr>
        <w:t xml:space="preserve">标三年实施成效，通过档案校核、现场采样核查、多源数据交叉比对完成量化打分；同步评估工程实际运行工况、长效管护实施实效，梳理未达标指标专项问题清单，出具可落地的绩效提升技术路径，为项目动态调整提供专业决策依据；（3）编制市级年度绩效评估技术报告，做出专业分析与风险提示，全面反映绩效目标完成度、资金执行率、工程实施进度等关键信息，客观评价年度工作成效，为项目管理和资金拨付提供依据；（4）所有子项目完工后，汇总整合历年各阶段绩效评估技术资料，编制绩效总体评估技术报告，全面梳理项目实施综合成效、典型做法与工作经验。</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3.市级项目验收技术服务。</w:t>
      </w:r>
      <w:r>
        <w:rPr>
          <w:rFonts w:ascii="宋体" w:hAnsi="宋体" w:cs="宋体"/>
          <w:bCs/>
          <w:color w:val="auto"/>
          <w:sz w:val="24"/>
          <w:highlight w:val="none"/>
        </w:rPr>
        <w:t xml:space="preserve">围绕绩效目标完成情况，辅助市级层面指导各区（县）开展子项目</w:t>
      </w:r>
      <w:r>
        <w:rPr>
          <w:rFonts w:hint="eastAsia" w:ascii="宋体" w:hAnsi="宋体" w:cs="宋体"/>
          <w:bCs/>
          <w:color w:val="auto"/>
          <w:sz w:val="24"/>
          <w:highlight w:val="none"/>
        </w:rPr>
        <w:t xml:space="preserve">竣工</w:t>
      </w:r>
      <w:r>
        <w:rPr>
          <w:rFonts w:ascii="宋体" w:hAnsi="宋体" w:cs="宋体"/>
          <w:bCs/>
          <w:color w:val="auto"/>
          <w:sz w:val="24"/>
          <w:highlight w:val="none"/>
        </w:rPr>
        <w:t xml:space="preserve">验收工作</w:t>
      </w:r>
      <w:r>
        <w:rPr>
          <w:rFonts w:hint="eastAsia" w:ascii="宋体" w:hAnsi="宋体" w:cs="宋体"/>
          <w:bCs/>
          <w:color w:val="auto"/>
          <w:sz w:val="24"/>
          <w:highlight w:val="none"/>
        </w:rPr>
        <w:t xml:space="preserve">，制定</w:t>
      </w:r>
      <w:r>
        <w:rPr>
          <w:rFonts w:ascii="宋体" w:hAnsi="宋体" w:cs="宋体"/>
          <w:bCs/>
          <w:color w:val="auto"/>
          <w:sz w:val="24"/>
          <w:highlight w:val="none"/>
        </w:rPr>
        <w:t xml:space="preserve">子项目验收技术要点</w:t>
      </w:r>
      <w:r>
        <w:rPr>
          <w:rFonts w:hint="eastAsia" w:ascii="宋体" w:hAnsi="宋体" w:cs="宋体"/>
          <w:bCs/>
          <w:color w:val="auto"/>
          <w:sz w:val="24"/>
          <w:highlight w:val="none"/>
        </w:rPr>
        <w:t xml:space="preserve">，开展子项目技术预审，提出完善意见，支持</w:t>
      </w:r>
      <w:r>
        <w:rPr>
          <w:rFonts w:hint="eastAsia" w:ascii="宋体" w:hAnsi="宋体" w:cs="宋体"/>
          <w:color w:val="auto"/>
          <w:spacing w:val="2"/>
          <w:sz w:val="24"/>
          <w:highlight w:val="none"/>
        </w:rPr>
        <w:t xml:space="preserve">常州市生态环境局</w:t>
      </w:r>
      <w:r>
        <w:rPr>
          <w:rFonts w:hint="eastAsia" w:ascii="宋体" w:hAnsi="宋体" w:cs="宋体"/>
          <w:bCs/>
          <w:color w:val="auto"/>
          <w:sz w:val="24"/>
          <w:highlight w:val="none"/>
        </w:rPr>
        <w:t xml:space="preserve">对项目开展市级验收，</w:t>
      </w:r>
      <w:r>
        <w:rPr>
          <w:rFonts w:ascii="宋体" w:hAnsi="宋体" w:cs="宋体"/>
          <w:bCs/>
          <w:color w:val="auto"/>
          <w:sz w:val="24"/>
          <w:highlight w:val="none"/>
        </w:rPr>
        <w:t xml:space="preserve">编制市级验收报告</w:t>
      </w:r>
      <w:r>
        <w:rPr>
          <w:rFonts w:hint="eastAsia" w:ascii="宋体" w:hAnsi="宋体" w:cs="宋体"/>
          <w:bCs/>
          <w:color w:val="auto"/>
          <w:sz w:val="24"/>
          <w:highlight w:val="none"/>
        </w:rPr>
        <w:t xml:space="preserve">，配合做好市级验收技术保障准备工作。</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1）制定验收技术标准，依据水污染防治资金管理相关规定及项目申报既定绩效目标梳理验收核查重点，制定子项目验收技术要点，明确验收流程、资料清单和绩效核查标准；（2）各子项目验收材料预审，组织行业专家开展系统性技术预审，构建与省级、国</w:t>
      </w:r>
      <w:r>
        <w:rPr>
          <w:rFonts w:hint="eastAsia" w:ascii="宋体" w:hAnsi="宋体" w:cs="宋体"/>
          <w:bCs/>
          <w:color w:val="auto"/>
          <w:sz w:val="24"/>
          <w:highlight w:val="none"/>
        </w:rPr>
        <w:t xml:space="preserve">家级资金管理技术团队的常态化专业沟通与协调联动机制，针对预审中发现的问题，逐项提出补充完善意见并督导整改落实，同时全程参与项目现场验收环节，确保验收程序规范、技术把关严格；（3）竣工验收评估，汇总各区（县）提供的子项目验收情况，编制市级验收技术报告，全面涵盖项目总体完成情况、绩效达标分析、资金使用与审计情况等，为市级整体验收提供专业支撑，提出下一步运行维护建议；成果编制及保障工作，配合市局做好上级验收技术保障工作，包含现场核查点位技术梳理、验收答辩技术材料撰写、项目台账与佐证资料统筹协调等专业技术保障工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六、服务要求</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（一）验收评价标准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完成</w:t>
      </w:r>
      <w:r>
        <w:rPr>
          <w:rFonts w:hint="eastAsia"/>
          <w:color w:val="auto"/>
          <w:sz w:val="24"/>
          <w:highlight w:val="none"/>
        </w:rPr>
        <w:t xml:space="preserve">常州市美丽河湖保护与建设项目</w:t>
      </w:r>
      <w:r>
        <w:rPr>
          <w:rFonts w:hint="eastAsia" w:ascii="宋体" w:hAnsi="宋体" w:cs="宋体"/>
          <w:bCs/>
          <w:color w:val="auto"/>
          <w:sz w:val="24"/>
          <w:highlight w:val="none"/>
        </w:rPr>
        <w:t xml:space="preserve">绩效评估技术报告、市级验收技术报告，协助项目顺利通过上级管理部门验收。</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（二）服务质量标准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1.服务过程应建立项目质量管理体系，明确项目负责人和专职服务人员，实行专人专岗、责任到人，确保服务响应及时、沟通顺畅。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2.服务过程中应做好工作记录，形成完整的服务档案，包括工作底稿、审核意见、会议纪要、培训资料等，做到全程留痕、有据可查。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3.服务过程应定期向甲方汇报工作进展，重要事项及时报告，遇重大政策调整或突发情况应在24小时内提出应对建议。</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（三）交付要求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1.服务成果交付形式及时间：</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（1）2026、2027、2028</w:t>
      </w:r>
      <w:r>
        <w:rPr>
          <w:rFonts w:ascii="宋体" w:hAnsi="宋体" w:cs="宋体"/>
          <w:bCs/>
          <w:color w:val="auto"/>
          <w:sz w:val="24"/>
          <w:highlight w:val="none"/>
        </w:rPr>
        <w:t xml:space="preserve">年度绩效评估技术报告</w:t>
      </w:r>
      <w:r>
        <w:rPr>
          <w:rFonts w:hint="eastAsia" w:ascii="宋体" w:hAnsi="宋体" w:cs="宋体"/>
          <w:bCs/>
          <w:color w:val="auto"/>
          <w:sz w:val="24"/>
          <w:highlight w:val="none"/>
        </w:rPr>
        <w:t xml:space="preserve">各1份，次年3月底前提交；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技术服务月度工作简报36份</w:t>
      </w:r>
      <w:r>
        <w:rPr>
          <w:rFonts w:hint="eastAsia" w:ascii="宋体" w:hAnsi="宋体" w:cs="宋体"/>
          <w:bCs/>
          <w:color w:val="auto"/>
          <w:sz w:val="24"/>
          <w:highlight w:val="none"/>
        </w:rPr>
        <w:t xml:space="preserve">，次月10日前提交；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项目完工后总体绩效评估技术报告</w:t>
      </w:r>
      <w:r>
        <w:rPr>
          <w:rFonts w:hint="eastAsia" w:ascii="宋体" w:hAnsi="宋体" w:cs="宋体"/>
          <w:bCs/>
          <w:color w:val="auto"/>
          <w:sz w:val="24"/>
          <w:highlight w:val="none"/>
        </w:rPr>
        <w:t xml:space="preserve">1份、</w:t>
      </w:r>
      <w:r>
        <w:rPr>
          <w:rFonts w:ascii="宋体" w:hAnsi="宋体" w:cs="宋体"/>
          <w:bCs/>
          <w:color w:val="auto"/>
          <w:sz w:val="24"/>
          <w:highlight w:val="none"/>
        </w:rPr>
        <w:t xml:space="preserve">市级验收技术报告</w:t>
      </w:r>
      <w:r>
        <w:rPr>
          <w:rFonts w:hint="eastAsia" w:ascii="宋体" w:hAnsi="宋体" w:cs="宋体"/>
          <w:bCs/>
          <w:color w:val="auto"/>
          <w:sz w:val="24"/>
          <w:highlight w:val="none"/>
        </w:rPr>
        <w:t xml:space="preserve">1份、</w:t>
      </w:r>
      <w:r>
        <w:rPr>
          <w:rFonts w:ascii="宋体" w:hAnsi="宋体" w:cs="宋体"/>
          <w:bCs/>
          <w:color w:val="auto"/>
          <w:sz w:val="24"/>
          <w:highlight w:val="none"/>
        </w:rPr>
        <w:t xml:space="preserve">项目管理技术台账</w:t>
      </w:r>
      <w:r>
        <w:rPr>
          <w:rFonts w:hint="eastAsia" w:ascii="宋体" w:hAnsi="宋体" w:cs="宋体"/>
          <w:bCs/>
          <w:color w:val="auto"/>
          <w:sz w:val="24"/>
          <w:highlight w:val="none"/>
        </w:rPr>
        <w:t xml:space="preserve">13份，按照甲方指定时间提交。</w:t>
      </w:r>
      <w:r/>
    </w:p>
    <w:p>
      <w:pPr>
        <w:ind w:firstLine="480"/>
        <w:spacing w:line="360" w:lineRule="auto"/>
        <w:rPr>
          <w:rFonts w:hint="eastAsia" w:ascii="宋体" w:hAnsi="宋体"/>
          <w:b/>
          <w:bCs/>
          <w:color w:val="auto"/>
          <w:sz w:val="24"/>
          <w:highlight w:val="none"/>
        </w:rPr>
      </w:pPr>
      <w:r>
        <w:rPr>
          <w:rFonts w:hint="eastAsia" w:ascii="宋体" w:hAnsi="宋体" w:cs="宋体"/>
          <w:bCs/>
          <w:color w:val="auto"/>
          <w:sz w:val="24"/>
          <w:highlight w:val="none"/>
        </w:rPr>
        <w:t xml:space="preserve">2.服务成果质量要求：在项目实施中，乙方须服从甲方进度调度和质量要求。</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七、人员及实施要求</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（一）项目人员要求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1.项目需配备专业团队，团队人员应具有与本项目相关的技术能力。团队主要成员须全程参与本项目，不得擅自更换，确因特殊情况需变更的，须经甲方书面同意并提前15日报备。</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项目团队需配备4名驻点服务人员常驻甲方单位，协助甲方开展子项目跟踪管理，服务期限为</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年，</w:t>
      </w:r>
      <w:r>
        <w:rPr>
          <w:rFonts w:ascii="宋体" w:hAnsi="宋体" w:cs="宋体"/>
          <w:bCs/>
          <w:color w:val="auto"/>
          <w:sz w:val="24"/>
          <w:highlight w:val="none"/>
        </w:rPr>
        <w:t xml:space="preserve">未经甲方书面同意</w:t>
      </w:r>
      <w:r>
        <w:rPr>
          <w:rFonts w:hint="eastAsia" w:ascii="宋体" w:hAnsi="宋体" w:cs="宋体"/>
          <w:bCs/>
          <w:color w:val="auto"/>
          <w:sz w:val="24"/>
          <w:highlight w:val="none"/>
        </w:rPr>
        <w:t xml:space="preserve">乙方不得</w:t>
      </w:r>
      <w:r>
        <w:rPr>
          <w:rFonts w:ascii="宋体" w:hAnsi="宋体" w:cs="宋体"/>
          <w:bCs/>
          <w:color w:val="auto"/>
          <w:sz w:val="24"/>
          <w:highlight w:val="none"/>
        </w:rPr>
        <w:t xml:space="preserve">更换</w:t>
      </w:r>
      <w:r>
        <w:rPr>
          <w:rFonts w:hint="eastAsia" w:ascii="宋体" w:hAnsi="宋体" w:cs="宋体"/>
          <w:bCs/>
          <w:color w:val="auto"/>
          <w:sz w:val="24"/>
          <w:highlight w:val="none"/>
        </w:rPr>
        <w:t xml:space="preserve">驻点人员。为更好地向甲方提供服务，驻点人员应具有</w:t>
      </w:r>
      <w:r>
        <w:rPr>
          <w:rFonts w:hint="eastAsia" w:ascii="宋体" w:hAnsi="宋体" w:cs="宋体"/>
          <w:color w:val="auto"/>
          <w:sz w:val="24"/>
          <w:highlight w:val="none"/>
          <w:lang w:val="zh-Hans"/>
        </w:rPr>
        <w:t xml:space="preserve">环境类</w:t>
      </w:r>
      <w:r>
        <w:rPr>
          <w:rFonts w:hint="eastAsia" w:ascii="宋体" w:hAnsi="宋体" w:cs="宋体"/>
          <w:bCs/>
          <w:color w:val="auto"/>
          <w:sz w:val="24"/>
          <w:highlight w:val="none"/>
        </w:rPr>
        <w:t xml:space="preserve">专业的本科学历并经甲方认可，驻点人员应接受甲方管理，遵守甲方单位的各项规章制度。若甲方认为乙方所派的驻点人员不合适的，甲方有权利要求乙方更换符合甲方要求的驻点人员。</w:t>
      </w:r>
      <w:r>
        <w:rPr>
          <w:rFonts w:ascii="宋体" w:hAnsi="宋体" w:cs="宋体"/>
          <w:bCs/>
          <w:color w:val="auto"/>
          <w:sz w:val="24"/>
          <w:highlight w:val="none"/>
        </w:rPr>
        <w:t xml:space="preserve">若乙方存在驻点人员配置不到位、未经许可随意更换人员等情形，甲方同样有权要求乙方限期更换</w:t>
      </w:r>
      <w:r>
        <w:rPr>
          <w:rFonts w:hint="eastAsia" w:ascii="宋体" w:hAnsi="宋体" w:cs="宋体"/>
          <w:bCs/>
          <w:color w:val="auto"/>
          <w:sz w:val="24"/>
          <w:highlight w:val="none"/>
        </w:rPr>
        <w:t xml:space="preserve">甲方要求的</w:t>
      </w:r>
      <w:r>
        <w:rPr>
          <w:rFonts w:ascii="宋体" w:hAnsi="宋体" w:cs="宋体"/>
          <w:bCs/>
          <w:color w:val="auto"/>
          <w:sz w:val="24"/>
          <w:highlight w:val="none"/>
        </w:rPr>
        <w:t xml:space="preserve">驻点人员</w:t>
      </w:r>
      <w:r>
        <w:rPr>
          <w:rFonts w:hint="eastAsia" w:ascii="宋体" w:hAnsi="宋体" w:cs="宋体"/>
          <w:bCs/>
          <w:color w:val="auto"/>
          <w:sz w:val="24"/>
          <w:highlight w:val="none"/>
        </w:rPr>
        <w:t xml:space="preserve">。因驻点人员失职而造成甲方或第三方损失的，由乙方负责处理和赔偿，如由甲方先行支付的，甲方可向乙方进行追偿。乙方应依法与驻点人员成立劳动关系，并根据国家、省市有关规定及时、足额为驻点人员缴纳社会保险，按月足额支付驻点人员的工资等，如由甲方先行予以支付工资等的，甲方有权向乙方进行追偿。驻点人员如发生工伤、工亡等情形的，由乙方按法律法规支付一切费用并依法承担全部责任。</w:t>
      </w:r>
      <w:r/>
    </w:p>
    <w:p>
      <w:pPr>
        <w:ind w:right="210" w:firstLine="480"/>
        <w:jc w:val="left"/>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.项目团队应指定1名专职联络员，负责与甲方的日常沟通协调，确保信息传递及时准确，响应甲方服务需求。</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（二）项目实施要求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1.乙方须制定详细的项目实施方案，明确各阶段工作内容、时间节点、人员分工及质量保障措施。</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2.乙方须建立项目质量内控机制，对服务成果实行审核制度，确保出具的技术报告数据准确、依据充分、结论客观。</w:t>
      </w:r>
      <w:r/>
    </w:p>
    <w:p>
      <w:pPr>
        <w:ind w:right="210"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3.乙方须严格遵守保密规定，对服务过程中接触的资料履行保密义务，未经甲方书面许可不得对外披露或用于其他用途。</w:t>
      </w:r>
      <w:r/>
    </w:p>
    <w:p>
      <w:pPr>
        <w:ind w:right="210" w:firstLine="480"/>
        <w:jc w:val="left"/>
        <w:spacing w:line="360" w:lineRule="auto"/>
        <w:rPr>
          <w:rFonts w:hint="eastAsia" w:ascii="宋体" w:hAnsi="宋体" w:cs="宋体"/>
          <w:b/>
          <w:color w:val="auto"/>
          <w:sz w:val="24"/>
          <w:highlight w:val="none"/>
        </w:rPr>
      </w:pPr>
      <w:r>
        <w:rPr>
          <w:rFonts w:hint="eastAsia" w:ascii="宋体" w:hAnsi="宋体" w:cs="宋体"/>
          <w:bCs/>
          <w:color w:val="auto"/>
          <w:sz w:val="24"/>
          <w:highlight w:val="none"/>
        </w:rPr>
        <w:t xml:space="preserve">4.乙方须接受甲方及其上级主管部门的监督检查，配合做好相关审计、巡查及考核工作，按要求及时提供工作资料及情况说明。</w:t>
      </w:r>
      <w:r/>
    </w:p>
    <w:p>
      <w:pPr>
        <w:ind w:right="210"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八、知识产权归属</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乙方</w:t>
      </w:r>
      <w:r>
        <w:rPr>
          <w:rFonts w:hint="eastAsia" w:ascii="宋体" w:hAnsi="宋体" w:cs="宋体"/>
          <w:color w:val="auto"/>
          <w:sz w:val="24"/>
          <w:highlight w:val="none"/>
        </w:rPr>
        <w:t xml:space="preserve">在服务过程中形成的技术报告，其知识产权归甲方所有。</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乙方</w:t>
      </w:r>
      <w:r>
        <w:rPr>
          <w:rFonts w:hint="eastAsia" w:ascii="宋体" w:hAnsi="宋体" w:cs="宋体"/>
          <w:color w:val="auto"/>
          <w:sz w:val="24"/>
          <w:highlight w:val="none"/>
        </w:rPr>
        <w:t xml:space="preserve">须保证所提交的成果文件不侵犯任何第三方的知识产权，如因知识产权纠纷导致甲方损失的，由</w:t>
      </w:r>
      <w:r>
        <w:rPr>
          <w:rFonts w:hint="eastAsia" w:ascii="宋体" w:hAnsi="宋体" w:cs="宋体"/>
          <w:bCs/>
          <w:color w:val="auto"/>
          <w:sz w:val="24"/>
          <w:highlight w:val="none"/>
        </w:rPr>
        <w:t xml:space="preserve">乙方</w:t>
      </w:r>
      <w:r>
        <w:rPr>
          <w:rFonts w:hint="eastAsia" w:ascii="宋体" w:hAnsi="宋体" w:cs="宋体"/>
          <w:color w:val="auto"/>
          <w:sz w:val="24"/>
          <w:highlight w:val="none"/>
        </w:rPr>
        <w:t xml:space="preserve">承担全部法律责任及赔偿责任。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3.未经甲方书面许可，乙方不得将本项目成果用于其他项目或对外公开发表、出版。</w:t>
      </w:r>
      <w:r/>
    </w:p>
    <w:p>
      <w:pPr>
        <w:contextualSpacing/>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九、保密义务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1.乙方须对服务过程中知悉的甲方商业秘密、技术秘密、财政资金信息、项目资料及相关数据严格保密，保密期限自合同签订之日起至永久。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2.乙方违反保密义务导致甲方损失的，须承担相应的赔偿责任；构成犯罪的，依法移送司法机关追究刑事责任。</w:t>
      </w:r>
      <w:r/>
    </w:p>
    <w:p>
      <w:pPr>
        <w:contextualSpacing/>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1.乙方未按合同约定时间交付服务成果的，每延迟1日按合同金额的0.1%向甲方支付违约金，延迟超过15日的，甲方有权解除合同并要求</w:t>
      </w:r>
      <w:r>
        <w:rPr>
          <w:rFonts w:hint="eastAsia" w:ascii="宋体" w:hAnsi="宋体" w:cs="宋体"/>
          <w:bCs/>
          <w:color w:val="auto"/>
          <w:sz w:val="24"/>
          <w:highlight w:val="none"/>
        </w:rPr>
        <w:t xml:space="preserve">乙方</w:t>
      </w:r>
      <w:r>
        <w:rPr>
          <w:rFonts w:hint="eastAsia" w:ascii="宋体" w:hAnsi="宋体" w:cs="宋体"/>
          <w:color w:val="auto"/>
          <w:sz w:val="24"/>
          <w:highlight w:val="none"/>
        </w:rPr>
        <w:t xml:space="preserve">赔偿损失。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2.乙方提交的服务成果不符合质量要求，经甲方提出后未在指定期限内整改或整改后仍不符合要求的，甲方有权拒付相应款项并要求乙方承担违约责任。</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3.因乙方原因导致甲方被上级部门通报批评或产生其他不良影响的，甲方有权解除合同，乙方须退还已收款项并赔偿甲方全部损失。</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十一、甲方权利与义务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（一）甲方权利：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1.有权向乙方询问工作进展情况及相关的内容。</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2.有权阐述对具体问题的意见和建议。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4.在合同期内，若不能达到招标要求，甲方可单方面终止合同且不承担经济赔偿责任。</w:t>
      </w:r>
      <w:r/>
    </w:p>
    <w:p>
      <w:pPr>
        <w:ind w:firstLine="480"/>
        <w:jc w:val="left"/>
        <w:spacing w:line="360" w:lineRule="auto"/>
        <w:rPr>
          <w:rFonts w:hint="eastAsia" w:ascii="宋体" w:hAnsi="宋体" w:cs="仿宋"/>
          <w:bCs/>
          <w:color w:val="auto"/>
          <w:sz w:val="24"/>
          <w:highlight w:val="none"/>
        </w:rPr>
      </w:pPr>
      <w:r>
        <w:rPr>
          <w:rFonts w:hint="eastAsia" w:ascii="宋体" w:hAnsi="宋体"/>
          <w:color w:val="auto"/>
          <w:sz w:val="24"/>
          <w:highlight w:val="none"/>
        </w:rPr>
        <w:t xml:space="preserve">5.在合同期限内，如遇政策性变化或重大调整，甲方有权提前终止合同，但须提前一个月书面通知乙方，乙方应无条件予以配合。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十二、乙方权利与义务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（一）乙方权利：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乙方在本项目服务过程中，如甲方提供的资料不明确时可向甲方提出书面报告。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（二）乙方义务：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1.应按照</w:t>
      </w:r>
      <w:r>
        <w:rPr>
          <w:rFonts w:hint="eastAsia" w:ascii="宋体" w:hAnsi="宋体"/>
          <w:color w:val="auto"/>
          <w:sz w:val="24"/>
          <w:highlight w:val="none"/>
        </w:rPr>
        <w:t xml:space="preserve">本项目采购文件、乙方投标文件要求按期完成本项目工作。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2.负责组织项目的实施，保证工作质量满足相关验收相关标准。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4.按采购文件要求完成所涉及的其他服务事项和工作内容。</w:t>
      </w:r>
      <w:r/>
    </w:p>
    <w:p>
      <w:pPr>
        <w:ind w:firstLine="482"/>
        <w:jc w:val="left"/>
        <w:spacing w:line="360" w:lineRule="auto"/>
        <w:rPr>
          <w:rFonts w:hint="eastAsia" w:ascii="宋体" w:hAnsi="宋体"/>
          <w:color w:val="auto"/>
          <w:sz w:val="24"/>
          <w:highlight w:val="none"/>
        </w:rPr>
      </w:pPr>
      <w:r>
        <w:rPr>
          <w:rFonts w:hint="eastAsia" w:ascii="宋体" w:hAnsi="宋体"/>
          <w:b/>
          <w:color w:val="auto"/>
          <w:sz w:val="24"/>
          <w:highlight w:val="none"/>
        </w:rPr>
        <w:t xml:space="preserve">十三、合同的变更和解除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十四、争端的解决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种方式解决争议：</w:t>
      </w:r>
      <w:r/>
    </w:p>
    <w:p>
      <w:pPr>
        <w:pStyle w:val="1063"/>
        <w:ind w:left="0" w:firstLine="480"/>
        <w:spacing w:after="0" w:line="360" w:lineRule="auto"/>
        <w:rPr>
          <w:rFonts w:hint="eastAsia" w:ascii="宋体" w:hAnsi="宋体"/>
          <w:color w:val="auto"/>
          <w:highlight w:val="none"/>
        </w:rPr>
      </w:pPr>
      <w:r>
        <w:rPr>
          <w:rFonts w:hint="eastAsia" w:ascii="宋体" w:hAnsi="宋体"/>
          <w:color w:val="auto"/>
          <w:highlight w:val="none"/>
        </w:rPr>
        <w:t xml:space="preserve">1.向甲方所在地有管辖权的人民法院提起诉讼；</w:t>
      </w:r>
      <w:r/>
    </w:p>
    <w:p>
      <w:pPr>
        <w:pStyle w:val="1063"/>
        <w:ind w:left="0" w:firstLine="480"/>
        <w:spacing w:after="0" w:line="360" w:lineRule="auto"/>
        <w:rPr>
          <w:rFonts w:hint="eastAsia" w:ascii="宋体" w:hAnsi="宋体"/>
          <w:color w:val="auto"/>
          <w:highlight w:val="none"/>
        </w:rPr>
      </w:pPr>
      <w:r>
        <w:rPr>
          <w:rFonts w:hint="eastAsia" w:ascii="宋体" w:hAnsi="宋体"/>
          <w:color w:val="auto"/>
          <w:highlight w:val="none"/>
        </w:rPr>
        <w:t xml:space="preserve">2.向甲方所在地仲裁委员会按其仲裁规则申请仲裁。</w:t>
      </w:r>
      <w:r/>
    </w:p>
    <w:p>
      <w:pPr>
        <w:pStyle w:val="1063"/>
        <w:ind w:left="0" w:firstLine="482"/>
        <w:spacing w:after="0" w:line="360" w:lineRule="auto"/>
        <w:rPr>
          <w:rFonts w:hint="eastAsia" w:ascii="宋体" w:hAnsi="宋体"/>
          <w:b/>
          <w:color w:val="auto"/>
          <w:highlight w:val="none"/>
        </w:rPr>
      </w:pPr>
      <w:r>
        <w:rPr>
          <w:rFonts w:hint="eastAsia" w:ascii="宋体" w:hAnsi="宋体"/>
          <w:b/>
          <w:color w:val="auto"/>
          <w:highlight w:val="none"/>
        </w:rPr>
        <w:t xml:space="preserve">十五、合同生效及其他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伍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份，代理采购机构执壹份。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bl>
      <w:tblPr>
        <w:tblStyle w:val="103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400" w:type="dxa"/>
            <w:textDirection w:val="lrTb"/>
            <w:noWrap w:val="false"/>
          </w:tcPr>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甲方（采购人）（盖章）：                  乙方（</w:t>
            </w:r>
            <w:r>
              <w:rPr>
                <w:rFonts w:hint="eastAsia" w:ascii="宋体" w:hAnsi="宋体" w:cs="宋体"/>
                <w:color w:val="auto"/>
                <w:sz w:val="24"/>
                <w:highlight w:val="none"/>
                <w:u w:val="single"/>
              </w:rPr>
              <w:t xml:space="preserve">成交供应商</w:t>
            </w:r>
            <w:r>
              <w:rPr>
                <w:rFonts w:hint="eastAsia" w:ascii="宋体" w:hAnsi="宋体"/>
                <w:color w:val="auto"/>
                <w:sz w:val="24"/>
                <w:highlight w:val="none"/>
              </w:rPr>
              <w:t xml:space="preserve">）（盖章）：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spacing w:line="560" w:lineRule="exact"/>
        <w:rPr>
          <w:rFonts w:hint="eastAsia"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hint="eastAsia" w:ascii="宋体" w:hAnsi="宋体" w:cs="仿宋"/>
          <w:color w:val="auto"/>
          <w:sz w:val="24"/>
          <w:highlight w:val="none"/>
        </w:rPr>
      </w:pPr>
      <w:r>
        <w:rPr>
          <w:rFonts w:hint="eastAsia" w:ascii="宋体" w:hAnsi="宋体" w:cs="仿宋"/>
          <w:color w:val="auto"/>
          <w:sz w:val="24"/>
          <w:highlight w:val="none"/>
        </w:rPr>
        <w:t xml:space="preserve">代理机构（盖章）：</w:t>
      </w:r>
      <w:r/>
    </w:p>
    <w:p>
      <w:pPr>
        <w:spacing w:line="360" w:lineRule="auto"/>
        <w:rPr>
          <w:rFonts w:hint="eastAsia" w:ascii="微软雅黑" w:hAnsi="微软雅黑" w:eastAsia="微软雅黑"/>
          <w:color w:val="auto"/>
          <w:szCs w:val="21"/>
          <w:highlight w:val="none"/>
        </w:rPr>
      </w:pPr>
      <w:r>
        <w:rPr>
          <w:rFonts w:hint="eastAsia" w:ascii="宋体" w:hAnsi="宋体"/>
          <w:color w:val="auto"/>
          <w:sz w:val="24"/>
          <w:highlight w:val="none"/>
        </w:rPr>
        <w:t xml:space="preserve">日  期：</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pStyle w:val="1037"/>
        <w:rPr>
          <w:rFonts w:hint="eastAsia"/>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rFonts w:hint="eastAsia"/>
          <w:color w:val="auto"/>
          <w:highlight w:val="none"/>
        </w:rPr>
      </w:r>
      <w:r/>
    </w:p>
    <w:p>
      <w:pPr>
        <w:jc w:val="center"/>
        <w:spacing w:line="360" w:lineRule="auto"/>
        <w:rPr>
          <w:b/>
          <w:color w:val="auto"/>
          <w:sz w:val="36"/>
          <w:szCs w:val="36"/>
          <w:highlight w:val="none"/>
        </w:rPr>
        <w:outlineLvl w:val="0"/>
      </w:pPr>
      <w:r/>
      <w:bookmarkStart w:id="645" w:name="_bookmark4"/>
      <w:r/>
      <w:bookmarkEnd w:id="645"/>
      <w:r/>
      <w:bookmarkStart w:id="646" w:name="_Toc193985583"/>
      <w:r>
        <w:rPr>
          <w:b/>
          <w:color w:val="auto"/>
          <w:sz w:val="36"/>
          <w:szCs w:val="36"/>
          <w:highlight w:val="none"/>
        </w:rPr>
        <w:t xml:space="preserve">第六章   响应文件格式</w:t>
      </w:r>
      <w:bookmarkEnd w:id="64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807"/>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hint="eastAsia"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22"/>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hint="eastAsia"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31"/>
        <w:ind w:firstLine="480"/>
        <w:spacing w:line="460" w:lineRule="exact"/>
        <w:rPr>
          <w:color w:val="auto"/>
          <w:highlight w:val="none"/>
        </w:rPr>
      </w:pPr>
      <w:r>
        <w:rPr>
          <w:color w:val="auto"/>
          <w:highlight w:val="none"/>
        </w:rPr>
      </w:r>
      <w:r/>
    </w:p>
    <w:p>
      <w:pPr>
        <w:pStyle w:val="1031"/>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1031"/>
        <w:ind w:firstLine="960"/>
        <w:spacing w:line="460" w:lineRule="exact"/>
        <w:rPr>
          <w:color w:val="auto"/>
          <w:highlight w:val="none"/>
          <w:u w:val="single"/>
        </w:rPr>
      </w:pPr>
      <w:r>
        <w:rPr>
          <w:rFonts w:hint="eastAsia"/>
          <w:color w:val="auto"/>
          <w:highlight w:val="none"/>
          <w:u w:val="single"/>
        </w:rPr>
        <w:t xml:space="preserve">（采购人名称）</w:t>
      </w:r>
      <w:r/>
    </w:p>
    <w:p>
      <w:pPr>
        <w:pStyle w:val="1031"/>
        <w:ind w:firstLine="480"/>
        <w:spacing w:line="460" w:lineRule="exact"/>
        <w:rPr>
          <w:color w:val="auto"/>
          <w:highlight w:val="none"/>
        </w:rPr>
      </w:pPr>
      <w:r>
        <w:rPr>
          <w:color w:val="auto"/>
          <w:highlight w:val="none"/>
        </w:rPr>
      </w:r>
      <w:r/>
    </w:p>
    <w:p>
      <w:pPr>
        <w:pStyle w:val="1031"/>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31"/>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31"/>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31"/>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31"/>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31"/>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31"/>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31"/>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31"/>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31"/>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31"/>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31"/>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31"/>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31"/>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31"/>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31"/>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31"/>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31"/>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31"/>
        <w:ind w:firstLine="480"/>
        <w:spacing w:line="460" w:lineRule="exact"/>
        <w:rPr>
          <w:color w:val="auto"/>
          <w:highlight w:val="none"/>
        </w:rPr>
      </w:pPr>
      <w:r>
        <w:rPr>
          <w:color w:val="auto"/>
          <w:highlight w:val="none"/>
        </w:rPr>
      </w:r>
      <w:r/>
    </w:p>
    <w:p>
      <w:pPr>
        <w:pStyle w:val="1031"/>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31"/>
        <w:ind w:firstLine="480"/>
        <w:spacing w:line="460" w:lineRule="exact"/>
        <w:rPr>
          <w:color w:val="auto"/>
          <w:highlight w:val="none"/>
        </w:rPr>
      </w:pPr>
      <w:r>
        <w:rPr>
          <w:color w:val="auto"/>
          <w:highlight w:val="none"/>
        </w:rPr>
      </w:r>
      <w:r/>
    </w:p>
    <w:p>
      <w:pPr>
        <w:pStyle w:val="1031"/>
        <w:ind w:firstLine="480"/>
        <w:spacing w:line="460" w:lineRule="exact"/>
        <w:rPr>
          <w:color w:val="auto"/>
          <w:highlight w:val="none"/>
        </w:rPr>
      </w:pPr>
      <w:r>
        <w:rPr>
          <w:color w:val="auto"/>
          <w:highlight w:val="none"/>
        </w:rPr>
      </w:r>
      <w:r/>
    </w:p>
    <w:p>
      <w:pPr>
        <w:pStyle w:val="1031"/>
        <w:ind w:firstLine="480"/>
        <w:spacing w:line="460" w:lineRule="exact"/>
        <w:rPr>
          <w:color w:val="auto"/>
          <w:highlight w:val="none"/>
        </w:rPr>
      </w:pPr>
      <w:r>
        <w:rPr>
          <w:rFonts w:hint="eastAsia"/>
          <w:color w:val="auto"/>
          <w:highlight w:val="none"/>
        </w:rPr>
        <w:t xml:space="preserve">                              供应商：（加盖公章）</w:t>
      </w:r>
      <w:r/>
    </w:p>
    <w:p>
      <w:pPr>
        <w:pStyle w:val="1031"/>
        <w:ind w:firstLine="480"/>
        <w:spacing w:line="460" w:lineRule="exact"/>
        <w:rPr>
          <w:color w:val="auto"/>
          <w:highlight w:val="none"/>
        </w:rPr>
      </w:pPr>
      <w:r>
        <w:rPr>
          <w:rFonts w:hint="eastAsia"/>
          <w:color w:val="auto"/>
          <w:highlight w:val="none"/>
        </w:rPr>
        <w:t xml:space="preserve">                              法定代表人（或单位负责人）签字或盖章：</w:t>
      </w:r>
      <w:r/>
    </w:p>
    <w:p>
      <w:pPr>
        <w:pStyle w:val="1031"/>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r>
      <w:r/>
    </w:p>
    <w:p>
      <w:pPr>
        <w:pStyle w:val="1022"/>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color w:val="auto"/>
          <w:sz w:val="24"/>
          <w:szCs w:val="20"/>
          <w:highlight w:val="none"/>
        </w:rPr>
        <w:outlineLvl w:val="2"/>
      </w:pPr>
      <w:r>
        <w:rPr>
          <w:color w:val="auto"/>
          <w:sz w:val="24"/>
          <w:highlight w:val="none"/>
        </w:rPr>
        <w:br w:type="page" w:clear="all"/>
      </w:r>
      <w:r>
        <w:rPr>
          <w:rFonts w:hint="eastAsia" w:ascii="宋体" w:hAnsi="宋体" w:cs="宋体"/>
          <w:color w:val="auto"/>
          <w:sz w:val="24"/>
          <w:highlight w:val="none"/>
        </w:rPr>
        <w:t xml:space="preserve">2</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w:t>
      </w:r>
      <w:r>
        <w:rPr>
          <w:rFonts w:hint="eastAsia"/>
          <w:color w:val="auto"/>
          <w:sz w:val="24"/>
          <w:szCs w:val="20"/>
          <w:highlight w:val="none"/>
        </w:rPr>
        <w:t xml:space="preserve">不</w:t>
      </w:r>
      <w:r>
        <w:rPr>
          <w:color w:val="auto"/>
          <w:sz w:val="24"/>
          <w:szCs w:val="20"/>
          <w:highlight w:val="none"/>
        </w:rPr>
        <w:t xml:space="preserve">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ascii="宋体" w:hAnsi="宋体" w:cs="宋体"/>
          <w:color w:val="auto"/>
          <w:sz w:val="24"/>
          <w:highlight w:val="none"/>
        </w:rPr>
        <w:outlineLvl w:val="2"/>
      </w:pPr>
      <w:r>
        <w:rPr>
          <w:color w:val="auto"/>
          <w:sz w:val="24"/>
          <w:szCs w:val="20"/>
          <w:highlight w:val="none"/>
        </w:rPr>
        <w:t xml:space="preserve">3-2其他特定资格要求</w:t>
      </w:r>
      <w:r>
        <w:rPr>
          <w:rFonts w:hint="eastAsia"/>
          <w:color w:val="auto"/>
          <w:sz w:val="24"/>
          <w:szCs w:val="20"/>
          <w:highlight w:val="none"/>
        </w:rPr>
        <w:t xml:space="preserve">：无。</w:t>
      </w:r>
      <w:r/>
    </w:p>
    <w:p>
      <w:pPr>
        <w:spacing w:line="360" w:lineRule="auto"/>
        <w:rPr>
          <w:b/>
          <w:color w:val="auto"/>
          <w:sz w:val="24"/>
          <w:szCs w:val="20"/>
          <w:highlight w:val="none"/>
        </w:rPr>
        <w:outlineLvl w:val="2"/>
      </w:pPr>
      <w:r>
        <w:rPr>
          <w:b/>
          <w:color w:val="auto"/>
          <w:sz w:val="24"/>
          <w:highlight w:val="none"/>
        </w:rPr>
        <w:br w:type="page" w:clear="all"/>
      </w:r>
      <w:bookmarkStart w:id="647" w:name="_Toc127151557"/>
      <w:r/>
      <w:bookmarkStart w:id="648" w:name="_Toc226965747"/>
      <w:r/>
      <w:bookmarkStart w:id="649" w:name="_Ref467988705"/>
      <w:r/>
      <w:bookmarkStart w:id="650" w:name="_Toc264969247"/>
      <w:r/>
      <w:bookmarkStart w:id="651" w:name="_Toc520356218"/>
      <w:r/>
      <w:bookmarkStart w:id="652" w:name="_Toc480942350"/>
      <w:r/>
      <w:bookmarkStart w:id="653" w:name="_Toc150480795"/>
      <w:r/>
      <w:bookmarkStart w:id="654" w:name="_Toc195842922"/>
      <w:r/>
      <w:bookmarkStart w:id="655" w:name="_Toc142311059"/>
      <w:r/>
      <w:bookmarkStart w:id="656" w:name="_Toc150774762"/>
      <w:r/>
      <w:bookmarkStart w:id="657" w:name="_Toc305158899"/>
      <w:r/>
      <w:bookmarkStart w:id="658" w:name="_Toc305158825"/>
      <w:r/>
      <w:bookmarkStart w:id="659" w:name="_Toc226337253"/>
      <w:r/>
      <w:bookmarkStart w:id="660" w:name="_Toc226309801"/>
      <w:r/>
      <w:bookmarkStart w:id="661" w:name="_Toc226965830"/>
      <w:r/>
      <w:bookmarkStart w:id="662" w:name="_Toc265228395"/>
      <w:r>
        <w:rPr>
          <w:rFonts w:hint="eastAsia"/>
          <w:b/>
          <w:color w:val="auto"/>
          <w:sz w:val="24"/>
          <w:highlight w:val="none"/>
        </w:rPr>
        <w:t xml:space="preserve">4</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rPr>
      </w:pPr>
      <w:r>
        <w:rPr>
          <w:rFonts w:hint="eastAsia"/>
          <w:color w:val="auto"/>
          <w:sz w:val="24"/>
          <w:highlight w:val="non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63" w:name="_Hlt520355938"/>
      <w:r/>
      <w:bookmarkEnd w:id="663"/>
      <w:r/>
      <w:bookmarkStart w:id="664" w:name="_Hlt520356243"/>
      <w:r/>
      <w:bookmarkEnd w:id="664"/>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rPr>
        <w:t xml:space="preserve">5</w:t>
      </w:r>
      <w:r>
        <w:rPr>
          <w:b/>
          <w:color w:val="auto"/>
          <w:sz w:val="24"/>
          <w:highlight w:val="none"/>
        </w:rPr>
        <w:t xml:space="preserve">  </w:t>
      </w:r>
      <w:r>
        <w:rPr>
          <w:rFonts w:hint="eastAsia"/>
          <w:b/>
          <w:color w:val="auto"/>
          <w:sz w:val="24"/>
          <w:highlight w:val="none"/>
        </w:rPr>
        <w:t xml:space="preserve">法人授权书</w:t>
      </w:r>
      <w:r>
        <w:rPr>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1037"/>
        <w:rPr>
          <w:rFonts w:hint="eastAsia"/>
          <w:color w:val="auto"/>
          <w:highlight w:val="none"/>
        </w:rPr>
      </w:pPr>
      <w:r>
        <w:rPr>
          <w:rFonts w:hint="eastAsia"/>
          <w:color w:val="auto"/>
          <w:highlight w:val="none"/>
        </w:rPr>
      </w:r>
      <w:r/>
    </w:p>
    <w:p>
      <w:pPr>
        <w:pStyle w:val="1158"/>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158"/>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158"/>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158"/>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color w:val="auto"/>
          <w:highlight w:val="none"/>
        </w:rPr>
      </w:r>
      <w:r/>
    </w:p>
    <w:p>
      <w:pPr>
        <w:pStyle w:val="1158"/>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158"/>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158"/>
        <w:ind w:firstLine="480"/>
        <w:spacing w:line="360" w:lineRule="auto"/>
        <w:rPr>
          <w:color w:val="auto"/>
          <w:highlight w:val="none"/>
        </w:rPr>
      </w:pPr>
      <w:r>
        <w:rPr>
          <w:rFonts w:hint="eastAsia"/>
          <w:color w:val="auto"/>
          <w:highlight w:val="none"/>
        </w:rPr>
        <w:t xml:space="preserve">      日期：</w:t>
      </w:r>
      <w:bookmarkStart w:id="665" w:name="_格式3__银行出具的资信证明"/>
      <w:r/>
      <w:bookmarkEnd w:id="665"/>
      <w:r/>
      <w:bookmarkStart w:id="666" w:name="_Hlt26671380"/>
      <w:r/>
      <w:bookmarkEnd w:id="666"/>
      <w:r/>
      <w:bookmarkStart w:id="667" w:name="_Hlt26955070"/>
      <w:r/>
      <w:bookmarkEnd w:id="667"/>
      <w:r>
        <w:rPr>
          <w:rFonts w:hint="eastAsia"/>
          <w:color w:val="auto"/>
          <w:highlight w:val="none"/>
          <w:u w:val="single"/>
        </w:rPr>
        <w:t xml:space="preserve">                                         </w:t>
      </w:r>
      <w:r/>
    </w:p>
    <w:p>
      <w:pPr>
        <w:spacing w:line="560" w:lineRule="exact"/>
        <w:rPr>
          <w:rFonts w:hint="eastAsia" w:ascii="宋体" w:hAnsi="宋体"/>
          <w:b/>
          <w:color w:val="auto"/>
          <w:sz w:val="24"/>
          <w:szCs w:val="22"/>
          <w:highlight w:val="none"/>
        </w:rPr>
      </w:pPr>
      <w:r>
        <w:rPr>
          <w:rFonts w:hint="eastAsia" w:ascii="宋体" w:hAnsi="宋体"/>
          <w:b/>
          <w:color w:val="auto"/>
          <w:sz w:val="24"/>
          <w:szCs w:val="22"/>
          <w:highlight w:val="none"/>
        </w:rPr>
      </w:r>
      <w:r/>
    </w:p>
    <w:p>
      <w:pPr>
        <w:jc w:val="left"/>
        <w:widowControl/>
        <w:rPr>
          <w:rFonts w:hint="eastAsia" w:ascii="黑体" w:hAnsi="黑体" w:eastAsia="黑体"/>
          <w:bCs/>
          <w:color w:val="auto"/>
          <w:sz w:val="28"/>
          <w:szCs w:val="28"/>
          <w:highlight w:val="none"/>
        </w:rPr>
      </w:pPr>
      <w:r>
        <w:rPr>
          <w:rFonts w:ascii="黑体" w:hAnsi="黑体" w:eastAsia="黑体"/>
          <w:bCs/>
          <w:color w:val="auto"/>
          <w:sz w:val="28"/>
          <w:szCs w:val="28"/>
          <w:highlight w:val="none"/>
        </w:rPr>
        <w:br w:type="page" w:clear="all"/>
      </w:r>
      <w:r/>
    </w:p>
    <w:p>
      <w:pPr>
        <w:spacing w:line="360" w:lineRule="auto"/>
        <w:rPr>
          <w:b/>
          <w:color w:val="auto"/>
          <w:sz w:val="24"/>
          <w:highlight w:val="none"/>
        </w:rPr>
        <w:outlineLvl w:val="2"/>
      </w:pPr>
      <w:r>
        <w:rPr>
          <w:rFonts w:hint="eastAsia"/>
          <w:b/>
          <w:color w:val="auto"/>
          <w:sz w:val="24"/>
          <w:highlight w:val="none"/>
        </w:rPr>
        <w:t xml:space="preserve">6  政府采购供应商信用承诺书</w:t>
      </w:r>
      <w:r>
        <w:rPr>
          <w:b/>
          <w:color w:val="auto"/>
          <w:sz w:val="24"/>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0"/>
        <w:jc w:val="center"/>
        <w:spacing w:line="56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70"/>
        <w:ind w:right="1050" w:firstLine="2880"/>
        <w:jc w:val="both"/>
        <w:spacing w:line="276" w:lineRule="auto"/>
        <w:rPr>
          <w:rFonts w:hint="eastAsia" w:ascii="宋体" w:hAnsi="宋体" w:eastAsia="宋体"/>
          <w:color w:val="auto"/>
          <w:sz w:val="24"/>
          <w:szCs w:val="22"/>
          <w:highlight w:val="none"/>
        </w:rPr>
      </w:pPr>
      <w:r>
        <w:rPr>
          <w:rFonts w:hint="eastAsia"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highlight w:val="none"/>
        </w:rPr>
        <w:t xml:space="preserve">7</w:t>
      </w:r>
      <w:r>
        <w:rPr>
          <w:color w:val="auto"/>
          <w:sz w:val="24"/>
          <w:highlight w:val="none"/>
        </w:rPr>
        <w:t xml:space="preserve">  报价</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color w:val="auto"/>
          <w:sz w:val="24"/>
          <w:highlight w:val="none"/>
        </w:rPr>
        <w:t xml:space="preserve">一览表</w:t>
      </w:r>
      <w:r/>
    </w:p>
    <w:p>
      <w:pPr>
        <w:ind w:firstLine="240"/>
        <w:jc w:val="left"/>
        <w:spacing w:line="360" w:lineRule="auto"/>
        <w:tabs>
          <w:tab w:val="left" w:pos="1800" w:leader="none"/>
          <w:tab w:val="left" w:pos="5580" w:leader="none"/>
        </w:tabs>
        <w:rPr>
          <w:rFonts w:hint="eastAsia" w:ascii="宋体" w:hAnsi="宋体" w:cs="宋体"/>
          <w:color w:val="auto"/>
          <w:sz w:val="24"/>
          <w:highlight w:val="none"/>
        </w:rPr>
      </w:pPr>
      <w:r/>
      <w:bookmarkStart w:id="668" w:name="_Toc150774763"/>
      <w:r/>
      <w:bookmarkStart w:id="669" w:name="_Toc195842924"/>
      <w:r/>
      <w:bookmarkStart w:id="670" w:name="_Toc305158901"/>
      <w:r/>
      <w:bookmarkStart w:id="671" w:name="_Toc305158827"/>
      <w:r/>
      <w:bookmarkStart w:id="672" w:name="_Toc226965749"/>
      <w:r/>
      <w:bookmarkStart w:id="673" w:name="_Toc226965832"/>
      <w:r/>
      <w:bookmarkStart w:id="674" w:name="_Toc127151558"/>
      <w:r/>
      <w:bookmarkStart w:id="675" w:name="_Toc226309803"/>
      <w:r/>
      <w:bookmarkStart w:id="676" w:name="_Toc150480796"/>
      <w:r/>
      <w:bookmarkStart w:id="677" w:name="_Toc264969249"/>
      <w:r/>
      <w:bookmarkStart w:id="678" w:name="_Toc226337255"/>
      <w:r/>
      <w:bookmarkStart w:id="679" w:name="_Toc142311060"/>
      <w:r/>
      <w:bookmarkStart w:id="680" w:name="_Toc265228397"/>
      <w:r/>
      <w:r/>
    </w:p>
    <w:p>
      <w:pPr>
        <w:jc w:val="center"/>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b/>
          <w:color w:val="auto"/>
          <w:sz w:val="36"/>
          <w:szCs w:val="36"/>
          <w:highlight w:val="none"/>
        </w:rPr>
        <w:t xml:space="preserve">报价一览表</w:t>
      </w:r>
      <w:r/>
    </w:p>
    <w:p>
      <w:pPr>
        <w:ind w:firstLine="24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10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tcW w:w="811" w:type="dxa"/>
            <w:textDirection w:val="lrTb"/>
            <w:noWrap w:val="false"/>
          </w:tcPr>
          <w:p>
            <w:pPr>
              <w:pStyle w:val="1037"/>
              <w:rPr>
                <w:rFonts w:hint="eastAsia"/>
                <w:color w:val="auto"/>
                <w:highlight w:val="none"/>
              </w:rPr>
            </w:pPr>
            <w:r>
              <w:rPr>
                <w:rFonts w:hint="eastAsia"/>
                <w:color w:val="auto"/>
                <w:highlight w:val="none"/>
              </w:rPr>
            </w:r>
            <w:r/>
          </w:p>
        </w:tc>
        <w:tc>
          <w:tcPr>
            <w:tcW w:w="7661" w:type="dxa"/>
            <w:vAlign w:val="center"/>
            <w:textDirection w:val="lrTb"/>
            <w:noWrap w:val="false"/>
          </w:tcPr>
          <w:p>
            <w:pPr>
              <w:pStyle w:val="1037"/>
              <w:rPr>
                <w:rFonts w:hint="eastAsia"/>
                <w:color w:val="auto"/>
                <w:highlight w:val="none"/>
              </w:rPr>
            </w:pPr>
            <w:r>
              <w:rPr>
                <w:rFonts w:hint="eastAsia"/>
                <w:color w:val="auto"/>
                <w:highlight w:val="none"/>
              </w:rPr>
              <w:t xml:space="preserve">投标总价</w:t>
            </w:r>
            <w:r/>
          </w:p>
        </w:tc>
      </w:tr>
      <w:tr>
        <w:trPr>
          <w:jc w:val="center"/>
          <w:trHeight w:val="1014"/>
        </w:trPr>
        <w:tc>
          <w:tcPr>
            <w:tcW w:w="811" w:type="dxa"/>
            <w:textDirection w:val="lrTb"/>
            <w:noWrap w:val="false"/>
          </w:tcPr>
          <w:p>
            <w:pPr>
              <w:pStyle w:val="1037"/>
              <w:rPr>
                <w:rFonts w:hint="eastAsia"/>
                <w:color w:val="auto"/>
                <w:highlight w:val="none"/>
              </w:rPr>
            </w:pPr>
            <w:r>
              <w:rPr>
                <w:rFonts w:hint="eastAsia"/>
                <w:color w:val="auto"/>
                <w:highlight w:val="none"/>
              </w:rPr>
            </w:r>
            <w:r/>
          </w:p>
        </w:tc>
        <w:tc>
          <w:tcPr>
            <w:tcW w:w="7661" w:type="dxa"/>
            <w:vAlign w:val="center"/>
            <w:textDirection w:val="lrTb"/>
            <w:noWrap w:val="false"/>
          </w:tcPr>
          <w:p>
            <w:pPr>
              <w:pStyle w:val="1037"/>
              <w:rPr>
                <w:rFonts w:hint="eastAsia"/>
                <w:color w:val="auto"/>
                <w:highlight w:val="non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（元人民币）</w:t>
            </w:r>
            <w:r/>
          </w:p>
        </w:tc>
      </w:tr>
    </w:tbl>
    <w:p>
      <w:pPr>
        <w:pStyle w:val="1037"/>
        <w:rPr>
          <w:rFonts w:hint="eastAsia"/>
          <w:color w:val="auto"/>
          <w:highlight w:val="none"/>
        </w:rPr>
      </w:pPr>
      <w:r>
        <w:rPr>
          <w:rFonts w:hint="eastAsia"/>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pStyle w:val="1037"/>
        <w:ind w:firstLine="480"/>
        <w:rPr>
          <w:rFonts w:hint="eastAsia"/>
          <w:color w:val="auto"/>
          <w:highlight w:val="none"/>
        </w:rPr>
      </w:pPr>
      <w:r>
        <w:rPr>
          <w:rFonts w:hint="eastAsia" w:cs="宋体"/>
          <w:color w:val="auto"/>
          <w:highlight w:val="none"/>
          <w:lang w:val="zh-CN"/>
        </w:rPr>
        <w:t xml:space="preserve">注：投标总价须与《分项报价表》中总价一致。</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spacing w:line="360" w:lineRule="auto"/>
        <w:rPr>
          <w:color w:val="auto"/>
          <w:highlight w:val="none"/>
        </w:rPr>
      </w:pPr>
      <w:r/>
      <w:bookmarkStart w:id="681" w:name="_Toc265228399"/>
      <w:r/>
      <w:bookmarkStart w:id="682" w:name="_Toc264969252"/>
      <w:r/>
      <w:bookmarkStart w:id="683" w:name="_Toc150480798"/>
      <w:r/>
      <w:bookmarkStart w:id="684" w:name="_Toc150774764"/>
      <w:r/>
      <w:bookmarkStart w:id="685" w:name="_Toc226309805"/>
      <w:r/>
      <w:bookmarkStart w:id="686" w:name="_Toc142311061"/>
      <w:r/>
      <w:bookmarkStart w:id="687" w:name="_Toc305158904"/>
      <w:r/>
      <w:bookmarkStart w:id="688" w:name="_Toc226965834"/>
      <w:r/>
      <w:bookmarkStart w:id="689" w:name="_Toc142311062"/>
      <w:r/>
      <w:bookmarkStart w:id="690" w:name="_Toc150774765"/>
      <w:r/>
      <w:bookmarkStart w:id="691" w:name="_Toc305158903"/>
      <w:r/>
      <w:bookmarkStart w:id="692" w:name="_Toc226337258"/>
      <w:r/>
      <w:bookmarkStart w:id="693" w:name="_Toc195842926"/>
      <w:r/>
      <w:bookmarkStart w:id="694" w:name="_Toc127151562"/>
      <w:r/>
      <w:bookmarkStart w:id="695" w:name="_Toc150480797"/>
      <w:r/>
      <w:bookmarkStart w:id="696" w:name="_Toc226337257"/>
      <w:r/>
      <w:bookmarkStart w:id="697" w:name="_Toc264969251"/>
      <w:r/>
      <w:bookmarkStart w:id="698" w:name="_Toc305158830"/>
      <w:r/>
      <w:bookmarkStart w:id="699" w:name="_Toc226965835"/>
      <w:r/>
      <w:bookmarkStart w:id="700" w:name="_Toc226309806"/>
      <w:r/>
      <w:bookmarkStart w:id="701" w:name="_Toc265228400"/>
      <w:r/>
      <w:bookmarkStart w:id="702" w:name="_Toc226965751"/>
      <w:r/>
      <w:bookmarkStart w:id="703" w:name="_Toc226965752"/>
      <w:r/>
      <w:bookmarkStart w:id="704" w:name="_Toc127151561"/>
      <w:r/>
      <w:bookmarkStart w:id="705" w:name="_Toc305158829"/>
      <w:r/>
      <w:bookmarkStart w:id="706" w:name="_Toc195842927"/>
      <w:r>
        <w:rPr>
          <w:color w:val="auto"/>
          <w:sz w:val="24"/>
          <w:szCs w:val="20"/>
          <w:highlight w:val="none"/>
        </w:rPr>
        <w:br w:type="page" w:clear="all"/>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spacing w:line="360" w:lineRule="auto"/>
        <w:rPr>
          <w:rFonts w:hint="eastAsia" w:ascii="宋体" w:hAnsi="宋体"/>
          <w:color w:val="auto"/>
          <w:sz w:val="24"/>
          <w:highlight w:val="none"/>
        </w:rPr>
        <w:outlineLvl w:val="2"/>
      </w:pPr>
      <w:r>
        <w:rPr>
          <w:rFonts w:hint="eastAsia"/>
          <w:color w:val="auto"/>
          <w:sz w:val="24"/>
          <w:highlight w:val="none"/>
        </w:rPr>
        <w:t xml:space="preserve">8  </w:t>
      </w:r>
      <w:r>
        <w:rPr>
          <w:rFonts w:hint="eastAsia" w:ascii="宋体" w:hAnsi="宋体"/>
          <w:color w:val="auto"/>
          <w:sz w:val="24"/>
          <w:highlight w:val="none"/>
        </w:rPr>
        <w:t xml:space="preserve">分项报价表</w:t>
      </w:r>
      <w:r>
        <w:rPr>
          <w:b/>
          <w:color w:val="auto"/>
          <w:sz w:val="24"/>
          <w:highlight w:val="none"/>
        </w:rPr>
        <w:t xml:space="preserve">（实质性格式）</w:t>
      </w:r>
      <w:r/>
    </w:p>
    <w:p>
      <w:pPr>
        <w:jc w:val="center"/>
        <w:tabs>
          <w:tab w:val="left" w:pos="1800" w:leader="none"/>
          <w:tab w:val="left" w:pos="5580" w:leader="none"/>
        </w:tabs>
        <w:rPr>
          <w:b/>
          <w:color w:val="auto"/>
          <w:sz w:val="36"/>
          <w:szCs w:val="36"/>
          <w:highlight w:val="none"/>
        </w:rPr>
      </w:pPr>
      <w:r>
        <w:rPr>
          <w:b/>
          <w:color w:val="auto"/>
          <w:sz w:val="36"/>
          <w:szCs w:val="36"/>
          <w:highlight w:val="none"/>
        </w:rPr>
      </w:r>
      <w:r/>
    </w:p>
    <w:p>
      <w:pPr>
        <w:jc w:val="center"/>
        <w:tabs>
          <w:tab w:val="left" w:pos="1800" w:leader="none"/>
          <w:tab w:val="left" w:pos="5580" w:leader="none"/>
        </w:tabs>
        <w:rPr>
          <w:b/>
          <w:color w:val="auto"/>
          <w:sz w:val="36"/>
          <w:szCs w:val="36"/>
          <w:highlight w:val="none"/>
        </w:rPr>
      </w:pPr>
      <w:r>
        <w:rPr>
          <w:b/>
          <w:color w:val="auto"/>
          <w:sz w:val="36"/>
          <w:szCs w:val="36"/>
          <w:highlight w:val="none"/>
        </w:rPr>
        <w:t xml:space="preserve">分项报价表</w:t>
      </w:r>
      <w:r/>
    </w:p>
    <w:p>
      <w:pPr>
        <w:pStyle w:val="1037"/>
        <w:rPr>
          <w:rFonts w:hint="eastAsia"/>
          <w:color w:val="auto"/>
          <w:highlight w:val="none"/>
        </w:rPr>
      </w:pPr>
      <w:r>
        <w:rPr>
          <w:rFonts w:hint="eastAsia"/>
          <w:color w:val="auto"/>
          <w:highlight w:val="none"/>
        </w:rPr>
      </w:r>
      <w:r/>
    </w:p>
    <w:p>
      <w:pPr>
        <w:ind w:firstLine="480"/>
        <w:tabs>
          <w:tab w:val="left" w:pos="1800" w:leader="none"/>
          <w:tab w:val="left" w:pos="5580" w:leader="none"/>
        </w:tabs>
        <w:rPr>
          <w:color w:val="auto"/>
          <w:sz w:val="24"/>
          <w:highlight w:val="none"/>
        </w:rPr>
      </w:pPr>
      <w:r>
        <w:rPr>
          <w:color w:val="auto"/>
          <w:sz w:val="24"/>
          <w:highlight w:val="none"/>
        </w:rPr>
        <w:t xml:space="preserve">项目编号/包号：___________ 项目名称：__________报价单位：人民币元</w:t>
      </w:r>
      <w:r/>
    </w:p>
    <w:p>
      <w:pPr>
        <w:ind w:firstLine="480"/>
        <w:tabs>
          <w:tab w:val="left" w:pos="1800" w:leader="none"/>
          <w:tab w:val="left" w:pos="5580" w:leader="none"/>
        </w:tabs>
        <w:rPr>
          <w:color w:val="auto"/>
          <w:sz w:val="24"/>
          <w:highlight w:val="none"/>
        </w:rPr>
      </w:pPr>
      <w:r>
        <w:rPr>
          <w:color w:val="auto"/>
          <w:sz w:val="24"/>
          <w:highlight w:val="none"/>
        </w:rPr>
      </w:r>
      <w:r/>
    </w:p>
    <w:tbl>
      <w:tblPr>
        <w:tblStyle w:val="1030"/>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bl>
    <w:p>
      <w:pPr>
        <w:ind w:firstLine="480"/>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rFonts w:hint="eastAsia" w:ascii="宋体" w:hAnsi="宋体"/>
          <w:color w:val="auto"/>
          <w:sz w:val="24"/>
          <w:highlight w:val="none"/>
        </w:rPr>
      </w:pPr>
      <w:r>
        <w:rPr>
          <w:color w:val="auto"/>
          <w:sz w:val="24"/>
          <w:highlight w:val="none"/>
        </w:rPr>
        <w:t xml:space="preserve">注：</w:t>
      </w:r>
      <w:r>
        <w:rPr>
          <w:rFonts w:hint="eastAsia" w:ascii="宋体" w:hAnsi="宋体"/>
          <w:color w:val="auto"/>
          <w:sz w:val="24"/>
          <w:highlight w:val="none"/>
        </w:rPr>
        <w:t xml:space="preserve">1.供应商报价不得超过最高限价，否则作无效投标处理。</w:t>
      </w:r>
      <w:r/>
    </w:p>
    <w:p>
      <w:pPr>
        <w:ind w:firstLine="482"/>
        <w:jc w:val="left"/>
        <w:spacing w:line="360" w:lineRule="auto"/>
        <w:tabs>
          <w:tab w:val="left" w:pos="1800" w:leader="none"/>
          <w:tab w:val="left" w:pos="5580" w:leader="none"/>
        </w:tabs>
        <w:rPr>
          <w:rFonts w:hint="eastAsia" w:ascii="宋体" w:hAnsi="宋体"/>
          <w:b/>
          <w:bCs/>
          <w:color w:val="auto"/>
          <w:sz w:val="24"/>
          <w:highlight w:val="none"/>
        </w:rPr>
      </w:pPr>
      <w:r>
        <w:rPr>
          <w:rFonts w:hint="eastAsia" w:ascii="宋体" w:hAnsi="宋体"/>
          <w:b/>
          <w:bCs/>
          <w:color w:val="auto"/>
          <w:sz w:val="24"/>
          <w:highlight w:val="none"/>
        </w:rPr>
        <w:t xml:space="preserve">2.如果不提供分项报价将视为没有实质性响应采购文件。</w:t>
      </w:r>
      <w:r/>
    </w:p>
    <w:p>
      <w:pPr>
        <w:ind w:firstLine="480"/>
        <w:jc w:val="left"/>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3.本表行数可以按照项目分项情况增加。</w:t>
      </w:r>
      <w:r/>
    </w:p>
    <w:p>
      <w:pPr>
        <w:ind w:firstLine="480"/>
        <w:jc w:val="left"/>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4.上述各项的服务内容如表格中填写不下的，可以逐项另页描述。</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：___________</w:t>
      </w:r>
      <w:r/>
    </w:p>
    <w:p>
      <w:pPr>
        <w:spacing w:before="25" w:after="25" w:line="360" w:lineRule="auto"/>
        <w:rPr>
          <w:color w:val="auto"/>
          <w:sz w:val="24"/>
          <w:highlight w:val="none"/>
        </w:rPr>
      </w:pPr>
      <w:r>
        <w:rPr>
          <w:color w:val="auto"/>
          <w:sz w:val="24"/>
          <w:highlight w:val="none"/>
        </w:rPr>
        <w:t xml:space="preserve">日期：_____年______月______日</w:t>
      </w:r>
      <w:r/>
    </w:p>
    <w:p>
      <w:pPr>
        <w:spacing w:before="25" w:after="25" w:line="360" w:lineRule="auto"/>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9  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highlight w:val="none"/>
        </w:rPr>
        <w:t xml:space="preserve">10  </w:t>
      </w:r>
      <w:r>
        <w:rPr>
          <w:rFonts w:hint="eastAsia"/>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项目商务</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11 中小企业声明函</w:t>
      </w:r>
      <w:r/>
    </w:p>
    <w:p>
      <w:pPr>
        <w:spacing w:line="360" w:lineRule="auto"/>
        <w:tabs>
          <w:tab w:val="left" w:pos="5580" w:leader="none"/>
        </w:tabs>
        <w:rPr>
          <w:b/>
          <w:color w:val="auto"/>
          <w:sz w:val="24"/>
          <w:highlight w:val="none"/>
        </w:rPr>
      </w:pPr>
      <w:r>
        <w:rPr>
          <w:b/>
          <w:color w:val="auto"/>
          <w:sz w:val="24"/>
          <w:highlight w:val="none"/>
        </w:rPr>
        <w:t xml:space="preserve">本项目</w:t>
      </w:r>
      <w:r>
        <w:rPr>
          <w:rFonts w:hint="eastAsia"/>
          <w:b/>
          <w:color w:val="auto"/>
          <w:sz w:val="24"/>
          <w:highlight w:val="none"/>
        </w:rPr>
        <w:t xml:space="preserve">不</w:t>
      </w:r>
      <w:r>
        <w:rPr>
          <w:b/>
          <w:color w:val="auto"/>
          <w:sz w:val="24"/>
          <w:highlight w:val="none"/>
        </w:rPr>
        <w:t xml:space="preserve">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spacing w:line="57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85"/>
        <w:ind w:firstLine="480"/>
        <w:spacing w:line="360" w:lineRule="auto"/>
        <w:rPr>
          <w:rFonts w:hint="eastAsia"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rFonts w:hint="eastAsia"/>
          <w:color w:val="auto"/>
          <w:spacing w:val="6"/>
          <w:sz w:val="24"/>
          <w:highlight w:val="none"/>
        </w:rPr>
        <w:t xml:space="preserve">〔2017〕141号</w:t>
      </w:r>
      <w:r>
        <w:rPr>
          <w:color w:val="auto"/>
          <w:spacing w:val="6"/>
          <w:sz w:val="24"/>
          <w:highlight w:val="none"/>
        </w:rPr>
        <w:t xml:space="preserve">）的规定，本单位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12 项目完整技术和实施方案</w:t>
      </w:r>
      <w:r/>
    </w:p>
    <w:p>
      <w:pPr>
        <w:ind w:firstLine="240"/>
        <w:spacing w:line="360" w:lineRule="auto"/>
        <w:rPr>
          <w:color w:val="auto"/>
          <w:sz w:val="24"/>
          <w:highlight w:val="none"/>
        </w:rPr>
      </w:pPr>
      <w:r>
        <w:rPr>
          <w:rFonts w:hint="eastAsia"/>
          <w:color w:val="auto"/>
          <w:sz w:val="24"/>
          <w:highlight w:val="none"/>
        </w:rPr>
        <w:t xml:space="preserve">（1）实施方案</w:t>
      </w:r>
      <w:r/>
    </w:p>
    <w:p>
      <w:pPr>
        <w:ind w:firstLine="240"/>
        <w:spacing w:line="360" w:lineRule="auto"/>
        <w:rPr>
          <w:color w:val="auto"/>
          <w:sz w:val="24"/>
          <w:highlight w:val="none"/>
        </w:rPr>
      </w:pPr>
      <w:r>
        <w:rPr>
          <w:rFonts w:hint="eastAsia"/>
          <w:color w:val="auto"/>
          <w:sz w:val="24"/>
          <w:highlight w:val="none"/>
        </w:rPr>
        <w:t xml:space="preserve">（2）质量进度方案</w:t>
      </w:r>
      <w:r/>
    </w:p>
    <w:p>
      <w:pPr>
        <w:ind w:firstLine="240"/>
        <w:spacing w:line="360" w:lineRule="auto"/>
        <w:rPr>
          <w:color w:val="auto"/>
          <w:sz w:val="24"/>
          <w:highlight w:val="none"/>
        </w:rPr>
      </w:pPr>
      <w:r>
        <w:rPr>
          <w:rFonts w:hint="eastAsia"/>
          <w:color w:val="auto"/>
          <w:sz w:val="24"/>
          <w:highlight w:val="none"/>
        </w:rPr>
        <w:t xml:space="preserve">（3）重点、难点及解决方案</w:t>
      </w:r>
      <w:r/>
    </w:p>
    <w:p>
      <w:pPr>
        <w:ind w:firstLine="240"/>
        <w:spacing w:line="360" w:lineRule="auto"/>
        <w:rPr>
          <w:color w:val="auto"/>
          <w:sz w:val="24"/>
          <w:highlight w:val="none"/>
        </w:rPr>
      </w:pPr>
      <w:r>
        <w:rPr>
          <w:rFonts w:hint="eastAsia"/>
          <w:color w:val="auto"/>
          <w:sz w:val="24"/>
          <w:highlight w:val="none"/>
        </w:rPr>
        <w:t xml:space="preserve">（4）后期服务方案</w:t>
      </w:r>
      <w:r/>
    </w:p>
    <w:p>
      <w:pPr>
        <w:ind w:firstLine="240"/>
        <w:spacing w:line="360" w:lineRule="auto"/>
        <w:rPr>
          <w:color w:val="auto"/>
          <w:sz w:val="24"/>
          <w:highlight w:val="none"/>
        </w:rPr>
      </w:pPr>
      <w:r>
        <w:rPr>
          <w:rFonts w:hint="eastAsia"/>
          <w:color w:val="auto"/>
          <w:sz w:val="24"/>
          <w:highlight w:val="none"/>
        </w:rPr>
        <w:t xml:space="preserve">（5）现场核查与监测实施方案</w:t>
      </w:r>
      <w:r/>
    </w:p>
    <w:p>
      <w:pPr>
        <w:ind w:firstLine="240"/>
        <w:spacing w:line="360" w:lineRule="auto"/>
        <w:rPr>
          <w:color w:val="auto"/>
          <w:sz w:val="24"/>
          <w:highlight w:val="none"/>
        </w:rPr>
      </w:pPr>
      <w:r>
        <w:rPr>
          <w:rFonts w:hint="eastAsia"/>
          <w:color w:val="auto"/>
          <w:sz w:val="24"/>
          <w:highlight w:val="none"/>
        </w:rPr>
        <w:t xml:space="preserve">（6）档案台账与成果管理方案</w:t>
      </w:r>
      <w:r/>
    </w:p>
    <w:p>
      <w:pPr>
        <w:spacing w:line="360" w:lineRule="auto"/>
        <w:rPr>
          <w:color w:val="auto"/>
          <w:sz w:val="24"/>
          <w:szCs w:val="20"/>
          <w:highlight w:val="none"/>
        </w:rPr>
        <w:outlineLvl w:val="2"/>
      </w:pPr>
      <w:r>
        <w:rPr>
          <w:color w:val="auto"/>
          <w:highlight w:val="none"/>
        </w:rPr>
        <w:br w:type="page" w:clear="all"/>
      </w:r>
      <w:r>
        <w:rPr>
          <w:rFonts w:hint="eastAsia"/>
          <w:color w:val="auto"/>
          <w:sz w:val="24"/>
          <w:szCs w:val="20"/>
          <w:highlight w:val="none"/>
        </w:rPr>
        <w:t xml:space="preserve">13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hint="eastAsia" w:ascii="宋体" w:hAnsi="宋体"/>
          <w:color w:val="auto"/>
          <w:sz w:val="22"/>
          <w:highlight w:val="none"/>
        </w:rPr>
      </w:pPr>
      <w:r>
        <w:rPr>
          <w:rFonts w:hint="eastAsia" w:ascii="宋体" w:hAnsi="宋体"/>
          <w:color w:val="auto"/>
          <w:sz w:val="2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3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1037"/>
        <w:rPr>
          <w:rFonts w:hint="eastAsia"/>
          <w:color w:val="auto"/>
          <w:highlight w:val="none"/>
          <w:lang w:val="zh-CN"/>
        </w:rPr>
      </w:pPr>
      <w:r>
        <w:rPr>
          <w:rFonts w:hint="eastAsia"/>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707" w:name="_Toc288738397"/>
      <w:r/>
      <w:bookmarkStart w:id="708" w:name="_Toc288738839"/>
      <w:r>
        <w:rPr>
          <w:rFonts w:hint="eastAsia"/>
          <w:color w:val="auto"/>
          <w:sz w:val="24"/>
          <w:szCs w:val="20"/>
          <w:highlight w:val="none"/>
        </w:rPr>
        <w:t xml:space="preserve">14 相关业绩案例一览表</w:t>
      </w:r>
      <w:r/>
    </w:p>
    <w:p>
      <w:pPr>
        <w:rPr>
          <w:color w:val="auto"/>
          <w:sz w:val="24"/>
          <w:szCs w:val="20"/>
          <w:highlight w:val="none"/>
        </w:rPr>
      </w:pPr>
      <w:r>
        <w:rPr>
          <w:color w:val="auto"/>
          <w:sz w:val="24"/>
          <w:szCs w:val="20"/>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07"/>
      <w:r/>
      <w:bookmarkEnd w:id="708"/>
      <w:r/>
      <w:r/>
    </w:p>
    <w:p>
      <w:pPr>
        <w:jc w:val="center"/>
        <w:spacing w:line="360" w:lineRule="auto"/>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3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103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spacing w:before="25" w:after="25"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15 磋商文件要求提供或供应商认为应附的其他材料</w:t>
      </w:r>
      <w:r/>
    </w:p>
    <w:p>
      <w:pPr>
        <w:pStyle w:val="1037"/>
        <w:rPr>
          <w:rFonts w:hint="eastAsia"/>
          <w:color w:val="auto"/>
          <w:highlight w:val="none"/>
        </w:rPr>
      </w:pPr>
      <w:r>
        <w:rPr>
          <w:color w:val="auto"/>
          <w:highlight w:val="none"/>
        </w:rPr>
        <w:br w:type="page" w:clear="all"/>
      </w:r>
      <w:r/>
    </w:p>
    <w:p>
      <w:pPr>
        <w:jc w:val="center"/>
        <w:keepLines/>
        <w:keepNext/>
        <w:spacing w:before="120" w:line="300" w:lineRule="auto"/>
        <w:rPr>
          <w:rFonts w:hint="eastAsia" w:ascii="黑体" w:hAnsi="黑体" w:eastAsia="黑体"/>
          <w:b/>
          <w:color w:val="auto"/>
          <w:spacing w:val="20"/>
          <w:sz w:val="32"/>
          <w:szCs w:val="32"/>
          <w:highlight w:val="none"/>
        </w:rPr>
        <w:outlineLvl w:val="1"/>
      </w:pPr>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hint="eastAsia"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u w:val="single"/>
        </w:rPr>
        <w:t xml:space="preserve">按照制作工具显示的栏目编制即可</w:t>
      </w:r>
      <w:r>
        <w:rPr>
          <w:rFonts w:hint="eastAsia" w:ascii="宋体" w:hAnsi="宋体"/>
          <w:b/>
          <w:color w:val="auto"/>
          <w:sz w:val="24"/>
          <w:highlight w:val="none"/>
        </w:rPr>
        <w:t xml:space="preserve">）</w:t>
      </w:r>
      <w:r/>
    </w:p>
    <w:tbl>
      <w:tblPr>
        <w:tblStyle w:val="103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栏目名称</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投标（响应）文件封面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开标一览表（报价一览表）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《开标一览表（报价一览表）》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技术要求响应及偏离表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商务要求响应及偏离表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投标人（供应商）资格声明函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highlight w:val="none"/>
              </w:rPr>
              <w:t xml:space="preserve">中小企业声明函等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法人授权书、投标（响应）函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投标（响应）报价</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报价唯一性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报价合理性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报价的修正（如有）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签署、加盖公章</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进口产品（如有）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投标完整性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公平竞争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国家有关部门对投标产品有强制性规定或要求的（如有）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附加条件</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由评委审查，无需供应商提供材料。投标（响应）文件未含有采购人不能接受的附加条件的。</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其他无效情形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由评委审查，无需供应商提供材料。投标人（供应商）、投标（响应）文件不存在不符合法律、法规和招标（采购）文件规定的其他无效情形。</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实质性条款响应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实质性条款响应1</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实质性条款响应2</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bl>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rPr>
    </w:pPr>
    <w:r>
      <w:rPr>
        <w:rFonts w:hint="eastAsia"/>
      </w:rPr>
    </w:r>
    <w:r/>
  </w:p>
  <w:p>
    <w:pPr>
      <w:pStyle w:val="1048"/>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Fonts w:hint="eastAsia"/>
      </w:rPr>
    </w:pPr>
    <w:r>
      <w:fldChar w:fldCharType="begin"/>
    </w:r>
    <w:r>
      <w:rPr>
        <w:rStyle w:val="1066"/>
      </w:rPr>
      <w:instrText xml:space="preserve">PAGE  </w:instrText>
    </w:r>
    <w:r>
      <w:fldChar w:fldCharType="end"/>
    </w:r>
    <w:r/>
  </w:p>
  <w:p>
    <w:pPr>
      <w:pStyle w:val="104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rPr>
    </w:pPr>
    <w:r>
      <w:t xml:space="preserve">第</w:t>
    </w:r>
    <w:sdt>
      <w:sdtPr>
        <w15:appearance w15:val="boundingBox"/>
        <w:id w:val="-734386518"/>
        <w:rPr/>
      </w:sdtPr>
      <w:sdtContent>
        <w:sdt>
          <w:sdtPr>
            <w15:appearance w15:val="boundingBox"/>
            <w:id w:val="-1533494649"/>
            <w:rPr/>
          </w:sdtPr>
          <w:sdtContent>
            <w:r>
              <w:rPr>
                <w:lang w:val="zh-CN"/>
              </w:rPr>
              <w:t xml:space="preserve"> </w:t>
            </w:r>
            <w:r>
              <w:fldChar w:fldCharType="begin"/>
            </w:r>
            <w:r>
              <w:instrText xml:space="preserve">PAGE</w:instrText>
            </w:r>
            <w:r>
              <w:fldChar w:fldCharType="separate"/>
            </w:r>
            <w:r>
              <w:t xml:space="preserve">68</w:t>
            </w:r>
            <w:r>
              <w:fldChar w:fldCharType="end"/>
            </w:r>
            <w:r>
              <w:rPr>
                <w:lang w:val="zh-CN"/>
              </w:rPr>
              <w:t xml:space="preserve"> 页，共</w:t>
            </w:r>
            <w:r>
              <w:rPr>
                <w:rFonts w:hint="eastAsia"/>
                <w:lang w:val="en-US" w:eastAsia="zh-CN"/>
              </w:rPr>
              <w:t xml:space="preserve">78</w:t>
            </w:r>
            <w:r>
              <w:rPr>
                <w:rFonts w:hint="eastAsia"/>
              </w:rPr>
              <w:t xml:space="preserve">页</w:t>
            </w:r>
          </w:sdtContent>
        </w:sdt>
      </w:sdtContent>
    </w:sd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rPr>
    </w:pPr>
    <w:r>
      <w:t xml:space="preserve">第</w:t>
    </w:r>
    <w:sdt>
      <w:sdtPr>
        <w15:appearance w15:val="boundingBox"/>
        <w:id w:val="-1370300769"/>
        <w:rPr/>
      </w:sdtPr>
      <w:sdtContent>
        <w:sdt>
          <w:sdtPr>
            <w15:appearance w15:val="boundingBox"/>
            <w:id w:val="-1669238322"/>
            <w:rPr/>
          </w:sdtPr>
          <w:sdtContent>
            <w:r>
              <w:rPr>
                <w:lang w:val="zh-CN"/>
              </w:rPr>
              <w:t xml:space="preserve"> </w:t>
            </w:r>
            <w:r>
              <w:fldChar w:fldCharType="begin"/>
            </w:r>
            <w:r>
              <w:instrText xml:space="preserve">PAGE</w:instrText>
            </w:r>
            <w:r>
              <w:fldChar w:fldCharType="separate"/>
            </w:r>
            <w:r>
              <w:t xml:space="preserve">1</w:t>
            </w:r>
            <w:r>
              <w:fldChar w:fldCharType="end"/>
            </w:r>
            <w:r>
              <w:rPr>
                <w:lang w:val="zh-CN"/>
              </w:rPr>
              <w:t xml:space="preserve"> 页，共</w:t>
            </w:r>
            <w:r>
              <w:rPr>
                <w:rFonts w:hint="eastAsia"/>
                <w:lang w:val="en-US" w:eastAsia="zh-CN"/>
              </w:rPr>
              <w:t xml:space="preserve">78</w:t>
            </w:r>
            <w:r>
              <w:rPr>
                <w:rFonts w:hint="eastAsia"/>
              </w:rPr>
              <w:t xml:space="preserve">页</w:t>
            </w:r>
          </w:sdtContent>
        </w:sdt>
      </w:sdtContent>
    </w:sd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Fonts w:hint="eastAsia"/>
      </w:rPr>
    </w:pPr>
    <w:r>
      <w:rPr>
        <w:rStyle w:val="1066"/>
      </w:rPr>
      <w:fldChar w:fldCharType="begin"/>
    </w:r>
    <w:r>
      <w:rPr>
        <w:rStyle w:val="1066"/>
      </w:rPr>
      <w:instrText xml:space="preserve">PAGE  </w:instrText>
    </w:r>
    <w:r>
      <w:rPr>
        <w:rStyle w:val="1066"/>
      </w:rPr>
      <w:fldChar w:fldCharType="end"/>
    </w:r>
    <w:r/>
  </w:p>
  <w:p>
    <w:pPr>
      <w:pStyle w:val="1048"/>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Fonts w:hint="eastAsia"/>
      </w:rPr>
    </w:pPr>
    <w:r>
      <w:rPr>
        <w:rStyle w:val="1066"/>
      </w:rPr>
      <w:fldChar w:fldCharType="begin"/>
    </w:r>
    <w:r>
      <w:rPr>
        <w:rStyle w:val="1066"/>
      </w:rPr>
      <w:instrText xml:space="preserve">PAGE  </w:instrText>
    </w:r>
    <w:r>
      <w:rPr>
        <w:rStyle w:val="1066"/>
      </w:rPr>
      <w:fldChar w:fldCharType="end"/>
    </w:r>
    <w:r/>
  </w:p>
  <w:p>
    <w:pPr>
      <w:pStyle w:val="1048"/>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rPr>
    </w:pP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Fonts w:hint="eastAsia"/>
      </w:rPr>
    </w:pPr>
    <w:r>
      <w:rPr>
        <w:rStyle w:val="1066"/>
      </w:rPr>
      <w:fldChar w:fldCharType="begin"/>
    </w:r>
    <w:r>
      <w:rPr>
        <w:rStyle w:val="1066"/>
      </w:rPr>
      <w:instrText xml:space="preserve">PAGE  </w:instrText>
    </w:r>
    <w:r>
      <w:rPr>
        <w:rStyle w:val="1066"/>
      </w:rPr>
      <w:fldChar w:fldCharType="end"/>
    </w:r>
    <w:r/>
  </w:p>
  <w:p>
    <w:pPr>
      <w:pStyle w:val="1048"/>
      <w:rPr>
        <w:rFonts w:hint="eastAsia"/>
      </w:rPr>
    </w:pP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66"/>
        <w:rFonts w:hint="eastAsia"/>
      </w:rPr>
    </w:pPr>
    <w:r>
      <w:rPr>
        <w:rStyle w:val="1066"/>
      </w:rPr>
      <w:fldChar w:fldCharType="begin"/>
    </w:r>
    <w:r>
      <w:rPr>
        <w:rStyle w:val="1066"/>
      </w:rPr>
      <w:instrText xml:space="preserve">PAGE  </w:instrText>
    </w:r>
    <w:r>
      <w:rPr>
        <w:rStyle w:val="1066"/>
      </w:rPr>
      <w:fldChar w:fldCharType="end"/>
    </w:r>
    <w:r/>
  </w:p>
  <w:p>
    <w:pPr>
      <w:pStyle w:val="104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098" w:hanging="794"/>
        <w:tabs>
          <w:tab w:val="left" w:pos="1417"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3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1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8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6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6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3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2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29"/>
    <w:link w:val="1020"/>
    <w:uiPriority w:val="9"/>
    <w:rPr>
      <w:rFonts w:ascii="Arial" w:hAnsi="Arial" w:eastAsia="Arial" w:cs="Arial"/>
      <w:sz w:val="40"/>
      <w:szCs w:val="40"/>
    </w:rPr>
  </w:style>
  <w:style w:type="character" w:styleId="867">
    <w:name w:val="Heading 2 Char"/>
    <w:basedOn w:val="1029"/>
    <w:link w:val="1021"/>
    <w:uiPriority w:val="9"/>
    <w:rPr>
      <w:rFonts w:ascii="Arial" w:hAnsi="Arial" w:eastAsia="Arial" w:cs="Arial"/>
      <w:sz w:val="34"/>
    </w:rPr>
  </w:style>
  <w:style w:type="character" w:styleId="868">
    <w:name w:val="Heading 3 Char"/>
    <w:basedOn w:val="1029"/>
    <w:link w:val="1022"/>
    <w:uiPriority w:val="9"/>
    <w:rPr>
      <w:rFonts w:ascii="Arial" w:hAnsi="Arial" w:eastAsia="Arial" w:cs="Arial"/>
      <w:sz w:val="30"/>
      <w:szCs w:val="30"/>
    </w:rPr>
  </w:style>
  <w:style w:type="character" w:styleId="869">
    <w:name w:val="Heading 4 Char"/>
    <w:basedOn w:val="1029"/>
    <w:link w:val="1023"/>
    <w:uiPriority w:val="9"/>
    <w:rPr>
      <w:rFonts w:ascii="Arial" w:hAnsi="Arial" w:eastAsia="Arial" w:cs="Arial"/>
      <w:b/>
      <w:bCs/>
      <w:sz w:val="26"/>
      <w:szCs w:val="26"/>
    </w:rPr>
  </w:style>
  <w:style w:type="character" w:styleId="870">
    <w:name w:val="Heading 5 Char"/>
    <w:basedOn w:val="1029"/>
    <w:link w:val="1024"/>
    <w:uiPriority w:val="9"/>
    <w:rPr>
      <w:rFonts w:ascii="Arial" w:hAnsi="Arial" w:eastAsia="Arial" w:cs="Arial"/>
      <w:b/>
      <w:bCs/>
      <w:sz w:val="24"/>
      <w:szCs w:val="24"/>
    </w:rPr>
  </w:style>
  <w:style w:type="character" w:styleId="871">
    <w:name w:val="Heading 6 Char"/>
    <w:basedOn w:val="1029"/>
    <w:link w:val="1025"/>
    <w:uiPriority w:val="9"/>
    <w:rPr>
      <w:rFonts w:ascii="Arial" w:hAnsi="Arial" w:eastAsia="Arial" w:cs="Arial"/>
      <w:b/>
      <w:bCs/>
      <w:sz w:val="22"/>
      <w:szCs w:val="22"/>
    </w:rPr>
  </w:style>
  <w:style w:type="character" w:styleId="872">
    <w:name w:val="Heading 7 Char"/>
    <w:basedOn w:val="1029"/>
    <w:link w:val="1026"/>
    <w:uiPriority w:val="9"/>
    <w:rPr>
      <w:rFonts w:ascii="Arial" w:hAnsi="Arial" w:eastAsia="Arial" w:cs="Arial"/>
      <w:b/>
      <w:bCs/>
      <w:i/>
      <w:iCs/>
      <w:sz w:val="22"/>
      <w:szCs w:val="22"/>
    </w:rPr>
  </w:style>
  <w:style w:type="character" w:styleId="873">
    <w:name w:val="Heading 8 Char"/>
    <w:basedOn w:val="1029"/>
    <w:link w:val="1027"/>
    <w:uiPriority w:val="9"/>
    <w:rPr>
      <w:rFonts w:ascii="Arial" w:hAnsi="Arial" w:eastAsia="Arial" w:cs="Arial"/>
      <w:i/>
      <w:iCs/>
      <w:sz w:val="22"/>
      <w:szCs w:val="22"/>
    </w:rPr>
  </w:style>
  <w:style w:type="character" w:styleId="874">
    <w:name w:val="Heading 9 Char"/>
    <w:basedOn w:val="1029"/>
    <w:link w:val="1028"/>
    <w:uiPriority w:val="9"/>
    <w:rPr>
      <w:rFonts w:ascii="Arial" w:hAnsi="Arial" w:eastAsia="Arial" w:cs="Arial"/>
      <w:i/>
      <w:iCs/>
      <w:sz w:val="21"/>
      <w:szCs w:val="21"/>
    </w:rPr>
  </w:style>
  <w:style w:type="paragraph" w:styleId="875">
    <w:name w:val="No Spacing"/>
    <w:uiPriority w:val="1"/>
    <w:qFormat/>
    <w:pPr>
      <w:spacing w:before="0" w:after="0" w:line="240" w:lineRule="auto"/>
    </w:pPr>
  </w:style>
  <w:style w:type="character" w:styleId="876">
    <w:name w:val="Title Char"/>
    <w:basedOn w:val="1029"/>
    <w:link w:val="1060"/>
    <w:uiPriority w:val="10"/>
    <w:rPr>
      <w:sz w:val="48"/>
      <w:szCs w:val="48"/>
    </w:rPr>
  </w:style>
  <w:style w:type="paragraph" w:styleId="877">
    <w:name w:val="Subtitle"/>
    <w:basedOn w:val="1019"/>
    <w:next w:val="1019"/>
    <w:link w:val="878"/>
    <w:uiPriority w:val="11"/>
    <w:qFormat/>
    <w:pPr>
      <w:spacing w:before="200" w:after="200"/>
    </w:pPr>
    <w:rPr>
      <w:sz w:val="24"/>
      <w:szCs w:val="24"/>
    </w:rPr>
  </w:style>
  <w:style w:type="character" w:styleId="878">
    <w:name w:val="Subtitle Char"/>
    <w:basedOn w:val="1029"/>
    <w:link w:val="877"/>
    <w:uiPriority w:val="11"/>
    <w:rPr>
      <w:sz w:val="24"/>
      <w:szCs w:val="24"/>
    </w:rPr>
  </w:style>
  <w:style w:type="paragraph" w:styleId="879">
    <w:name w:val="Quote"/>
    <w:basedOn w:val="1019"/>
    <w:next w:val="1019"/>
    <w:link w:val="880"/>
    <w:uiPriority w:val="29"/>
    <w:qFormat/>
    <w:pPr>
      <w:ind w:left="720" w:right="720"/>
    </w:pPr>
    <w:rPr>
      <w:i/>
    </w:rPr>
  </w:style>
  <w:style w:type="character" w:styleId="880">
    <w:name w:val="Quote Char"/>
    <w:link w:val="879"/>
    <w:uiPriority w:val="29"/>
    <w:rPr>
      <w:i/>
    </w:rPr>
  </w:style>
  <w:style w:type="paragraph" w:styleId="881">
    <w:name w:val="Intense Quote"/>
    <w:basedOn w:val="1019"/>
    <w:next w:val="1019"/>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character" w:styleId="883">
    <w:name w:val="Header Char"/>
    <w:basedOn w:val="1029"/>
    <w:link w:val="1049"/>
    <w:uiPriority w:val="99"/>
  </w:style>
  <w:style w:type="character" w:styleId="884">
    <w:name w:val="Footer Char"/>
    <w:basedOn w:val="1029"/>
    <w:link w:val="1048"/>
    <w:uiPriority w:val="99"/>
  </w:style>
  <w:style w:type="character" w:styleId="885">
    <w:name w:val="Caption Char"/>
    <w:basedOn w:val="1033"/>
    <w:link w:val="1048"/>
    <w:uiPriority w:val="99"/>
  </w:style>
  <w:style w:type="table" w:styleId="886">
    <w:name w:val="Table Grid Light"/>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10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10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10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basedOn w:val="10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basedOn w:val="10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basedOn w:val="10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basedOn w:val="10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basedOn w:val="10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basedOn w:val="10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basedOn w:val="10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basedOn w:val="10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basedOn w:val="10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basedOn w:val="10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basedOn w:val="10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basedOn w:val="10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basedOn w:val="10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basedOn w:val="10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basedOn w:val="10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basedOn w:val="10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basedOn w:val="10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basedOn w:val="10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basedOn w:val="10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basedOn w:val="10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basedOn w:val="10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basedOn w:val="10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basedOn w:val="10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basedOn w:val="10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basedOn w:val="10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basedOn w:val="10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basedOn w:val="10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basedOn w:val="10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basedOn w:val="10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basedOn w:val="10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basedOn w:val="10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basedOn w:val="10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basedOn w:val="10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basedOn w:val="10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basedOn w:val="10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basedOn w:val="10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basedOn w:val="10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basedOn w:val="10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basedOn w:val="10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basedOn w:val="10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basedOn w:val="10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basedOn w:val="10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basedOn w:val="10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basedOn w:val="10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basedOn w:val="10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basedOn w:val="10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basedOn w:val="10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basedOn w:val="10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basedOn w:val="10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basedOn w:val="10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basedOn w:val="10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basedOn w:val="10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basedOn w:val="10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basedOn w:val="10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basedOn w:val="10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basedOn w:val="10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basedOn w:val="10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basedOn w:val="10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basedOn w:val="10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basedOn w:val="10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basedOn w:val="10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basedOn w:val="10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basedOn w:val="10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basedOn w:val="10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basedOn w:val="10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basedOn w:val="10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basedOn w:val="10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basedOn w:val="10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basedOn w:val="10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1">
    <w:name w:val="footnote text"/>
    <w:basedOn w:val="1019"/>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basedOn w:val="1029"/>
    <w:uiPriority w:val="99"/>
    <w:unhideWhenUsed/>
    <w:rPr>
      <w:vertAlign w:val="superscript"/>
    </w:rPr>
  </w:style>
  <w:style w:type="paragraph" w:styleId="1014">
    <w:name w:val="endnote text"/>
    <w:basedOn w:val="1019"/>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29"/>
    <w:uiPriority w:val="99"/>
    <w:semiHidden/>
    <w:unhideWhenUsed/>
    <w:rPr>
      <w:vertAlign w:val="superscript"/>
    </w:r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0">
    <w:name w:val="Heading 1"/>
    <w:basedOn w:val="1019"/>
    <w:next w:val="1019"/>
    <w:link w:val="1075"/>
    <w:uiPriority w:val="0"/>
    <w:qFormat/>
    <w:pPr>
      <w:jc w:val="center"/>
      <w:keepLines/>
      <w:keepNext/>
      <w:spacing w:before="240" w:after="120" w:line="300" w:lineRule="auto"/>
      <w:outlineLvl w:val="0"/>
    </w:pPr>
    <w:rPr>
      <w:rFonts w:ascii="宋体"/>
      <w:b/>
      <w:sz w:val="32"/>
      <w:szCs w:val="20"/>
    </w:rPr>
  </w:style>
  <w:style w:type="paragraph" w:styleId="1021">
    <w:name w:val="Heading 2"/>
    <w:basedOn w:val="1019"/>
    <w:next w:val="1019"/>
    <w:link w:val="1077"/>
    <w:uiPriority w:val="0"/>
    <w:qFormat/>
    <w:pPr>
      <w:jc w:val="center"/>
      <w:keepLines/>
      <w:keepNext/>
      <w:spacing w:before="120" w:line="300" w:lineRule="auto"/>
      <w:outlineLvl w:val="1"/>
    </w:pPr>
    <w:rPr>
      <w:rFonts w:ascii="Arial" w:hAnsi="Arial" w:eastAsia="黑体"/>
      <w:b/>
      <w:sz w:val="30"/>
      <w:szCs w:val="20"/>
    </w:rPr>
  </w:style>
  <w:style w:type="paragraph" w:styleId="1022">
    <w:name w:val="Heading 3"/>
    <w:basedOn w:val="1019"/>
    <w:next w:val="1031"/>
    <w:link w:val="1078"/>
    <w:uiPriority w:val="0"/>
    <w:qFormat/>
    <w:pPr>
      <w:jc w:val="left"/>
      <w:keepLines/>
      <w:keepNext/>
      <w:spacing w:before="360" w:after="120"/>
      <w:outlineLvl w:val="2"/>
    </w:pPr>
    <w:rPr>
      <w:rFonts w:ascii="宋体"/>
      <w:b/>
      <w:sz w:val="24"/>
      <w:szCs w:val="20"/>
      <w:u w:val="single"/>
    </w:rPr>
  </w:style>
  <w:style w:type="paragraph" w:styleId="1023">
    <w:name w:val="Heading 4"/>
    <w:basedOn w:val="1019"/>
    <w:next w:val="1019"/>
    <w:link w:val="1079"/>
    <w:uiPriority w:val="0"/>
    <w:qFormat/>
    <w:pPr>
      <w:keepLines/>
      <w:keepNext/>
      <w:spacing w:before="280" w:after="290" w:line="376" w:lineRule="atLeast"/>
      <w:outlineLvl w:val="3"/>
    </w:pPr>
    <w:rPr>
      <w:rFonts w:ascii="Arial" w:hAnsi="Arial" w:eastAsia="黑体"/>
      <w:b/>
      <w:sz w:val="28"/>
      <w:szCs w:val="20"/>
    </w:rPr>
  </w:style>
  <w:style w:type="paragraph" w:styleId="1024">
    <w:name w:val="Heading 5"/>
    <w:basedOn w:val="1019"/>
    <w:next w:val="1019"/>
    <w:link w:val="1080"/>
    <w:uiPriority w:val="0"/>
    <w:qFormat/>
    <w:pPr>
      <w:keepLines/>
      <w:keepNext/>
      <w:spacing w:before="280" w:after="290" w:line="376" w:lineRule="atLeast"/>
      <w:outlineLvl w:val="4"/>
    </w:pPr>
    <w:rPr>
      <w:b/>
      <w:sz w:val="28"/>
      <w:szCs w:val="20"/>
    </w:rPr>
  </w:style>
  <w:style w:type="paragraph" w:styleId="1025">
    <w:name w:val="Heading 6"/>
    <w:basedOn w:val="1019"/>
    <w:next w:val="1019"/>
    <w:link w:val="1081"/>
    <w:uiPriority w:val="0"/>
    <w:qFormat/>
    <w:pPr>
      <w:keepLines/>
      <w:keepNext/>
      <w:spacing w:before="240" w:after="64" w:line="320" w:lineRule="atLeast"/>
      <w:outlineLvl w:val="5"/>
    </w:pPr>
    <w:rPr>
      <w:rFonts w:ascii="Arial" w:hAnsi="Arial" w:eastAsia="黑体"/>
      <w:b/>
      <w:sz w:val="24"/>
      <w:szCs w:val="20"/>
    </w:rPr>
  </w:style>
  <w:style w:type="paragraph" w:styleId="1026">
    <w:name w:val="Heading 7"/>
    <w:basedOn w:val="1019"/>
    <w:next w:val="1019"/>
    <w:link w:val="1082"/>
    <w:uiPriority w:val="0"/>
    <w:qFormat/>
    <w:pPr>
      <w:keepLines/>
      <w:keepNext/>
      <w:spacing w:before="240" w:after="64" w:line="320" w:lineRule="atLeast"/>
      <w:outlineLvl w:val="6"/>
    </w:pPr>
    <w:rPr>
      <w:b/>
      <w:sz w:val="24"/>
      <w:szCs w:val="20"/>
    </w:rPr>
  </w:style>
  <w:style w:type="paragraph" w:styleId="1027">
    <w:name w:val="Heading 8"/>
    <w:basedOn w:val="1019"/>
    <w:next w:val="1019"/>
    <w:link w:val="1083"/>
    <w:uiPriority w:val="0"/>
    <w:qFormat/>
    <w:pPr>
      <w:keepLines/>
      <w:keepNext/>
      <w:spacing w:before="240" w:after="64" w:line="320" w:lineRule="atLeast"/>
      <w:outlineLvl w:val="7"/>
    </w:pPr>
    <w:rPr>
      <w:rFonts w:ascii="Arial" w:hAnsi="Arial" w:eastAsia="黑体"/>
      <w:sz w:val="24"/>
      <w:szCs w:val="20"/>
    </w:rPr>
  </w:style>
  <w:style w:type="paragraph" w:styleId="1028">
    <w:name w:val="Heading 9"/>
    <w:basedOn w:val="1019"/>
    <w:next w:val="1019"/>
    <w:link w:val="1084"/>
    <w:uiPriority w:val="0"/>
    <w:qFormat/>
    <w:pPr>
      <w:keepLines/>
      <w:keepNext/>
      <w:spacing w:before="240" w:after="64" w:line="320" w:lineRule="atLeast"/>
      <w:outlineLvl w:val="8"/>
    </w:pPr>
    <w:rPr>
      <w:rFonts w:ascii="Arial" w:hAnsi="Arial" w:eastAsia="黑体"/>
      <w:szCs w:val="20"/>
    </w:rPr>
  </w:style>
  <w:style w:type="character" w:styleId="1029" w:default="1">
    <w:name w:val="Default Paragraph Font"/>
    <w:uiPriority w:val="1"/>
    <w:semiHidden/>
    <w:unhideWhenUsed/>
    <w:qFormat/>
  </w:style>
  <w:style w:type="table" w:styleId="1030" w:default="1">
    <w:name w:val="Normal Table"/>
    <w:uiPriority w:val="99"/>
    <w:semiHidden/>
    <w:unhideWhenUsed/>
    <w:qFormat/>
    <w:tblPr>
      <w:tblCellMar>
        <w:left w:w="108" w:type="dxa"/>
        <w:top w:w="0" w:type="dxa"/>
        <w:right w:w="108" w:type="dxa"/>
        <w:bottom w:w="0" w:type="dxa"/>
      </w:tblCellMar>
    </w:tblPr>
  </w:style>
  <w:style w:type="paragraph" w:styleId="1031">
    <w:name w:val="Normal Indent"/>
    <w:basedOn w:val="1019"/>
    <w:link w:val="1076"/>
    <w:uiPriority w:val="0"/>
    <w:qFormat/>
    <w:pPr>
      <w:ind w:firstLine="420"/>
      <w:jc w:val="left"/>
    </w:pPr>
    <w:rPr>
      <w:rFonts w:ascii="宋体"/>
      <w:sz w:val="24"/>
    </w:rPr>
  </w:style>
  <w:style w:type="paragraph" w:styleId="1032">
    <w:name w:val="toc 7"/>
    <w:basedOn w:val="1019"/>
    <w:next w:val="1019"/>
    <w:uiPriority w:val="0"/>
    <w:qFormat/>
    <w:pPr>
      <w:ind w:left="2520"/>
    </w:pPr>
  </w:style>
  <w:style w:type="paragraph" w:styleId="1033">
    <w:name w:val="Caption"/>
    <w:basedOn w:val="1019"/>
    <w:next w:val="1019"/>
    <w:uiPriority w:val="0"/>
    <w:qFormat/>
    <w:pPr>
      <w:spacing w:line="480" w:lineRule="auto"/>
    </w:pPr>
    <w:rPr>
      <w:rFonts w:ascii="华文中宋" w:hAnsi="华文中宋" w:eastAsia="华文中宋"/>
      <w:sz w:val="36"/>
      <w:szCs w:val="20"/>
    </w:rPr>
  </w:style>
  <w:style w:type="paragraph" w:styleId="1034">
    <w:name w:val="Document Map"/>
    <w:basedOn w:val="1019"/>
    <w:next w:val="1019"/>
    <w:link w:val="1089"/>
    <w:uiPriority w:val="0"/>
    <w:qFormat/>
    <w:pPr>
      <w:shd w:val="clear" w:color="auto" w:fill="000080"/>
    </w:pPr>
  </w:style>
  <w:style w:type="paragraph" w:styleId="1035">
    <w:name w:val="annotation text"/>
    <w:basedOn w:val="1019"/>
    <w:link w:val="1090"/>
    <w:uiPriority w:val="99"/>
    <w:qFormat/>
    <w:pPr>
      <w:jc w:val="left"/>
    </w:pPr>
  </w:style>
  <w:style w:type="paragraph" w:styleId="1036">
    <w:name w:val="Body Text 3"/>
    <w:basedOn w:val="1019"/>
    <w:link w:val="1092"/>
    <w:uiPriority w:val="0"/>
    <w:qFormat/>
    <w:pPr>
      <w:spacing w:after="120"/>
    </w:pPr>
    <w:rPr>
      <w:sz w:val="16"/>
      <w:szCs w:val="16"/>
    </w:rPr>
  </w:style>
  <w:style w:type="paragraph" w:styleId="1037">
    <w:name w:val="Body Text"/>
    <w:basedOn w:val="1019"/>
    <w:next w:val="1019"/>
    <w:link w:val="1074"/>
    <w:uiPriority w:val="0"/>
    <w:qFormat/>
    <w:pPr>
      <w:jc w:val="left"/>
      <w:spacing w:before="120" w:line="360" w:lineRule="auto"/>
      <w:tabs>
        <w:tab w:val="left" w:pos="0" w:leader="none"/>
      </w:tabs>
    </w:pPr>
    <w:rPr>
      <w:rFonts w:ascii="宋体" w:hAnsi="宋体"/>
      <w:sz w:val="24"/>
    </w:rPr>
  </w:style>
  <w:style w:type="paragraph" w:styleId="1038">
    <w:name w:val="Body Text Indent"/>
    <w:basedOn w:val="1019"/>
    <w:link w:val="1093"/>
    <w:uiPriority w:val="99"/>
    <w:qFormat/>
    <w:pPr>
      <w:ind w:firstLine="570"/>
      <w:spacing w:line="360" w:lineRule="auto"/>
    </w:pPr>
    <w:rPr>
      <w:sz w:val="24"/>
    </w:rPr>
  </w:style>
  <w:style w:type="paragraph" w:styleId="1039">
    <w:name w:val="List 2"/>
    <w:basedOn w:val="1019"/>
    <w:uiPriority w:val="0"/>
    <w:qFormat/>
    <w:pPr>
      <w:ind w:left="100" w:hanging="200"/>
    </w:pPr>
  </w:style>
  <w:style w:type="paragraph" w:styleId="1040">
    <w:name w:val="Block Text"/>
    <w:basedOn w:val="1019"/>
    <w:uiPriority w:val="0"/>
    <w:qFormat/>
    <w:pPr>
      <w:ind w:left="480" w:right="-341" w:firstLine="513"/>
      <w:widowControl/>
    </w:pPr>
    <w:rPr>
      <w:sz w:val="24"/>
      <w:szCs w:val="20"/>
    </w:rPr>
  </w:style>
  <w:style w:type="paragraph" w:styleId="1041">
    <w:name w:val="toc 5"/>
    <w:basedOn w:val="1019"/>
    <w:next w:val="1019"/>
    <w:uiPriority w:val="0"/>
    <w:qFormat/>
    <w:pPr>
      <w:ind w:left="1680"/>
    </w:pPr>
  </w:style>
  <w:style w:type="paragraph" w:styleId="1042">
    <w:name w:val="toc 3"/>
    <w:basedOn w:val="1019"/>
    <w:next w:val="1019"/>
    <w:uiPriority w:val="39"/>
    <w:qFormat/>
    <w:pPr>
      <w:ind w:left="840"/>
    </w:pPr>
  </w:style>
  <w:style w:type="paragraph" w:styleId="1043">
    <w:name w:val="Plain Text"/>
    <w:basedOn w:val="1019"/>
    <w:link w:val="1095"/>
    <w:uiPriority w:val="0"/>
    <w:qFormat/>
    <w:rPr>
      <w:rFonts w:hint="eastAsia" w:ascii="宋体" w:hAnsi="Courier New"/>
      <w:szCs w:val="20"/>
    </w:rPr>
  </w:style>
  <w:style w:type="paragraph" w:styleId="1044">
    <w:name w:val="toc 8"/>
    <w:basedOn w:val="1019"/>
    <w:next w:val="1019"/>
    <w:uiPriority w:val="0"/>
    <w:qFormat/>
    <w:pPr>
      <w:ind w:left="2940"/>
    </w:pPr>
  </w:style>
  <w:style w:type="paragraph" w:styleId="1045">
    <w:name w:val="Date"/>
    <w:basedOn w:val="1019"/>
    <w:next w:val="1019"/>
    <w:link w:val="1096"/>
    <w:uiPriority w:val="0"/>
    <w:qFormat/>
    <w:pPr>
      <w:ind w:left="100"/>
    </w:pPr>
    <w:rPr>
      <w:rFonts w:ascii="仿宋_GB2312" w:hAnsi="宋体" w:eastAsia="仿宋_GB2312"/>
      <w:color w:val="000000"/>
      <w:sz w:val="24"/>
    </w:rPr>
  </w:style>
  <w:style w:type="paragraph" w:styleId="1046">
    <w:name w:val="Body Text Indent 2"/>
    <w:basedOn w:val="1019"/>
    <w:link w:val="1097"/>
    <w:uiPriority w:val="0"/>
    <w:qFormat/>
    <w:pPr>
      <w:ind w:firstLine="480"/>
    </w:pPr>
    <w:rPr>
      <w:rFonts w:ascii="仿宋_GB2312" w:eastAsia="仿宋_GB2312"/>
      <w:sz w:val="24"/>
    </w:rPr>
  </w:style>
  <w:style w:type="paragraph" w:styleId="1047">
    <w:name w:val="Balloon Text"/>
    <w:basedOn w:val="1019"/>
    <w:link w:val="1098"/>
    <w:uiPriority w:val="0"/>
    <w:qFormat/>
    <w:rPr>
      <w:sz w:val="18"/>
      <w:szCs w:val="18"/>
    </w:rPr>
  </w:style>
  <w:style w:type="paragraph" w:styleId="1048">
    <w:name w:val="Footer"/>
    <w:basedOn w:val="1019"/>
    <w:link w:val="1086"/>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1049">
    <w:name w:val="Header"/>
    <w:basedOn w:val="1019"/>
    <w:link w:val="108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50">
    <w:name w:val="toc 1"/>
    <w:basedOn w:val="1019"/>
    <w:next w:val="1019"/>
    <w:uiPriority w:val="39"/>
    <w:qFormat/>
    <w:pPr>
      <w:spacing w:line="300" w:lineRule="auto"/>
      <w:tabs>
        <w:tab w:val="left" w:pos="1050" w:leader="none"/>
        <w:tab w:val="right" w:pos="8937" w:leader="dot"/>
      </w:tabs>
    </w:pPr>
    <w:rPr>
      <w:rFonts w:ascii="宋体" w:hAnsi="宋体"/>
      <w:b/>
      <w:sz w:val="24"/>
    </w:rPr>
  </w:style>
  <w:style w:type="paragraph" w:styleId="1051">
    <w:name w:val="toc 4"/>
    <w:basedOn w:val="1019"/>
    <w:next w:val="1019"/>
    <w:uiPriority w:val="0"/>
    <w:qFormat/>
    <w:pPr>
      <w:ind w:left="1260"/>
    </w:pPr>
  </w:style>
  <w:style w:type="paragraph" w:styleId="1052">
    <w:name w:val="toc 6"/>
    <w:basedOn w:val="1019"/>
    <w:next w:val="1019"/>
    <w:uiPriority w:val="0"/>
    <w:qFormat/>
    <w:pPr>
      <w:ind w:left="2100"/>
    </w:pPr>
  </w:style>
  <w:style w:type="paragraph" w:styleId="1053">
    <w:name w:val="Body Text Indent 3"/>
    <w:basedOn w:val="1019"/>
    <w:link w:val="1099"/>
    <w:uiPriority w:val="0"/>
    <w:qFormat/>
    <w:pPr>
      <w:ind w:left="720" w:firstLine="480"/>
      <w:jc w:val="left"/>
      <w:spacing w:before="120" w:line="22" w:lineRule="atLeast"/>
    </w:pPr>
    <w:rPr>
      <w:rFonts w:ascii="宋体"/>
      <w:sz w:val="24"/>
      <w:szCs w:val="20"/>
    </w:rPr>
  </w:style>
  <w:style w:type="paragraph" w:styleId="1054">
    <w:name w:val="toc 2"/>
    <w:basedOn w:val="1019"/>
    <w:next w:val="1019"/>
    <w:uiPriority w:val="39"/>
    <w:qFormat/>
    <w:pPr>
      <w:ind w:left="420"/>
      <w:spacing w:line="312" w:lineRule="auto"/>
      <w:tabs>
        <w:tab w:val="right" w:pos="8937" w:leader="dot"/>
      </w:tabs>
    </w:pPr>
  </w:style>
  <w:style w:type="paragraph" w:styleId="1055">
    <w:name w:val="toc 9"/>
    <w:basedOn w:val="1019"/>
    <w:next w:val="1019"/>
    <w:uiPriority w:val="0"/>
    <w:qFormat/>
    <w:pPr>
      <w:ind w:left="3360"/>
    </w:pPr>
  </w:style>
  <w:style w:type="paragraph" w:styleId="1056">
    <w:name w:val="Body Text 2"/>
    <w:basedOn w:val="1019"/>
    <w:link w:val="1100"/>
    <w:uiPriority w:val="0"/>
    <w:qFormat/>
    <w:pPr>
      <w:spacing w:after="120" w:line="480" w:lineRule="auto"/>
    </w:pPr>
  </w:style>
  <w:style w:type="paragraph" w:styleId="1057">
    <w:name w:val="HTML Preformatted"/>
    <w:basedOn w:val="1019"/>
    <w:link w:val="11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58">
    <w:name w:val="Normal (Web)"/>
    <w:basedOn w:val="1019"/>
    <w:link w:val="1284"/>
    <w:uiPriority w:val="99"/>
    <w:unhideWhenUsed/>
    <w:qFormat/>
    <w:pPr>
      <w:jc w:val="left"/>
      <w:spacing w:before="100" w:beforeAutospacing="1" w:after="100" w:afterAutospacing="1"/>
      <w:widowControl/>
    </w:pPr>
    <w:rPr>
      <w:rFonts w:ascii="宋体" w:hAnsi="宋体" w:cs="宋体"/>
      <w:sz w:val="24"/>
    </w:rPr>
  </w:style>
  <w:style w:type="paragraph" w:styleId="1059">
    <w:name w:val="index 1"/>
    <w:basedOn w:val="1019"/>
    <w:next w:val="1019"/>
    <w:uiPriority w:val="0"/>
    <w:qFormat/>
    <w:rPr>
      <w:szCs w:val="20"/>
    </w:rPr>
  </w:style>
  <w:style w:type="paragraph" w:styleId="1060">
    <w:name w:val="Title"/>
    <w:basedOn w:val="1019"/>
    <w:next w:val="1019"/>
    <w:link w:val="1102"/>
    <w:uiPriority w:val="0"/>
    <w:qFormat/>
    <w:pPr>
      <w:jc w:val="center"/>
      <w:outlineLvl w:val="0"/>
    </w:pPr>
    <w:rPr>
      <w:b/>
      <w:sz w:val="32"/>
      <w:szCs w:val="20"/>
    </w:rPr>
  </w:style>
  <w:style w:type="paragraph" w:styleId="1061">
    <w:name w:val="annotation subject"/>
    <w:basedOn w:val="1035"/>
    <w:next w:val="1035"/>
    <w:link w:val="1104"/>
    <w:uiPriority w:val="0"/>
    <w:qFormat/>
    <w:rPr>
      <w:b/>
      <w:bCs/>
    </w:rPr>
  </w:style>
  <w:style w:type="paragraph" w:styleId="1062">
    <w:name w:val="Body Text First Indent"/>
    <w:basedOn w:val="1037"/>
    <w:link w:val="1105"/>
    <w:uiPriority w:val="99"/>
    <w:unhideWhenUsed/>
    <w:qFormat/>
    <w:pPr>
      <w:ind w:firstLine="420"/>
    </w:pPr>
    <w:rPr>
      <w:rFonts w:ascii="Times New Roman" w:hAnsi="Times New Roman"/>
      <w:sz w:val="21"/>
    </w:rPr>
  </w:style>
  <w:style w:type="paragraph" w:styleId="1063">
    <w:name w:val="Body Text First Indent 2"/>
    <w:basedOn w:val="1038"/>
    <w:link w:val="1106"/>
    <w:uiPriority w:val="0"/>
    <w:qFormat/>
    <w:pPr>
      <w:ind w:left="420" w:firstLine="420"/>
      <w:spacing w:after="120" w:line="480" w:lineRule="exact"/>
    </w:pPr>
  </w:style>
  <w:style w:type="table" w:styleId="1064">
    <w:name w:val="Table Grid"/>
    <w:basedOn w:val="10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5">
    <w:name w:val="Strong"/>
    <w:uiPriority w:val="0"/>
    <w:qFormat/>
    <w:rPr>
      <w:b/>
      <w:bCs/>
    </w:rPr>
  </w:style>
  <w:style w:type="character" w:styleId="1066">
    <w:name w:val="page number"/>
    <w:uiPriority w:val="0"/>
    <w:qFormat/>
  </w:style>
  <w:style w:type="character" w:styleId="1067">
    <w:name w:val="FollowedHyperlink"/>
    <w:uiPriority w:val="0"/>
    <w:qFormat/>
    <w:rPr>
      <w:color w:val="333333"/>
      <w:u w:val="none"/>
    </w:rPr>
  </w:style>
  <w:style w:type="character" w:styleId="1068">
    <w:name w:val="Emphasis"/>
    <w:uiPriority w:val="0"/>
    <w:qFormat/>
    <w:rPr>
      <w:color w:val="cc0033"/>
    </w:rPr>
  </w:style>
  <w:style w:type="character" w:styleId="1069">
    <w:name w:val="Hyperlink"/>
    <w:uiPriority w:val="99"/>
    <w:qFormat/>
    <w:rPr>
      <w:color w:val="333333"/>
      <w:u w:val="none"/>
    </w:rPr>
  </w:style>
  <w:style w:type="character" w:styleId="1070">
    <w:name w:val="annotation reference"/>
    <w:uiPriority w:val="99"/>
    <w:qFormat/>
    <w:rPr>
      <w:sz w:val="21"/>
      <w:szCs w:val="21"/>
    </w:rPr>
  </w:style>
  <w:style w:type="character" w:styleId="1071">
    <w:name w:val="HTML Cite"/>
    <w:uiPriority w:val="0"/>
    <w:qFormat/>
    <w:rPr>
      <w:i/>
      <w:iCs/>
    </w:rPr>
  </w:style>
  <w:style w:type="paragraph" w:styleId="1072" w:customStyle="1">
    <w:name w:val="正文首行缩进 21"/>
    <w:basedOn w:val="1073"/>
    <w:uiPriority w:val="0"/>
    <w:qFormat/>
    <w:pPr>
      <w:ind w:left="420" w:firstLine="420"/>
      <w:spacing w:after="120" w:line="480" w:lineRule="exact"/>
    </w:pPr>
    <w:rPr>
      <w:szCs w:val="20"/>
    </w:rPr>
  </w:style>
  <w:style w:type="paragraph" w:styleId="1073" w:customStyle="1">
    <w:name w:val="正文文本缩进11"/>
    <w:basedOn w:val="1019"/>
    <w:next w:val="1019"/>
    <w:uiPriority w:val="0"/>
    <w:qFormat/>
    <w:pPr>
      <w:ind w:firstLine="570"/>
      <w:spacing w:line="360" w:lineRule="auto"/>
    </w:pPr>
    <w:rPr>
      <w:sz w:val="24"/>
    </w:rPr>
  </w:style>
  <w:style w:type="character" w:styleId="1074" w:customStyle="1">
    <w:name w:val="正文文本 字符"/>
    <w:basedOn w:val="1029"/>
    <w:link w:val="1037"/>
    <w:uiPriority w:val="0"/>
    <w:qFormat/>
    <w:rPr>
      <w:rFonts w:ascii="宋体" w:hAnsi="宋体" w:eastAsia="宋体" w:cs="Times New Roman"/>
      <w:sz w:val="24"/>
      <w:szCs w:val="24"/>
    </w:rPr>
  </w:style>
  <w:style w:type="character" w:styleId="1075" w:customStyle="1">
    <w:name w:val="标题 1 字符"/>
    <w:basedOn w:val="1029"/>
    <w:link w:val="1020"/>
    <w:uiPriority w:val="0"/>
    <w:qFormat/>
    <w:rPr>
      <w:rFonts w:ascii="宋体" w:hAnsi="Times New Roman" w:eastAsia="宋体" w:cs="Times New Roman"/>
      <w:b/>
      <w:sz w:val="32"/>
      <w:szCs w:val="20"/>
    </w:rPr>
  </w:style>
  <w:style w:type="character" w:styleId="1076" w:customStyle="1">
    <w:name w:val="正文缩进 字符"/>
    <w:link w:val="1031"/>
    <w:uiPriority w:val="0"/>
    <w:qFormat/>
    <w:rPr>
      <w:rFonts w:ascii="宋体" w:hAnsi="Times New Roman" w:eastAsia="宋体" w:cs="Times New Roman"/>
      <w:sz w:val="24"/>
      <w:szCs w:val="24"/>
    </w:rPr>
  </w:style>
  <w:style w:type="character" w:styleId="1077" w:customStyle="1">
    <w:name w:val="标题 2 字符"/>
    <w:link w:val="1021"/>
    <w:uiPriority w:val="0"/>
    <w:qFormat/>
    <w:rPr>
      <w:rFonts w:ascii="Arial" w:hAnsi="Arial" w:eastAsia="黑体" w:cs="Times New Roman"/>
      <w:b/>
      <w:sz w:val="30"/>
      <w:szCs w:val="20"/>
    </w:rPr>
  </w:style>
  <w:style w:type="character" w:styleId="1078" w:customStyle="1">
    <w:name w:val="标题 3 字符"/>
    <w:link w:val="1022"/>
    <w:uiPriority w:val="0"/>
    <w:qFormat/>
    <w:rPr>
      <w:rFonts w:ascii="宋体" w:hAnsi="Times New Roman" w:eastAsia="宋体" w:cs="Times New Roman"/>
      <w:b/>
      <w:sz w:val="24"/>
      <w:szCs w:val="20"/>
      <w:u w:val="single"/>
    </w:rPr>
  </w:style>
  <w:style w:type="character" w:styleId="1079" w:customStyle="1">
    <w:name w:val="标题 4 字符"/>
    <w:basedOn w:val="1029"/>
    <w:link w:val="1023"/>
    <w:uiPriority w:val="0"/>
    <w:qFormat/>
    <w:rPr>
      <w:rFonts w:ascii="Arial" w:hAnsi="Arial" w:eastAsia="黑体" w:cs="Times New Roman"/>
      <w:b/>
      <w:sz w:val="28"/>
      <w:szCs w:val="20"/>
    </w:rPr>
  </w:style>
  <w:style w:type="character" w:styleId="1080" w:customStyle="1">
    <w:name w:val="标题 5 字符"/>
    <w:basedOn w:val="1029"/>
    <w:link w:val="1024"/>
    <w:uiPriority w:val="0"/>
    <w:qFormat/>
    <w:rPr>
      <w:rFonts w:ascii="Times New Roman" w:hAnsi="Times New Roman" w:eastAsia="宋体" w:cs="Times New Roman"/>
      <w:b/>
      <w:sz w:val="28"/>
      <w:szCs w:val="20"/>
    </w:rPr>
  </w:style>
  <w:style w:type="character" w:styleId="1081" w:customStyle="1">
    <w:name w:val="标题 6 字符"/>
    <w:basedOn w:val="1029"/>
    <w:link w:val="1025"/>
    <w:uiPriority w:val="0"/>
    <w:qFormat/>
    <w:rPr>
      <w:rFonts w:ascii="Arial" w:hAnsi="Arial" w:eastAsia="黑体" w:cs="Times New Roman"/>
      <w:b/>
      <w:sz w:val="24"/>
      <w:szCs w:val="20"/>
    </w:rPr>
  </w:style>
  <w:style w:type="character" w:styleId="1082" w:customStyle="1">
    <w:name w:val="标题 7 字符"/>
    <w:basedOn w:val="1029"/>
    <w:link w:val="1026"/>
    <w:uiPriority w:val="0"/>
    <w:qFormat/>
    <w:rPr>
      <w:rFonts w:ascii="Times New Roman" w:hAnsi="Times New Roman" w:eastAsia="宋体" w:cs="Times New Roman"/>
      <w:b/>
      <w:sz w:val="24"/>
      <w:szCs w:val="20"/>
    </w:rPr>
  </w:style>
  <w:style w:type="character" w:styleId="1083" w:customStyle="1">
    <w:name w:val="标题 8 字符"/>
    <w:basedOn w:val="1029"/>
    <w:link w:val="1027"/>
    <w:uiPriority w:val="0"/>
    <w:qFormat/>
    <w:rPr>
      <w:rFonts w:ascii="Arial" w:hAnsi="Arial" w:eastAsia="黑体" w:cs="Times New Roman"/>
      <w:sz w:val="24"/>
      <w:szCs w:val="20"/>
    </w:rPr>
  </w:style>
  <w:style w:type="character" w:styleId="1084" w:customStyle="1">
    <w:name w:val="标题 9 字符"/>
    <w:basedOn w:val="1029"/>
    <w:link w:val="1028"/>
    <w:uiPriority w:val="0"/>
    <w:qFormat/>
    <w:rPr>
      <w:rFonts w:ascii="Arial" w:hAnsi="Arial" w:eastAsia="黑体" w:cs="Times New Roman"/>
      <w:szCs w:val="20"/>
    </w:rPr>
  </w:style>
  <w:style w:type="character" w:styleId="1085" w:customStyle="1">
    <w:name w:val="页眉 字符"/>
    <w:basedOn w:val="1029"/>
    <w:link w:val="1049"/>
    <w:uiPriority w:val="99"/>
    <w:qFormat/>
    <w:rPr>
      <w:sz w:val="18"/>
      <w:szCs w:val="18"/>
    </w:rPr>
  </w:style>
  <w:style w:type="character" w:styleId="1086" w:customStyle="1">
    <w:name w:val="页脚 字符"/>
    <w:basedOn w:val="1029"/>
    <w:link w:val="1048"/>
    <w:uiPriority w:val="99"/>
    <w:qFormat/>
    <w:rPr>
      <w:rFonts w:asciiTheme="minorEastAsia" w:hAnsiTheme="minorEastAsia" w:eastAsiaTheme="minorEastAsia"/>
      <w:sz w:val="18"/>
      <w:szCs w:val="18"/>
    </w:rPr>
  </w:style>
  <w:style w:type="character" w:styleId="1087" w:customStyle="1">
    <w:name w:val="标题 2 Char"/>
    <w:basedOn w:val="1029"/>
    <w:uiPriority w:val="0"/>
    <w:qFormat/>
    <w:rPr>
      <w:rFonts w:asciiTheme="majorHAnsi" w:hAnsiTheme="majorHAnsi" w:eastAsiaTheme="majorEastAsia" w:cstheme="majorBidi"/>
      <w:b/>
      <w:bCs/>
      <w:sz w:val="32"/>
      <w:szCs w:val="32"/>
    </w:rPr>
  </w:style>
  <w:style w:type="character" w:styleId="1088" w:customStyle="1">
    <w:name w:val="标题 3 Char"/>
    <w:basedOn w:val="1029"/>
    <w:uiPriority w:val="0"/>
    <w:qFormat/>
    <w:rPr>
      <w:rFonts w:ascii="Times New Roman" w:hAnsi="Times New Roman" w:eastAsia="宋体" w:cs="Times New Roman"/>
      <w:b/>
      <w:bCs/>
      <w:sz w:val="32"/>
      <w:szCs w:val="32"/>
    </w:rPr>
  </w:style>
  <w:style w:type="character" w:styleId="1089" w:customStyle="1">
    <w:name w:val="文档结构图 字符"/>
    <w:basedOn w:val="1029"/>
    <w:link w:val="1034"/>
    <w:uiPriority w:val="0"/>
    <w:qFormat/>
    <w:rPr>
      <w:rFonts w:ascii="Times New Roman" w:hAnsi="Times New Roman" w:eastAsia="宋体" w:cs="Times New Roman"/>
      <w:szCs w:val="24"/>
      <w:shd w:val="clear" w:color="auto" w:fill="000080"/>
    </w:rPr>
  </w:style>
  <w:style w:type="character" w:styleId="1090" w:customStyle="1">
    <w:name w:val="批注文字 字符1"/>
    <w:link w:val="1035"/>
    <w:uiPriority w:val="99"/>
    <w:qFormat/>
    <w:rPr>
      <w:rFonts w:ascii="Times New Roman" w:hAnsi="Times New Roman" w:eastAsia="宋体" w:cs="Times New Roman"/>
      <w:szCs w:val="24"/>
    </w:rPr>
  </w:style>
  <w:style w:type="character" w:styleId="1091" w:customStyle="1">
    <w:name w:val="批注文字 Char"/>
    <w:basedOn w:val="1029"/>
    <w:uiPriority w:val="99"/>
    <w:qFormat/>
    <w:rPr>
      <w:rFonts w:ascii="Times New Roman" w:hAnsi="Times New Roman" w:eastAsia="宋体" w:cs="Times New Roman"/>
      <w:szCs w:val="24"/>
    </w:rPr>
  </w:style>
  <w:style w:type="character" w:styleId="1092" w:customStyle="1">
    <w:name w:val="正文文本 3 字符"/>
    <w:basedOn w:val="1029"/>
    <w:link w:val="1036"/>
    <w:uiPriority w:val="0"/>
    <w:qFormat/>
    <w:rPr>
      <w:rFonts w:ascii="Times New Roman" w:hAnsi="Times New Roman" w:eastAsia="宋体" w:cs="Times New Roman"/>
      <w:sz w:val="16"/>
      <w:szCs w:val="16"/>
    </w:rPr>
  </w:style>
  <w:style w:type="character" w:styleId="1093" w:customStyle="1">
    <w:name w:val="正文文本缩进 字符"/>
    <w:link w:val="1038"/>
    <w:uiPriority w:val="99"/>
    <w:qFormat/>
    <w:rPr>
      <w:rFonts w:ascii="Times New Roman" w:hAnsi="Times New Roman" w:eastAsia="宋体" w:cs="Times New Roman"/>
      <w:sz w:val="24"/>
      <w:szCs w:val="24"/>
    </w:rPr>
  </w:style>
  <w:style w:type="character" w:styleId="1094" w:customStyle="1">
    <w:name w:val="正文文本缩进 Char"/>
    <w:basedOn w:val="1029"/>
    <w:uiPriority w:val="0"/>
    <w:qFormat/>
    <w:rPr>
      <w:rFonts w:ascii="Times New Roman" w:hAnsi="Times New Roman" w:eastAsia="宋体" w:cs="Times New Roman"/>
      <w:szCs w:val="24"/>
    </w:rPr>
  </w:style>
  <w:style w:type="character" w:styleId="1095" w:customStyle="1">
    <w:name w:val="纯文本 字符2"/>
    <w:basedOn w:val="1029"/>
    <w:link w:val="1043"/>
    <w:uiPriority w:val="0"/>
    <w:qFormat/>
    <w:rPr>
      <w:rFonts w:ascii="宋体" w:hAnsi="Courier New" w:eastAsia="宋体" w:cs="Times New Roman"/>
      <w:szCs w:val="20"/>
    </w:rPr>
  </w:style>
  <w:style w:type="character" w:styleId="1096" w:customStyle="1">
    <w:name w:val="日期 字符"/>
    <w:basedOn w:val="1029"/>
    <w:link w:val="1045"/>
    <w:uiPriority w:val="0"/>
    <w:qFormat/>
    <w:rPr>
      <w:rFonts w:ascii="仿宋_GB2312" w:hAnsi="宋体" w:eastAsia="仿宋_GB2312" w:cs="Times New Roman"/>
      <w:color w:val="000000"/>
      <w:sz w:val="24"/>
      <w:szCs w:val="24"/>
    </w:rPr>
  </w:style>
  <w:style w:type="character" w:styleId="1097" w:customStyle="1">
    <w:name w:val="正文文本缩进 2 字符"/>
    <w:basedOn w:val="1029"/>
    <w:link w:val="1046"/>
    <w:uiPriority w:val="0"/>
    <w:qFormat/>
    <w:rPr>
      <w:rFonts w:ascii="仿宋_GB2312" w:hAnsi="Times New Roman" w:eastAsia="仿宋_GB2312" w:cs="Times New Roman"/>
      <w:sz w:val="24"/>
      <w:szCs w:val="24"/>
    </w:rPr>
  </w:style>
  <w:style w:type="character" w:styleId="1098" w:customStyle="1">
    <w:name w:val="批注框文本 字符"/>
    <w:basedOn w:val="1029"/>
    <w:link w:val="1047"/>
    <w:uiPriority w:val="0"/>
    <w:qFormat/>
    <w:rPr>
      <w:rFonts w:ascii="Times New Roman" w:hAnsi="Times New Roman" w:eastAsia="宋体" w:cs="Times New Roman"/>
      <w:sz w:val="18"/>
      <w:szCs w:val="18"/>
    </w:rPr>
  </w:style>
  <w:style w:type="character" w:styleId="1099" w:customStyle="1">
    <w:name w:val="正文文本缩进 3 字符"/>
    <w:basedOn w:val="1029"/>
    <w:link w:val="1053"/>
    <w:uiPriority w:val="0"/>
    <w:qFormat/>
    <w:rPr>
      <w:rFonts w:ascii="宋体" w:hAnsi="Times New Roman" w:eastAsia="宋体" w:cs="Times New Roman"/>
      <w:sz w:val="24"/>
      <w:szCs w:val="20"/>
    </w:rPr>
  </w:style>
  <w:style w:type="character" w:styleId="1100" w:customStyle="1">
    <w:name w:val="正文文本 2 字符"/>
    <w:basedOn w:val="1029"/>
    <w:link w:val="1056"/>
    <w:uiPriority w:val="0"/>
    <w:qFormat/>
    <w:rPr>
      <w:rFonts w:ascii="Times New Roman" w:hAnsi="Times New Roman" w:eastAsia="宋体" w:cs="Times New Roman"/>
      <w:szCs w:val="24"/>
    </w:rPr>
  </w:style>
  <w:style w:type="character" w:styleId="1101" w:customStyle="1">
    <w:name w:val="HTML 预设格式 字符"/>
    <w:basedOn w:val="1029"/>
    <w:link w:val="1057"/>
    <w:uiPriority w:val="0"/>
    <w:qFormat/>
    <w:rPr>
      <w:rFonts w:ascii="宋体" w:hAnsi="宋体" w:eastAsia="宋体" w:cs="Times New Roman"/>
      <w:sz w:val="24"/>
      <w:szCs w:val="24"/>
    </w:rPr>
  </w:style>
  <w:style w:type="character" w:styleId="1102" w:customStyle="1">
    <w:name w:val="标题 字符"/>
    <w:link w:val="1060"/>
    <w:uiPriority w:val="0"/>
    <w:qFormat/>
    <w:rPr>
      <w:rFonts w:ascii="Times New Roman" w:hAnsi="Times New Roman" w:eastAsia="宋体" w:cs="Times New Roman"/>
      <w:b/>
      <w:sz w:val="32"/>
      <w:szCs w:val="20"/>
    </w:rPr>
  </w:style>
  <w:style w:type="character" w:styleId="1103" w:customStyle="1">
    <w:name w:val="标题 Char"/>
    <w:basedOn w:val="1029"/>
    <w:uiPriority w:val="0"/>
    <w:qFormat/>
    <w:rPr>
      <w:rFonts w:eastAsia="宋体" w:asciiTheme="majorHAnsi" w:hAnsiTheme="majorHAnsi" w:cstheme="majorBidi"/>
      <w:b/>
      <w:bCs/>
      <w:sz w:val="32"/>
      <w:szCs w:val="32"/>
    </w:rPr>
  </w:style>
  <w:style w:type="character" w:styleId="1104" w:customStyle="1">
    <w:name w:val="批注主题 字符"/>
    <w:basedOn w:val="1091"/>
    <w:link w:val="1061"/>
    <w:uiPriority w:val="0"/>
    <w:qFormat/>
    <w:rPr>
      <w:rFonts w:ascii="Times New Roman" w:hAnsi="Times New Roman" w:eastAsia="宋体" w:cs="Times New Roman"/>
      <w:b/>
      <w:bCs/>
      <w:szCs w:val="24"/>
    </w:rPr>
  </w:style>
  <w:style w:type="character" w:styleId="1105" w:customStyle="1">
    <w:name w:val="正文文本首行缩进 字符"/>
    <w:basedOn w:val="1074"/>
    <w:link w:val="1062"/>
    <w:uiPriority w:val="99"/>
    <w:qFormat/>
    <w:rPr>
      <w:rFonts w:ascii="Times New Roman" w:hAnsi="Times New Roman" w:eastAsia="宋体" w:cs="Times New Roman"/>
      <w:sz w:val="24"/>
      <w:szCs w:val="24"/>
    </w:rPr>
  </w:style>
  <w:style w:type="character" w:styleId="1106" w:customStyle="1">
    <w:name w:val="正文文本首行缩进 2 字符"/>
    <w:basedOn w:val="1094"/>
    <w:link w:val="1063"/>
    <w:uiPriority w:val="0"/>
    <w:qFormat/>
    <w:rPr>
      <w:rFonts w:ascii="Times New Roman" w:hAnsi="Times New Roman" w:eastAsia="宋体" w:cs="Times New Roman"/>
      <w:sz w:val="24"/>
      <w:szCs w:val="24"/>
    </w:rPr>
  </w:style>
  <w:style w:type="character" w:styleId="1107" w:customStyle="1">
    <w:name w:val="页脚 Char1"/>
    <w:uiPriority w:val="99"/>
    <w:qFormat/>
    <w:rPr>
      <w:rFonts w:ascii="宋体" w:eastAsia="宋体"/>
      <w:sz w:val="18"/>
      <w:lang w:val="en-US" w:eastAsia="zh-CN" w:bidi="ar-SA"/>
    </w:rPr>
  </w:style>
  <w:style w:type="character" w:styleId="1108" w:customStyle="1">
    <w:name w:val="页眉 Char1"/>
    <w:uiPriority w:val="0"/>
    <w:qFormat/>
    <w:rPr>
      <w:rFonts w:eastAsia="宋体"/>
      <w:sz w:val="18"/>
      <w:szCs w:val="18"/>
      <w:lang w:val="en-US" w:eastAsia="zh-CN" w:bidi="ar-SA"/>
    </w:rPr>
  </w:style>
  <w:style w:type="character" w:styleId="1109" w:customStyle="1">
    <w:name w:val="批注文字 字符"/>
    <w:uiPriority w:val="99"/>
    <w:qFormat/>
    <w:rPr>
      <w:rFonts w:ascii="Times New Roman" w:hAnsi="Times New Roman" w:eastAsia="宋体" w:cs="Times New Roman"/>
      <w:sz w:val="24"/>
      <w:lang w:val="en-US" w:eastAsia="zh-CN" w:bidi="ar-SA"/>
    </w:rPr>
  </w:style>
  <w:style w:type="character" w:styleId="1110" w:customStyle="1">
    <w:name w:val="c21"/>
    <w:uiPriority w:val="0"/>
    <w:qFormat/>
    <w:rPr>
      <w:rFonts w:hint="default" w:ascii="ˎ̥" w:hAnsi="ˎ̥"/>
      <w:color w:val="000000"/>
      <w:sz w:val="20"/>
      <w:szCs w:val="20"/>
      <w:u w:val="none"/>
    </w:rPr>
  </w:style>
  <w:style w:type="character" w:styleId="1111" w:customStyle="1">
    <w:name w:val="title4"/>
    <w:uiPriority w:val="0"/>
    <w:qFormat/>
    <w:rPr>
      <w:b/>
      <w:bCs/>
      <w:color w:val="1d87b3"/>
      <w:sz w:val="15"/>
      <w:szCs w:val="15"/>
    </w:rPr>
  </w:style>
  <w:style w:type="character" w:styleId="1112" w:customStyle="1">
    <w:name w:val="标题 2 Char Char"/>
    <w:uiPriority w:val="0"/>
    <w:qFormat/>
    <w:rPr>
      <w:rFonts w:ascii="Arial" w:hAnsi="Arial" w:eastAsia="黑体"/>
      <w:b/>
      <w:bCs/>
      <w:sz w:val="32"/>
      <w:szCs w:val="32"/>
      <w:lang w:val="en-US" w:eastAsia="zh-CN" w:bidi="ar-SA"/>
    </w:rPr>
  </w:style>
  <w:style w:type="character" w:styleId="1113" w:customStyle="1">
    <w:name w:val="black1"/>
    <w:uiPriority w:val="0"/>
    <w:qFormat/>
    <w:rPr>
      <w:color w:val="000000"/>
    </w:rPr>
  </w:style>
  <w:style w:type="character" w:styleId="1114" w:customStyle="1">
    <w:name w:val="street-address"/>
    <w:uiPriority w:val="0"/>
    <w:qFormat/>
  </w:style>
  <w:style w:type="character" w:styleId="1115" w:customStyle="1">
    <w:name w:val="locality"/>
    <w:uiPriority w:val="0"/>
    <w:qFormat/>
  </w:style>
  <w:style w:type="character" w:styleId="1116" w:customStyle="1">
    <w:name w:val="正文文本缩进 Char1"/>
    <w:link w:val="1117"/>
    <w:uiPriority w:val="0"/>
    <w:qFormat/>
    <w:rPr>
      <w:rFonts w:ascii="宋体" w:hAnsi="宋体" w:eastAsia="宋体"/>
      <w:sz w:val="24"/>
      <w:szCs w:val="24"/>
    </w:rPr>
  </w:style>
  <w:style w:type="paragraph" w:styleId="1117" w:customStyle="1">
    <w:name w:val="正文文本缩进1"/>
    <w:basedOn w:val="1019"/>
    <w:link w:val="1116"/>
    <w:uiPriority w:val="0"/>
    <w:qFormat/>
    <w:pPr>
      <w:ind w:firstLine="480"/>
      <w:spacing w:line="480" w:lineRule="exact"/>
    </w:pPr>
    <w:rPr>
      <w:rFonts w:ascii="宋体" w:hAnsi="宋体" w:cstheme="minorBidi"/>
      <w:sz w:val="24"/>
    </w:rPr>
  </w:style>
  <w:style w:type="character" w:styleId="1118" w:customStyle="1">
    <w:name w:val="Char Char11"/>
    <w:uiPriority w:val="0"/>
    <w:qFormat/>
    <w:rPr>
      <w:rFonts w:ascii="宋体" w:eastAsia="宋体"/>
      <w:b/>
      <w:sz w:val="24"/>
      <w:u w:val="single"/>
      <w:lang w:val="en-US" w:eastAsia="zh-CN" w:bidi="ar-SA"/>
    </w:rPr>
  </w:style>
  <w:style w:type="character" w:styleId="1119" w:customStyle="1">
    <w:name w:val="txt"/>
    <w:uiPriority w:val="0"/>
    <w:qFormat/>
  </w:style>
  <w:style w:type="character" w:styleId="1120" w:customStyle="1">
    <w:name w:val="正文缩进 Char Char"/>
    <w:link w:val="1121"/>
    <w:uiPriority w:val="0"/>
    <w:qFormat/>
    <w:rPr>
      <w:rFonts w:ascii="宋体" w:eastAsia="宋体"/>
      <w:color w:val="000000"/>
      <w:sz w:val="28"/>
    </w:rPr>
  </w:style>
  <w:style w:type="paragraph" w:styleId="1121" w:customStyle="1">
    <w:name w:val="正文缩进1"/>
    <w:basedOn w:val="1019"/>
    <w:link w:val="1120"/>
    <w:uiPriority w:val="0"/>
    <w:qFormat/>
    <w:pPr>
      <w:ind w:firstLine="567"/>
      <w:spacing w:line="480" w:lineRule="exact"/>
      <w:widowControl/>
    </w:pPr>
    <w:rPr>
      <w:rFonts w:ascii="宋体" w:hAnsiTheme="minorHAnsi" w:cstheme="minorBidi"/>
      <w:color w:val="000000"/>
      <w:sz w:val="28"/>
      <w:szCs w:val="22"/>
    </w:rPr>
  </w:style>
  <w:style w:type="character" w:styleId="1122" w:customStyle="1">
    <w:name w:val="普通文字1 Char1"/>
    <w:uiPriority w:val="0"/>
    <w:qFormat/>
    <w:rPr>
      <w:rFonts w:ascii="宋体" w:hAnsi="Courier New" w:eastAsia="宋体"/>
      <w:sz w:val="21"/>
      <w:lang w:val="en-US" w:eastAsia="zh-CN" w:bidi="ar-SA"/>
    </w:rPr>
  </w:style>
  <w:style w:type="character" w:styleId="1123" w:customStyle="1">
    <w:name w:val="chanpin1"/>
    <w:uiPriority w:val="0"/>
    <w:qFormat/>
    <w:rPr>
      <w:rFonts w:hint="default" w:ascii="ˎ̥" w:hAnsi="ˎ̥"/>
      <w:color w:val="000000"/>
      <w:sz w:val="20"/>
      <w:szCs w:val="20"/>
      <w:u w:val="none"/>
    </w:rPr>
  </w:style>
  <w:style w:type="character" w:styleId="1124" w:customStyle="1">
    <w:name w:val="彩色列表 - 强调文字颜色 1 Char"/>
    <w:link w:val="1125"/>
    <w:uiPriority w:val="34"/>
    <w:qFormat/>
    <w:rPr>
      <w:rFonts w:ascii="Calibri" w:hAnsi="Calibri" w:eastAsia="宋体"/>
    </w:rPr>
  </w:style>
  <w:style w:type="paragraph" w:styleId="1125" w:customStyle="1">
    <w:name w:val="彩色列表 - 强调文字颜色 11"/>
    <w:basedOn w:val="1019"/>
    <w:link w:val="1124"/>
    <w:uiPriority w:val="34"/>
    <w:qFormat/>
    <w:pPr>
      <w:ind w:firstLine="420"/>
    </w:pPr>
    <w:rPr>
      <w:rFonts w:ascii="Calibri" w:hAnsi="Calibri" w:cstheme="minorBidi"/>
      <w:szCs w:val="22"/>
    </w:rPr>
  </w:style>
  <w:style w:type="character" w:styleId="1126" w:customStyle="1">
    <w:name w:val="标题 3 Char Char"/>
    <w:uiPriority w:val="0"/>
    <w:qFormat/>
    <w:rPr>
      <w:rFonts w:eastAsia="宋体"/>
      <w:b/>
      <w:bCs/>
      <w:sz w:val="32"/>
      <w:szCs w:val="32"/>
      <w:lang w:val="en-US" w:eastAsia="zh-CN" w:bidi="ar-SA"/>
    </w:rPr>
  </w:style>
  <w:style w:type="character" w:styleId="1127" w:customStyle="1">
    <w:name w:val="段1 Char"/>
    <w:uiPriority w:val="0"/>
    <w:qFormat/>
    <w:rPr>
      <w:rFonts w:ascii="宋体" w:eastAsia="宋体"/>
      <w:sz w:val="24"/>
      <w:lang w:val="en-US" w:eastAsia="zh-CN" w:bidi="ar-SA"/>
    </w:rPr>
  </w:style>
  <w:style w:type="character" w:styleId="1128" w:customStyle="1">
    <w:name w:val="chanpin拷贝"/>
    <w:uiPriority w:val="0"/>
    <w:qFormat/>
  </w:style>
  <w:style w:type="character" w:styleId="1129" w:customStyle="1">
    <w:name w:val="纯文本 Char1"/>
    <w:uiPriority w:val="0"/>
    <w:qFormat/>
    <w:rPr>
      <w:rFonts w:ascii="宋体" w:hAnsi="Courier New" w:eastAsia="宋体"/>
      <w:sz w:val="21"/>
      <w:lang w:val="en-US" w:eastAsia="zh-CN" w:bidi="ar-SA"/>
    </w:rPr>
  </w:style>
  <w:style w:type="character" w:styleId="1130" w:customStyle="1">
    <w:name w:val="apple-style-span"/>
    <w:uiPriority w:val="0"/>
    <w:qFormat/>
    <w:rPr>
      <w:rFonts w:cs="Times New Roman"/>
    </w:rPr>
  </w:style>
  <w:style w:type="paragraph" w:styleId="1131" w:customStyle="1">
    <w:name w:val="二级条标题"/>
    <w:basedOn w:val="1132"/>
    <w:next w:val="101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2" w:customStyle="1">
    <w:name w:val="一级条标题"/>
    <w:basedOn w:val="1133"/>
    <w:next w:val="1019"/>
    <w:uiPriority w:val="0"/>
    <w:qFormat/>
    <w:pPr>
      <w:numPr>
        <w:ilvl w:val="1"/>
      </w:numPr>
      <w:ind w:left="0" w:hanging="840"/>
      <w:tabs>
        <w:tab w:val="left" w:pos="360" w:leader="none"/>
        <w:tab w:val="left" w:pos="840" w:leader="none"/>
      </w:tabs>
      <w:outlineLvl w:val="1"/>
    </w:pPr>
  </w:style>
  <w:style w:type="paragraph" w:styleId="1133" w:customStyle="1">
    <w:name w:val="章标题"/>
    <w:next w:val="101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4" w:customStyle="1">
    <w:name w:val="font7"/>
    <w:basedOn w:val="1019"/>
    <w:uiPriority w:val="0"/>
    <w:qFormat/>
    <w:pPr>
      <w:jc w:val="left"/>
      <w:spacing w:before="100" w:beforeAutospacing="1" w:after="100" w:afterAutospacing="1"/>
      <w:widowControl/>
    </w:pPr>
    <w:rPr>
      <w:rFonts w:eastAsia="Arial Unicode MS"/>
      <w:b/>
      <w:bCs/>
      <w:color w:val="000000"/>
      <w:sz w:val="20"/>
      <w:szCs w:val="20"/>
    </w:rPr>
  </w:style>
  <w:style w:type="paragraph" w:styleId="1135" w:customStyle="1">
    <w:name w:val="字元 字元"/>
    <w:basedOn w:val="1019"/>
    <w:uiPriority w:val="0"/>
    <w:qFormat/>
    <w:rPr>
      <w:rFonts w:ascii="Tahoma" w:hAnsi="Tahoma"/>
      <w:sz w:val="24"/>
      <w:szCs w:val="20"/>
    </w:rPr>
  </w:style>
  <w:style w:type="paragraph" w:styleId="1136" w:customStyle="1">
    <w:name w:val="Char3 Char Char Char"/>
    <w:basedOn w:val="1019"/>
    <w:uiPriority w:val="0"/>
    <w:qFormat/>
    <w:rPr>
      <w:rFonts w:ascii="Tahoma" w:hAnsi="Tahoma"/>
      <w:sz w:val="24"/>
      <w:szCs w:val="20"/>
    </w:rPr>
  </w:style>
  <w:style w:type="paragraph" w:styleId="1137" w:customStyle="1">
    <w:name w:val="font6"/>
    <w:basedOn w:val="1019"/>
    <w:uiPriority w:val="0"/>
    <w:qFormat/>
    <w:pPr>
      <w:jc w:val="left"/>
      <w:spacing w:before="100" w:beforeAutospacing="1" w:after="100" w:afterAutospacing="1"/>
      <w:widowControl/>
    </w:pPr>
    <w:rPr>
      <w:rFonts w:ascii="宋体" w:hAnsi="宋体" w:cs="宋体"/>
      <w:sz w:val="20"/>
      <w:szCs w:val="20"/>
    </w:rPr>
  </w:style>
  <w:style w:type="paragraph" w:styleId="1138" w:customStyle="1">
    <w:name w:val="项目编号2"/>
    <w:basedOn w:val="1139"/>
    <w:uiPriority w:val="0"/>
    <w:qFormat/>
    <w:pPr>
      <w:numPr>
        <w:numId w:val="2"/>
      </w:numPr>
    </w:pPr>
  </w:style>
  <w:style w:type="paragraph" w:styleId="1139" w:customStyle="1">
    <w:name w:val="项目编号1"/>
    <w:basedOn w:val="1019"/>
    <w:uiPriority w:val="0"/>
    <w:qFormat/>
    <w:pPr>
      <w:numPr>
        <w:ilvl w:val="0"/>
        <w:numId w:val="3"/>
      </w:numPr>
      <w:spacing w:before="100" w:beforeAutospacing="1" w:after="100" w:afterAutospacing="1" w:line="360" w:lineRule="auto"/>
    </w:pPr>
    <w:rPr>
      <w:sz w:val="24"/>
    </w:rPr>
  </w:style>
  <w:style w:type="paragraph" w:styleId="1140" w:customStyle="1">
    <w:name w:val="图中文字"/>
    <w:basedOn w:val="1019"/>
    <w:uiPriority w:val="0"/>
    <w:qFormat/>
    <w:pPr>
      <w:jc w:val="center"/>
      <w:spacing w:line="0" w:lineRule="atLeast"/>
    </w:pPr>
    <w:rPr>
      <w:sz w:val="24"/>
      <w:szCs w:val="20"/>
    </w:rPr>
  </w:style>
  <w:style w:type="paragraph" w:styleId="1141" w:customStyle="1">
    <w:name w:val="xl46"/>
    <w:basedOn w:val="101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2" w:customStyle="1">
    <w:name w:val="xl2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3" w:customStyle="1">
    <w:name w:val="Char2"/>
    <w:basedOn w:val="1019"/>
    <w:uiPriority w:val="0"/>
    <w:qFormat/>
    <w:rPr>
      <w:rFonts w:ascii="Tahoma" w:hAnsi="Tahoma"/>
      <w:sz w:val="24"/>
      <w:szCs w:val="20"/>
    </w:rPr>
  </w:style>
  <w:style w:type="paragraph" w:styleId="1144" w:customStyle="1">
    <w:name w:val="xl35"/>
    <w:basedOn w:val="10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xl40"/>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6" w:customStyle="1">
    <w:name w:val="xl52"/>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7" w:customStyle="1">
    <w:name w:val="xl43"/>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8" w:customStyle="1">
    <w:name w:val="background1"/>
    <w:basedOn w:val="1019"/>
    <w:uiPriority w:val="0"/>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
    <w:basedOn w:val="1019"/>
    <w:uiPriority w:val="0"/>
    <w:qFormat/>
    <w:pPr>
      <w:ind w:firstLine="200"/>
      <w:spacing w:line="360" w:lineRule="auto"/>
    </w:pPr>
    <w:rPr>
      <w:rFonts w:eastAsia="仿宋_GB2312"/>
      <w:sz w:val="24"/>
    </w:rPr>
  </w:style>
  <w:style w:type="paragraph" w:styleId="1150" w:customStyle="1">
    <w:name w:val="xl38"/>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1" w:customStyle="1">
    <w:name w:val="xl36"/>
    <w:basedOn w:val="101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customStyle="1">
    <w:name w:val="正文 + 宋体"/>
    <w:basedOn w:val="1019"/>
    <w:uiPriority w:val="0"/>
    <w:qFormat/>
    <w:pPr>
      <w:ind w:left="360" w:hanging="360"/>
      <w:jc w:val="left"/>
      <w:widowControl/>
    </w:pPr>
    <w:rPr>
      <w:rFonts w:ascii="宋体" w:hAnsi="宋体" w:cs="宋体"/>
      <w:b/>
      <w:bCs/>
      <w:color w:val="000000"/>
      <w:sz w:val="18"/>
      <w:szCs w:val="18"/>
    </w:rPr>
  </w:style>
  <w:style w:type="paragraph" w:styleId="1153" w:customStyle="1">
    <w:name w:val="正文列项_数字"/>
    <w:basedOn w:val="101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customStyle="1">
    <w:name w:val="xl39"/>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5" w:customStyle="1">
    <w:name w:val="xl37"/>
    <w:basedOn w:val="10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xl32"/>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font8"/>
    <w:basedOn w:val="1019"/>
    <w:uiPriority w:val="0"/>
    <w:qFormat/>
    <w:pPr>
      <w:jc w:val="left"/>
      <w:spacing w:before="100" w:beforeAutospacing="1" w:after="100" w:afterAutospacing="1"/>
      <w:widowControl/>
    </w:pPr>
    <w:rPr>
      <w:sz w:val="36"/>
      <w:szCs w:val="36"/>
    </w:rPr>
  </w:style>
  <w:style w:type="paragraph" w:styleId="1158" w:customStyle="1">
    <w:name w:val="Char"/>
    <w:basedOn w:val="1019"/>
    <w:uiPriority w:val="0"/>
    <w:qFormat/>
    <w:pPr>
      <w:tabs>
        <w:tab w:val="left" w:pos="360" w:leader="none"/>
      </w:tabs>
    </w:pPr>
    <w:rPr>
      <w:sz w:val="24"/>
    </w:rPr>
  </w:style>
  <w:style w:type="paragraph" w:styleId="1159" w:customStyle="1">
    <w:name w:val="Char Char Char Char Char Char Char Char Char Char Char Char Char Char Char Char"/>
    <w:basedOn w:val="1019"/>
    <w:uiPriority w:val="0"/>
    <w:qFormat/>
    <w:pPr>
      <w:jc w:val="center"/>
      <w:spacing w:after="160" w:line="240" w:lineRule="exact"/>
      <w:widowControl/>
    </w:pPr>
    <w:rPr>
      <w:rFonts w:ascii="宋体" w:hAnsi="宋体"/>
      <w:b/>
      <w:sz w:val="30"/>
      <w:szCs w:val="30"/>
      <w:lang w:eastAsia="en-US"/>
    </w:rPr>
  </w:style>
  <w:style w:type="paragraph" w:styleId="1160" w:customStyle="1">
    <w:name w:val="xl45"/>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1" w:customStyle="1">
    <w:name w:val="Char Char1 Char Char Char Char Char Char"/>
    <w:basedOn w:val="1019"/>
    <w:uiPriority w:val="0"/>
    <w:qFormat/>
    <w:pPr>
      <w:jc w:val="left"/>
      <w:spacing w:after="160" w:line="240" w:lineRule="exact"/>
      <w:widowControl/>
    </w:pPr>
    <w:rPr>
      <w:rFonts w:ascii="Verdana" w:hAnsi="Verdana" w:eastAsia="仿宋_GB2312"/>
      <w:sz w:val="24"/>
      <w:szCs w:val="20"/>
      <w:lang w:eastAsia="en-US"/>
    </w:rPr>
  </w:style>
  <w:style w:type="paragraph" w:styleId="1162" w:customStyle="1">
    <w:name w:val="Char Char1"/>
    <w:basedOn w:val="1034"/>
    <w:uiPriority w:val="0"/>
    <w:qFormat/>
    <w:rPr>
      <w:rFonts w:ascii="Tahoma" w:hAnsi="Tahoma"/>
      <w:sz w:val="24"/>
    </w:rPr>
  </w:style>
  <w:style w:type="paragraph" w:styleId="1163" w:customStyle="1">
    <w:name w:val="xl26"/>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4" w:customStyle="1">
    <w:name w:val="xl30"/>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5" w:customStyle="1">
    <w:name w:val="xl41"/>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6" w:customStyle="1">
    <w:name w:val="样式 宋体 五号 行距: 单倍行距"/>
    <w:basedOn w:val="1019"/>
    <w:uiPriority w:val="0"/>
    <w:qFormat/>
    <w:pPr>
      <w:jc w:val="left"/>
    </w:pPr>
    <w:rPr>
      <w:rFonts w:ascii="宋体" w:hAnsi="宋体"/>
      <w:szCs w:val="20"/>
    </w:rPr>
  </w:style>
  <w:style w:type="paragraph" w:styleId="1167" w:customStyle="1">
    <w:name w:val="Char1 Char Char Char1"/>
    <w:basedOn w:val="1019"/>
    <w:uiPriority w:val="0"/>
    <w:qFormat/>
    <w:rPr>
      <w:rFonts w:ascii="Tahoma" w:hAnsi="Tahoma" w:cs="仿宋_GB2312"/>
      <w:sz w:val="24"/>
      <w:szCs w:val="28"/>
    </w:rPr>
  </w:style>
  <w:style w:type="paragraph" w:styleId="1168" w:customStyle="1">
    <w:name w:val="四级条标题"/>
    <w:basedOn w:val="1169"/>
    <w:next w:val="1019"/>
    <w:uiPriority w:val="0"/>
    <w:qFormat/>
    <w:pPr>
      <w:numPr>
        <w:ilvl w:val="4"/>
      </w:numPr>
      <w:ind w:left="0" w:hanging="840"/>
      <w:tabs>
        <w:tab w:val="left" w:pos="360" w:leader="none"/>
        <w:tab w:val="left" w:pos="840" w:leader="none"/>
      </w:tabs>
      <w:outlineLvl w:val="4"/>
    </w:pPr>
  </w:style>
  <w:style w:type="paragraph" w:styleId="1169" w:customStyle="1">
    <w:name w:val="三级条标题"/>
    <w:basedOn w:val="1131"/>
    <w:next w:val="1019"/>
    <w:uiPriority w:val="0"/>
    <w:qFormat/>
    <w:pPr>
      <w:numPr>
        <w:ilvl w:val="3"/>
        <w:numId w:val="1"/>
      </w:numPr>
      <w:ind w:left="0" w:hanging="840"/>
      <w:outlineLvl w:val="3"/>
    </w:pPr>
  </w:style>
  <w:style w:type="paragraph" w:styleId="117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1" w:customStyle="1">
    <w:name w:val="样式 标题 2 + 宋体 五号 行距: 单倍行距"/>
    <w:basedOn w:val="1021"/>
    <w:uiPriority w:val="0"/>
    <w:qFormat/>
    <w:pPr>
      <w:numPr>
        <w:ilvl w:val="1"/>
        <w:numId w:val="4"/>
      </w:numPr>
      <w:jc w:val="left"/>
      <w:spacing w:before="260" w:after="260" w:line="240" w:lineRule="auto"/>
    </w:pPr>
    <w:rPr>
      <w:rFonts w:ascii="宋体" w:hAnsi="宋体" w:eastAsia="宋体"/>
      <w:bCs/>
      <w:sz w:val="21"/>
    </w:rPr>
  </w:style>
  <w:style w:type="paragraph" w:styleId="1172" w:customStyle="1">
    <w:name w:val="List Paragraph1"/>
    <w:basedOn w:val="1019"/>
    <w:uiPriority w:val="0"/>
    <w:qFormat/>
    <w:pPr>
      <w:ind w:firstLine="420"/>
    </w:pPr>
    <w:rPr>
      <w:rFonts w:ascii="Calibri" w:hAnsi="Calibri"/>
      <w:szCs w:val="22"/>
    </w:rPr>
  </w:style>
  <w:style w:type="paragraph" w:styleId="1173" w:customStyle="1">
    <w:name w:val="项目符号1"/>
    <w:basedOn w:val="1174"/>
    <w:uiPriority w:val="0"/>
    <w:qFormat/>
    <w:pPr>
      <w:ind w:left="-25" w:firstLine="0"/>
    </w:pPr>
  </w:style>
  <w:style w:type="paragraph" w:styleId="1174" w:customStyle="1">
    <w:name w:val="正文文本样式"/>
    <w:basedOn w:val="1019"/>
    <w:uiPriority w:val="0"/>
    <w:qFormat/>
    <w:pPr>
      <w:ind w:firstLine="482"/>
      <w:spacing w:line="360" w:lineRule="auto"/>
    </w:pPr>
    <w:rPr>
      <w:rFonts w:cs="宋体"/>
      <w:sz w:val="24"/>
      <w:szCs w:val="20"/>
    </w:rPr>
  </w:style>
  <w:style w:type="paragraph" w:styleId="1175" w:customStyle="1">
    <w:name w:val="xl27"/>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6" w:customStyle="1">
    <w:name w:val="font5"/>
    <w:basedOn w:val="1019"/>
    <w:uiPriority w:val="0"/>
    <w:qFormat/>
    <w:pPr>
      <w:jc w:val="left"/>
      <w:spacing w:before="100" w:beforeAutospacing="1" w:after="100" w:afterAutospacing="1"/>
      <w:widowControl/>
    </w:pPr>
    <w:rPr>
      <w:rFonts w:ascii="宋体" w:hAnsi="宋体" w:cs="宋体"/>
      <w:sz w:val="18"/>
      <w:szCs w:val="18"/>
    </w:rPr>
  </w:style>
  <w:style w:type="paragraph" w:styleId="1177" w:customStyle="1">
    <w:name w:val="五级条标题"/>
    <w:basedOn w:val="1168"/>
    <w:next w:val="1019"/>
    <w:uiPriority w:val="0"/>
    <w:qFormat/>
    <w:pPr>
      <w:numPr>
        <w:ilvl w:val="5"/>
      </w:numPr>
      <w:ind w:left="0" w:hanging="840"/>
      <w:outlineLvl w:val="5"/>
    </w:pPr>
  </w:style>
  <w:style w:type="paragraph" w:styleId="1178" w:customStyle="1">
    <w:name w:val="xl49"/>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79" w:customStyle="1">
    <w:name w:val="文档正文"/>
    <w:basedOn w:val="1019"/>
    <w:uiPriority w:val="0"/>
    <w:qFormat/>
    <w:pPr>
      <w:spacing w:before="120" w:after="120" w:line="180" w:lineRule="auto"/>
    </w:pPr>
    <w:rPr>
      <w:rFonts w:ascii="Arial" w:hAnsi="Arial"/>
      <w:szCs w:val="20"/>
    </w:rPr>
  </w:style>
  <w:style w:type="paragraph" w:styleId="1180" w:customStyle="1">
    <w:name w:val="xl33"/>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1" w:customStyle="1">
    <w:name w:val="xl42"/>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2" w:customStyle="1">
    <w:name w:val="Char Char Char1 Char"/>
    <w:basedOn w:val="1019"/>
    <w:uiPriority w:val="0"/>
    <w:qFormat/>
    <w:rPr>
      <w:rFonts w:ascii="Tahoma" w:hAnsi="Tahoma"/>
      <w:sz w:val="24"/>
      <w:szCs w:val="20"/>
    </w:rPr>
  </w:style>
  <w:style w:type="paragraph" w:styleId="1183" w:customStyle="1">
    <w:name w:val="xl44"/>
    <w:basedOn w:val="101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4" w:customStyle="1">
    <w:name w:val="1名"/>
    <w:basedOn w:val="1019"/>
    <w:uiPriority w:val="0"/>
    <w:qFormat/>
    <w:pPr>
      <w:numPr>
        <w:ilvl w:val="0"/>
        <w:numId w:val="5"/>
      </w:numPr>
      <w:spacing w:before="120"/>
    </w:pPr>
    <w:rPr>
      <w:rFonts w:ascii="宋体"/>
      <w:sz w:val="28"/>
      <w:szCs w:val="20"/>
    </w:rPr>
  </w:style>
  <w:style w:type="paragraph" w:styleId="1185" w:customStyle="1">
    <w:name w:val="font9"/>
    <w:basedOn w:val="101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6" w:customStyle="1">
    <w:name w:val="Char Char Char1 Char1"/>
    <w:basedOn w:val="1019"/>
    <w:uiPriority w:val="0"/>
    <w:qFormat/>
    <w:rPr>
      <w:rFonts w:ascii="Tahoma" w:hAnsi="Tahoma"/>
      <w:sz w:val="24"/>
      <w:szCs w:val="20"/>
    </w:rPr>
  </w:style>
  <w:style w:type="paragraph" w:styleId="1187" w:customStyle="1">
    <w:name w:val="Char Char Char Char Char Char Char Char Char Char"/>
    <w:basedOn w:val="1019"/>
    <w:uiPriority w:val="0"/>
    <w:qFormat/>
  </w:style>
  <w:style w:type="paragraph" w:styleId="1188" w:customStyle="1">
    <w:name w:val="Char Char1 Char Char Char Char Char Char Char Char"/>
    <w:basedOn w:val="1019"/>
    <w:uiPriority w:val="0"/>
    <w:qFormat/>
    <w:pPr>
      <w:jc w:val="left"/>
      <w:spacing w:after="160" w:line="240" w:lineRule="exact"/>
      <w:widowControl/>
    </w:pPr>
    <w:rPr>
      <w:rFonts w:ascii="Verdana" w:hAnsi="Verdana"/>
      <w:sz w:val="20"/>
      <w:szCs w:val="20"/>
      <w:lang w:eastAsia="en-US"/>
    </w:rPr>
  </w:style>
  <w:style w:type="paragraph" w:styleId="1189" w:customStyle="1">
    <w:name w:val="Char1"/>
    <w:basedOn w:val="1019"/>
    <w:uiPriority w:val="0"/>
    <w:qFormat/>
    <w:pPr>
      <w:tabs>
        <w:tab w:val="left" w:pos="360" w:leader="none"/>
      </w:tabs>
    </w:pPr>
    <w:rPr>
      <w:sz w:val="24"/>
    </w:rPr>
  </w:style>
  <w:style w:type="paragraph" w:styleId="1190" w:customStyle="1">
    <w:name w:val="正文列项_字母"/>
    <w:basedOn w:val="101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customStyle="1">
    <w:name w:val="xl28"/>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2" w:customStyle="1">
    <w:name w:val="xl47"/>
    <w:basedOn w:val="101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3" w:customStyle="1">
    <w:name w:val="默认段落字体 Para Char Char Char Char"/>
    <w:basedOn w:val="1019"/>
    <w:uiPriority w:val="0"/>
    <w:qFormat/>
    <w:rPr>
      <w:rFonts w:ascii="Arial" w:hAnsi="Arial" w:cs="Arial"/>
      <w:szCs w:val="21"/>
    </w:rPr>
  </w:style>
  <w:style w:type="paragraph" w:styleId="1194" w:customStyle="1">
    <w:name w:val="xl48"/>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5" w:customStyle="1">
    <w:name w:val="xl31"/>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6" w:customStyle="1">
    <w:name w:val="xl53"/>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7" w:customStyle="1">
    <w:name w:val="Char Char Char"/>
    <w:basedOn w:val="1019"/>
    <w:uiPriority w:val="0"/>
    <w:qFormat/>
    <w:rPr>
      <w:rFonts w:ascii="Tahoma" w:hAnsi="Tahoma"/>
      <w:sz w:val="24"/>
      <w:szCs w:val="20"/>
    </w:rPr>
  </w:style>
  <w:style w:type="paragraph" w:styleId="1198" w:customStyle="1">
    <w:name w:val="xl50"/>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99" w:customStyle="1">
    <w:name w:val="缺省文本"/>
    <w:basedOn w:val="1019"/>
    <w:uiPriority w:val="0"/>
    <w:qFormat/>
    <w:pPr>
      <w:jc w:val="left"/>
    </w:pPr>
    <w:rPr>
      <w:sz w:val="24"/>
    </w:rPr>
  </w:style>
  <w:style w:type="paragraph" w:styleId="1200" w:customStyle="1">
    <w:name w:val="Char Char Char1"/>
    <w:basedOn w:val="1019"/>
    <w:uiPriority w:val="0"/>
    <w:qFormat/>
    <w:rPr>
      <w:rFonts w:ascii="Tahoma" w:hAnsi="Tahoma"/>
      <w:sz w:val="24"/>
      <w:szCs w:val="20"/>
    </w:rPr>
  </w:style>
  <w:style w:type="paragraph" w:styleId="1201" w:customStyle="1">
    <w:name w:val="Char Char Char Char Char Char Char1"/>
    <w:basedOn w:val="1019"/>
    <w:uiPriority w:val="0"/>
    <w:qFormat/>
    <w:pPr>
      <w:ind w:firstLine="200"/>
      <w:spacing w:line="360" w:lineRule="auto"/>
    </w:pPr>
    <w:rPr>
      <w:rFonts w:eastAsia="仿宋_GB2312"/>
      <w:sz w:val="24"/>
    </w:rPr>
  </w:style>
  <w:style w:type="paragraph" w:styleId="1202" w:customStyle="1">
    <w:name w:val="xl51"/>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样式2"/>
    <w:basedOn w:val="1059"/>
    <w:uiPriority w:val="0"/>
    <w:qFormat/>
    <w:pPr>
      <w:jc w:val="center"/>
      <w:spacing w:line="360" w:lineRule="auto"/>
    </w:pPr>
    <w:rPr>
      <w:sz w:val="24"/>
    </w:rPr>
  </w:style>
  <w:style w:type="paragraph" w:styleId="1204" w:customStyle="1">
    <w:name w:val="xl24"/>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xl29"/>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6" w:customStyle="1">
    <w:name w:val="正文 + 楷体_GB2312"/>
    <w:basedOn w:val="1019"/>
    <w:uiPriority w:val="0"/>
    <w:qFormat/>
    <w:pPr>
      <w:jc w:val="left"/>
      <w:widowControl/>
    </w:pPr>
    <w:rPr>
      <w:rFonts w:ascii="楷体_GB2312" w:eastAsia="楷体_GB2312" w:cs="Arial"/>
      <w:sz w:val="24"/>
    </w:rPr>
  </w:style>
  <w:style w:type="paragraph" w:styleId="1207" w:customStyle="1">
    <w:name w:val="xl3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08" w:customStyle="1">
    <w:name w:val="1 Char Char Char Char"/>
    <w:basedOn w:val="1019"/>
    <w:uiPriority w:val="0"/>
    <w:qFormat/>
    <w:rPr>
      <w:rFonts w:ascii="Tahoma" w:hAnsi="Tahoma"/>
      <w:sz w:val="24"/>
      <w:szCs w:val="20"/>
    </w:rPr>
  </w:style>
  <w:style w:type="paragraph" w:styleId="1209" w:customStyle="1">
    <w:name w:val="Default"/>
    <w:next w:val="1019"/>
    <w:uiPriority w:val="0"/>
    <w:qFormat/>
    <w:pPr>
      <w:widowControl w:val="off"/>
    </w:pPr>
    <w:rPr>
      <w:rFonts w:ascii="Symbol" w:hAnsi="Symbol" w:eastAsia="宋体" w:cs="Symbol"/>
      <w:color w:val="000000"/>
      <w:sz w:val="24"/>
      <w:szCs w:val="24"/>
      <w:lang w:val="en-US" w:eastAsia="zh-CN" w:bidi="ar-SA"/>
    </w:rPr>
  </w:style>
  <w:style w:type="paragraph" w:styleId="1210" w:customStyle="1">
    <w:name w:val="列出段落1"/>
    <w:basedOn w:val="1019"/>
    <w:uiPriority w:val="0"/>
    <w:qFormat/>
    <w:pPr>
      <w:ind w:firstLine="420"/>
    </w:pPr>
    <w:rPr>
      <w:rFonts w:ascii="Calibri" w:hAnsi="Calibri"/>
      <w:szCs w:val="22"/>
    </w:rPr>
  </w:style>
  <w:style w:type="paragraph" w:styleId="1211" w:customStyle="1">
    <w:name w:val="default"/>
    <w:basedOn w:val="1019"/>
    <w:uiPriority w:val="0"/>
    <w:qFormat/>
    <w:pPr>
      <w:jc w:val="left"/>
      <w:spacing w:before="100" w:beforeAutospacing="1" w:after="100" w:afterAutospacing="1"/>
      <w:widowControl/>
    </w:pPr>
    <w:rPr>
      <w:rFonts w:ascii="宋体" w:hAnsi="宋体" w:cs="宋体"/>
      <w:sz w:val="24"/>
    </w:rPr>
  </w:style>
  <w:style w:type="paragraph" w:styleId="1212" w:customStyle="1">
    <w:name w:val="字元 字元1"/>
    <w:basedOn w:val="1019"/>
    <w:uiPriority w:val="0"/>
    <w:qFormat/>
    <w:rPr>
      <w:rFonts w:ascii="Tahoma" w:hAnsi="Tahoma"/>
      <w:sz w:val="24"/>
      <w:szCs w:val="20"/>
    </w:rPr>
  </w:style>
  <w:style w:type="paragraph" w:styleId="1213" w:customStyle="1">
    <w:name w:val="_Style 160"/>
    <w:uiPriority w:val="0"/>
    <w:qFormat/>
    <w:rPr>
      <w:rFonts w:ascii="Times New Roman" w:hAnsi="Times New Roman" w:eastAsia="宋体" w:cs="Times New Roman"/>
      <w:sz w:val="21"/>
      <w:szCs w:val="24"/>
      <w:lang w:val="en-US" w:eastAsia="zh-CN" w:bidi="ar-SA"/>
    </w:rPr>
  </w:style>
  <w:style w:type="paragraph" w:styleId="1214" w:customStyle="1">
    <w:name w:val="项目编号3"/>
    <w:basedOn w:val="1174"/>
    <w:uiPriority w:val="0"/>
    <w:qFormat/>
    <w:pPr>
      <w:numPr>
        <w:ilvl w:val="0"/>
        <w:numId w:val="6"/>
      </w:numPr>
    </w:pPr>
  </w:style>
  <w:style w:type="paragraph" w:styleId="1215" w:customStyle="1">
    <w:name w:val="Char21"/>
    <w:basedOn w:val="1019"/>
    <w:uiPriority w:val="0"/>
    <w:qFormat/>
    <w:rPr>
      <w:rFonts w:ascii="Tahoma" w:hAnsi="Tahoma"/>
      <w:sz w:val="24"/>
      <w:szCs w:val="20"/>
    </w:rPr>
  </w:style>
  <w:style w:type="paragraph" w:styleId="1216" w:customStyle="1">
    <w:name w:val="表格文字"/>
    <w:basedOn w:val="1038"/>
    <w:uiPriority w:val="0"/>
    <w:qFormat/>
    <w:pPr>
      <w:ind w:firstLine="0"/>
      <w:spacing w:before="20" w:after="20" w:line="240" w:lineRule="auto"/>
    </w:pPr>
    <w:rPr>
      <w:rFonts w:ascii="Century Gothic" w:hAnsi="Century Gothic"/>
      <w:sz w:val="20"/>
      <w:szCs w:val="20"/>
    </w:rPr>
  </w:style>
  <w:style w:type="paragraph" w:styleId="1217" w:customStyle="1">
    <w:name w:val="Char Char Char Char Char Char Char Char Char Char1"/>
    <w:basedOn w:val="1019"/>
    <w:uiPriority w:val="0"/>
    <w:qFormat/>
    <w:rPr>
      <w:rFonts w:ascii="宋体" w:hAnsi="宋体" w:cs="Courier New"/>
      <w:sz w:val="32"/>
      <w:szCs w:val="32"/>
    </w:rPr>
  </w:style>
  <w:style w:type="paragraph" w:styleId="1218" w:customStyle="1">
    <w:name w:val="正文文本样式 加粗"/>
    <w:basedOn w:val="1174"/>
    <w:uiPriority w:val="0"/>
    <w:qFormat/>
    <w:rPr>
      <w:b/>
    </w:rPr>
  </w:style>
  <w:style w:type="paragraph" w:styleId="1219" w:customStyle="1">
    <w:name w:val="Char2 Char Char Char Char Char Char"/>
    <w:basedOn w:val="1019"/>
    <w:uiPriority w:val="0"/>
    <w:qFormat/>
    <w:pPr>
      <w:jc w:val="center"/>
      <w:spacing w:line="400" w:lineRule="exact"/>
      <w:widowControl/>
    </w:pPr>
  </w:style>
  <w:style w:type="paragraph" w:styleId="1220" w:customStyle="1">
    <w:name w:val="Char Char4"/>
    <w:basedOn w:val="1019"/>
    <w:uiPriority w:val="0"/>
    <w:qFormat/>
    <w:pPr>
      <w:jc w:val="center"/>
      <w:spacing w:line="400" w:lineRule="exact"/>
      <w:widowControl/>
    </w:pPr>
  </w:style>
  <w:style w:type="paragraph" w:styleId="1221" w:customStyle="1">
    <w:name w:val="Char3 Char Char Char1"/>
    <w:basedOn w:val="1019"/>
    <w:uiPriority w:val="0"/>
    <w:qFormat/>
    <w:rPr>
      <w:rFonts w:ascii="Tahoma" w:hAnsi="Tahoma"/>
      <w:sz w:val="24"/>
      <w:szCs w:val="20"/>
    </w:rPr>
  </w:style>
  <w:style w:type="paragraph" w:styleId="1222"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22222222222222"/>
    <w:basedOn w:val="1019"/>
    <w:uiPriority w:val="0"/>
    <w:qFormat/>
    <w:pPr>
      <w:ind w:firstLine="480"/>
      <w:jc w:val="left"/>
      <w:spacing w:line="360" w:lineRule="auto"/>
      <w:widowControl/>
    </w:pPr>
    <w:rPr>
      <w:color w:val="ff0000"/>
      <w:sz w:val="24"/>
      <w:szCs w:val="20"/>
    </w:rPr>
  </w:style>
  <w:style w:type="character" w:styleId="1224" w:customStyle="1">
    <w:name w:val="中等深浅网格 1 - 强调文字颜色 2 Char"/>
    <w:link w:val="1225"/>
    <w:uiPriority w:val="0"/>
    <w:qFormat/>
    <w:rPr>
      <w:szCs w:val="24"/>
      <w:lang w:val="zh-CN"/>
    </w:rPr>
  </w:style>
  <w:style w:type="paragraph" w:styleId="1225" w:customStyle="1">
    <w:name w:val="1"/>
    <w:link w:val="1224"/>
    <w:uiPriority w:val="0"/>
    <w:qFormat/>
    <w:rPr>
      <w:rFonts w:asciiTheme="minorHAnsi" w:hAnsiTheme="minorHAnsi" w:eastAsiaTheme="minorEastAsia" w:cstheme="minorBidi"/>
      <w:sz w:val="21"/>
      <w:szCs w:val="24"/>
      <w:lang w:val="zh-CN" w:eastAsia="zh-CN" w:bidi="ar-SA"/>
    </w:rPr>
  </w:style>
  <w:style w:type="paragraph" w:styleId="1226" w:customStyle="1">
    <w:name w:val="图文"/>
    <w:basedOn w:val="1019"/>
    <w:uiPriority w:val="0"/>
    <w:qFormat/>
    <w:pPr>
      <w:spacing w:after="50" w:line="360" w:lineRule="auto"/>
    </w:pPr>
    <w:rPr>
      <w:sz w:val="24"/>
    </w:rPr>
  </w:style>
  <w:style w:type="paragraph" w:styleId="1227" w:customStyle="1">
    <w:name w:val="xl23"/>
    <w:basedOn w:val="1019"/>
    <w:uiPriority w:val="0"/>
    <w:qFormat/>
    <w:pPr>
      <w:spacing w:before="100" w:beforeAutospacing="1" w:after="100" w:afterAutospacing="1" w:line="360" w:lineRule="auto"/>
      <w:widowControl/>
    </w:pPr>
    <w:rPr>
      <w:sz w:val="24"/>
      <w:szCs w:val="20"/>
    </w:rPr>
  </w:style>
  <w:style w:type="paragraph" w:styleId="1228" w:customStyle="1">
    <w:name w:val="正文表格"/>
    <w:basedOn w:val="1019"/>
    <w:link w:val="1229"/>
    <w:uiPriority w:val="0"/>
    <w:qFormat/>
    <w:pPr>
      <w:jc w:val="left"/>
    </w:pPr>
    <w:rPr>
      <w:rFonts w:ascii="宋体" w:hAnsi="宋体"/>
      <w:color w:val="000000"/>
      <w:szCs w:val="21"/>
    </w:rPr>
  </w:style>
  <w:style w:type="character" w:styleId="1229" w:customStyle="1">
    <w:name w:val="正文表格 Char"/>
    <w:link w:val="1228"/>
    <w:uiPriority w:val="0"/>
    <w:qFormat/>
    <w:rPr>
      <w:rFonts w:ascii="宋体" w:hAnsi="宋体" w:eastAsia="宋体" w:cs="Times New Roman"/>
      <w:color w:val="000000"/>
      <w:szCs w:val="21"/>
    </w:rPr>
  </w:style>
  <w:style w:type="paragraph" w:styleId="1230" w:customStyle="1">
    <w:name w:val="正文重点"/>
    <w:basedOn w:val="1019"/>
    <w:link w:val="1231"/>
    <w:uiPriority w:val="0"/>
    <w:qFormat/>
    <w:pPr>
      <w:ind w:firstLine="482"/>
      <w:jc w:val="left"/>
      <w:spacing w:line="360" w:lineRule="auto"/>
    </w:pPr>
    <w:rPr>
      <w:b/>
      <w:sz w:val="24"/>
      <w:szCs w:val="20"/>
    </w:rPr>
  </w:style>
  <w:style w:type="character" w:styleId="1231" w:customStyle="1">
    <w:name w:val="正文重点 Char"/>
    <w:link w:val="1230"/>
    <w:uiPriority w:val="0"/>
    <w:qFormat/>
    <w:rPr>
      <w:rFonts w:ascii="Times New Roman" w:hAnsi="Times New Roman" w:eastAsia="宋体" w:cs="Times New Roman"/>
      <w:b/>
      <w:sz w:val="24"/>
      <w:szCs w:val="20"/>
    </w:rPr>
  </w:style>
  <w:style w:type="paragraph" w:styleId="1232" w:customStyle="1">
    <w:name w:val="标题1-附件"/>
    <w:basedOn w:val="1020"/>
    <w:uiPriority w:val="0"/>
    <w:qFormat/>
    <w:pPr>
      <w:jc w:val="left"/>
    </w:pPr>
    <w:rPr>
      <w:sz w:val="24"/>
      <w:szCs w:val="24"/>
    </w:rPr>
  </w:style>
  <w:style w:type="paragraph" w:styleId="1233" w:customStyle="1">
    <w:name w:val="正文小标题"/>
    <w:basedOn w:val="1019"/>
    <w:next w:val="1031"/>
    <w:link w:val="1234"/>
    <w:uiPriority w:val="0"/>
    <w:qFormat/>
    <w:pPr>
      <w:ind w:firstLine="482"/>
      <w:jc w:val="left"/>
      <w:spacing w:before="312" w:after="312"/>
    </w:pPr>
    <w:rPr>
      <w:rFonts w:ascii="宋体" w:hAnsi="宋体"/>
      <w:b/>
      <w:i/>
      <w:color w:val="ff0000"/>
      <w:sz w:val="24"/>
      <w:szCs w:val="20"/>
    </w:rPr>
  </w:style>
  <w:style w:type="character" w:styleId="1234" w:customStyle="1">
    <w:name w:val="正文小标题 Char"/>
    <w:link w:val="1233"/>
    <w:uiPriority w:val="0"/>
    <w:qFormat/>
    <w:rPr>
      <w:rFonts w:ascii="宋体" w:hAnsi="宋体" w:eastAsia="宋体" w:cs="Times New Roman"/>
      <w:b/>
      <w:i/>
      <w:color w:val="ff0000"/>
      <w:sz w:val="24"/>
      <w:szCs w:val="20"/>
    </w:rPr>
  </w:style>
  <w:style w:type="paragraph" w:styleId="1235" w:customStyle="1">
    <w:name w:val="正文大标题"/>
    <w:basedOn w:val="1233"/>
    <w:next w:val="1031"/>
    <w:link w:val="1236"/>
    <w:uiPriority w:val="0"/>
    <w:qFormat/>
    <w:pPr>
      <w:jc w:val="center"/>
    </w:pPr>
    <w:rPr>
      <w:i w:val="0"/>
      <w:color w:val="000000"/>
      <w:sz w:val="28"/>
      <w:szCs w:val="21"/>
    </w:rPr>
  </w:style>
  <w:style w:type="character" w:styleId="1236" w:customStyle="1">
    <w:name w:val="正文大标题 Char"/>
    <w:link w:val="1235"/>
    <w:uiPriority w:val="0"/>
    <w:qFormat/>
    <w:rPr>
      <w:rFonts w:ascii="宋体" w:hAnsi="宋体" w:eastAsia="宋体" w:cs="Times New Roman"/>
      <w:b/>
      <w:color w:val="000000"/>
      <w:sz w:val="28"/>
      <w:szCs w:val="21"/>
    </w:rPr>
  </w:style>
  <w:style w:type="paragraph" w:styleId="1237" w:customStyle="1">
    <w:name w:val="注释"/>
    <w:basedOn w:val="1019"/>
    <w:link w:val="1238"/>
    <w:uiPriority w:val="0"/>
    <w:qFormat/>
    <w:pPr>
      <w:ind w:left="420" w:hanging="420"/>
      <w:jc w:val="left"/>
    </w:pPr>
    <w:rPr>
      <w:rFonts w:ascii="宋体" w:hAnsi="宋体"/>
      <w:szCs w:val="21"/>
    </w:rPr>
  </w:style>
  <w:style w:type="character" w:styleId="1238" w:customStyle="1">
    <w:name w:val="注释 Char"/>
    <w:link w:val="1237"/>
    <w:uiPriority w:val="0"/>
    <w:qFormat/>
    <w:rPr>
      <w:rFonts w:ascii="宋体" w:hAnsi="宋体" w:eastAsia="宋体" w:cs="Times New Roman"/>
      <w:szCs w:val="21"/>
    </w:rPr>
  </w:style>
  <w:style w:type="paragraph" w:styleId="1239" w:customStyle="1">
    <w:name w:val="正文须知-1级"/>
    <w:basedOn w:val="1019"/>
    <w:next w:val="1019"/>
    <w:uiPriority w:val="0"/>
    <w:qFormat/>
    <w:pPr>
      <w:ind w:left="680" w:hanging="680"/>
      <w:spacing w:line="300" w:lineRule="auto"/>
    </w:pPr>
    <w:rPr>
      <w:rFonts w:ascii="宋体" w:hAnsi="Calibri"/>
      <w:sz w:val="24"/>
      <w:szCs w:val="21"/>
    </w:rPr>
  </w:style>
  <w:style w:type="paragraph" w:styleId="1240" w:customStyle="1">
    <w:name w:val="正文须知-2级"/>
    <w:basedOn w:val="1019"/>
    <w:uiPriority w:val="0"/>
    <w:qFormat/>
    <w:pPr>
      <w:ind w:left="851" w:hanging="851"/>
      <w:spacing w:line="300" w:lineRule="auto"/>
    </w:pPr>
    <w:rPr>
      <w:rFonts w:ascii="宋体" w:hAnsi="Calibri"/>
      <w:sz w:val="24"/>
      <w:szCs w:val="21"/>
    </w:rPr>
  </w:style>
  <w:style w:type="paragraph" w:styleId="1241" w:customStyle="1">
    <w:name w:val="正文须知-3级"/>
    <w:basedOn w:val="1019"/>
    <w:uiPriority w:val="0"/>
    <w:qFormat/>
    <w:pPr>
      <w:numPr>
        <w:ilvl w:val="2"/>
        <w:numId w:val="7"/>
      </w:numPr>
      <w:ind w:hanging="355"/>
      <w:spacing w:line="300" w:lineRule="auto"/>
    </w:pPr>
    <w:rPr>
      <w:rFonts w:ascii="宋体" w:hAnsi="Calibri"/>
      <w:sz w:val="24"/>
      <w:szCs w:val="21"/>
    </w:rPr>
  </w:style>
  <w:style w:type="character" w:styleId="1242" w:customStyle="1">
    <w:name w:val="纯文本 字符"/>
    <w:uiPriority w:val="99"/>
    <w:qFormat/>
    <w:rPr>
      <w:rFonts w:ascii="宋体" w:hAnsi="Courier New" w:eastAsia="宋体" w:cs="Times New Roman"/>
      <w:sz w:val="21"/>
      <w:szCs w:val="21"/>
      <w:lang w:val="en-US" w:eastAsia="zh-CN" w:bidi="ar-SA"/>
    </w:rPr>
  </w:style>
  <w:style w:type="paragraph" w:styleId="1243" w:customStyle="1">
    <w:name w:val="表格1"/>
    <w:basedOn w:val="1019"/>
    <w:uiPriority w:val="0"/>
    <w:qFormat/>
    <w:pPr>
      <w:ind w:firstLine="480"/>
      <w:jc w:val="center"/>
    </w:pPr>
    <w:rPr>
      <w:sz w:val="24"/>
      <w:szCs w:val="20"/>
    </w:rPr>
  </w:style>
  <w:style w:type="character" w:styleId="1244" w:customStyle="1">
    <w:name w:val="纯文本 字符1"/>
    <w:uiPriority w:val="0"/>
    <w:qFormat/>
    <w:rPr>
      <w:rFonts w:ascii="宋体" w:hAnsi="Courier New"/>
    </w:rPr>
  </w:style>
  <w:style w:type="character" w:styleId="1245" w:customStyle="1">
    <w:name w:val="bjh-p"/>
    <w:uiPriority w:val="0"/>
    <w:qFormat/>
  </w:style>
  <w:style w:type="paragraph" w:styleId="1246" w:customStyle="1">
    <w:name w:val="无标题条"/>
    <w:next w:val="1019"/>
    <w:uiPriority w:val="0"/>
    <w:qFormat/>
    <w:pPr>
      <w:jc w:val="both"/>
    </w:pPr>
    <w:rPr>
      <w:rFonts w:ascii="Times New Roman" w:hAnsi="Times New Roman" w:eastAsia="宋体" w:cs="Times New Roman"/>
      <w:sz w:val="21"/>
      <w:lang w:val="en-US" w:eastAsia="zh-CN" w:bidi="ar-SA"/>
    </w:rPr>
  </w:style>
  <w:style w:type="character" w:styleId="1247" w:customStyle="1">
    <w:name w:val="正文格式 Char"/>
    <w:link w:val="1248"/>
    <w:uiPriority w:val="0"/>
    <w:qFormat/>
    <w:rPr>
      <w:rFonts w:ascii="宋体" w:hAnsi="宋体"/>
      <w:sz w:val="24"/>
      <w:szCs w:val="24"/>
      <w:lang w:val="en-GB"/>
    </w:rPr>
  </w:style>
  <w:style w:type="paragraph" w:styleId="1248" w:customStyle="1">
    <w:name w:val="正文格式"/>
    <w:basedOn w:val="1019"/>
    <w:link w:val="1247"/>
    <w:uiPriority w:val="0"/>
    <w:qFormat/>
    <w:pPr>
      <w:ind w:firstLine="480"/>
      <w:spacing w:line="360" w:lineRule="auto"/>
    </w:pPr>
    <w:rPr>
      <w:rFonts w:ascii="宋体" w:hAnsi="宋体" w:eastAsiaTheme="minorEastAsia" w:cstheme="minorBidi"/>
      <w:sz w:val="24"/>
      <w:lang w:val="en-GB"/>
    </w:rPr>
  </w:style>
  <w:style w:type="character" w:styleId="1249" w:customStyle="1">
    <w:name w:val="正文缩进 Char"/>
    <w:uiPriority w:val="0"/>
    <w:qFormat/>
    <w:rPr>
      <w:rFonts w:ascii="宋体" w:eastAsia="宋体"/>
      <w:sz w:val="24"/>
      <w:szCs w:val="24"/>
      <w:lang w:val="en-US" w:eastAsia="zh-CN" w:bidi="ar-SA"/>
    </w:rPr>
  </w:style>
  <w:style w:type="character" w:styleId="1250" w:customStyle="1">
    <w:name w:val="Char Char111"/>
    <w:uiPriority w:val="0"/>
    <w:qFormat/>
    <w:rPr>
      <w:rFonts w:ascii="宋体" w:eastAsia="宋体"/>
      <w:b/>
      <w:sz w:val="24"/>
      <w:u w:val="single"/>
      <w:lang w:val="en-US" w:eastAsia="zh-CN" w:bidi="ar-SA"/>
    </w:rPr>
  </w:style>
  <w:style w:type="character" w:styleId="1251" w:customStyle="1">
    <w:name w:val="列出段落 Char"/>
    <w:uiPriority w:val="0"/>
    <w:qFormat/>
    <w:rPr>
      <w:rFonts w:ascii="Calibri" w:hAnsi="Calibri" w:eastAsia="宋体"/>
      <w:sz w:val="21"/>
      <w:szCs w:val="22"/>
      <w:lang w:val="en-US" w:eastAsia="zh-CN" w:bidi="ar-SA"/>
    </w:rPr>
  </w:style>
  <w:style w:type="paragraph" w:styleId="1252" w:customStyle="1">
    <w:name w:val="字元 字元2"/>
    <w:basedOn w:val="1019"/>
    <w:uiPriority w:val="0"/>
    <w:qFormat/>
    <w:rPr>
      <w:rFonts w:ascii="Tahoma" w:hAnsi="Tahoma"/>
      <w:sz w:val="24"/>
      <w:szCs w:val="20"/>
    </w:rPr>
  </w:style>
  <w:style w:type="paragraph" w:styleId="1253" w:customStyle="1">
    <w:name w:val="Char3 Char Char Char2"/>
    <w:basedOn w:val="1019"/>
    <w:uiPriority w:val="0"/>
    <w:qFormat/>
    <w:rPr>
      <w:rFonts w:ascii="Tahoma" w:hAnsi="Tahoma"/>
      <w:sz w:val="24"/>
      <w:szCs w:val="20"/>
    </w:rPr>
  </w:style>
  <w:style w:type="paragraph" w:styleId="1254" w:customStyle="1">
    <w:name w:val="正文文本缩进2"/>
    <w:basedOn w:val="1019"/>
    <w:uiPriority w:val="0"/>
    <w:qFormat/>
    <w:pPr>
      <w:ind w:firstLine="480"/>
      <w:spacing w:line="480" w:lineRule="exact"/>
    </w:pPr>
    <w:rPr>
      <w:rFonts w:ascii="宋体" w:hAnsi="宋体"/>
      <w:sz w:val="24"/>
      <w:lang w:val="zh-CN"/>
    </w:rPr>
  </w:style>
  <w:style w:type="paragraph" w:styleId="1255" w:customStyle="1">
    <w:name w:val="Char3"/>
    <w:basedOn w:val="1019"/>
    <w:uiPriority w:val="0"/>
    <w:qFormat/>
    <w:pPr>
      <w:tabs>
        <w:tab w:val="left" w:pos="360" w:leader="none"/>
      </w:tabs>
    </w:pPr>
    <w:rPr>
      <w:sz w:val="24"/>
    </w:rPr>
  </w:style>
  <w:style w:type="paragraph" w:styleId="1256" w:customStyle="1">
    <w:name w:val="Char Char Char Char Char Char Char Char Char Char Char Char Char Char Char Char1"/>
    <w:basedOn w:val="1019"/>
    <w:uiPriority w:val="0"/>
    <w:qFormat/>
    <w:pPr>
      <w:jc w:val="center"/>
      <w:spacing w:after="160" w:line="240" w:lineRule="exact"/>
      <w:widowControl/>
    </w:pPr>
    <w:rPr>
      <w:rFonts w:ascii="宋体" w:hAnsi="宋体"/>
      <w:b/>
      <w:sz w:val="30"/>
      <w:szCs w:val="30"/>
      <w:lang w:eastAsia="en-US"/>
    </w:rPr>
  </w:style>
  <w:style w:type="paragraph" w:styleId="1257" w:customStyle="1">
    <w:name w:val="Char Char1 Char Char Char Char Char Char1"/>
    <w:basedOn w:val="1019"/>
    <w:uiPriority w:val="0"/>
    <w:qFormat/>
    <w:pPr>
      <w:jc w:val="left"/>
      <w:spacing w:after="160" w:line="240" w:lineRule="exact"/>
      <w:widowControl/>
    </w:pPr>
    <w:rPr>
      <w:rFonts w:ascii="Verdana" w:hAnsi="Verdana" w:eastAsia="仿宋_GB2312"/>
      <w:sz w:val="24"/>
      <w:szCs w:val="20"/>
      <w:lang w:eastAsia="en-US"/>
    </w:rPr>
  </w:style>
  <w:style w:type="paragraph" w:styleId="1258" w:customStyle="1">
    <w:name w:val="列出段落2"/>
    <w:basedOn w:val="1019"/>
    <w:uiPriority w:val="34"/>
    <w:qFormat/>
    <w:pPr>
      <w:ind w:firstLine="420"/>
    </w:pPr>
    <w:rPr>
      <w:rFonts w:ascii="Calibri" w:hAnsi="Calibri"/>
      <w:szCs w:val="22"/>
    </w:rPr>
  </w:style>
  <w:style w:type="paragraph" w:styleId="1259" w:customStyle="1">
    <w:name w:val="Char Char Char1 Char2"/>
    <w:basedOn w:val="1019"/>
    <w:uiPriority w:val="0"/>
    <w:qFormat/>
    <w:rPr>
      <w:rFonts w:ascii="Tahoma" w:hAnsi="Tahoma"/>
      <w:sz w:val="24"/>
      <w:szCs w:val="20"/>
    </w:rPr>
  </w:style>
  <w:style w:type="paragraph" w:styleId="1260" w:customStyle="1">
    <w:name w:val="Char Char Char2"/>
    <w:basedOn w:val="1019"/>
    <w:uiPriority w:val="0"/>
    <w:qFormat/>
    <w:rPr>
      <w:rFonts w:ascii="Tahoma" w:hAnsi="Tahoma"/>
      <w:sz w:val="24"/>
      <w:szCs w:val="20"/>
    </w:rPr>
  </w:style>
  <w:style w:type="paragraph" w:styleId="1261" w:customStyle="1">
    <w:name w:val="Char Char Char Char Char Char Char2"/>
    <w:basedOn w:val="1019"/>
    <w:uiPriority w:val="0"/>
    <w:qFormat/>
    <w:pPr>
      <w:ind w:firstLine="200"/>
      <w:spacing w:line="360" w:lineRule="auto"/>
    </w:pPr>
    <w:rPr>
      <w:rFonts w:eastAsia="仿宋_GB2312"/>
      <w:sz w:val="24"/>
    </w:rPr>
  </w:style>
  <w:style w:type="paragraph" w:styleId="1262" w:customStyle="1">
    <w:name w:val="正文缩进2"/>
    <w:basedOn w:val="1019"/>
    <w:uiPriority w:val="0"/>
    <w:qFormat/>
    <w:pPr>
      <w:ind w:firstLine="567"/>
      <w:spacing w:line="480" w:lineRule="exact"/>
      <w:widowControl/>
    </w:pPr>
    <w:rPr>
      <w:rFonts w:ascii="宋体"/>
      <w:color w:val="000000"/>
      <w:sz w:val="28"/>
      <w:szCs w:val="20"/>
      <w:lang w:val="zh-CN"/>
    </w:rPr>
  </w:style>
  <w:style w:type="paragraph" w:styleId="1263" w:customStyle="1">
    <w:name w:val="修订1"/>
    <w:uiPriority w:val="0"/>
    <w:qFormat/>
    <w:rPr>
      <w:rFonts w:ascii="Times New Roman" w:hAnsi="Times New Roman" w:eastAsia="宋体" w:cs="Times New Roman"/>
      <w:sz w:val="21"/>
      <w:szCs w:val="24"/>
      <w:lang w:val="en-US" w:eastAsia="zh-CN" w:bidi="ar-SA"/>
    </w:rPr>
  </w:style>
  <w:style w:type="paragraph" w:styleId="1264" w:customStyle="1">
    <w:name w:val="Char22"/>
    <w:basedOn w:val="1019"/>
    <w:uiPriority w:val="0"/>
    <w:qFormat/>
    <w:rPr>
      <w:rFonts w:ascii="Tahoma" w:hAnsi="Tahoma"/>
      <w:sz w:val="24"/>
      <w:szCs w:val="20"/>
    </w:rPr>
  </w:style>
  <w:style w:type="paragraph" w:styleId="1265" w:customStyle="1">
    <w:name w:val="Char Char Char Char Char Char Char Char Char Char2"/>
    <w:basedOn w:val="1019"/>
    <w:uiPriority w:val="0"/>
    <w:qFormat/>
    <w:rPr>
      <w:rFonts w:ascii="宋体" w:hAnsi="宋体" w:cs="Courier New"/>
      <w:sz w:val="32"/>
      <w:szCs w:val="32"/>
    </w:rPr>
  </w:style>
  <w:style w:type="paragraph" w:styleId="1266" w:customStyle="1">
    <w:name w:val="Char2 Char Char Char Char Char Char1"/>
    <w:basedOn w:val="1019"/>
    <w:uiPriority w:val="0"/>
    <w:qFormat/>
    <w:pPr>
      <w:jc w:val="center"/>
      <w:spacing w:line="400" w:lineRule="exact"/>
      <w:widowControl/>
    </w:pPr>
  </w:style>
  <w:style w:type="paragraph" w:styleId="1267" w:customStyle="1">
    <w:name w:val="Char Char41"/>
    <w:basedOn w:val="1019"/>
    <w:uiPriority w:val="0"/>
    <w:qFormat/>
    <w:pPr>
      <w:jc w:val="center"/>
      <w:spacing w:line="400" w:lineRule="exact"/>
      <w:widowControl/>
    </w:pPr>
  </w:style>
  <w:style w:type="paragraph" w:styleId="1268" w:customStyle="1">
    <w:name w:val="图例"/>
    <w:basedOn w:val="1019"/>
    <w:uiPriority w:val="0"/>
    <w:qFormat/>
    <w:pPr>
      <w:jc w:val="center"/>
      <w:spacing w:before="120" w:after="120" w:line="360" w:lineRule="auto"/>
    </w:pPr>
    <w:rPr>
      <w:rFonts w:eastAsia="仿宋_GB2312"/>
      <w:b/>
      <w:sz w:val="24"/>
      <w:szCs w:val="20"/>
    </w:rPr>
  </w:style>
  <w:style w:type="paragraph" w:styleId="1269" w:customStyle="1">
    <w:name w:val="Table Paragraph"/>
    <w:basedOn w:val="1019"/>
    <w:uiPriority w:val="1"/>
    <w:qFormat/>
    <w:pPr>
      <w:jc w:val="left"/>
      <w:spacing w:line="360" w:lineRule="auto"/>
    </w:pPr>
    <w:rPr>
      <w:rFonts w:cs="宋体" w:asciiTheme="minorEastAsia" w:hAnsiTheme="minorEastAsia" w:eastAsiaTheme="minorEastAsia"/>
      <w:szCs w:val="21"/>
    </w:rPr>
  </w:style>
  <w:style w:type="paragraph" w:styleId="1270" w:customStyle="1">
    <w:name w:val="成文日期"/>
    <w:basedOn w:val="1019"/>
    <w:link w:val="1271"/>
    <w:uiPriority w:val="0"/>
    <w:qFormat/>
    <w:pPr>
      <w:ind w:right="400" w:firstLine="200"/>
      <w:jc w:val="right"/>
      <w:spacing w:line="570" w:lineRule="exact"/>
    </w:pPr>
    <w:rPr>
      <w:rFonts w:ascii="仿宋_GB2312" w:eastAsia="仿宋_GB2312"/>
      <w:sz w:val="32"/>
      <w:szCs w:val="20"/>
    </w:rPr>
  </w:style>
  <w:style w:type="character" w:styleId="1271" w:customStyle="1">
    <w:name w:val="成文日期 Char"/>
    <w:link w:val="1270"/>
    <w:uiPriority w:val="0"/>
    <w:qFormat/>
    <w:rPr>
      <w:rFonts w:ascii="仿宋_GB2312" w:hAnsi="Times New Roman" w:eastAsia="仿宋_GB2312" w:cs="Times New Roman"/>
      <w:sz w:val="32"/>
      <w:szCs w:val="20"/>
    </w:rPr>
  </w:style>
  <w:style w:type="paragraph" w:styleId="1272" w:customStyle="1">
    <w:name w:val="段"/>
    <w:next w:val="1019"/>
    <w:uiPriority w:val="0"/>
    <w:qFormat/>
    <w:pPr>
      <w:ind w:firstLine="200"/>
      <w:jc w:val="both"/>
    </w:pPr>
    <w:rPr>
      <w:rFonts w:ascii="宋体" w:hAnsi="Calibri" w:eastAsia="宋体" w:cs="Times New Roman"/>
      <w:sz w:val="21"/>
      <w:lang w:val="en-US" w:eastAsia="zh-CN" w:bidi="ar-SA"/>
    </w:rPr>
  </w:style>
  <w:style w:type="paragraph" w:styleId="1273" w:customStyle="1">
    <w:name w:val="Í¼±íÕýÎÄ"/>
    <w:basedOn w:val="1019"/>
    <w:next w:val="1031"/>
    <w:uiPriority w:val="0"/>
    <w:qFormat/>
    <w:pPr>
      <w:ind w:firstLine="420"/>
    </w:pPr>
    <w:rPr>
      <w:sz w:val="24"/>
      <w:szCs w:val="20"/>
    </w:rPr>
  </w:style>
  <w:style w:type="character" w:styleId="1274" w:customStyle="1">
    <w:name w:val="font11"/>
    <w:uiPriority w:val="0"/>
    <w:qFormat/>
    <w:rPr>
      <w:rFonts w:hint="eastAsia" w:ascii="宋体" w:hAnsi="宋体" w:eastAsia="宋体" w:cs="宋体"/>
      <w:color w:val="000000"/>
      <w:sz w:val="24"/>
      <w:szCs w:val="24"/>
      <w:u w:val="none"/>
    </w:rPr>
  </w:style>
  <w:style w:type="character" w:styleId="1275" w:customStyle="1">
    <w:name w:val="font21"/>
    <w:uiPriority w:val="0"/>
    <w:qFormat/>
    <w:rPr>
      <w:rFonts w:hint="eastAsia" w:ascii="宋体" w:hAnsi="宋体" w:eastAsia="宋体" w:cs="宋体"/>
      <w:color w:val="ff0000"/>
      <w:sz w:val="24"/>
      <w:szCs w:val="24"/>
      <w:u w:val="none"/>
    </w:rPr>
  </w:style>
  <w:style w:type="character" w:styleId="1276" w:customStyle="1">
    <w:name w:val="font31"/>
    <w:basedOn w:val="1029"/>
    <w:uiPriority w:val="0"/>
    <w:qFormat/>
    <w:rPr>
      <w:rFonts w:hint="eastAsia" w:ascii="宋体" w:hAnsi="宋体" w:eastAsia="宋体" w:cs="宋体"/>
      <w:color w:val="ff0000"/>
      <w:sz w:val="24"/>
      <w:szCs w:val="24"/>
      <w:u w:val="none"/>
    </w:rPr>
  </w:style>
  <w:style w:type="character" w:styleId="1277" w:customStyle="1">
    <w:name w:val="l-btn-left"/>
    <w:uiPriority w:val="0"/>
    <w:qFormat/>
  </w:style>
  <w:style w:type="character" w:styleId="1278" w:customStyle="1">
    <w:name w:val="l-btn-text36"/>
    <w:uiPriority w:val="0"/>
    <w:qFormat/>
  </w:style>
  <w:style w:type="character" w:styleId="1279" w:customStyle="1">
    <w:name w:val="current"/>
    <w:uiPriority w:val="0"/>
    <w:qFormat/>
    <w:rPr>
      <w:b/>
      <w:bCs/>
      <w:color w:val="05a7d8"/>
      <w:sz w:val="18"/>
      <w:szCs w:val="18"/>
    </w:rPr>
  </w:style>
  <w:style w:type="character" w:styleId="1280" w:customStyle="1">
    <w:name w:val="l-btn-text"/>
    <w:uiPriority w:val="0"/>
    <w:qFormat/>
  </w:style>
  <w:style w:type="paragraph" w:styleId="1281"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282">
    <w:name w:val="List Paragraph"/>
    <w:basedOn w:val="1019"/>
    <w:uiPriority w:val="34"/>
    <w:qFormat/>
    <w:pPr>
      <w:ind w:firstLine="420"/>
    </w:pPr>
  </w:style>
  <w:style w:type="paragraph" w:styleId="1283" w:customStyle="1">
    <w:name w:val="表格"/>
    <w:basedOn w:val="1019"/>
    <w:uiPriority w:val="0"/>
    <w:qFormat/>
    <w:rPr>
      <w:rFonts w:ascii="Calibri" w:hAnsi="Calibri"/>
      <w:szCs w:val="21"/>
    </w:rPr>
  </w:style>
  <w:style w:type="character" w:styleId="1284" w:customStyle="1">
    <w:name w:val="普通(网站) 字符"/>
    <w:link w:val="1058"/>
    <w:uiPriority w:val="99"/>
    <w:qFormat/>
    <w:rPr>
      <w:rFonts w:ascii="宋体" w:hAnsi="宋体" w:eastAsia="宋体" w:cs="宋体"/>
      <w:sz w:val="24"/>
      <w:szCs w:val="24"/>
    </w:rPr>
  </w:style>
  <w:style w:type="paragraph" w:styleId="1285" w:customStyle="1">
    <w:name w:val="null3"/>
    <w:uiPriority w:val="0"/>
    <w:qFormat/>
    <w:rPr>
      <w:rFonts w:ascii="Calibri" w:hAnsi="Calibri" w:eastAsia="宋体" w:cs="Times New Roman"/>
      <w:lang w:val="en-US" w:eastAsia="zh-CN" w:bidi="ar-SA"/>
    </w:rPr>
  </w:style>
  <w:style w:type="paragraph" w:styleId="1286" w:customStyle="1">
    <w:name w:val="纯文本11"/>
    <w:basedOn w:val="1019"/>
    <w:next w:val="1287"/>
    <w:uiPriority w:val="99"/>
    <w:qFormat/>
    <w:rPr>
      <w:rFonts w:hint="eastAsia" w:ascii="宋体" w:hAnsi="Courier New"/>
      <w:szCs w:val="20"/>
    </w:rPr>
  </w:style>
  <w:style w:type="paragraph" w:styleId="1287" w:customStyle="1">
    <w:name w:val="正文缩进11"/>
    <w:basedOn w:val="1019"/>
    <w:uiPriority w:val="0"/>
    <w:qFormat/>
    <w:pPr>
      <w:ind w:firstLine="420"/>
      <w:jc w:val="left"/>
    </w:pPr>
    <w:rPr>
      <w:rFonts w:ascii="宋体"/>
      <w:sz w:val="24"/>
    </w:rPr>
  </w:style>
  <w:style w:type="table" w:styleId="128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9"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正文文本1"/>
    <w:basedOn w:val="1019"/>
    <w:link w:val="1291"/>
    <w:uiPriority w:val="0"/>
    <w:qFormat/>
    <w:pPr>
      <w:spacing w:before="120" w:line="22" w:lineRule="atLeast"/>
      <w:tabs>
        <w:tab w:val="left" w:pos="567" w:leader="none"/>
      </w:tabs>
    </w:pPr>
    <w:rPr>
      <w:rFonts w:ascii="宋体" w:hAnsi="宋体"/>
      <w:sz w:val="24"/>
    </w:rPr>
  </w:style>
  <w:style w:type="character" w:styleId="1291" w:customStyle="1">
    <w:name w:val="正文文本_"/>
    <w:basedOn w:val="1029"/>
    <w:link w:val="1290"/>
    <w:uiPriority w:val="99"/>
    <w:unhideWhenUsed/>
    <w:qFormat/>
    <w:rPr>
      <w:rFonts w:ascii="宋体" w:hAnsi="宋体"/>
      <w:sz w:val="24"/>
    </w:rPr>
  </w:style>
  <w:style w:type="character" w:styleId="1292" w:customStyle="1">
    <w:name w:val="font61"/>
    <w:basedOn w:val="1029"/>
    <w:uiPriority w:val="0"/>
    <w:qFormat/>
    <w:rPr>
      <w:rFonts w:hint="eastAsia" w:ascii="宋体" w:hAnsi="宋体" w:eastAsia="宋体" w:cs="宋体"/>
      <w:color w:val="000000"/>
      <w:sz w:val="14"/>
      <w:szCs w:val="14"/>
      <w:u w:val="none"/>
    </w:rPr>
  </w:style>
  <w:style w:type="character" w:styleId="1293" w:customStyle="1">
    <w:name w:val="font71"/>
    <w:basedOn w:val="1029"/>
    <w:uiPriority w:val="0"/>
    <w:qFormat/>
    <w:rPr>
      <w:rFonts w:hint="eastAsia" w:ascii="宋体" w:hAnsi="宋体" w:eastAsia="宋体" w:cs="宋体"/>
      <w:color w:val="000000"/>
      <w:sz w:val="14"/>
      <w:szCs w:val="14"/>
      <w:u w:val="none"/>
    </w:rPr>
  </w:style>
  <w:style w:type="character" w:styleId="1294" w:customStyle="1">
    <w:name w:val="font51"/>
    <w:basedOn w:val="1029"/>
    <w:uiPriority w:val="0"/>
    <w:qFormat/>
    <w:rPr>
      <w:rFonts w:hint="eastAsia" w:ascii="宋体" w:hAnsi="宋体" w:eastAsia="宋体" w:cs="宋体"/>
      <w:color w:val="000000"/>
      <w:sz w:val="18"/>
      <w:szCs w:val="18"/>
      <w:u w:val="none"/>
    </w:rPr>
  </w:style>
  <w:style w:type="character" w:styleId="1295" w:customStyle="1">
    <w:name w:val="font91"/>
    <w:basedOn w:val="1029"/>
    <w:uiPriority w:val="0"/>
    <w:qFormat/>
    <w:rPr>
      <w:rFonts w:hint="default" w:ascii="Times New Roman" w:hAnsi="Times New Roman" w:cs="Times New Roman"/>
      <w:color w:val="000000"/>
      <w:sz w:val="18"/>
      <w:szCs w:val="18"/>
      <w:u w:val="none"/>
    </w:rPr>
  </w:style>
  <w:style w:type="paragraph" w:styleId="1296" w:customStyle="1">
    <w:name w:val="普通(网站)1"/>
    <w:basedOn w:val="1019"/>
    <w:uiPriority w:val="99"/>
    <w:qFormat/>
    <w:pPr>
      <w:jc w:val="left"/>
      <w:spacing w:before="100" w:beforeAutospacing="1" w:after="100" w:afterAutospacing="1"/>
      <w:widowControl/>
    </w:pPr>
    <w:rPr>
      <w:rFonts w:ascii="宋体" w:hAnsi="宋体" w:cs="宋体"/>
      <w:sz w:val="24"/>
    </w:rPr>
  </w:style>
  <w:style w:type="paragraph" w:styleId="1297" w:customStyle="1">
    <w:name w:val="标题 21"/>
    <w:basedOn w:val="1019"/>
    <w:next w:val="1287"/>
    <w:uiPriority w:val="0"/>
    <w:qFormat/>
    <w:pPr>
      <w:jc w:val="center"/>
      <w:keepLines/>
      <w:keepNext/>
      <w:spacing w:before="120" w:line="300" w:lineRule="auto"/>
      <w:outlineLvl w:val="1"/>
    </w:pPr>
    <w:rPr>
      <w:rFonts w:ascii="Arial" w:hAnsi="Arial" w:eastAsia="黑体"/>
      <w:b/>
      <w:sz w:val="30"/>
      <w:szCs w:val="20"/>
    </w:rPr>
  </w:style>
  <w:style w:type="paragraph" w:styleId="129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9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30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126</cp:revision>
  <dcterms:created xsi:type="dcterms:W3CDTF">2024-06-05T08:50:00Z</dcterms:created>
  <dcterms:modified xsi:type="dcterms:W3CDTF">2026-09-23T02:56:58Z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00FCC903CEAB470DA63AC55510B178FD_13</vt:lpwstr>
  </property>
  <property fmtid="{D5CDD505-2E9C-101B-9397-08002B2CF9AE}" pid="4" name="KSOTemplateDocerSaveRecord">
    <vt:lpwstr>eyJoZGlkIjoiMjQ5M2U2NWY3ZmFiY2VmMmQyZDgwMDFlNzJkNWNlYmIiLCJ1c2VySWQiOiIxMjI0MTUyMzMzIn0=</vt:lpwstr>
  </property>
</Properties>
</file>