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themeColor="text1"/>
        </w:rPr>
      </w:pPr>
      <w:r>
        <w:rPr>
          <w:color w:val="000000" w:themeColor="text1"/>
        </w:rPr>
      </w:r>
      <w:r/>
    </w:p>
    <w:p>
      <w:pPr>
        <w:rPr>
          <w:color w:val="000000" w:themeColor="text1"/>
        </w:rPr>
      </w:pPr>
      <w:r/>
      <w:bookmarkStart w:id="0" w:name="EB3ace3d43b98b41779337deb808be6fa3"/>
      <w:r>
        <w:rPr>
          <w:rFonts w:hint="eastAsia"/>
          <w:color w:val="000000" w:themeColor="text1"/>
          <w:sz w:val="20"/>
        </w:rPr>
        <w:t xml:space="preserve"> </w:t>
      </w:r>
      <w:bookmarkStart w:id="1" w:name="EB57dd2a69e2b54b0cb3f5c2f03a1ab7bf"/>
      <w:r/>
      <w:bookmarkEnd w:id="0"/>
      <w:r>
        <w:rPr>
          <w:rFonts w:hint="eastAsia"/>
          <w:color w:val="000000" w:themeColor="text1"/>
          <w:sz w:val="20"/>
        </w:rPr>
        <w:t xml:space="preserve"> </w:t>
      </w:r>
      <w:bookmarkEnd w:id="1"/>
      <w:r/>
      <w:r/>
    </w:p>
    <w:p>
      <w:pPr>
        <w:rPr>
          <w:color w:val="000000" w:themeColor="text1"/>
        </w:rPr>
      </w:pPr>
      <w:r>
        <w:rPr>
          <w:color w:val="000000" w:themeColor="text1"/>
        </w:rPr>
      </w:r>
      <w:r/>
    </w:p>
    <w:p>
      <w:pPr>
        <w:jc w:val="center"/>
        <w:spacing w:before="120" w:after="120" w:line="360" w:lineRule="auto"/>
        <w:rPr>
          <w:rFonts w:ascii="Arial" w:hAnsi="Arial" w:eastAsia="黑体" w:cs="黑体"/>
          <w:b/>
          <w:color w:val="000000" w:themeColor="text1"/>
          <w:sz w:val="84"/>
          <w:szCs w:val="24"/>
          <w:lang w:bidi="ar"/>
        </w:rPr>
      </w:pPr>
      <w:r>
        <w:rPr>
          <w:rFonts w:hint="eastAsia" w:ascii="Arial" w:hAnsi="Arial" w:eastAsia="黑体" w:cs="黑体"/>
          <w:b/>
          <w:color w:val="000000" w:themeColor="text1"/>
          <w:sz w:val="84"/>
          <w:szCs w:val="24"/>
          <w:lang w:bidi="ar"/>
        </w:rPr>
        <w:t xml:space="preserve">招　标　文　件</w:t>
      </w:r>
      <w:r/>
    </w:p>
    <w:p>
      <w:pPr>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ind w:firstLine="1506"/>
        <w:rPr>
          <w:b/>
          <w:color w:val="000000" w:themeColor="text1"/>
          <w:sz w:val="30"/>
          <w:szCs w:val="30"/>
        </w:rPr>
      </w:pPr>
      <w:r>
        <w:rPr>
          <w:rFonts w:hint="eastAsia" w:ascii="Times New Roman" w:hAnsi="Times New Roman" w:cs="宋体"/>
          <w:b/>
          <w:color w:val="000000" w:themeColor="text1"/>
          <w:sz w:val="30"/>
          <w:szCs w:val="30"/>
          <w:lang w:bidi="ar"/>
        </w:rPr>
        <w:t xml:space="preserve">项目名称：</w:t>
      </w:r>
      <w:r>
        <w:rPr>
          <w:rFonts w:hint="eastAsia" w:ascii="宋体" w:hAnsi="宋体" w:cs="宋体"/>
          <w:b/>
          <w:bCs/>
          <w:color w:val="000000" w:themeColor="text1"/>
          <w:sz w:val="32"/>
        </w:rPr>
        <w:t xml:space="preserve">沭阳县李恒镇社会面监控建设项目（三次）</w:t>
      </w:r>
      <w:r>
        <w:rPr>
          <w:rFonts w:hint="eastAsia" w:ascii="Times New Roman" w:hAnsi="Times New Roman" w:cs="宋体"/>
          <w:b/>
          <w:color w:val="000000" w:themeColor="text1"/>
          <w:sz w:val="30"/>
          <w:szCs w:val="30"/>
          <w:lang w:bidi="ar"/>
        </w:rPr>
        <w:t xml:space="preserve"> </w:t>
      </w:r>
      <w:r/>
    </w:p>
    <w:p>
      <w:pPr>
        <w:ind w:firstLine="1506"/>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ind w:firstLine="1506"/>
        <w:rPr>
          <w:rFonts w:ascii="Times New Roman" w:hAnsi="Times New Roman" w:cs="宋体"/>
          <w:b/>
          <w:color w:val="000000" w:themeColor="text1"/>
          <w:sz w:val="30"/>
          <w:szCs w:val="30"/>
          <w:lang w:bidi="ar"/>
        </w:rPr>
      </w:pPr>
      <w:r>
        <w:rPr>
          <w:rFonts w:hint="eastAsia" w:ascii="Times New Roman" w:hAnsi="Times New Roman" w:cs="宋体"/>
          <w:b/>
          <w:color w:val="000000" w:themeColor="text1"/>
          <w:sz w:val="30"/>
          <w:szCs w:val="30"/>
          <w:lang w:bidi="ar"/>
        </w:rPr>
        <w:t xml:space="preserve">项目编号：</w:t>
      </w:r>
      <w:r>
        <w:rPr>
          <w:rFonts w:hint="eastAsia" w:ascii="Times New Roman" w:hAnsi="Times New Roman" w:cs="宋体"/>
          <w:b/>
          <w:color w:val="000000" w:themeColor="text1"/>
          <w:sz w:val="30"/>
          <w:szCs w:val="30"/>
          <w:lang w:bidi="ar"/>
        </w:rPr>
        <w:t xml:space="preserve">JSZC-321322-BZGS-G2026-0005</w:t>
      </w:r>
      <w:r/>
    </w:p>
    <w:p>
      <w:pPr>
        <w:ind w:left="2800" w:hanging="2800"/>
        <w:rPr>
          <w:rFonts w:ascii="Times New Roman" w:hAnsi="Times New Roman"/>
          <w:color w:val="000000" w:themeColor="text1"/>
          <w:sz w:val="28"/>
          <w:szCs w:val="28"/>
          <w:lang w:bidi="ar"/>
        </w:rPr>
      </w:pPr>
      <w:r>
        <w:rPr>
          <w:rFonts w:ascii="Times New Roman" w:hAnsi="Times New Roman"/>
          <w:color w:val="000000" w:themeColor="text1"/>
          <w:sz w:val="28"/>
          <w:szCs w:val="28"/>
          <w:lang w:bidi="ar"/>
        </w:rPr>
      </w:r>
      <w:r/>
    </w:p>
    <w:p>
      <w:pPr>
        <w:ind w:left="2800" w:hanging="2800"/>
        <w:rPr>
          <w:b/>
          <w:color w:val="000000" w:themeColor="text1"/>
          <w:sz w:val="28"/>
          <w:szCs w:val="28"/>
        </w:rPr>
      </w:pPr>
      <w:r>
        <w:rPr>
          <w:rFonts w:ascii="Times New Roman" w:hAnsi="Times New Roman"/>
          <w:color w:val="000000" w:themeColor="text1"/>
          <w:sz w:val="28"/>
          <w:szCs w:val="28"/>
          <w:lang w:bidi="ar"/>
        </w:rPr>
        <w:t xml:space="preserve">       </w:t>
      </w:r>
      <w:r>
        <w:rPr>
          <w:rFonts w:hint="eastAsia" w:ascii="Times New Roman" w:hAnsi="Times New Roman"/>
          <w:color w:val="000000" w:themeColor="text1"/>
          <w:sz w:val="28"/>
          <w:szCs w:val="28"/>
          <w:lang w:bidi="ar"/>
        </w:rPr>
        <w:t xml:space="preserve">   </w:t>
      </w:r>
      <w:r>
        <w:rPr>
          <w:rFonts w:ascii="Times New Roman" w:hAnsi="Times New Roman"/>
          <w:b/>
          <w:color w:val="000000" w:themeColor="text1"/>
          <w:sz w:val="28"/>
          <w:szCs w:val="28"/>
          <w:lang w:bidi="ar"/>
        </w:rPr>
        <w:t xml:space="preserve"> </w:t>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采</w:t>
            </w:r>
            <w:r>
              <w:rPr>
                <w:rFonts w:hint="eastAsia" w:ascii="Times New Roman" w:hAnsi="Times New Roman"/>
                <w:b/>
                <w:bCs/>
                <w:color w:val="000000" w:themeColor="text1"/>
                <w:sz w:val="32"/>
                <w:szCs w:val="24"/>
              </w:rPr>
              <w:t xml:space="preserve">  </w:t>
            </w:r>
            <w:r>
              <w:rPr>
                <w:rFonts w:hint="eastAsia" w:ascii="Times New Roman" w:hAnsi="Times New Roman"/>
                <w:b/>
                <w:bCs/>
                <w:color w:val="000000" w:themeColor="text1"/>
                <w:sz w:val="32"/>
                <w:szCs w:val="24"/>
              </w:rPr>
              <w:t xml:space="preserve">购</w:t>
            </w:r>
            <w:r>
              <w:rPr>
                <w:rFonts w:hint="eastAsia" w:ascii="Times New Roman" w:hAnsi="Times New Roman"/>
                <w:b/>
                <w:bCs/>
                <w:color w:val="000000" w:themeColor="text1"/>
                <w:sz w:val="32"/>
                <w:szCs w:val="24"/>
              </w:rPr>
              <w:t xml:space="preserve"> </w:t>
            </w:r>
            <w:r>
              <w:rPr>
                <w:rFonts w:hint="eastAsia" w:ascii="Times New Roman" w:hAnsi="Times New Roman"/>
                <w:b/>
                <w:bCs/>
                <w:color w:val="000000" w:themeColor="text1"/>
                <w:sz w:val="32"/>
                <w:szCs w:val="24"/>
              </w:rPr>
              <w:t xml:space="preserve">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沭阳县李恒镇人民政府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江苏博哲项目管理有限公司</w:t>
            </w:r>
            <w:r/>
          </w:p>
        </w:tc>
      </w:tr>
    </w:tbl>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964"/>
        <w:jc w:val="left"/>
        <w:spacing w:before="120" w:after="120" w:line="360" w:lineRule="auto"/>
        <w:rPr>
          <w:rFonts w:ascii="Arial" w:hAnsi="Arial"/>
          <w:b/>
          <w:color w:val="000000" w:themeColor="text1"/>
          <w:sz w:val="32"/>
          <w:szCs w:val="24"/>
        </w:rPr>
      </w:pPr>
      <w:r>
        <w:rPr>
          <w:rFonts w:hint="eastAsia" w:ascii="Times New Roman" w:hAnsi="Times New Roman"/>
          <w:b/>
          <w:bCs/>
          <w:color w:val="000000" w:themeColor="text1"/>
          <w:sz w:val="32"/>
          <w:szCs w:val="24"/>
        </w:rPr>
        <w:t xml:space="preserve"> </w:t>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rPr>
      </w:pPr>
      <w:r>
        <w:rPr>
          <w:rFonts w:ascii="Arial" w:hAnsi="Arial"/>
          <w:b/>
          <w:color w:val="000000" w:themeColor="text1"/>
          <w:sz w:val="32"/>
          <w:szCs w:val="24"/>
          <w:lang w:bidi="ar"/>
        </w:rPr>
        <w:t xml:space="preserve">202</w:t>
      </w:r>
      <w:r>
        <w:rPr>
          <w:rFonts w:hint="eastAsia" w:ascii="Arial" w:hAnsi="Arial"/>
          <w:b/>
          <w:color w:val="000000" w:themeColor="text1"/>
          <w:sz w:val="32"/>
          <w:szCs w:val="24"/>
          <w:lang w:bidi="ar"/>
        </w:rPr>
        <w:t xml:space="preserve">6</w:t>
      </w:r>
      <w:r>
        <w:rPr>
          <w:rFonts w:hint="eastAsia" w:ascii="Arial" w:hAnsi="Arial" w:cs="宋体"/>
          <w:b/>
          <w:color w:val="000000" w:themeColor="text1"/>
          <w:sz w:val="32"/>
          <w:szCs w:val="24"/>
          <w:lang w:bidi="ar"/>
        </w:rPr>
        <w:t xml:space="preserve">年</w:t>
      </w:r>
      <w:r>
        <w:rPr>
          <w:rFonts w:hint="eastAsia" w:ascii="Arial" w:hAnsi="Arial" w:cs="宋体"/>
          <w:b/>
          <w:color w:val="000000" w:themeColor="text1"/>
          <w:sz w:val="32"/>
          <w:szCs w:val="24"/>
          <w:lang w:bidi="ar"/>
        </w:rPr>
        <w:t xml:space="preserve">9</w:t>
      </w:r>
      <w:r>
        <w:rPr>
          <w:rFonts w:hint="eastAsia" w:ascii="Arial" w:hAnsi="Arial" w:cs="宋体"/>
          <w:b/>
          <w:color w:val="000000" w:themeColor="text1"/>
          <w:sz w:val="32"/>
          <w:szCs w:val="24"/>
          <w:lang w:bidi="ar"/>
        </w:rPr>
        <w:t xml:space="preserve">月</w:t>
      </w:r>
      <w:r>
        <w:rPr>
          <w:rFonts w:hint="eastAsia" w:ascii="Arial" w:hAnsi="Arial" w:cs="宋体"/>
          <w:b/>
          <w:color w:val="000000" w:themeColor="text1"/>
          <w:sz w:val="32"/>
          <w:szCs w:val="24"/>
          <w:lang w:bidi="ar"/>
        </w:rPr>
        <w:t xml:space="preserve">2</w:t>
      </w:r>
      <w:r>
        <w:rPr>
          <w:rFonts w:hint="eastAsia" w:ascii="Arial" w:hAnsi="Arial" w:cs="宋体"/>
          <w:b/>
          <w:color w:val="000000" w:themeColor="text1"/>
          <w:sz w:val="32"/>
          <w:szCs w:val="24"/>
          <w:lang w:bidi="ar"/>
        </w:rPr>
        <w:t xml:space="preserve">1</w:t>
      </w:r>
      <w:r>
        <w:rPr>
          <w:rFonts w:hint="eastAsia" w:ascii="Arial" w:hAnsi="Arial" w:cs="宋体"/>
          <w:b/>
          <w:color w:val="000000" w:themeColor="text1"/>
          <w:sz w:val="32"/>
          <w:szCs w:val="24"/>
          <w:lang w:bidi="ar"/>
        </w:rPr>
        <w:t xml:space="preserve">日</w:t>
      </w:r>
      <w:r/>
    </w:p>
    <w:p>
      <w:pPr>
        <w:jc w:val="center"/>
        <w:spacing w:before="120" w:after="120" w:line="360" w:lineRule="auto"/>
        <w:rPr>
          <w:rFonts w:ascii="Arial" w:hAnsi="Arial"/>
          <w:b/>
          <w:color w:val="000000" w:themeColor="text1"/>
          <w:sz w:val="32"/>
          <w:szCs w:val="24"/>
        </w:rPr>
      </w:pPr>
      <w:r>
        <w:rPr>
          <w:rFonts w:ascii="Arial" w:hAnsi="Arial"/>
          <w:b/>
          <w:color w:val="000000" w:themeColor="text1"/>
          <w:sz w:val="32"/>
          <w:szCs w:val="24"/>
        </w:rPr>
      </w:r>
      <w:r/>
    </w:p>
    <w:p>
      <w:pPr>
        <w:jc w:val="center"/>
        <w:keepLines/>
        <w:keepNext/>
        <w:pageBreakBefore/>
        <w:rPr>
          <w:b/>
          <w:color w:val="000000" w:themeColor="text1"/>
          <w:sz w:val="44"/>
          <w:szCs w:val="44"/>
        </w:rPr>
      </w:pPr>
      <w:r>
        <w:rPr>
          <w:rFonts w:hint="eastAsia"/>
          <w:b/>
          <w:color w:val="000000" w:themeColor="text1"/>
          <w:sz w:val="44"/>
          <w:szCs w:val="44"/>
        </w:rPr>
        <w:t xml:space="preserve">目</w:t>
      </w:r>
      <w:r>
        <w:rPr>
          <w:rFonts w:hint="eastAsia"/>
          <w:b/>
          <w:color w:val="000000" w:themeColor="text1"/>
          <w:sz w:val="44"/>
          <w:szCs w:val="44"/>
        </w:rPr>
        <w:t xml:space="preserve"> </w:t>
      </w:r>
      <w:r>
        <w:rPr>
          <w:rFonts w:hint="eastAsia"/>
          <w:b/>
          <w:color w:val="000000" w:themeColor="text1"/>
          <w:sz w:val="44"/>
          <w:szCs w:val="44"/>
        </w:rPr>
        <w:t xml:space="preserve">录</w:t>
      </w:r>
      <w:r/>
    </w:p>
    <w:p>
      <w:pPr>
        <w:pStyle w:val="902"/>
        <w:spacing w:line="600" w:lineRule="exact"/>
        <w:tabs>
          <w:tab w:val="right" w:pos="9185" w:leader="dot"/>
        </w:tabs>
        <w:rPr>
          <w:rFonts w:ascii="Times New Roman" w:hAnsi="Times New Roman" w:eastAsia="黑体"/>
          <w:b w:val="0"/>
          <w:bCs w:val="0"/>
          <w:color w:val="000000" w:themeColor="text1"/>
          <w:sz w:val="32"/>
        </w:rPr>
      </w:pPr>
      <w:r>
        <w:rPr>
          <w:color w:val="000000" w:themeColor="text1"/>
        </w:rPr>
        <w:fldChar w:fldCharType="begin"/>
      </w:r>
      <w:r>
        <w:rPr>
          <w:color w:val="000000" w:themeColor="text1"/>
        </w:rPr>
        <w:instrText xml:space="preserve">TOC \o "1-1" \h \u </w:instrText>
      </w:r>
      <w:r>
        <w:rPr>
          <w:color w:val="000000" w:themeColor="text1"/>
        </w:rPr>
        <w:fldChar w:fldCharType="separate"/>
      </w:r>
      <w:hyperlink w:tooltip="#_Toc10813" w:anchor="_Toc10813" w:history="1">
        <w:r>
          <w:rPr>
            <w:rFonts w:hint="eastAsia" w:ascii="Times New Roman" w:hAnsi="Times New Roman" w:eastAsia="黑体"/>
            <w:b w:val="0"/>
            <w:bCs w:val="0"/>
            <w:color w:val="000000" w:themeColor="text1"/>
            <w:sz w:val="32"/>
          </w:rPr>
          <w:t xml:space="preserve">第一章</w:t>
        </w:r>
        <w:r>
          <w:rPr>
            <w:rFonts w:hint="eastAsia" w:ascii="Times New Roman" w:hAnsi="Times New Roman" w:eastAsia="黑体"/>
            <w:b w:val="0"/>
            <w:bCs w:val="0"/>
            <w:color w:val="000000" w:themeColor="text1"/>
            <w:sz w:val="32"/>
          </w:rPr>
          <w:t xml:space="preserve">  </w:t>
        </w:r>
        <w:r>
          <w:rPr>
            <w:rFonts w:hint="eastAsia" w:ascii="Times New Roman" w:hAnsi="Times New Roman" w:eastAsia="黑体"/>
            <w:b w:val="0"/>
            <w:bCs w:val="0"/>
            <w:color w:val="000000" w:themeColor="text1"/>
            <w:sz w:val="32"/>
          </w:rPr>
          <w:t xml:space="preserve">投标邀请</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_Toc10813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3</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9425" w:anchor="_Toc9425" w:history="1">
        <w:r>
          <w:rPr>
            <w:rFonts w:hint="eastAsia" w:ascii="Times New Roman" w:hAnsi="Times New Roman" w:eastAsia="黑体"/>
            <w:b w:val="0"/>
            <w:bCs w:val="0"/>
            <w:color w:val="000000" w:themeColor="text1"/>
            <w:sz w:val="32"/>
          </w:rPr>
          <w:t xml:space="preserve">第二章</w:t>
        </w:r>
        <w:r>
          <w:rPr>
            <w:rFonts w:hint="eastAsia" w:ascii="Times New Roman" w:hAnsi="Times New Roman" w:eastAsia="黑体"/>
            <w:b w:val="0"/>
            <w:bCs w:val="0"/>
            <w:color w:val="000000" w:themeColor="text1"/>
            <w:sz w:val="32"/>
          </w:rPr>
          <w:t xml:space="preserve">  </w:t>
        </w:r>
        <w:r>
          <w:rPr>
            <w:rFonts w:hint="eastAsia" w:ascii="Times New Roman" w:hAnsi="Times New Roman" w:eastAsia="黑体"/>
            <w:b w:val="0"/>
            <w:bCs w:val="0"/>
            <w:color w:val="000000" w:themeColor="text1"/>
            <w:sz w:val="32"/>
          </w:rPr>
          <w:t xml:space="preserve">投标人须知</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_Toc9425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6</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17996" w:anchor="_Toc17996" w:history="1">
        <w:r>
          <w:rPr>
            <w:rFonts w:hint="eastAsia" w:ascii="Times New Roman" w:hAnsi="Times New Roman" w:eastAsia="黑体" w:cs="Times New Roman"/>
            <w:b w:val="0"/>
            <w:bCs w:val="0"/>
            <w:color w:val="000000" w:themeColor="text1"/>
            <w:sz w:val="32"/>
            <w:szCs w:val="44"/>
          </w:rPr>
          <w:t xml:space="preserve">第三章</w:t>
        </w:r>
        <w:r>
          <w:rPr>
            <w:rFonts w:hint="eastAsia" w:ascii="Times New Roman" w:hAnsi="Times New Roman" w:eastAsia="黑体" w:cs="Times New Roman"/>
            <w:b w:val="0"/>
            <w:bCs w:val="0"/>
            <w:color w:val="000000" w:themeColor="text1"/>
            <w:sz w:val="32"/>
            <w:szCs w:val="44"/>
          </w:rPr>
          <w:t xml:space="preserve">  </w:t>
        </w:r>
        <w:r>
          <w:rPr>
            <w:rFonts w:hint="eastAsia" w:ascii="Times New Roman" w:hAnsi="Times New Roman" w:eastAsia="黑体" w:cs="Times New Roman"/>
            <w:b w:val="0"/>
            <w:bCs w:val="0"/>
            <w:color w:val="000000" w:themeColor="text1"/>
            <w:sz w:val="32"/>
            <w:szCs w:val="44"/>
          </w:rPr>
          <w:t xml:space="preserve">资格审查及评标办法</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_Toc17996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21</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22314" w:anchor="_Toc22314" w:history="1">
        <w:r>
          <w:rPr>
            <w:rFonts w:hint="eastAsia" w:ascii="Times New Roman" w:hAnsi="Times New Roman" w:eastAsia="黑体"/>
            <w:b w:val="0"/>
            <w:bCs w:val="0"/>
            <w:color w:val="000000" w:themeColor="text1"/>
            <w:sz w:val="32"/>
            <w:szCs w:val="44"/>
          </w:rPr>
          <w:t xml:space="preserve">第四章</w:t>
        </w:r>
        <w:r>
          <w:rPr>
            <w:rFonts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采购需求</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_Toc22314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23</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2513" w:anchor="_Toc2513" w:history="1">
        <w:r>
          <w:rPr>
            <w:rFonts w:hint="eastAsia" w:ascii="Times New Roman" w:hAnsi="Times New Roman" w:eastAsia="黑体"/>
            <w:b w:val="0"/>
            <w:bCs w:val="0"/>
            <w:color w:val="000000" w:themeColor="text1"/>
            <w:sz w:val="32"/>
            <w:szCs w:val="44"/>
          </w:rPr>
          <w:t xml:space="preserve">第五章</w:t>
        </w:r>
        <w:r>
          <w:rPr>
            <w:rFonts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合同文本</w:t>
        </w:r>
        <w:r>
          <w:rPr>
            <w:rFonts w:ascii="Times New Roman" w:hAnsi="Times New Roman" w:eastAsia="黑体"/>
            <w:b w:val="0"/>
            <w:bCs w:val="0"/>
            <w:color w:val="000000" w:themeColor="text1"/>
            <w:sz w:val="32"/>
          </w:rPr>
          <w:tab/>
        </w:r>
        <w:r>
          <w:rPr>
            <w:rFonts w:hint="eastAsia" w:ascii="Times New Roman" w:hAnsi="Times New Roman" w:eastAsia="黑体"/>
            <w:b w:val="0"/>
            <w:bCs w:val="0"/>
            <w:color w:val="000000" w:themeColor="text1"/>
            <w:sz w:val="32"/>
          </w:rPr>
          <w:t xml:space="preserve">4</w:t>
        </w:r>
      </w:hyperlink>
      <w:r>
        <w:rPr>
          <w:rFonts w:hint="eastAsia" w:ascii="Times New Roman" w:hAnsi="Times New Roman" w:eastAsia="黑体"/>
          <w:b w:val="0"/>
          <w:bCs w:val="0"/>
          <w:color w:val="000000" w:themeColor="text1"/>
          <w:sz w:val="32"/>
        </w:rPr>
        <w:t xml:space="preserve">8</w:t>
      </w:r>
      <w:r/>
    </w:p>
    <w:p>
      <w:pPr>
        <w:pStyle w:val="902"/>
        <w:spacing w:line="600" w:lineRule="exact"/>
        <w:tabs>
          <w:tab w:val="right" w:pos="9185" w:leader="dot"/>
        </w:tabs>
        <w:rPr>
          <w:rFonts w:eastAsia="黑体"/>
          <w:color w:val="000000" w:themeColor="text1"/>
        </w:rPr>
      </w:pPr>
      <w:r/>
      <w:hyperlink w:tooltip="#_Toc12937" w:anchor="_Toc12937" w:history="1">
        <w:r>
          <w:rPr>
            <w:rFonts w:hint="eastAsia" w:ascii="Times New Roman" w:hAnsi="Times New Roman" w:eastAsia="黑体"/>
            <w:b w:val="0"/>
            <w:bCs w:val="0"/>
            <w:color w:val="000000" w:themeColor="text1"/>
            <w:sz w:val="32"/>
            <w:szCs w:val="44"/>
          </w:rPr>
          <w:t xml:space="preserve">第六章</w:t>
        </w:r>
        <w:r>
          <w:rPr>
            <w:rFonts w:hint="eastAsia"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投标文件格式</w:t>
        </w:r>
        <w:r>
          <w:rPr>
            <w:rFonts w:ascii="Times New Roman" w:hAnsi="Times New Roman" w:eastAsia="黑体"/>
            <w:b w:val="0"/>
            <w:bCs w:val="0"/>
            <w:color w:val="000000" w:themeColor="text1"/>
            <w:sz w:val="32"/>
          </w:rPr>
          <w:tab/>
        </w:r>
      </w:hyperlink>
      <w:r>
        <w:rPr>
          <w:rFonts w:hint="eastAsia" w:ascii="Times New Roman" w:hAnsi="Times New Roman" w:eastAsia="黑体"/>
          <w:b w:val="0"/>
          <w:bCs w:val="0"/>
          <w:color w:val="000000" w:themeColor="text1"/>
          <w:sz w:val="32"/>
        </w:rPr>
        <w:t xml:space="preserve">59</w:t>
      </w:r>
      <w:r/>
    </w:p>
    <w:p>
      <w:pPr>
        <w:rPr>
          <w:color w:val="000000" w:themeColor="text1"/>
        </w:rPr>
      </w:pPr>
      <w:r>
        <w:rPr>
          <w:color w:val="000000" w:themeColor="text1"/>
        </w:rPr>
        <w:fldChar w:fldCharType="end"/>
      </w:r>
      <w:r/>
    </w:p>
    <w:p>
      <w:pPr>
        <w:jc w:val="center"/>
        <w:keepLines/>
        <w:keepNext/>
        <w:pageBreakBefore/>
        <w:rPr>
          <w:b/>
          <w:color w:val="000000" w:themeColor="text1"/>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46"/>
        <w:jc w:val="center"/>
        <w:spacing w:before="200"/>
        <w:rPr>
          <w:rFonts w:eastAsia="黑体"/>
          <w:color w:val="000000" w:themeColor="text1"/>
          <w:sz w:val="44"/>
        </w:rPr>
      </w:pPr>
      <w:r/>
      <w:bookmarkStart w:id="4" w:name="_Toc30943"/>
      <w:r/>
      <w:bookmarkStart w:id="5" w:name="_Toc10813"/>
      <w:r/>
      <w:bookmarkStart w:id="6" w:name="_Toc25722"/>
      <w:r>
        <w:rPr>
          <w:rFonts w:hint="eastAsia" w:eastAsia="黑体"/>
          <w:color w:val="000000" w:themeColor="text1"/>
          <w:sz w:val="44"/>
        </w:rPr>
        <w:t xml:space="preserve">第一章</w:t>
      </w:r>
      <w:r>
        <w:rPr>
          <w:rFonts w:hint="eastAsia" w:eastAsia="黑体"/>
          <w:color w:val="000000" w:themeColor="text1"/>
          <w:sz w:val="44"/>
        </w:rPr>
        <w:t xml:space="preserve">  </w:t>
      </w:r>
      <w:r>
        <w:rPr>
          <w:rFonts w:hint="eastAsia" w:eastAsia="黑体"/>
          <w:color w:val="000000" w:themeColor="text1"/>
          <w:sz w:val="44"/>
        </w:rPr>
        <w:t xml:space="preserve">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u w:val="single"/>
        </w:rPr>
        <w:t xml:space="preserve">沭阳县李恒镇人民政府</w:t>
      </w:r>
      <w:r>
        <w:rPr>
          <w:rFonts w:hint="eastAsia" w:ascii="宋体" w:hAnsi="宋体"/>
          <w:color w:val="000000" w:themeColor="text1"/>
          <w:sz w:val="24"/>
          <w:szCs w:val="24"/>
        </w:rPr>
        <w:t xml:space="preserve">的委托，</w:t>
      </w:r>
      <w:r>
        <w:rPr>
          <w:rFonts w:hint="eastAsia" w:ascii="Times New Roman" w:hAnsi="Times New Roman" w:cs="方正仿宋_GBK"/>
          <w:color w:val="000000" w:themeColor="text1"/>
          <w:sz w:val="24"/>
          <w:szCs w:val="24"/>
          <w:u w:val="single"/>
        </w:rPr>
        <w:t xml:space="preserve">（江苏博哲项目管理有限公司）</w:t>
      </w:r>
      <w:r>
        <w:rPr>
          <w:rFonts w:hint="eastAsia" w:ascii="Times New Roman" w:hAnsi="Times New Roman" w:cs="方正仿宋_GBK"/>
          <w:color w:val="000000" w:themeColor="text1"/>
          <w:sz w:val="24"/>
          <w:szCs w:val="24"/>
        </w:rPr>
        <w:t xml:space="preserve">就</w:t>
      </w:r>
      <w:r>
        <w:rPr>
          <w:rFonts w:hint="eastAsia" w:ascii="宋体" w:hAnsi="宋体"/>
          <w:color w:val="000000" w:themeColor="text1"/>
          <w:sz w:val="24"/>
          <w:szCs w:val="24"/>
          <w:u w:val="single"/>
        </w:rPr>
        <w:t xml:space="preserve">沭阳县李恒镇社会面监控建设项目（三次）</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JSZC-321322-BZGS-G2026-0005</w:t>
      </w:r>
      <w:r>
        <w:rPr>
          <w:rFonts w:hint="eastAsia" w:ascii="宋体" w:hAnsi="宋体"/>
          <w:color w:val="000000" w:themeColor="text1"/>
          <w:sz w:val="24"/>
          <w:szCs w:val="24"/>
          <w:u w:val="single"/>
        </w:rPr>
        <w:t xml:space="preserve">）</w:t>
      </w:r>
      <w:r>
        <w:rPr>
          <w:rFonts w:hint="eastAsia" w:ascii="Times New Roman" w:hAnsi="Times New Roman" w:cs="方正仿宋_GBK"/>
          <w:color w:val="000000" w:themeColor="text1"/>
          <w:sz w:val="24"/>
          <w:szCs w:val="24"/>
        </w:rPr>
        <w:t xml:space="preserve">进行公开招标采购，欢迎符合条件的投标人投标。</w:t>
      </w:r>
      <w:r/>
    </w:p>
    <w:p>
      <w:pPr>
        <w:ind w:firstLine="480"/>
        <w:spacing w:line="480" w:lineRule="exact"/>
        <w:rPr>
          <w:rFonts w:ascii="Times New Roman" w:hAnsi="Times New Roman" w:cs="方正仿宋_GBK"/>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rPr>
        <w:t xml:space="preserve">项目概况</w:t>
      </w:r>
      <w:r/>
    </w:p>
    <w:p>
      <w:pPr>
        <w:ind w:firstLine="480"/>
        <w:spacing w:line="480" w:lineRule="exact"/>
        <w:rPr>
          <w:rFonts w:hint="eastAsia" w:ascii="方正仿宋_GBK" w:hAnsi="方正仿宋_GBK" w:eastAsia="方正仿宋_GBK" w:cs="方正仿宋_GBK"/>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rPr>
        <w:t xml:space="preserve">沭阳县李恒镇社会面监控建设项目（三次）招标项目的潜在投标人可在“江苏政府采购网”“</w:t>
      </w:r>
      <w:r>
        <w:rPr>
          <w:rFonts w:hint="eastAsia" w:ascii="Times New Roman" w:hAnsi="Times New Roman" w:cs="方正仿宋_GBK"/>
          <w:color w:val="000000" w:themeColor="text1"/>
          <w:sz w:val="24"/>
          <w:szCs w:val="24"/>
          <w:u w:val="single"/>
        </w:rPr>
        <w:t xml:space="preserve">宿迁市政府采购网”自行免费</w:t>
      </w:r>
      <w:r>
        <w:rPr>
          <w:rFonts w:hint="eastAsia" w:ascii="Times New Roman" w:hAnsi="Times New Roman" w:cs="方正仿宋_GBK"/>
          <w:color w:val="000000" w:themeColor="text1"/>
          <w:sz w:val="24"/>
          <w:szCs w:val="24"/>
        </w:rPr>
        <w:t xml:space="preserve">获取招标文件，并于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10</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1</w:t>
      </w:r>
      <w:r>
        <w:rPr>
          <w:rFonts w:hint="eastAsia" w:ascii="宋体" w:hAnsi="宋体"/>
          <w:bCs/>
          <w:color w:val="000000" w:themeColor="text1"/>
          <w:sz w:val="24"/>
          <w:szCs w:val="24"/>
          <w:u w:val="single"/>
        </w:rPr>
        <w:t xml:space="preserve">3</w:t>
      </w:r>
      <w:r>
        <w:rPr>
          <w:rFonts w:hint="eastAsia" w:ascii="宋体" w:hAnsi="宋体"/>
          <w:bCs/>
          <w:color w:val="000000" w:themeColor="text1"/>
          <w:sz w:val="24"/>
          <w:szCs w:val="24"/>
          <w:u w:val="single"/>
        </w:rPr>
        <w:t xml:space="preserve">日9点30分（</w:t>
      </w:r>
      <w:r>
        <w:rPr>
          <w:rFonts w:hint="eastAsia" w:ascii="宋体" w:hAnsi="宋体"/>
          <w:bCs/>
          <w:color w:val="000000" w:themeColor="text1"/>
          <w:sz w:val="24"/>
          <w:szCs w:val="24"/>
        </w:rPr>
        <w:t xml:space="preserve">北京时间）</w:t>
      </w:r>
      <w:r>
        <w:rPr>
          <w:rFonts w:hint="eastAsia" w:ascii="Times New Roman" w:hAnsi="Times New Roman" w:cs="方正仿宋_GBK"/>
          <w:bCs/>
          <w:color w:val="000000" w:themeColor="text1"/>
          <w:sz w:val="24"/>
          <w:szCs w:val="24"/>
        </w:rPr>
        <w:t xml:space="preserve">前递交投标文件</w:t>
      </w:r>
      <w:r>
        <w:rPr>
          <w:rFonts w:hint="eastAsia" w:ascii="Times New Roman" w:hAnsi="Times New Roman" w:cs="方正仿宋_GBK"/>
          <w:color w:val="000000" w:themeColor="text1"/>
          <w:sz w:val="24"/>
          <w:szCs w:val="24"/>
        </w:rPr>
        <w:t xml:space="preserve">。</w:t>
      </w:r>
      <w:r/>
    </w:p>
    <w:p>
      <w:pPr>
        <w:pStyle w:val="847"/>
        <w:ind w:firstLine="643"/>
        <w:spacing w:before="0" w:after="0" w:line="480" w:lineRule="exact"/>
        <w:rPr>
          <w:rFonts w:eastAsia="宋体" w:cs="Arial"/>
          <w:bCs/>
          <w:color w:val="000000" w:themeColor="text1"/>
          <w:szCs w:val="22"/>
        </w:rPr>
      </w:pPr>
      <w:r/>
      <w:bookmarkStart w:id="7" w:name="_Toc28359079"/>
      <w:r/>
      <w:bookmarkStart w:id="8" w:name="_Toc35393621"/>
      <w:r/>
      <w:bookmarkStart w:id="9" w:name="_Toc35393790"/>
      <w:r/>
      <w:bookmarkStart w:id="10" w:name="_Toc38985263"/>
      <w:r/>
      <w:bookmarkStart w:id="11" w:name="_Toc28359002"/>
      <w:r/>
      <w:bookmarkStart w:id="12" w:name="_Toc2584"/>
      <w:r/>
      <w:bookmarkStart w:id="13" w:name="_Hlk24379207"/>
      <w:r>
        <w:rPr>
          <w:rFonts w:hint="eastAsia" w:eastAsia="宋体" w:cs="Arial"/>
          <w:bCs/>
          <w:color w:val="000000" w:themeColor="text1"/>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1.项目编号：</w:t>
      </w:r>
      <w:r>
        <w:rPr>
          <w:rFonts w:hint="eastAsia" w:ascii="宋体" w:hAnsi="宋体" w:cs="宋体"/>
          <w:color w:val="000000" w:themeColor="text1"/>
          <w:sz w:val="24"/>
          <w:szCs w:val="24"/>
        </w:rPr>
        <w:t xml:space="preserve">JSZC-321322-BZGS-G2026-0005</w:t>
      </w:r>
      <w:r>
        <w:rPr>
          <w:rFonts w:hint="eastAsia" w:ascii="宋体" w:hAnsi="宋体" w:cs="宋体"/>
          <w:color w:val="000000" w:themeColor="text1"/>
          <w:sz w:val="24"/>
          <w:szCs w:val="24"/>
        </w:rPr>
        <w:t xml:space="preserve">  </w:t>
      </w:r>
      <w:r/>
    </w:p>
    <w:p>
      <w:pPr>
        <w:ind w:firstLine="480"/>
        <w:spacing w:line="480" w:lineRule="exact"/>
        <w:rPr>
          <w:rFonts w:hint="eastAsia" w:ascii="宋体" w:hAnsi="宋体" w:cs="宋体"/>
          <w:color w:val="000000" w:themeColor="text1"/>
          <w:sz w:val="24"/>
          <w:szCs w:val="24"/>
        </w:rPr>
      </w:pPr>
      <w:r/>
      <w:bookmarkStart w:id="14" w:name="OLE_LINK2"/>
      <w:r>
        <w:rPr>
          <w:rFonts w:hint="eastAsia" w:ascii="宋体" w:hAnsi="宋体" w:cs="宋体"/>
          <w:color w:val="000000" w:themeColor="text1"/>
          <w:sz w:val="24"/>
          <w:szCs w:val="24"/>
        </w:rPr>
        <w:t xml:space="preserve">2.项目名称：</w:t>
      </w:r>
      <w:bookmarkEnd w:id="13"/>
      <w:r>
        <w:rPr>
          <w:rFonts w:hint="eastAsia" w:ascii="宋体" w:hAnsi="宋体" w:cs="宋体"/>
          <w:color w:val="000000" w:themeColor="text1"/>
          <w:sz w:val="24"/>
          <w:szCs w:val="24"/>
        </w:rPr>
        <w:t xml:space="preserve">沭阳县李恒镇社会面监控建设项目（三次）</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bookmarkStart w:id="15" w:name="OLE_LINK18"/>
      <w:r>
        <w:rPr>
          <w:rFonts w:hint="eastAsia" w:ascii="宋体" w:hAnsi="宋体" w:cs="宋体"/>
          <w:color w:val="000000" w:themeColor="text1"/>
          <w:sz w:val="24"/>
          <w:szCs w:val="24"/>
        </w:rPr>
        <w:t xml:space="preserve">预算金额：</w:t>
      </w:r>
      <w:bookmarkEnd w:id="14"/>
      <w:r>
        <w:rPr>
          <w:rFonts w:hint="eastAsia" w:ascii="宋体" w:hAnsi="宋体" w:cs="宋体"/>
          <w:color w:val="000000" w:themeColor="text1"/>
          <w:sz w:val="24"/>
          <w:szCs w:val="24"/>
        </w:rPr>
        <w:t xml:space="preserve">207万元</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bookmarkStart w:id="16" w:name="OLE_LINK9"/>
      <w:r>
        <w:rPr>
          <w:rFonts w:hint="eastAsia" w:ascii="宋体" w:hAnsi="宋体" w:cs="宋体"/>
          <w:color w:val="000000" w:themeColor="text1"/>
          <w:sz w:val="24"/>
          <w:szCs w:val="24"/>
        </w:rPr>
        <w:t xml:space="preserve">本项目设定最高限价，</w:t>
      </w:r>
      <w:bookmarkStart w:id="17" w:name="OLE_LINK49"/>
      <w:r>
        <w:rPr>
          <w:rFonts w:hint="eastAsia" w:ascii="宋体" w:hAnsi="宋体" w:cs="宋体"/>
          <w:color w:val="000000" w:themeColor="text1"/>
          <w:sz w:val="24"/>
          <w:szCs w:val="24"/>
        </w:rPr>
        <w:t xml:space="preserve">最高限价为：</w:t>
      </w:r>
      <w:bookmarkEnd w:id="15"/>
      <w:r/>
      <w:bookmarkEnd w:id="17"/>
      <w:r>
        <w:rPr>
          <w:rFonts w:hint="eastAsia" w:ascii="宋体" w:hAnsi="宋体" w:cs="宋体"/>
          <w:color w:val="000000" w:themeColor="text1"/>
          <w:sz w:val="24"/>
          <w:szCs w:val="24"/>
        </w:rPr>
        <w:t xml:space="preserve">207万元</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5.采购需求（简介）：</w:t>
      </w:r>
      <w:bookmarkStart w:id="18" w:name="OLE_LINK20"/>
      <w:r>
        <w:rPr>
          <w:rFonts w:hint="eastAsia" w:ascii="宋体" w:hAnsi="宋体" w:cs="宋体"/>
          <w:color w:val="000000" w:themeColor="text1"/>
          <w:sz w:val="24"/>
          <w:szCs w:val="24"/>
        </w:rPr>
        <w:t xml:space="preserve">沭阳县李恒镇社会面监控建设项目（三次）</w:t>
      </w:r>
      <w:r>
        <w:rPr>
          <w:rFonts w:hint="eastAsia" w:ascii="宋体" w:hAnsi="宋体" w:cs="宋体"/>
          <w:color w:val="000000" w:themeColor="text1"/>
          <w:sz w:val="24"/>
          <w:szCs w:val="24"/>
        </w:rPr>
        <w:t xml:space="preserve">，招标内容包括安装结构化智能监控、超级卡口、配套设施及运维服务等。（详细内容见本招标文件第四章） </w:t>
      </w:r>
      <w:bookmarkEnd w:id="16"/>
      <w:r/>
      <w:bookmarkEnd w:id="18"/>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6.合同履行期限：</w:t>
      </w:r>
      <w:bookmarkStart w:id="19" w:name="OLE_LINK50"/>
      <w:r>
        <w:rPr>
          <w:rFonts w:hint="eastAsia" w:ascii="宋体" w:hAnsi="宋体" w:cs="宋体"/>
          <w:color w:val="000000" w:themeColor="text1"/>
          <w:sz w:val="24"/>
          <w:szCs w:val="24"/>
        </w:rPr>
        <w:t xml:space="preserve">合同签订后80日历天内完成交货、安装并验收完成。</w:t>
      </w:r>
      <w:bookmarkEnd w:id="19"/>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7.本项目不接受联合体投标。</w:t>
      </w:r>
      <w:r/>
    </w:p>
    <w:p>
      <w:pPr>
        <w:pStyle w:val="847"/>
        <w:ind w:firstLine="482"/>
        <w:spacing w:before="0" w:after="0" w:line="480" w:lineRule="exact"/>
        <w:rPr>
          <w:rFonts w:hint="eastAsia" w:ascii="宋体" w:hAnsi="宋体" w:eastAsia="宋体" w:cs="宋体"/>
          <w:bCs/>
          <w:color w:val="000000" w:themeColor="text1"/>
          <w:sz w:val="24"/>
          <w:szCs w:val="24"/>
        </w:rPr>
      </w:pPr>
      <w:r/>
      <w:bookmarkStart w:id="20" w:name="_Toc28359003"/>
      <w:r/>
      <w:bookmarkStart w:id="21" w:name="_Toc38985264"/>
      <w:r/>
      <w:bookmarkStart w:id="22" w:name="_Toc28359080"/>
      <w:r/>
      <w:bookmarkStart w:id="23" w:name="_Toc35393791"/>
      <w:r/>
      <w:bookmarkStart w:id="24" w:name="_Toc35393622"/>
      <w:r/>
      <w:bookmarkStart w:id="25" w:name="_Toc27291"/>
      <w:r>
        <w:rPr>
          <w:rFonts w:hint="eastAsia" w:ascii="宋体" w:hAnsi="宋体" w:eastAsia="宋体" w:cs="宋体"/>
          <w:bCs/>
          <w:color w:val="000000" w:themeColor="text1"/>
          <w:sz w:val="24"/>
          <w:szCs w:val="24"/>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cs="宋体"/>
          <w:color w:val="000000" w:themeColor="text1"/>
          <w:sz w:val="24"/>
          <w:szCs w:val="24"/>
        </w:rPr>
      </w:pPr>
      <w:r/>
      <w:bookmarkStart w:id="26" w:name="_Toc35393792"/>
      <w:r/>
      <w:bookmarkStart w:id="27" w:name="_Toc28359081"/>
      <w:r/>
      <w:bookmarkStart w:id="28" w:name="_Toc35393623"/>
      <w:r/>
      <w:bookmarkStart w:id="29" w:name="_Toc38985265"/>
      <w:r/>
      <w:bookmarkStart w:id="30" w:name="_Toc28359004"/>
      <w:r>
        <w:rPr>
          <w:rFonts w:hint="eastAsia" w:ascii="宋体" w:hAnsi="宋体" w:cs="宋体"/>
          <w:color w:val="000000" w:themeColor="text1"/>
          <w:sz w:val="24"/>
          <w:szCs w:val="24"/>
        </w:rPr>
        <w:t xml:space="preserve">（一）通用资格要求</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bookmarkStart w:id="31" w:name="OLE_LINK31"/>
      <w:r>
        <w:rPr>
          <w:rFonts w:hint="eastAsia" w:ascii="宋体" w:hAnsi="宋体" w:cs="宋体"/>
          <w:color w:val="000000" w:themeColor="text1"/>
          <w:sz w:val="24"/>
          <w:szCs w:val="24"/>
        </w:rPr>
        <w:t xml:space="preserve">落实政府采购政策需满足的资格要求</w:t>
      </w:r>
      <w:bookmarkEnd w:id="31"/>
      <w:r>
        <w:rPr>
          <w:rFonts w:hint="eastAsia" w:ascii="宋体" w:hAnsi="宋体" w:cs="宋体"/>
          <w:color w:val="000000" w:themeColor="text1"/>
          <w:sz w:val="24"/>
          <w:szCs w:val="24"/>
        </w:rPr>
        <w:t xml:space="preserve">：</w:t>
      </w:r>
      <w:bookmarkStart w:id="32" w:name="OLE_LINK32"/>
      <w:r/>
      <w:bookmarkStart w:id="33" w:name="OLE_LINK19"/>
      <w:r>
        <w:rPr>
          <w:rFonts w:hint="eastAsia" w:ascii="宋体" w:hAnsi="宋体" w:cs="宋体"/>
          <w:color w:val="000000" w:themeColor="text1"/>
          <w:sz w:val="24"/>
          <w:szCs w:val="24"/>
        </w:rPr>
        <w:t xml:space="preserve">（1）本项目为非预留份额的采购项目或采购包，执行价格扣除优惠政策，给予小微型企业、监狱企业或残疾人福利性单位报</w:t>
      </w:r>
      <w:r>
        <w:rPr>
          <w:rFonts w:hint="eastAsia" w:ascii="宋体" w:hAnsi="宋体" w:cs="宋体"/>
          <w:color w:val="000000" w:themeColor="text1"/>
          <w:sz w:val="24"/>
          <w:szCs w:val="24"/>
        </w:rPr>
        <w:t xml:space="preserve">价15%的扣除，用扣除后的价格参加评审。价格扣除比例对小型企业和微型企业同等对待，不作区分。监狱企业、残疾人福利单位属于小型、微型企业的，不重复享受政策。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投标人所投产品既有本国产品又有非本国产品参与竞争的，依法对本国产品给予价格评审优惠，对本国产品的报价给予20%的价格扣除，用扣除后的价格参与评审。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w:t>
      </w:r>
      <w:bookmarkStart w:id="34" w:name="OLE_LINK33"/>
      <w:r>
        <w:rPr>
          <w:rFonts w:hint="eastAsia" w:ascii="宋体" w:hAnsi="宋体" w:cs="宋体"/>
          <w:color w:val="000000" w:themeColor="text1"/>
          <w:sz w:val="24"/>
          <w:szCs w:val="24"/>
        </w:rPr>
        <w:t xml:space="preserve">本项目的特定资格要求：</w:t>
      </w:r>
      <w:bookmarkStart w:id="35" w:name="OLE_LINK11"/>
      <w:r>
        <w:rPr>
          <w:rFonts w:hint="eastAsia" w:ascii="宋体" w:hAnsi="宋体" w:cs="宋体"/>
          <w:color w:val="000000" w:themeColor="text1"/>
          <w:sz w:val="24"/>
          <w:szCs w:val="24"/>
        </w:rPr>
        <w:t xml:space="preserve">投标人具有电子与智能化工程专业承包资质二级及以上资质</w:t>
      </w:r>
      <w:bookmarkEnd w:id="35"/>
      <w:r>
        <w:rPr>
          <w:rFonts w:hint="eastAsia" w:ascii="宋体" w:hAnsi="宋体" w:cs="宋体"/>
          <w:color w:val="000000" w:themeColor="text1"/>
          <w:sz w:val="24"/>
          <w:szCs w:val="24"/>
        </w:rPr>
        <w:t xml:space="preserve">，并取得有效的安全生产许可证。</w:t>
      </w:r>
      <w:bookmarkEnd w:id="34"/>
      <w:r/>
      <w:r/>
    </w:p>
    <w:p>
      <w:pPr>
        <w:pStyle w:val="847"/>
        <w:ind w:firstLine="482"/>
        <w:spacing w:before="0" w:after="0" w:line="480" w:lineRule="exact"/>
        <w:rPr>
          <w:rFonts w:hint="eastAsia" w:ascii="宋体" w:hAnsi="宋体" w:eastAsia="宋体" w:cs="宋体"/>
          <w:bCs/>
          <w:color w:val="000000" w:themeColor="text1"/>
          <w:sz w:val="24"/>
          <w:szCs w:val="24"/>
        </w:rPr>
      </w:pPr>
      <w:r/>
      <w:bookmarkStart w:id="36" w:name="_Toc22204"/>
      <w:r>
        <w:rPr>
          <w:rFonts w:hint="eastAsia" w:ascii="宋体" w:hAnsi="宋体" w:eastAsia="宋体" w:cs="宋体"/>
          <w:bCs/>
          <w:color w:val="000000" w:themeColor="text1"/>
          <w:sz w:val="24"/>
          <w:szCs w:val="24"/>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cs="宋体"/>
          <w:color w:val="000000" w:themeColor="text1"/>
          <w:sz w:val="24"/>
          <w:szCs w:val="24"/>
        </w:rPr>
      </w:pPr>
      <w:r/>
      <w:bookmarkStart w:id="37" w:name="_Toc28359082"/>
      <w:r/>
      <w:bookmarkStart w:id="38" w:name="_Toc28359005"/>
      <w:r/>
      <w:bookmarkStart w:id="39" w:name="_Toc35393624"/>
      <w:r/>
      <w:bookmarkStart w:id="40" w:name="_Toc35393793"/>
      <w:r/>
      <w:bookmarkStart w:id="41" w:name="_Toc38985266"/>
      <w:r>
        <w:rPr>
          <w:rFonts w:hint="eastAsia" w:ascii="宋体" w:hAnsi="宋体" w:cs="宋体"/>
          <w:color w:val="000000" w:themeColor="text1"/>
          <w:sz w:val="24"/>
          <w:szCs w:val="24"/>
        </w:rPr>
        <w:t xml:space="preserve">1.时间：招标公告发布之日起5个工作日内。</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cs="宋体"/>
          <w:color w:val="000000" w:themeColor="text1"/>
          <w:sz w:val="24"/>
          <w:szCs w:val="24"/>
        </w:rPr>
      </w:pPr>
      <w:r/>
      <w:bookmarkStart w:id="42" w:name="EB0c44ff4da61f4af989d119fe214be450"/>
      <w:r>
        <w:rPr>
          <w:rFonts w:hint="eastAsia" w:ascii="宋体" w:hAnsi="宋体" w:cs="宋体"/>
          <w:color w:val="000000" w:themeColor="text1"/>
          <w:sz w:val="24"/>
          <w:szCs w:val="24"/>
        </w:rPr>
        <w:t xml:space="preserve">3.本项目共分1个采购包。投标人参与多个采购包投标的，应按采购包分别获取招标文件。投标人未按要求获取招标文件，后果自负（其投标文件不予接受）。</w:t>
      </w:r>
      <w:bookmarkEnd w:id="42"/>
      <w:r/>
      <w:r/>
    </w:p>
    <w:p>
      <w:pPr>
        <w:pStyle w:val="847"/>
        <w:ind w:firstLine="482"/>
        <w:spacing w:before="0" w:after="0" w:line="480" w:lineRule="exact"/>
        <w:rPr>
          <w:rFonts w:hint="eastAsia" w:ascii="宋体" w:hAnsi="宋体" w:eastAsia="宋体" w:cs="宋体"/>
          <w:bCs/>
          <w:color w:val="000000" w:themeColor="text1"/>
          <w:sz w:val="24"/>
          <w:szCs w:val="24"/>
        </w:rPr>
      </w:pPr>
      <w:r/>
      <w:bookmarkStart w:id="43" w:name="_Toc19148"/>
      <w:r>
        <w:rPr>
          <w:rFonts w:hint="eastAsia" w:ascii="宋体" w:hAnsi="宋体" w:eastAsia="宋体" w:cs="宋体"/>
          <w:bCs/>
          <w:color w:val="000000" w:themeColor="text1"/>
          <w:sz w:val="24"/>
          <w:szCs w:val="24"/>
        </w:rPr>
        <w:t xml:space="preserve">四、提交投标文件</w:t>
      </w:r>
      <w:bookmarkEnd w:id="37"/>
      <w:r/>
      <w:bookmarkEnd w:id="38"/>
      <w:r>
        <w:rPr>
          <w:rFonts w:hint="eastAsia" w:ascii="宋体" w:hAnsi="宋体" w:eastAsia="宋体" w:cs="宋体"/>
          <w:bCs/>
          <w:color w:val="000000" w:themeColor="text1"/>
          <w:sz w:val="24"/>
          <w:szCs w:val="24"/>
        </w:rPr>
        <w:t xml:space="preserve">截止时间、开标时间和地点</w:t>
      </w:r>
      <w:bookmarkEnd w:id="39"/>
      <w:r/>
      <w:bookmarkEnd w:id="40"/>
      <w:r/>
      <w:bookmarkEnd w:id="41"/>
      <w:r/>
      <w:bookmarkEnd w:id="43"/>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1.提交投标文件截止时间、开标时间：2026年</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日9点30分（北京时间）</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2.地点：“苏采云”政府采购交易系统网上开标大厅。</w:t>
      </w:r>
      <w:r/>
    </w:p>
    <w:p>
      <w:pPr>
        <w:pStyle w:val="847"/>
        <w:ind w:firstLine="482"/>
        <w:spacing w:before="0" w:after="0" w:line="480" w:lineRule="exact"/>
        <w:rPr>
          <w:rFonts w:hint="eastAsia" w:ascii="宋体" w:hAnsi="宋体" w:eastAsia="宋体" w:cs="宋体"/>
          <w:bCs/>
          <w:color w:val="000000" w:themeColor="text1"/>
          <w:sz w:val="24"/>
          <w:szCs w:val="24"/>
        </w:rPr>
      </w:pPr>
      <w:r/>
      <w:bookmarkStart w:id="44" w:name="_Toc24820"/>
      <w:r/>
      <w:bookmarkStart w:id="45" w:name="_Toc28359007"/>
      <w:r/>
      <w:bookmarkStart w:id="46" w:name="_Toc38985267"/>
      <w:r/>
      <w:bookmarkStart w:id="47" w:name="_Toc35393794"/>
      <w:r/>
      <w:bookmarkStart w:id="48" w:name="_Toc35393625"/>
      <w:r/>
      <w:bookmarkStart w:id="49" w:name="_Toc28359084"/>
      <w:r>
        <w:rPr>
          <w:rFonts w:hint="eastAsia" w:ascii="宋体" w:hAnsi="宋体" w:eastAsia="宋体" w:cs="宋体"/>
          <w:bCs/>
          <w:color w:val="000000" w:themeColor="text1"/>
          <w:sz w:val="24"/>
          <w:szCs w:val="24"/>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cs="宋体"/>
          <w:color w:val="000000" w:themeColor="text1"/>
          <w:sz w:val="24"/>
          <w:szCs w:val="24"/>
        </w:rPr>
      </w:pPr>
      <w:r/>
      <w:bookmarkStart w:id="50" w:name="_Toc35393795"/>
      <w:r/>
      <w:bookmarkStart w:id="51" w:name="_Toc38985268"/>
      <w:r/>
      <w:bookmarkStart w:id="52" w:name="_Toc35393626"/>
      <w:r>
        <w:rPr>
          <w:rFonts w:hint="eastAsia" w:ascii="宋体" w:hAnsi="宋体" w:cs="宋体"/>
          <w:color w:val="000000" w:themeColor="text1"/>
          <w:sz w:val="24"/>
          <w:szCs w:val="24"/>
        </w:rPr>
        <w:t xml:space="preserve">招标公告及招标文件公告期限为自本公告发布之日起5个工作日。</w:t>
      </w:r>
      <w:r/>
    </w:p>
    <w:p>
      <w:pPr>
        <w:pStyle w:val="847"/>
        <w:ind w:firstLine="482"/>
        <w:spacing w:before="0" w:after="0" w:line="480" w:lineRule="exact"/>
        <w:rPr>
          <w:rFonts w:hint="eastAsia" w:ascii="宋体" w:hAnsi="宋体" w:eastAsia="宋体" w:cs="宋体"/>
          <w:bCs/>
          <w:color w:val="000000" w:themeColor="text1"/>
          <w:sz w:val="24"/>
          <w:szCs w:val="24"/>
        </w:rPr>
      </w:pPr>
      <w:r/>
      <w:bookmarkStart w:id="53" w:name="_Toc13415"/>
      <w:r>
        <w:rPr>
          <w:rFonts w:hint="eastAsia" w:ascii="宋体" w:hAnsi="宋体" w:eastAsia="宋体" w:cs="宋体"/>
          <w:bCs/>
          <w:color w:val="000000" w:themeColor="text1"/>
          <w:sz w:val="24"/>
          <w:szCs w:val="24"/>
        </w:rPr>
        <w:t xml:space="preserve">六、其他补充事宜</w:t>
      </w:r>
      <w:bookmarkEnd w:id="50"/>
      <w:r/>
      <w:bookmarkEnd w:id="51"/>
      <w:r/>
      <w:bookmarkEnd w:id="52"/>
      <w:r/>
      <w:bookmarkEnd w:id="53"/>
      <w:r/>
      <w:r/>
    </w:p>
    <w:p>
      <w:pPr>
        <w:ind w:firstLine="480"/>
        <w:spacing w:line="480" w:lineRule="exact"/>
        <w:rPr>
          <w:rFonts w:hint="eastAsia" w:ascii="宋体" w:hAnsi="宋体" w:cs="宋体"/>
          <w:color w:val="000000" w:themeColor="text1"/>
          <w:sz w:val="24"/>
          <w:szCs w:val="24"/>
        </w:rPr>
      </w:pPr>
      <w:r/>
      <w:bookmarkStart w:id="54" w:name="EB64e1f522fd8c43fcb4d3ba471386b3e7"/>
      <w:r/>
      <w:bookmarkStart w:id="55" w:name="OLE_LINK48"/>
      <w:r/>
      <w:bookmarkStart w:id="56" w:name="_Toc28359008"/>
      <w:r/>
      <w:bookmarkStart w:id="57" w:name="_Toc35393796"/>
      <w:r/>
      <w:bookmarkStart w:id="58" w:name="_Toc28359085"/>
      <w:r/>
      <w:bookmarkStart w:id="59" w:name="_Toc35393627"/>
      <w:r/>
      <w:bookmarkStart w:id="60" w:name="_Toc38985269"/>
      <w:r>
        <w:rPr>
          <w:rFonts w:hint="eastAsia" w:ascii="宋体" w:hAnsi="宋体" w:cs="宋体"/>
          <w:color w:val="000000" w:themeColor="text1"/>
          <w:sz w:val="24"/>
          <w:szCs w:val="24"/>
        </w:rPr>
        <w:t xml:space="preserve">1.招标公告发布媒体：</w:t>
      </w:r>
      <w:bookmarkStart w:id="61" w:name="OLE_LINK3"/>
      <w:r>
        <w:rPr>
          <w:rFonts w:hint="eastAsia" w:ascii="宋体" w:hAnsi="宋体" w:cs="宋体"/>
          <w:color w:val="000000" w:themeColor="text1"/>
          <w:sz w:val="24"/>
          <w:szCs w:val="24"/>
        </w:rPr>
        <w:t xml:space="preserve">江苏政府采购网</w:t>
      </w:r>
      <w:bookmarkEnd w:id="61"/>
      <w:r>
        <w:rPr>
          <w:rFonts w:hint="eastAsia" w:ascii="宋体" w:hAnsi="宋体" w:cs="宋体"/>
          <w:color w:val="000000" w:themeColor="text1"/>
          <w:sz w:val="24"/>
          <w:szCs w:val="24"/>
        </w:rPr>
        <w:t xml:space="preserve">、宿迁市政府采购网等。</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2.“CA”数字证书办理：“苏采云”系统目前仅支持“苏采云”系统下的意源CA。省内各地区办理的“苏采云”系统下的意源CA全省通用。宿迁地区CA数字证书办理联系方式：</w:t>
      </w:r>
      <w:r>
        <w:rPr>
          <w:rFonts w:ascii="宋体" w:hAnsi="宋体" w:eastAsia="仿宋" w:cs="宋体"/>
          <w:color w:val="000000" w:themeColor="text1"/>
          <w:sz w:val="24"/>
          <w:szCs w:val="24"/>
          <w:highlight w:val="white"/>
        </w:rPr>
        <w:t xml:space="preserve">18351098172</w:t>
      </w:r>
      <w:r>
        <w:rPr>
          <w:rFonts w:hint="eastAsia" w:ascii="宋体" w:hAnsi="宋体" w:cs="宋体"/>
          <w:color w:val="000000" w:themeColor="text1"/>
          <w:sz w:val="24"/>
          <w:szCs w:val="24"/>
        </w:rPr>
        <w:t xml:space="preserve">。</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3.宿迁地区“苏采云”系统技术支持客服电话：0527-84363067、0519-86722806。</w:t>
      </w:r>
      <w:bookmarkEnd w:id="54"/>
      <w:r/>
      <w:r/>
    </w:p>
    <w:p>
      <w:pPr>
        <w:ind w:firstLine="480"/>
        <w:spacing w:line="480" w:lineRule="exact"/>
        <w:rPr>
          <w:rFonts w:hint="eastAsia" w:ascii="宋体" w:hAnsi="宋体" w:cs="宋体"/>
          <w:color w:val="000000" w:themeColor="text1"/>
          <w:sz w:val="24"/>
          <w:szCs w:val="24"/>
        </w:rPr>
      </w:pPr>
      <w:r/>
      <w:bookmarkStart w:id="62" w:name="_Toc29049"/>
      <w:r>
        <w:rPr>
          <w:rFonts w:hint="eastAsia" w:ascii="宋体" w:hAnsi="宋体" w:cs="宋体"/>
          <w:color w:val="000000" w:themeColor="text1"/>
          <w:sz w:val="24"/>
          <w:szCs w:val="24"/>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5.现场勘察及答疑：本项目不组织集中勘察及答疑，投标人如对采购需求有疑问，</w:t>
      </w:r>
      <w:r>
        <w:rPr>
          <w:rFonts w:hint="eastAsia" w:ascii="宋体" w:hAnsi="宋体" w:cs="宋体"/>
          <w:color w:val="000000" w:themeColor="text1"/>
          <w:sz w:val="24"/>
          <w:szCs w:val="24"/>
        </w:rPr>
        <w:t xml:space="preserve">请咨询采购单位联系人。</w:t>
      </w:r>
      <w:bookmarkEnd w:id="55"/>
      <w:r>
        <w:rPr>
          <w:rFonts w:hint="eastAsia" w:ascii="宋体" w:hAnsi="宋体" w:cs="宋体"/>
          <w:color w:val="000000" w:themeColor="text1"/>
          <w:sz w:val="24"/>
          <w:szCs w:val="24"/>
        </w:rPr>
        <w:t xml:space="preserve"> </w:t>
      </w:r>
      <w:r/>
    </w:p>
    <w:p>
      <w:pPr>
        <w:pStyle w:val="847"/>
        <w:ind w:firstLine="482"/>
        <w:spacing w:before="0" w:after="0" w:line="4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七、本次招标联系方式</w:t>
      </w:r>
      <w:bookmarkEnd w:id="56"/>
      <w:r/>
      <w:bookmarkEnd w:id="57"/>
      <w:r/>
      <w:bookmarkEnd w:id="58"/>
      <w:r/>
      <w:bookmarkEnd w:id="59"/>
      <w:r/>
      <w:bookmarkEnd w:id="60"/>
      <w:r/>
      <w:bookmarkEnd w:id="62"/>
      <w:r/>
      <w:r/>
    </w:p>
    <w:p>
      <w:pPr>
        <w:ind w:left="210" w:firstLine="480"/>
        <w:spacing w:line="52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沭阳县李恒镇人民政府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u w:val="single"/>
        </w:rPr>
        <w:t xml:space="preserve">江苏省宿迁市沭阳县李恒镇府前路2号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陈尚明</w:t>
      </w:r>
      <w:r>
        <w:rPr>
          <w:rFonts w:hint="eastAsia" w:ascii="宋体" w:hAnsi="宋体" w:cs="宋体"/>
          <w:color w:val="000000" w:themeColor="text1"/>
          <w:sz w:val="24"/>
          <w:szCs w:val="24"/>
          <w:u w:val="single"/>
        </w:rPr>
        <w:t xml:space="preserve">                             </w:t>
      </w:r>
      <w:r/>
    </w:p>
    <w:p>
      <w:pPr>
        <w:ind w:left="210"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联系方式：</w:t>
      </w:r>
      <w:r>
        <w:rPr>
          <w:rFonts w:hint="eastAsia" w:ascii="宋体" w:hAnsi="宋体" w:cs="宋体"/>
          <w:color w:val="000000" w:themeColor="text1"/>
          <w:sz w:val="24"/>
          <w:szCs w:val="24"/>
          <w:u w:val="single"/>
        </w:rPr>
        <w:t xml:space="preserve">15161243585</w:t>
      </w:r>
      <w:r>
        <w:rPr>
          <w:rFonts w:hint="eastAsia" w:ascii="宋体" w:hAnsi="宋体" w:cs="宋体"/>
          <w:color w:val="000000" w:themeColor="text1"/>
          <w:sz w:val="24"/>
          <w:szCs w:val="24"/>
          <w:u w:val="single"/>
        </w:rPr>
        <w:t xml:space="preserve">                     </w:t>
      </w:r>
      <w:bookmarkStart w:id="63" w:name="_Toc28359009"/>
      <w:r/>
      <w:bookmarkStart w:id="64" w:name="_Toc28359086"/>
      <w:r/>
      <w:r/>
    </w:p>
    <w:p>
      <w:pPr>
        <w:ind w:left="210" w:firstLine="480"/>
        <w:spacing w:line="52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bookmarkEnd w:id="63"/>
      <w:r/>
      <w:bookmarkEnd w:id="64"/>
      <w:r>
        <w:rPr>
          <w:rFonts w:hint="eastAsia" w:ascii="宋体" w:hAnsi="宋体" w:cs="宋体"/>
          <w:color w:val="000000" w:themeColor="text1"/>
          <w:sz w:val="24"/>
          <w:szCs w:val="24"/>
        </w:rPr>
        <w:t xml:space="preserve">采购代理机构信息</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江苏博哲项目管理有限公司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u w:val="single"/>
        </w:rPr>
        <w:t xml:space="preserve">沭阳县沭城街道北京南路41号5楼</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曾宪尧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w:t>
      </w:r>
      <w:bookmarkStart w:id="65" w:name="_Toc28359010"/>
      <w:r/>
      <w:bookmarkStart w:id="66" w:name="_Toc28359087"/>
      <w:r>
        <w:rPr>
          <w:rFonts w:hint="eastAsia" w:ascii="宋体" w:hAnsi="宋体" w:cs="宋体"/>
          <w:color w:val="000000" w:themeColor="text1"/>
          <w:sz w:val="24"/>
          <w:szCs w:val="24"/>
          <w:u w:val="single"/>
        </w:rPr>
        <w:t xml:space="preserve">13815676958        　　           </w:t>
      </w:r>
      <w:bookmarkEnd w:id="65"/>
      <w:r/>
      <w:bookmarkEnd w:id="66"/>
      <w:r/>
      <w:r/>
    </w:p>
    <w:p>
      <w:pPr>
        <w:ind w:firstLine="480"/>
        <w:spacing w:line="48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r>
      <w:r/>
    </w:p>
    <w:p>
      <w:pPr>
        <w:spacing w:line="480" w:lineRule="exact"/>
        <w:rPr>
          <w:rFonts w:ascii="仿宋_GB2312"/>
          <w:color w:val="000000" w:themeColor="text1"/>
          <w:sz w:val="24"/>
        </w:rPr>
      </w:pPr>
      <w:r>
        <w:rPr>
          <w:rFonts w:ascii="仿宋_GB2312"/>
          <w:color w:val="000000" w:themeColor="text1"/>
          <w:sz w:val="24"/>
        </w:rPr>
      </w:r>
      <w:r/>
    </w:p>
    <w:p>
      <w:pPr>
        <w:ind w:firstLine="480"/>
        <w:spacing w:line="480" w:lineRule="exact"/>
        <w:rPr>
          <w:rFonts w:ascii="仿宋_GB2312" w:eastAsia="仿宋_GB2312"/>
          <w:color w:val="000000" w:themeColor="text1"/>
          <w:sz w:val="24"/>
        </w:rPr>
      </w:pPr>
      <w:r>
        <w:rPr>
          <w:rFonts w:ascii="仿宋_GB2312" w:eastAsia="仿宋_GB2312"/>
          <w:color w:val="000000" w:themeColor="text1"/>
          <w:sz w:val="24"/>
        </w:rPr>
      </w:r>
      <w:r/>
    </w:p>
    <w:p>
      <w:pPr>
        <w:ind w:firstLine="480"/>
        <w:jc w:val="center"/>
        <w:spacing w:line="480" w:lineRule="exact"/>
        <w:rPr>
          <w:rFonts w:eastAsia="黑体"/>
          <w:color w:val="000000" w:themeColor="text1"/>
          <w:sz w:val="44"/>
        </w:rPr>
        <w:outlineLvl w:val="0"/>
      </w:pPr>
      <w:r>
        <w:rPr>
          <w:rFonts w:hint="eastAsia" w:ascii="仿宋_GB2312" w:eastAsia="仿宋_GB2312"/>
          <w:color w:val="000000" w:themeColor="text1"/>
          <w:sz w:val="24"/>
        </w:rPr>
        <w:br w:type="page" w:clear="all"/>
      </w:r>
      <w:bookmarkStart w:id="67" w:name="_Toc9425"/>
      <w:r/>
      <w:bookmarkStart w:id="68" w:name="_Toc11687"/>
      <w:r/>
      <w:bookmarkStart w:id="69" w:name="_Toc15265"/>
      <w:r/>
      <w:bookmarkStart w:id="70" w:name="_Toc81575153"/>
      <w:r/>
      <w:bookmarkStart w:id="71" w:name="_Toc81575190"/>
      <w:r>
        <w:rPr>
          <w:rFonts w:hint="eastAsia" w:eastAsia="黑体"/>
          <w:color w:val="000000" w:themeColor="text1"/>
          <w:sz w:val="44"/>
        </w:rPr>
        <w:t xml:space="preserve">第二章</w:t>
      </w:r>
      <w:r>
        <w:rPr>
          <w:rFonts w:hint="eastAsia" w:eastAsia="黑体"/>
          <w:color w:val="000000" w:themeColor="text1"/>
          <w:sz w:val="44"/>
        </w:rPr>
        <w:t xml:space="preserve">  </w:t>
      </w:r>
      <w:r>
        <w:rPr>
          <w:rFonts w:hint="eastAsia" w:eastAsia="黑体"/>
          <w:color w:val="000000" w:themeColor="text1"/>
          <w:sz w:val="44"/>
        </w:rPr>
        <w:t xml:space="preserve">投标人须知</w:t>
      </w:r>
      <w:bookmarkEnd w:id="67"/>
      <w:r/>
      <w:bookmarkEnd w:id="68"/>
      <w:r/>
      <w:bookmarkEnd w:id="69"/>
      <w:r/>
      <w:bookmarkEnd w:id="70"/>
      <w:r/>
      <w:bookmarkEnd w:id="71"/>
      <w:r/>
      <w:r/>
    </w:p>
    <w:p>
      <w:pPr>
        <w:pStyle w:val="847"/>
        <w:spacing w:before="0" w:after="120" w:line="520" w:lineRule="exact"/>
        <w:rPr>
          <w:rFonts w:eastAsia="宋体" w:cs="Arial"/>
          <w:bCs/>
          <w:color w:val="000000" w:themeColor="text1"/>
          <w:szCs w:val="22"/>
        </w:rPr>
      </w:pPr>
      <w:r/>
      <w:bookmarkStart w:id="72" w:name="_Toc4529"/>
      <w:r>
        <w:rPr>
          <w:rFonts w:hint="eastAsia" w:eastAsia="宋体" w:cs="Arial"/>
          <w:bCs/>
          <w:color w:val="000000" w:themeColor="text1"/>
          <w:szCs w:val="22"/>
        </w:rPr>
        <w:t xml:space="preserve">投标人须知前附表：</w:t>
      </w:r>
      <w:bookmarkEnd w:id="72"/>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themeColor="text1"/>
                <w:sz w:val="24"/>
                <w:szCs w:val="24"/>
              </w:rPr>
            </w:pPr>
            <w:r/>
            <w:bookmarkStart w:id="73" w:name="_Toc81575154"/>
            <w:r/>
            <w:bookmarkStart w:id="74" w:name="_Toc81575191"/>
            <w:r/>
            <w:bookmarkStart w:id="75" w:name="_Toc29262"/>
            <w:r>
              <w:rPr>
                <w:rFonts w:hint="eastAsia" w:ascii="仿宋_GB2312" w:hAnsi="仿宋"/>
                <w:b/>
                <w:color w:val="000000" w:themeColor="text1"/>
                <w:sz w:val="24"/>
                <w:szCs w:val="24"/>
              </w:rPr>
              <w:t xml:space="preserve">序号</w:t>
            </w:r>
            <w:r/>
          </w:p>
        </w:tc>
        <w:tc>
          <w:tcPr>
            <w:tcW w:w="1772" w:type="dxa"/>
            <w:vAlign w:val="center"/>
            <w:textDirection w:val="lrTb"/>
            <w:noWrap w:val="false"/>
          </w:tcPr>
          <w:p>
            <w:pPr>
              <w:jc w:val="center"/>
              <w:rPr>
                <w:rFonts w:hint="eastAsia" w:ascii="仿宋_GB2312" w:hAnsi="仿宋"/>
                <w:b/>
                <w:color w:val="000000" w:themeColor="text1"/>
                <w:sz w:val="24"/>
                <w:szCs w:val="24"/>
              </w:rPr>
            </w:pPr>
            <w:r>
              <w:rPr>
                <w:rFonts w:hint="eastAsia" w:ascii="仿宋_GB2312" w:hAnsi="仿宋"/>
                <w:b/>
                <w:color w:val="000000" w:themeColor="text1"/>
                <w:sz w:val="24"/>
                <w:szCs w:val="24"/>
              </w:rPr>
              <w:t xml:space="preserve">内容</w:t>
            </w:r>
            <w:r/>
          </w:p>
        </w:tc>
        <w:tc>
          <w:tcPr>
            <w:tcW w:w="6579" w:type="dxa"/>
            <w:vAlign w:val="center"/>
            <w:textDirection w:val="lrTb"/>
            <w:noWrap w:val="false"/>
          </w:tcPr>
          <w:p>
            <w:pPr>
              <w:jc w:val="center"/>
              <w:rPr>
                <w:rFonts w:hint="eastAsia" w:ascii="仿宋_GB2312" w:hAnsi="仿宋"/>
                <w:b/>
                <w:color w:val="000000" w:themeColor="text1"/>
                <w:sz w:val="24"/>
                <w:szCs w:val="24"/>
              </w:rPr>
            </w:pPr>
            <w:r>
              <w:rPr>
                <w:rFonts w:hint="eastAsia" w:ascii="仿宋_GB2312" w:hAnsi="仿宋"/>
                <w:b/>
                <w:color w:val="000000" w:themeColor="text1"/>
                <w:sz w:val="24"/>
                <w:szCs w:val="24"/>
              </w:rPr>
              <w:t xml:space="preserve">说明及要求</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项目属性</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本项目</w:t>
            </w:r>
            <w:bookmarkStart w:id="76" w:name="EB9a5853ee094f4f0ea6ec3169265f6f2c"/>
            <w:r>
              <w:rPr>
                <w:rFonts w:hint="eastAsia" w:ascii="Times New Roman" w:hAnsi="Times New Roman" w:cs="仿宋"/>
                <w:color w:val="000000" w:themeColor="text1"/>
                <w:sz w:val="24"/>
                <w:szCs w:val="24"/>
              </w:rPr>
              <w:t xml:space="preserve">属性按以下第</w:t>
            </w:r>
            <w:bookmarkEnd w:id="76"/>
            <w:r>
              <w:rPr>
                <w:rFonts w:hint="eastAsia" w:ascii="Times New Roman" w:hAnsi="Times New Roman" w:cs="仿宋"/>
                <w:color w:val="000000" w:themeColor="text1"/>
                <w:sz w:val="24"/>
                <w:szCs w:val="24"/>
                <w:u w:val="single"/>
              </w:rPr>
              <w:t xml:space="preserve">  1 </w:t>
            </w:r>
            <w:r>
              <w:rPr>
                <w:rFonts w:hint="eastAsia" w:ascii="Times New Roman" w:hAnsi="Times New Roman" w:cs="仿宋"/>
                <w:color w:val="000000" w:themeColor="text1"/>
                <w:sz w:val="24"/>
                <w:szCs w:val="24"/>
              </w:rPr>
              <w:t xml:space="preserve">种确定：</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货物</w:t>
            </w:r>
            <w:bookmarkStart w:id="77" w:name="EBd5c6c026f9674c39b21b31ecd0c1e7fa"/>
            <w:r>
              <w:rPr>
                <w:rFonts w:hint="eastAsia" w:ascii="Times New Roman" w:hAnsi="Times New Roman" w:cs="仿宋"/>
                <w:color w:val="000000" w:themeColor="text1"/>
                <w:sz w:val="24"/>
                <w:szCs w:val="24"/>
              </w:rPr>
              <w:t xml:space="preserve">采购；</w:t>
            </w:r>
            <w:r>
              <w:rPr>
                <w:rFonts w:hint="eastAsia" w:ascii="Times New Roman" w:hAnsi="Times New Roman" w:cs="仿宋"/>
                <w:color w:val="000000" w:themeColor="text1"/>
                <w:sz w:val="24"/>
                <w:szCs w:val="24"/>
              </w:rPr>
              <w:t xml:space="preserve">2.</w:t>
            </w:r>
            <w:bookmarkEnd w:id="77"/>
            <w:r>
              <w:rPr>
                <w:rFonts w:hint="eastAsia" w:ascii="Times New Roman" w:hAnsi="Times New Roman" w:cs="仿宋"/>
                <w:color w:val="000000" w:themeColor="text1"/>
                <w:sz w:val="24"/>
                <w:szCs w:val="24"/>
              </w:rPr>
              <w:t xml:space="preserve">服务</w:t>
            </w:r>
            <w:bookmarkStart w:id="78" w:name="EBf7d2a4f44ecb4166a93ea852e73be69f"/>
            <w:r>
              <w:rPr>
                <w:rFonts w:hint="eastAsia" w:ascii="Times New Roman" w:hAnsi="Times New Roman" w:cs="仿宋"/>
                <w:color w:val="000000" w:themeColor="text1"/>
                <w:sz w:val="24"/>
                <w:szCs w:val="24"/>
              </w:rPr>
              <w:t xml:space="preserve">采购；</w:t>
            </w:r>
            <w:r>
              <w:rPr>
                <w:rFonts w:hint="eastAsia" w:ascii="Times New Roman" w:hAnsi="Times New Roman" w:cs="仿宋"/>
                <w:color w:val="000000" w:themeColor="text1"/>
                <w:sz w:val="24"/>
                <w:szCs w:val="24"/>
              </w:rPr>
              <w:t xml:space="preserve">3.</w:t>
            </w:r>
            <w:bookmarkEnd w:id="78"/>
            <w:r>
              <w:rPr>
                <w:rFonts w:hint="eastAsia" w:ascii="Times New Roman" w:hAnsi="Times New Roman" w:cs="仿宋"/>
                <w:color w:val="000000" w:themeColor="text1"/>
                <w:sz w:val="24"/>
                <w:szCs w:val="24"/>
              </w:rPr>
              <w:t xml:space="preserve">工程采购。</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投标有效期</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79" w:name="EBd40b5fb42f2944a3b45e579ce3941f02"/>
            <w:r/>
            <w:bookmarkEnd w:id="79"/>
            <w:r>
              <w:rPr>
                <w:rFonts w:hint="eastAsia" w:ascii="Times New Roman" w:hAnsi="Times New Roman" w:cs="仿宋"/>
                <w:color w:val="000000" w:themeColor="text1"/>
                <w:sz w:val="24"/>
                <w:szCs w:val="24"/>
              </w:rPr>
              <w:t xml:space="preserve">80</w:t>
            </w:r>
            <w:r>
              <w:rPr>
                <w:rFonts w:hint="eastAsia" w:ascii="Times New Roman" w:hAnsi="Times New Roman" w:cs="仿宋"/>
                <w:color w:val="000000" w:themeColor="text1"/>
                <w:sz w:val="24"/>
                <w:szCs w:val="24"/>
              </w:rPr>
              <w:t xml:space="preserve">日（从提交投标文件截止之日起算）</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3</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投标文件份数</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提交加密电子投标文件</w:t>
            </w:r>
            <w:r>
              <w:rPr>
                <w:rFonts w:hint="eastAsia" w:ascii="Times New Roman" w:hAnsi="Times New Roman" w:cs="仿宋"/>
                <w:color w:val="000000" w:themeColor="text1"/>
                <w:sz w:val="24"/>
                <w:szCs w:val="24"/>
                <w:u w:val="single"/>
              </w:rPr>
              <w:t xml:space="preserve">1</w:t>
            </w:r>
            <w:r>
              <w:rPr>
                <w:rFonts w:hint="eastAsia" w:ascii="Times New Roman" w:hAnsi="Times New Roman" w:cs="仿宋"/>
                <w:color w:val="000000" w:themeColor="text1"/>
                <w:sz w:val="24"/>
                <w:szCs w:val="24"/>
              </w:rPr>
              <w:t xml:space="preserve">份。</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4</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开标</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5</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进口产品</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2</w:t>
            </w:r>
            <w:r>
              <w:rPr>
                <w:rFonts w:hint="eastAsia" w:ascii="Times New Roman" w:hAnsi="Times New Roman" w:cs="仿宋"/>
                <w:color w:val="000000" w:themeColor="text1"/>
                <w:sz w:val="24"/>
                <w:szCs w:val="24"/>
              </w:rPr>
              <w:t xml:space="preserve">种方式确定：</w:t>
            </w:r>
            <w:r/>
          </w:p>
          <w:p>
            <w:pPr>
              <w:jc w:val="left"/>
              <w:spacing w:line="380" w:lineRule="exact"/>
              <w:widowControl/>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接受进口产品。</w:t>
            </w:r>
            <w:r>
              <w:rPr>
                <w:rFonts w:hint="eastAsia" w:ascii="Times New Roman" w:hAnsi="Times New Roman" w:cs="仿宋"/>
                <w:color w:val="000000" w:themeColor="text1"/>
                <w:sz w:val="24"/>
              </w:rPr>
              <w:t xml:space="preserve">应当符合《政府采购进口产品管理办法》（财库〔</w:t>
            </w:r>
            <w:r>
              <w:rPr>
                <w:rFonts w:hint="eastAsia" w:ascii="Times New Roman" w:hAnsi="Times New Roman" w:cs="仿宋"/>
                <w:color w:val="000000" w:themeColor="text1"/>
                <w:sz w:val="24"/>
              </w:rPr>
              <w:t xml:space="preserve">2007</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119</w:t>
            </w:r>
            <w:r>
              <w:rPr>
                <w:rFonts w:hint="eastAsia" w:ascii="Times New Roman" w:hAnsi="Times New Roman" w:cs="仿宋"/>
                <w:color w:val="000000" w:themeColor="text1"/>
                <w:sz w:val="24"/>
              </w:rPr>
              <w:t xml:space="preserve">号）、《关于政府采购进口产品管理有关问题的通知》（财办库〔</w:t>
            </w:r>
            <w:r>
              <w:rPr>
                <w:rFonts w:hint="eastAsia" w:ascii="Times New Roman" w:hAnsi="Times New Roman" w:cs="仿宋"/>
                <w:color w:val="000000" w:themeColor="text1"/>
                <w:sz w:val="24"/>
              </w:rPr>
              <w:t xml:space="preserve">2008</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248</w:t>
            </w:r>
            <w:r>
              <w:rPr>
                <w:rFonts w:hint="eastAsia" w:ascii="Times New Roman" w:hAnsi="Times New Roman" w:cs="仿宋"/>
                <w:color w:val="000000" w:themeColor="text1"/>
                <w:sz w:val="24"/>
              </w:rPr>
              <w:t xml:space="preserve">号）等相关规定</w:t>
            </w:r>
            <w:r>
              <w:rPr>
                <w:rFonts w:hint="eastAsia" w:ascii="Times New Roman" w:hAnsi="Times New Roman" w:cs="仿宋"/>
                <w:color w:val="000000" w:themeColor="text1"/>
                <w:sz w:val="24"/>
                <w:szCs w:val="24"/>
              </w:rPr>
              <w:t xml:space="preserve">；</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不接受进口产品。</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6</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评标办法</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具体评标办法详见招标文件第三章。</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评标委员会依据招标文件规定的评标办法和标准推荐</w:t>
            </w:r>
            <w:r>
              <w:rPr>
                <w:rFonts w:hint="eastAsia" w:ascii="Times New Roman" w:hAnsi="Times New Roman" w:cs="仿宋"/>
                <w:color w:val="000000" w:themeColor="text1"/>
                <w:sz w:val="24"/>
                <w:szCs w:val="24"/>
                <w:u w:val="single"/>
              </w:rPr>
              <w:t xml:space="preserve">3</w:t>
            </w:r>
            <w:r>
              <w:rPr>
                <w:rFonts w:hint="eastAsia" w:ascii="Times New Roman" w:hAnsi="Times New Roman" w:cs="仿宋"/>
                <w:color w:val="000000" w:themeColor="text1"/>
                <w:sz w:val="24"/>
                <w:szCs w:val="24"/>
              </w:rPr>
              <w:t xml:space="preserve">名中标候选人。</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7</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确定中标人</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2</w:t>
            </w:r>
            <w:r>
              <w:rPr>
                <w:rFonts w:hint="eastAsia" w:ascii="Times New Roman" w:hAnsi="Times New Roman" w:cs="仿宋"/>
                <w:color w:val="000000" w:themeColor="text1"/>
                <w:sz w:val="24"/>
                <w:szCs w:val="24"/>
              </w:rPr>
              <w:t xml:space="preserve">种方式确定中标人：</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采购人按规定在评标委员会推荐的中标候选人中确定中标人；</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采购人授权评标委员会直接确定中标人。</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8</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分包要求</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80" w:name="EBebac1462c5d9459fbda8a75065c2455d"/>
            <w:r>
              <w:rPr>
                <w:rFonts w:hint="eastAsia" w:ascii="Times New Roman" w:hAnsi="Times New Roman" w:cs="仿宋"/>
                <w:color w:val="000000" w:themeColor="text1"/>
                <w:sz w:val="24"/>
                <w:szCs w:val="24"/>
              </w:rPr>
              <w:t xml:space="preserve">本项目的非主体、非关键性工作是否允许分包</w:t>
            </w:r>
            <w:bookmarkEnd w:id="80"/>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  2  </w:t>
            </w:r>
            <w:r>
              <w:rPr>
                <w:rFonts w:hint="eastAsia" w:ascii="Times New Roman" w:hAnsi="Times New Roman" w:cs="仿宋"/>
                <w:color w:val="000000" w:themeColor="text1"/>
                <w:sz w:val="24"/>
                <w:szCs w:val="24"/>
              </w:rPr>
              <w:t xml:space="preserve">种方式确定：</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允许分包，</w:t>
            </w:r>
            <w:bookmarkStart w:id="81" w:name="EB512ba06683724173802e2aae54a26079"/>
            <w:r>
              <w:rPr>
                <w:rFonts w:hint="eastAsia" w:ascii="Times New Roman" w:hAnsi="Times New Roman" w:cs="仿宋"/>
                <w:color w:val="000000" w:themeColor="text1"/>
                <w:sz w:val="24"/>
                <w:szCs w:val="24"/>
              </w:rPr>
              <w:t xml:space="preserve">允许大中型企业向一家或者多家小微企业分包，分包具体内容、金额或比例：</w:t>
            </w:r>
            <w:bookmarkEnd w:id="81"/>
            <w:r>
              <w:rPr>
                <w:rFonts w:hint="eastAsia" w:ascii="Times New Roman" w:hAnsi="Times New Roman" w:cs="仿宋"/>
                <w:color w:val="000000" w:themeColor="text1"/>
                <w:sz w:val="24"/>
                <w:szCs w:val="24"/>
              </w:rPr>
              <w:t xml:space="preserve">无</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不允许分包。</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9</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代理费用收取方式及标准</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82" w:name="EBfe735bb6fc4d4e5e9e350f940db98c5f"/>
            <w:r/>
            <w:bookmarkEnd w:id="82"/>
            <w:r>
              <w:rPr>
                <w:rFonts w:hint="eastAsia" w:ascii="Times New Roman" w:hAnsi="Times New Roman" w:cs="仿宋"/>
                <w:color w:val="000000" w:themeColor="text1"/>
                <w:sz w:val="24"/>
                <w:szCs w:val="24"/>
              </w:rPr>
              <w:t xml:space="preserve">中标人在中标公告发布之日起</w:t>
            </w:r>
            <w:r>
              <w:rPr>
                <w:rFonts w:hint="eastAsia" w:ascii="Times New Roman" w:hAnsi="Times New Roman" w:cs="仿宋"/>
                <w:color w:val="000000" w:themeColor="text1"/>
                <w:sz w:val="24"/>
                <w:szCs w:val="24"/>
              </w:rPr>
              <w:t xml:space="preserve">7</w:t>
            </w:r>
            <w:r>
              <w:rPr>
                <w:rFonts w:hint="eastAsia" w:ascii="Times New Roman" w:hAnsi="Times New Roman" w:cs="仿宋"/>
                <w:color w:val="000000" w:themeColor="text1"/>
                <w:sz w:val="24"/>
                <w:szCs w:val="24"/>
              </w:rPr>
              <w:t xml:space="preserve">日内，按照“苏招协</w:t>
            </w:r>
            <w:r>
              <w:rPr>
                <w:rFonts w:hint="eastAsia" w:ascii="Times New Roman" w:hAnsi="Times New Roman" w:cs="仿宋"/>
                <w:color w:val="000000" w:themeColor="text1"/>
                <w:sz w:val="24"/>
                <w:szCs w:val="24"/>
              </w:rPr>
              <w:t xml:space="preserve">[2022]002 </w:t>
            </w:r>
            <w:r>
              <w:rPr>
                <w:rFonts w:hint="eastAsia" w:ascii="Times New Roman" w:hAnsi="Times New Roman" w:cs="仿宋"/>
                <w:color w:val="000000" w:themeColor="text1"/>
                <w:sz w:val="24"/>
                <w:szCs w:val="24"/>
              </w:rPr>
              <w:t xml:space="preserve">号”文件标准支付招标代理费。投标人应将其综合考虑在投标报价中，不单独列项。（注：可采用数字人民币）。</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10</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其他</w:t>
            </w:r>
            <w:bookmarkEnd w:id="73"/>
            <w:r/>
            <w:bookmarkEnd w:id="74"/>
            <w:r/>
            <w:bookmarkEnd w:id="75"/>
            <w:r/>
            <w:r/>
          </w:p>
        </w:tc>
        <w:tc>
          <w:tcPr>
            <w:tcW w:w="6579" w:type="dxa"/>
            <w:vAlign w:val="center"/>
            <w:textDirection w:val="lrTb"/>
            <w:noWrap w:val="false"/>
          </w:tcPr>
          <w:p>
            <w:pPr>
              <w:numPr>
                <w:ilvl w:val="0"/>
                <w:numId w:val="3"/>
              </w:num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信用信息查询截止时间：资格审查结束前。由采购人在资格审查现场查询信用信息，网页截屏打印，查询结果留存并归档。</w:t>
            </w:r>
            <w:r/>
          </w:p>
          <w:p>
            <w:pPr>
              <w:numPr>
                <w:ilvl w:val="0"/>
                <w:numId w:val="3"/>
              </w:num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w:t>
            </w:r>
            <w:r>
              <w:rPr>
                <w:rFonts w:hint="eastAsia" w:ascii="Times New Roman" w:hAnsi="Times New Roman" w:cs="仿宋"/>
                <w:color w:val="000000" w:themeColor="text1"/>
                <w:sz w:val="24"/>
                <w:szCs w:val="24"/>
              </w:rPr>
              <w:t xml:space="preserve">2026</w:t>
            </w:r>
            <w:r>
              <w:rPr>
                <w:rFonts w:hint="eastAsia" w:ascii="Times New Roman" w:hAnsi="Times New Roman" w:cs="仿宋"/>
                <w:color w:val="000000" w:themeColor="text1"/>
                <w:sz w:val="24"/>
                <w:szCs w:val="24"/>
              </w:rPr>
              <w:t xml:space="preserve">〕</w:t>
            </w: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号）”文件规定。</w:t>
            </w:r>
            <w:r/>
          </w:p>
        </w:tc>
      </w:tr>
    </w:tbl>
    <w:p>
      <w:pPr>
        <w:spacing w:line="380" w:lineRule="exact"/>
        <w:rPr>
          <w:color w:val="000000" w:themeColor="text1"/>
          <w:sz w:val="20"/>
        </w:rPr>
      </w:pPr>
      <w:r>
        <w:rPr>
          <w:color w:val="000000" w:themeColor="text1"/>
          <w:sz w:val="20"/>
        </w:rPr>
      </w:r>
      <w:r/>
    </w:p>
    <w:p>
      <w:pPr>
        <w:pStyle w:val="847"/>
        <w:ind w:firstLine="321"/>
        <w:spacing w:before="0" w:after="0" w:line="480" w:lineRule="exact"/>
        <w:rPr>
          <w:rFonts w:eastAsia="宋体" w:cs="Arial"/>
          <w:bCs/>
          <w:color w:val="000000" w:themeColor="text1"/>
          <w:szCs w:val="22"/>
        </w:rPr>
      </w:pPr>
      <w:r/>
      <w:bookmarkStart w:id="83" w:name="EB6eaaf474639940df900ef4965d71f450"/>
      <w:r/>
      <w:bookmarkStart w:id="84" w:name="_Toc81575192"/>
      <w:r/>
      <w:bookmarkStart w:id="85" w:name="_Toc8239"/>
      <w:r/>
      <w:bookmarkStart w:id="86" w:name="_Toc30953"/>
      <w:r/>
      <w:bookmarkStart w:id="87" w:name="_Toc81575155"/>
      <w:r/>
      <w:bookmarkEnd w:id="83"/>
      <w:r>
        <w:rPr>
          <w:rFonts w:hint="eastAsia" w:eastAsia="宋体" w:cs="Arial"/>
          <w:bCs/>
          <w:color w:val="000000" w:themeColor="text1"/>
          <w:szCs w:val="22"/>
        </w:rPr>
        <w:t xml:space="preserve">一、总</w:t>
      </w:r>
      <w:r>
        <w:rPr>
          <w:rFonts w:hint="eastAsia" w:eastAsia="宋体" w:cs="Arial"/>
          <w:bCs/>
          <w:color w:val="000000" w:themeColor="text1"/>
          <w:szCs w:val="22"/>
        </w:rPr>
        <w:t xml:space="preserve"> </w:t>
      </w:r>
      <w:r>
        <w:rPr>
          <w:rFonts w:hint="eastAsia" w:eastAsia="宋体" w:cs="Arial"/>
          <w:bCs/>
          <w:color w:val="000000" w:themeColor="text1"/>
          <w:szCs w:val="22"/>
        </w:rPr>
        <w:t xml:space="preserve">则</w:t>
      </w:r>
      <w:bookmarkEnd w:id="84"/>
      <w:r/>
      <w:bookmarkEnd w:id="85"/>
      <w:r/>
      <w:bookmarkEnd w:id="86"/>
      <w:r/>
      <w:bookmarkEnd w:id="87"/>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w:t>
      </w:r>
      <w:r>
        <w:rPr>
          <w:rFonts w:hint="eastAsia" w:ascii="Times New Roman" w:hAnsi="Times New Roman" w:cs="仿宋"/>
          <w:b/>
          <w:color w:val="000000" w:themeColor="text1"/>
          <w:sz w:val="24"/>
        </w:rPr>
        <w:t xml:space="preserve">招标方式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本次采购采取公开招标方式。</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w:t>
      </w:r>
      <w:r>
        <w:rPr>
          <w:rFonts w:hint="eastAsia" w:ascii="Times New Roman" w:hAnsi="Times New Roman" w:cs="仿宋"/>
          <w:b/>
          <w:color w:val="000000" w:themeColor="text1"/>
          <w:sz w:val="24"/>
        </w:rPr>
        <w:t xml:space="preserve">合格的投标人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w:t>
      </w:r>
      <w:r>
        <w:rPr>
          <w:rFonts w:hint="eastAsia" w:ascii="Times New Roman" w:hAnsi="Times New Roman" w:cs="仿宋"/>
          <w:color w:val="000000" w:themeColor="text1"/>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w:t>
      </w:r>
      <w:r>
        <w:rPr>
          <w:rFonts w:hint="eastAsia" w:ascii="Times New Roman" w:hAnsi="Times New Roman" w:cs="仿宋"/>
          <w:color w:val="000000" w:themeColor="text1"/>
          <w:sz w:val="24"/>
        </w:rPr>
        <w:t xml:space="preserve">满足本文件实质性要求的规定。</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3.</w:t>
      </w:r>
      <w:r>
        <w:rPr>
          <w:rFonts w:hint="eastAsia" w:ascii="Times New Roman" w:hAnsi="Times New Roman" w:cs="仿宋"/>
          <w:b/>
          <w:color w:val="000000" w:themeColor="text1"/>
          <w:sz w:val="24"/>
        </w:rPr>
        <w:t xml:space="preserve">适用法律</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4.</w:t>
      </w:r>
      <w:r>
        <w:rPr>
          <w:rFonts w:hint="eastAsia" w:ascii="Times New Roman" w:hAnsi="Times New Roman" w:cs="仿宋"/>
          <w:b/>
          <w:color w:val="000000" w:themeColor="text1"/>
          <w:sz w:val="24"/>
        </w:rPr>
        <w:t xml:space="preserve">投标费用</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投标人应自行承担所有参加投标有关的费用。</w:t>
      </w:r>
      <w:r/>
    </w:p>
    <w:p>
      <w:pPr>
        <w:pStyle w:val="847"/>
        <w:ind w:firstLine="321"/>
        <w:spacing w:before="0" w:after="0" w:line="480" w:lineRule="exact"/>
        <w:rPr>
          <w:rFonts w:eastAsia="宋体" w:cs="Arial"/>
          <w:bCs/>
          <w:color w:val="000000" w:themeColor="text1"/>
          <w:szCs w:val="22"/>
        </w:rPr>
      </w:pPr>
      <w:r/>
      <w:bookmarkStart w:id="88" w:name="_Toc29306"/>
      <w:r/>
      <w:bookmarkStart w:id="89" w:name="_Toc81575193"/>
      <w:r/>
      <w:bookmarkStart w:id="90" w:name="_Toc15995"/>
      <w:r/>
      <w:bookmarkStart w:id="91" w:name="_Toc81575156"/>
      <w:r>
        <w:rPr>
          <w:rFonts w:hint="eastAsia" w:eastAsia="宋体" w:cs="Arial"/>
          <w:bCs/>
          <w:color w:val="000000" w:themeColor="text1"/>
          <w:szCs w:val="22"/>
        </w:rPr>
        <w:t xml:space="preserve">二、招标文件</w:t>
      </w:r>
      <w:bookmarkEnd w:id="88"/>
      <w:r/>
      <w:bookmarkEnd w:id="89"/>
      <w:r/>
      <w:bookmarkEnd w:id="90"/>
      <w:r/>
      <w:bookmarkEnd w:id="91"/>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5.</w:t>
      </w:r>
      <w:r>
        <w:rPr>
          <w:rFonts w:hint="eastAsia" w:ascii="Times New Roman" w:hAnsi="Times New Roman" w:cs="仿宋"/>
          <w:b/>
          <w:color w:val="000000" w:themeColor="text1"/>
          <w:sz w:val="24"/>
        </w:rPr>
        <w:t xml:space="preserve">招标文件构成</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5.1</w:t>
      </w:r>
      <w:r>
        <w:rPr>
          <w:rFonts w:hint="eastAsia" w:ascii="Times New Roman" w:hAnsi="Times New Roman" w:cs="仿宋"/>
          <w:color w:val="000000" w:themeColor="text1"/>
          <w:sz w:val="24"/>
        </w:rPr>
        <w:t xml:space="preserve">招标文件由以下部分组成：</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第一章：投标邀请；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第二章：投标人须知；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第三章：资格审查及评标办法；</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第五章：合同文本；</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第六章：投标文件格式。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5.2</w:t>
      </w:r>
      <w:r>
        <w:rPr>
          <w:rFonts w:hint="eastAsia" w:ascii="Times New Roman" w:hAnsi="Times New Roman" w:cs="仿宋"/>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6.</w:t>
      </w:r>
      <w:r>
        <w:rPr>
          <w:rFonts w:hint="eastAsia" w:ascii="Times New Roman" w:hAnsi="Times New Roman" w:cs="仿宋"/>
          <w:b/>
          <w:color w:val="000000" w:themeColor="text1"/>
          <w:sz w:val="24"/>
        </w:rPr>
        <w:t xml:space="preserve">政府采购政策功能落实</w:t>
      </w:r>
      <w:r/>
    </w:p>
    <w:p>
      <w:pPr>
        <w:ind w:firstLine="482"/>
        <w:spacing w:line="480" w:lineRule="exact"/>
        <w:rPr>
          <w:rFonts w:ascii="Times New Roman" w:hAnsi="Times New Roman" w:cs="仿宋"/>
          <w:b/>
          <w:bCs/>
          <w:color w:val="000000" w:themeColor="text1"/>
          <w:sz w:val="24"/>
          <w:u w:val="single"/>
        </w:rPr>
      </w:pPr>
      <w:r>
        <w:rPr>
          <w:rFonts w:hint="eastAsia" w:ascii="Times New Roman" w:hAnsi="Times New Roman" w:cs="仿宋"/>
          <w:b/>
          <w:bCs/>
          <w:color w:val="000000" w:themeColor="text1"/>
          <w:sz w:val="24"/>
        </w:rPr>
        <w:t xml:space="preserve">本项目落实的政府采购政策对应序号为</w:t>
      </w:r>
      <w:r>
        <w:rPr>
          <w:rFonts w:hint="eastAsia" w:ascii="Times New Roman" w:hAnsi="Times New Roman" w:cs="仿宋"/>
          <w:b/>
          <w:bCs/>
          <w:color w:val="000000" w:themeColor="text1"/>
          <w:sz w:val="24"/>
          <w:u w:val="single"/>
        </w:rPr>
        <w:t xml:space="preserve">    6.1  6.2  6.3  6.5    </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6.1</w:t>
      </w:r>
      <w:r>
        <w:rPr>
          <w:rFonts w:hint="eastAsia" w:ascii="Times New Roman" w:hAnsi="Times New Roman" w:cs="仿宋"/>
          <w:color w:val="000000" w:themeColor="text1"/>
          <w:sz w:val="24"/>
        </w:rPr>
        <w:t xml:space="preserve">中小企业政策</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本项目按第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rPr>
        <w:t xml:space="preserve">种政策落实：</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）本项目专门面向中小企业（含监狱与戒毒企业、残疾人福利企业）采购。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）对符合规定情形的小微企业报价给予</w:t>
      </w:r>
      <w:r>
        <w:rPr>
          <w:rFonts w:hint="eastAsia" w:ascii="Times New Roman" w:hAnsi="Times New Roman" w:cs="仿宋"/>
          <w:color w:val="000000" w:themeColor="text1"/>
          <w:sz w:val="24"/>
          <w:u w:val="single"/>
        </w:rPr>
        <w:t xml:space="preserve">15%</w:t>
      </w:r>
      <w:r>
        <w:rPr>
          <w:rFonts w:hint="eastAsia" w:ascii="Times New Roman" w:hAnsi="Times New Roman" w:cs="仿宋"/>
          <w:color w:val="000000" w:themeColor="text1"/>
          <w:sz w:val="24"/>
        </w:rPr>
        <w:t xml:space="preserve">扣除，用扣除后的价格参加评审。</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themeColor="text1"/>
          <w:sz w:val="24"/>
        </w:rPr>
      </w:pPr>
      <w:r>
        <w:rPr>
          <w:rFonts w:hint="eastAsia" w:ascii="Times New Roman" w:hAnsi="Times New Roman" w:cs="仿宋_GB2312"/>
          <w:color w:val="000000" w:themeColor="text1"/>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注：①参加投标的中小企业，应当按照《政府采购促进中小企业发展管理办法》（财库〔</w:t>
      </w:r>
      <w:r>
        <w:rPr>
          <w:rFonts w:hint="eastAsia" w:ascii="Times New Roman" w:hAnsi="Times New Roman" w:cs="仿宋"/>
          <w:color w:val="000000" w:themeColor="text1"/>
          <w:sz w:val="24"/>
        </w:rPr>
        <w:t xml:space="preserve">2020</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46</w:t>
      </w:r>
      <w:r>
        <w:rPr>
          <w:rFonts w:hint="eastAsia" w:ascii="Times New Roman" w:hAnsi="Times New Roman" w:cs="仿宋"/>
          <w:color w:val="000000" w:themeColor="text1"/>
          <w:sz w:val="24"/>
        </w:rPr>
        <w:t xml:space="preserve">号）规定，出具《中小企业声明函》，中小企业划型依据《关于印发中小企业划型标准规定的通知》（工信部联企业〔</w:t>
      </w:r>
      <w:r>
        <w:rPr>
          <w:rFonts w:hint="eastAsia" w:ascii="Times New Roman" w:hAnsi="Times New Roman" w:cs="仿宋"/>
          <w:color w:val="000000" w:themeColor="text1"/>
          <w:sz w:val="24"/>
        </w:rPr>
        <w:t xml:space="preserve">2011</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300</w:t>
      </w:r>
      <w:r>
        <w:rPr>
          <w:rFonts w:hint="eastAsia" w:ascii="Times New Roman" w:hAnsi="Times New Roman" w:cs="仿宋"/>
          <w:color w:val="000000" w:themeColor="text1"/>
          <w:sz w:val="24"/>
        </w:rPr>
        <w:t xml:space="preserve">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②参加投标的监狱企业，视同小型、微型企业。监狱企业应当按照《财政部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司法部关于政府采购支持监狱企业发展有关问题的通知》（财库〔</w:t>
      </w:r>
      <w:r>
        <w:rPr>
          <w:rFonts w:hint="eastAsia" w:ascii="Times New Roman" w:hAnsi="Times New Roman" w:cs="仿宋"/>
          <w:color w:val="000000" w:themeColor="text1"/>
          <w:sz w:val="24"/>
        </w:rPr>
        <w:t xml:space="preserve">2014</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68</w:t>
      </w:r>
      <w:r>
        <w:rPr>
          <w:rFonts w:hint="eastAsia" w:ascii="Times New Roman" w:hAnsi="Times New Roman" w:cs="仿宋"/>
          <w:color w:val="000000" w:themeColor="text1"/>
          <w:sz w:val="24"/>
        </w:rPr>
        <w:t xml:space="preserve">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③参加投标的残疾人福利性单位，视同小型、微型企业。残疾人福利性单位应当按照《财政部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民政部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中国残疾人联合会关于促进残疾人就业政府采购政策的通知》（财库〔</w:t>
      </w:r>
      <w:r>
        <w:rPr>
          <w:rFonts w:hint="eastAsia" w:ascii="Times New Roman" w:hAnsi="Times New Roman" w:cs="仿宋"/>
          <w:color w:val="000000" w:themeColor="text1"/>
          <w:sz w:val="24"/>
        </w:rPr>
        <w:t xml:space="preserve">2017</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141</w:t>
      </w:r>
      <w:r>
        <w:rPr>
          <w:rFonts w:hint="eastAsia" w:ascii="Times New Roman" w:hAnsi="Times New Roman" w:cs="仿宋"/>
          <w:color w:val="000000" w:themeColor="text1"/>
          <w:sz w:val="24"/>
        </w:rPr>
        <w:t xml:space="preserve">号）的规定，提供《残疾人福利性单位声明函》。</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color w:val="000000" w:themeColor="text1"/>
          <w:sz w:val="24"/>
        </w:rPr>
        <w:t xml:space="preserve">30%</w:t>
      </w:r>
      <w:r>
        <w:rPr>
          <w:rFonts w:hint="eastAsia" w:ascii="Times New Roman" w:hAnsi="Times New Roman" w:cs="仿宋"/>
          <w:color w:val="000000" w:themeColor="text1"/>
          <w:sz w:val="24"/>
        </w:rPr>
        <w:t xml:space="preserve">以上的，对联合体或者大中型企业的报价给予</w:t>
      </w:r>
      <w:r>
        <w:rPr>
          <w:rFonts w:hint="eastAsia" w:ascii="Times New Roman" w:hAnsi="Times New Roman" w:cs="仿宋"/>
          <w:color w:val="000000" w:themeColor="text1"/>
          <w:sz w:val="24"/>
          <w:u w:val="single"/>
        </w:rPr>
        <w:t xml:space="preserve">5</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（工程项目为</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⑤联合体各方均为小型、微型企业（残疾人福利单位、监狱企业）的，联合体享受</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价格扣除，用扣除后的价格参与评审。</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w:t>
      </w:r>
      <w:r>
        <w:rPr>
          <w:rFonts w:hint="eastAsia" w:ascii="Times New Roman" w:hAnsi="Times New Roman" w:cs="仿宋"/>
          <w:color w:val="000000" w:themeColor="text1"/>
          <w:sz w:val="24"/>
        </w:rPr>
        <w:t xml:space="preserve">节能产品、环境标志产品</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6.2.1</w:t>
      </w:r>
      <w:r>
        <w:rPr>
          <w:rFonts w:hint="eastAsia" w:ascii="Times New Roman" w:hAnsi="Times New Roman" w:cs="仿宋"/>
          <w:color w:val="000000" w:themeColor="text1"/>
          <w:sz w:val="24"/>
        </w:rPr>
        <w:t xml:space="preserve">拟采购的产品属于政府强制采购的节能产品品目清单范围的，投标人须提供</w:t>
      </w:r>
      <w:r>
        <w:rPr>
          <w:rFonts w:hint="eastAsia" w:ascii="Times New Roman" w:hAnsi="Times New Roman" w:cs="仿宋"/>
          <w:color w:val="000000" w:themeColor="text1"/>
          <w:sz w:val="24"/>
        </w:rPr>
        <w:t xml:space="preserve">国家确定的认证机构出具的、处于有效期之内的节能产品认证证书，否则其投标文件作无效标处理。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6.2.2</w:t>
      </w:r>
      <w:r>
        <w:rPr>
          <w:rFonts w:hint="eastAsia" w:ascii="Times New Roman" w:hAnsi="Times New Roman" w:cs="仿宋"/>
          <w:color w:val="000000" w:themeColor="text1"/>
          <w:sz w:val="24"/>
        </w:rPr>
        <w:t xml:space="preserve">采购人拟采购的产品属于优先采购的节能环保品目清单范围的，按以下条件优先采购：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采用综合评分法的项目，对提供有效节能环保证书的投标人加分。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w:t>
      </w:r>
      <w:r>
        <w:rPr>
          <w:rFonts w:hint="eastAsia" w:ascii="Times New Roman" w:hAnsi="Times New Roman" w:cs="仿宋"/>
          <w:color w:val="000000" w:themeColor="text1"/>
          <w:sz w:val="24"/>
        </w:rPr>
        <w:t xml:space="preserve">政府采购需求标准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6.3.1</w:t>
      </w:r>
      <w:r>
        <w:rPr>
          <w:rFonts w:hint="eastAsia" w:ascii="Times New Roman" w:hAnsi="Times New Roman" w:cs="仿宋"/>
          <w:color w:val="000000" w:themeColor="text1"/>
          <w:sz w:val="24"/>
        </w:rPr>
        <w:t xml:space="preserve">商品包装、快递包装政府采购需求标准（试行）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6.3.2</w:t>
      </w:r>
      <w:r>
        <w:rPr>
          <w:rFonts w:hint="eastAsia" w:ascii="Times New Roman" w:hAnsi="Times New Roman" w:cs="仿宋"/>
          <w:color w:val="000000" w:themeColor="text1"/>
          <w:sz w:val="24"/>
        </w:rPr>
        <w:t xml:space="preserve">绿色数据中心政府采购需求标准（试行）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生态环境部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6.3.3</w:t>
      </w:r>
      <w:r>
        <w:rPr>
          <w:rFonts w:hint="eastAsia" w:ascii="Times New Roman" w:hAnsi="Times New Roman" w:cs="仿宋"/>
          <w:color w:val="000000" w:themeColor="text1"/>
          <w:sz w:val="24"/>
        </w:rPr>
        <w:t xml:space="preserve">绿色建材政府采购需求标准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住房和城乡建设部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6.4</w:t>
      </w:r>
      <w:r>
        <w:rPr>
          <w:rFonts w:hint="eastAsia" w:ascii="Times New Roman" w:hAnsi="Times New Roman" w:cs="仿宋"/>
          <w:color w:val="000000" w:themeColor="text1"/>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color w:val="000000" w:themeColor="text1"/>
          <w:sz w:val="24"/>
        </w:rPr>
        <w:t xml:space="preserve">VOCs </w:t>
      </w:r>
      <w:r>
        <w:rPr>
          <w:rFonts w:hint="eastAsia" w:ascii="Times New Roman" w:hAnsi="Times New Roman" w:cs="仿宋"/>
          <w:color w:val="000000" w:themeColor="text1"/>
          <w:sz w:val="24"/>
        </w:rPr>
        <w:t xml:space="preserve">含量限制标准的产品。采购产品中涉及通用类货物、家具的，供应商应当优先使用低挥发性原辅材料，采购人将使用低</w:t>
      </w:r>
      <w:r>
        <w:rPr>
          <w:rFonts w:hint="eastAsia" w:ascii="Times New Roman" w:hAnsi="Times New Roman" w:cs="仿宋"/>
          <w:color w:val="000000" w:themeColor="text1"/>
          <w:sz w:val="24"/>
        </w:rPr>
        <w:t xml:space="preserve">VOCs</w:t>
      </w:r>
      <w:r>
        <w:rPr>
          <w:rFonts w:hint="eastAsia" w:ascii="Times New Roman" w:hAnsi="Times New Roman" w:cs="仿宋"/>
          <w:color w:val="000000" w:themeColor="text1"/>
          <w:sz w:val="24"/>
        </w:rPr>
        <w:t xml:space="preserve">含量的涂料、胶黏剂等纳入政府采购合同条款的，供应商必须严格执行。</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6.5</w:t>
      </w:r>
      <w:r>
        <w:rPr>
          <w:rFonts w:ascii="Times New Roman" w:hAnsi="Times New Roman" w:cs="仿宋"/>
          <w:color w:val="000000" w:themeColor="text1"/>
          <w:sz w:val="24"/>
        </w:rPr>
        <w:t xml:space="preserve">本国产品价格评审优惠（依据国办发〔</w:t>
      </w:r>
      <w:r>
        <w:rPr>
          <w:rFonts w:ascii="Times New Roman" w:hAnsi="Times New Roman" w:cs="仿宋"/>
          <w:color w:val="000000" w:themeColor="text1"/>
          <w:sz w:val="24"/>
        </w:rPr>
        <w:t xml:space="preserve">2025</w:t>
      </w: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34 </w:t>
      </w:r>
      <w:r>
        <w:rPr>
          <w:rFonts w:ascii="Times New Roman" w:hAnsi="Times New Roman" w:cs="仿宋"/>
          <w:color w:val="000000" w:themeColor="text1"/>
          <w:sz w:val="24"/>
        </w:rPr>
        <w:t xml:space="preserve">号）</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6.5.1</w:t>
      </w:r>
      <w:r>
        <w:rPr>
          <w:rFonts w:ascii="Times New Roman" w:hAnsi="Times New Roman" w:cs="仿宋"/>
          <w:color w:val="000000" w:themeColor="text1"/>
          <w:sz w:val="24"/>
        </w:rPr>
        <w:t xml:space="preserve">本项目为非预留份额的货物类采购项目，执行本国产品价格扣除政策。投标人所投产品既有本国产品又有非本国产品参与竞争时，对符合条件的本国产品给予</w:t>
      </w:r>
      <w:r>
        <w:rPr>
          <w:rFonts w:ascii="Times New Roman" w:hAnsi="Times New Roman" w:cs="仿宋"/>
          <w:color w:val="000000" w:themeColor="text1"/>
          <w:sz w:val="24"/>
        </w:rPr>
        <w:t xml:space="preserve">20% </w:t>
      </w:r>
      <w:r>
        <w:rPr>
          <w:rFonts w:ascii="Times New Roman" w:hAnsi="Times New Roman" w:cs="仿宋"/>
          <w:color w:val="000000" w:themeColor="text1"/>
          <w:sz w:val="24"/>
        </w:rPr>
        <w:t xml:space="preserve">价格扣除，用扣除后的价格参与评审。</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1</w:t>
      </w:r>
      <w:r>
        <w:rPr>
          <w:rFonts w:ascii="Times New Roman" w:hAnsi="Times New Roman" w:cs="仿宋"/>
          <w:color w:val="000000" w:themeColor="text1"/>
          <w:sz w:val="24"/>
        </w:rPr>
        <w:t xml:space="preserve">）本国产品认定标准：指在中国关境内完成实质性生产（实现原材料、组件到成品的属性改变，不含简单贴牌、包装、上漆、分装等细微操作）。过渡期内，仅以境内生产作为认定依据。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2</w:t>
      </w:r>
      <w:r>
        <w:rPr>
          <w:rFonts w:ascii="Times New Roman" w:hAnsi="Times New Roman" w:cs="仿宋"/>
          <w:color w:val="000000" w:themeColor="text1"/>
          <w:sz w:val="24"/>
        </w:rPr>
        <w:t xml:space="preserve">）多产品比例规则：若项目含多种产品，投标人所投符合本国产品标准的产品成本之和占该供应商提供的全部产品成本之和的比例达到</w:t>
      </w:r>
      <w:r>
        <w:rPr>
          <w:rFonts w:ascii="Times New Roman" w:hAnsi="Times New Roman" w:cs="仿宋"/>
          <w:color w:val="000000" w:themeColor="text1"/>
          <w:sz w:val="24"/>
        </w:rPr>
        <w:t xml:space="preserve">80%</w:t>
      </w:r>
      <w:r>
        <w:rPr>
          <w:rFonts w:ascii="Times New Roman" w:hAnsi="Times New Roman" w:cs="仿宋"/>
          <w:color w:val="000000" w:themeColor="text1"/>
          <w:sz w:val="24"/>
        </w:rPr>
        <w:t xml:space="preserve">以上时，依法对该供应商提供的全部产品给予价格评审优惠，即对该供应商提供的全部产品的总报价给予</w:t>
      </w:r>
      <w:r>
        <w:rPr>
          <w:rFonts w:ascii="Times New Roman" w:hAnsi="Times New Roman" w:cs="仿宋"/>
          <w:color w:val="000000" w:themeColor="text1"/>
          <w:sz w:val="24"/>
        </w:rPr>
        <w:t xml:space="preserve">20%</w:t>
      </w:r>
      <w:r>
        <w:rPr>
          <w:rFonts w:ascii="Times New Roman" w:hAnsi="Times New Roman" w:cs="仿宋"/>
          <w:color w:val="000000" w:themeColor="text1"/>
          <w:sz w:val="24"/>
        </w:rPr>
        <w:t xml:space="preserve">的价格扣除，用扣除后的价格参与评审。</w:t>
      </w:r>
      <w:r/>
    </w:p>
    <w:p>
      <w:pPr>
        <w:ind w:firstLine="480"/>
        <w:spacing w:line="480" w:lineRule="exact"/>
        <w:rPr>
          <w:color w:val="000000" w:themeColor="text1"/>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3</w:t>
      </w:r>
      <w:r>
        <w:rPr>
          <w:rFonts w:ascii="Times New Roman" w:hAnsi="Times New Roman" w:cs="仿宋"/>
          <w:color w:val="000000" w:themeColor="text1"/>
          <w:sz w:val="24"/>
        </w:rPr>
        <w:t xml:space="preserve">）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7.</w:t>
      </w:r>
      <w:r>
        <w:rPr>
          <w:rFonts w:hint="eastAsia" w:ascii="Times New Roman" w:hAnsi="Times New Roman" w:cs="仿宋"/>
          <w:b/>
          <w:color w:val="000000" w:themeColor="text1"/>
          <w:sz w:val="24"/>
        </w:rPr>
        <w:t xml:space="preserve">招标文件的澄清或修改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7.1</w:t>
      </w:r>
      <w:r>
        <w:rPr>
          <w:rFonts w:hint="eastAsia" w:ascii="Times New Roman" w:hAnsi="Times New Roman" w:cs="仿宋"/>
          <w:color w:val="000000" w:themeColor="text1"/>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日前发出；不足</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日的，采购人、采购代理机构应当顺延提交投标文件的截止时间。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7.2</w:t>
      </w:r>
      <w:r>
        <w:rPr>
          <w:rFonts w:hint="eastAsia" w:ascii="Times New Roman" w:hAnsi="Times New Roman" w:cs="仿宋"/>
          <w:color w:val="000000" w:themeColor="text1"/>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7.3</w:t>
      </w:r>
      <w:r>
        <w:rPr>
          <w:rFonts w:hint="eastAsia" w:ascii="Times New Roman" w:hAnsi="Times New Roman" w:cs="仿宋"/>
          <w:color w:val="000000" w:themeColor="text1"/>
          <w:sz w:val="24"/>
        </w:rPr>
        <w:t xml:space="preserve">投标人应及时登录“苏采云”系统获取澄清答疑文件（修改后的招标文件），如投标人未能及时下载澄清答疑文件，造成的相关责任由投标人承担。</w:t>
      </w:r>
      <w:r/>
    </w:p>
    <w:p>
      <w:pPr>
        <w:pStyle w:val="847"/>
        <w:ind w:firstLine="321"/>
        <w:spacing w:before="0" w:after="0" w:line="480" w:lineRule="exact"/>
        <w:rPr>
          <w:rFonts w:eastAsia="宋体" w:cs="Arial"/>
          <w:bCs/>
          <w:color w:val="000000" w:themeColor="text1"/>
          <w:szCs w:val="22"/>
        </w:rPr>
      </w:pPr>
      <w:r/>
      <w:bookmarkStart w:id="92" w:name="_Toc11461"/>
      <w:r/>
      <w:bookmarkStart w:id="93" w:name="_Toc81575157"/>
      <w:r/>
      <w:bookmarkStart w:id="94" w:name="_Toc5574"/>
      <w:r/>
      <w:bookmarkStart w:id="95" w:name="_Toc81575194"/>
      <w:r>
        <w:rPr>
          <w:rFonts w:hint="eastAsia" w:eastAsia="宋体" w:cs="Arial"/>
          <w:bCs/>
          <w:color w:val="000000" w:themeColor="text1"/>
          <w:szCs w:val="22"/>
        </w:rPr>
        <w:t xml:space="preserve">三、投标文件的编制</w:t>
      </w:r>
      <w:bookmarkEnd w:id="92"/>
      <w:r/>
      <w:bookmarkEnd w:id="93"/>
      <w:r/>
      <w:bookmarkEnd w:id="94"/>
      <w:r/>
      <w:bookmarkEnd w:id="9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8.</w:t>
      </w:r>
      <w:r>
        <w:rPr>
          <w:rFonts w:hint="eastAsia" w:ascii="Times New Roman" w:hAnsi="Times New Roman" w:cs="仿宋"/>
          <w:b/>
          <w:color w:val="000000" w:themeColor="text1"/>
          <w:sz w:val="24"/>
        </w:rPr>
        <w:t xml:space="preserve">投标文件的编制要求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8.1</w:t>
      </w:r>
      <w:r>
        <w:rPr>
          <w:rFonts w:hint="eastAsia" w:ascii="Times New Roman" w:hAnsi="Times New Roman" w:cs="仿宋"/>
          <w:color w:val="000000" w:themeColor="text1"/>
          <w:sz w:val="24"/>
        </w:rPr>
        <w:t xml:space="preserve">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8.2</w:t>
      </w:r>
      <w:r>
        <w:rPr>
          <w:rFonts w:hint="eastAsia" w:ascii="Times New Roman" w:hAnsi="Times New Roman" w:cs="仿宋"/>
          <w:color w:val="000000" w:themeColor="text1"/>
          <w:sz w:val="24"/>
        </w:rPr>
        <w:t xml:space="preserve">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8.3</w:t>
      </w:r>
      <w:r>
        <w:rPr>
          <w:rFonts w:hint="eastAsia" w:ascii="Times New Roman" w:hAnsi="Times New Roman" w:cs="仿宋"/>
          <w:color w:val="000000" w:themeColor="text1"/>
          <w:sz w:val="24"/>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w:t>
      </w:r>
      <w:r>
        <w:rPr>
          <w:rFonts w:hint="eastAsia" w:ascii="Times New Roman" w:hAnsi="Times New Roman" w:cs="仿宋"/>
          <w:color w:val="000000" w:themeColor="text1"/>
          <w:sz w:val="24"/>
        </w:rPr>
        <w:t xml:space="preserve">“宿迁市政府采购网”发布的采购文件为准。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9.</w:t>
      </w:r>
      <w:r>
        <w:rPr>
          <w:rFonts w:hint="eastAsia" w:ascii="Times New Roman" w:hAnsi="Times New Roman" w:cs="仿宋"/>
          <w:b/>
          <w:color w:val="000000" w:themeColor="text1"/>
          <w:sz w:val="24"/>
        </w:rPr>
        <w:t xml:space="preserve">投标文件构成</w:t>
      </w:r>
      <w:r/>
    </w:p>
    <w:p>
      <w:pPr>
        <w:ind w:firstLine="480"/>
        <w:spacing w:line="480" w:lineRule="exact"/>
        <w:rPr>
          <w:rFonts w:ascii="Times New Roman" w:hAnsi="Times New Roman" w:cs="仿宋"/>
          <w:bCs/>
          <w:color w:val="000000" w:themeColor="text1"/>
          <w:sz w:val="24"/>
        </w:rPr>
      </w:pPr>
      <w:r>
        <w:rPr>
          <w:rFonts w:hint="eastAsia" w:ascii="Times New Roman" w:hAnsi="Times New Roman" w:cs="仿宋"/>
          <w:color w:val="000000" w:themeColor="text1"/>
          <w:sz w:val="24"/>
        </w:rPr>
        <w:t xml:space="preserve">9.1</w:t>
      </w:r>
      <w:r>
        <w:rPr>
          <w:rFonts w:hint="eastAsia" w:ascii="Times New Roman" w:hAnsi="Times New Roman" w:cs="仿宋"/>
          <w:color w:val="000000" w:themeColor="text1"/>
          <w:sz w:val="24"/>
        </w:rPr>
        <w:t xml:space="preserve">投标文件包括资格证明文件、开标一览表、分项报价表、响应及偏离表、投标函、其他证明文件等部分。</w:t>
      </w:r>
      <w:r>
        <w:rPr>
          <w:rFonts w:hint="eastAsia" w:ascii="Times New Roman" w:hAnsi="Times New Roman" w:cs="仿宋"/>
          <w:bCs/>
          <w:color w:val="000000" w:themeColor="text1"/>
          <w:sz w:val="24"/>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themeColor="text1"/>
          <w:sz w:val="24"/>
        </w:rPr>
      </w:pPr>
      <w:r>
        <w:rPr>
          <w:rFonts w:hint="eastAsia" w:ascii="Times New Roman" w:hAnsi="Times New Roman" w:cs="仿宋"/>
          <w:b/>
          <w:color w:val="000000" w:themeColor="text1"/>
          <w:sz w:val="24"/>
        </w:rPr>
        <w:t xml:space="preserve">9.2</w:t>
      </w:r>
      <w:r>
        <w:rPr>
          <w:rFonts w:hint="eastAsia" w:ascii="Times New Roman" w:hAnsi="Times New Roman" w:cs="仿宋"/>
          <w:b/>
          <w:color w:val="000000" w:themeColor="text1"/>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10.</w:t>
      </w:r>
      <w:r>
        <w:rPr>
          <w:rFonts w:hint="eastAsia" w:ascii="Times New Roman" w:hAnsi="Times New Roman" w:cs="仿宋"/>
          <w:b/>
          <w:color w:val="000000" w:themeColor="text1"/>
          <w:sz w:val="24"/>
        </w:rPr>
        <w:t xml:space="preserve">投标报价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10.1</w:t>
      </w:r>
      <w:r>
        <w:rPr>
          <w:rFonts w:hint="eastAsia" w:ascii="Times New Roman" w:hAnsi="Times New Roman" w:cs="仿宋"/>
          <w:color w:val="000000" w:themeColor="text1"/>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10.2</w:t>
      </w:r>
      <w:r>
        <w:rPr>
          <w:rFonts w:hint="eastAsia" w:ascii="Times New Roman" w:hAnsi="Times New Roman" w:cs="仿宋"/>
          <w:color w:val="000000" w:themeColor="text1"/>
          <w:sz w:val="24"/>
        </w:rPr>
        <w:t xml:space="preserve">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11.</w:t>
      </w:r>
      <w:r>
        <w:rPr>
          <w:rFonts w:hint="eastAsia" w:ascii="Times New Roman" w:hAnsi="Times New Roman" w:cs="仿宋"/>
          <w:b/>
          <w:color w:val="000000" w:themeColor="text1"/>
          <w:sz w:val="24"/>
        </w:rPr>
        <w:t xml:space="preserve">投标保证金</w:t>
      </w:r>
      <w:bookmarkStart w:id="97" w:name="EB183a0bf075204c54a4ff090f1aecaaa7"/>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本项目不收取投标保证金。</w:t>
      </w:r>
      <w:bookmarkEnd w:id="97"/>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12.</w:t>
      </w:r>
      <w:r>
        <w:rPr>
          <w:rFonts w:hint="eastAsia" w:ascii="Times New Roman" w:hAnsi="Times New Roman" w:cs="仿宋"/>
          <w:b/>
          <w:color w:val="000000" w:themeColor="text1"/>
          <w:sz w:val="24"/>
        </w:rPr>
        <w:t xml:space="preserve">投标有效期</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12.1</w:t>
      </w:r>
      <w:r>
        <w:rPr>
          <w:rFonts w:hint="eastAsia" w:ascii="Times New Roman" w:hAnsi="Times New Roman" w:cs="仿宋"/>
          <w:color w:val="000000" w:themeColor="text1"/>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12.2</w:t>
      </w:r>
      <w:r>
        <w:rPr>
          <w:rFonts w:hint="eastAsia" w:ascii="Times New Roman" w:hAnsi="Times New Roman" w:cs="仿宋"/>
          <w:color w:val="000000" w:themeColor="text1"/>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47"/>
        <w:ind w:firstLine="321"/>
        <w:spacing w:before="0" w:after="0" w:line="480" w:lineRule="exact"/>
        <w:rPr>
          <w:rFonts w:eastAsia="宋体" w:cs="Arial"/>
          <w:bCs/>
          <w:color w:val="000000" w:themeColor="text1"/>
          <w:szCs w:val="22"/>
        </w:rPr>
      </w:pPr>
      <w:r/>
      <w:bookmarkStart w:id="98" w:name="_Toc81575195"/>
      <w:r/>
      <w:bookmarkStart w:id="99" w:name="_Toc23443"/>
      <w:r/>
      <w:bookmarkStart w:id="100" w:name="_Toc81575158"/>
      <w:r/>
      <w:bookmarkStart w:id="101" w:name="_Toc2773"/>
      <w:r>
        <w:rPr>
          <w:rFonts w:hint="eastAsia" w:eastAsia="宋体" w:cs="Arial"/>
          <w:bCs/>
          <w:color w:val="000000" w:themeColor="text1"/>
          <w:szCs w:val="22"/>
        </w:rPr>
        <w:t xml:space="preserve">四、投标文件的提交</w:t>
      </w:r>
      <w:bookmarkEnd w:id="98"/>
      <w:r/>
      <w:bookmarkEnd w:id="99"/>
      <w:r/>
      <w:bookmarkEnd w:id="100"/>
      <w:r/>
      <w:bookmarkEnd w:id="101"/>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13.</w:t>
      </w:r>
      <w:r>
        <w:rPr>
          <w:rFonts w:hint="eastAsia" w:ascii="Times New Roman" w:hAnsi="Times New Roman" w:cs="仿宋"/>
          <w:b/>
          <w:color w:val="000000" w:themeColor="text1"/>
          <w:sz w:val="24"/>
        </w:rPr>
        <w:t xml:space="preserve">投标文件的提交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13.1</w:t>
      </w:r>
      <w:r>
        <w:rPr>
          <w:rFonts w:hint="eastAsia" w:ascii="Times New Roman" w:hAnsi="Times New Roman" w:cs="仿宋"/>
          <w:color w:val="000000" w:themeColor="text1"/>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13.2</w:t>
      </w:r>
      <w:r>
        <w:rPr>
          <w:rFonts w:hint="eastAsia" w:ascii="Times New Roman" w:hAnsi="Times New Roman" w:cs="仿宋"/>
          <w:color w:val="000000" w:themeColor="text1"/>
          <w:sz w:val="24"/>
        </w:rPr>
        <w:t xml:space="preserve">投标文件的修改和撤回：在投标截止时间之前，投标人可以撤回或重新提交投标文件。投标文件以最终完成上传的为准。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13.3</w:t>
      </w:r>
      <w:r>
        <w:rPr>
          <w:rFonts w:hint="eastAsia" w:ascii="Times New Roman" w:hAnsi="Times New Roman" w:cs="仿宋"/>
          <w:color w:val="000000" w:themeColor="text1"/>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14.</w:t>
      </w:r>
      <w:r>
        <w:rPr>
          <w:rFonts w:hint="eastAsia" w:ascii="Times New Roman" w:hAnsi="Times New Roman" w:cs="仿宋"/>
          <w:b/>
          <w:color w:val="000000" w:themeColor="text1"/>
          <w:sz w:val="24"/>
        </w:rPr>
        <w:t xml:space="preserve">投标文件被拒绝接收的情形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在招标文件规定的投标截止时间后上传的投标文件或对投标报价或其他实质性内容修正的文件。</w:t>
      </w:r>
      <w:r/>
    </w:p>
    <w:p>
      <w:pPr>
        <w:pStyle w:val="847"/>
        <w:ind w:firstLine="321"/>
        <w:spacing w:before="0" w:after="0" w:line="520" w:lineRule="exact"/>
        <w:rPr>
          <w:rFonts w:eastAsia="宋体" w:cs="Arial"/>
          <w:bCs/>
          <w:color w:val="000000" w:themeColor="text1"/>
          <w:szCs w:val="22"/>
        </w:rPr>
      </w:pPr>
      <w:r/>
      <w:bookmarkStart w:id="102" w:name="_Toc959"/>
      <w:r/>
      <w:bookmarkStart w:id="103" w:name="_Toc81575160"/>
      <w:r/>
      <w:bookmarkStart w:id="104" w:name="_Toc81575197"/>
      <w:r/>
      <w:bookmarkStart w:id="105" w:name="_Toc20026"/>
      <w:r>
        <w:rPr>
          <w:rFonts w:hint="eastAsia" w:eastAsia="宋体" w:cs="Arial"/>
          <w:bCs/>
          <w:color w:val="000000" w:themeColor="text1"/>
          <w:szCs w:val="22"/>
        </w:rPr>
        <w:t xml:space="preserve">五、开标、评标程序</w:t>
      </w:r>
      <w:bookmarkEnd w:id="102"/>
      <w:r/>
      <w:bookmarkEnd w:id="103"/>
      <w:r/>
      <w:bookmarkEnd w:id="104"/>
      <w:r/>
      <w:bookmarkEnd w:id="10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15.</w:t>
      </w:r>
      <w:r>
        <w:rPr>
          <w:rFonts w:hint="eastAsia" w:ascii="Times New Roman" w:hAnsi="Times New Roman" w:cs="仿宋"/>
          <w:b/>
          <w:color w:val="000000" w:themeColor="text1"/>
          <w:sz w:val="24"/>
        </w:rPr>
        <w:t xml:space="preserve">开标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15.1</w:t>
      </w:r>
      <w:r>
        <w:rPr>
          <w:rFonts w:hint="eastAsia" w:ascii="Times New Roman" w:hAnsi="Times New Roman" w:cs="仿宋"/>
          <w:color w:val="000000" w:themeColor="text1"/>
          <w:sz w:val="24"/>
        </w:rPr>
        <w:t xml:space="preserve">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15.2</w:t>
      </w:r>
      <w:r>
        <w:rPr>
          <w:rFonts w:hint="eastAsia" w:ascii="Times New Roman" w:hAnsi="Times New Roman" w:cs="仿宋"/>
          <w:color w:val="000000" w:themeColor="text1"/>
          <w:sz w:val="24"/>
        </w:rPr>
        <w:t xml:space="preserve">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15.3</w:t>
      </w:r>
      <w:r>
        <w:rPr>
          <w:rFonts w:hint="eastAsia" w:ascii="Times New Roman" w:hAnsi="Times New Roman" w:cs="仿宋"/>
          <w:b/>
          <w:bCs/>
          <w:color w:val="000000" w:themeColor="text1"/>
          <w:sz w:val="24"/>
        </w:rPr>
        <w:t xml:space="preserve">投标人用于解密的</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证书应为该投标文件生成加密、上传的同一把</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证书。投标人应登录“苏采云”系统进入“开标大厅”，在系统约定时间内使用</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证书解密，未成功解密的视为放弃投标。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15.4</w:t>
      </w:r>
      <w:r>
        <w:rPr>
          <w:rFonts w:hint="eastAsia" w:ascii="Times New Roman" w:hAnsi="Times New Roman" w:cs="仿宋"/>
          <w:color w:val="000000" w:themeColor="text1"/>
          <w:sz w:val="24"/>
        </w:rPr>
        <w:t xml:space="preserve">投标人如果对开标过程和开标记录有疑义，应当根据《操作手册》规定提出。如“苏采云”系统中《开标记录表》宣布后</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分钟内未提出的，视同认可开标结果。</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15.5</w:t>
      </w:r>
      <w:r>
        <w:rPr>
          <w:rFonts w:hint="eastAsia" w:ascii="Times New Roman" w:hAnsi="Times New Roman" w:cs="仿宋"/>
          <w:color w:val="000000" w:themeColor="text1"/>
          <w:sz w:val="24"/>
        </w:rPr>
        <w:t xml:space="preserve">投标人在开、评标全过程中应保持通信畅通，及时登录“苏采云”系统查阅、答复相关信息。</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16.</w:t>
      </w:r>
      <w:r>
        <w:rPr>
          <w:rFonts w:hint="eastAsia" w:ascii="Times New Roman" w:hAnsi="Times New Roman" w:cs="仿宋"/>
          <w:b/>
          <w:color w:val="000000" w:themeColor="text1"/>
          <w:sz w:val="24"/>
        </w:rPr>
        <w:t xml:space="preserve">评标委员会</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17.</w:t>
      </w:r>
      <w:r>
        <w:rPr>
          <w:rFonts w:hint="eastAsia" w:ascii="Times New Roman" w:hAnsi="Times New Roman" w:cs="仿宋"/>
          <w:b/>
          <w:color w:val="000000" w:themeColor="text1"/>
          <w:sz w:val="24"/>
        </w:rPr>
        <w:t xml:space="preserve">评标程序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17.1</w:t>
      </w:r>
      <w:r>
        <w:rPr>
          <w:rFonts w:hint="eastAsia" w:ascii="Times New Roman" w:hAnsi="Times New Roman" w:cs="仿宋"/>
          <w:color w:val="000000" w:themeColor="text1"/>
          <w:sz w:val="24"/>
        </w:rPr>
        <w:t xml:space="preserve">资格审查</w:t>
      </w:r>
      <w:bookmarkStart w:id="106" w:name="EBa9c0a2c9e523494487594c65b2a92370"/>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开标结束后，采购人依法根据招标文件的规定对投标人的资格证明文件等进行审</w:t>
      </w:r>
      <w:r>
        <w:rPr>
          <w:rFonts w:hint="eastAsia" w:ascii="Times New Roman" w:hAnsi="Times New Roman" w:cs="仿宋"/>
          <w:color w:val="000000" w:themeColor="text1"/>
          <w:sz w:val="24"/>
        </w:rPr>
        <w:t xml:space="preserve">查。</w:t>
      </w:r>
      <w:bookmarkEnd w:id="106"/>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w:t>
      </w:r>
      <w:r>
        <w:rPr>
          <w:rFonts w:hint="eastAsia" w:ascii="Times New Roman" w:hAnsi="Times New Roman" w:cs="仿宋"/>
          <w:color w:val="000000" w:themeColor="text1"/>
          <w:sz w:val="24"/>
        </w:rPr>
        <w:t xml:space="preserve">符合性检查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17.2.1</w:t>
      </w:r>
      <w:r>
        <w:rPr>
          <w:rFonts w:hint="eastAsia" w:ascii="Times New Roman" w:hAnsi="Times New Roman" w:cs="仿宋"/>
          <w:color w:val="000000" w:themeColor="text1"/>
          <w:sz w:val="24"/>
        </w:rPr>
        <w:t xml:space="preserve">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17.2.2</w:t>
      </w:r>
      <w:r>
        <w:rPr>
          <w:rFonts w:hint="eastAsia" w:ascii="Times New Roman" w:hAnsi="Times New Roman" w:cs="仿宋"/>
          <w:color w:val="000000" w:themeColor="text1"/>
          <w:sz w:val="24"/>
        </w:rPr>
        <w:t xml:space="preserve">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themeColor="text1"/>
          <w:sz w:val="24"/>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themeColor="text1"/>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17.3</w:t>
      </w:r>
      <w:r>
        <w:rPr>
          <w:rFonts w:hint="eastAsia" w:ascii="Times New Roman" w:hAnsi="Times New Roman" w:cs="仿宋"/>
          <w:color w:val="000000" w:themeColor="text1"/>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17.4</w:t>
      </w:r>
      <w:r>
        <w:rPr>
          <w:rFonts w:hint="eastAsia" w:ascii="Times New Roman" w:hAnsi="Times New Roman" w:cs="仿宋"/>
          <w:color w:val="000000" w:themeColor="text1"/>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w:t>
      </w:r>
      <w:r>
        <w:rPr>
          <w:rFonts w:hint="eastAsia" w:ascii="Times New Roman" w:hAnsi="Times New Roman" w:cs="仿宋"/>
          <w:color w:val="000000" w:themeColor="text1"/>
          <w:sz w:val="24"/>
        </w:rPr>
        <w:t xml:space="preserve">相同品牌产品投标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17.5.1</w:t>
      </w:r>
      <w:r>
        <w:rPr>
          <w:rFonts w:hint="eastAsia" w:ascii="Times New Roman" w:hAnsi="Times New Roman" w:cs="仿宋"/>
          <w:color w:val="000000" w:themeColor="text1"/>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17.5.2</w:t>
      </w:r>
      <w:r>
        <w:rPr>
          <w:rFonts w:hint="eastAsia" w:ascii="Times New Roman" w:hAnsi="Times New Roman" w:cs="仿宋"/>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17.5.3</w:t>
      </w:r>
      <w:r>
        <w:rPr>
          <w:rFonts w:hint="eastAsia" w:ascii="Times New Roman" w:hAnsi="Times New Roman" w:cs="仿宋"/>
          <w:color w:val="000000" w:themeColor="text1"/>
          <w:sz w:val="24"/>
        </w:rPr>
        <w:t xml:space="preserve">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17.6</w:t>
      </w:r>
      <w:r>
        <w:rPr>
          <w:rFonts w:hint="eastAsia" w:ascii="Times New Roman" w:hAnsi="Times New Roman" w:cs="仿宋"/>
          <w:b/>
          <w:color w:val="000000" w:themeColor="text1"/>
          <w:sz w:val="24"/>
        </w:rPr>
        <w:t xml:space="preserve">有关问题的澄清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17.6.1</w:t>
      </w:r>
      <w:r>
        <w:rPr>
          <w:rFonts w:hint="eastAsia" w:ascii="Times New Roman" w:hAnsi="Times New Roman" w:cs="仿宋"/>
          <w:color w:val="000000" w:themeColor="text1"/>
          <w:sz w:val="24"/>
        </w:rPr>
        <w:t xml:space="preserve">对投标文件中含义不明确、同类问题表述不一致或者有明显文字和计算错误的内容，评标委员会通过“苏采云”系统向投标人发出“澄清要求函”，要求投标</w:t>
      </w:r>
      <w:r>
        <w:rPr>
          <w:rFonts w:hint="eastAsia" w:ascii="Times New Roman" w:hAnsi="Times New Roman" w:cs="仿宋"/>
          <w:color w:val="000000" w:themeColor="text1"/>
          <w:sz w:val="24"/>
        </w:rPr>
        <w:t xml:space="preserve">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17.6.2</w:t>
      </w:r>
      <w:r>
        <w:rPr>
          <w:rFonts w:hint="eastAsia" w:ascii="Times New Roman" w:hAnsi="Times New Roman" w:cs="仿宋"/>
          <w:color w:val="000000" w:themeColor="text1"/>
          <w:sz w:val="24"/>
        </w:rPr>
        <w:t xml:space="preserve">投标文件报价出现前后不一致的，除招标文件另有规定外，按照下列规定修正：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②大写金额和小写金额不一致的，以大写金额为准；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④总价金额与按单价汇总金额不一致的，以单价金额计算结果为准。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同时出现两种以上不一致的，按照前款规定的顺序修正。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17.6.3</w:t>
      </w:r>
      <w:r>
        <w:rPr>
          <w:rFonts w:hint="eastAsia" w:ascii="Times New Roman" w:hAnsi="Times New Roman" w:cs="仿宋"/>
          <w:color w:val="000000" w:themeColor="text1"/>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评标过程中，不得去掉报价中的最高报价和最低报价。</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17.7</w:t>
      </w:r>
      <w:r>
        <w:rPr>
          <w:rFonts w:hint="eastAsia" w:ascii="Times New Roman" w:hAnsi="Times New Roman"/>
          <w:color w:val="000000" w:themeColor="text1"/>
          <w:sz w:val="24"/>
        </w:rPr>
        <w:t xml:space="preserve">异常低价响应审查</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17.7.1</w:t>
      </w:r>
      <w:r>
        <w:rPr>
          <w:rFonts w:hint="eastAsia" w:ascii="Times New Roman" w:hAnsi="Times New Roman"/>
          <w:color w:val="000000" w:themeColor="text1"/>
          <w:sz w:val="24"/>
        </w:rPr>
        <w:t xml:space="preserve">评审过程中出现下列情形之一的，评审委员会应当启动异常低价响应审查程序：</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1</w:t>
      </w:r>
      <w:r>
        <w:rPr>
          <w:rFonts w:hint="eastAsia" w:ascii="Times New Roman" w:hAnsi="Times New Roman"/>
          <w:color w:val="000000" w:themeColor="text1"/>
          <w:sz w:val="24"/>
        </w:rPr>
        <w:t xml:space="preserve">）投标（响应）报价低于全部通过符合性审查供应商投标（响应）报价平均值</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全部通过符合性审查供应商投标（响应）报价平均值×</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2</w:t>
      </w:r>
      <w:r>
        <w:rPr>
          <w:rFonts w:hint="eastAsia" w:ascii="Times New Roman" w:hAnsi="Times New Roman"/>
          <w:color w:val="000000" w:themeColor="text1"/>
          <w:sz w:val="24"/>
        </w:rPr>
        <w:t xml:space="preserve">）投标（响应）报价低于通过符合性审查的次低报价供应商投标（响应）报价</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通过符合性审查的次低报价供应商投标（响应）报价×</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3</w:t>
      </w:r>
      <w:r>
        <w:rPr>
          <w:rFonts w:hint="eastAsia" w:ascii="Times New Roman" w:hAnsi="Times New Roman"/>
          <w:color w:val="000000" w:themeColor="text1"/>
          <w:sz w:val="24"/>
        </w:rPr>
        <w:t xml:space="preserve">）投标（响应）报价低于采购项目最高限价</w:t>
      </w:r>
      <w:r>
        <w:rPr>
          <w:rFonts w:hint="eastAsia" w:ascii="Times New Roman" w:hAnsi="Times New Roman"/>
          <w:color w:val="000000" w:themeColor="text1"/>
          <w:sz w:val="24"/>
        </w:rPr>
        <w:t xml:space="preserve">45%</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采购项目最高限价×</w:t>
      </w:r>
      <w:r>
        <w:rPr>
          <w:rFonts w:hint="eastAsia" w:ascii="Times New Roman" w:hAnsi="Times New Roman"/>
          <w:color w:val="000000" w:themeColor="text1"/>
          <w:sz w:val="24"/>
        </w:rPr>
        <w:t xml:space="preserve">45%</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）评审委员会基于专业判断，认为供应商报价过低，有可能影响产品质量或者</w:t>
      </w:r>
      <w:r>
        <w:rPr>
          <w:rFonts w:hint="eastAsia" w:ascii="Times New Roman" w:hAnsi="Times New Roman"/>
          <w:color w:val="000000" w:themeColor="text1"/>
          <w:sz w:val="24"/>
        </w:rPr>
        <w:t xml:space="preserve">不能诚信履约的其他情形。</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评审委员会启动异常低价响应审查后，属于前述第</w:t>
      </w:r>
      <w:r>
        <w:rPr>
          <w:rFonts w:hint="eastAsia" w:ascii="Times New Roman" w:hAnsi="Times New Roman"/>
          <w:color w:val="000000" w:themeColor="text1"/>
          <w:sz w:val="24"/>
        </w:rPr>
        <w:t xml:space="preserve">1</w:t>
      </w:r>
      <w:r>
        <w:rPr>
          <w:rFonts w:hint="eastAsia" w:ascii="Times New Roman" w:hAnsi="Times New Roman"/>
          <w:color w:val="000000" w:themeColor="text1"/>
          <w:sz w:val="24"/>
        </w:rPr>
        <w:t xml:space="preserve">项至第</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olor w:val="000000" w:themeColor="text1"/>
          <w:sz w:val="24"/>
        </w:rPr>
        <w:t xml:space="preserve">30</w:t>
      </w:r>
      <w:r>
        <w:rPr>
          <w:rFonts w:hint="eastAsia" w:ascii="Times New Roman" w:hAnsi="Times New Roman"/>
          <w:color w:val="000000" w:themeColor="text1"/>
          <w:sz w:val="24"/>
        </w:rPr>
        <w:t xml:space="preserve">分钟。其中，属于第</w:t>
      </w:r>
      <w:r>
        <w:rPr>
          <w:rFonts w:hint="eastAsia" w:ascii="Times New Roman" w:hAnsi="Times New Roman"/>
          <w:color w:val="000000" w:themeColor="text1"/>
          <w:sz w:val="24"/>
        </w:rPr>
        <w:t xml:space="preserve">3</w:t>
      </w:r>
      <w:r>
        <w:rPr>
          <w:rFonts w:hint="eastAsia" w:ascii="Times New Roman" w:hAnsi="Times New Roman"/>
          <w:color w:val="000000" w:themeColor="text1"/>
          <w:sz w:val="24"/>
        </w:rPr>
        <w:t xml:space="preserve">项情形，供应商已随响应文件一并提交相关书面说明及必要的证明材料的，在评审现场可不再重复提交。</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评审委员会依据专业经验，参考同类项目中标</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成交</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Times New Roman" w:hAnsi="Times New Roman" w:cs="仿宋"/>
          <w:color w:val="000000" w:themeColor="text1"/>
          <w:sz w:val="24"/>
        </w:rPr>
      </w:pPr>
      <w:r>
        <w:rPr>
          <w:rFonts w:hint="eastAsia" w:ascii="Times New Roman" w:hAnsi="Times New Roman"/>
          <w:color w:val="000000" w:themeColor="text1"/>
          <w:sz w:val="24"/>
        </w:rPr>
        <w:t xml:space="preserve">异常低价投标</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响应</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审查的启动原因，审查意见和审查结果应当在评审报告中记录，并</w:t>
      </w:r>
      <w:r>
        <w:rPr>
          <w:rFonts w:hint="eastAsia" w:ascii="宋体" w:hAnsi="宋体" w:cs="宋体"/>
          <w:color w:val="000000" w:themeColor="text1"/>
          <w:sz w:val="24"/>
          <w:szCs w:val="24"/>
        </w:rPr>
        <w:t xml:space="preserve">随</w:t>
      </w:r>
      <w:r>
        <w:rPr>
          <w:rFonts w:hint="eastAsia" w:ascii="Times New Roman" w:hAnsi="Times New Roman"/>
          <w:color w:val="000000" w:themeColor="text1"/>
          <w:sz w:val="24"/>
        </w:rPr>
        <w:t xml:space="preserve">供应商提供的相关书面说明</w:t>
      </w:r>
      <w:r>
        <w:rPr>
          <w:rFonts w:hint="eastAsia" w:ascii="宋体" w:hAnsi="宋体" w:cs="宋体"/>
          <w:color w:val="000000" w:themeColor="text1"/>
          <w:sz w:val="24"/>
          <w:szCs w:val="24"/>
        </w:rPr>
        <w:t xml:space="preserve">电子件</w:t>
      </w:r>
      <w:r>
        <w:rPr>
          <w:rFonts w:hint="eastAsia" w:ascii="Times New Roman" w:hAnsi="Times New Roman"/>
          <w:color w:val="000000" w:themeColor="text1"/>
          <w:sz w:val="24"/>
        </w:rPr>
        <w:t xml:space="preserve">及证明材料</w:t>
      </w:r>
      <w:r>
        <w:rPr>
          <w:rFonts w:hint="eastAsia" w:ascii="宋体" w:hAnsi="宋体" w:cs="宋体"/>
          <w:color w:val="000000" w:themeColor="text1"/>
          <w:sz w:val="24"/>
          <w:szCs w:val="24"/>
        </w:rPr>
        <w:t xml:space="preserve">电子件</w:t>
      </w:r>
      <w:r>
        <w:rPr>
          <w:rFonts w:hint="eastAsia" w:ascii="Times New Roman" w:hAnsi="Times New Roman"/>
          <w:color w:val="000000" w:themeColor="text1"/>
          <w:sz w:val="24"/>
        </w:rPr>
        <w:t xml:space="preserve">，以及评审委员有关互联网浏览，查询历史一并归档。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17.8</w:t>
      </w:r>
      <w:r>
        <w:rPr>
          <w:rFonts w:hint="eastAsia" w:ascii="Times New Roman" w:hAnsi="Times New Roman" w:cs="仿宋"/>
          <w:color w:val="000000" w:themeColor="text1"/>
          <w:sz w:val="24"/>
        </w:rPr>
        <w:t xml:space="preserve">比较</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17.9</w:t>
      </w:r>
      <w:r>
        <w:rPr>
          <w:rFonts w:hint="eastAsia" w:ascii="Times New Roman" w:hAnsi="Times New Roman" w:cs="仿宋"/>
          <w:color w:val="000000" w:themeColor="text1"/>
          <w:sz w:val="24"/>
        </w:rPr>
        <w:t xml:space="preserve">推荐中标候选人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评标委员会按照招标文件中规定的评标方法和标准推荐中标候选人。</w:t>
      </w:r>
      <w:r/>
    </w:p>
    <w:p>
      <w:pPr>
        <w:pStyle w:val="847"/>
        <w:ind w:firstLine="321"/>
        <w:spacing w:before="0" w:after="0" w:line="480" w:lineRule="exact"/>
        <w:rPr>
          <w:rFonts w:eastAsia="宋体" w:cs="Arial"/>
          <w:bCs/>
          <w:color w:val="000000" w:themeColor="text1"/>
          <w:szCs w:val="22"/>
        </w:rPr>
      </w:pPr>
      <w:r/>
      <w:bookmarkStart w:id="108" w:name="_Toc81575196"/>
      <w:r/>
      <w:bookmarkStart w:id="109" w:name="_Toc81575159"/>
      <w:r/>
      <w:bookmarkStart w:id="110" w:name="_Toc8841"/>
      <w:r/>
      <w:bookmarkStart w:id="111" w:name="_Toc8712"/>
      <w:r>
        <w:rPr>
          <w:rFonts w:hint="eastAsia" w:eastAsia="宋体" w:cs="Arial"/>
          <w:bCs/>
          <w:color w:val="000000" w:themeColor="text1"/>
          <w:szCs w:val="22"/>
        </w:rPr>
        <w:t xml:space="preserve">六、无效投标、废标、串通投标</w:t>
      </w:r>
      <w:bookmarkEnd w:id="108"/>
      <w:r/>
      <w:bookmarkEnd w:id="109"/>
      <w:r/>
      <w:bookmarkEnd w:id="110"/>
      <w:r/>
      <w:bookmarkEnd w:id="111"/>
      <w:r>
        <w:rPr>
          <w:rFonts w:hint="eastAsia" w:eastAsia="宋体" w:cs="Arial"/>
          <w:bCs/>
          <w:color w:val="000000" w:themeColor="text1"/>
          <w:szCs w:val="22"/>
        </w:rPr>
        <w:t xml:space="preserve">及取消中标候选人资格情形</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18.</w:t>
      </w:r>
      <w:r>
        <w:rPr>
          <w:rFonts w:hint="eastAsia" w:ascii="Times New Roman" w:hAnsi="Times New Roman" w:cs="仿宋"/>
          <w:b/>
          <w:color w:val="000000" w:themeColor="text1"/>
          <w:sz w:val="24"/>
        </w:rPr>
        <w:t xml:space="preserve">无效投标情形</w:t>
      </w:r>
      <w:r/>
    </w:p>
    <w:p>
      <w:pPr>
        <w:ind w:firstLine="480"/>
        <w:spacing w:line="480" w:lineRule="exact"/>
        <w:rPr>
          <w:rFonts w:ascii="Times New Roman" w:hAnsi="Times New Roman" w:cs="仿宋"/>
          <w:strike/>
          <w:color w:val="000000" w:themeColor="text1"/>
          <w:sz w:val="24"/>
        </w:rPr>
      </w:pPr>
      <w:r>
        <w:rPr>
          <w:rFonts w:hint="eastAsia" w:ascii="Times New Roman" w:hAnsi="Times New Roman" w:cs="仿宋"/>
          <w:color w:val="000000" w:themeColor="text1"/>
          <w:sz w:val="24"/>
        </w:rPr>
        <w:t xml:space="preserve">18.1</w:t>
      </w:r>
      <w:r>
        <w:rPr>
          <w:rFonts w:hint="eastAsia" w:ascii="Times New Roman" w:hAnsi="Times New Roman" w:cs="仿宋"/>
          <w:color w:val="000000" w:themeColor="text1"/>
          <w:sz w:val="24"/>
        </w:rPr>
        <w:t xml:space="preserve">投标人同一采购包提交两个（含两个）以上不同的投标报价的。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18.2</w:t>
      </w:r>
      <w:r>
        <w:rPr>
          <w:rFonts w:hint="eastAsia" w:ascii="Times New Roman" w:hAnsi="Times New Roman" w:cs="仿宋"/>
          <w:color w:val="000000" w:themeColor="text1"/>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18.3</w:t>
      </w:r>
      <w:r>
        <w:rPr>
          <w:rFonts w:hint="eastAsia" w:ascii="Times New Roman" w:hAnsi="Times New Roman" w:cs="仿宋"/>
          <w:color w:val="000000" w:themeColor="text1"/>
          <w:sz w:val="24"/>
        </w:rPr>
        <w:t xml:space="preserve">投标人的报价超过了采购预算或最高限价的。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18.4</w:t>
      </w:r>
      <w:r>
        <w:rPr>
          <w:rFonts w:hint="eastAsia" w:ascii="Times New Roman" w:hAnsi="Times New Roman" w:cs="仿宋"/>
          <w:color w:val="000000" w:themeColor="text1"/>
          <w:sz w:val="24"/>
        </w:rPr>
        <w:t xml:space="preserve">投标文件未通过符合性审查的。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18.5</w:t>
      </w:r>
      <w:r>
        <w:rPr>
          <w:rFonts w:hint="eastAsia" w:ascii="Times New Roman" w:hAnsi="Times New Roman" w:cs="仿宋"/>
          <w:color w:val="000000" w:themeColor="text1"/>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18.6</w:t>
      </w:r>
      <w:r>
        <w:rPr>
          <w:rFonts w:hint="eastAsia" w:ascii="Times New Roman" w:hAnsi="Times New Roman" w:cs="仿宋"/>
          <w:color w:val="000000" w:themeColor="text1"/>
          <w:sz w:val="24"/>
        </w:rPr>
        <w:t xml:space="preserve">评标委员会认为投标人的报价明显低于其他通过符合性审查投标人的报价，有可能影响产品质量或者不能诚信履约的，且投标人不能在合理的时间内提供说明，</w:t>
      </w:r>
      <w:r>
        <w:rPr>
          <w:rFonts w:hint="eastAsia" w:ascii="Times New Roman" w:hAnsi="Times New Roman" w:cs="仿宋"/>
          <w:color w:val="000000" w:themeColor="text1"/>
          <w:sz w:val="24"/>
        </w:rPr>
        <w:t xml:space="preserve">证明其报价合理性的。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18.7</w:t>
      </w:r>
      <w:r>
        <w:rPr>
          <w:rFonts w:hint="eastAsia" w:ascii="Times New Roman" w:hAnsi="Times New Roman" w:cs="仿宋"/>
          <w:color w:val="000000" w:themeColor="text1"/>
          <w:sz w:val="24"/>
        </w:rPr>
        <w:t xml:space="preserve">投标文件未按照招标文件要求加盖</w:t>
      </w:r>
      <w:r>
        <w:rPr>
          <w:rFonts w:hint="eastAsia" w:ascii="Times New Roman" w:hAnsi="Times New Roman" w:cs="仿宋"/>
          <w:color w:val="000000" w:themeColor="text1"/>
          <w:sz w:val="24"/>
        </w:rPr>
        <w:t xml:space="preserve">CA</w:t>
      </w:r>
      <w:r>
        <w:rPr>
          <w:rFonts w:hint="eastAsia" w:ascii="Times New Roman" w:hAnsi="Times New Roman" w:cs="仿宋"/>
          <w:color w:val="000000" w:themeColor="text1"/>
          <w:sz w:val="24"/>
        </w:rPr>
        <w:t xml:space="preserve">电子公章的。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18.8</w:t>
      </w:r>
      <w:r>
        <w:rPr>
          <w:rFonts w:hint="eastAsia" w:ascii="Times New Roman" w:hAnsi="Times New Roman" w:cs="仿宋"/>
          <w:color w:val="000000" w:themeColor="text1"/>
          <w:sz w:val="24"/>
        </w:rPr>
        <w:t xml:space="preserve">投标人有本招标文件规定的恶意串通投标情形的。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18.9</w:t>
      </w:r>
      <w:r>
        <w:rPr>
          <w:rFonts w:hint="eastAsia" w:ascii="Times New Roman" w:hAnsi="Times New Roman" w:cs="仿宋"/>
          <w:color w:val="000000" w:themeColor="text1"/>
          <w:sz w:val="24"/>
        </w:rPr>
        <w:t xml:space="preserve">投标文件含有采购人不能接受的附加条件的。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18.10</w:t>
      </w:r>
      <w:r>
        <w:rPr>
          <w:rFonts w:hint="eastAsia" w:ascii="Times New Roman" w:hAnsi="Times New Roman" w:cs="仿宋"/>
          <w:color w:val="000000" w:themeColor="text1"/>
          <w:sz w:val="24"/>
        </w:rPr>
        <w:t xml:space="preserve">其他法律法规及本招标文件规定的属于无效投标的情形。</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19.</w:t>
      </w:r>
      <w:r>
        <w:rPr>
          <w:rFonts w:hint="eastAsia" w:ascii="Times New Roman" w:hAnsi="Times New Roman" w:cs="仿宋"/>
          <w:b/>
          <w:color w:val="000000" w:themeColor="text1"/>
          <w:sz w:val="24"/>
        </w:rPr>
        <w:t xml:space="preserve">废标情形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19.1</w:t>
      </w:r>
      <w:r>
        <w:rPr>
          <w:rFonts w:hint="eastAsia" w:ascii="Times New Roman" w:hAnsi="Times New Roman" w:cs="仿宋"/>
          <w:color w:val="000000" w:themeColor="text1"/>
          <w:sz w:val="24"/>
        </w:rPr>
        <w:t xml:space="preserve">符合专业条件的投标人或者对招标文件作实质响应的投标人不足三家的。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19.2</w:t>
      </w:r>
      <w:r>
        <w:rPr>
          <w:rFonts w:hint="eastAsia" w:ascii="Times New Roman" w:hAnsi="Times New Roman" w:cs="仿宋"/>
          <w:color w:val="000000" w:themeColor="text1"/>
          <w:sz w:val="24"/>
        </w:rPr>
        <w:t xml:space="preserve">出现影响采购公正的违法、违规行为的。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19.3</w:t>
      </w:r>
      <w:r>
        <w:rPr>
          <w:rFonts w:hint="eastAsia" w:ascii="Times New Roman" w:hAnsi="Times New Roman" w:cs="仿宋"/>
          <w:color w:val="000000" w:themeColor="text1"/>
          <w:sz w:val="24"/>
        </w:rPr>
        <w:t xml:space="preserve">因重大变故，采购任务取消的。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19.4</w:t>
      </w:r>
      <w:r>
        <w:rPr>
          <w:rFonts w:hint="eastAsia" w:ascii="Times New Roman" w:hAnsi="Times New Roman" w:cs="仿宋"/>
          <w:color w:val="000000" w:themeColor="text1"/>
          <w:sz w:val="24"/>
        </w:rPr>
        <w:t xml:space="preserve">评标委员会认定招标文件存在歧义、重大缺陷导致评审工作无法进行的。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19.5</w:t>
      </w:r>
      <w:r>
        <w:rPr>
          <w:rFonts w:hint="eastAsia" w:ascii="Times New Roman" w:hAnsi="Times New Roman" w:cs="仿宋"/>
          <w:color w:val="000000" w:themeColor="text1"/>
          <w:sz w:val="24"/>
        </w:rPr>
        <w:t xml:space="preserve">在“苏采云”系统规定时间内成功解密电子投标文件的投标人不足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家的。</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20.</w:t>
      </w:r>
      <w:r>
        <w:rPr>
          <w:rFonts w:hint="eastAsia" w:ascii="Times New Roman" w:hAnsi="Times New Roman" w:cs="仿宋"/>
          <w:b/>
          <w:color w:val="000000" w:themeColor="text1"/>
          <w:sz w:val="24"/>
        </w:rPr>
        <w:t xml:space="preserve">投标人不足三家情形处理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投标截止后投标人不足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家或者通过资格审查或符合性审查的投标人不足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家的，除采购任务取消情形外，按财政部令第</w:t>
      </w:r>
      <w:r>
        <w:rPr>
          <w:rFonts w:hint="eastAsia" w:ascii="Times New Roman" w:hAnsi="Times New Roman" w:cs="仿宋"/>
          <w:color w:val="000000" w:themeColor="text1"/>
          <w:sz w:val="24"/>
        </w:rPr>
        <w:t xml:space="preserve">87</w:t>
      </w:r>
      <w:r>
        <w:rPr>
          <w:rFonts w:hint="eastAsia" w:ascii="Times New Roman" w:hAnsi="Times New Roman" w:cs="仿宋"/>
          <w:color w:val="000000" w:themeColor="text1"/>
          <w:sz w:val="24"/>
        </w:rPr>
        <w:t xml:space="preserve">号第四十三条条款进行处理。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21.</w:t>
      </w:r>
      <w:r>
        <w:rPr>
          <w:rFonts w:hint="eastAsia" w:ascii="Times New Roman" w:hAnsi="Times New Roman" w:cs="仿宋"/>
          <w:b/>
          <w:color w:val="000000" w:themeColor="text1"/>
          <w:sz w:val="24"/>
        </w:rPr>
        <w:t xml:space="preserve">串通投标情形</w:t>
      </w:r>
      <w:r/>
    </w:p>
    <w:p>
      <w:pPr>
        <w:ind w:firstLine="480"/>
        <w:spacing w:line="500" w:lineRule="exact"/>
        <w:rPr>
          <w:rFonts w:hint="eastAsia" w:ascii="黑体" w:hAnsi="黑体" w:eastAsia="黑体"/>
          <w:color w:val="000000" w:themeColor="text1"/>
          <w:sz w:val="24"/>
        </w:rPr>
      </w:pPr>
      <w:r>
        <w:rPr>
          <w:rFonts w:hint="eastAsia" w:ascii="黑体" w:hAnsi="黑体" w:eastAsia="黑体"/>
          <w:color w:val="000000" w:themeColor="text1"/>
          <w:sz w:val="24"/>
        </w:rPr>
        <w:t xml:space="preserve">有下列情形之一的，属于恶意串通投标：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w:t>
      </w:r>
      <w:r>
        <w:rPr>
          <w:rFonts w:hint="eastAsia" w:ascii="Times New Roman" w:hAnsi="Times New Roman" w:cs="仿宋"/>
          <w:color w:val="000000" w:themeColor="text1"/>
          <w:sz w:val="24"/>
        </w:rPr>
        <w:t xml:space="preserve">供应商直接或间接从采购人或采购代理机构处获得其他供应商的投标情况，并修改其投标文件；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21.2</w:t>
      </w:r>
      <w:r>
        <w:rPr>
          <w:rFonts w:hint="eastAsia" w:ascii="Times New Roman" w:hAnsi="Times New Roman" w:cs="仿宋"/>
          <w:color w:val="000000" w:themeColor="text1"/>
          <w:sz w:val="24"/>
        </w:rPr>
        <w:t xml:space="preserve">评审活动开始前供应商直接或间接从采购人或采购代理机构处获得评标委员会组成人员情况；</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21.3</w:t>
      </w:r>
      <w:r>
        <w:rPr>
          <w:rFonts w:hint="eastAsia" w:ascii="Times New Roman" w:hAnsi="Times New Roman" w:cs="仿宋"/>
          <w:color w:val="000000" w:themeColor="text1"/>
          <w:sz w:val="24"/>
        </w:rPr>
        <w:t xml:space="preserve">供应商接受采购人或采购代理机构授意撤换、修改投标文件；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21.4</w:t>
      </w:r>
      <w:r>
        <w:rPr>
          <w:rFonts w:hint="eastAsia" w:ascii="Times New Roman" w:hAnsi="Times New Roman" w:cs="仿宋"/>
          <w:color w:val="000000" w:themeColor="text1"/>
          <w:sz w:val="24"/>
        </w:rPr>
        <w:t xml:space="preserve">供应商之间协商投标报价、技术方案等投标文件实质性内容；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21.5</w:t>
      </w:r>
      <w:r>
        <w:rPr>
          <w:rFonts w:hint="eastAsia" w:ascii="Times New Roman" w:hAnsi="Times New Roman" w:cs="仿宋"/>
          <w:color w:val="000000" w:themeColor="text1"/>
          <w:sz w:val="24"/>
        </w:rPr>
        <w:t xml:space="preserve">属于同一集团、协会、商会等组织成员的供应商按照该组织要求协同投标；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21.6</w:t>
      </w:r>
      <w:r>
        <w:rPr>
          <w:rFonts w:hint="eastAsia" w:ascii="Times New Roman" w:hAnsi="Times New Roman" w:cs="仿宋"/>
          <w:color w:val="000000" w:themeColor="text1"/>
          <w:sz w:val="24"/>
        </w:rPr>
        <w:t xml:space="preserve">供应商之间事先约定由某一特定供应商中标、成交；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21.7</w:t>
      </w:r>
      <w:r>
        <w:rPr>
          <w:rFonts w:hint="eastAsia" w:ascii="Times New Roman" w:hAnsi="Times New Roman" w:cs="仿宋"/>
          <w:color w:val="000000" w:themeColor="text1"/>
          <w:sz w:val="24"/>
        </w:rPr>
        <w:t xml:space="preserve">供应商之间商定部分供应商放弃投标或者放弃中标、成交；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21.8</w:t>
      </w:r>
      <w:r>
        <w:rPr>
          <w:rFonts w:hint="eastAsia" w:ascii="Times New Roman" w:hAnsi="Times New Roman" w:cs="仿宋"/>
          <w:color w:val="000000" w:themeColor="text1"/>
          <w:sz w:val="24"/>
        </w:rPr>
        <w:t xml:space="preserve">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themeColor="text1"/>
          <w:sz w:val="24"/>
        </w:rPr>
      </w:pPr>
      <w:r>
        <w:rPr>
          <w:rFonts w:hint="eastAsia" w:ascii="黑体" w:hAnsi="黑体" w:eastAsia="黑体"/>
          <w:color w:val="000000" w:themeColor="text1"/>
          <w:sz w:val="24"/>
        </w:rPr>
        <w:t xml:space="preserve">有下列情形之一的，视为投标人串通投标，其投标无效：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21.9</w:t>
      </w:r>
      <w:r>
        <w:rPr>
          <w:rFonts w:hint="eastAsia" w:ascii="Times New Roman" w:hAnsi="Times New Roman" w:cs="仿宋"/>
          <w:color w:val="000000" w:themeColor="text1"/>
          <w:sz w:val="24"/>
        </w:rPr>
        <w:t xml:space="preserve">不同投标人的投标文件由同一单位或者个人编制；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21.10</w:t>
      </w:r>
      <w:r>
        <w:rPr>
          <w:rFonts w:hint="eastAsia" w:ascii="Times New Roman" w:hAnsi="Times New Roman" w:cs="仿宋"/>
          <w:color w:val="000000" w:themeColor="text1"/>
          <w:sz w:val="24"/>
        </w:rPr>
        <w:t xml:space="preserve">不同投标人委托同一单位或者个人办理投标事宜；</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21.11</w:t>
      </w:r>
      <w:r>
        <w:rPr>
          <w:rFonts w:hint="eastAsia" w:ascii="Times New Roman" w:hAnsi="Times New Roman" w:cs="仿宋"/>
          <w:color w:val="000000" w:themeColor="text1"/>
          <w:sz w:val="24"/>
        </w:rPr>
        <w:t xml:space="preserve">不同投标人的投标文件载明的项目管理成员或者联系人员为同一人；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21.12</w:t>
      </w:r>
      <w:r>
        <w:rPr>
          <w:rFonts w:hint="eastAsia" w:ascii="Times New Roman" w:hAnsi="Times New Roman" w:cs="仿宋"/>
          <w:color w:val="000000" w:themeColor="text1"/>
          <w:sz w:val="24"/>
        </w:rPr>
        <w:t xml:space="preserve">不同投标人的投标文件异常一致或者投标报价呈规律性差异；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21.13</w:t>
      </w:r>
      <w:r>
        <w:rPr>
          <w:rFonts w:hint="eastAsia" w:ascii="Times New Roman" w:hAnsi="Times New Roman" w:cs="仿宋"/>
          <w:color w:val="000000" w:themeColor="text1"/>
          <w:sz w:val="24"/>
        </w:rPr>
        <w:t xml:space="preserve">不同投标人的投标文件相互混装；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21.14</w:t>
      </w:r>
      <w:r>
        <w:rPr>
          <w:rFonts w:hint="eastAsia" w:ascii="Times New Roman" w:hAnsi="Times New Roman" w:cs="仿宋"/>
          <w:color w:val="000000" w:themeColor="text1"/>
          <w:sz w:val="24"/>
        </w:rPr>
        <w:t xml:space="preserve">不同投标人的投标保证金从同一单位或者个人的账户转出。</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22.</w:t>
      </w:r>
      <w:bookmarkStart w:id="112" w:name="OLE_LINK4"/>
      <w:r>
        <w:rPr>
          <w:rFonts w:hint="eastAsia" w:ascii="Times New Roman" w:hAnsi="Times New Roman" w:cs="仿宋"/>
          <w:b/>
          <w:color w:val="000000" w:themeColor="text1"/>
          <w:sz w:val="24"/>
        </w:rPr>
        <w:t xml:space="preserve">取消中标候选人资格情形</w:t>
      </w:r>
      <w:bookmarkEnd w:id="112"/>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22.1</w:t>
      </w:r>
      <w:r>
        <w:rPr>
          <w:rFonts w:hint="eastAsia" w:ascii="Times New Roman" w:hAnsi="Times New Roman" w:cs="仿宋"/>
          <w:color w:val="000000" w:themeColor="text1"/>
          <w:sz w:val="24"/>
        </w:rPr>
        <w:t xml:space="preserve">提供虚假材料谋取中标的；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22.2</w:t>
      </w:r>
      <w:r>
        <w:rPr>
          <w:rFonts w:hint="eastAsia" w:ascii="Times New Roman" w:hAnsi="Times New Roman" w:cs="仿宋"/>
          <w:color w:val="000000" w:themeColor="text1"/>
          <w:sz w:val="24"/>
        </w:rPr>
        <w:t xml:space="preserve">采取不正当手段诋毁、排挤其他投标人的；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22.3</w:t>
      </w:r>
      <w:r>
        <w:rPr>
          <w:rFonts w:hint="eastAsia" w:ascii="Times New Roman" w:hAnsi="Times New Roman" w:cs="仿宋"/>
          <w:color w:val="000000" w:themeColor="text1"/>
          <w:sz w:val="24"/>
        </w:rPr>
        <w:t xml:space="preserve">与采购人、其他投标人或者采购代理机构恶意串通的；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22.4</w:t>
      </w:r>
      <w:r>
        <w:rPr>
          <w:rFonts w:hint="eastAsia" w:ascii="Times New Roman" w:hAnsi="Times New Roman" w:cs="仿宋"/>
          <w:color w:val="000000" w:themeColor="text1"/>
          <w:sz w:val="24"/>
        </w:rPr>
        <w:t xml:space="preserve">向采购人、采购代理机构行贿或者提供其他不正当利益的；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22.5</w:t>
      </w:r>
      <w:r>
        <w:rPr>
          <w:rFonts w:hint="eastAsia" w:ascii="Times New Roman" w:hAnsi="Times New Roman" w:cs="仿宋"/>
          <w:color w:val="000000" w:themeColor="text1"/>
          <w:sz w:val="24"/>
        </w:rPr>
        <w:t xml:space="preserve">未在规定时间内与采购人签订采购合同的；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22.6</w:t>
      </w:r>
      <w:r>
        <w:rPr>
          <w:rFonts w:hint="eastAsia" w:ascii="Times New Roman" w:hAnsi="Times New Roman" w:cs="仿宋"/>
          <w:color w:val="000000" w:themeColor="text1"/>
          <w:sz w:val="24"/>
        </w:rPr>
        <w:t xml:space="preserve">法律法规规定的其他情况。</w:t>
      </w:r>
      <w:bookmarkStart w:id="113" w:name="_Toc81575161"/>
      <w:r/>
      <w:bookmarkStart w:id="114" w:name="_Toc6494"/>
      <w:r/>
      <w:bookmarkStart w:id="115" w:name="_Toc81575198"/>
      <w:r/>
      <w:bookmarkStart w:id="116" w:name="_Toc2391"/>
      <w:r/>
      <w:r/>
    </w:p>
    <w:p>
      <w:pPr>
        <w:ind w:firstLine="321"/>
        <w:spacing w:line="480" w:lineRule="exact"/>
        <w:rPr>
          <w:rFonts w:ascii="Arial" w:hAnsi="Arial" w:cs="Arial"/>
          <w:b/>
          <w:bCs/>
          <w:color w:val="000000" w:themeColor="text1"/>
          <w:sz w:val="32"/>
        </w:rPr>
        <w:outlineLvl w:val="1"/>
      </w:pPr>
      <w:r>
        <w:rPr>
          <w:rFonts w:hint="eastAsia" w:ascii="Arial" w:hAnsi="Arial" w:cs="Arial"/>
          <w:b/>
          <w:bCs/>
          <w:color w:val="000000" w:themeColor="text1"/>
          <w:sz w:val="32"/>
        </w:rPr>
        <w:t xml:space="preserve">七、中标及合同签订</w:t>
      </w:r>
      <w:bookmarkEnd w:id="113"/>
      <w:r/>
      <w:bookmarkEnd w:id="114"/>
      <w:r/>
      <w:bookmarkEnd w:id="115"/>
      <w:r/>
      <w:bookmarkEnd w:id="116"/>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23.</w:t>
      </w:r>
      <w:r>
        <w:rPr>
          <w:rFonts w:hint="eastAsia" w:ascii="Times New Roman" w:hAnsi="Times New Roman" w:cs="仿宋"/>
          <w:b/>
          <w:color w:val="000000" w:themeColor="text1"/>
          <w:sz w:val="24"/>
        </w:rPr>
        <w:t xml:space="preserve">确定中标人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23.1</w:t>
      </w:r>
      <w:r>
        <w:rPr>
          <w:rFonts w:hint="eastAsia" w:ascii="Times New Roman" w:hAnsi="Times New Roman" w:cs="仿宋"/>
          <w:color w:val="000000" w:themeColor="text1"/>
          <w:sz w:val="24"/>
        </w:rPr>
        <w:t xml:space="preserve">采购人应当自收到评审报告之日起</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个工作日内在评审报告推荐的中标候选人中按顺序确定中标人。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23.2</w:t>
      </w:r>
      <w:r>
        <w:rPr>
          <w:rFonts w:hint="eastAsia" w:ascii="Times New Roman" w:hAnsi="Times New Roman" w:cs="仿宋"/>
          <w:color w:val="000000" w:themeColor="text1"/>
          <w:sz w:val="24"/>
        </w:rPr>
        <w:t xml:space="preserve">中标人确定之日起</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个工作日内，采购人、采购代理机构将发布中标结果，中标公告的公告期限为</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个工作日。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23.3</w:t>
      </w:r>
      <w:r>
        <w:rPr>
          <w:rFonts w:hint="eastAsia" w:ascii="Times New Roman" w:hAnsi="Times New Roman" w:cs="仿宋"/>
          <w:color w:val="000000" w:themeColor="text1"/>
          <w:sz w:val="24"/>
        </w:rPr>
        <w:t xml:space="preserve">采购人确定正被列为失信被执行人的投标人为中标人的，中标结果无效。</w:t>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24.</w:t>
      </w:r>
      <w:r>
        <w:rPr>
          <w:rFonts w:hint="eastAsia" w:ascii="Times New Roman" w:hAnsi="Times New Roman" w:cs="仿宋"/>
          <w:b/>
          <w:color w:val="000000" w:themeColor="text1"/>
          <w:sz w:val="24"/>
        </w:rPr>
        <w:t xml:space="preserve">中标通知书</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24.1</w:t>
      </w:r>
      <w:r>
        <w:rPr>
          <w:rFonts w:hint="eastAsia" w:ascii="Times New Roman" w:hAnsi="Times New Roman" w:cs="仿宋"/>
          <w:color w:val="000000" w:themeColor="text1"/>
          <w:sz w:val="24"/>
        </w:rPr>
        <w:t xml:space="preserve">在公告中标结果的同时，采购代理机构将向中标人发出中标通知书。中标人使用</w:t>
      </w:r>
      <w:r>
        <w:rPr>
          <w:rFonts w:hint="eastAsia" w:ascii="Times New Roman" w:hAnsi="Times New Roman" w:cs="仿宋"/>
          <w:color w:val="000000" w:themeColor="text1"/>
          <w:sz w:val="24"/>
        </w:rPr>
        <w:t xml:space="preserve">CA</w:t>
      </w:r>
      <w:r>
        <w:rPr>
          <w:rFonts w:hint="eastAsia" w:ascii="Times New Roman" w:hAnsi="Times New Roman" w:cs="仿宋"/>
          <w:color w:val="000000" w:themeColor="text1"/>
          <w:sz w:val="24"/>
        </w:rPr>
        <w:t xml:space="preserve">数字证书登录“苏采云”系统及时下载中标通知书。</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24.2</w:t>
      </w:r>
      <w:r>
        <w:rPr>
          <w:rFonts w:hint="eastAsia" w:ascii="Times New Roman" w:hAnsi="Times New Roman" w:cs="仿宋"/>
          <w:color w:val="000000" w:themeColor="text1"/>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24.3</w:t>
      </w:r>
      <w:r>
        <w:rPr>
          <w:rFonts w:hint="eastAsia" w:ascii="Times New Roman" w:hAnsi="Times New Roman" w:cs="仿宋"/>
          <w:color w:val="000000" w:themeColor="text1"/>
          <w:sz w:val="24"/>
        </w:rPr>
        <w:t xml:space="preserve">采用综合评分法评审的，未中标人可于中标结果公告期限届满之日起通过“苏采云”系统查看</w:t>
      </w:r>
      <w:bookmarkStart w:id="117" w:name="OLE_LINK5"/>
      <w:r>
        <w:rPr>
          <w:rFonts w:hint="eastAsia" w:ascii="Times New Roman" w:hAnsi="Times New Roman" w:cs="仿宋"/>
          <w:color w:val="000000" w:themeColor="text1"/>
          <w:sz w:val="24"/>
        </w:rPr>
        <w:t xml:space="preserve">自己的评审得分及排序情况。</w:t>
      </w:r>
      <w:bookmarkEnd w:id="117"/>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25.</w:t>
      </w:r>
      <w:r>
        <w:rPr>
          <w:rFonts w:hint="eastAsia" w:ascii="Times New Roman" w:hAnsi="Times New Roman" w:cs="仿宋"/>
          <w:b/>
          <w:color w:val="000000" w:themeColor="text1"/>
          <w:sz w:val="24"/>
        </w:rPr>
        <w:t xml:space="preserve">授予合同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25.1</w:t>
      </w:r>
      <w:r>
        <w:rPr>
          <w:rFonts w:hint="eastAsia" w:ascii="Times New Roman" w:hAnsi="Times New Roman" w:cs="仿宋"/>
          <w:color w:val="000000" w:themeColor="text1"/>
          <w:sz w:val="24"/>
        </w:rPr>
        <w:t xml:space="preserve">采购人与中标人应当在中标通知书发出之日起</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25.2</w:t>
      </w:r>
      <w:r>
        <w:rPr>
          <w:rFonts w:hint="eastAsia" w:ascii="Times New Roman" w:hAnsi="Times New Roman" w:cs="仿宋"/>
          <w:color w:val="000000" w:themeColor="text1"/>
          <w:sz w:val="24"/>
        </w:rPr>
        <w:t xml:space="preserve">采购人在自合同签订之日起</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个工作日内，将合同在指定的媒体上公告。</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26.</w:t>
      </w:r>
      <w:r>
        <w:rPr>
          <w:rFonts w:hint="eastAsia" w:ascii="Times New Roman" w:hAnsi="Times New Roman" w:cs="仿宋"/>
          <w:b/>
          <w:color w:val="000000" w:themeColor="text1"/>
          <w:sz w:val="24"/>
        </w:rPr>
        <w:t xml:space="preserve">履约保证金</w:t>
      </w:r>
      <w:r/>
    </w:p>
    <w:p>
      <w:pPr>
        <w:ind w:firstLine="480"/>
        <w:spacing w:line="480" w:lineRule="exact"/>
        <w:rPr>
          <w:rFonts w:ascii="Times New Roman" w:hAnsi="Times New Roman" w:cs="仿宋"/>
          <w:color w:val="000000" w:themeColor="text1"/>
          <w:sz w:val="24"/>
          <w:lang w:val="zh-CN"/>
        </w:rPr>
      </w:pPr>
      <w:r>
        <w:rPr>
          <w:rFonts w:hint="eastAsia" w:ascii="Times New Roman" w:hAnsi="Times New Roman" w:cs="仿宋"/>
          <w:color w:val="000000" w:themeColor="text1"/>
          <w:sz w:val="24"/>
          <w:lang w:val="zh-CN"/>
        </w:rPr>
        <w:t xml:space="preserve">按照以下第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lang w:val="zh-CN"/>
        </w:rPr>
        <w:t xml:space="preserve">方式确定履约保证</w:t>
      </w:r>
      <w:r>
        <w:rPr>
          <w:rFonts w:hint="eastAsia" w:ascii="Times New Roman" w:hAnsi="Times New Roman" w:cs="仿宋"/>
          <w:color w:val="000000" w:themeColor="text1"/>
          <w:sz w:val="24"/>
        </w:rPr>
        <w:t xml:space="preserve">金</w:t>
      </w:r>
      <w:r>
        <w:rPr>
          <w:rFonts w:hint="eastAsia" w:ascii="Times New Roman" w:hAnsi="Times New Roman" w:cs="仿宋"/>
          <w:color w:val="000000" w:themeColor="text1"/>
          <w:sz w:val="24"/>
          <w:lang w:val="zh-CN"/>
        </w:rPr>
        <w:t xml:space="preserve">收取方式。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）本项目不收取履约保证金。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）本项目收取履约保证金。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26.1</w:t>
      </w:r>
      <w:r>
        <w:rPr>
          <w:rFonts w:hint="eastAsia" w:ascii="Times New Roman" w:hAnsi="Times New Roman" w:cs="仿宋"/>
          <w:color w:val="000000" w:themeColor="text1"/>
          <w:sz w:val="24"/>
        </w:rPr>
        <w:t xml:space="preserve">履约保证金提交形式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26.2</w:t>
      </w:r>
      <w:r>
        <w:rPr>
          <w:rFonts w:hint="eastAsia" w:ascii="Times New Roman" w:hAnsi="Times New Roman" w:cs="仿宋"/>
          <w:color w:val="000000" w:themeColor="text1"/>
          <w:sz w:val="24"/>
        </w:rPr>
        <w:t xml:space="preserve">履约保证金提交金额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按采购合同总价的</w:t>
      </w:r>
      <w:r>
        <w:rPr>
          <w:rFonts w:hint="eastAsia" w:ascii="Times New Roman" w:hAnsi="Times New Roman" w:cs="仿宋"/>
          <w:color w:val="000000" w:themeColor="text1"/>
          <w:sz w:val="24"/>
          <w:u w:val="single"/>
        </w:rPr>
        <w:t xml:space="preserve">5 </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themeColor="text1"/>
          <w:sz w:val="24"/>
          <w:u w:val="single"/>
        </w:rPr>
        <w:t xml:space="preserve">3</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（履约保证金原提交金额的</w:t>
      </w:r>
      <w:r>
        <w:rPr>
          <w:rFonts w:hint="eastAsia" w:ascii="Times New Roman" w:hAnsi="Times New Roman" w:cs="仿宋"/>
          <w:color w:val="000000" w:themeColor="text1"/>
          <w:sz w:val="24"/>
        </w:rPr>
        <w:t xml:space="preserve">6</w:t>
      </w:r>
      <w:r>
        <w:rPr>
          <w:rFonts w:hint="eastAsia" w:ascii="Times New Roman" w:hAnsi="Times New Roman" w:cs="仿宋"/>
          <w:color w:val="000000" w:themeColor="text1"/>
          <w:sz w:val="24"/>
        </w:rPr>
        <w:t xml:space="preserve">折）提交。办理流程、偿付等内容见江苏政府采购网“保险保函”模块。</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26.3</w:t>
      </w:r>
      <w:r>
        <w:rPr>
          <w:rFonts w:hint="eastAsia" w:ascii="Times New Roman" w:hAnsi="Times New Roman" w:cs="仿宋"/>
          <w:color w:val="000000" w:themeColor="text1"/>
          <w:sz w:val="24"/>
        </w:rPr>
        <w:t xml:space="preserve">履约保证金退还方式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26.4</w:t>
      </w:r>
      <w:r>
        <w:rPr>
          <w:rFonts w:hint="eastAsia" w:ascii="Times New Roman" w:hAnsi="Times New Roman" w:cs="仿宋"/>
          <w:color w:val="000000" w:themeColor="text1"/>
          <w:sz w:val="24"/>
        </w:rPr>
        <w:t xml:space="preserve">履约保证金退还条件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具有验收合格相关证明材料。</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26.5</w:t>
      </w:r>
      <w:r>
        <w:rPr>
          <w:rFonts w:hint="eastAsia" w:ascii="Times New Roman" w:hAnsi="Times New Roman" w:cs="仿宋"/>
          <w:color w:val="000000" w:themeColor="text1"/>
          <w:sz w:val="24"/>
        </w:rPr>
        <w:t xml:space="preserve">履约保证金退还时间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采购人收到投标人退付申请后</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个工作日内退还。</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26.6</w:t>
      </w:r>
      <w:r>
        <w:rPr>
          <w:rFonts w:hint="eastAsia" w:ascii="Times New Roman" w:hAnsi="Times New Roman" w:cs="仿宋"/>
          <w:color w:val="000000" w:themeColor="text1"/>
          <w:sz w:val="24"/>
        </w:rPr>
        <w:t xml:space="preserve">履约保证金不予退还情形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26.7</w:t>
      </w:r>
      <w:r>
        <w:rPr>
          <w:rFonts w:hint="eastAsia" w:ascii="Times New Roman" w:hAnsi="Times New Roman" w:cs="仿宋"/>
          <w:color w:val="000000" w:themeColor="text1"/>
          <w:sz w:val="24"/>
        </w:rPr>
        <w:t xml:space="preserve">逾期退还履约保证金违约责任</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采购人逾期退还履约保证金的，除应退还履约保证金外，还应按中国人民银行同期贷款基准利率上浮</w:t>
      </w:r>
      <w:r>
        <w:rPr>
          <w:rFonts w:hint="eastAsia" w:ascii="Times New Roman" w:hAnsi="Times New Roman" w:cs="仿宋"/>
          <w:color w:val="000000" w:themeColor="text1"/>
          <w:sz w:val="24"/>
        </w:rPr>
        <w:t xml:space="preserve">20</w:t>
      </w:r>
      <w:r>
        <w:rPr>
          <w:rFonts w:hint="eastAsia" w:ascii="Times New Roman" w:hAnsi="Times New Roman" w:cs="仿宋"/>
          <w:color w:val="000000" w:themeColor="text1"/>
          <w:sz w:val="24"/>
        </w:rPr>
        <w:t xml:space="preserve">％后的利率支付超期资金占用费，但因投标人自身原因导致无</w:t>
      </w:r>
      <w:r>
        <w:rPr>
          <w:rFonts w:hint="eastAsia" w:ascii="Times New Roman" w:hAnsi="Times New Roman" w:cs="仿宋"/>
          <w:color w:val="000000" w:themeColor="text1"/>
          <w:sz w:val="24"/>
        </w:rPr>
        <w:t xml:space="preserve">法及时退还的除外。</w:t>
      </w:r>
      <w:r/>
    </w:p>
    <w:p>
      <w:pPr>
        <w:ind w:firstLine="482"/>
        <w:spacing w:line="480" w:lineRule="exact"/>
        <w:rPr>
          <w:rFonts w:ascii="Times New Roman" w:hAnsi="Times New Roman" w:cs="仿宋"/>
          <w:b/>
          <w:bCs/>
          <w:color w:val="000000" w:themeColor="text1"/>
          <w:sz w:val="24"/>
          <w:szCs w:val="24"/>
        </w:rPr>
      </w:pPr>
      <w:r>
        <w:rPr>
          <w:rFonts w:hint="eastAsia" w:ascii="Times New Roman" w:hAnsi="Times New Roman" w:cs="仿宋"/>
          <w:b/>
          <w:color w:val="000000" w:themeColor="text1"/>
          <w:sz w:val="24"/>
        </w:rPr>
        <w:t xml:space="preserve">27.</w:t>
      </w:r>
      <w:r>
        <w:rPr>
          <w:rFonts w:hint="eastAsia" w:ascii="Times New Roman" w:hAnsi="Times New Roman" w:cs="仿宋"/>
          <w:b/>
          <w:color w:val="000000" w:themeColor="text1"/>
          <w:sz w:val="24"/>
        </w:rPr>
        <w:t xml:space="preserve">线上融资</w:t>
      </w:r>
      <w:r/>
    </w:p>
    <w:p>
      <w:pPr>
        <w:ind w:firstLine="480"/>
        <w:spacing w:line="480" w:lineRule="exact"/>
        <w:rPr>
          <w:rFonts w:ascii="Times New Roman" w:hAnsi="Times New Roman" w:cs="仿宋"/>
          <w:b/>
          <w:bCs/>
          <w:color w:val="000000" w:themeColor="text1"/>
          <w:sz w:val="24"/>
          <w:szCs w:val="24"/>
        </w:rPr>
      </w:pPr>
      <w:r>
        <w:rPr>
          <w:rFonts w:hint="eastAsia" w:ascii="宋体" w:hAnsi="宋体"/>
          <w:bCs/>
          <w:color w:val="000000" w:themeColor="text1"/>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themeColor="text1"/>
          <w:sz w:val="24"/>
        </w:rPr>
      </w:pPr>
      <w:r>
        <w:rPr>
          <w:rFonts w:hint="eastAsia" w:ascii="Times New Roman" w:hAnsi="Times New Roman" w:cs="仿宋"/>
          <w:b/>
          <w:color w:val="000000" w:themeColor="text1"/>
          <w:sz w:val="24"/>
        </w:rPr>
        <w:t xml:space="preserve">28.</w:t>
      </w:r>
      <w:r>
        <w:rPr>
          <w:rFonts w:hint="eastAsia" w:ascii="Times New Roman" w:hAnsi="Times New Roman" w:cs="仿宋"/>
          <w:b/>
          <w:color w:val="000000" w:themeColor="text1"/>
          <w:sz w:val="24"/>
        </w:rPr>
        <w:t xml:space="preserve">合同履行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28.1</w:t>
      </w:r>
      <w:r>
        <w:rPr>
          <w:rFonts w:hint="eastAsia" w:ascii="Times New Roman" w:hAnsi="Times New Roman" w:cs="仿宋"/>
          <w:color w:val="000000" w:themeColor="text1"/>
          <w:sz w:val="24"/>
        </w:rPr>
        <w:t xml:space="preserve">政府采购合同订立后，合同各方不得擅自变更、中止或者终止合同。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28.2</w:t>
      </w:r>
      <w:r>
        <w:rPr>
          <w:rFonts w:hint="eastAsia" w:ascii="Times New Roman" w:hAnsi="Times New Roman" w:cs="仿宋"/>
          <w:color w:val="000000" w:themeColor="text1"/>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hint="eastAsia" w:ascii="Times New Roman" w:hAnsi="Times New Roman" w:cs="仿宋"/>
          <w:color w:val="000000" w:themeColor="text1"/>
          <w:sz w:val="24"/>
        </w:rPr>
        <w:t xml:space="preserve">10%</w:t>
      </w:r>
      <w:r>
        <w:rPr>
          <w:rFonts w:hint="eastAsia" w:ascii="Times New Roman" w:hAnsi="Times New Roman" w:cs="仿宋"/>
          <w:color w:val="000000" w:themeColor="text1"/>
          <w:sz w:val="24"/>
        </w:rPr>
        <w:t xml:space="preserve">。</w:t>
      </w:r>
      <w:r/>
    </w:p>
    <w:p>
      <w:pPr>
        <w:pStyle w:val="847"/>
        <w:spacing w:before="0" w:after="0" w:line="520" w:lineRule="exact"/>
        <w:rPr>
          <w:rFonts w:eastAsia="宋体" w:cs="Arial"/>
          <w:bCs/>
          <w:color w:val="000000" w:themeColor="text1"/>
          <w:szCs w:val="22"/>
        </w:rPr>
      </w:pPr>
      <w:r/>
      <w:bookmarkStart w:id="118" w:name="_Toc81575199"/>
      <w:r/>
      <w:bookmarkStart w:id="119" w:name="_Toc81575162"/>
      <w:r/>
      <w:bookmarkStart w:id="120" w:name="_Toc7550"/>
      <w:r/>
      <w:bookmarkStart w:id="121" w:name="_Toc22084"/>
      <w:r>
        <w:rPr>
          <w:rFonts w:hint="eastAsia" w:eastAsia="宋体" w:cs="Arial"/>
          <w:bCs/>
          <w:color w:val="000000" w:themeColor="text1"/>
          <w:szCs w:val="22"/>
        </w:rPr>
        <w:t xml:space="preserve">八、</w:t>
      </w:r>
      <w:bookmarkStart w:id="122" w:name="_Toc81575200"/>
      <w:r/>
      <w:bookmarkStart w:id="123" w:name="_Toc81575163"/>
      <w:r/>
      <w:bookmarkStart w:id="124" w:name="_Toc12263"/>
      <w:r/>
      <w:bookmarkStart w:id="125" w:name="_Toc31888"/>
      <w:r/>
      <w:bookmarkEnd w:id="118"/>
      <w:r/>
      <w:bookmarkEnd w:id="119"/>
      <w:r/>
      <w:bookmarkEnd w:id="120"/>
      <w:r/>
      <w:bookmarkEnd w:id="121"/>
      <w:r>
        <w:rPr>
          <w:rFonts w:hint="eastAsia" w:eastAsia="宋体" w:cs="Arial"/>
          <w:bCs/>
          <w:color w:val="000000" w:themeColor="text1"/>
          <w:szCs w:val="22"/>
        </w:rPr>
        <w:t xml:space="preserve">质疑与投诉</w:t>
      </w:r>
      <w:bookmarkEnd w:id="122"/>
      <w:r/>
      <w:bookmarkEnd w:id="123"/>
      <w:r/>
      <w:bookmarkEnd w:id="124"/>
      <w:r/>
      <w:bookmarkEnd w:id="12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29.</w:t>
      </w:r>
      <w:r>
        <w:rPr>
          <w:rFonts w:hint="eastAsia" w:ascii="Times New Roman" w:hAnsi="Times New Roman" w:cs="仿宋"/>
          <w:b/>
          <w:color w:val="000000" w:themeColor="text1"/>
          <w:sz w:val="24"/>
        </w:rPr>
        <w:t xml:space="preserve">质疑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29.1</w:t>
      </w:r>
      <w:r>
        <w:rPr>
          <w:rFonts w:hint="eastAsia" w:ascii="Times New Roman" w:hAnsi="Times New Roman" w:cs="仿宋"/>
          <w:color w:val="000000" w:themeColor="text1"/>
          <w:sz w:val="24"/>
        </w:rPr>
        <w:t xml:space="preserve">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themeColor="text1"/>
          <w:sz w:val="24"/>
        </w:rPr>
        <w:t xml:space="preserve">质疑联系部门、联系电话、通讯地址如下</w:t>
      </w:r>
      <w:bookmarkEnd w:id="126"/>
      <w:r>
        <w:rPr>
          <w:rFonts w:hint="eastAsia" w:ascii="Times New Roman" w:hAnsi="Times New Roman" w:cs="仿宋"/>
          <w:color w:val="000000" w:themeColor="text1"/>
          <w:sz w:val="24"/>
        </w:rPr>
        <w:t xml:space="preserve">：</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接收质疑函的方式：</w:t>
      </w:r>
      <w:r>
        <w:rPr>
          <w:rFonts w:hint="eastAsia" w:ascii="宋体" w:hAnsi="宋体" w:cs="宋体"/>
          <w:color w:val="000000" w:themeColor="text1"/>
          <w:sz w:val="24"/>
          <w:szCs w:val="24"/>
          <w:u w:val="single"/>
        </w:rPr>
        <w:t xml:space="preserve">以书面形式或通过投标人业务管理系统网上提交形式向采购人或者其委托的采购代理机构提出质疑。</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联系部门：</w:t>
      </w:r>
      <w:r>
        <w:rPr>
          <w:rFonts w:hint="eastAsia" w:ascii="宋体" w:hAnsi="宋体" w:cs="宋体"/>
          <w:color w:val="000000" w:themeColor="text1"/>
          <w:sz w:val="24"/>
          <w:szCs w:val="24"/>
          <w:u w:val="single"/>
        </w:rPr>
        <w:t xml:space="preserve">沭阳县李恒镇人民政府、江苏博哲项目管理有限公司</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u w:val="single"/>
        </w:rPr>
        <w:t xml:space="preserve">18800616362、13815676958 </w:t>
      </w:r>
      <w:r/>
    </w:p>
    <w:p>
      <w:pPr>
        <w:ind w:firstLine="480"/>
        <w:spacing w:line="520" w:lineRule="exact"/>
        <w:rPr>
          <w:rFonts w:ascii="Times New Roman" w:hAnsi="Times New Roman" w:cs="仿宋"/>
          <w:color w:val="000000" w:themeColor="text1"/>
          <w:sz w:val="24"/>
        </w:rPr>
      </w:pPr>
      <w:r>
        <w:rPr>
          <w:rFonts w:hint="eastAsia" w:ascii="宋体" w:hAnsi="宋体" w:cs="宋体"/>
          <w:color w:val="000000" w:themeColor="text1"/>
          <w:sz w:val="24"/>
          <w:szCs w:val="24"/>
        </w:rPr>
        <w:t xml:space="preserve">通讯地址：</w:t>
      </w:r>
      <w:r>
        <w:rPr>
          <w:rFonts w:hint="eastAsia" w:ascii="宋体" w:hAnsi="宋体" w:cs="宋体"/>
          <w:color w:val="000000" w:themeColor="text1"/>
          <w:sz w:val="24"/>
          <w:szCs w:val="24"/>
          <w:u w:val="single"/>
        </w:rPr>
        <w:t xml:space="preserve">沭阳县李恒镇府前路2号、沭阳县沭城街道北京南路41号5楼</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29.2</w:t>
      </w:r>
      <w:r>
        <w:rPr>
          <w:rFonts w:hint="eastAsia" w:ascii="Times New Roman" w:hAnsi="Times New Roman" w:cs="仿宋"/>
          <w:color w:val="000000" w:themeColor="text1"/>
          <w:sz w:val="24"/>
        </w:rPr>
        <w:t xml:space="preserve">供应商应知其权益受到损害之日，是指：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）对本项目采购过程提出质疑的，为各采购程序环节结束之日；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）对本项目中标结果提出质疑的，为中标结果公告期限届满之日。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29.3</w:t>
      </w:r>
      <w:r>
        <w:rPr>
          <w:rFonts w:hint="eastAsia" w:ascii="Times New Roman" w:hAnsi="Times New Roman" w:cs="仿宋"/>
          <w:color w:val="000000" w:themeColor="text1"/>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29.4</w:t>
      </w:r>
      <w:r>
        <w:rPr>
          <w:rFonts w:hint="eastAsia" w:ascii="Times New Roman" w:hAnsi="Times New Roman" w:cs="仿宋"/>
          <w:color w:val="000000" w:themeColor="text1"/>
          <w:sz w:val="24"/>
        </w:rPr>
        <w:t xml:space="preserve">供应商提出质疑应当提交质疑函和必要的证明材料。质疑函的必备内容：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）供应商的姓名或者名称、地址、邮编、联系人及联系电话；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）质疑项目的名称、编号；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）获取采购文件的时间；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4</w:t>
      </w:r>
      <w:r>
        <w:rPr>
          <w:rFonts w:hint="eastAsia" w:ascii="Times New Roman" w:hAnsi="Times New Roman" w:cs="仿宋"/>
          <w:color w:val="000000" w:themeColor="text1"/>
          <w:sz w:val="24"/>
        </w:rPr>
        <w:t xml:space="preserve">）具体、明确的质疑事项和质疑事项相关的请求；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）事实依据；</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6</w:t>
      </w:r>
      <w:r>
        <w:rPr>
          <w:rFonts w:hint="eastAsia" w:ascii="Times New Roman" w:hAnsi="Times New Roman" w:cs="仿宋"/>
          <w:color w:val="000000" w:themeColor="text1"/>
          <w:sz w:val="24"/>
        </w:rPr>
        <w:t xml:space="preserve">）必要的法律依据；</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7</w:t>
      </w:r>
      <w:r>
        <w:rPr>
          <w:rFonts w:hint="eastAsia" w:ascii="Times New Roman" w:hAnsi="Times New Roman" w:cs="仿宋"/>
          <w:color w:val="000000" w:themeColor="text1"/>
          <w:sz w:val="24"/>
        </w:rPr>
        <w:t xml:space="preserve">）提出质疑的日期；</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8</w:t>
      </w:r>
      <w:r>
        <w:rPr>
          <w:rFonts w:hint="eastAsia" w:ascii="Times New Roman" w:hAnsi="Times New Roman" w:cs="仿宋"/>
          <w:color w:val="000000" w:themeColor="text1"/>
          <w:sz w:val="24"/>
        </w:rPr>
        <w:t xml:space="preserve">）供应商为自然人的，由本人签字；供应商为法人或者其他组织的，应当由法定代表人、主要负责人，或者其授权代表签字或者盖章，并加盖公章；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9</w:t>
      </w:r>
      <w:r>
        <w:rPr>
          <w:rFonts w:hint="eastAsia" w:ascii="Times New Roman" w:hAnsi="Times New Roman" w:cs="仿宋"/>
          <w:color w:val="000000" w:themeColor="text1"/>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29.5</w:t>
      </w:r>
      <w:r>
        <w:rPr>
          <w:rFonts w:hint="eastAsia" w:ascii="Times New Roman" w:hAnsi="Times New Roman" w:cs="仿宋"/>
          <w:color w:val="000000" w:themeColor="text1"/>
          <w:sz w:val="24"/>
        </w:rPr>
        <w:t xml:space="preserve">采购人在收到质疑函后</w:t>
      </w:r>
      <w:r>
        <w:rPr>
          <w:rFonts w:hint="eastAsia" w:ascii="Times New Roman" w:hAnsi="Times New Roman" w:cs="仿宋"/>
          <w:color w:val="000000" w:themeColor="text1"/>
          <w:sz w:val="24"/>
        </w:rPr>
        <w:t xml:space="preserve">7</w:t>
      </w:r>
      <w:r>
        <w:rPr>
          <w:rFonts w:hint="eastAsia" w:ascii="Times New Roman" w:hAnsi="Times New Roman" w:cs="仿宋"/>
          <w:color w:val="000000" w:themeColor="text1"/>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30.</w:t>
      </w:r>
      <w:r>
        <w:rPr>
          <w:rFonts w:hint="eastAsia" w:ascii="Times New Roman" w:hAnsi="Times New Roman" w:cs="仿宋"/>
          <w:b/>
          <w:color w:val="000000" w:themeColor="text1"/>
          <w:sz w:val="24"/>
        </w:rPr>
        <w:t xml:space="preserve">投诉</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质疑供应商对答复不满意或采购人、采购代理机构未在规定时间内作出答复的，可在答复期满后</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个工作日内向同级财政部门提起投诉。</w:t>
      </w:r>
      <w:r/>
    </w:p>
    <w:p>
      <w:pPr>
        <w:pStyle w:val="846"/>
        <w:jc w:val="center"/>
        <w:spacing w:before="200"/>
        <w:rPr>
          <w:color w:val="000000" w:themeColor="text1"/>
        </w:rPr>
      </w:pPr>
      <w:r/>
      <w:bookmarkStart w:id="127" w:name="EB4d341233595e4bf8ad7006b4bd78d974"/>
      <w:r/>
      <w:bookmarkStart w:id="128" w:name="_Toc81575201"/>
      <w:r/>
      <w:bookmarkStart w:id="129" w:name="_Toc81575164"/>
      <w:r/>
      <w:bookmarkStart w:id="130" w:name="_Hlk166141273"/>
      <w:r/>
      <w:bookmarkEnd w:id="127"/>
      <w:r>
        <w:rPr>
          <w:rFonts w:hint="eastAsia"/>
          <w:color w:val="000000" w:themeColor="text1"/>
        </w:rPr>
        <w:br w:type="page" w:clear="all"/>
      </w:r>
      <w:bookmarkStart w:id="131" w:name="_Toc17996"/>
      <w:r>
        <w:rPr>
          <w:rFonts w:hint="eastAsia" w:ascii="Calibri" w:hAnsi="Calibri" w:eastAsia="宋体" w:cs="Times New Roman"/>
          <w:b/>
          <w:color w:val="000000" w:themeColor="text1"/>
          <w:sz w:val="44"/>
          <w:szCs w:val="44"/>
        </w:rPr>
        <w:t xml:space="preserve">第三章</w:t>
      </w:r>
      <w:r>
        <w:rPr>
          <w:rFonts w:hint="eastAsia" w:ascii="Calibri" w:hAnsi="Calibri" w:eastAsia="宋体" w:cs="Times New Roman"/>
          <w:b/>
          <w:color w:val="000000" w:themeColor="text1"/>
          <w:sz w:val="44"/>
          <w:szCs w:val="44"/>
        </w:rPr>
        <w:t xml:space="preserve">  </w:t>
      </w:r>
      <w:r>
        <w:rPr>
          <w:rFonts w:hint="eastAsia" w:ascii="Calibri" w:hAnsi="Calibri" w:eastAsia="宋体" w:cs="Times New Roman"/>
          <w:b/>
          <w:color w:val="000000" w:themeColor="text1"/>
          <w:sz w:val="44"/>
          <w:szCs w:val="44"/>
        </w:rPr>
        <w:t xml:space="preserve">资格审查及评标</w:t>
      </w:r>
      <w:bookmarkEnd w:id="128"/>
      <w:r/>
      <w:bookmarkEnd w:id="129"/>
      <w:r/>
      <w:bookmarkEnd w:id="131"/>
      <w:r>
        <w:rPr>
          <w:rFonts w:hint="eastAsia" w:ascii="Calibri" w:hAnsi="Calibri" w:eastAsia="宋体" w:cs="Times New Roman"/>
          <w:b/>
          <w:color w:val="000000" w:themeColor="text1"/>
          <w:sz w:val="44"/>
          <w:szCs w:val="44"/>
        </w:rPr>
        <w:t xml:space="preserve">方法</w:t>
      </w:r>
      <w:r/>
    </w:p>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一、资格审查</w:t>
      </w:r>
      <w:r/>
    </w:p>
    <w:p>
      <w:pPr>
        <w:ind w:firstLine="480"/>
        <w:jc w:val="left"/>
        <w:spacing w:line="480" w:lineRule="exact"/>
        <w:rPr>
          <w:color w:val="000000" w:themeColor="text1"/>
          <w:sz w:val="24"/>
          <w:szCs w:val="28"/>
        </w:rPr>
      </w:pPr>
      <w:r>
        <w:rPr>
          <w:rFonts w:hint="eastAsia"/>
          <w:color w:val="000000" w:themeColor="text1"/>
          <w:sz w:val="24"/>
          <w:szCs w:val="28"/>
        </w:rPr>
        <w:t xml:space="preserve">资格审查人员按照下列指标对各投标人的资格进行审查，未通过审查的为无效标，不参与评标。</w:t>
      </w:r>
      <w:r/>
    </w:p>
    <w:tbl>
      <w:tblPr>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color w:val="000000" w:themeColor="text1"/>
                <w:sz w:val="24"/>
                <w:szCs w:val="28"/>
              </w:rPr>
            </w:pPr>
            <w:r>
              <w:rPr>
                <w:rFonts w:hint="eastAsia"/>
                <w:color w:val="000000" w:themeColor="text1"/>
                <w:sz w:val="24"/>
                <w:szCs w:val="28"/>
              </w:rPr>
              <w:t xml:space="preserve">资格审查因素</w:t>
            </w:r>
            <w:r/>
          </w:p>
        </w:tc>
        <w:tc>
          <w:tcPr>
            <w:tcW w:w="4918" w:type="dxa"/>
            <w:vAlign w:val="center"/>
            <w:textDirection w:val="lrTb"/>
            <w:noWrap w:val="false"/>
          </w:tcPr>
          <w:p>
            <w:pPr>
              <w:ind w:firstLine="480"/>
              <w:jc w:val="center"/>
              <w:spacing w:line="480" w:lineRule="exact"/>
              <w:rPr>
                <w:color w:val="000000" w:themeColor="text1"/>
                <w:sz w:val="24"/>
                <w:szCs w:val="28"/>
              </w:rPr>
            </w:pPr>
            <w:r>
              <w:rPr>
                <w:rFonts w:hint="eastAsia"/>
                <w:color w:val="000000" w:themeColor="text1"/>
                <w:sz w:val="24"/>
                <w:szCs w:val="28"/>
              </w:rPr>
              <w:t xml:space="preserve">审查标准</w:t>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2" w:name="OLE_LINK25"/>
            <w:r>
              <w:rPr>
                <w:rFonts w:hint="eastAsia"/>
                <w:color w:val="000000" w:themeColor="text1"/>
                <w:sz w:val="20"/>
                <w:szCs w:val="20"/>
              </w:rPr>
              <w:t xml:space="preserve">投标声明及承诺函</w:t>
            </w:r>
            <w:bookmarkEnd w:id="132"/>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3" w:name="OLE_LINK26"/>
            <w:r>
              <w:rPr>
                <w:rFonts w:hint="eastAsia"/>
                <w:color w:val="000000" w:themeColor="text1"/>
                <w:sz w:val="20"/>
                <w:szCs w:val="20"/>
              </w:rPr>
              <w:t xml:space="preserve">符合招标文件要求</w:t>
            </w:r>
            <w:bookmarkEnd w:id="133"/>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4" w:name="OLE_LINK27"/>
            <w:r>
              <w:rPr>
                <w:rFonts w:hint="eastAsia"/>
                <w:color w:val="000000" w:themeColor="text1"/>
                <w:sz w:val="20"/>
                <w:szCs w:val="20"/>
              </w:rPr>
              <w:t xml:space="preserve">信用信息</w:t>
            </w:r>
            <w:bookmarkEnd w:id="134"/>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5" w:name="OLE_LINK28"/>
            <w:r>
              <w:rPr>
                <w:rFonts w:hint="eastAsia"/>
                <w:color w:val="000000" w:themeColor="text1"/>
                <w:sz w:val="20"/>
                <w:szCs w:val="20"/>
              </w:rPr>
              <w:t xml:space="preserve">符合招标文件要求</w:t>
            </w:r>
            <w:bookmarkEnd w:id="135"/>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6" w:name="OLE_LINK29"/>
            <w:r>
              <w:rPr>
                <w:rFonts w:hint="eastAsia"/>
                <w:color w:val="000000" w:themeColor="text1"/>
                <w:sz w:val="20"/>
                <w:szCs w:val="20"/>
              </w:rPr>
              <w:t xml:space="preserve">联合体投标</w:t>
            </w:r>
            <w:bookmarkEnd w:id="136"/>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7" w:name="OLE_LINK30"/>
            <w:r>
              <w:rPr>
                <w:rFonts w:hint="eastAsia"/>
                <w:color w:val="000000" w:themeColor="text1"/>
                <w:sz w:val="20"/>
                <w:szCs w:val="20"/>
              </w:rPr>
              <w:t xml:space="preserve">不接受联合体投标</w:t>
            </w:r>
            <w:bookmarkEnd w:id="137"/>
            <w:r/>
            <w:r/>
          </w:p>
        </w:tc>
      </w:tr>
      <w:tr>
        <w:trPr/>
        <w:tc>
          <w:tcPr>
            <w:tcW w:w="4534" w:type="dxa"/>
            <w:vAlign w:val="center"/>
            <w:textDirection w:val="lrTb"/>
            <w:noWrap w:val="false"/>
          </w:tcPr>
          <w:p>
            <w:pPr>
              <w:ind w:firstLine="420"/>
              <w:spacing w:line="400" w:lineRule="exact"/>
              <w:rPr>
                <w:color w:val="000000" w:themeColor="text1"/>
                <w:sz w:val="20"/>
                <w:szCs w:val="20"/>
              </w:rPr>
            </w:pPr>
            <w:r>
              <w:rPr>
                <w:rFonts w:ascii="Times New Roman" w:hAnsi="Times New Roman"/>
                <w:color w:val="000000" w:themeColor="text1"/>
                <w:szCs w:val="21"/>
              </w:rPr>
              <w:t xml:space="preserve">其他</w:t>
            </w:r>
            <w:r/>
          </w:p>
        </w:tc>
        <w:tc>
          <w:tcPr>
            <w:tcW w:w="4918" w:type="dxa"/>
            <w:vAlign w:val="center"/>
            <w:textDirection w:val="lrTb"/>
            <w:noWrap w:val="false"/>
          </w:tcPr>
          <w:p>
            <w:pPr>
              <w:ind w:firstLine="420"/>
              <w:spacing w:line="400" w:lineRule="exact"/>
              <w:rPr>
                <w:color w:val="000000" w:themeColor="text1"/>
                <w:sz w:val="20"/>
                <w:szCs w:val="20"/>
              </w:rPr>
            </w:pPr>
            <w:r>
              <w:rPr>
                <w:rFonts w:hint="eastAsia" w:ascii="Times New Roman" w:hAnsi="Times New Roman" w:cs="仿宋"/>
                <w:color w:val="000000" w:themeColor="text1"/>
              </w:rPr>
              <w:t xml:space="preserve">符合招标文件要求</w:t>
            </w:r>
            <w:r/>
          </w:p>
        </w:tc>
      </w:tr>
    </w:tbl>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二、符合性审查</w:t>
      </w:r>
      <w:r/>
    </w:p>
    <w:p>
      <w:pPr>
        <w:ind w:firstLine="480"/>
        <w:jc w:val="left"/>
        <w:spacing w:line="480" w:lineRule="exact"/>
        <w:rPr>
          <w:color w:val="000000" w:themeColor="text1"/>
          <w:sz w:val="24"/>
          <w:szCs w:val="28"/>
        </w:rPr>
      </w:pPr>
      <w:r>
        <w:rPr>
          <w:rFonts w:hint="eastAsia"/>
          <w:color w:val="000000" w:themeColor="text1"/>
          <w:sz w:val="24"/>
          <w:szCs w:val="28"/>
        </w:rPr>
        <w:t xml:space="preserve">评标委员会对符合资格的投标人的投标文件进行符合性审查，未通过审查的为无效标，不再参与评审。</w:t>
      </w:r>
      <w:r/>
    </w:p>
    <w:tbl>
      <w:tblPr>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符合性审查因素</w:t>
            </w:r>
            <w:r/>
          </w:p>
        </w:tc>
        <w:tc>
          <w:tcPr>
            <w:tcW w:w="489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审查标准</w:t>
            </w:r>
            <w:r/>
          </w:p>
        </w:tc>
      </w:tr>
      <w:tr>
        <w:trPr/>
        <w:tc>
          <w:tcPr>
            <w:tcW w:w="4532" w:type="dxa"/>
            <w:vAlign w:val="center"/>
            <w:textDirection w:val="lrTb"/>
            <w:noWrap w:val="false"/>
          </w:tcPr>
          <w:p>
            <w:pPr>
              <w:jc w:val="left"/>
              <w:rPr>
                <w:rFonts w:hint="eastAsia" w:ascii="宋体" w:hAnsi="宋体" w:cs="宋体"/>
                <w:color w:val="000000" w:themeColor="text1"/>
              </w:rPr>
            </w:pPr>
            <w:r/>
            <w:bookmarkStart w:id="138" w:name="OLE_LINK36"/>
            <w:r>
              <w:rPr>
                <w:rFonts w:hint="eastAsia" w:ascii="宋体" w:hAnsi="宋体" w:cs="宋体"/>
                <w:color w:val="000000" w:themeColor="text1"/>
              </w:rPr>
              <w:t xml:space="preserve">法定代表人身份证明或授权委托书</w:t>
            </w:r>
            <w:bookmarkEnd w:id="138"/>
            <w:r/>
            <w:r/>
          </w:p>
        </w:tc>
        <w:tc>
          <w:tcPr>
            <w:tcW w:w="4895" w:type="dxa"/>
            <w:vAlign w:val="center"/>
            <w:textDirection w:val="lrTb"/>
            <w:noWrap w:val="false"/>
          </w:tcPr>
          <w:p>
            <w:pPr>
              <w:jc w:val="left"/>
              <w:rPr>
                <w:rFonts w:hint="eastAsia" w:ascii="宋体" w:hAnsi="宋体" w:cs="宋体"/>
                <w:color w:val="000000" w:themeColor="text1"/>
              </w:rPr>
            </w:pPr>
            <w:r/>
            <w:bookmarkStart w:id="139" w:name="OLE_LINK37"/>
            <w:r>
              <w:rPr>
                <w:rFonts w:hint="eastAsia" w:ascii="宋体" w:hAnsi="宋体" w:cs="宋体"/>
                <w:color w:val="000000" w:themeColor="text1"/>
              </w:rPr>
              <w:t xml:space="preserve">符合招标文件要求</w:t>
            </w:r>
            <w:bookmarkEnd w:id="139"/>
            <w:r/>
            <w:r/>
          </w:p>
        </w:tc>
      </w:tr>
      <w:tr>
        <w:trPr/>
        <w:tc>
          <w:tcPr>
            <w:tcW w:w="4532" w:type="dxa"/>
            <w:vAlign w:val="center"/>
            <w:textDirection w:val="lrTb"/>
            <w:noWrap w:val="false"/>
          </w:tcPr>
          <w:p>
            <w:pPr>
              <w:jc w:val="left"/>
              <w:rPr>
                <w:rFonts w:hint="eastAsia" w:ascii="宋体" w:hAnsi="宋体" w:cs="宋体"/>
                <w:color w:val="000000" w:themeColor="text1"/>
              </w:rPr>
            </w:pPr>
            <w:r/>
            <w:bookmarkStart w:id="140" w:name="OLE_LINK34"/>
            <w:r>
              <w:rPr>
                <w:rFonts w:hint="eastAsia" w:ascii="宋体" w:hAnsi="宋体" w:cs="宋体"/>
                <w:color w:val="000000" w:themeColor="text1"/>
              </w:rPr>
              <w:t xml:space="preserve">开标一览表及投标报价</w:t>
            </w:r>
            <w:bookmarkEnd w:id="140"/>
            <w:r/>
            <w:r/>
          </w:p>
        </w:tc>
        <w:tc>
          <w:tcPr>
            <w:tcW w:w="4895" w:type="dxa"/>
            <w:vAlign w:val="center"/>
            <w:textDirection w:val="lrTb"/>
            <w:noWrap w:val="false"/>
          </w:tcPr>
          <w:p>
            <w:pPr>
              <w:jc w:val="left"/>
              <w:rPr>
                <w:rFonts w:hint="eastAsia" w:ascii="宋体" w:hAnsi="宋体" w:cs="宋体"/>
                <w:color w:val="000000" w:themeColor="text1"/>
              </w:rPr>
            </w:pPr>
            <w:r/>
            <w:bookmarkStart w:id="141" w:name="OLE_LINK35"/>
            <w:r>
              <w:rPr>
                <w:rFonts w:hint="eastAsia" w:ascii="宋体" w:hAnsi="宋体" w:cs="宋体"/>
                <w:color w:val="000000" w:themeColor="text1"/>
              </w:rPr>
              <w:t xml:space="preserve">格式、填写要求符合招标文件规定</w:t>
            </w:r>
            <w:bookmarkEnd w:id="141"/>
            <w:r/>
            <w:r/>
          </w:p>
        </w:tc>
      </w:tr>
      <w:tr>
        <w:trPr/>
        <w:tc>
          <w:tcPr>
            <w:tcW w:w="4532" w:type="dxa"/>
            <w:vAlign w:val="center"/>
            <w:textDirection w:val="lrTb"/>
            <w:noWrap w:val="false"/>
          </w:tcPr>
          <w:p>
            <w:pPr>
              <w:jc w:val="left"/>
              <w:rPr>
                <w:rFonts w:hint="eastAsia" w:ascii="宋体" w:hAnsi="宋体" w:cs="宋体"/>
                <w:color w:val="000000" w:themeColor="text1"/>
              </w:rPr>
            </w:pPr>
            <w:r/>
            <w:bookmarkStart w:id="142" w:name="OLE_LINK38"/>
            <w:r>
              <w:rPr>
                <w:rFonts w:hint="eastAsia" w:ascii="宋体" w:hAnsi="宋体" w:cs="宋体"/>
                <w:color w:val="000000" w:themeColor="text1"/>
              </w:rPr>
              <w:t xml:space="preserve">技术标准和要求</w:t>
            </w:r>
            <w:bookmarkEnd w:id="142"/>
            <w:r/>
            <w:r/>
          </w:p>
        </w:tc>
        <w:tc>
          <w:tcPr>
            <w:tcW w:w="4895" w:type="dxa"/>
            <w:vAlign w:val="center"/>
            <w:textDirection w:val="lrTb"/>
            <w:noWrap w:val="false"/>
          </w:tcPr>
          <w:p>
            <w:pPr>
              <w:jc w:val="left"/>
              <w:rPr>
                <w:rFonts w:hint="eastAsia" w:ascii="宋体" w:hAnsi="宋体" w:cs="宋体"/>
                <w:color w:val="000000" w:themeColor="text1"/>
              </w:rPr>
            </w:pPr>
            <w:r>
              <w:rPr>
                <w:rFonts w:hint="eastAsia" w:ascii="宋体" w:hAnsi="宋体" w:cs="宋体"/>
                <w:color w:val="000000" w:themeColor="text1"/>
              </w:rPr>
              <w:t xml:space="preserve">符合招标文件要求</w:t>
            </w:r>
            <w:r/>
          </w:p>
        </w:tc>
      </w:tr>
      <w:tr>
        <w:trPr/>
        <w:tc>
          <w:tcPr>
            <w:tcW w:w="4532" w:type="dxa"/>
            <w:vAlign w:val="center"/>
            <w:textDirection w:val="lrTb"/>
            <w:noWrap w:val="false"/>
          </w:tcPr>
          <w:p>
            <w:pPr>
              <w:jc w:val="left"/>
              <w:rPr>
                <w:rFonts w:hint="eastAsia" w:ascii="宋体" w:hAnsi="宋体" w:cs="宋体"/>
                <w:color w:val="000000" w:themeColor="text1"/>
              </w:rPr>
            </w:pPr>
            <w:r>
              <w:rPr>
                <w:rFonts w:hint="eastAsia" w:ascii="宋体" w:hAnsi="宋体" w:cs="宋体"/>
                <w:color w:val="000000" w:themeColor="text1"/>
              </w:rPr>
              <w:t xml:space="preserve">其他</w:t>
            </w:r>
            <w:r/>
          </w:p>
        </w:tc>
        <w:tc>
          <w:tcPr>
            <w:tcW w:w="4895" w:type="dxa"/>
            <w:vAlign w:val="center"/>
            <w:textDirection w:val="lrTb"/>
            <w:noWrap w:val="false"/>
          </w:tcPr>
          <w:p>
            <w:pPr>
              <w:jc w:val="left"/>
              <w:rPr>
                <w:rFonts w:hint="eastAsia" w:ascii="宋体" w:hAnsi="宋体" w:cs="宋体"/>
                <w:color w:val="000000" w:themeColor="text1"/>
              </w:rPr>
            </w:pPr>
            <w:r/>
            <w:bookmarkStart w:id="143" w:name="OLE_LINK39"/>
            <w:r>
              <w:rPr>
                <w:rFonts w:hint="eastAsia" w:ascii="宋体" w:hAnsi="宋体" w:cs="宋体"/>
                <w:color w:val="000000" w:themeColor="text1"/>
              </w:rPr>
              <w:t xml:space="preserve">符合招标文件要求</w:t>
            </w:r>
            <w:bookmarkEnd w:id="143"/>
            <w:r/>
            <w:r/>
          </w:p>
        </w:tc>
      </w:tr>
    </w:tbl>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三、评标方法</w:t>
      </w:r>
      <w:r/>
    </w:p>
    <w:p>
      <w:pPr>
        <w:ind w:firstLine="480"/>
        <w:jc w:val="left"/>
        <w:spacing w:line="480" w:lineRule="exact"/>
        <w:rPr>
          <w:rFonts w:ascii="Times New Roman" w:hAnsi="Times New Roman" w:cs="仿宋"/>
          <w:color w:val="000000" w:themeColor="text1"/>
          <w:sz w:val="24"/>
        </w:rPr>
      </w:pPr>
      <w:r>
        <w:rPr>
          <w:rFonts w:hint="eastAsia"/>
          <w:color w:val="000000" w:themeColor="text1"/>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综合评分保留至小数点后两位。</w:t>
      </w:r>
      <w:r/>
    </w:p>
    <w:p>
      <w:pPr>
        <w:ind w:firstLine="480"/>
        <w:jc w:val="left"/>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评标委员会根据评标后投标人排序推荐中标候选人，并形成评标报告。</w:t>
      </w:r>
      <w:r/>
    </w:p>
    <w:p>
      <w:pPr>
        <w:numPr>
          <w:ilvl w:val="0"/>
          <w:numId w:val="4"/>
        </w:num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489"/>
        <w:gridCol w:w="1346"/>
        <w:gridCol w:w="1288"/>
        <w:gridCol w:w="5443"/>
      </w:tblGrid>
      <w:tr>
        <w:trPr/>
        <w:tc>
          <w:tcPr>
            <w:gridSpan w:val="2"/>
            <w:tcW w:w="2835"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评审因素</w:t>
            </w:r>
            <w:r/>
          </w:p>
        </w:tc>
        <w:tc>
          <w:tcPr>
            <w:tcW w:w="1288"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分数</w:t>
            </w:r>
            <w:r/>
          </w:p>
        </w:tc>
        <w:tc>
          <w:tcPr>
            <w:tcW w:w="5443"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评审标准</w:t>
            </w:r>
            <w:r/>
          </w:p>
        </w:tc>
      </w:tr>
      <w:tr>
        <w:trPr>
          <w:trHeight w:val="1298"/>
        </w:trPr>
        <w:tc>
          <w:tcPr>
            <w:tcW w:w="1489"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报价分</w:t>
            </w:r>
            <w:r/>
          </w:p>
        </w:tc>
        <w:tc>
          <w:tcPr>
            <w:tcW w:w="1346" w:type="dxa"/>
            <w:vAlign w:val="center"/>
            <w:textDirection w:val="lrTb"/>
            <w:noWrap w:val="false"/>
          </w:tcPr>
          <w:p>
            <w:pPr>
              <w:jc w:val="left"/>
              <w:rPr>
                <w:rFonts w:hint="eastAsia" w:ascii="宋体" w:hAnsi="宋体"/>
                <w:color w:val="000000" w:themeColor="text1"/>
                <w:sz w:val="24"/>
                <w:szCs w:val="24"/>
              </w:rPr>
            </w:pPr>
            <w:r>
              <w:rPr>
                <w:rFonts w:ascii="Times New Roman" w:hAnsi="Times New Roman"/>
                <w:color w:val="000000" w:themeColor="text1"/>
                <w:sz w:val="24"/>
                <w:szCs w:val="24"/>
              </w:rPr>
              <w:t xml:space="preserve">投标报价</w:t>
            </w:r>
            <w:r/>
          </w:p>
        </w:tc>
        <w:tc>
          <w:tcPr>
            <w:tcW w:w="1288" w:type="dxa"/>
            <w:vAlign w:val="center"/>
            <w:textDirection w:val="lrTb"/>
            <w:noWrap w:val="false"/>
          </w:tcPr>
          <w:p>
            <w:pPr>
              <w:jc w:val="left"/>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30</w:t>
            </w:r>
            <w:r>
              <w:rPr>
                <w:rFonts w:ascii="Times New Roman" w:hAnsi="Times New Roman"/>
                <w:color w:val="000000" w:themeColor="text1"/>
                <w:sz w:val="24"/>
                <w:szCs w:val="24"/>
              </w:rPr>
              <w:t xml:space="preserve">.00</w:t>
            </w:r>
            <w:r>
              <w:rPr>
                <w:rFonts w:ascii="Times New Roman" w:hAnsi="Times New Roman"/>
                <w:color w:val="000000" w:themeColor="text1"/>
                <w:sz w:val="24"/>
                <w:szCs w:val="24"/>
              </w:rPr>
              <w:t xml:space="preserve">分</w:t>
            </w:r>
            <w:r/>
          </w:p>
        </w:tc>
        <w:tc>
          <w:tcPr>
            <w:tcW w:w="5443" w:type="dxa"/>
            <w:vAlign w:val="center"/>
            <w:textDirection w:val="lrTb"/>
            <w:noWrap w:val="false"/>
          </w:tcPr>
          <w:p>
            <w:pPr>
              <w:jc w:val="left"/>
              <w:rPr>
                <w:rFonts w:hint="eastAsia" w:ascii="宋体" w:hAnsi="宋体" w:cs="宋体"/>
                <w:color w:val="000000" w:themeColor="text1"/>
                <w:sz w:val="24"/>
                <w:szCs w:val="24"/>
              </w:rPr>
            </w:pPr>
            <w:r/>
            <w:bookmarkStart w:id="144" w:name="OLE_LINK40"/>
            <w:r>
              <w:rPr>
                <w:rFonts w:hint="eastAsia" w:ascii="宋体" w:hAnsi="宋体" w:cs="宋体"/>
                <w:color w:val="000000" w:themeColor="text1"/>
                <w:sz w:val="24"/>
                <w:szCs w:val="24"/>
              </w:rPr>
              <w:t xml:space="preserve">采用低价优先法计算，即满足招标文件要求且投标价格最低的投标报价为评标基准价，其价格分为满分。其他投标人投标报价得分＝（评标基准价/投标报价）*30。</w:t>
            </w:r>
            <w:r/>
          </w:p>
          <w:p>
            <w:pPr>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注：符合规定的小微企业（含监狱企业和残疾人福利单位）报价给予15%的扣除，用扣除后的价格参加评审。</w:t>
            </w:r>
            <w:bookmarkEnd w:id="144"/>
            <w:r/>
            <w:r/>
          </w:p>
        </w:tc>
      </w:tr>
      <w:tr>
        <w:trPr/>
        <w:tc>
          <w:tcPr>
            <w:tcW w:w="1489"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企业经营业绩</w:t>
            </w:r>
            <w:r/>
          </w:p>
        </w:tc>
        <w:tc>
          <w:tcPr>
            <w:tcW w:w="1346" w:type="dxa"/>
            <w:vAlign w:val="center"/>
            <w:textDirection w:val="lrTb"/>
            <w:noWrap w:val="false"/>
          </w:tcPr>
          <w:p>
            <w:pPr>
              <w:jc w:val="left"/>
              <w:rPr>
                <w:rFonts w:hint="eastAsia" w:ascii="宋体" w:hAnsi="宋体"/>
                <w:color w:val="000000" w:themeColor="text1"/>
                <w:sz w:val="24"/>
                <w:szCs w:val="24"/>
              </w:rPr>
            </w:pPr>
            <w:r>
              <w:rPr>
                <w:rFonts w:ascii="Times New Roman" w:hAnsi="Times New Roman"/>
                <w:color w:val="000000" w:themeColor="text1"/>
                <w:sz w:val="24"/>
                <w:szCs w:val="24"/>
              </w:rPr>
              <w:t xml:space="preserve">企业业绩</w:t>
            </w:r>
            <w:r/>
          </w:p>
        </w:tc>
        <w:tc>
          <w:tcPr>
            <w:tcW w:w="1288" w:type="dxa"/>
            <w:vAlign w:val="center"/>
            <w:textDirection w:val="lrTb"/>
            <w:noWrap w:val="false"/>
          </w:tcPr>
          <w:p>
            <w:pPr>
              <w:jc w:val="left"/>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4</w:t>
            </w:r>
            <w:r>
              <w:rPr>
                <w:rFonts w:ascii="Times New Roman" w:hAnsi="Times New Roman"/>
                <w:color w:val="000000" w:themeColor="text1"/>
                <w:sz w:val="24"/>
                <w:szCs w:val="24"/>
              </w:rPr>
              <w:t xml:space="preserve">.00</w:t>
            </w:r>
            <w:r>
              <w:rPr>
                <w:rFonts w:ascii="Times New Roman" w:hAnsi="Times New Roman"/>
                <w:color w:val="000000" w:themeColor="text1"/>
                <w:sz w:val="24"/>
                <w:szCs w:val="24"/>
              </w:rPr>
              <w:t xml:space="preserve">分</w:t>
            </w:r>
            <w:r/>
          </w:p>
        </w:tc>
        <w:tc>
          <w:tcPr>
            <w:tcW w:w="5443"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投标人需提供承接过类似业绩的，每有1个业绩得2分，最多得4分；</w:t>
            </w:r>
            <w:r/>
          </w:p>
          <w:p>
            <w:pPr>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注：投标文件提供中标通知书、合同及验收报告等</w:t>
            </w:r>
            <w:r>
              <w:rPr>
                <w:rFonts w:hint="eastAsia" w:ascii="宋体" w:hAnsi="宋体" w:cs="宋体"/>
                <w:color w:val="000000" w:themeColor="text1"/>
                <w:sz w:val="24"/>
                <w:szCs w:val="24"/>
              </w:rPr>
              <w:t xml:space="preserve">有效证明材料的原件扫描件，以上缺一不可，不上传或上传不齐或模糊不清导致无法辨认的不予计分。本项得分证明材料随中标公告同步公示</w:t>
            </w:r>
            <w:r>
              <w:rPr>
                <w:rFonts w:hint="eastAsia" w:ascii="宋体" w:hAnsi="宋体" w:cs="宋体"/>
                <w:b/>
                <w:bCs/>
                <w:color w:val="000000" w:themeColor="text1"/>
                <w:sz w:val="24"/>
                <w:szCs w:val="24"/>
              </w:rPr>
              <w:t xml:space="preserve">。</w:t>
            </w:r>
            <w:r/>
          </w:p>
        </w:tc>
      </w:tr>
      <w:tr>
        <w:trPr/>
        <w:tc>
          <w:tcPr>
            <w:tcW w:w="1489" w:type="dxa"/>
            <w:vAlign w:val="center"/>
            <w:textDirection w:val="lrTb"/>
            <w:noWrap w:val="false"/>
          </w:tcPr>
          <w:p>
            <w:pPr>
              <w:jc w:val="center"/>
              <w:rPr>
                <w:rFonts w:ascii="Times New Roman" w:hAnsi="Times New Roman"/>
                <w:color w:val="000000" w:themeColor="text1"/>
                <w:sz w:val="24"/>
                <w:szCs w:val="24"/>
              </w:rPr>
            </w:pPr>
            <w:r>
              <w:rPr>
                <w:rFonts w:hint="eastAsia" w:ascii="宋体" w:hAnsi="宋体" w:cs="宋体"/>
                <w:color w:val="000000" w:themeColor="text1"/>
                <w:sz w:val="22"/>
                <w:lang w:bidi="ar"/>
              </w:rPr>
              <w:t xml:space="preserve">技术参数响应</w:t>
            </w:r>
            <w:r/>
          </w:p>
        </w:tc>
        <w:tc>
          <w:tcPr>
            <w:tcW w:w="1346" w:type="dxa"/>
            <w:vAlign w:val="center"/>
            <w:textDirection w:val="lrTb"/>
            <w:noWrap w:val="false"/>
          </w:tcPr>
          <w:p>
            <w:pPr>
              <w:jc w:val="left"/>
              <w:rPr>
                <w:rFonts w:ascii="Times New Roman" w:hAnsi="Times New Roman"/>
                <w:color w:val="000000" w:themeColor="text1"/>
                <w:sz w:val="24"/>
                <w:szCs w:val="24"/>
              </w:rPr>
            </w:pPr>
            <w:r>
              <w:rPr>
                <w:rFonts w:hint="eastAsia" w:ascii="宋体" w:hAnsi="宋体" w:cs="宋体"/>
                <w:color w:val="000000" w:themeColor="text1"/>
                <w:sz w:val="22"/>
                <w:lang w:bidi="ar"/>
              </w:rPr>
              <w:t xml:space="preserve">技术参数</w:t>
            </w:r>
            <w:r/>
          </w:p>
        </w:tc>
        <w:tc>
          <w:tcPr>
            <w:tcW w:w="1288" w:type="dxa"/>
            <w:vAlign w:val="center"/>
            <w:textDirection w:val="lrTb"/>
            <w:noWrap w:val="false"/>
          </w:tcPr>
          <w:p>
            <w:pPr>
              <w:jc w:val="lef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30.00</w:t>
            </w:r>
            <w:r>
              <w:rPr>
                <w:rFonts w:hint="eastAsia" w:ascii="Times New Roman" w:hAnsi="Times New Roman"/>
                <w:color w:val="000000" w:themeColor="text1"/>
                <w:sz w:val="24"/>
                <w:szCs w:val="24"/>
              </w:rPr>
              <w:t xml:space="preserve">分</w:t>
            </w:r>
            <w:r/>
          </w:p>
        </w:tc>
        <w:tc>
          <w:tcPr>
            <w:tcW w:w="5443" w:type="dxa"/>
            <w:vAlign w:val="center"/>
            <w:textDirection w:val="lrTb"/>
            <w:noWrap w:val="false"/>
          </w:tcPr>
          <w:p>
            <w:pPr>
              <w:rPr>
                <w:rFonts w:eastAsia="仿宋"/>
                <w:color w:val="000000" w:themeColor="text1"/>
              </w:rPr>
            </w:pPr>
            <w:r/>
            <w:bookmarkStart w:id="145" w:name="OLE_LINK42"/>
            <w:r>
              <w:rPr>
                <w:rFonts w:hint="eastAsia" w:ascii="宋体" w:hAnsi="宋体" w:cs="宋体"/>
                <w:color w:val="000000" w:themeColor="text1"/>
                <w:sz w:val="24"/>
                <w:szCs w:val="24"/>
              </w:rPr>
              <w:t xml:space="preserve">供应商完全满足采购需求中参数要求的得30分。其中，加★项为实质性要求，不接受负偏离，否则作无效标处理；加▲项为重要参数，每有一项负偏离，扣2分；其他参数，每有一项负偏离，扣1分。本项最高30分，扣完为止。注：打“★”内容为实质性要求和条件，不允许负偏离，投标人针对采购清单及参数在投标文件《技术要求响应及偏离表》中</w:t>
            </w:r>
            <w:r>
              <w:rPr>
                <w:rFonts w:hint="eastAsia" w:ascii="宋体" w:hAnsi="宋体" w:cs="宋体"/>
                <w:bCs/>
                <w:iCs/>
                <w:color w:val="000000" w:themeColor="text1"/>
                <w:sz w:val="24"/>
                <w:szCs w:val="24"/>
              </w:rPr>
              <w:t xml:space="preserve">逐条列出</w:t>
            </w:r>
            <w:r>
              <w:rPr>
                <w:rFonts w:hint="eastAsia" w:ascii="宋体" w:hAnsi="宋体" w:cs="宋体"/>
                <w:color w:val="000000" w:themeColor="text1"/>
                <w:sz w:val="24"/>
                <w:szCs w:val="24"/>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9" w:type="dxa"/>
            <w:vAlign w:val="center"/>
            <w:vMerge w:val="restart"/>
            <w:textDirection w:val="lrTb"/>
            <w:noWrap w:val="false"/>
          </w:tcPr>
          <w:p>
            <w:pPr>
              <w:jc w:val="cente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项目实施方案</w:t>
            </w:r>
            <w:r/>
          </w:p>
          <w:p>
            <w:pPr>
              <w:rPr>
                <w:rFonts w:hint="eastAsia" w:ascii="宋体" w:hAnsi="宋体"/>
                <w:color w:val="000000" w:themeColor="text1"/>
                <w:sz w:val="24"/>
                <w:szCs w:val="24"/>
              </w:rPr>
            </w:pPr>
            <w:r>
              <w:rPr>
                <w:rFonts w:hint="eastAsia" w:ascii="宋体" w:hAnsi="宋体"/>
                <w:color w:val="000000" w:themeColor="text1"/>
                <w:sz w:val="24"/>
                <w:szCs w:val="24"/>
              </w:rPr>
            </w:r>
            <w:r/>
          </w:p>
        </w:tc>
        <w:tc>
          <w:tcPr>
            <w:tcW w:w="1346"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前端点位规划布建方案</w:t>
            </w:r>
            <w:r/>
          </w:p>
        </w:tc>
        <w:tc>
          <w:tcPr>
            <w:tcW w:w="1288"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16</w:t>
            </w:r>
            <w:r>
              <w:rPr>
                <w:rFonts w:ascii="宋体" w:hAnsi="宋体"/>
                <w:color w:val="000000" w:themeColor="text1"/>
                <w:sz w:val="24"/>
                <w:szCs w:val="24"/>
              </w:rPr>
              <w:t xml:space="preserve">.00</w:t>
            </w:r>
            <w:r>
              <w:rPr>
                <w:rFonts w:hint="eastAsia" w:ascii="宋体" w:hAnsi="宋体"/>
                <w:color w:val="000000" w:themeColor="text1"/>
                <w:sz w:val="24"/>
                <w:szCs w:val="24"/>
              </w:rPr>
              <w:t xml:space="preserve">分</w:t>
            </w:r>
            <w:r/>
          </w:p>
        </w:tc>
        <w:tc>
          <w:tcPr>
            <w:tcW w:w="5443" w:type="dxa"/>
            <w:vAlign w:val="center"/>
            <w:textDirection w:val="lrTb"/>
            <w:noWrap w:val="false"/>
          </w:tcPr>
          <w:p>
            <w:pPr>
              <w:rPr>
                <w:color w:val="000000" w:themeColor="text1"/>
              </w:rPr>
            </w:pPr>
            <w:r>
              <w:rPr>
                <w:rFonts w:hint="eastAsia" w:ascii="宋体" w:hAnsi="宋体" w:cs="宋体"/>
                <w:color w:val="000000" w:themeColor="text1"/>
                <w:sz w:val="24"/>
                <w:szCs w:val="24"/>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16分；大致符合实际情况、规划合理性一般，可优化的得12分；与实际情况差距较大、规划欠合理，必须重新勘测优化的得8分；没有内容的不得分。</w:t>
            </w:r>
            <w:r/>
          </w:p>
        </w:tc>
      </w:tr>
      <w:tr>
        <w:trPr>
          <w:trHeight w:val="2764"/>
        </w:trPr>
        <w:tc>
          <w:tcPr>
            <w:tcW w:w="1489" w:type="dxa"/>
            <w:vAlign w:val="center"/>
            <w:vMerge w:val="continue"/>
            <w:textDirection w:val="lrTb"/>
            <w:noWrap w:val="false"/>
          </w:tcPr>
          <w:p>
            <w:pPr>
              <w:jc w:val="cente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r>
            <w:r/>
          </w:p>
        </w:tc>
        <w:tc>
          <w:tcPr>
            <w:tcW w:w="1346" w:type="dxa"/>
            <w:vAlign w:val="center"/>
            <w:textDirection w:val="lrTb"/>
            <w:noWrap w:val="false"/>
          </w:tcPr>
          <w:p>
            <w:pP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szCs w:val="24"/>
              </w:rPr>
              <w:t xml:space="preserve"> </w:t>
            </w:r>
            <w:r/>
          </w:p>
          <w:p>
            <w:pPr>
              <w:rPr>
                <w:rFonts w:ascii="Times New Roman" w:hAnsi="Times New Roman" w:eastAsia="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lang w:bidi="ar"/>
              </w:rPr>
              <w:t xml:space="preserve">项目实施计划、安装调试方案</w:t>
            </w:r>
            <w:r>
              <w:rPr>
                <w:rFonts w:ascii="Times New Roman" w:hAnsi="Times New Roman" w:eastAsia="Times New Roman"/>
                <w:color w:val="000000" w:themeColor="text1"/>
                <w:sz w:val="24"/>
                <w:szCs w:val="24"/>
              </w:rPr>
              <w:t xml:space="preserve"> </w:t>
            </w:r>
            <w:r/>
          </w:p>
        </w:tc>
        <w:tc>
          <w:tcPr>
            <w:tcW w:w="1288" w:type="dxa"/>
            <w:vAlign w:val="center"/>
            <w:textDirection w:val="lrTb"/>
            <w:noWrap w:val="false"/>
          </w:tcPr>
          <w:p>
            <w:pP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themeColor="text1"/>
                <w:sz w:val="24"/>
                <w:szCs w:val="24"/>
              </w:rPr>
              <w:t xml:space="preserve">10</w:t>
            </w:r>
            <w:r>
              <w:rPr>
                <w:rFonts w:ascii="Times New Roman" w:hAnsi="Times New Roman" w:eastAsia="Times New Roman"/>
                <w:color w:val="000000" w:themeColor="text1"/>
                <w:sz w:val="24"/>
                <w:szCs w:val="24"/>
              </w:rPr>
              <w:t xml:space="preserve">.00</w:t>
            </w:r>
            <w:r>
              <w:rPr>
                <w:rFonts w:ascii="宋体" w:hAnsi="宋体"/>
                <w:color w:val="000000" w:themeColor="text1"/>
                <w:sz w:val="24"/>
                <w:szCs w:val="24"/>
              </w:rPr>
              <w:t xml:space="preserve">分</w:t>
            </w:r>
            <w:r/>
          </w:p>
        </w:tc>
        <w:tc>
          <w:tcPr>
            <w:tcW w:w="5443"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10分；方案基本合理，实施性较强，设备交付安装时间及时间进度安排较好，符合采购需求的得6分；方案粗略，可实施性表达不清晰，时间进度安排及设备交付安排混乱，不能完全满足采购需求的得2分；没有内容不得分。</w:t>
            </w:r>
            <w:r/>
          </w:p>
        </w:tc>
      </w:tr>
      <w:tr>
        <w:trPr>
          <w:trHeight w:val="680"/>
        </w:trPr>
        <w:tc>
          <w:tcPr>
            <w:tcW w:w="1489" w:type="dxa"/>
            <w:vAlign w:val="center"/>
            <w:vMerge w:val="continue"/>
            <w:textDirection w:val="lrTb"/>
            <w:noWrap w:val="false"/>
          </w:tcPr>
          <w:p>
            <w:pPr>
              <w:jc w:val="cente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r>
            <w:r/>
          </w:p>
        </w:tc>
        <w:tc>
          <w:tcPr>
            <w:tcW w:w="1346"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lang w:bidi="ar"/>
              </w:rPr>
              <w:t xml:space="preserve">售后服务</w:t>
            </w:r>
            <w:r/>
          </w:p>
        </w:tc>
        <w:tc>
          <w:tcPr>
            <w:tcW w:w="1288"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10</w:t>
            </w:r>
            <w:r>
              <w:rPr>
                <w:rFonts w:ascii="宋体" w:hAnsi="宋体"/>
                <w:color w:val="000000" w:themeColor="text1"/>
                <w:sz w:val="24"/>
                <w:szCs w:val="24"/>
              </w:rPr>
              <w:t xml:space="preserve">.00分</w:t>
            </w:r>
            <w:r/>
          </w:p>
        </w:tc>
        <w:tc>
          <w:tcPr>
            <w:tcW w:w="5443"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项目针对采购的设备，提供包含售后人员的售后服务范围、售后服务技术力量、使用培训、应急响应时间及处理方案，设备保养维护、配件备件，以及质保期满后主要产品、配件优惠方案等完整的售后服务方案评审。后续服务方案完整、合理、可实施性强，优于项目需求得10分；后续服务方案基本完善、具有一定可实施性，基本符合项目需求得6分；后续服务方案粗略、可实施性不强，与项目需求不够相符得2分；没有内容不得分。</w:t>
            </w:r>
            <w:bookmarkEnd w:id="130"/>
            <w:r/>
            <w:r/>
          </w:p>
        </w:tc>
      </w:tr>
    </w:tbl>
    <w:p>
      <w:pPr>
        <w:jc w:val="left"/>
        <w:keepLines/>
        <w:keepNext/>
        <w:pageBreakBefore/>
        <w:rPr>
          <w:b/>
          <w:color w:val="000000" w:themeColor="text1"/>
          <w:sz w:val="44"/>
          <w:szCs w:val="44"/>
        </w:rPr>
        <w:outlineLvl w:val="0"/>
      </w:pPr>
      <w:r>
        <w:t xml:space="preserve">                         </w:t>
      </w:r>
      <w:bookmarkStart w:id="146" w:name="_Toc22314"/>
      <w:r/>
      <w:bookmarkStart w:id="147" w:name="_Toc81575168"/>
      <w:r/>
      <w:bookmarkStart w:id="148" w:name="_Toc2916"/>
      <w:r/>
      <w:bookmarkStart w:id="149" w:name="_Toc81575205"/>
      <w:r/>
      <w:bookmarkStart w:id="150" w:name="_Toc12255"/>
      <w:r>
        <w:rPr>
          <w:rFonts w:hint="eastAsia"/>
          <w:b/>
          <w:color w:val="000000" w:themeColor="text1"/>
          <w:sz w:val="44"/>
          <w:szCs w:val="44"/>
        </w:rPr>
        <w:t xml:space="preserve">第四章</w:t>
      </w:r>
      <w:r>
        <w:rPr>
          <w:b/>
          <w:color w:val="000000" w:themeColor="text1"/>
          <w:sz w:val="44"/>
          <w:szCs w:val="44"/>
        </w:rPr>
        <w:t xml:space="preserve">  </w:t>
      </w:r>
      <w:r>
        <w:rPr>
          <w:rFonts w:hint="eastAsia"/>
          <w:b/>
          <w:color w:val="000000" w:themeColor="text1"/>
          <w:sz w:val="44"/>
          <w:szCs w:val="44"/>
        </w:rPr>
        <w:t xml:space="preserve">采购需求</w:t>
      </w:r>
      <w:bookmarkEnd w:id="146"/>
      <w:r/>
      <w:bookmarkEnd w:id="147"/>
      <w:r/>
      <w:bookmarkEnd w:id="148"/>
      <w:r/>
      <w:bookmarkEnd w:id="149"/>
      <w:r/>
      <w:bookmarkEnd w:id="150"/>
      <w:r/>
      <w:r/>
    </w:p>
    <w:p>
      <w:pPr>
        <w:ind w:firstLine="480"/>
        <w:spacing w:line="560" w:lineRule="exact"/>
        <w:rPr>
          <w:rFonts w:hint="eastAsia" w:ascii="宋体" w:hAnsi="宋体" w:cs="宋体"/>
          <w:color w:val="000000" w:themeColor="text1"/>
          <w:sz w:val="24"/>
          <w:szCs w:val="24"/>
        </w:rPr>
      </w:pPr>
      <w:r/>
      <w:bookmarkStart w:id="151" w:name="OLE_LINK10"/>
      <w:r>
        <w:rPr>
          <w:rFonts w:hint="eastAsia" w:ascii="宋体" w:hAnsi="宋体" w:cs="宋体"/>
          <w:b/>
          <w:bCs/>
          <w:color w:val="000000" w:themeColor="text1"/>
          <w:sz w:val="24"/>
          <w:szCs w:val="24"/>
        </w:rPr>
        <w:t xml:space="preserve">一、项目属性：</w:t>
      </w:r>
      <w:r>
        <w:rPr>
          <w:rFonts w:hint="eastAsia" w:ascii="宋体" w:hAnsi="宋体" w:cs="宋体"/>
          <w:color w:val="000000" w:themeColor="text1"/>
          <w:sz w:val="24"/>
          <w:szCs w:val="24"/>
        </w:rPr>
        <w:t xml:space="preserve">货物类项目</w:t>
      </w:r>
      <w:r/>
    </w:p>
    <w:p>
      <w:pPr>
        <w:ind w:firstLine="480"/>
        <w:spacing w:line="560" w:lineRule="exact"/>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二、本项目采购标的对应的中小企业划分标准所属行业：</w:t>
      </w:r>
      <w:r>
        <w:rPr>
          <w:rFonts w:hint="eastAsia" w:ascii="宋体" w:hAnsi="宋体" w:cs="宋体"/>
          <w:color w:val="000000" w:themeColor="text1"/>
          <w:sz w:val="24"/>
          <w:szCs w:val="24"/>
        </w:rPr>
        <w:t xml:space="preserve">软件和信息技术服务业 </w:t>
      </w:r>
      <w:r/>
    </w:p>
    <w:p>
      <w:pPr>
        <w:ind w:firstLine="480"/>
        <w:spacing w:line="560" w:lineRule="exact"/>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三、本项目不接受进口产品。</w:t>
      </w:r>
      <w:r/>
    </w:p>
    <w:p>
      <w:pPr>
        <w:ind w:firstLine="480"/>
        <w:spacing w:line="56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四、完成时间、免费质保期、实施地点及质量标准 </w:t>
      </w:r>
      <w:r/>
    </w:p>
    <w:p>
      <w:pPr>
        <w:numPr>
          <w:ilvl w:val="0"/>
          <w:numId w:val="5"/>
        </w:numPr>
        <w:ind w:firstLine="480"/>
        <w:spacing w:line="560" w:lineRule="exact"/>
        <w:widowControl/>
        <w:rPr>
          <w:rFonts w:hint="eastAsia" w:ascii="宋体" w:hAnsi="宋体" w:cs="宋体"/>
          <w:color w:val="000000" w:themeColor="text1"/>
          <w:sz w:val="24"/>
          <w:szCs w:val="24"/>
        </w:rPr>
      </w:pPr>
      <w:r/>
      <w:bookmarkStart w:id="152" w:name="OLE_LINK12"/>
      <w:r>
        <w:rPr>
          <w:rFonts w:hint="eastAsia" w:ascii="宋体" w:hAnsi="宋体" w:cs="宋体"/>
          <w:color w:val="000000" w:themeColor="text1"/>
          <w:sz w:val="24"/>
          <w:szCs w:val="24"/>
        </w:rPr>
        <w:t xml:space="preserve">交货日期：合同签订后80日历天内完成交货、安装并验收完成。</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实施地点：采购人指定地点； </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质量标准：合格，符合采购要求。 </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运维期：5年。</w:t>
      </w:r>
      <w:r/>
    </w:p>
    <w:p>
      <w:pPr>
        <w:numPr>
          <w:ilvl w:val="0"/>
          <w:numId w:val="5"/>
        </w:numPr>
        <w:ind w:firstLine="480"/>
        <w:spacing w:line="560" w:lineRule="exact"/>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本项目核心产品：</w:t>
      </w:r>
      <w:r>
        <w:rPr>
          <w:rFonts w:ascii="宋体" w:hAnsi="宋体" w:cs="宋体"/>
          <w:b/>
          <w:bCs/>
          <w:color w:val="000000" w:themeColor="text1"/>
          <w:sz w:val="24"/>
          <w:szCs w:val="24"/>
        </w:rPr>
        <w:t xml:space="preserve">云存储硬盘</w:t>
      </w:r>
      <w:r>
        <w:rPr>
          <w:rFonts w:hint="eastAsia" w:ascii="宋体" w:hAnsi="宋体" w:cs="宋体"/>
          <w:b/>
          <w:bCs/>
          <w:color w:val="000000" w:themeColor="text1"/>
          <w:sz w:val="24"/>
          <w:szCs w:val="24"/>
        </w:rPr>
        <w:t xml:space="preserve">。</w:t>
      </w:r>
      <w:bookmarkEnd w:id="152"/>
      <w:r/>
      <w:r/>
    </w:p>
    <w:p>
      <w:pPr>
        <w:ind w:firstLine="482"/>
        <w:spacing w:line="560" w:lineRule="exact"/>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五、</w:t>
      </w:r>
      <w:bookmarkStart w:id="153" w:name="OLE_LINK14"/>
      <w:r>
        <w:rPr>
          <w:rFonts w:hint="eastAsia" w:ascii="宋体" w:hAnsi="宋体" w:cs="宋体"/>
          <w:b/>
          <w:bCs/>
          <w:color w:val="000000" w:themeColor="text1"/>
          <w:sz w:val="24"/>
          <w:szCs w:val="24"/>
        </w:rPr>
        <w:t xml:space="preserve">付款方式</w:t>
      </w:r>
      <w:r>
        <w:rPr>
          <w:rFonts w:hint="eastAsia" w:ascii="宋体" w:hAnsi="宋体" w:cs="宋体"/>
          <w:color w:val="000000" w:themeColor="text1"/>
          <w:sz w:val="24"/>
          <w:szCs w:val="24"/>
        </w:rPr>
        <w:t xml:space="preserve">：</w:t>
      </w:r>
      <w:bookmarkEnd w:id="153"/>
      <w:r>
        <w:rPr>
          <w:rFonts w:hint="eastAsia" w:ascii="宋体" w:hAnsi="宋体" w:cs="宋体"/>
          <w:color w:val="000000" w:themeColor="text1"/>
          <w:sz w:val="24"/>
          <w:szCs w:val="24"/>
        </w:rPr>
        <w:t xml:space="preserve"> </w:t>
      </w:r>
      <w:r/>
    </w:p>
    <w:p>
      <w:pPr>
        <w:ind w:firstLine="480"/>
        <w:spacing w:line="560" w:lineRule="exact"/>
        <w:rPr>
          <w:rFonts w:hint="eastAsia" w:ascii="宋体" w:hAnsi="宋体" w:cs="宋体"/>
          <w:bCs/>
          <w:color w:val="000000" w:themeColor="text1"/>
          <w:sz w:val="24"/>
          <w:szCs w:val="24"/>
        </w:rPr>
      </w:pPr>
      <w:r/>
      <w:bookmarkStart w:id="154" w:name="OLE_LINK13"/>
      <w:r>
        <w:rPr>
          <w:rFonts w:hint="eastAsia" w:ascii="宋体" w:hAnsi="宋体" w:cs="宋体"/>
          <w:bCs/>
          <w:color w:val="000000" w:themeColor="text1"/>
          <w:sz w:val="24"/>
          <w:szCs w:val="24"/>
        </w:rPr>
        <w:t xml:space="preserve">按照以下确定的付款方式，采购人及时办理付款手续。对于满足合同约定支付条件的，自收到发票后10个工作日内将资金支付到合同约定的供应商账户或供应商数字人民币账户。</w:t>
      </w:r>
      <w:bookmarkEnd w:id="154"/>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进度款：</w:t>
      </w:r>
      <w:r>
        <w:rPr>
          <w:rFonts w:ascii="宋体" w:hAnsi="宋体" w:cs="宋体"/>
          <w:bCs/>
          <w:color w:val="000000" w:themeColor="text1"/>
          <w:sz w:val="24"/>
          <w:szCs w:val="24"/>
        </w:rPr>
        <w:t xml:space="preserve">项目运维期限5年。项目所有设备到货，付至合同价款20%，建设完成通过验收后支付至合同价款的</w:t>
      </w:r>
      <w:r>
        <w:rPr>
          <w:rFonts w:hint="eastAsia" w:ascii="宋体" w:hAnsi="宋体" w:cs="宋体"/>
          <w:bCs/>
          <w:color w:val="000000" w:themeColor="text1"/>
          <w:sz w:val="24"/>
          <w:szCs w:val="24"/>
        </w:rPr>
        <w:t xml:space="preserve">5</w:t>
      </w:r>
      <w:r>
        <w:rPr>
          <w:rFonts w:ascii="宋体" w:hAnsi="宋体" w:cs="宋体"/>
          <w:bCs/>
          <w:color w:val="000000" w:themeColor="text1"/>
          <w:sz w:val="24"/>
          <w:szCs w:val="24"/>
        </w:rPr>
        <w:t xml:space="preserve">0%，运维期每满一年，招标人根据对中标人项目运维考核结果支付年度合同款【每月在线率达到95%及以上，考核合格，每有一个自然月在线率不合格，本月不计入年度考核，顺延至下一个自然月，满12个月之后支付年度合同款。如果连续三个月不合格，则不支付当年合同款】。每年合同款金额不高于中标人项目中标价的1</w:t>
      </w:r>
      <w:r>
        <w:rPr>
          <w:rFonts w:hint="eastAsia" w:ascii="宋体" w:hAnsi="宋体" w:cs="宋体"/>
          <w:bCs/>
          <w:color w:val="000000" w:themeColor="text1"/>
          <w:sz w:val="24"/>
          <w:szCs w:val="24"/>
        </w:rPr>
        <w:t xml:space="preserve">0</w:t>
      </w:r>
      <w:r>
        <w:rPr>
          <w:rFonts w:ascii="宋体" w:hAnsi="宋体" w:cs="宋体"/>
          <w:bCs/>
          <w:color w:val="000000" w:themeColor="text1"/>
          <w:sz w:val="24"/>
          <w:szCs w:val="24"/>
        </w:rPr>
        <w:t xml:space="preserve">%。最后一次付清尾款前，乙方必须保证该项目完整可靠运行、在线率合格并移交甲方。</w:t>
      </w:r>
      <w:r/>
    </w:p>
    <w:p>
      <w:pPr>
        <w:ind w:firstLine="482"/>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六、项目主要内容： </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w:t>
      </w:r>
      <w:r>
        <w:rPr>
          <w:rFonts w:hint="eastAsia" w:ascii="宋体" w:hAnsi="宋体" w:cs="宋体"/>
          <w:bCs/>
          <w:color w:val="000000" w:themeColor="text1"/>
          <w:sz w:val="24"/>
          <w:szCs w:val="24"/>
        </w:rPr>
        <w:t xml:space="preserve">务（含深化设计），所有设备需无缝对接公安视频图像信息应用平台、大数据研判平台，满足公安实战化应用需求。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（一）采购范围</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（二）项目目标</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1）实现重点路段、商圈、广场、小区出入口、重点单位、治安复杂区域等场景感知设备全域覆盖，消除监控盲区；</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2）设备具备高清采集、AI智能分析、本地预处理、断网续传功能，数据精准度满足公安研判、取证要求；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3）全面兼容公安现有系统协议，实现数据互联互通、资源共享，支撑治安防控、交通管理、应急指挥等业务开展；</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4）设备具备高稳定性、高安全性，适应户外复杂环境，降低运维成本，保障长期稳定运行。</w:t>
      </w:r>
      <w:r/>
    </w:p>
    <w:p>
      <w:pPr>
        <w:ind w:firstLine="420"/>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七、项目技术要求及清单 </w:t>
      </w:r>
      <w:r/>
    </w:p>
    <w:p>
      <w:pPr>
        <w:ind w:left="602"/>
        <w:jc w:val="center"/>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第一部分    项目概况</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ind w:left="602"/>
        <w:jc w:val="center"/>
        <w:keepNext/>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第二部分    货物清单</w:t>
      </w:r>
      <w:r/>
    </w:p>
    <w:tbl>
      <w:tblPr>
        <w:tblW w:w="9611" w:type="dxa"/>
        <w:tblInd w:w="211" w:type="dxa"/>
        <w:tblLayout w:type="fixed"/>
        <w:tblLook w:val="0000" w:firstRow="0" w:lastRow="0" w:firstColumn="0" w:lastColumn="0" w:noHBand="0" w:noVBand="0"/>
      </w:tblPr>
      <w:tblGrid>
        <w:gridCol w:w="656"/>
        <w:gridCol w:w="780"/>
        <w:gridCol w:w="3750"/>
        <w:gridCol w:w="875"/>
        <w:gridCol w:w="925"/>
        <w:gridCol w:w="850"/>
        <w:gridCol w:w="1052"/>
        <w:gridCol w:w="723"/>
      </w:tblGrid>
      <w:tr>
        <w:trPr>
          <w:trHeight w:val="28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一、</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前端设备</w:t>
            </w:r>
            <w:r/>
          </w:p>
        </w:tc>
      </w:tr>
      <w:tr>
        <w:trPr>
          <w:trHeight w:val="273"/>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详细参数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总价</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jc w:val="center"/>
              <w:keepNext/>
              <w:rPr>
                <w:rFonts w:hint="eastAsia" w:ascii="等线" w:hAnsi="等线" w:eastAsia="等线" w:cs="等线"/>
                <w:color w:val="000000" w:themeColor="text1"/>
                <w:sz w:val="22"/>
              </w:rPr>
            </w:pPr>
            <w:r>
              <w:rPr>
                <w:rFonts w:ascii="等线" w:hAnsi="等线" w:eastAsia="等线" w:cs="等线"/>
                <w:color w:val="000000" w:themeColor="text1"/>
                <w:sz w:val="22"/>
              </w:rPr>
              <w:t xml:space="preserve">备注</w:t>
            </w:r>
            <w:r/>
          </w:p>
        </w:tc>
      </w:tr>
      <w:tr>
        <w:trPr>
          <w:trHeight w:val="1672"/>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结构化双向双摄</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▲2、全景通道和细节通道均具有电动控制PT功能，均支持电动调节。细节通道支持水平方向0至355°旋转，垂直方向支持35°调节；全景通道支持垂直方向20°调节；</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3.全景通道最低照度：彩色不大于0.0002 lx，黑白不大于0.0001 lx；</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4.双两通道的补光灯都支持分区补光，每颗补光灯可以独立控制，可对画面5个不同区域补光强度进行手动控制；</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5.可实现全场景感兴趣目标的最佳聚焦，感兴趣目标类型可设置为人脸、车牌；</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6.支持人脸检测、抓拍功能，可检出两眼瞳距不小于20像素点的人脸；</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7.可识别像素范围从60×20到1300×400的车牌；</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9.支持对检测区域内出现的机动车、非机动车、行人同时检测、跟踪、评分、抓拍、存储，可关联显示人体和对应的人脸图片、车辆和对应的车牌图片；</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10.支持不低于IP67防护等级。内置1个SD卡槽；</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▲11、符合35114-A标准要求。</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190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keepNex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712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超级卡口</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 传感器类型：1英寸曝光 GMOS*1，镜头不低于50mm</w:t>
            </w:r>
            <w:r>
              <w:rPr>
                <w:rFonts w:ascii="等线" w:hAnsi="等线" w:eastAsia="等线" w:cs="等线"/>
                <w:color w:val="000000" w:themeColor="text1"/>
                <w:sz w:val="22"/>
                <w:lang w:bidi="ar"/>
              </w:rPr>
              <w:br/>
              <w:t xml:space="preserve">★2 、分辨率：≥4090×2150</w:t>
            </w:r>
            <w:r>
              <w:rPr>
                <w:rFonts w:ascii="等线" w:hAnsi="等线" w:eastAsia="等线" w:cs="等线"/>
                <w:color w:val="000000" w:themeColor="text1"/>
                <w:sz w:val="22"/>
                <w:lang w:bidi="ar"/>
              </w:rPr>
              <w:br/>
              <w:t xml:space="preserve">3 、帧率：25fps</w:t>
            </w:r>
            <w:r>
              <w:rPr>
                <w:rFonts w:ascii="等线" w:hAnsi="等线" w:eastAsia="等线" w:cs="等线"/>
                <w:color w:val="000000" w:themeColor="text1"/>
                <w:sz w:val="22"/>
                <w:lang w:bidi="ar"/>
              </w:rPr>
              <w:br/>
              <w:t xml:space="preserve">4 、码流：32 Kbps~16 Mbps</w:t>
            </w:r>
            <w:r>
              <w:rPr>
                <w:rFonts w:ascii="等线" w:hAnsi="等线" w:eastAsia="等线" w:cs="等线"/>
                <w:color w:val="000000" w:themeColor="text1"/>
                <w:sz w:val="22"/>
                <w:lang w:bidi="ar"/>
              </w:rPr>
              <w:br/>
              <w:t xml:space="preserve">5 、接口协议：ISAPI ,GB28181</w:t>
            </w:r>
            <w:r>
              <w:rPr>
                <w:rFonts w:ascii="等线" w:hAnsi="等线" w:eastAsia="等线" w:cs="等线"/>
                <w:color w:val="000000" w:themeColor="text1"/>
                <w:sz w:val="22"/>
                <w:lang w:bidi="ar"/>
              </w:rPr>
              <w:br/>
              <w:t xml:space="preserve">6 、内部组件：LED 补光灯</w:t>
            </w:r>
            <w:r>
              <w:rPr>
                <w:rFonts w:ascii="等线" w:hAnsi="等线" w:eastAsia="等线" w:cs="等线"/>
                <w:color w:val="000000" w:themeColor="text1"/>
                <w:sz w:val="22"/>
                <w:lang w:bidi="ar"/>
              </w:rPr>
              <w:br/>
              <w:t xml:space="preserve">7 、摄像机参数配置功能：曝光快门、AGC 控制、白平衡方式控制等</w:t>
            </w:r>
            <w:r>
              <w:rPr>
                <w:rFonts w:ascii="等线" w:hAnsi="等线" w:eastAsia="等线" w:cs="等线"/>
                <w:color w:val="000000" w:themeColor="text1"/>
                <w:sz w:val="22"/>
                <w:lang w:bidi="ar"/>
              </w:rPr>
              <w:br/>
              <w:t xml:space="preserve">8、 视频压缩标准 H.264/H.265</w:t>
            </w:r>
            <w:r>
              <w:rPr>
                <w:rFonts w:ascii="等线" w:hAnsi="等线" w:eastAsia="等线" w:cs="等线"/>
                <w:color w:val="000000" w:themeColor="text1"/>
                <w:sz w:val="22"/>
                <w:lang w:bidi="ar"/>
              </w:rPr>
              <w:br/>
              <w:t xml:space="preserve">9、 输出图片格式 JPEG</w:t>
            </w:r>
            <w:r>
              <w:rPr>
                <w:rFonts w:ascii="等线" w:hAnsi="等线" w:eastAsia="等线" w:cs="等线"/>
                <w:color w:val="000000" w:themeColor="text1"/>
                <w:sz w:val="22"/>
                <w:lang w:bidi="ar"/>
              </w:rPr>
              <w:br/>
              <w:t xml:space="preserve">10、 机动车违章检测 </w:t>
            </w:r>
            <w:r>
              <w:rPr>
                <w:rFonts w:ascii="等线" w:hAnsi="等线" w:eastAsia="等线" w:cs="等线"/>
                <w:color w:val="000000" w:themeColor="text1"/>
                <w:sz w:val="22"/>
                <w:lang w:bidi="ar"/>
              </w:rPr>
              <w:br/>
              <w:t xml:space="preserve">机动车超速、压线、逆行、禁止大货车等违法行为</w:t>
            </w:r>
            <w:r>
              <w:rPr>
                <w:rFonts w:ascii="等线" w:hAnsi="等线" w:eastAsia="等线" w:cs="等线"/>
                <w:color w:val="000000" w:themeColor="text1"/>
                <w:sz w:val="22"/>
                <w:lang w:bidi="ar"/>
              </w:rPr>
              <w:br/>
              <w:t xml:space="preserve">11、 存储支持TF卡，USB，云存储协议</w:t>
            </w:r>
            <w:r>
              <w:rPr>
                <w:rFonts w:ascii="等线" w:hAnsi="等线" w:eastAsia="等线" w:cs="等线"/>
                <w:color w:val="000000" w:themeColor="text1"/>
                <w:sz w:val="22"/>
                <w:lang w:bidi="ar"/>
              </w:rPr>
              <w:br/>
              <w:t xml:space="preserve">12、 终端接入支持接入终端服务器</w:t>
            </w:r>
            <w:r>
              <w:rPr>
                <w:rFonts w:ascii="等线" w:hAnsi="等线" w:eastAsia="等线" w:cs="等线"/>
                <w:color w:val="000000" w:themeColor="text1"/>
                <w:sz w:val="22"/>
                <w:lang w:bidi="ar"/>
              </w:rPr>
              <w:br/>
              <w:t xml:space="preserve">13、 电压 100VAC～240VAC；频率：48Hz～52Hz</w:t>
            </w:r>
            <w:r>
              <w:rPr>
                <w:rFonts w:ascii="等线" w:hAnsi="等线" w:eastAsia="等线" w:cs="等线"/>
                <w:color w:val="000000" w:themeColor="text1"/>
                <w:sz w:val="22"/>
                <w:lang w:bidi="ar"/>
              </w:rPr>
              <w:br/>
              <w:t xml:space="preserve">14 、防护等级：IP65</w:t>
            </w:r>
            <w:r>
              <w:rPr>
                <w:rFonts w:ascii="等线" w:hAnsi="等线" w:eastAsia="等线" w:cs="等线"/>
                <w:color w:val="000000" w:themeColor="text1"/>
                <w:sz w:val="22"/>
                <w:lang w:bidi="ar"/>
              </w:rPr>
              <w:br/>
              <w:t xml:space="preserve">▲15 、车型识别：支持识别不少于30种车型</w:t>
            </w:r>
            <w:r>
              <w:rPr>
                <w:rFonts w:ascii="等线" w:hAnsi="等线" w:eastAsia="等线" w:cs="等线"/>
                <w:color w:val="000000" w:themeColor="text1"/>
                <w:sz w:val="22"/>
                <w:lang w:bidi="ar"/>
              </w:rPr>
              <w:br/>
              <w:t xml:space="preserve">▲16、 驾驶室人脸抠图功能：支持驾驶室人脸抠图。</w:t>
            </w:r>
            <w:r>
              <w:rPr>
                <w:rFonts w:ascii="等线" w:hAnsi="等线" w:eastAsia="等线" w:cs="等线"/>
                <w:color w:val="000000" w:themeColor="text1"/>
                <w:sz w:val="22"/>
                <w:lang w:bidi="ar"/>
              </w:rPr>
              <w:br/>
              <w:t xml:space="preserve">17 、智能检测：在混合抓拍模式下，人体、非机动车和机动车目标捕获率≥99%；人脸检出率≥99%；人脸比对识别率≥ 99%；人体抓拍准确率≥99%。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6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全彩枪机</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1.内置GB35114A级加密芯片</w:t>
            </w:r>
            <w:r>
              <w:rPr>
                <w:rFonts w:ascii="等线" w:hAnsi="等线" w:eastAsia="等线" w:cs="等线"/>
                <w:color w:val="000000" w:themeColor="text1"/>
                <w:sz w:val="22"/>
                <w:lang w:bidi="ar"/>
              </w:rPr>
              <w:br/>
              <w:t xml:space="preserve">▲2. 传感器类型：不小于1/1.8"  CMOS，</w:t>
            </w:r>
            <w:r>
              <w:rPr>
                <w:rFonts w:ascii="等线" w:hAnsi="等线" w:eastAsia="等线" w:cs="等线"/>
                <w:color w:val="000000" w:themeColor="text1"/>
                <w:sz w:val="22"/>
                <w:lang w:bidi="ar"/>
              </w:rPr>
              <w:br/>
              <w:t xml:space="preserve">▲3. 最大光圈：内置不低于F1.0大光圈全彩镜头</w:t>
            </w:r>
            <w:r>
              <w:rPr>
                <w:rFonts w:ascii="等线" w:hAnsi="等线" w:eastAsia="等线" w:cs="等线"/>
                <w:color w:val="000000" w:themeColor="text1"/>
                <w:sz w:val="22"/>
                <w:lang w:bidi="ar"/>
              </w:rPr>
              <w:br/>
              <w:t xml:space="preserve">4. 最低照度：彩色：0.0005 Lux </w:t>
            </w:r>
            <w:r>
              <w:rPr>
                <w:rFonts w:ascii="等线" w:hAnsi="等线" w:eastAsia="等线" w:cs="等线"/>
                <w:color w:val="000000" w:themeColor="text1"/>
                <w:sz w:val="22"/>
                <w:lang w:bidi="ar"/>
              </w:rPr>
              <w:br/>
              <w:t xml:space="preserve">5. 宽动态：不小于120dB </w:t>
            </w:r>
            <w:r>
              <w:rPr>
                <w:rFonts w:ascii="等线" w:hAnsi="等线" w:eastAsia="等线" w:cs="等线"/>
                <w:color w:val="000000" w:themeColor="text1"/>
                <w:sz w:val="22"/>
                <w:lang w:bidi="ar"/>
              </w:rPr>
              <w:br/>
              <w:t xml:space="preserve">6. 焦距</w:t>
            </w:r>
            <w:r>
              <w:rPr>
                <w:rFonts w:hint="eastAsia" w:ascii="等线" w:hAnsi="等线" w:eastAsia="等线" w:cs="等线"/>
                <w:color w:val="000000" w:themeColor="text1"/>
                <w:sz w:val="22"/>
                <w:lang w:bidi="ar"/>
              </w:rPr>
              <w:t xml:space="preserve">大于等于</w:t>
            </w:r>
            <w:r>
              <w:rPr>
                <w:rFonts w:ascii="等线" w:hAnsi="等线" w:eastAsia="等线" w:cs="等线"/>
                <w:color w:val="000000" w:themeColor="text1"/>
                <w:sz w:val="22"/>
                <w:lang w:bidi="ar"/>
              </w:rPr>
              <w:t xml:space="preserve">2.8mm</w:t>
            </w:r>
            <w:r>
              <w:rPr>
                <w:rFonts w:ascii="等线" w:hAnsi="等线" w:eastAsia="等线" w:cs="等线"/>
                <w:color w:val="000000" w:themeColor="text1"/>
                <w:sz w:val="22"/>
                <w:lang w:bidi="ar"/>
              </w:rPr>
              <w:br/>
              <w:t xml:space="preserve">7. 内置或外置</w:t>
            </w:r>
            <w:r>
              <w:rPr>
                <w:rFonts w:hint="eastAsia" w:ascii="等线" w:hAnsi="等线" w:eastAsia="等线" w:cs="等线"/>
                <w:color w:val="000000" w:themeColor="text1"/>
                <w:sz w:val="22"/>
                <w:lang w:bidi="ar"/>
              </w:rPr>
              <w:t xml:space="preserve">不少于</w:t>
            </w:r>
            <w:r>
              <w:rPr>
                <w:rFonts w:ascii="等线" w:hAnsi="等线" w:eastAsia="等线" w:cs="等线"/>
                <w:color w:val="000000" w:themeColor="text1"/>
                <w:sz w:val="22"/>
                <w:lang w:bidi="ar"/>
              </w:rPr>
              <w:t xml:space="preserve">16颗补光灯，保证低照度场景下的成像效果和目标识别效果</w:t>
            </w:r>
            <w:r>
              <w:rPr>
                <w:rFonts w:ascii="等线" w:hAnsi="等线" w:eastAsia="等线" w:cs="等线"/>
                <w:color w:val="000000" w:themeColor="text1"/>
                <w:sz w:val="22"/>
                <w:lang w:bidi="ar"/>
              </w:rPr>
              <w:br/>
              <w:t xml:space="preserve">8. 视频压缩标准：H.265/H.264/MJPEG</w:t>
            </w:r>
            <w:r>
              <w:rPr>
                <w:rFonts w:ascii="等线" w:hAnsi="等线" w:eastAsia="等线" w:cs="等线"/>
                <w:color w:val="000000" w:themeColor="text1"/>
                <w:sz w:val="22"/>
                <w:lang w:bidi="ar"/>
              </w:rPr>
              <w:br/>
              <w:t xml:space="preserve">9. 最大图像尺寸：不小于2560 × 1440 </w:t>
            </w:r>
            <w:r>
              <w:rPr>
                <w:rFonts w:ascii="等线" w:hAnsi="等线" w:eastAsia="等线" w:cs="等线"/>
                <w:color w:val="000000" w:themeColor="text1"/>
                <w:sz w:val="22"/>
                <w:lang w:bidi="ar"/>
              </w:rPr>
              <w:br/>
              <w:t xml:space="preserve">10. 网络：1个RJ45 10 M/100 M自适应以太网口</w:t>
            </w:r>
            <w:r>
              <w:rPr>
                <w:rFonts w:ascii="等线" w:hAnsi="等线" w:eastAsia="等线" w:cs="等线"/>
                <w:color w:val="000000" w:themeColor="text1"/>
                <w:sz w:val="22"/>
                <w:lang w:bidi="ar"/>
              </w:rPr>
              <w:br/>
              <w:t xml:space="preserve">11. 报警：1路输入，1路输出</w:t>
            </w:r>
            <w:r>
              <w:rPr>
                <w:rFonts w:ascii="等线" w:hAnsi="等线" w:eastAsia="等线" w:cs="等线"/>
                <w:color w:val="000000" w:themeColor="text1"/>
                <w:sz w:val="22"/>
                <w:lang w:bidi="ar"/>
              </w:rPr>
              <w:br/>
            </w:r>
            <w:r>
              <w:rPr>
                <w:rFonts w:ascii="等线" w:hAnsi="等线" w:eastAsia="等线" w:cs="等线"/>
                <w:color w:val="000000" w:themeColor="text1"/>
                <w:sz w:val="22"/>
                <w:lang w:bidi="ar"/>
              </w:rPr>
              <w:t xml:space="preserve">12. 音频不小于：1个内置麦克风，1个内置扬声器</w:t>
            </w:r>
            <w:r>
              <w:rPr>
                <w:rFonts w:ascii="等线" w:hAnsi="等线" w:eastAsia="等线" w:cs="等线"/>
                <w:color w:val="000000" w:themeColor="text1"/>
                <w:sz w:val="22"/>
                <w:lang w:bidi="ar"/>
              </w:rPr>
              <w:br/>
              <w:t xml:space="preserve">13. SD卡扩展：内置Micro SD 插槽，支持不低于512GB </w:t>
            </w:r>
            <w:r>
              <w:rPr>
                <w:rFonts w:ascii="等线" w:hAnsi="等线" w:eastAsia="等线" w:cs="等线"/>
                <w:color w:val="000000" w:themeColor="text1"/>
                <w:sz w:val="22"/>
                <w:lang w:bidi="ar"/>
              </w:rPr>
              <w:br/>
              <w:t xml:space="preserve">14. 供电方式：DC：12V±不小于20% </w:t>
            </w:r>
            <w:r>
              <w:rPr>
                <w:rFonts w:ascii="等线" w:hAnsi="等线" w:eastAsia="等线" w:cs="等线"/>
                <w:color w:val="000000" w:themeColor="text1"/>
                <w:sz w:val="22"/>
                <w:lang w:bidi="ar"/>
              </w:rPr>
              <w:br/>
              <w:t xml:space="preserve">15. PoE：支持</w:t>
            </w:r>
            <w:r>
              <w:rPr>
                <w:rFonts w:ascii="等线" w:hAnsi="等线" w:eastAsia="等线" w:cs="等线"/>
                <w:color w:val="000000" w:themeColor="text1"/>
                <w:sz w:val="22"/>
                <w:lang w:bidi="ar"/>
              </w:rPr>
              <w:br/>
              <w:t xml:space="preserve">16. 防护：IP67</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▲17.支持同时对检测区域内出现的人脸、人体、非机动车、车辆及车牌进行检测、框选、筛选抓拍，支持关联显示人脸和人体图片、车牌和车辆图片。</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t xml:space="preserve">123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电源线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RVV2*1.0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取电线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RVV3*2.5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网线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超五类</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视频监控机箱（定制）</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180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3.5米杆件</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横臂根据道路宽度定制，高度不低于3.5米，包含施工。</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小计</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二、</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后端设备</w:t>
            </w:r>
            <w:r/>
          </w:p>
        </w:tc>
      </w:tr>
      <w:tr>
        <w:trPr>
          <w:trHeight w:val="32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云存储服务器</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1、48盘位,单盘位支持4t、8t、10t、12t、16t、20t、30t硬盘；</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2、视频云存储扩容设备，需无缝接入沭阳公安视频网现有主要云存储系统，实现设备统一管理运维、存储资源统一调度、存储计划统一下发；</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3、设备配置：≥2颗64位多核处理器，≥64GB内存，内存支持扩展到≥256GB；支持热插拔</w:t>
            </w:r>
            <w:r>
              <w:rPr>
                <w:rFonts w:ascii="宋体" w:hAnsi="宋体" w:cs="宋体"/>
                <w:color w:val="000000" w:themeColor="text1"/>
                <w:sz w:val="24"/>
                <w:szCs w:val="24"/>
                <w:lang w:bidi="ar"/>
              </w:rPr>
              <w:t xml:space="preserve">1+1AC220V；</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4、标配：≥2个千兆数据网口，2个万兆光口，1个千兆管理口；</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5、不少于48个硬盘热插拔插槽；</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cs="仿宋"/>
                <w:color w:val="000000" w:themeColor="text1"/>
                <w:lang w:bidi="ar"/>
              </w:rPr>
              <w:t xml:space="preserve">（提供承诺函，格式自拟）</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Fonts w:cs="仿宋"/>
                <w:color w:val="000000" w:themeColor="text1"/>
                <w:lang w:bidi="ar"/>
              </w:rPr>
              <w:t xml:space="preserve">（提供承诺函，格式自拟）</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8、系统以流直存模式进行录像、图片数据存储。系统中的实时视频流、抓拍图片无需经过任何转发服务器/虚拟机即可实现数据流直存；</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9、支持GB/T 28181、RTSP等标准协议；</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10、视频性能：最大接入路数不小于1200路2Mbps；</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widowControl/>
              <w:rPr>
                <w:rFonts w:hint="eastAsia" w:ascii="等线" w:hAnsi="等线" w:eastAsia="等线" w:cs="等线"/>
                <w:color w:val="000000" w:themeColor="text1"/>
                <w:sz w:val="22"/>
                <w:lang w:bidi="ar"/>
              </w:rPr>
            </w:pPr>
            <w:r>
              <w:rPr>
                <w:rFonts w:ascii="宋体" w:hAnsi="宋体" w:cs="宋体"/>
                <w:color w:val="000000" w:themeColor="text1"/>
                <w:sz w:val="24"/>
                <w:szCs w:val="24"/>
                <w:lang w:bidi="ar"/>
              </w:rPr>
              <w:t xml:space="preserve">11、结合目前视频存储系统技术发展的主要方向，本次视频存储系统的建设需要达成以下目标：</w:t>
            </w:r>
            <w:r>
              <w:rPr>
                <w:rFonts w:ascii="宋体" w:hAnsi="宋体" w:cs="宋体"/>
                <w:color w:val="000000" w:themeColor="text1"/>
                <w:sz w:val="24"/>
                <w:szCs w:val="24"/>
                <w:lang w:bidi="ar"/>
              </w:rPr>
              <w:t xml:space="preserve">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933"/>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云存储硬盘</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9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人像/车辆识别系统与授权</w:t>
            </w:r>
            <w:r/>
          </w:p>
          <w:p>
            <w:pPr>
              <w:jc w:val="lef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★1、供应商应在采购人指定地点部署人像/车辆平台，并满足以下要求。（提供承诺函，格式自拟）</w:t>
            </w:r>
            <w:r>
              <w:rPr>
                <w:rFonts w:ascii="等线" w:hAnsi="等线" w:eastAsia="等线" w:cs="等线"/>
                <w:color w:val="000000" w:themeColor="text1"/>
                <w:sz w:val="22"/>
              </w:rPr>
              <w:br/>
              <w:t xml:space="preserve">（1）系统支持单张GPU卡处理人脸图片速度：≥450张/s，人体图片速度：≥200张/s，车辆图片速度：≥200张/s。</w:t>
            </w:r>
            <w:r>
              <w:rPr>
                <w:rFonts w:ascii="等线" w:hAnsi="等线" w:eastAsia="等线" w:cs="等线"/>
                <w:color w:val="000000" w:themeColor="text1"/>
                <w:sz w:val="22"/>
              </w:rPr>
              <w:b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ascii="等线" w:hAnsi="等线" w:eastAsia="等线" w:cs="等线"/>
                <w:color w:val="000000" w:themeColor="text1"/>
                <w:sz w:val="22"/>
              </w:rPr>
              <w:b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w:t>
            </w:r>
            <w:r>
              <w:rPr>
                <w:rFonts w:ascii="等线" w:hAnsi="等线" w:eastAsia="等线" w:cs="等线"/>
                <w:color w:val="000000" w:themeColor="text1"/>
                <w:sz w:val="22"/>
              </w:rPr>
              <w:t xml:space="preserve">上衣颜色等。（需与市局车辆平台数据对接，包括二次结构化数据和解析模型数据）</w:t>
            </w:r>
            <w:r>
              <w:rPr>
                <w:rFonts w:ascii="等线" w:hAnsi="等线" w:eastAsia="等线" w:cs="等线"/>
                <w:color w:val="000000" w:themeColor="text1"/>
                <w:sz w:val="22"/>
              </w:rPr>
              <w:b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ascii="等线" w:hAnsi="等线" w:eastAsia="等线" w:cs="等线"/>
                <w:color w:val="000000" w:themeColor="text1"/>
                <w:sz w:val="22"/>
              </w:rPr>
              <w:b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ascii="等线" w:hAnsi="等线" w:eastAsia="等线" w:cs="等线"/>
                <w:color w:val="000000" w:themeColor="text1"/>
                <w:sz w:val="22"/>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68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网络线路</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5年</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条</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t xml:space="preserve">180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线路租赁费用</w:t>
            </w:r>
            <w:r>
              <w:rPr>
                <w:rFonts w:ascii="等线" w:hAnsi="等线" w:eastAsia="等线" w:cs="等线"/>
                <w:color w:val="000000" w:themeColor="text1"/>
                <w:sz w:val="22"/>
                <w:lang w:bidi="ar"/>
              </w:rPr>
              <w:br/>
              <w:t xml:space="preserve">按5年计算</w:t>
            </w:r>
            <w:r/>
          </w:p>
        </w:tc>
      </w:tr>
      <w:tr>
        <w:trPr>
          <w:trHeight w:val="6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包含：支架、抱箍、波纹软管、螺丝、插排、水晶头、PVC管、标签等项目实施及运维过程中一切所需辅材（包括利旧点位相关配套辅材例如设备箱及箱内设备、杆件、井盖等）</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系统集成运维</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系统集成运维</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含五年维保</w:t>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小计</w:t>
            </w:r>
            <w:r/>
          </w:p>
        </w:tc>
        <w:tc>
          <w:tcPr>
            <w:tcBorders>
              <w:top w:val="single" w:color="000000" w:sz="4" w:space="0"/>
              <w:bottom w:val="single" w:color="000000" w:sz="4" w:space="0"/>
            </w:tcBorders>
            <w:tcW w:w="3750"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87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92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1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合计</w:t>
            </w:r>
            <w:r/>
          </w:p>
        </w:tc>
        <w:tc>
          <w:tcPr>
            <w:tcBorders>
              <w:top w:val="single" w:color="000000" w:sz="4" w:space="0"/>
              <w:bottom w:val="single" w:color="000000" w:sz="4" w:space="0"/>
            </w:tcBorders>
            <w:tcW w:w="3750"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875"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925"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bottom w:val="single" w:color="000000" w:sz="4" w:space="0"/>
              <w:right w:val="single" w:color="000000" w:sz="8" w:space="0"/>
            </w:tcBorders>
            <w:tcW w:w="723"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28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说明</w:t>
            </w:r>
            <w:r/>
          </w:p>
        </w:tc>
      </w:tr>
      <w:tr>
        <w:trPr>
          <w:trHeight w:val="34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此项目维保期限为5年。</w:t>
            </w:r>
            <w:r/>
          </w:p>
        </w:tc>
      </w:tr>
      <w:tr>
        <w:trPr>
          <w:trHeight w:val="6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3</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中标人需负责设备数据无缝接入沭阳县公安局系统，具体内容中标后由招标人要求。</w:t>
            </w:r>
            <w:r/>
          </w:p>
        </w:tc>
      </w:tr>
      <w:tr>
        <w:trPr>
          <w:trHeight w:val="3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4</w:t>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本报价为全费用报价，包含运费、检测费、技术培训、售后维护费、税金等所有费用。</w:t>
            </w:r>
            <w:r/>
          </w:p>
        </w:tc>
      </w:tr>
      <w:tr>
        <w:trPr>
          <w:trHeight w:val="12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5</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6</w:t>
            </w:r>
            <w:r/>
          </w:p>
        </w:tc>
        <w:tc>
          <w:tcPr>
            <w:gridSpan w:val="7"/>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注：</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（1）针对评分标准中评分的每一条，供应商在响应文件中均应提供清晰明了的相关资料并做出相应说明供评委评判，不提供相关资料的视为不具备该项得分的条件。</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（2）所有扫描件、证明采购须清晰可见，字迹不清晰、图片模糊的视为未提供，评委有权不给分。</w:t>
            </w:r>
            <w:r/>
          </w:p>
        </w:tc>
      </w:tr>
    </w:tbl>
    <w:p>
      <w:pPr>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p>
    <w:p>
      <w:pPr>
        <w:jc w:val="center"/>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第三部分      技术参数要求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（一）建设依据及标准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1）GA／T669.1—2008 城市监控报警联网系统通用技术标准；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2）GB／T28181-2016 安全防范视频监控联网系统传输、交换、控制技术要求；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3）《全国公安机关视频图像信息整合与共享工作任务书》（公科信〔2012〕11 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4）《全国公安机关图像信息联网总体技术方案》；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5）GB/T 27524-2010 安全防范监控数字视音频编解码技术要求；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6）GB50348 安全防范工程技术规范；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7）GA308—2001 安全防范系统验收规则；</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8）GA／T75—94 安全防范工程程序与要求；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9）GB50198—94 民用闭路监视电视系统工程技术规范；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10）GA／T74—2000 安全防范系统通用图形符号；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11）GA／367—2001 视频安防监控系统技术要求；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12）GA/T832-2014 道路交通安全违法行为图像取证技术规范；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13）GA/T445 公安交通指挥系统建设技术规范；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14）GB 50057—94 建筑物防雷设计规范；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15）GB／T50314—2000 智能建筑设计标准；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16）GA/T497-2016 公路车辆智能监测记录系统通用技术条件；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17）GA/T833-2009 机动车号牌图像自动识别技术规范；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18）GB50395-2007 视频安防监控系统工程设计规范；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19）YD／T926 中华人民共和国通信行业标准；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20）CJJ／T1 06—2055 城市市政综合信息系统技术规范；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21）GA/T 751-2008 《视频图像文字标注规范》；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22）《公安视频图像分析系统》（GA/T 1399）；</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23）《公安视频图像信息应用系统》（GA/T 1400）；</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24）《公安视频图像智能化建设应用指南》</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25）《公共安全视频监控联网信息安全技术要求》（GB 35114-2017）；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26）《公共安全重点区域视频图像信息采集规范》（GB37300-2018）；</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27）江苏省公安厅《社会面治安监控系统建设优先选用的监控产品目录》；</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28）江苏省公安厅《关于印发全省 3.20 工程基础网络建设规范指导意见试行的通知》；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29）江苏省公安厅《全省 3.20 工程监控系统数据和图像采集标准和传输规范》；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30）江苏省公安厅《全省“3.20”工程市县道路监控信息管理系统建设指导意见》；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31）江苏省公安厅《全省公安机关道路监控网“3.20”工程建设规划及技术指导意见》；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32）江苏省公安厅《关于加强全省公安视频图像专网建设应用和运行管理工作的意见》；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33）《关于加强全省社会治安监控联网调度和资源整合建设工作的规划指导意见》；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34）《江苏省道路治安卡口监控系统建设基本技术规划（试行）》《省级道路治安卡口信息化建设规范》《社会治安监控系统布建指导意见》；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35）《关于推进全省公安巡逻车移动图像监控系统建设有关工作的通知》；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36）九部委关于《关于加强公共安全视频监控建设联网应用工作的若干意见》发改高技〔2015〕996 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37）江苏省公安厅、宿迁市公安局相关的其他要求；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38）《 公共安全视频监控联网系统信息传输、交换、控制技术要求》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（GB/T28181-2016);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39）《公安视频图像分析系统第 1 部分：通用技术要求》（GA/T 1399.1-2017）；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40）《公安视频图像分析系统第 2 部分：视频图像内容分析及描述技术要求》）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（GA/T 1399.2-2017);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41）《公安视频图像信息应用系统第 1 部分：通用技术要求》（GA/T 1400.1-2017）；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42）《公安视频图像信息应用系统第 2 部分：应用平台技术要求》（ GA/T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1400.2-2017)；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43 ）《公安视频图像信息应用系统第 3 部分：数据库技术要求》（ GA/T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1400.3-2017)；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44）《公安视频图像信息应用系统第 4 部分：接口协议要求》（GA/T1400.4-2017）；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45）《安防人脸识别应用视频人脸图像提取技术要求》（GA/T1334-2016）；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46）《信息技术生物特征识别数据交换格式第五部分：人脸图像数据》（GB/T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26237.5-2014)；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47）《居民身份证制证用数字相片技术要求》（GA461-2004）；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48） 公安部《警用地理信息系统系列标准规范》；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49）公安部《公安信息通信网边界接入平台安全规范》。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50）《全省智能泛在感知网建设规划指导意见》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51）《全国公安机关图像信息联网总体技术方案》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52）部科信局《公安视频传输网建设指南（征求意见稿）》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53）GA/T 1400-2017《公安视频图像信息应用系统》</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54）公安部《企事业单位参与公安机关信息化建设安全管理办法》</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55）《公安交通指挥系统工程建设通用程序和要求》（GA/T651-2014）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56）《公安交通管理外场设备基础施工通用要求》（GA/T652-2017）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57）《道路车辆智能监测记录系统通用技术条件》（GA/T497-2016）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58）《道路交通安全违法行为图像取证技术规范》（GA/T 832-2014）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59）《机动车号牌图像自动识别技术规范》（GA/833-2016）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60）《中华人民共和国机动车号牌》（GA36-2018）</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62）《交通电视监视系统工程验收规范》（GA/T514-2004）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63）《公路交通安全设施设计技术规范》（JTJ074-2003）</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64）《中华人民共和国公共安全行业标准》GA38-92</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65）《全国道路交通管理信息数据库规范》（GA329.3 第 3 部分）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66）《公安视频监控前端设备GB35114密码接口规范》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67）《公安视频监控前端设备GB35114密码接口规范》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68）《公安视频监控客户端GB35114密码接口规范》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69）《公安视频监控共享平台GB35114密码接口规范》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70）《公安视频监控安全管理平台GB35114密码（扩展）接口规范》。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八、线路服务（5年，数量以实际为准）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（一）投标人应根据本项目的特点提供一份详细的网络传输规划设计、建设施工及日常运维方案。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w:t>
      </w:r>
      <w:r>
        <w:rPr>
          <w:rFonts w:hint="eastAsia" w:ascii="宋体" w:hAnsi="宋体" w:cs="宋体"/>
          <w:bCs/>
          <w:color w:val="000000" w:themeColor="text1"/>
          <w:sz w:val="24"/>
          <w:szCs w:val="24"/>
        </w:rPr>
        <w:t xml:space="preserve">无条件整改。所需整改费用一律由中标方自行承担。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3）投标方必须有专门的维护团队，负责对传输线路进行全年 7x24 小时的监控。</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5）投标方须对其施工的质量、网络的安全性、数据传输的稳定性、数据通讯质量等负责，保证采购人线路畅通及安全使用。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7）因修路等客观原因，点位需要迁移的，中标单位需免费配合，并按采购人要求在规定时间内完成设备迁移、重建等所有相关配套设备和施工。</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九、基础配套设施要求【包含但不限于：电源线、取电线、网线、定制视频监控机箱、3.5米立杆、6.5米立杆、地笼和一切相关辅材等】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（一）定制视频监控机箱</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cs="宋体"/>
          <w:bCs/>
          <w:color w:val="000000" w:themeColor="text1"/>
          <w:sz w:val="24"/>
          <w:szCs w:val="24"/>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（二）杆件技术要求：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1）横臂开 30*50mm 出线孔（根据卡口视频监控和人脸功能不同开孔大小进行定制），对应出线孔上方焊导轨。壁厚3MM（含）以上。</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2）主杆底部法兰向上 6.5 米处开 50mm 出线孔（3.5米立杆则为3.5米）。（挂杆机箱用）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3）杆体焊接方式为自动埋弧焊和气体保护，焊接可靠，表面光滑，无明显的气孔，</w:t>
      </w:r>
      <w:r>
        <w:rPr>
          <w:rFonts w:hint="eastAsia" w:ascii="宋体" w:hAnsi="宋体" w:cs="宋体"/>
          <w:bCs/>
          <w:color w:val="000000" w:themeColor="text1"/>
          <w:sz w:val="24"/>
          <w:szCs w:val="24"/>
        </w:rPr>
        <w:t xml:space="preserve">焊瘤、咬边等焊接缺陷。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4）钢杆防腐处理采用热浸锌，镀锌工艺过程经过酸洗，热镀锌，水洗，磷化、钝化等过程，镀锌层表面光滑美观，光泽一致，无皱皮，流坠及锌瘤、起皮、斑点、阴阳面等缺陷存在。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5）杆体热镀锌后进行静电喷塑（颜色为上部白色，主杆下部1.5米以下蓝色），喷塑前先磨砂以增加附着力，喷塑过程中严格控制固化时间和温度，保证塑层均匀、光滑、无气孔。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6）杆件设计符合国家及行业标准。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8）根据现场实际情况定制，由中标人深化设计后报至招标人审核，审核通过方可进场实施。</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（三）基坑要求：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1）卡口点位基坑浇筑尺寸不小于 1.2 米*1.2 米*1.4 米，强度 C30。具体尺寸中标方应根据现场实际情况确定，必须达到相关标准规范和招标文件要求。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2）视频监控点位基坑浇筑尺寸不小于 0.8米*0.8*1.0米，强度 C30。具体尺寸中标方应根据现场实际情况勘探确定，必须达到相关标准规范和招标文件要求。（确定基坑尺寸）</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3）投标人提供的杆件应在施工前提供杆件生产厂家相关的杆件检测报告、质保承诺，否则不予验收。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4）电源线：RVV2*1.0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5）取电线：RVV3*2.5；</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6）网线：室外超五类；</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7）辅材：包含：支架、抱箍、波纹软管、螺丝、插排、水晶头、PVC管、标签以及未列明的一切所需辅材。</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8）其他：</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①设备安装过程中，如出现借杆、借电、开户或高空借点安装等问题，中标人需</w:t>
      </w:r>
      <w:r>
        <w:rPr>
          <w:rFonts w:hint="eastAsia" w:ascii="宋体" w:hAnsi="宋体" w:cs="宋体"/>
          <w:bCs/>
          <w:color w:val="000000" w:themeColor="text1"/>
          <w:sz w:val="24"/>
          <w:szCs w:val="24"/>
        </w:rPr>
        <w:t xml:space="preserve">自行解决；为确保前端稳定运行，后续运行维保过程中所需备品备件由中标人自行准备，要求与招标一致，招标人不再另行支出其它费用。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②中标人需负责设备数据无缝接入沭阳县公安局系统，具体内容中标后由招标人要求。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十、项目建设及技术要求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（一）本项目的材料、设备、施工必须达到现行中华人民共和国及省、市、行业的一切法规、规范的要求。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（一）对材料的质量和试验要求执行中华人民共和国及省、市、行业的一切法规、 规 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（二）依据相关技术文件要求，本项目的材料、设备、施工必须达到现行中华人民共和国及省、市、行业的一切法规、规范的要求。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（三）施工具体包含清单中全部内容，中标后根据采购人要求提交具体施工方案，并经采购人审核同意后方可进行施工。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（六）各系统未列出设备参数或者软件功能要求请参照设备清单，所有非甲方需求变更一律不予追加。</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w:t>
      </w:r>
      <w:r>
        <w:rPr>
          <w:rFonts w:hint="eastAsia" w:ascii="宋体" w:hAnsi="宋体" w:cs="宋体"/>
          <w:bCs/>
          <w:color w:val="000000" w:themeColor="text1"/>
          <w:sz w:val="24"/>
          <w:szCs w:val="24"/>
        </w:rPr>
        <w:t xml:space="preserve">投标前提出，若不提出施工时应自行补足。如未按此要求，投标方应承担缺、少、漏项所带来的一切责任，招标方则理解为系投标方让利行为。</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（八）投标人各单项报价应合理、不得采用不均衡报价，如某一单项产品评标委员会一致认为价格不合理，则投标现场投标人须提供明确的证据证明报价合理性。</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（九）投标人在施工中如遇无法提供投标时所提供的设备，甲方有权要求投标人无条件更换招标时清单要求的设备。甲方为此不承担任何额外费用。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（十）所有摄像机调试必须达到甲方使用条件，如无法达到甲方使用条件，则中标单位须无条件更改。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（十一）所有软硬件设备的镜头必须根据情况和甲方实战需求合理选择，如无法满足甲方需求，则中标方必须无条件更换。</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（十二）因投标方的原因造成工期延误一律由中标方承担。（所有工期延误需要提供工期延误证明）</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（十三）因中标方不认真投标造成施工中设备产品的变更，招标方有权进行罚款。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（十四）本项目的分包工程（如有），分包单位应具有相应资质和能力，经建设单位批准后方可进场施工，否则不支付工程款。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（十五）施工、维护有关要求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 除了包括保证软硬件正常运行的维护保养维修外，还包括监控（含线路）拆除、迁移、重建所包含的基础、浇筑、线材、人工、车辆、设备等保证设备正常运行的所有费用。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③关于立杆基础。含基础开挖、混凝土浇筑、手井、环境保护、接地、接地极焊接、接地电阻检测等与基础有关的所有内容。基坑大小根据杆件标准确定，混凝土强度不低于 C30，要逐点进行接地电阻检测，每个接地点的接地电阻小于 4 欧姆。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④关于手井。每根杆子 1 个，含手井盖（水泥质地，含钢筋加固，带“公安监控” 字样），厚度不低于 6CM。</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⑤关于环境保护。含线路梳理、渣土清理、垃圾清理、绿化迁移、绿化保管、土</w:t>
      </w:r>
      <w:r>
        <w:rPr>
          <w:rFonts w:hint="eastAsia" w:ascii="宋体" w:hAnsi="宋体" w:cs="宋体"/>
          <w:bCs/>
          <w:color w:val="000000" w:themeColor="text1"/>
          <w:sz w:val="24"/>
          <w:szCs w:val="24"/>
        </w:rPr>
        <w:t xml:space="preserve">壤回填、绿化恢复均由中标人负责并承担相关费用。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⑥关于视频管家。含视频管家二维码打印、张贴、信息采集、数据对接等均由中标人负责并承担相关费用，同时按照采购人要求在杆件上定制显著的公安监控标识。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十一、平台对接及其它要求：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35"/>
        <w:ind w:firstLine="482"/>
        <w:jc w:val="both"/>
        <w:spacing w:beforeAutospacing="0" w:afterAutospacing="0" w:line="360" w:lineRule="auto"/>
        <w:rPr>
          <w:color w:val="000000" w:themeColor="text1"/>
        </w:rPr>
      </w:pPr>
      <w:r>
        <w:rPr>
          <w:rFonts w:hint="eastAsia" w:ascii="宋体" w:hAnsi="宋体" w:cs="宋体"/>
          <w:color w:val="000000" w:themeColor="text1"/>
          <w:szCs w:val="24"/>
        </w:rPr>
        <w:t xml:space="preserve">（三）运维维保要求：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本项目5年运维期从通过验收合格之日起计算。</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1）负责本项目所有前端涉及点位的摄像机、设备箱，以及供电线路【取电点、含</w:t>
      </w:r>
      <w:r>
        <w:rPr>
          <w:rFonts w:hint="eastAsia" w:ascii="宋体" w:hAnsi="宋体" w:cs="宋体"/>
          <w:bCs/>
          <w:color w:val="000000" w:themeColor="text1"/>
          <w:sz w:val="24"/>
          <w:szCs w:val="24"/>
        </w:rPr>
        <w:t xml:space="preserve">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cs="宋体"/>
          <w:bCs/>
          <w:color w:val="000000" w:themeColor="text1"/>
          <w:sz w:val="24"/>
          <w:szCs w:val="24"/>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3）严禁违反公安部《关于禁止公安业务用计算机“一</w:t>
      </w:r>
      <w:r>
        <w:rPr>
          <w:rFonts w:hint="eastAsia" w:ascii="宋体" w:hAnsi="宋体" w:cs="宋体"/>
          <w:bCs/>
          <w:color w:val="000000" w:themeColor="text1"/>
          <w:sz w:val="24"/>
          <w:szCs w:val="24"/>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w:t>
      </w:r>
      <w:r>
        <w:rPr>
          <w:rFonts w:hint="eastAsia" w:ascii="宋体" w:hAnsi="宋体" w:cs="宋体"/>
          <w:bCs/>
          <w:color w:val="000000" w:themeColor="text1"/>
          <w:sz w:val="24"/>
          <w:szCs w:val="24"/>
        </w:rPr>
        <w:t xml:space="preserve">5000元/次罚款且甲方有权追究乙方相应的法律责任，罚款可从合同款中扣除。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7）管道、顶管维护要求：所有线路、管道、顶管修复标准不得低于相关建设标准；需要管道埋深的，挖管深度应不小于 400 ㎜；要求规范铺设管道，管与管接头处应使用套管固定。</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9）维保力量、售后服务及装备保障要求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①中标方用于维护的线缆、辅材等规格型号不得低于招标方现有使用和投标的规格型号；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②中标方应充分评估系统维保期间所需要的电源线、网线、信号线等线缆数量及辅材数量，在投标报价中予以考虑。维保期间招标方不再提供任何额外的有关以上材料费用。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10）维保人员要求：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①本项目运维期间，投标人应提供不少于10名的专职运维服务人员（不含线路维护人员，</w:t>
      </w:r>
      <w:r>
        <w:rPr>
          <w:rFonts w:hint="eastAsia" w:ascii="宋体" w:hAnsi="宋体" w:cs="宋体"/>
          <w:bCs/>
          <w:color w:val="000000" w:themeColor="text1"/>
          <w:sz w:val="24"/>
          <w:szCs w:val="24"/>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 维保时限要求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①投标人须提供 7*24 小时现场服务，在接到招标方或者沭阳县公安局维保通知后，必须于半小时内签收。专职维保人员必须于 2 小时内到达现场并初步反馈情况。</w:t>
      </w:r>
      <w:r>
        <w:rPr>
          <w:rFonts w:hint="eastAsia" w:ascii="宋体" w:hAnsi="宋体" w:cs="宋体"/>
          <w:bCs/>
          <w:color w:val="000000" w:themeColor="text1"/>
          <w:sz w:val="24"/>
          <w:szCs w:val="24"/>
        </w:rPr>
        <w:t xml:space="preserve">各类故障（含线路传输）必须做到 24 小时内修复完成，自交办之日起，每延迟一天，按照每台 100 元罚款（上不封顶）。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②遇到重要时期或重大事件活动期间，投标人必须按照招标人要求提供现场全程专业化维保服务。</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④出现单条视频专网故障的，在接到网络故障维修通知后 8 小时内修复；如出现大面积视频专网故障的，在故障发生后 24 小时内修复。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⑤中标方用于维护的线缆、辅材等规格型号不得低于招标方现有使用和投标的规格型号。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 前端供电</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（五）前端供电实施要求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1）本项目前端各设备均采用 AC 220V 模式。本项目所有建设点位取电（含拆除、</w:t>
      </w:r>
      <w:r>
        <w:rPr>
          <w:rFonts w:hint="eastAsia" w:ascii="宋体" w:hAnsi="宋体" w:cs="宋体"/>
          <w:bCs/>
          <w:color w:val="000000" w:themeColor="text1"/>
          <w:sz w:val="24"/>
          <w:szCs w:val="24"/>
        </w:rPr>
        <w:t xml:space="preserve">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2）防雷接地系统</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防雷系统必须达到以下要求：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①电涌防护器的标称放电电流不小于 10KA；</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②电涌防护器的接地连接线的截面积不得小于 10mm2；</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③安防系统所有设备均应在避雷针保护区域内。</w:t>
      </w:r>
      <w:r/>
    </w:p>
    <w:p>
      <w:pPr>
        <w:ind w:firstLine="480"/>
        <w:spacing w:line="440" w:lineRule="exact"/>
        <w:rPr>
          <w:color w:val="000000" w:themeColor="text1"/>
        </w:rPr>
      </w:pPr>
      <w:r>
        <w:rPr>
          <w:rFonts w:hint="eastAsia" w:ascii="宋体" w:hAnsi="宋体" w:cs="宋体"/>
          <w:bCs/>
          <w:color w:val="000000" w:themeColor="text1"/>
          <w:sz w:val="24"/>
          <w:szCs w:val="24"/>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十二、保密措施要求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（二）严禁违反公安部《关于禁止公安业务用计算机</w:t>
      </w:r>
      <w:r>
        <w:rPr>
          <w:rFonts w:hint="eastAsia" w:ascii="宋体" w:hAnsi="宋体" w:cs="宋体"/>
          <w:bCs/>
          <w:color w:val="000000" w:themeColor="text1"/>
          <w:sz w:val="24"/>
          <w:szCs w:val="24"/>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（三）严禁违反“保密</w:t>
      </w:r>
      <w:r>
        <w:rPr>
          <w:rFonts w:hint="eastAsia" w:ascii="宋体" w:hAnsi="宋体" w:cs="宋体"/>
          <w:bCs/>
          <w:color w:val="000000" w:themeColor="text1"/>
          <w:sz w:val="24"/>
          <w:szCs w:val="24"/>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（四）严禁发生其他违反法律法规、行政规章制度的行为。</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十三、供货要求及质量要求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（二）质量保证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3）投标人在收到通知后，应在合同所附服务承诺约定的时间内维修、更换有缺陷的货物或部件。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4）如果投标人在收到通知后，在合同所附服务承诺约定的时间内没有弥补缺陷，采购人可采取必要的补救措施，但风险和费用将由投标人承担。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5）产品的包装、发运及运输</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①投标人应在产品发运前对其进行满足运输距离、防潮、防震、防锈和防破损装卸等要求包装，以保证产品安全运达采购人指定地点。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②使用说明书、质量检验证明书、随配附件和工具以及清单一并附于货物内。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③产品在交付采购人前发生的风险均由投标人负责。</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④产品在规定的交付期限内由投标人送达采购人指定的地点视为交付，投标人同</w:t>
      </w:r>
      <w:r>
        <w:rPr>
          <w:rFonts w:hint="eastAsia" w:ascii="宋体" w:hAnsi="宋体" w:cs="宋体"/>
          <w:bCs/>
          <w:color w:val="000000" w:themeColor="text1"/>
          <w:sz w:val="24"/>
          <w:szCs w:val="24"/>
        </w:rPr>
        <w:t xml:space="preserve">时需通知采购人产品已送达。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6）售后服务</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③售后服务期过后，投标人仍有义务提供优惠的技术服务（包括提供设备维护、备件等）。</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十四、项目实施方案要求：</w:t>
      </w:r>
      <w:r/>
    </w:p>
    <w:p>
      <w:pPr>
        <w:pStyle w:val="835"/>
        <w:ind w:firstLine="480"/>
        <w:jc w:val="both"/>
        <w:spacing w:beforeAutospacing="0" w:afterAutospacing="0" w:line="360" w:lineRule="auto"/>
        <w:rPr>
          <w:color w:val="000000" w:themeColor="text1"/>
        </w:rPr>
      </w:pPr>
      <w:r>
        <w:rPr>
          <w:rFonts w:hint="eastAsia" w:ascii="宋体" w:hAnsi="宋体" w:cs="宋体"/>
          <w:color w:val="000000" w:themeColor="text1"/>
          <w:szCs w:val="24"/>
        </w:rPr>
        <w:t xml:space="preserve">（一）供应商针对本项目编写项目实施方案，包括但不限于：总体方案设计、实施方案、运维服务方案、售后服务和培训方案、应急事件处置方案</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十五、验收标准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（二）货物交付后，在安装前应仔细检查货物自身无缺陷后方可安装，如果存在货物破损、自身材质、规格等质量缺陷，甲方有权要求将货物退场，由此引起的一切后果由乙方承担。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十六、报价要求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（一）投标报价要求：投标人投标报价以人民币为单位。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（二）投标人应对项目内所有内容进行投标，不允许只对其中部分内容进行投标，否则其投标无效。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（三）中标人提供服务须与投标文件相符，否则视为虚假应标，投标人自行承担由此造成的损失及后果。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（四）供应商报价时应充分考虑所有可能</w:t>
      </w:r>
      <w:r>
        <w:rPr>
          <w:rFonts w:hint="eastAsia" w:ascii="宋体" w:hAnsi="宋体" w:cs="宋体"/>
          <w:bCs/>
          <w:color w:val="000000" w:themeColor="text1"/>
          <w:sz w:val="24"/>
          <w:szCs w:val="24"/>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（五）所有涉及杆件拆除、管道破坏、取电点拆除均由中标人负责，招标人不再另行支付费用。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（六）系统集成应包括设备安装、调试及5年维保等相关项目所有费用。</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十七、落实政府采购需求标准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（三）落实政府采购领域数字人民币政策：在政府采购履约保证金、代理服务费和货款资金支付中，数字人民币作为支付方式之一。</w:t>
      </w:r>
      <w:bookmarkEnd w:id="151"/>
      <w:r/>
      <w:r/>
    </w:p>
    <w:p>
      <w:pPr>
        <w:ind w:firstLine="480"/>
        <w:spacing w:line="440" w:lineRule="exact"/>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p>
    <w:p>
      <w:pPr>
        <w:rPr>
          <w:color w:val="000000" w:themeColor="text1"/>
        </w:rPr>
      </w:pPr>
      <w:r>
        <w:rPr>
          <w:color w:val="000000" w:themeColor="text1"/>
        </w:rPr>
      </w:r>
      <w:r/>
    </w:p>
    <w:p>
      <w:pPr>
        <w:ind w:firstLine="480"/>
        <w:spacing w:line="440" w:lineRule="exact"/>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p>
    <w:p>
      <w:pPr>
        <w:ind w:firstLine="480"/>
        <w:spacing w:line="400" w:lineRule="exact"/>
        <w:rPr>
          <w:rFonts w:ascii="Times New Roman" w:hAnsi="Times New Roman" w:eastAsia="等线" w:cs="仿宋"/>
          <w:color w:val="000000" w:themeColor="text1"/>
          <w:sz w:val="24"/>
          <w:szCs w:val="24"/>
        </w:rPr>
      </w:pPr>
      <w:r>
        <w:rPr>
          <w:rFonts w:ascii="Times New Roman" w:hAnsi="Times New Roman" w:eastAsia="等线" w:cs="仿宋"/>
          <w:color w:val="000000" w:themeColor="text1"/>
          <w:sz w:val="24"/>
          <w:szCs w:val="24"/>
        </w:rPr>
      </w:r>
      <w:r/>
    </w:p>
    <w:p>
      <w:pPr>
        <w:ind w:firstLine="480"/>
        <w:spacing w:line="500" w:lineRule="exact"/>
        <w:rPr>
          <w:rFonts w:ascii="Times New Roman" w:hAnsi="Times New Roman" w:eastAsia="等线" w:cs="仿宋"/>
          <w:color w:val="000000" w:themeColor="text1"/>
          <w:sz w:val="24"/>
          <w:szCs w:val="24"/>
        </w:rPr>
      </w:pPr>
      <w:r>
        <w:rPr>
          <w:rFonts w:ascii="Times New Roman" w:hAnsi="Times New Roman" w:eastAsia="等线" w:cs="仿宋"/>
          <w:color w:val="000000" w:themeColor="text1"/>
          <w:sz w:val="24"/>
          <w:szCs w:val="24"/>
        </w:rPr>
      </w:r>
      <w:r/>
    </w:p>
    <w:p>
      <w:pPr>
        <w:pStyle w:val="846"/>
        <w:jc w:val="center"/>
        <w:spacing w:before="200"/>
        <w:rPr>
          <w:rFonts w:ascii="Calibri" w:hAnsi="Calibri" w:eastAsia="宋体" w:cs="Times New Roman"/>
          <w:b/>
          <w:color w:val="000000" w:themeColor="text1"/>
          <w:sz w:val="44"/>
          <w:szCs w:val="44"/>
        </w:rPr>
      </w:pPr>
      <w:r/>
      <w:bookmarkStart w:id="155" w:name="_Toc22098"/>
      <w:r/>
      <w:bookmarkStart w:id="156" w:name="_Toc81575206"/>
      <w:r/>
      <w:bookmarkStart w:id="157" w:name="_Toc31499"/>
      <w:r/>
      <w:bookmarkStart w:id="158" w:name="_Toc2513"/>
      <w:r/>
      <w:bookmarkStart w:id="159" w:name="_Toc81575169"/>
      <w:r>
        <w:rPr>
          <w:rFonts w:hint="eastAsia" w:ascii="Calibri" w:hAnsi="Calibri" w:eastAsia="宋体" w:cs="Times New Roman"/>
          <w:b/>
          <w:color w:val="000000" w:themeColor="text1"/>
          <w:sz w:val="44"/>
          <w:szCs w:val="44"/>
        </w:rPr>
        <w:br w:type="page" w:clear="all"/>
      </w:r>
      <w:r>
        <w:rPr>
          <w:rFonts w:hint="eastAsia" w:ascii="Calibri" w:hAnsi="Calibri" w:eastAsia="宋体" w:cs="Times New Roman"/>
          <w:b/>
          <w:color w:val="000000" w:themeColor="text1"/>
          <w:sz w:val="44"/>
          <w:szCs w:val="44"/>
        </w:rPr>
        <w:t xml:space="preserve">第五章</w:t>
      </w:r>
      <w:r>
        <w:rPr>
          <w:rFonts w:ascii="Calibri" w:hAnsi="Calibri" w:eastAsia="宋体" w:cs="Times New Roman"/>
          <w:b/>
          <w:color w:val="000000" w:themeColor="text1"/>
          <w:sz w:val="44"/>
          <w:szCs w:val="44"/>
        </w:rPr>
        <w:t xml:space="preserve">  </w:t>
      </w:r>
      <w:r>
        <w:rPr>
          <w:rFonts w:hint="eastAsia" w:ascii="Calibri" w:hAnsi="Calibri" w:eastAsia="宋体" w:cs="Times New Roman"/>
          <w:b/>
          <w:color w:val="000000" w:themeColor="text1"/>
          <w:sz w:val="44"/>
          <w:szCs w:val="44"/>
        </w:rPr>
        <w:t xml:space="preserve">合同文本</w:t>
      </w:r>
      <w:bookmarkStart w:id="160" w:name="_Toc16938559"/>
      <w:r/>
      <w:bookmarkStart w:id="161" w:name="_Toc513029243"/>
      <w:r/>
      <w:bookmarkStart w:id="162" w:name="_Toc20823315"/>
      <w:r/>
      <w:bookmarkEnd w:id="155"/>
      <w:r/>
      <w:bookmarkEnd w:id="156"/>
      <w:r/>
      <w:bookmarkEnd w:id="157"/>
      <w:r/>
      <w:bookmarkEnd w:id="158"/>
      <w:r/>
      <w:bookmarkEnd w:id="159"/>
      <w:r/>
      <w:r/>
    </w:p>
    <w:p>
      <w:pPr>
        <w:spacing w:line="40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以下为中标后签订本项目合同的通用条款，投标人不得提出实质性的修改。</w:t>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themeColor="text1"/>
          <w:sz w:val="32"/>
          <w:szCs w:val="32"/>
        </w:rPr>
      </w:pPr>
      <w:r/>
      <w:bookmarkStart w:id="163" w:name="_Hlt16619369"/>
      <w:r/>
      <w:bookmarkStart w:id="164" w:name="_Toc12937"/>
      <w:r/>
      <w:bookmarkStart w:id="165" w:name="_Toc22853"/>
      <w:r/>
      <w:bookmarkStart w:id="166" w:name="_Toc9003"/>
      <w:r/>
      <w:bookmarkStart w:id="167" w:name="_Toc81575207"/>
      <w:r/>
      <w:bookmarkStart w:id="168" w:name="_Toc19649"/>
      <w:r/>
      <w:bookmarkStart w:id="169" w:name="_Toc81575170"/>
      <w:r/>
      <w:bookmarkEnd w:id="163"/>
      <w:r>
        <w:rPr>
          <w:rFonts w:hint="eastAsia" w:ascii="仿宋_GB2312" w:hAnsi="黑体" w:eastAsia="仿宋_GB2312" w:cs="黑体"/>
          <w:b/>
          <w:bCs/>
          <w:color w:val="000000" w:themeColor="text1"/>
          <w:sz w:val="32"/>
          <w:szCs w:val="32"/>
        </w:rPr>
        <w:t xml:space="preserve">政府采购合同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（以下简称：甲方）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中标单位：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（以下简称：乙方）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依照《中华人民共和国政府采购法》《中华人民共和国民法典》及其他有关法律、行政法规，遵循平等、自愿、公平和诚实信用的原则，双方就相关事项协商一致，达成如下合同条款：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1、合同内容：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2.合同金额：</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人民币。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3、工期要求：</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安装地点：按招标人要求实施。</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4.验收依据国家法律法规及标准、招标文件、投标文件及中标人的承诺：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（1）乙方所提供货物必须符合国家标准，并经过权威机构检测。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（3）乙方完成全部工程并投入使用后，需提供产品说明书、产品检测报告、合 格证、产品质量认证证书等一系列文档资料，由甲方会同有关人员根据技术设计要求进行验收。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5.履约保证金</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按照以下第</w:t>
      </w:r>
      <w:r>
        <w:rPr>
          <w:rFonts w:hint="eastAsia" w:ascii="宋体" w:hAnsi="宋体" w:cs="宋体"/>
          <w:bCs/>
          <w:color w:val="000000" w:themeColor="text1"/>
          <w:sz w:val="24"/>
          <w:szCs w:val="24"/>
          <w:u w:val="single"/>
        </w:rPr>
        <w:t xml:space="preserve">（2）</w:t>
      </w:r>
      <w:r>
        <w:rPr>
          <w:rFonts w:hint="eastAsia" w:ascii="宋体" w:hAnsi="宋体" w:cs="宋体"/>
          <w:bCs/>
          <w:color w:val="000000" w:themeColor="text1"/>
          <w:sz w:val="24"/>
          <w:szCs w:val="24"/>
          <w:lang w:val="zh-CN"/>
        </w:rPr>
        <w:t xml:space="preserve">方式确定履约保证收取方式。</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(1)不收取履约保证金。</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(2)履约保证金应在采购合同签订前提交，履约保证金按采购合同总价的5%计取</w:t>
      </w:r>
      <w:r>
        <w:rPr>
          <w:rFonts w:hint="eastAsia" w:ascii="宋体" w:hAnsi="宋体" w:cs="宋体"/>
          <w:bCs/>
          <w:color w:val="000000" w:themeColor="text1"/>
          <w:sz w:val="24"/>
          <w:szCs w:val="24"/>
          <w:lang w:val="zh-CN"/>
        </w:rPr>
        <w:t xml:space="preserve">（如使用江苏政府采购电子履约保函(保险)代替缴纳履约保证金的，按采购合同总价的</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履约保证金退还的方式：以银行电汇、网上银行、数字人民币形式缴纳履约保证金的，退回至</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存款账户或</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数字人民币账户；以保函、担保、保险等形式缴纳履约保证金的，在保函、担保、保险约定的保证期限届满之日起自行失效；</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履约保证金退还的条件：按以下第a种方式</w:t>
      </w:r>
      <w:r>
        <w:rPr>
          <w:rFonts w:hint="eastAsia" w:ascii="宋体" w:hAnsi="宋体" w:cs="宋体"/>
          <w:bCs/>
          <w:color w:val="000000" w:themeColor="text1"/>
          <w:sz w:val="24"/>
          <w:szCs w:val="24"/>
        </w:rPr>
        <w:t xml:space="preserve">执</w:t>
      </w:r>
      <w:r>
        <w:rPr>
          <w:rFonts w:hint="eastAsia" w:ascii="宋体" w:hAnsi="宋体" w:cs="宋体"/>
          <w:bCs/>
          <w:color w:val="000000" w:themeColor="text1"/>
          <w:sz w:val="24"/>
          <w:szCs w:val="24"/>
          <w:lang w:val="zh-CN"/>
        </w:rPr>
        <w:t xml:space="preserve">行：</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a、货物类项目，项目验收合格，出具验收报告及履约保证金收据申请退付；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b、服务类项目，项目履约期满评价合格，出具履约评价报告及履约保证金收据申请退付；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c、工程类项目，项目完工验收合格，出具完工证明及履约保证金收据申请退付；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履约保证金退还时间：采购单位收到</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退付申请后5个工作日内退还；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履约保证金不予退还情形：除不可抗力外，</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自身原因导致无法及时退还的除外。</w:t>
      </w:r>
      <w:r/>
    </w:p>
    <w:p>
      <w:pPr>
        <w:ind w:firstLine="480"/>
        <w:jc w:val="left"/>
        <w:spacing w:line="380" w:lineRule="exact"/>
        <w:rPr>
          <w:rFonts w:hint="eastAsia" w:ascii="宋体" w:hAnsi="宋体" w:cs="宋体"/>
          <w:b/>
          <w:color w:val="000000" w:themeColor="text1"/>
          <w:sz w:val="24"/>
          <w:szCs w:val="24"/>
        </w:rPr>
      </w:pPr>
      <w:r>
        <w:rPr>
          <w:rFonts w:hint="eastAsia" w:ascii="宋体" w:hAnsi="宋体" w:cs="宋体"/>
          <w:bCs/>
          <w:color w:val="000000" w:themeColor="text1"/>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cs="宋体"/>
          <w:bCs/>
          <w:color w:val="000000" w:themeColor="text1"/>
          <w:sz w:val="24"/>
          <w:szCs w:val="24"/>
          <w:lang w:val="zh-CN"/>
        </w:rPr>
        <w:t xml:space="preserve">。</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6.付款方式：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预付款：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进度款：</w:t>
      </w:r>
      <w:r>
        <w:rPr>
          <w:rFonts w:ascii="宋体" w:hAnsi="宋体" w:cs="宋体"/>
          <w:color w:val="000000" w:themeColor="text1"/>
          <w:sz w:val="24"/>
          <w:szCs w:val="24"/>
        </w:rPr>
        <w:t xml:space="preserve">项目运维期限5年。项目所有设备到货，付至合同价款20%，建设完成通过验收后支付至合同价款的</w:t>
      </w: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0%，运维期每满一年，招标人根据对中标人项目运维考核结果支付年度合同款【每月在线率达到95%及以上，考核合格，每有一个自然月在线率不合格，本月不计入年度考核，顺延至下一个自然月，满12个月之后支付年度合同款。如果连续三个月不合格，则不支付当年合同款】。每年合同款金额不高于中</w:t>
      </w:r>
      <w:r>
        <w:rPr>
          <w:rFonts w:ascii="宋体" w:hAnsi="宋体" w:cs="宋体"/>
          <w:color w:val="000000" w:themeColor="text1"/>
          <w:sz w:val="24"/>
          <w:szCs w:val="24"/>
        </w:rPr>
        <w:t xml:space="preserve">标人项目中标价的</w:t>
      </w:r>
      <w:r>
        <w:rPr>
          <w:rFonts w:hint="eastAsia" w:ascii="宋体" w:hAnsi="宋体" w:cs="宋体"/>
          <w:color w:val="000000" w:themeColor="text1"/>
          <w:sz w:val="24"/>
          <w:szCs w:val="24"/>
        </w:rPr>
        <w:t xml:space="preserve">10</w:t>
      </w:r>
      <w:r>
        <w:rPr>
          <w:rFonts w:ascii="宋体" w:hAnsi="宋体" w:cs="宋体"/>
          <w:color w:val="000000" w:themeColor="text1"/>
          <w:sz w:val="24"/>
          <w:szCs w:val="24"/>
        </w:rPr>
        <w:t xml:space="preserve">%。最后一次付清尾款前，乙方必须保证该项目完整可靠运行、在线率合格并移交甲方。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7.质量保证：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（1）工程项目建设完成后，乙方申请项目验收。验收通过后即进入项目</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（2）乙方应保证所供器材是全新、未使用过的原装合格正品（含配件），进口产品应保证通过正规合法渠道。</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（3）乙方应保证提供的产品不得侵犯第三方专利权、商标权和工业设计权、版权等。否则，乙方应负全部责任，并承担由此引起的一切后果。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（4）乙方提供的货物必须符合国家有关质量技术标准及相关法律法规规定的要求。</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本项目的主要产品一经确定后，不允许擅自更改；项目验收时，提供的产品品牌、型号、参数等必须与招标文件和技术响应文件产品相符；如因特殊情况需要更改的，须报甲方书面同意，并且更改后的品牌、型号、质量等不得低于原来的要求。否则，所有损失由乙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（6）本项目的施工质量严格按照相关国家、地方标准进行施工，要求项目施工质量达到合格以上。</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（7）乙方应保证其货物在正确安装、正常使用和保养条件下，符合招标文件技术参数相关要求。在施工工期内以及</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期内乙方应对由于设计、工艺、材料或安装施工的缺陷而发生的任何不足或故障负责，并承担由此引起的一切后果。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期内出现故障抵达现场不能现场修复的，必须用同类、同型号产品或功能性能效果高于原产品进行替换，保证信息畅通。在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期内，若发生重大质量故障，则</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期重新开始计算，同时甲方有权解除合同并追究相关责任。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（9）质保期间，乙方所提供的人员、装备、时限必须符合招标文件、投标文件要求，乙方设立并提供 7*24 小时售后服务。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 自合同签订之日起，至质保期结束并移交甲方前，乙方需负责本合同涉及的所有设备（含配套管线）的保管维护保养等工作，甲方不提供任何配件，一切设备</w:t>
      </w:r>
      <w:r>
        <w:rPr>
          <w:rFonts w:hint="eastAsia" w:ascii="宋体" w:hAnsi="宋体" w:cs="宋体"/>
          <w:color w:val="000000" w:themeColor="text1"/>
          <w:sz w:val="24"/>
          <w:szCs w:val="24"/>
        </w:rPr>
        <w:t xml:space="preserve">（含系统中心设备）均要由乙方自行负责保管维护。由乙方保管维护不当造成的损失由乙方自行负责。</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（12）需方不得擅自变更招投标文件约定的性能、指标等相关内容，如有变更应按《中华人民共和国政府采购法》、财政部《政府采购货物和服务招标投标管理办法》的相关程序执行。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（13）安装调试及售后服务：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1）乙方负责本项目的安装和调试，并保证其提供的货物符合国家、行业、地方、招投标文件及合同规定的质量、性能和标准，并正确且安全地安装。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2）乙方提供的服务全部按照国家有关法律法规规章和“三包”规定以及按招标文件要求和乙方投标文件中的承诺执行。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3）质保期后的货物维护由双方协商再定。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4）甲方应向乙方现场调试的技术人员及维修人员提供方便条件，有关费用由乙方负责。</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5）甲方如要求供方提供招标文件及乙方投标文件以外的其他服务，其费用另定。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8.违约条款：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（1）乙方不能在合同约定工期内完成合同约定的内容， 应向甲方支付违约金， 除不可抗力因素或甲方造成原因外，如乙方发生延期交付，每迟交一天，按合同总金额的0.5%支付违约金，甲方可直接从工程进度支付款中扣除。</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本合同范围内涉及的各类故障未在合同规定的时间内完成修复的，因乙方的其他维护服务不能满足招标文件及合同要求，给甲方造成一般损失或影响的扣除1000元/次违约金，造成较大损失或影响的扣除5000元/次违约金，造成严重损失或影响的扣除50000元/次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（5）施工和</w:t>
      </w:r>
      <w:r>
        <w:rPr>
          <w:rFonts w:hint="eastAsia" w:ascii="宋体" w:hAnsi="宋体" w:eastAsia="黑体" w:cs="宋体"/>
          <w:color w:val="000000" w:themeColor="text1"/>
          <w:sz w:val="24"/>
          <w:szCs w:val="24"/>
        </w:rPr>
        <w:t xml:space="preserve">质保以及维护</w:t>
      </w:r>
      <w:r>
        <w:rPr>
          <w:rFonts w:hint="eastAsia" w:ascii="宋体" w:hAnsi="宋体" w:cs="宋体"/>
          <w:color w:val="000000" w:themeColor="text1"/>
          <w:sz w:val="24"/>
          <w:szCs w:val="24"/>
        </w:rPr>
        <w:t xml:space="preserve">期间，乙方应保障施工和维护过程中的网络安全，凡是由于乙方原因“一机两用”“两网互通”等网络安全案事件发生的，由乙方承担5000元/次违约金。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（6）甲方未按约定期限付款的（在走退还流程的除外），双方协商或仲裁处理。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9.项目所有权：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期内，本项目的所有权归属甲方。未经甲方同意，乙方不得私自泄露、转让、抵押给第三方使用；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（2）乙方承担</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的运营维护责任，需自行完成系统故障排除、系统设备维护，确保系统长期稳定运行，满足</w:t>
      </w:r>
      <w:r>
        <w:rPr>
          <w:rFonts w:hint="eastAsia" w:ascii="宋体" w:hAnsi="宋体" w:eastAsia="黑体" w:cs="宋体"/>
          <w:color w:val="000000" w:themeColor="text1"/>
          <w:sz w:val="24"/>
          <w:szCs w:val="24"/>
        </w:rPr>
        <w:t xml:space="preserve">采购人实际</w:t>
      </w:r>
      <w:r>
        <w:rPr>
          <w:rFonts w:hint="eastAsia" w:ascii="宋体" w:hAnsi="宋体" w:cs="宋体"/>
          <w:color w:val="000000" w:themeColor="text1"/>
          <w:sz w:val="24"/>
          <w:szCs w:val="24"/>
        </w:rPr>
        <w:t xml:space="preserve">需要。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期满，乙方必须对整个系统进行一次全面维修、保养，并必须保证所有设备完好、整个系统能正常运行后，按甲方要求无偿移交给甲方。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11.合同生效：本合同经甲方、乙方签字盖章后生效。合同签订的内容不能超出招标文件和投标文件的实质性内容。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12.争议：双方约定，在履行合同过程中产生争议时，由双方当事人协商解决，协商不成时依法向沭阳县人民法院提起诉讼。</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13.合同的组成部分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本合同条款、中标通知书、招标文件、投标文件及投标人在开标时的书面承诺、 合同附件（附件 1：设备清单明细及报价表）等都是构成合同的组成部分。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 （盖章）                 乙方： （盖章）</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                          地址：</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法定（授权）代表人：            法定（授权）代表人：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       月      日             年       月      日</w:t>
      </w:r>
      <w:r/>
    </w:p>
    <w:p>
      <w:pPr>
        <w:ind w:firstLine="240"/>
        <w:spacing w:after="120"/>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通用条款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专用条款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一、词语定义及合同文件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1.合同文件组成及解释顺序：合同文件的优先顺序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组成合同的各项文件应互相解释，互为说明。除专用合同条款另有约定外，解释合同文件的优先顺序如下：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（1）招标文件及其澄清文件、附件；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（2）中标通知书；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（3）投标文件及其附录；</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（4）合同协议书；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（5）专用合同条款及其附件；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（6）通用合同条款；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（7）技术标准和要求；</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（8）图纸；</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（9）已标价工程量清单或预算书；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（10）其他合同文件。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上述各项合同文件包括合同当事人就该项合同文件所作出的补充和修改， 属于同一类内容的文件，应以最新签署的为准。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2.在合同订立及履行过程中形成的与合同有关的文件均构成合同文件组成部分，并根据其性质确定优先解释顺序。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3.语言文字和适用法律、标准及规范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3.1本合同除使用汉语外，还使用无语言文字。</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3.2适用的法律和法规</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需要明示的法律、行政法规：本工程适用中华人民共和国现行的法律、行政法规。</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3.3适用标准、规范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适用标准、规范的名称：中华人民共和国颁发的现行的有关标准、规范，省、市公安机关有关规定。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二、双方一般权利和义务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5.项目负责人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投标文件中明确的项目负责人及主要技术人员不得变更，开工时或施工过程中如 有变更，甲方有权解除合同，并追究由此带来的甲方的一切损失。项目组成人员必须 </w:t>
      </w:r>
      <w:r>
        <w:rPr>
          <w:rFonts w:hint="eastAsia" w:ascii="宋体" w:hAnsi="宋体" w:cs="宋体"/>
          <w:color w:val="000000" w:themeColor="text1"/>
          <w:sz w:val="24"/>
          <w:szCs w:val="24"/>
        </w:rPr>
        <w:t xml:space="preserve">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其他管理人员、技术负责人、技术工人必须持证上岗，请假必须提前报甲方备案，甲方有权对其出勤情况进行随机抽查，凡未经备案不在现场的，每人/次罚款100元，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6.甲方工作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甲方应按约定的时间和要求完成以下工作。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施工现场具备施工条件的要求及完成时间。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方案会审和设计交底时间。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双方约定甲方应做的其他工作。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7.乙方工作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乙方应按约定的时间和要求完成以下工作：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应提供计划、报表的名称及完成时间：签订合同5日内提供施工方案和材料计划， 每周向甲方提供详细的施工进度计划、已完成工程量报表（含工程变更及签证预算）、 甲供材料清单、乙购材料清单、材料进场计划、劳动力及用款计划等资料，分项的施工组织设计开工前向甲方提供。</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承担施工安全保卫工作及非夜间施工照明的责任和要求：由乙方负责，甲方不承担任何责任。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将所需的线路接至施工现场的时间、地点和供应要求：计算工期前将电、线路接至施工现场。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已完工程成品保护的特殊要求及费用承担：已竣工工程未交付甲方验收之前的成 </w:t>
      </w:r>
      <w:r>
        <w:rPr>
          <w:rFonts w:hint="eastAsia" w:ascii="宋体" w:hAnsi="宋体" w:cs="宋体"/>
          <w:color w:val="000000" w:themeColor="text1"/>
          <w:sz w:val="24"/>
          <w:szCs w:val="24"/>
        </w:rPr>
        <w:t xml:space="preserve">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施工现场周围环境的保护要求及费用承担：做好车辆、邻近物品的保护和观测工 作，因乙方的责任造成的财产和人身损失，由乙方承担相关费用。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施工现场清洁卫生的要求：乙方所有人员进入工地后必须遵守相关管理规定，做 到文明施工、规范施工。</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双方约定乙方应做的其他工作：另订协议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三、施工组织设计和工期</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8.进度计划</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8.1乙方提供施工组织设计（施工方案）和进度计划的时间：方案会审及设计交底后二日内组织施工，每周五之前报下周进度计划。</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9.工期延误</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四、质量与验收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10.隐蔽工程和中间验收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w:t>
      </w:r>
      <w:r>
        <w:rPr>
          <w:rFonts w:hint="eastAsia" w:ascii="宋体" w:hAnsi="宋体" w:cs="宋体"/>
          <w:color w:val="000000" w:themeColor="text1"/>
          <w:sz w:val="24"/>
          <w:szCs w:val="24"/>
        </w:rPr>
        <w:t xml:space="preserve">收记录上签字后，方可进行隐蔽和继续施工。验收不合格，乙方在限定时间内重新验收。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五、安全施工</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11.项目实施过程中的设备运输、安装、调试和维护等所涉及的设备安全和人身安全 的一切责任全部由乙方承担。乙方在施工现场的安全管理、教育和安全事故责任由乙方承担。</w:t>
      </w:r>
      <w:r/>
    </w:p>
    <w:p>
      <w:pPr>
        <w:ind w:firstLine="480"/>
        <w:spacing w:line="560" w:lineRule="exact"/>
        <w:rPr>
          <w:rFonts w:hint="eastAsia" w:ascii="宋体" w:hAnsi="宋体" w:cs="宋体"/>
          <w:color w:val="000000" w:themeColor="text1"/>
          <w:sz w:val="24"/>
          <w:szCs w:val="24"/>
        </w:rPr>
      </w:pP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期内产生的人身安全和其他风险等一切责任全部由乙方承担。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六、合同价款与支付</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12.合同价款及调整</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12.1本合同价款采用固定价格合同方式确定。合同价款中包括施工期间的政策性调整及市场风险等一切风险范围。</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12.2 如果甲方需求变更导致合同价款调整的，调整项目经甲方确认后，调整内容的费用按审计部门审计为准，并计入合同总价。</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七、材料设备供应</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13.乙方采购材料设备。双方约定乙方采购的材料设备必须符合有关规范、设计图纸规定的质量要求，且需经甲方验收合格后方可进场。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八、竣工验收与结算</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14.竣工验收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14.2 乙方提供竣工图的约定：乙方应在工程竣工后一个月内免费提供两套完整 的竣工图和竣工结算及其资料，否则每延迟一天向甲方支付合同价款万分之五的违约 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14.3 中间交工工程的范围和竣工时间：按通用条款执行。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九、违约、索赔和争议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15.违约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应当另行承担因此给甲方造成的全部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16.争议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16.1双方约定，在履行合同过程中产生争议时，由双方当事人协商解决，协商不 成时依法向沭阳县人民法院提起诉讼。</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十、其他</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17.不可抗力</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17.1双方关于不可抗力的约定：按本合同通用条款执行。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18.保险</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18.1 本工程双方约定投保内容如下：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⑴甲方投保内容：无</w:t>
      </w:r>
      <w:r/>
    </w:p>
    <w:p>
      <w:pPr>
        <w:ind w:firstLine="480"/>
        <w:spacing w:line="560" w:lineRule="exact"/>
        <w:rPr>
          <w:rFonts w:hint="eastAsia" w:ascii="宋体" w:hAnsi="宋体" w:cs="宋体"/>
          <w:bCs/>
          <w:color w:val="000000" w:themeColor="text1"/>
          <w:sz w:val="44"/>
          <w:szCs w:val="21"/>
        </w:rPr>
      </w:pPr>
      <w:r>
        <w:rPr>
          <w:rFonts w:hint="eastAsia" w:ascii="宋体" w:hAnsi="宋体" w:cs="宋体"/>
          <w:color w:val="000000" w:themeColor="text1"/>
          <w:sz w:val="24"/>
          <w:szCs w:val="24"/>
        </w:rPr>
        <w:t xml:space="preserve">⑵乙方投保内容：承担合同履行期间所有按规定由甲乙双方投保的内容。</w:t>
      </w:r>
      <w:r/>
    </w:p>
    <w:p>
      <w:pPr>
        <w:jc w:val="center"/>
        <w:keepLines/>
        <w:keepNext/>
        <w:pageBreakBefore/>
        <w:rPr>
          <w:b/>
          <w:color w:val="000000" w:themeColor="text1"/>
          <w:sz w:val="44"/>
          <w:szCs w:val="44"/>
        </w:rPr>
        <w:outlineLvl w:val="0"/>
      </w:pPr>
      <w:r>
        <w:rPr>
          <w:rFonts w:hint="eastAsia"/>
          <w:b/>
          <w:color w:val="000000" w:themeColor="text1"/>
          <w:sz w:val="44"/>
          <w:szCs w:val="44"/>
        </w:rPr>
        <w:t xml:space="preserve">第六章</w:t>
      </w:r>
      <w:r>
        <w:rPr>
          <w:rFonts w:hint="eastAsia"/>
          <w:b/>
          <w:color w:val="000000" w:themeColor="text1"/>
          <w:sz w:val="44"/>
          <w:szCs w:val="44"/>
        </w:rPr>
        <w:t xml:space="preserve">  </w:t>
      </w:r>
      <w:r>
        <w:rPr>
          <w:rFonts w:hint="eastAsia"/>
          <w:b/>
          <w:color w:val="000000" w:themeColor="text1"/>
          <w:sz w:val="44"/>
          <w:szCs w:val="44"/>
        </w:rPr>
        <w:t xml:space="preserve">投标文件格式</w:t>
      </w:r>
      <w:bookmarkEnd w:id="164"/>
      <w:r/>
      <w:bookmarkEnd w:id="165"/>
      <w:r/>
      <w:bookmarkEnd w:id="166"/>
      <w:r/>
      <w:bookmarkEnd w:id="167"/>
      <w:r/>
      <w:bookmarkEnd w:id="168"/>
      <w:r/>
      <w:bookmarkEnd w:id="169"/>
      <w:r/>
      <w:r/>
    </w:p>
    <w:p>
      <w:pPr>
        <w:rPr>
          <w:color w:val="000000" w:themeColor="text1"/>
        </w:rPr>
      </w:pPr>
      <w:r/>
      <w:bookmarkStart w:id="170" w:name="EB819316f773b24a75aef829f9b72900c0"/>
      <w:r/>
      <w:r/>
    </w:p>
    <w:p>
      <w:pPr>
        <w:rPr>
          <w:rFonts w:ascii="Times New Roman" w:hAnsi="Times New Roman"/>
          <w:b/>
          <w:color w:val="000000" w:themeColor="text1"/>
          <w:sz w:val="72"/>
        </w:rPr>
      </w:pPr>
      <w:r/>
      <w:bookmarkStart w:id="171" w:name="_Toc15716"/>
      <w:r/>
      <w:r/>
    </w:p>
    <w:p>
      <w:pPr>
        <w:rPr>
          <w:rFonts w:ascii="Times New Roman" w:hAnsi="Times New Roman"/>
          <w:b/>
          <w:color w:val="000000" w:themeColor="text1"/>
          <w:sz w:val="72"/>
        </w:rPr>
      </w:pPr>
      <w:r>
        <w:rPr>
          <w:rFonts w:ascii="Times New Roman" w:hAnsi="Times New Roman"/>
          <w:b/>
          <w:color w:val="000000" w:themeColor="text1"/>
          <w:sz w:val="72"/>
        </w:rPr>
      </w:r>
      <w:r/>
    </w:p>
    <w:p>
      <w:pP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hint="eastAsia" w:ascii="Times New Roman" w:hAnsi="Times New Roman"/>
          <w:b/>
          <w:color w:val="000000" w:themeColor="text1"/>
          <w:sz w:val="72"/>
        </w:rPr>
        <w:t xml:space="preserve">投</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标</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文</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件</w:t>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ind w:firstLine="1084"/>
        <w:rPr>
          <w:rFonts w:ascii="Times New Roman" w:hAnsi="Times New Roman"/>
          <w:b/>
          <w:color w:val="000000" w:themeColor="text1"/>
          <w:sz w:val="36"/>
        </w:rPr>
      </w:pPr>
      <w:r>
        <w:rPr>
          <w:rFonts w:hint="eastAsia" w:ascii="Times New Roman" w:hAnsi="Times New Roman"/>
          <w:b/>
          <w:color w:val="000000" w:themeColor="text1"/>
          <w:sz w:val="36"/>
        </w:rPr>
        <w:t xml:space="preserve">项</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目</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名</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称：</w:t>
      </w:r>
      <w:r>
        <w:rPr>
          <w:rFonts w:hint="eastAsia" w:ascii="Times New Roman" w:hAnsi="Times New Roman"/>
          <w:b/>
          <w:color w:val="000000" w:themeColor="text1"/>
          <w:sz w:val="36"/>
          <w:u w:val="single"/>
        </w:rPr>
        <w:t xml:space="preserve">               </w:t>
      </w:r>
      <w:r/>
    </w:p>
    <w:p>
      <w:pPr>
        <w:ind w:firstLine="1084"/>
        <w:rPr>
          <w:rFonts w:ascii="Times New Roman" w:hAnsi="Times New Roman"/>
          <w:b/>
          <w:color w:val="000000" w:themeColor="text1"/>
          <w:sz w:val="36"/>
          <w:u w:val="single"/>
        </w:rPr>
      </w:pPr>
      <w:r>
        <w:rPr>
          <w:rFonts w:hint="eastAsia" w:ascii="Times New Roman" w:hAnsi="Times New Roman"/>
          <w:b/>
          <w:color w:val="000000" w:themeColor="text1"/>
          <w:sz w:val="36"/>
        </w:rPr>
        <w:t xml:space="preserve">项</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目</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编</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号：</w:t>
      </w:r>
      <w:r>
        <w:rPr>
          <w:rFonts w:hint="eastAsia" w:ascii="Times New Roman" w:hAnsi="Times New Roman"/>
          <w:b/>
          <w:color w:val="000000" w:themeColor="text1"/>
          <w:sz w:val="36"/>
          <w:u w:val="single"/>
        </w:rPr>
        <w:t xml:space="preserve">               </w:t>
      </w:r>
      <w:r/>
    </w:p>
    <w:p>
      <w:pPr>
        <w:rPr>
          <w:rFonts w:ascii="Times New Roman" w:hAnsi="Times New Roman"/>
          <w:b/>
          <w:color w:val="000000" w:themeColor="text1"/>
          <w:sz w:val="36"/>
          <w:u w:val="single"/>
        </w:rPr>
      </w:pP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投标人名称</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w:t>
      </w:r>
      <w:r>
        <w:rPr>
          <w:rFonts w:hint="eastAsia" w:ascii="Times New Roman" w:hAnsi="Times New Roman"/>
          <w:b/>
          <w:color w:val="000000" w:themeColor="text1"/>
          <w:sz w:val="36"/>
          <w:u w:val="single"/>
        </w:rPr>
        <w:t xml:space="preserve">（盖</w:t>
      </w:r>
      <w:r>
        <w:rPr>
          <w:rFonts w:hint="eastAsia" w:ascii="Times New Roman" w:hAnsi="Times New Roman"/>
          <w:b/>
          <w:color w:val="000000" w:themeColor="text1"/>
          <w:sz w:val="36"/>
          <w:u w:val="single"/>
        </w:rPr>
        <w:t xml:space="preserve">CA</w:t>
      </w:r>
      <w:r>
        <w:rPr>
          <w:rFonts w:hint="eastAsia" w:ascii="Times New Roman" w:hAnsi="Times New Roman"/>
          <w:b/>
          <w:color w:val="000000" w:themeColor="text1"/>
          <w:sz w:val="36"/>
          <w:u w:val="single"/>
        </w:rPr>
        <w:t xml:space="preserve">电子公章）</w:t>
      </w:r>
      <w:r/>
    </w:p>
    <w:p>
      <w:pPr>
        <w:rPr>
          <w:rFonts w:ascii="Times New Roman" w:hAnsi="Times New Roman"/>
          <w:b/>
          <w:color w:val="000000" w:themeColor="text1"/>
          <w:sz w:val="36"/>
          <w:u w:val="single"/>
        </w:rPr>
      </w:pP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日</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期</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w:t>
      </w:r>
      <w:r>
        <w:rPr>
          <w:rFonts w:hint="eastAsia" w:ascii="Times New Roman" w:hAnsi="Times New Roman"/>
          <w:b/>
          <w:color w:val="000000" w:themeColor="text1"/>
          <w:sz w:val="36"/>
          <w:u w:val="single"/>
        </w:rPr>
        <w:t xml:space="preserve">               </w:t>
      </w:r>
      <w:bookmarkEnd w:id="171"/>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bookmarkEnd w:id="170"/>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jc w:val="center"/>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1130"/>
        <w:jc w:val="center"/>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投标文件目录</w:t>
      </w:r>
      <w:r/>
    </w:p>
    <w:p>
      <w:pPr>
        <w:pStyle w:val="1130"/>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一、投标函</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二、投标人资质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三、法人授权书</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四、开标一览表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五、分项报价表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六、中小企业或残疾人福利性单位声明函</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七、技术响应偏离表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八、项目组人员</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九、项目实施方案</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十、企业业绩</w:t>
      </w:r>
      <w:r/>
    </w:p>
    <w:p>
      <w:pPr>
        <w:spacing w:line="360" w:lineRule="auto"/>
        <w:rPr>
          <w:rFonts w:hint="eastAsia" w:ascii="宋体" w:hAnsi="宋体" w:cs="宋体"/>
          <w:color w:val="000000" w:themeColor="text1"/>
          <w:sz w:val="28"/>
          <w:szCs w:val="28"/>
        </w:rPr>
      </w:pPr>
      <w:r>
        <w:rPr>
          <w:rFonts w:hint="eastAsia" w:ascii="Times New Roman" w:hAnsi="Times New Roman"/>
          <w:color w:val="000000" w:themeColor="text1"/>
          <w:sz w:val="28"/>
          <w:szCs w:val="28"/>
        </w:rPr>
        <w:t xml:space="preserve">十一、投标所需其他材料</w:t>
      </w:r>
      <w:r/>
    </w:p>
    <w:p>
      <w:pPr>
        <w:rPr>
          <w:color w:val="000000" w:themeColor="text1"/>
        </w:rPr>
      </w:pPr>
      <w:r/>
      <w:bookmarkStart w:id="172" w:name="_Toc26005"/>
      <w:r/>
      <w:bookmarkStart w:id="173" w:name="_Toc20577"/>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140"/>
        <w:rPr>
          <w:rFonts w:hint="eastAsia"/>
          <w:b w:val="0"/>
          <w:color w:val="000000" w:themeColor="text1"/>
        </w:rPr>
        <w:outlineLvl w:val="1"/>
      </w:pPr>
      <w:r>
        <w:rPr>
          <w:rFonts w:hint="eastAsia"/>
          <w:b w:val="0"/>
          <w:color w:val="000000" w:themeColor="text1"/>
        </w:rPr>
      </w:r>
      <w:r/>
    </w:p>
    <w:p>
      <w:pPr>
        <w:pStyle w:val="1140"/>
        <w:rPr>
          <w:rFonts w:hint="eastAsia"/>
          <w:color w:val="000000" w:themeColor="text1"/>
        </w:rPr>
        <w:outlineLvl w:val="1"/>
      </w:pPr>
      <w:r/>
      <w:bookmarkStart w:id="174" w:name="_Toc8978"/>
      <w:r>
        <w:rPr>
          <w:rFonts w:hint="eastAsia"/>
          <w:b w:val="0"/>
          <w:bCs/>
          <w:color w:val="000000" w:themeColor="text1"/>
        </w:rPr>
        <w:t xml:space="preserve">一</w:t>
      </w:r>
      <w:r>
        <w:rPr>
          <w:b w:val="0"/>
          <w:bCs/>
          <w:color w:val="000000" w:themeColor="text1"/>
        </w:rPr>
        <w:t xml:space="preserve">、投标函</w:t>
      </w:r>
      <w:bookmarkEnd w:id="172"/>
      <w:r/>
      <w:bookmarkEnd w:id="173"/>
      <w:r/>
      <w:bookmarkEnd w:id="174"/>
      <w:r/>
      <w:r/>
    </w:p>
    <w:p>
      <w:pPr>
        <w:pStyle w:val="1141"/>
        <w:jc w:val="center"/>
        <w:rPr>
          <w:rFonts w:ascii="方正小标宋_GBK" w:eastAsia="方正小标宋_GBK"/>
          <w:bCs/>
          <w:color w:val="000000" w:themeColor="text1"/>
          <w:sz w:val="32"/>
          <w:szCs w:val="32"/>
        </w:rPr>
      </w:pPr>
      <w:r>
        <w:rPr>
          <w:rFonts w:ascii="方正小标宋_GBK" w:eastAsia="方正小标宋_GBK"/>
          <w:bCs/>
          <w:color w:val="000000" w:themeColor="text1"/>
          <w:sz w:val="32"/>
          <w:szCs w:val="32"/>
        </w:rPr>
      </w:r>
      <w:r/>
    </w:p>
    <w:p>
      <w:pPr>
        <w:pStyle w:val="1141"/>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投标函</w:t>
      </w:r>
      <w:r/>
    </w:p>
    <w:p>
      <w:pPr>
        <w:pStyle w:val="1141"/>
        <w:jc w:val="left"/>
        <w:spacing w:line="50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t xml:space="preserve">（采购单位名称）：</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根据已收到的项目编号为</w:t>
      </w:r>
      <w:r>
        <w:rPr>
          <w:rFonts w:hint="eastAsia" w:ascii="宋体" w:hAnsi="宋体"/>
          <w:color w:val="000000" w:themeColor="text1"/>
          <w:sz w:val="24"/>
          <w:szCs w:val="24"/>
          <w:u w:val="single"/>
        </w:rPr>
        <w:t xml:space="preserve">（项目编号）</w:t>
      </w:r>
      <w:r>
        <w:rPr>
          <w:rFonts w:hint="eastAsia" w:ascii="宋体" w:hAnsi="宋体"/>
          <w:color w:val="000000" w:themeColor="text1"/>
          <w:sz w:val="24"/>
          <w:szCs w:val="24"/>
        </w:rPr>
        <w:t xml:space="preserve">的</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的招标文件，我方在参加本项目招投标活动中，特作出如下承诺：</w:t>
      </w:r>
      <w:r/>
    </w:p>
    <w:p>
      <w:pPr>
        <w:pStyle w:val="1141"/>
        <w:ind w:firstLine="480"/>
        <w:jc w:val="left"/>
        <w:spacing w:line="500" w:lineRule="exact"/>
        <w:rPr>
          <w:rFonts w:hint="eastAsia" w:ascii="宋体" w:hAnsi="宋体"/>
          <w:color w:val="000000" w:themeColor="text1"/>
          <w:sz w:val="24"/>
        </w:rPr>
      </w:pPr>
      <w:r>
        <w:rPr>
          <w:rFonts w:hint="eastAsia" w:ascii="宋体" w:hAnsi="宋体"/>
          <w:color w:val="000000" w:themeColor="text1"/>
          <w:sz w:val="24"/>
          <w:szCs w:val="24"/>
        </w:rPr>
        <w:t xml:space="preserve">一、我方</w:t>
      </w:r>
      <w:r>
        <w:rPr>
          <w:rFonts w:ascii="宋体" w:hAnsi="宋体"/>
          <w:color w:val="000000" w:themeColor="text1"/>
          <w:sz w:val="24"/>
        </w:rPr>
        <w:t xml:space="preserve">具备《中华人民共和国政府采购法》第二十二条第一款规定的6项条件；</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三、我方按招标文件要求提交投标文件，响应招标文件规定的投标有效期；</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四、如果我方的投标文件被接受，我方将按照《中华人民共和国民法典（第三编合同）》及其他有关法律法规的规定，按期、按质、按量交付采购单位，全面做到履约守信；</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六、我方同意采购人、采购代理机构将本函上网公开。</w:t>
      </w:r>
      <w:r/>
    </w:p>
    <w:p>
      <w:pPr>
        <w:pStyle w:val="1141"/>
        <w:ind w:firstLine="480"/>
        <w:jc w:val="left"/>
        <w:spacing w:line="500" w:lineRule="exact"/>
        <w:rPr>
          <w:rFonts w:ascii="方正仿宋_GBK" w:eastAsia="方正仿宋_GBK"/>
          <w:color w:val="000000" w:themeColor="text1"/>
          <w:sz w:val="24"/>
          <w:szCs w:val="24"/>
        </w:rPr>
      </w:pPr>
      <w:r>
        <w:rPr>
          <w:rFonts w:ascii="方正仿宋_GBK" w:eastAsia="方正仿宋_GBK"/>
          <w:color w:val="000000" w:themeColor="text1"/>
          <w:sz w:val="24"/>
          <w:szCs w:val="24"/>
        </w:rPr>
      </w:r>
      <w:r/>
    </w:p>
    <w:p>
      <w:pPr>
        <w:pStyle w:val="1141"/>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（盖CA电子公章）</w:t>
      </w:r>
      <w:r/>
    </w:p>
    <w:p>
      <w:pPr>
        <w:pStyle w:val="1141"/>
        <w:ind w:firstLine="480"/>
        <w:rPr>
          <w:rFonts w:hint="eastAsia" w:ascii="宋体" w:hAnsi="宋体"/>
          <w:color w:val="000000" w:themeColor="text1"/>
          <w:sz w:val="24"/>
          <w:szCs w:val="24"/>
        </w:rPr>
      </w:pPr>
      <w:r>
        <w:rPr>
          <w:rFonts w:hint="eastAsia" w:ascii="宋体" w:hAnsi="宋体"/>
          <w:color w:val="000000" w:themeColor="text1"/>
          <w:sz w:val="24"/>
          <w:szCs w:val="24"/>
        </w:rPr>
      </w:r>
      <w:r/>
    </w:p>
    <w:p>
      <w:pPr>
        <w:pStyle w:val="1141"/>
        <w:ind w:firstLine="480"/>
        <w:rPr>
          <w:rFonts w:hint="eastAsia" w:ascii="宋体" w:hAnsi="宋体"/>
          <w:color w:val="000000" w:themeColor="text1"/>
        </w:rPr>
      </w:pPr>
      <w:r>
        <w:rPr>
          <w:rFonts w:hint="eastAsia" w:ascii="宋体" w:hAnsi="宋体"/>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140"/>
        <w:rPr>
          <w:rFonts w:hint="eastAsia"/>
          <w:b w:val="0"/>
          <w:bCs/>
          <w:color w:val="000000" w:themeColor="text1"/>
        </w:rPr>
        <w:outlineLvl w:val="1"/>
      </w:pPr>
      <w:r/>
      <w:bookmarkStart w:id="175" w:name="_Toc15099"/>
      <w:r>
        <w:rPr>
          <w:rFonts w:hint="eastAsia"/>
          <w:b w:val="0"/>
          <w:bCs/>
          <w:color w:val="000000" w:themeColor="text1"/>
        </w:rPr>
        <w:t xml:space="preserve">二、投标人资质</w:t>
      </w:r>
      <w:bookmarkEnd w:id="175"/>
      <w:r/>
      <w:r/>
    </w:p>
    <w:p>
      <w:pPr>
        <w:jc w:val="center"/>
        <w:rPr>
          <w:color w:val="000000" w:themeColor="text1"/>
        </w:rPr>
      </w:pPr>
      <w:r>
        <w:rPr>
          <w:rFonts w:hint="eastAsia"/>
          <w:color w:val="000000" w:themeColor="text1"/>
        </w:rPr>
        <w:t xml:space="preserve">按招标文件要求提供相应资质证书</w:t>
      </w:r>
      <w:r/>
    </w:p>
    <w:p>
      <w:pPr>
        <w:rPr>
          <w:color w:val="000000" w:themeColor="text1"/>
        </w:rPr>
        <w:outlineLvl w:val="1"/>
      </w:pPr>
      <w:r>
        <w:rPr>
          <w:rFonts w:hint="eastAsia"/>
          <w:color w:val="000000" w:themeColor="text1"/>
        </w:rPr>
        <w:br w:type="page" w:clear="all"/>
      </w:r>
      <w:bookmarkStart w:id="176" w:name="_Toc3680"/>
      <w:r/>
      <w:bookmarkStart w:id="177" w:name="_Toc29506"/>
      <w:r/>
      <w:bookmarkStart w:id="178" w:name="_Toc27409"/>
      <w:r>
        <w:rPr>
          <w:rFonts w:hint="eastAsia" w:ascii="黑体" w:hAnsi="黑体" w:eastAsia="黑体" w:cs="黑体"/>
          <w:bCs/>
          <w:color w:val="000000" w:themeColor="text1"/>
          <w:sz w:val="32"/>
          <w:szCs w:val="24"/>
        </w:rPr>
        <w:t xml:space="preserve">三、</w:t>
      </w:r>
      <w:bookmarkEnd w:id="176"/>
      <w:r/>
      <w:bookmarkEnd w:id="177"/>
      <w:r>
        <w:rPr>
          <w:rFonts w:hint="eastAsia" w:ascii="黑体" w:hAnsi="黑体" w:eastAsia="黑体" w:cs="黑体"/>
          <w:bCs/>
          <w:color w:val="000000" w:themeColor="text1"/>
          <w:sz w:val="32"/>
          <w:szCs w:val="24"/>
        </w:rPr>
        <w:t xml:space="preserve">法人授权书</w:t>
      </w:r>
      <w:bookmarkEnd w:id="178"/>
      <w:r/>
      <w:r/>
    </w:p>
    <w:p>
      <w:pPr>
        <w:pStyle w:val="1141"/>
        <w:jc w:val="center"/>
        <w:rPr>
          <w:rFonts w:ascii="方正小标宋_GBK" w:eastAsia="方正小标宋_GBK"/>
          <w:bCs/>
          <w:color w:val="000000" w:themeColor="text1"/>
          <w:sz w:val="32"/>
          <w:szCs w:val="32"/>
        </w:rPr>
      </w:pPr>
      <w:r/>
      <w:bookmarkStart w:id="179" w:name="OLE_LINK6"/>
      <w:r>
        <w:rPr>
          <w:rFonts w:hint="eastAsia" w:ascii="方正小标宋_GBK" w:eastAsia="方正小标宋_GBK"/>
          <w:bCs/>
          <w:color w:val="000000" w:themeColor="text1"/>
          <w:sz w:val="32"/>
          <w:szCs w:val="32"/>
        </w:rPr>
        <w:t xml:space="preserve">法人授权书</w:t>
      </w:r>
      <w:bookmarkEnd w:id="179"/>
      <w:r/>
      <w:r/>
    </w:p>
    <w:p>
      <w:pPr>
        <w:pStyle w:val="1259"/>
        <w:ind w:firstLine="482"/>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本授权书声明：____________（投标人名称）授权________________（被授权人的姓名）为我方就</w:t>
      </w:r>
      <w:r>
        <w:rPr>
          <w:rFonts w:hint="eastAsia" w:ascii="宋体" w:hAnsi="宋体"/>
          <w:color w:val="000000" w:themeColor="text1"/>
          <w:sz w:val="24"/>
          <w:szCs w:val="24"/>
          <w:u w:val="single"/>
        </w:rPr>
        <w:t xml:space="preserve">（项目编号）</w:t>
      </w:r>
      <w:r>
        <w:rPr>
          <w:rFonts w:hint="eastAsia" w:ascii="宋体" w:hAnsi="宋体"/>
          <w:color w:val="000000" w:themeColor="text1"/>
          <w:sz w:val="24"/>
          <w:szCs w:val="24"/>
        </w:rPr>
        <w:t xml:space="preserve">号</w:t>
      </w:r>
      <w:r>
        <w:rPr>
          <w:rFonts w:hint="eastAsia" w:ascii="宋体" w:hAnsi="宋体"/>
          <w:color w:val="000000" w:themeColor="text1"/>
          <w:sz w:val="24"/>
          <w:szCs w:val="24"/>
          <w:u w:val="single"/>
        </w:rPr>
        <w:t xml:space="preserve">          （项目名称）           项目</w:t>
      </w:r>
      <w:r>
        <w:rPr>
          <w:rFonts w:hint="eastAsia" w:ascii="宋体" w:hAnsi="宋体"/>
          <w:color w:val="000000" w:themeColor="text1"/>
          <w:sz w:val="24"/>
          <w:szCs w:val="24"/>
        </w:rPr>
        <w:t xml:space="preserve">采购活动的合法代理人，以本单位名义全权处理一切与该项目采购有关的事务。</w:t>
      </w:r>
      <w:r/>
    </w:p>
    <w:p>
      <w:pPr>
        <w:pStyle w:val="1259"/>
        <w:ind w:firstLine="482"/>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本授权书于______年____月____日起生效，特此声明。</w:t>
      </w:r>
      <w:r/>
    </w:p>
    <w:p>
      <w:pPr>
        <w:pStyle w:val="1259"/>
        <w:ind w:firstLine="482"/>
        <w:spacing w:line="480" w:lineRule="exact"/>
        <w:rPr>
          <w:color w:val="000000" w:themeColor="text1"/>
          <w:sz w:val="24"/>
          <w:szCs w:val="24"/>
          <w:u w:val="single"/>
        </w:rPr>
      </w:pP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日期：</w:t>
      </w:r>
      <w:bookmarkStart w:id="180" w:name="_Hlt26671380"/>
      <w:r/>
      <w:bookmarkStart w:id="181" w:name="_格式3__银行出具的资信证明"/>
      <w:r/>
      <w:bookmarkStart w:id="182" w:name="_Hlt26955070"/>
      <w:r/>
      <w:bookmarkEnd w:id="180"/>
      <w:r/>
      <w:bookmarkEnd w:id="181"/>
      <w:r/>
      <w:bookmarkEnd w:id="182"/>
      <w:r>
        <w:rPr>
          <w:rFonts w:hint="eastAsia"/>
          <w:color w:val="000000" w:themeColor="text1"/>
          <w:sz w:val="24"/>
          <w:szCs w:val="24"/>
          <w:u w:val="single"/>
        </w:rPr>
        <w:t xml:space="preserve">                                         </w:t>
      </w:r>
      <w:r/>
    </w:p>
    <w:p>
      <w:pPr>
        <w:pStyle w:val="1143"/>
        <w:ind w:firstLine="629"/>
        <w:spacing w:line="700" w:lineRule="exact"/>
        <w:rPr>
          <w:rFonts w:ascii="方正仿宋_GBK" w:eastAsia="方正仿宋_GBK"/>
          <w:color w:val="000000" w:themeColor="text1"/>
          <w:sz w:val="24"/>
        </w:rPr>
      </w:pPr>
      <w:r>
        <w:rPr>
          <w:rFonts w:ascii="方正仿宋_GBK" w:eastAsia="方正仿宋_GBK"/>
          <w:color w:val="000000" w:themeColor="text1"/>
          <w:sz w:val="24"/>
        </w:rPr>
      </w:r>
      <w:r/>
    </w:p>
    <w:p>
      <w:pPr>
        <w:pStyle w:val="1146"/>
        <w:rPr>
          <w:rFonts w:hint="eastAsia"/>
          <w:color w:val="000000" w:themeColor="text1"/>
        </w:rPr>
        <w:outlineLvl w:val="1"/>
      </w:pPr>
      <w:r>
        <w:rPr>
          <w:color w:val="000000" w:themeColor="text1"/>
        </w:rPr>
        <w:br w:type="page" w:clear="all"/>
      </w:r>
      <w:bookmarkStart w:id="183" w:name="_Toc13550"/>
      <w:r/>
      <w:bookmarkStart w:id="184" w:name="_Toc30543"/>
      <w:r/>
      <w:bookmarkStart w:id="185" w:name="_Toc27199"/>
      <w:r>
        <w:rPr>
          <w:rFonts w:hint="eastAsia"/>
          <w:b w:val="0"/>
          <w:bCs/>
          <w:color w:val="000000" w:themeColor="text1"/>
        </w:rPr>
        <w:t xml:space="preserve">四</w:t>
      </w:r>
      <w:r>
        <w:rPr>
          <w:b w:val="0"/>
          <w:bCs/>
          <w:color w:val="000000" w:themeColor="text1"/>
        </w:rPr>
        <w:t xml:space="preserve">、开标一览表</w:t>
      </w:r>
      <w:bookmarkEnd w:id="183"/>
      <w:r/>
      <w:bookmarkEnd w:id="184"/>
      <w:r/>
      <w:bookmarkEnd w:id="185"/>
      <w:r/>
      <w:r/>
    </w:p>
    <w:p>
      <w:pPr>
        <w:pStyle w:val="1147"/>
        <w:rPr>
          <w:rFonts w:hint="eastAsia" w:ascii="宋体" w:hAnsi="宋体" w:eastAsia="宋体" w:cs="宋体"/>
          <w:color w:val="000000" w:themeColor="text1"/>
        </w:rPr>
      </w:pPr>
      <w:r>
        <w:rPr>
          <w:rFonts w:hint="eastAsia" w:ascii="宋体" w:hAnsi="宋体" w:eastAsia="宋体" w:cs="宋体"/>
          <w:color w:val="000000" w:themeColor="text1"/>
        </w:rPr>
      </w:r>
      <w:r/>
    </w:p>
    <w:p>
      <w:pPr>
        <w:pStyle w:val="1147"/>
        <w:rPr>
          <w:color w:val="000000" w:themeColor="text1"/>
        </w:rPr>
      </w:pPr>
      <w:r>
        <w:rPr>
          <w:rFonts w:hint="eastAsia" w:ascii="宋体" w:hAnsi="宋体" w:eastAsia="宋体" w:cs="宋体"/>
          <w:color w:val="000000" w:themeColor="text1"/>
        </w:rPr>
        <w:t xml:space="preserve">投标人全称（</w:t>
      </w:r>
      <w:r>
        <w:rPr>
          <w:rFonts w:hint="eastAsia"/>
          <w:color w:val="000000" w:themeColor="text1"/>
        </w:rPr>
        <w:t xml:space="preserve">CA</w:t>
      </w:r>
      <w:r>
        <w:rPr>
          <w:rFonts w:hint="eastAsia" w:ascii="宋体" w:hAnsi="宋体" w:eastAsia="宋体" w:cs="宋体"/>
          <w:color w:val="000000" w:themeColor="text1"/>
        </w:rPr>
        <w:t xml:space="preserve">公章）</w:t>
      </w:r>
      <w:r>
        <w:rPr>
          <w:rFonts w:hint="eastAsia"/>
          <w:color w:val="000000" w:themeColor="text1"/>
        </w:rPr>
        <w:t xml:space="preserve"> </w:t>
      </w:r>
      <w:r>
        <w:rPr>
          <w:rFonts w:hint="eastAsia" w:eastAsia="宋体"/>
          <w:color w:val="000000" w:themeColor="text1"/>
        </w:rPr>
        <w:t xml:space="preserve">：</w:t>
      </w:r>
      <w:r>
        <w:rPr>
          <w:rFonts w:hint="eastAsia" w:ascii="宋体" w:hAnsi="宋体" w:eastAsia="宋体" w:cs="宋体"/>
          <w:color w:val="000000" w:themeColor="text1"/>
        </w:rPr>
        <w:t xml:space="preserve">供应商名称</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采购项目名称：</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采购项目编号： </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采购包号：</w:t>
      </w:r>
      <w:r>
        <w:rPr>
          <w:rStyle w:val="1211"/>
          <w:rFonts w:ascii="宋体" w:hAnsi="宋体" w:cs="宋体"/>
          <w:color w:val="000000" w:themeColor="text1"/>
          <w:sz w:val="24"/>
          <w:szCs w:val="24"/>
        </w:rPr>
        <w:t xml:space="preserve">分包号</w:t>
      </w:r>
      <w:r>
        <w:rPr>
          <w:rFonts w:ascii="宋体" w:hAnsi="宋体" w:cs="宋体"/>
          <w:color w:val="000000" w:themeColor="text1"/>
          <w:sz w:val="24"/>
          <w:szCs w:val="24"/>
        </w:rPr>
        <w:t xml:space="preserve"> </w:t>
      </w:r>
      <w:r/>
    </w:p>
    <w:tbl>
      <w:tblPr>
        <w:tblStyle w:val="9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350"/>
      </w:tblGrid>
      <w:tr>
        <w:trPr/>
        <w:tc>
          <w:tcPr>
            <w:tcW w:w="9400" w:type="dxa"/>
            <w:textDirection w:val="lrTb"/>
            <w:noWrap w:val="false"/>
          </w:tcPr>
          <w:p>
            <w:pPr>
              <w:jc w:val="cente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投标总报价</w:t>
            </w:r>
            <w:r/>
          </w:p>
        </w:tc>
      </w:tr>
      <w:tr>
        <w:trPr/>
        <w:tc>
          <w:tcPr>
            <w:tcW w:w="9400" w:type="dxa"/>
            <w:textDirection w:val="lrTb"/>
            <w:noWrap w:val="false"/>
          </w:tcPr>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总价（小写）：          </w:t>
            </w:r>
            <w:r>
              <w:rPr>
                <w:rFonts w:ascii="宋体" w:hAnsi="宋体" w:cs="宋体"/>
                <w:color w:val="000000" w:themeColor="text1"/>
                <w:sz w:val="24"/>
                <w:szCs w:val="24"/>
              </w:rPr>
              <w:t xml:space="preserve">（人民币：元）</w:t>
            </w:r>
            <w:r/>
          </w:p>
        </w:tc>
      </w:tr>
      <w:tr>
        <w:trPr/>
        <w:tc>
          <w:tcPr>
            <w:tcW w:w="9400" w:type="dxa"/>
            <w:textDirection w:val="lrTb"/>
            <w:noWrap w:val="false"/>
          </w:tcPr>
          <w:p>
            <w:pPr>
              <w:spacing w:line="500" w:lineRule="exact"/>
              <w:rPr>
                <w:rFonts w:hint="eastAsia" w:ascii="宋体" w:hAnsi="宋体" w:cs="宋体"/>
                <w:color w:val="000000" w:themeColor="text1"/>
                <w:sz w:val="24"/>
                <w:szCs w:val="24"/>
              </w:rPr>
            </w:pPr>
            <w:r>
              <w:rPr>
                <w:rFonts w:ascii="宋体" w:hAnsi="宋体" w:cs="宋体"/>
                <w:color w:val="000000" w:themeColor="text1"/>
                <w:sz w:val="24"/>
                <w:szCs w:val="24"/>
              </w:rPr>
              <w:t xml:space="preserve">总价（大写）：</w:t>
            </w:r>
            <w:r>
              <w:rPr>
                <w:rStyle w:val="1211"/>
                <w:rFonts w:ascii="宋体" w:hAnsi="宋体" w:cs="宋体"/>
                <w:color w:val="000000" w:themeColor="text1"/>
                <w:sz w:val="24"/>
                <w:szCs w:val="24"/>
              </w:rPr>
              <w:t xml:space="preserve">金额大写</w:t>
            </w:r>
            <w:r>
              <w:rPr>
                <w:rFonts w:ascii="宋体" w:hAnsi="宋体" w:cs="宋体"/>
                <w:color w:val="000000" w:themeColor="text1"/>
                <w:sz w:val="24"/>
                <w:szCs w:val="24"/>
              </w:rPr>
              <w:t xml:space="preserve"> （人民币：元）</w:t>
            </w:r>
            <w:r/>
          </w:p>
        </w:tc>
      </w:tr>
    </w:tbl>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hint="eastAsia" w:ascii="宋体" w:hAnsi="宋体" w:cs="宋体"/>
          <w:color w:val="000000" w:themeColor="text1"/>
          <w:sz w:val="24"/>
        </w:rPr>
      </w:pPr>
      <w:r>
        <w:rPr>
          <w:rFonts w:hint="eastAsia"/>
          <w:color w:val="000000" w:themeColor="text1"/>
        </w:rPr>
        <w:t xml:space="preserve"> </w:t>
      </w:r>
      <w:r>
        <w:rPr>
          <w:color w:val="000000" w:themeColor="text1"/>
        </w:rPr>
        <w:t xml:space="preserve">                   </w:t>
      </w:r>
      <w:r>
        <w:rPr>
          <w:rFonts w:hint="eastAsia"/>
          <w:color w:val="000000" w:themeColor="text1"/>
        </w:rPr>
        <w:t xml:space="preserve">                   </w:t>
      </w:r>
      <w:r>
        <w:rPr>
          <w:color w:val="000000" w:themeColor="text1"/>
        </w:rPr>
        <w:t xml:space="preserve">     </w:t>
      </w:r>
      <w:bookmarkStart w:id="186" w:name="_Toc12113"/>
      <w:r>
        <w:rPr>
          <w:rFonts w:hint="eastAsia" w:ascii="宋体" w:hAnsi="宋体" w:cs="宋体"/>
          <w:color w:val="000000" w:themeColor="text1"/>
          <w:sz w:val="24"/>
        </w:rPr>
        <w:t xml:space="preserve">日期： </w:t>
      </w:r>
      <w:r>
        <w:rPr>
          <w:rFonts w:ascii="宋体" w:hAnsi="宋体" w:cs="宋体"/>
          <w:color w:val="000000" w:themeColor="text1"/>
          <w:sz w:val="24"/>
        </w:rPr>
        <w:t xml:space="preserve">    </w:t>
      </w:r>
      <w:r>
        <w:rPr>
          <w:rFonts w:hint="eastAsia" w:ascii="宋体" w:hAnsi="宋体" w:cs="宋体"/>
          <w:color w:val="000000" w:themeColor="text1"/>
          <w:sz w:val="24"/>
        </w:rPr>
        <w:t xml:space="preserve">年 </w:t>
      </w:r>
      <w:r>
        <w:rPr>
          <w:rFonts w:ascii="宋体" w:hAnsi="宋体" w:cs="宋体"/>
          <w:color w:val="000000" w:themeColor="text1"/>
          <w:sz w:val="24"/>
        </w:rPr>
        <w:t xml:space="preserve">    </w:t>
      </w:r>
      <w:r>
        <w:rPr>
          <w:rFonts w:hint="eastAsia" w:ascii="宋体" w:hAnsi="宋体" w:cs="宋体"/>
          <w:color w:val="000000" w:themeColor="text1"/>
          <w:sz w:val="24"/>
        </w:rPr>
        <w:t xml:space="preserve">月 </w:t>
      </w:r>
      <w:r>
        <w:rPr>
          <w:rFonts w:ascii="宋体" w:hAnsi="宋体" w:cs="宋体"/>
          <w:color w:val="000000" w:themeColor="text1"/>
          <w:sz w:val="24"/>
        </w:rPr>
        <w:t xml:space="preserve">    </w:t>
      </w:r>
      <w:r>
        <w:rPr>
          <w:rFonts w:hint="eastAsia" w:ascii="宋体" w:hAnsi="宋体" w:cs="宋体"/>
          <w:color w:val="000000" w:themeColor="text1"/>
          <w:sz w:val="24"/>
        </w:rPr>
        <w:t xml:space="preserve">日</w:t>
      </w:r>
      <w:bookmarkEnd w:id="186"/>
      <w:r/>
      <w:r/>
    </w:p>
    <w:p>
      <w:pPr>
        <w:pStyle w:val="1149"/>
        <w:rPr>
          <w:rFonts w:hint="eastAsia"/>
          <w:color w:val="000000" w:themeColor="text1"/>
        </w:rPr>
        <w:outlineLvl w:val="1"/>
      </w:pPr>
      <w:r>
        <w:rPr>
          <w:color w:val="000000" w:themeColor="text1"/>
        </w:rPr>
        <w:br w:type="page" w:clear="all"/>
      </w:r>
      <w:bookmarkStart w:id="187" w:name="_Toc956"/>
      <w:r/>
      <w:bookmarkStart w:id="188" w:name="_Toc26543"/>
      <w:r/>
      <w:bookmarkStart w:id="189" w:name="_Toc12614"/>
      <w:r>
        <w:rPr>
          <w:rFonts w:hint="eastAsia"/>
          <w:b w:val="0"/>
          <w:bCs/>
          <w:color w:val="000000" w:themeColor="text1"/>
        </w:rPr>
        <w:t xml:space="preserve">五</w:t>
      </w:r>
      <w:r>
        <w:rPr>
          <w:b w:val="0"/>
          <w:bCs/>
          <w:color w:val="000000" w:themeColor="text1"/>
        </w:rPr>
        <w:t xml:space="preserve">、</w:t>
      </w:r>
      <w:bookmarkEnd w:id="187"/>
      <w:r/>
      <w:bookmarkEnd w:id="188"/>
      <w:r>
        <w:rPr>
          <w:rFonts w:hint="eastAsia"/>
          <w:b w:val="0"/>
          <w:bCs/>
          <w:color w:val="000000" w:themeColor="text1"/>
        </w:rPr>
        <w:t xml:space="preserve">分项报价表</w:t>
      </w:r>
      <w:bookmarkEnd w:id="189"/>
      <w:r/>
      <w:r/>
    </w:p>
    <w:p>
      <w:pPr>
        <w:ind w:firstLine="480"/>
        <w:rPr>
          <w:rFonts w:ascii="Times New Roman" w:hAnsi="Times New Roman"/>
          <w:b/>
          <w:color w:val="000000" w:themeColor="text1"/>
          <w:sz w:val="32"/>
          <w:szCs w:val="32"/>
        </w:rPr>
      </w:pPr>
      <w:r>
        <w:rPr>
          <w:rFonts w:ascii="Times New Roman" w:hAnsi="Times New Roman"/>
          <w:b/>
          <w:color w:val="000000" w:themeColor="text1"/>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798" w:type="dxa"/>
            <w:textDirection w:val="lrTb"/>
            <w:noWrap w:val="false"/>
          </w:tcPr>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bl>
    <w:p>
      <w:pPr>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备注：</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 </w:t>
      </w:r>
      <w:r>
        <w:rPr>
          <w:rFonts w:hint="eastAsia" w:ascii="Times New Roman" w:hAnsi="Times New Roman"/>
          <w:color w:val="000000" w:themeColor="text1"/>
          <w:sz w:val="24"/>
          <w:szCs w:val="24"/>
        </w:rPr>
        <w:t xml:space="preserve">“投标分项报价表”中“投标总报价”数额应当与“开标一览表”中“投标总报价”数额一致。</w:t>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分项报价表</w:t>
      </w:r>
      <w:r/>
    </w:p>
    <w:p>
      <w:pPr>
        <w:pStyle w:val="1141"/>
        <w:jc w:val="center"/>
        <w:rPr>
          <w:b/>
          <w:bCs/>
          <w:color w:val="000000" w:themeColor="text1"/>
        </w:rPr>
      </w:pPr>
      <w:r>
        <w:rPr>
          <w:rFonts w:hint="eastAsia" w:ascii="方正小标宋_GBK" w:eastAsia="方正小标宋_GBK"/>
          <w:bCs/>
          <w:color w:val="000000" w:themeColor="text1"/>
          <w:sz w:val="32"/>
          <w:szCs w:val="32"/>
        </w:rPr>
        <w:t xml:space="preserve">（货物类）</w:t>
      </w:r>
      <w:r/>
    </w:p>
    <w:tbl>
      <w:tblPr>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名称</w:t>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w:t>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规格</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型号</w:t>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制造商名称</w:t>
            </w:r>
            <w:r/>
          </w:p>
        </w:tc>
        <w:tc>
          <w:tcPr>
            <w:tcW w:w="116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产地</w:t>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8"/>
                <w:szCs w:val="28"/>
              </w:rPr>
              <w:t xml:space="preserve">单位</w:t>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68"/>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u w:val="single"/>
              </w:rPr>
            </w:pPr>
            <w:r>
              <w:rPr>
                <w:rFonts w:hint="eastAsia" w:ascii="宋体" w:hAnsi="宋体"/>
                <w:color w:val="000000" w:themeColor="text1"/>
                <w:sz w:val="24"/>
                <w:szCs w:val="24"/>
                <w:u w:val="single"/>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95"/>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15"/>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0"/>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0"/>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1438"/>
        </w:trPr>
        <w:tc>
          <w:tcPr>
            <w:gridSpan w:val="3"/>
            <w:tcW w:w="2233" w:type="dxa"/>
            <w:vAlign w:val="center"/>
            <w:textDirection w:val="lrTb"/>
            <w:noWrap w:val="false"/>
          </w:tcPr>
          <w:p>
            <w:pPr>
              <w:pStyle w:val="1237"/>
              <w:jc w:val="center"/>
              <w:spacing w:line="500" w:lineRule="exact"/>
              <w:rPr>
                <w:rFonts w:hint="eastAsia" w:ascii="宋体" w:hAnsi="宋体"/>
                <w:b/>
                <w:bCs/>
                <w:color w:val="000000" w:themeColor="text1"/>
                <w:sz w:val="24"/>
              </w:rPr>
            </w:pPr>
            <w:r>
              <w:rPr>
                <w:rFonts w:hint="eastAsia" w:ascii="宋体" w:hAnsi="宋体"/>
                <w:b/>
                <w:bCs/>
                <w:color w:val="000000" w:themeColor="text1"/>
                <w:sz w:val="28"/>
                <w:szCs w:val="28"/>
              </w:rPr>
              <w:t xml:space="preserve">投标总报价</w:t>
            </w:r>
            <w:r/>
          </w:p>
        </w:tc>
        <w:tc>
          <w:tcPr>
            <w:tcW w:w="880" w:type="dxa"/>
            <w:vAlign w:val="center"/>
            <w:textDirection w:val="lrTb"/>
            <w:noWrap w:val="false"/>
          </w:tcPr>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r>
            <w:r/>
          </w:p>
        </w:tc>
        <w:tc>
          <w:tcPr>
            <w:gridSpan w:val="7"/>
            <w:tcW w:w="6523" w:type="dxa"/>
            <w:vAlign w:val="center"/>
            <w:textDirection w:val="lrTb"/>
            <w:noWrap w:val="false"/>
          </w:tcPr>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人民币（大写）：</w:t>
            </w:r>
            <w:r>
              <w:rPr>
                <w:rFonts w:hint="eastAsia" w:ascii="宋体" w:hAnsi="宋体"/>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仟     </w:t>
            </w:r>
            <w:r>
              <w:rPr>
                <w:rFonts w:hint="eastAsia" w:ascii="宋体" w:hAnsi="宋体"/>
                <w:bCs/>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 万</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仟</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元</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角</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分</w:t>
            </w:r>
            <w:r/>
          </w:p>
        </w:tc>
      </w:tr>
    </w:tbl>
    <w:p>
      <w:pPr>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备注：“投标总报价”数额应当与“开标一览表”中“投标总报价”数额一致。</w:t>
      </w:r>
      <w:r/>
    </w:p>
    <w:p>
      <w:pPr>
        <w:spacing w:line="480" w:lineRule="exact"/>
        <w:rPr>
          <w:color w:val="000000" w:themeColor="text1"/>
        </w:rPr>
      </w:pPr>
      <w:r>
        <w:rPr>
          <w:color w:val="000000" w:themeColor="text1"/>
        </w:rPr>
      </w:r>
      <w:r/>
    </w:p>
    <w:p>
      <w:pPr>
        <w:pStyle w:val="1141"/>
        <w:jc w:val="center"/>
        <w:rPr>
          <w:color w:val="000000" w:themeColor="text1"/>
        </w:rPr>
      </w:pPr>
      <w:r>
        <w:rPr>
          <w:rFonts w:ascii="Times New Roman" w:hAnsi="Times New Roman" w:cs="宋体"/>
          <w:b/>
          <w:bCs/>
          <w:strike/>
          <w:color w:val="000000" w:themeColor="text1"/>
          <w:sz w:val="32"/>
          <w:szCs w:val="32"/>
        </w:rPr>
        <w:br w:type="page" w:clear="all"/>
      </w:r>
      <w:bookmarkStart w:id="190" w:name="_Toc17418"/>
      <w:r/>
      <w:r/>
    </w:p>
    <w:p>
      <w:pPr>
        <w:pStyle w:val="1175"/>
        <w:rPr>
          <w:rFonts w:hint="eastAsia"/>
          <w:b w:val="0"/>
          <w:bCs/>
          <w:color w:val="000000" w:themeColor="text1"/>
        </w:rPr>
        <w:outlineLvl w:val="1"/>
      </w:pPr>
      <w:r/>
      <w:bookmarkStart w:id="191" w:name="_Toc2747"/>
      <w:r/>
      <w:bookmarkStart w:id="192" w:name="_Toc21129"/>
      <w:r>
        <w:rPr>
          <w:rFonts w:hint="eastAsia"/>
          <w:b w:val="0"/>
          <w:bCs/>
          <w:color w:val="000000" w:themeColor="text1"/>
        </w:rPr>
        <w:t xml:space="preserve">六、中小企业或残疾人福利性单位声明函</w:t>
      </w:r>
      <w:bookmarkEnd w:id="190"/>
      <w:r/>
      <w:bookmarkEnd w:id="191"/>
      <w:r/>
      <w:bookmarkEnd w:id="192"/>
      <w:r/>
      <w:r/>
    </w:p>
    <w:p>
      <w:pPr>
        <w:pStyle w:val="1141"/>
        <w:jc w:val="center"/>
        <w:rPr>
          <w:rFonts w:ascii="方正小标宋_GBK" w:eastAsia="方正小标宋_GBK"/>
          <w:bCs/>
          <w:color w:val="000000" w:themeColor="text1"/>
          <w:sz w:val="32"/>
          <w:szCs w:val="32"/>
        </w:rPr>
      </w:pPr>
      <w:r>
        <w:rPr>
          <w:rFonts w:ascii="方正小标宋_GBK" w:eastAsia="方正小标宋_GBK"/>
          <w:bCs/>
          <w:color w:val="000000" w:themeColor="text1"/>
          <w:sz w:val="32"/>
          <w:szCs w:val="32"/>
        </w:rPr>
      </w:r>
      <w:r/>
    </w:p>
    <w:p>
      <w:pPr>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中小微企业声明函</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本公司（联合体）郑重声明，根据《政府采购促进中小企业发展管理办法》</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财库〔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46</w:t>
      </w:r>
      <w:r>
        <w:rPr>
          <w:rFonts w:hint="eastAsia" w:ascii="Times New Roman" w:hAnsi="Times New Roman"/>
          <w:color w:val="000000" w:themeColor="text1"/>
          <w:sz w:val="24"/>
          <w:szCs w:val="24"/>
        </w:rPr>
        <w:t xml:space="preserve">号</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的规定，本公司（联合体）参加江苏省政府采购代理机构组织的（单位名称）采购编号为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，（项目名称）（分包号：</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color w:val="000000" w:themeColor="text1"/>
          <w:sz w:val="24"/>
          <w:szCs w:val="24"/>
          <w:u w:val="single"/>
        </w:rPr>
      </w:pP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u w:val="single"/>
        </w:rPr>
        <w:t xml:space="preserve">（标的名称）</w:t>
      </w:r>
      <w:r>
        <w:rPr>
          <w:rFonts w:hint="eastAsia" w:ascii="Times New Roman" w:hAnsi="Times New Roman"/>
          <w:i/>
          <w:color w:val="000000" w:themeColor="text1"/>
          <w:sz w:val="24"/>
          <w:szCs w:val="24"/>
        </w:rPr>
        <w:t xml:space="preserve">，</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（投标人填写招标文件中明确的所属行业）</w:t>
      </w:r>
      <w:r>
        <w:rPr>
          <w:rFonts w:hint="eastAsia" w:ascii="Times New Roman" w:hAnsi="Times New Roman"/>
          <w:color w:val="000000" w:themeColor="text1"/>
          <w:sz w:val="24"/>
          <w:szCs w:val="24"/>
        </w:rPr>
        <w:t xml:space="preserve">行业；投标产品制造商为</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rPr>
        <w:t xml:space="preserve">，从业人员</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人，营业收入为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万元，资产总额为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万元，属于</w:t>
      </w:r>
      <w:r>
        <w:rPr>
          <w:rFonts w:hint="eastAsia" w:ascii="Times New Roman" w:hAnsi="Times New Roman"/>
          <w:color w:val="000000" w:themeColor="text1"/>
          <w:sz w:val="24"/>
          <w:szCs w:val="24"/>
          <w:u w:val="single"/>
        </w:rPr>
        <w:t xml:space="preserve">（□中型企业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□小型企业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□微型企业）；</w:t>
      </w:r>
      <w:r/>
    </w:p>
    <w:p>
      <w:pPr>
        <w:ind w:firstLine="480"/>
        <w:spacing w:line="480" w:lineRule="exact"/>
        <w:rPr>
          <w:rFonts w:ascii="Times New Roman" w:hAnsi="Times New Roman"/>
          <w:i/>
          <w:color w:val="000000" w:themeColor="text1"/>
          <w:sz w:val="24"/>
          <w:szCs w:val="24"/>
          <w:u w:val="single"/>
        </w:rPr>
      </w:pP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u w:val="single"/>
        </w:rPr>
        <w:t xml:space="preserve">（标的名称）</w:t>
      </w:r>
      <w:r>
        <w:rPr>
          <w:rFonts w:hint="eastAsia" w:ascii="Times New Roman" w:hAnsi="Times New Roman"/>
          <w:i/>
          <w:color w:val="000000" w:themeColor="text1"/>
          <w:sz w:val="24"/>
          <w:szCs w:val="24"/>
        </w:rPr>
        <w:t xml:space="preserve">，</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（投标人填写招标文件中明确的所属行业）</w:t>
      </w:r>
      <w:r>
        <w:rPr>
          <w:rFonts w:hint="eastAsia" w:ascii="Times New Roman" w:hAnsi="Times New Roman"/>
          <w:color w:val="000000" w:themeColor="text1"/>
          <w:sz w:val="24"/>
          <w:szCs w:val="24"/>
        </w:rPr>
        <w:t xml:space="preserve">行业；投标产品制造商为</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rPr>
        <w:t xml:space="preserve">，从业人员</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人，营业收入为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万元，资产总额为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万元，属于</w:t>
      </w:r>
      <w:r>
        <w:rPr>
          <w:rFonts w:hint="eastAsia" w:ascii="Times New Roman" w:hAnsi="Times New Roman"/>
          <w:color w:val="000000" w:themeColor="text1"/>
          <w:sz w:val="24"/>
          <w:szCs w:val="24"/>
          <w:u w:val="single"/>
        </w:rPr>
        <w:t xml:space="preserve">（□中型企业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□小型企业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□微型企业）；</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本企业对上述声明内容的真实性负责。如有虚假，将依法承担相应责任。</w:t>
      </w:r>
      <w:r/>
    </w:p>
    <w:p>
      <w:pPr>
        <w:ind w:right="720"/>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right="180" w:firstLine="360"/>
        <w:jc w:val="right"/>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180" w:firstLine="360"/>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                       日  期：</w:t>
      </w: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备注：</w:t>
      </w:r>
      <w:r>
        <w:rPr>
          <w:rFonts w:ascii="Times New Roman" w:hAnsi="Times New Roman"/>
          <w:color w:val="000000" w:themeColor="text1"/>
          <w:sz w:val="24"/>
          <w:szCs w:val="24"/>
        </w:rPr>
        <w:t xml:space="preserve">1.</w:t>
      </w:r>
      <w:r>
        <w:rPr>
          <w:rFonts w:ascii="Times New Roman" w:hAnsi="Times New Roman"/>
          <w:color w:val="000000" w:themeColor="text1"/>
          <w:sz w:val="24"/>
          <w:szCs w:val="24"/>
        </w:rPr>
        <w:t xml:space="preserve">从业人员、营业收入、资产总额填报上一年度数据，无上一年度数据的新成立企业可不填报。</w:t>
      </w:r>
      <w:r/>
    </w:p>
    <w:p>
      <w:pPr>
        <w:ind w:firstLine="480"/>
        <w:jc w:val="left"/>
        <w:spacing w:line="400" w:lineRule="exact"/>
        <w:rPr>
          <w:rFonts w:hint="eastAsia" w:ascii="宋体" w:hAnsi="宋体"/>
          <w:color w:val="000000" w:themeColor="text1"/>
          <w:sz w:val="24"/>
          <w:szCs w:val="24"/>
        </w:rPr>
      </w:pPr>
      <w:r>
        <w:rPr>
          <w:rFonts w:ascii="Times New Roman" w:hAnsi="Times New Roman"/>
          <w:color w:val="000000" w:themeColor="text1"/>
          <w:sz w:val="24"/>
          <w:szCs w:val="24"/>
        </w:rPr>
        <w:t xml:space="preserve">2.</w:t>
      </w:r>
      <w:r>
        <w:rPr>
          <w:rFonts w:ascii="Times New Roman" w:hAnsi="Times New Roman"/>
          <w:color w:val="000000" w:themeColor="text1"/>
          <w:sz w:val="24"/>
          <w:szCs w:val="24"/>
        </w:rPr>
        <w:t xml:space="preserve">对照《工业和信息化部、国家统计局、国家发展和改革委员会、财政部关于印发中小企业划型标准规定的通知》</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工信部联企业</w:t>
      </w:r>
      <w:r>
        <w:rPr>
          <w:rFonts w:ascii="Times New Roman" w:hAnsi="Times New Roman"/>
          <w:color w:val="000000" w:themeColor="text1"/>
          <w:sz w:val="24"/>
          <w:szCs w:val="24"/>
        </w:rPr>
        <w:t xml:space="preserve">[2011]300</w:t>
      </w:r>
      <w:r>
        <w:rPr>
          <w:rFonts w:ascii="Times New Roman" w:hAnsi="Times New Roman"/>
          <w:color w:val="000000" w:themeColor="text1"/>
          <w:sz w:val="24"/>
          <w:szCs w:val="24"/>
        </w:rPr>
        <w:t xml:space="preserve">号</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的规定，</w:t>
      </w:r>
      <w:r>
        <w:rPr>
          <w:rFonts w:hint="eastAsia" w:ascii="Times New Roman" w:hAnsi="Times New Roman"/>
          <w:color w:val="000000" w:themeColor="text1"/>
          <w:sz w:val="24"/>
          <w:szCs w:val="24"/>
        </w:rPr>
        <w:t xml:space="preserve">投标人</w:t>
      </w:r>
      <w:r>
        <w:rPr>
          <w:rFonts w:ascii="Times New Roman" w:hAnsi="Times New Roman"/>
          <w:color w:val="000000" w:themeColor="text1"/>
          <w:sz w:val="24"/>
          <w:szCs w:val="24"/>
        </w:rPr>
        <w:t xml:space="preserve">自行勾选制造商的企业规模类型。</w:t>
      </w:r>
      <w:r/>
    </w:p>
    <w:p>
      <w:pPr>
        <w:pStyle w:val="1141"/>
        <w:jc w:val="center"/>
        <w:rPr>
          <w:rFonts w:ascii="方正小标宋_GBK" w:eastAsia="方正小标宋_GBK"/>
          <w:bCs/>
          <w:color w:val="000000" w:themeColor="text1"/>
          <w:sz w:val="32"/>
          <w:szCs w:val="32"/>
        </w:rPr>
      </w:pPr>
      <w:r>
        <w:rPr>
          <w:rFonts w:ascii="宋体" w:hAnsi="宋体"/>
          <w:color w:val="000000" w:themeColor="text1"/>
          <w:sz w:val="24"/>
          <w:szCs w:val="24"/>
        </w:rPr>
        <w:br w:type="page" w:clear="all"/>
      </w:r>
      <w:r>
        <w:rPr>
          <w:rFonts w:hint="eastAsia" w:ascii="方正小标宋_GBK" w:eastAsia="方正小标宋_GBK"/>
          <w:bCs/>
          <w:color w:val="000000" w:themeColor="text1"/>
          <w:sz w:val="32"/>
          <w:szCs w:val="32"/>
        </w:rPr>
        <w:t xml:space="preserve">残疾人福利性单位声明函</w:t>
      </w:r>
      <w:r/>
    </w:p>
    <w:p>
      <w:pPr>
        <w:pStyle w:val="1159"/>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pStyle w:val="1158"/>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本单位郑重声明，根据《财政部</w:t>
      </w:r>
      <w:r>
        <w:rPr>
          <w:rFonts w:hint="eastAsia" w:ascii="Times New Roman" w:hAnsi="Times New Roman"/>
          <w:color w:val="000000" w:themeColor="text1"/>
          <w:sz w:val="24"/>
        </w:rPr>
        <w:t xml:space="preserve"> </w:t>
      </w:r>
      <w:r>
        <w:rPr>
          <w:rFonts w:hint="eastAsia" w:ascii="Times New Roman" w:hAnsi="Times New Roman"/>
          <w:color w:val="000000" w:themeColor="text1"/>
          <w:sz w:val="24"/>
        </w:rPr>
        <w:t xml:space="preserve">民政部</w:t>
      </w:r>
      <w:r>
        <w:rPr>
          <w:rFonts w:hint="eastAsia" w:ascii="Times New Roman" w:hAnsi="Times New Roman"/>
          <w:color w:val="000000" w:themeColor="text1"/>
          <w:sz w:val="24"/>
        </w:rPr>
        <w:t xml:space="preserve"> </w:t>
      </w:r>
      <w:r>
        <w:rPr>
          <w:rFonts w:hint="eastAsia" w:ascii="Times New Roman" w:hAnsi="Times New Roman"/>
          <w:color w:val="000000" w:themeColor="text1"/>
          <w:sz w:val="24"/>
        </w:rPr>
        <w:t xml:space="preserve">中国残疾人联合会关于促进残疾人就业政府采购政策的通知》（财库〔</w:t>
      </w:r>
      <w:r>
        <w:rPr>
          <w:rFonts w:ascii="Times New Roman" w:hAnsi="Times New Roman"/>
          <w:color w:val="000000" w:themeColor="text1"/>
          <w:sz w:val="24"/>
        </w:rPr>
        <w:t xml:space="preserve">2017</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141</w:t>
      </w:r>
      <w:r>
        <w:rPr>
          <w:rFonts w:hint="eastAsia" w:ascii="Times New Roman" w:hAnsi="Times New Roman"/>
          <w:color w:val="000000" w:themeColor="text1"/>
          <w:sz w:val="24"/>
        </w:rPr>
        <w:t xml:space="preserve">号）的规定，本单位为符合条件的残疾人福利性单位，且本单位参加</w:t>
      </w:r>
      <w:r>
        <w:rPr>
          <w:rFonts w:hint="eastAsia" w:ascii="Times New Roman" w:hAnsi="Times New Roman"/>
          <w:color w:val="000000" w:themeColor="text1"/>
          <w:sz w:val="24"/>
          <w:u w:val="single"/>
        </w:rPr>
        <w:t xml:space="preserve">（</w:t>
      </w:r>
      <w:r>
        <w:rPr>
          <w:rFonts w:hint="eastAsia" w:ascii="Times New Roman" w:hAnsi="Times New Roman"/>
          <w:color w:val="000000" w:themeColor="text1"/>
          <w:sz w:val="24"/>
          <w:szCs w:val="24"/>
          <w:u w:val="single"/>
        </w:rPr>
        <w:t xml:space="preserve">单位名称）</w:t>
      </w:r>
      <w:r>
        <w:rPr>
          <w:rFonts w:hint="eastAsia" w:ascii="Times New Roman" w:hAnsi="Times New Roman"/>
          <w:color w:val="000000" w:themeColor="text1"/>
          <w:sz w:val="24"/>
        </w:rPr>
        <w:t xml:space="preserve">的</w:t>
      </w:r>
      <w:r>
        <w:rPr>
          <w:rFonts w:hint="eastAsia" w:ascii="Times New Roman" w:hAnsi="Times New Roman"/>
          <w:color w:val="000000" w:themeColor="text1"/>
          <w:sz w:val="24"/>
          <w:u w:val="single"/>
        </w:rPr>
        <w:t xml:space="preserve">（项目名称）</w:t>
      </w:r>
      <w:r>
        <w:rPr>
          <w:rFonts w:hint="eastAsia" w:ascii="Times New Roman" w:hAnsi="Times New Roman"/>
          <w:color w:val="000000" w:themeColor="text1"/>
          <w:sz w:val="24"/>
          <w:u w:val="single"/>
        </w:rPr>
        <w:t xml:space="preserve"> </w:t>
      </w:r>
      <w:r>
        <w:rPr>
          <w:rFonts w:hint="eastAsia" w:ascii="Times New Roman" w:hAnsi="Times New Roman"/>
          <w:color w:val="000000" w:themeColor="text1"/>
          <w:sz w:val="24"/>
        </w:rPr>
        <w:t xml:space="preserve">采购活动提供本单位制造的货物（由本单位承担工程</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提供服务），或者提供其他残疾人福利性单位制造的货物（不包括使用非残疾人福利性单位注册商标的货物）。</w:t>
      </w:r>
      <w:r/>
    </w:p>
    <w:p>
      <w:pPr>
        <w:pStyle w:val="1158"/>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本单位对上述声明的真实性负责。如有虚假，将依法承担相应责任。</w:t>
      </w:r>
      <w:r/>
    </w:p>
    <w:p>
      <w:pPr>
        <w:pStyle w:val="1160"/>
        <w:ind w:firstLine="3810"/>
        <w:spacing w:line="500" w:lineRule="exact"/>
        <w:rPr>
          <w:color w:val="000000" w:themeColor="text1"/>
          <w:spacing w:val="6"/>
          <w:sz w:val="24"/>
          <w:szCs w:val="24"/>
        </w:rPr>
      </w:pPr>
      <w:r>
        <w:rPr>
          <w:color w:val="000000" w:themeColor="text1"/>
          <w:spacing w:val="6"/>
          <w:sz w:val="24"/>
          <w:szCs w:val="24"/>
        </w:rPr>
      </w:r>
      <w:r/>
    </w:p>
    <w:p>
      <w:pPr>
        <w:pStyle w:val="1160"/>
        <w:ind w:firstLine="3629"/>
        <w:jc w:val="left"/>
        <w:spacing w:line="500" w:lineRule="exact"/>
        <w:rPr>
          <w:color w:val="000000" w:themeColor="text1"/>
          <w:sz w:val="24"/>
        </w:rPr>
      </w:pPr>
      <w:r>
        <w:rPr>
          <w:color w:val="000000" w:themeColor="text1"/>
          <w:sz w:val="24"/>
        </w:rPr>
      </w:r>
      <w:r/>
    </w:p>
    <w:p>
      <w:pPr>
        <w:pStyle w:val="1160"/>
        <w:ind w:firstLine="480"/>
        <w:jc w:val="left"/>
        <w:spacing w:line="500" w:lineRule="exact"/>
        <w:rPr>
          <w:color w:val="000000" w:themeColor="text1"/>
          <w:sz w:val="24"/>
        </w:rPr>
      </w:pPr>
      <w:r>
        <w:rPr>
          <w:rFonts w:hint="eastAsia"/>
          <w:color w:val="000000" w:themeColor="text1"/>
          <w:sz w:val="24"/>
        </w:rPr>
        <w:t xml:space="preserve">单位名称：</w:t>
      </w:r>
      <w:r>
        <w:rPr>
          <w:rFonts w:hint="eastAsia"/>
          <w:color w:val="000000" w:themeColor="text1"/>
          <w:sz w:val="24"/>
          <w:u w:val="single"/>
        </w:rPr>
        <w:t xml:space="preserve">              </w:t>
      </w:r>
      <w:r>
        <w:rPr>
          <w:rFonts w:hint="eastAsia"/>
          <w:color w:val="000000" w:themeColor="text1"/>
          <w:sz w:val="24"/>
        </w:rPr>
        <w:t xml:space="preserve">（</w:t>
      </w:r>
      <w:r>
        <w:rPr>
          <w:rFonts w:hint="eastAsia"/>
          <w:color w:val="000000" w:themeColor="text1"/>
          <w:sz w:val="24"/>
          <w:szCs w:val="24"/>
        </w:rPr>
        <w:t xml:space="preserve">盖</w:t>
      </w:r>
      <w:r>
        <w:rPr>
          <w:rFonts w:hint="eastAsia"/>
          <w:color w:val="000000" w:themeColor="text1"/>
          <w:sz w:val="24"/>
          <w:szCs w:val="24"/>
        </w:rPr>
        <w:t xml:space="preserve">CA</w:t>
      </w:r>
      <w:r>
        <w:rPr>
          <w:rFonts w:hint="eastAsia"/>
          <w:color w:val="000000" w:themeColor="text1"/>
          <w:sz w:val="24"/>
          <w:szCs w:val="24"/>
        </w:rPr>
        <w:t xml:space="preserve">电子公章</w:t>
      </w:r>
      <w:r>
        <w:rPr>
          <w:rFonts w:hint="eastAsia"/>
          <w:color w:val="000000" w:themeColor="text1"/>
          <w:sz w:val="24"/>
        </w:rPr>
        <w:t xml:space="preserve">）</w:t>
      </w:r>
      <w:r/>
    </w:p>
    <w:p>
      <w:pPr>
        <w:pStyle w:val="1157"/>
        <w:ind w:firstLine="480"/>
        <w:jc w:val="left"/>
        <w:spacing w:line="500" w:lineRule="exact"/>
        <w:rPr>
          <w:rFonts w:ascii="Times New Roman" w:hAnsi="Times New Roman"/>
          <w:color w:val="000000" w:themeColor="text1"/>
          <w:sz w:val="24"/>
          <w:szCs w:val="20"/>
        </w:rPr>
      </w:pPr>
      <w:r>
        <w:rPr>
          <w:rFonts w:hint="eastAsia" w:ascii="Times New Roman" w:hAnsi="Times New Roman"/>
          <w:color w:val="000000" w:themeColor="text1"/>
          <w:sz w:val="24"/>
          <w:szCs w:val="20"/>
        </w:rPr>
        <w:t xml:space="preserve">日期：</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年</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月</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日</w:t>
      </w:r>
      <w:r/>
    </w:p>
    <w:p>
      <w:pPr>
        <w:pStyle w:val="1159"/>
        <w:ind w:right="1560" w:firstLine="480"/>
        <w:jc w:val="center"/>
        <w:spacing w:line="588" w:lineRule="exact"/>
        <w:tabs>
          <w:tab w:val="left" w:pos="4860" w:leader="none"/>
        </w:tabs>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pStyle w:val="1161"/>
        <w:ind w:left="357" w:firstLine="0"/>
        <w:spacing w:line="500" w:lineRule="exact"/>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备注：</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非残疾人福利性单位不需提供此函。</w:t>
      </w:r>
      <w:r/>
    </w:p>
    <w:p>
      <w:pPr>
        <w:pStyle w:val="1158"/>
        <w:ind w:firstLine="442"/>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符合报价折扣情形的请将此函填报上传至“企业报价折扣证明”一栏中。</w:t>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847"/>
        <w:spacing w:before="0" w:after="0" w:line="520" w:lineRule="exact"/>
        <w:rPr>
          <w:rFonts w:hint="eastAsia" w:ascii="宋体" w:hAnsi="宋体" w:eastAsia="宋体" w:cs="宋体"/>
          <w:bCs/>
          <w:color w:val="000000" w:themeColor="text1"/>
          <w:szCs w:val="32"/>
        </w:rPr>
      </w:pPr>
      <w:r>
        <w:rPr>
          <w:rFonts w:hint="eastAsia" w:ascii="宋体" w:hAnsi="宋体" w:eastAsia="宋体" w:cs="宋体"/>
          <w:bCs/>
          <w:color w:val="000000" w:themeColor="text1"/>
          <w:szCs w:val="32"/>
        </w:rPr>
        <w:t xml:space="preserve">七、技术响应偏离表（技术参数响应）</w:t>
      </w:r>
      <w:r/>
    </w:p>
    <w:tbl>
      <w:tblPr>
        <w:tblW w:w="0" w:type="auto"/>
        <w:tblInd w:w="-225" w:type="dxa"/>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themeColor="text1"/>
              </w:rPr>
            </w:pPr>
            <w:r>
              <w:rPr>
                <w:rFonts w:hint="eastAsia" w:ascii="宋体" w:hAnsi="宋体" w:cs="仿宋"/>
                <w:color w:val="000000" w:themeColor="text1"/>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color w:val="000000" w:themeColor="text1"/>
              </w:rPr>
            </w:pPr>
            <w:r>
              <w:rPr>
                <w:rFonts w:hint="eastAsia" w:ascii="宋体" w:hAnsi="宋体" w:cs="仿宋"/>
                <w:color w:val="000000" w:themeColor="text1"/>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color w:val="000000" w:themeColor="text1"/>
                <w:sz w:val="28"/>
              </w:rPr>
            </w:pPr>
            <w:r>
              <w:rPr>
                <w:rFonts w:hint="eastAsia" w:ascii="宋体" w:hAnsi="宋体" w:cs="仿宋"/>
                <w:color w:val="000000" w:themeColor="text1"/>
                <w:sz w:val="28"/>
              </w:rPr>
              <w:t xml:space="preserve">偏离情况</w:t>
            </w:r>
            <w:r/>
          </w:p>
          <w:p>
            <w:pPr>
              <w:jc w:val="center"/>
              <w:spacing w:before="100" w:line="400" w:lineRule="exact"/>
              <w:rPr>
                <w:rFonts w:hint="eastAsia" w:ascii="宋体" w:hAnsi="宋体" w:cs="仿宋"/>
                <w:color w:val="000000" w:themeColor="text1"/>
                <w:sz w:val="28"/>
              </w:rPr>
            </w:pPr>
            <w:r>
              <w:rPr>
                <w:rFonts w:hint="eastAsia" w:ascii="宋体" w:hAnsi="宋体" w:cs="仿宋"/>
                <w:color w:val="000000" w:themeColor="text1"/>
                <w:sz w:val="28"/>
              </w:rPr>
              <w:t xml:space="preserve">（</w:t>
            </w:r>
            <w:r>
              <w:rPr>
                <w:rFonts w:ascii="宋体" w:hAnsi="宋体" w:cs="仿宋"/>
                <w:b/>
                <w:color w:val="000000" w:themeColor="text1"/>
                <w:sz w:val="24"/>
              </w:rPr>
              <w:t xml:space="preserve">正偏离、负偏离、无偏离</w:t>
            </w:r>
            <w:r>
              <w:rPr>
                <w:rFonts w:hint="eastAsia" w:ascii="宋体" w:hAnsi="宋体" w:cs="仿宋"/>
                <w:color w:val="000000" w:themeColor="text1"/>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themeColor="text1"/>
                <w:sz w:val="28"/>
                <w:szCs w:val="28"/>
              </w:rPr>
            </w:pPr>
            <w:r>
              <w:rPr>
                <w:rFonts w:hint="eastAsia" w:ascii="宋体" w:hAnsi="宋体" w:cs="仿宋"/>
                <w:color w:val="000000" w:themeColor="text1"/>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bl>
    <w:p>
      <w:pPr>
        <w:jc w:val="right"/>
        <w:spacing w:line="559" w:lineRule="atLeast"/>
        <w:rPr>
          <w:rFonts w:hint="eastAsia" w:ascii="宋体" w:hAnsi="宋体" w:cs="仿宋"/>
          <w:color w:val="000000" w:themeColor="text1"/>
        </w:rPr>
      </w:pPr>
      <w:r>
        <w:rPr>
          <w:rFonts w:hint="eastAsia" w:ascii="宋体" w:hAnsi="宋体" w:cs="仿宋"/>
          <w:color w:val="000000" w:themeColor="text1"/>
          <w:sz w:val="24"/>
        </w:rPr>
        <w:t xml:space="preserve">单位名称：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w:t>
      </w:r>
      <w:r>
        <w:rPr>
          <w:rFonts w:ascii="宋体" w:hAnsi="宋体" w:cs="仿宋"/>
          <w:color w:val="000000" w:themeColor="text1"/>
          <w:sz w:val="24"/>
        </w:rPr>
        <w:t xml:space="preserve">盖</w:t>
      </w:r>
      <w:r>
        <w:rPr>
          <w:rFonts w:hint="eastAsia" w:ascii="宋体" w:hAnsi="宋体" w:cs="仿宋"/>
          <w:color w:val="000000" w:themeColor="text1"/>
          <w:sz w:val="24"/>
        </w:rPr>
        <w:t xml:space="preserve">CA</w:t>
      </w:r>
      <w:r>
        <w:rPr>
          <w:rFonts w:ascii="宋体" w:hAnsi="宋体" w:cs="仿宋"/>
          <w:color w:val="000000" w:themeColor="text1"/>
          <w:sz w:val="24"/>
        </w:rPr>
        <w:t xml:space="preserve">电子公章）</w:t>
      </w:r>
      <w:r/>
    </w:p>
    <w:p>
      <w:pPr>
        <w:pStyle w:val="919"/>
        <w:ind w:firstLine="482"/>
        <w:jc w:val="both"/>
        <w:spacing w:before="0" w:beforeAutospacing="0" w:after="0" w:afterAutospacing="0" w:line="400" w:lineRule="exact"/>
        <w:widowControl w:val="off"/>
        <w:rPr>
          <w:rFonts w:hint="eastAsia" w:cs="仿宋"/>
          <w:b/>
          <w:bCs/>
          <w:color w:val="000000" w:themeColor="text1"/>
          <w:szCs w:val="28"/>
        </w:rPr>
      </w:pPr>
      <w:r>
        <w:rPr>
          <w:rFonts w:hint="eastAsia" w:cs="仿宋"/>
          <w:b/>
          <w:bCs/>
          <w:color w:val="000000" w:themeColor="text1"/>
          <w:szCs w:val="28"/>
        </w:rPr>
      </w:r>
      <w:r/>
    </w:p>
    <w:p>
      <w:pPr>
        <w:pStyle w:val="919"/>
        <w:ind w:firstLine="482"/>
        <w:jc w:val="both"/>
        <w:spacing w:before="0" w:beforeAutospacing="0" w:after="0" w:afterAutospacing="0" w:line="400" w:lineRule="exact"/>
        <w:widowControl w:val="off"/>
        <w:rPr>
          <w:rFonts w:ascii="Times New Roman" w:hAnsi="Times New Roman"/>
          <w:b/>
          <w:bCs/>
          <w:color w:val="000000" w:themeColor="text1"/>
          <w:szCs w:val="20"/>
        </w:rPr>
      </w:pPr>
      <w:r>
        <w:rPr>
          <w:rFonts w:hint="eastAsia" w:ascii="Times New Roman" w:hAnsi="Times New Roman" w:cs="仿宋"/>
          <w:b/>
          <w:bCs/>
          <w:color w:val="000000" w:themeColor="text1"/>
          <w:szCs w:val="28"/>
        </w:rPr>
        <w:t xml:space="preserve">备注：</w:t>
      </w:r>
      <w:r>
        <w:rPr>
          <w:rFonts w:hint="eastAsia" w:ascii="Times New Roman" w:hAnsi="Times New Roman" w:cs="仿宋"/>
          <w:color w:val="000000" w:themeColor="text1"/>
          <w:szCs w:val="28"/>
        </w:rPr>
        <w:t xml:space="preserve">1</w:t>
      </w:r>
      <w:bookmarkStart w:id="193" w:name="_Hlk187934629"/>
      <w:r>
        <w:rPr>
          <w:rFonts w:hint="eastAsia" w:ascii="Times New Roman" w:hAnsi="Times New Roman" w:cs="仿宋"/>
          <w:color w:val="000000" w:themeColor="text1"/>
          <w:szCs w:val="28"/>
        </w:rPr>
        <w:t xml:space="preserve">.</w:t>
      </w:r>
      <w:r>
        <w:rPr>
          <w:rFonts w:hint="eastAsia" w:ascii="Times New Roman" w:hAnsi="Times New Roman"/>
          <w:color w:val="000000" w:themeColor="text1"/>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themeColor="text1"/>
          <w:szCs w:val="20"/>
        </w:rPr>
        <w:t xml:space="preserve">作无效响应处理。</w:t>
      </w:r>
      <w:r/>
    </w:p>
    <w:p>
      <w:pPr>
        <w:pStyle w:val="919"/>
        <w:ind w:firstLine="480"/>
        <w:jc w:val="both"/>
        <w:spacing w:before="0" w:beforeAutospacing="0" w:after="0" w:afterAutospacing="0" w:line="400" w:lineRule="exact"/>
        <w:widowControl w:val="off"/>
        <w:rPr>
          <w:rFonts w:hint="eastAsia"/>
          <w:color w:val="000000" w:themeColor="text1"/>
        </w:rPr>
      </w:pPr>
      <w:r>
        <w:rPr>
          <w:rFonts w:hint="eastAsia" w:ascii="Times New Roman" w:hAnsi="Times New Roman" w:cs="仿宋"/>
          <w:color w:val="000000" w:themeColor="text1"/>
          <w:szCs w:val="28"/>
        </w:rPr>
        <w:t xml:space="preserve">2.</w:t>
      </w:r>
      <w:r>
        <w:rPr>
          <w:rFonts w:hint="eastAsia" w:ascii="Times New Roman" w:hAnsi="Times New Roman" w:cs="仿宋"/>
          <w:color w:val="000000" w:themeColor="text1"/>
          <w:szCs w:val="28"/>
        </w:rPr>
        <w:t xml:space="preserve">对采购需求的其他非实质性要求，投标人按所投产品情况</w:t>
      </w:r>
      <w:r>
        <w:rPr>
          <w:rFonts w:ascii="Times New Roman" w:hAnsi="Times New Roman" w:cs="仿宋"/>
          <w:color w:val="000000" w:themeColor="text1"/>
          <w:szCs w:val="28"/>
        </w:rPr>
        <w:t xml:space="preserve">在此表中详细列出偏离情况（包括正偏离、负偏离、无偏离）并说明理由</w:t>
      </w:r>
      <w:r>
        <w:rPr>
          <w:rFonts w:hint="eastAsia" w:ascii="Times New Roman" w:hAnsi="Times New Roman" w:cs="仿宋"/>
          <w:color w:val="000000" w:themeColor="text1"/>
          <w:szCs w:val="28"/>
        </w:rPr>
        <w:t xml:space="preserve">；未列明的均视为未响应招标文件要求</w:t>
      </w:r>
      <w:r>
        <w:rPr>
          <w:rFonts w:ascii="Times New Roman" w:hAnsi="Times New Roman" w:cs="仿宋"/>
          <w:color w:val="000000" w:themeColor="text1"/>
          <w:szCs w:val="28"/>
        </w:rPr>
        <w:t xml:space="preserve">。</w:t>
      </w:r>
      <w:bookmarkEnd w:id="193"/>
      <w:r/>
      <w:r/>
    </w:p>
    <w:p>
      <w:pPr>
        <w:pStyle w:val="919"/>
        <w:ind w:firstLine="480"/>
        <w:jc w:val="both"/>
        <w:spacing w:before="0" w:beforeAutospacing="0" w:after="0" w:afterAutospacing="0" w:line="400" w:lineRule="exact"/>
        <w:widowControl w:val="off"/>
        <w:rPr>
          <w:rFonts w:ascii="Times New Roman" w:hAnsi="Times New Roman"/>
          <w:color w:val="000000" w:themeColor="text1"/>
        </w:rPr>
      </w:pPr>
      <w:r>
        <w:rPr>
          <w:rFonts w:ascii="Times New Roman" w:hAnsi="Times New Roman"/>
          <w:color w:val="000000" w:themeColor="text1"/>
        </w:rPr>
      </w:r>
      <w:r/>
    </w:p>
    <w:p>
      <w:pPr>
        <w:pStyle w:val="919"/>
        <w:ind w:firstLine="480"/>
        <w:jc w:val="both"/>
        <w:spacing w:before="0" w:beforeAutospacing="0" w:after="0" w:afterAutospacing="0" w:line="400" w:lineRule="exact"/>
        <w:widowControl w:val="off"/>
        <w:rPr>
          <w:rFonts w:ascii="Times New Roman" w:hAnsi="Times New Roman"/>
          <w:color w:val="000000" w:themeColor="text1"/>
        </w:rPr>
      </w:pPr>
      <w:r>
        <w:rPr>
          <w:rFonts w:ascii="Times New Roman" w:hAnsi="Times New Roman"/>
          <w:color w:val="000000" w:themeColor="text1"/>
        </w:rPr>
      </w:r>
      <w:r/>
    </w:p>
    <w:p>
      <w:pPr>
        <w:pStyle w:val="847"/>
        <w:rPr>
          <w:rFonts w:hint="eastAsia" w:ascii="宋体" w:hAnsi="宋体" w:eastAsia="宋体" w:cs="宋体"/>
          <w:color w:val="000000" w:themeColor="text1"/>
        </w:rPr>
      </w:pPr>
      <w:r/>
      <w:bookmarkStart w:id="194" w:name="_Toc25337"/>
      <w:r/>
      <w:bookmarkStart w:id="195" w:name="_Toc15871"/>
      <w:r>
        <w:rPr>
          <w:rFonts w:hint="eastAsia" w:ascii="宋体" w:hAnsi="宋体" w:eastAsia="宋体" w:cs="宋体"/>
          <w:bCs/>
          <w:color w:val="000000" w:themeColor="text1"/>
        </w:rPr>
        <w:t xml:space="preserve">八、项目组人员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姓名</w:t>
            </w:r>
            <w:r/>
          </w:p>
        </w:tc>
        <w:tc>
          <w:tcPr>
            <w:tcW w:w="1843"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职务</w:t>
            </w:r>
            <w:r/>
          </w:p>
        </w:tc>
        <w:tc>
          <w:tcPr>
            <w:tcW w:w="992"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学历</w:t>
            </w:r>
            <w:r/>
          </w:p>
        </w:tc>
        <w:tc>
          <w:tcPr>
            <w:tcW w:w="1984" w:type="dxa"/>
            <w:vAlign w:val="center"/>
            <w:textDirection w:val="lrTb"/>
            <w:noWrap w:val="false"/>
          </w:tcPr>
          <w:p>
            <w:pPr>
              <w:pStyle w:val="1245"/>
              <w:ind w:firstLine="280"/>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身份证号</w:t>
            </w:r>
            <w:r/>
          </w:p>
        </w:tc>
        <w:tc>
          <w:tcPr>
            <w:tcW w:w="1702"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相关证书</w:t>
            </w:r>
            <w:r/>
          </w:p>
        </w:tc>
        <w:tc>
          <w:tcPr>
            <w:tcW w:w="962" w:type="dxa"/>
            <w:vAlign w:val="center"/>
            <w:textDirection w:val="lrTb"/>
            <w:noWrap w:val="false"/>
          </w:tcPr>
          <w:p>
            <w:pPr>
              <w:pStyle w:val="1245"/>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备注</w:t>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bl>
    <w:p>
      <w:pPr>
        <w:ind w:firstLine="210"/>
        <w:spacing w:line="480" w:lineRule="exact"/>
        <w:rPr>
          <w:rFonts w:ascii="Times New Roman" w:hAnsi="Times New Roman" w:cs="宋体"/>
          <w:color w:val="000000" w:themeColor="text1"/>
          <w:sz w:val="24"/>
          <w:szCs w:val="20"/>
        </w:rPr>
      </w:pPr>
      <w:r>
        <w:rPr>
          <w:rFonts w:hint="eastAsia" w:ascii="Times New Roman" w:hAnsi="Times New Roman" w:cs="宋体"/>
          <w:color w:val="000000" w:themeColor="text1"/>
          <w:sz w:val="24"/>
          <w:szCs w:val="20"/>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p>
      <w:pPr>
        <w:ind w:firstLine="210"/>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p>
      <w:pPr>
        <w:pStyle w:val="1175"/>
        <w:numPr>
          <w:ilvl w:val="0"/>
          <w:numId w:val="6"/>
        </w:numPr>
        <w:ind w:left="210"/>
        <w:rPr>
          <w:rFonts w:hint="eastAsia" w:ascii="宋体"/>
          <w:b w:val="0"/>
          <w:color w:val="000000" w:themeColor="text1"/>
          <w:szCs w:val="32"/>
        </w:rPr>
        <w:outlineLvl w:val="1"/>
      </w:pPr>
      <w:r>
        <w:rPr>
          <w:rFonts w:hint="eastAsia" w:ascii="宋体"/>
          <w:b w:val="0"/>
          <w:color w:val="000000" w:themeColor="text1"/>
          <w:szCs w:val="32"/>
        </w:rPr>
        <w:br w:type="page" w:clear="all"/>
      </w:r>
      <w:r>
        <w:rPr>
          <w:rFonts w:hint="eastAsia" w:ascii="宋体"/>
          <w:b w:val="0"/>
          <w:color w:val="000000" w:themeColor="text1"/>
          <w:szCs w:val="32"/>
        </w:rPr>
        <w:t xml:space="preserve">项目实施方案</w:t>
      </w:r>
      <w:r/>
    </w:p>
    <w:p>
      <w:pPr>
        <w:pStyle w:val="1175"/>
        <w:jc w:val="center"/>
        <w:rPr>
          <w:rFonts w:hint="eastAsia" w:ascii="宋体"/>
          <w:b w:val="0"/>
          <w:color w:val="000000" w:themeColor="text1"/>
          <w:szCs w:val="32"/>
        </w:rPr>
        <w:outlineLvl w:val="1"/>
      </w:pPr>
      <w:r>
        <w:rPr>
          <w:rFonts w:hint="eastAsia" w:ascii="宋体"/>
          <w:b w:val="0"/>
          <w:color w:val="000000" w:themeColor="text1"/>
          <w:szCs w:val="32"/>
        </w:rPr>
      </w:r>
      <w:r/>
    </w:p>
    <w:p>
      <w:pPr>
        <w:pStyle w:val="1175"/>
        <w:jc w:val="center"/>
        <w:rPr>
          <w:rFonts w:hint="eastAsia" w:ascii="宋体"/>
          <w:b w:val="0"/>
          <w:color w:val="000000" w:themeColor="text1"/>
          <w:szCs w:val="32"/>
        </w:rPr>
        <w:outlineLvl w:val="1"/>
      </w:pPr>
      <w:r>
        <w:rPr>
          <w:rFonts w:hint="eastAsia" w:ascii="宋体"/>
          <w:b w:val="0"/>
          <w:color w:val="000000" w:themeColor="text1"/>
          <w:szCs w:val="32"/>
        </w:rPr>
        <w:t xml:space="preserve">格式自拟</w:t>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rPr>
          <w:rFonts w:hint="eastAsia" w:ascii="宋体"/>
          <w:b w:val="0"/>
          <w:color w:val="000000" w:themeColor="text1"/>
          <w:szCs w:val="32"/>
        </w:rPr>
        <w:outlineLvl w:val="1"/>
      </w:pPr>
      <w:r>
        <w:rPr>
          <w:rFonts w:hint="eastAsia" w:ascii="宋体"/>
          <w:b w:val="0"/>
          <w:color w:val="000000" w:themeColor="text1"/>
          <w:szCs w:val="32"/>
        </w:rPr>
        <w:t xml:space="preserve">十、企业业绩</w:t>
      </w:r>
      <w:bookmarkEnd w:id="194"/>
      <w:r/>
      <w:bookmarkEnd w:id="195"/>
      <w:r/>
      <w:r/>
    </w:p>
    <w:p>
      <w:pPr>
        <w:pStyle w:val="1183"/>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投标人</w:t>
      </w:r>
      <w:bookmarkStart w:id="197" w:name="_Hlk187935031"/>
      <w:r>
        <w:rPr>
          <w:rFonts w:hint="eastAsia" w:ascii="方正小标宋_GBK" w:eastAsia="方正小标宋_GBK"/>
          <w:bCs/>
          <w:color w:val="000000" w:themeColor="text1"/>
          <w:sz w:val="32"/>
          <w:szCs w:val="32"/>
        </w:rPr>
        <w:t xml:space="preserve">自</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年</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月</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日以来承担</w:t>
      </w:r>
      <w:r/>
    </w:p>
    <w:p>
      <w:pPr>
        <w:pStyle w:val="1183"/>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类似项目业绩一览表</w:t>
      </w:r>
      <w:bookmarkEnd w:id="197"/>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序号</w:t>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项目名称</w:t>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采购单位</w:t>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服务主要内容</w:t>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25"/>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bl>
    <w:p>
      <w:pPr>
        <w:pStyle w:val="1183"/>
        <w:rPr>
          <w:rFonts w:hint="eastAsia" w:ascii="宋体" w:hAnsi="宋体"/>
          <w:bCs/>
          <w:color w:val="000000" w:themeColor="text1"/>
        </w:rPr>
      </w:pPr>
      <w:r>
        <w:rPr>
          <w:rFonts w:hint="eastAsia" w:ascii="宋体" w:hAnsi="宋体"/>
          <w:bCs/>
          <w:color w:val="000000" w:themeColor="text1"/>
          <w:sz w:val="24"/>
        </w:rPr>
        <w:t xml:space="preserve">注：请填写此表，并按要求上传业绩资料电子件。</w:t>
      </w:r>
      <w:r/>
    </w:p>
    <w:p>
      <w:pPr>
        <w:spacing w:line="480" w:lineRule="exact"/>
        <w:rPr>
          <w:rFonts w:ascii="宋体"/>
          <w:color w:val="000000" w:themeColor="text1"/>
          <w:szCs w:val="32"/>
        </w:rPr>
        <w:outlineLvl w:val="1"/>
      </w:pPr>
      <w:r>
        <w:rPr>
          <w:rFonts w:ascii="宋体" w:hAnsi="宋体"/>
          <w:bCs/>
          <w:color w:val="000000" w:themeColor="text1"/>
        </w:rPr>
        <w:br w:type="page" w:clear="all"/>
      </w:r>
      <w:bookmarkStart w:id="198" w:name="_Toc26048"/>
      <w:r/>
      <w:bookmarkStart w:id="199" w:name="_Toc9275"/>
      <w:r>
        <w:rPr>
          <w:rFonts w:hint="eastAsia" w:ascii="宋体" w:hAnsi="黑体" w:eastAsia="黑体" w:cs="黑体"/>
          <w:color w:val="000000" w:themeColor="text1"/>
          <w:sz w:val="32"/>
          <w:szCs w:val="32"/>
        </w:rPr>
        <w:t xml:space="preserve">十一、投标所需其他材料</w:t>
      </w:r>
      <w:bookmarkEnd w:id="198"/>
      <w:r/>
      <w:bookmarkEnd w:id="199"/>
      <w:r/>
      <w:r/>
    </w:p>
    <w:p>
      <w:pPr>
        <w:pStyle w:val="1187"/>
        <w:ind w:firstLine="420"/>
        <w:spacing w:line="480" w:lineRule="exact"/>
        <w:rPr>
          <w:color w:val="000000" w:themeColor="text1"/>
          <w:sz w:val="24"/>
          <w:szCs w:val="24"/>
        </w:rPr>
      </w:pPr>
      <w:r>
        <w:rPr>
          <w:rFonts w:hint="eastAsia"/>
          <w:color w:val="000000" w:themeColor="text1"/>
          <w:sz w:val="24"/>
          <w:szCs w:val="24"/>
        </w:rPr>
        <w:t xml:space="preserve">请在此文档中增加投标所需其他相关内容（包括评分办法、采购需求中涉及的证件证明及其它投标人认为有必要提供的资料），如没有请将此空文档上传。</w:t>
      </w:r>
      <w:r/>
    </w:p>
    <w:p>
      <w:pPr>
        <w:pStyle w:val="1187"/>
        <w:ind w:firstLine="420"/>
        <w:spacing w:line="480" w:lineRule="exact"/>
        <w:rPr>
          <w:color w:val="000000" w:themeColor="text1"/>
          <w:sz w:val="24"/>
          <w:szCs w:val="24"/>
        </w:rPr>
      </w:pPr>
      <w:r>
        <w:rPr>
          <w:color w:val="000000" w:themeColor="text1"/>
          <w:sz w:val="24"/>
          <w:szCs w:val="24"/>
        </w:rPr>
      </w:r>
      <w:r/>
    </w:p>
    <w:p>
      <w:pPr>
        <w:pStyle w:val="1187"/>
        <w:ind w:firstLine="420"/>
        <w:spacing w:line="480" w:lineRule="exact"/>
        <w:rPr>
          <w:color w:val="000000" w:themeColor="text1"/>
          <w:sz w:val="24"/>
          <w:szCs w:val="24"/>
        </w:rPr>
      </w:pPr>
      <w:r>
        <w:rPr>
          <w:color w:val="000000" w:themeColor="text1"/>
          <w:sz w:val="24"/>
          <w:szCs w:val="24"/>
        </w:rPr>
      </w:r>
      <w:r/>
    </w:p>
    <w:p>
      <w:pPr>
        <w:ind w:firstLine="751"/>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rPr>
        <w:t xml:space="preserve">关于符合本国产品标准的声明函</w:t>
      </w:r>
      <w:r/>
    </w:p>
    <w:p>
      <w:pPr>
        <w:ind w:firstLine="544"/>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2"/>
        </w:rPr>
        <w:t xml:space="preserve">1.（</w:t>
      </w:r>
      <w:r>
        <w:rPr>
          <w:rFonts w:ascii="宋体" w:hAnsi="宋体" w:cs="宋体"/>
          <w:color w:val="000000" w:themeColor="text1"/>
          <w:sz w:val="22"/>
          <w:u w:val="single"/>
        </w:rPr>
        <w:t xml:space="preserve">产品名称1）</w:t>
      </w:r>
      <w:r>
        <w:rPr>
          <w:rFonts w:ascii="宋体" w:hAnsi="宋体" w:cs="宋体"/>
          <w:color w:val="000000" w:themeColor="text1"/>
          <w:sz w:val="18"/>
          <w:u w:val="single"/>
          <w:vertAlign w:val="superscript"/>
        </w:rPr>
        <w:t xml:space="preserve">1</w:t>
      </w:r>
      <w:r>
        <w:rPr>
          <w:rFonts w:ascii="宋体" w:hAnsi="宋体" w:cs="宋体"/>
          <w:color w:val="000000" w:themeColor="text1"/>
          <w:sz w:val="22"/>
        </w:rPr>
        <w:t xml:space="preserve">，生产厂为（</w:t>
      </w:r>
      <w:r>
        <w:rPr>
          <w:rFonts w:ascii="宋体" w:hAnsi="宋体" w:cs="宋体"/>
          <w:color w:val="000000" w:themeColor="text1"/>
          <w:sz w:val="22"/>
          <w:u w:val="single"/>
        </w:rPr>
        <w:t xml:space="preserve">厂名）</w:t>
      </w:r>
      <w:r>
        <w:rPr>
          <w:rFonts w:ascii="宋体" w:hAnsi="宋体" w:cs="宋体"/>
          <w:color w:val="000000" w:themeColor="text1"/>
          <w:sz w:val="18"/>
          <w:u w:val="single"/>
          <w:vertAlign w:val="superscript"/>
        </w:rPr>
        <w:t xml:space="preserve">2</w:t>
      </w:r>
      <w:r>
        <w:rPr>
          <w:rFonts w:ascii="宋体" w:hAnsi="宋体" w:cs="宋体"/>
          <w:color w:val="000000" w:themeColor="text1"/>
          <w:sz w:val="22"/>
        </w:rPr>
        <w:t xml:space="preserve">，厂址为（</w:t>
      </w:r>
      <w:r>
        <w:rPr>
          <w:rFonts w:ascii="宋体" w:hAnsi="宋体" w:cs="宋体"/>
          <w:color w:val="000000" w:themeColor="text1"/>
          <w:sz w:val="22"/>
          <w:u w:val="single"/>
        </w:rPr>
        <w:t xml:space="preserve">生产厂址）</w:t>
      </w:r>
      <w:r>
        <w:rPr>
          <w:rFonts w:ascii="宋体" w:hAnsi="宋体" w:cs="宋体"/>
          <w:color w:val="000000" w:themeColor="text1"/>
          <w:sz w:val="22"/>
        </w:rPr>
        <w:t xml:space="preserve">。（</w:t>
      </w:r>
      <w:r>
        <w:rPr>
          <w:rFonts w:ascii="宋体" w:hAnsi="宋体" w:cs="宋体"/>
          <w:color w:val="000000" w:themeColor="text1"/>
          <w:sz w:val="22"/>
          <w:u w:val="single"/>
        </w:rPr>
        <w:t xml:space="preserve">产品名称1）</w:t>
      </w:r>
      <w:r>
        <w:rPr>
          <w:rFonts w:ascii="宋体" w:hAnsi="宋体" w:cs="宋体"/>
          <w:color w:val="000000" w:themeColor="text1"/>
          <w:sz w:val="22"/>
        </w:rPr>
        <w:t xml:space="preserve">的中国境内生产的组件成本占比≥（</w:t>
      </w:r>
      <w:r>
        <w:rPr>
          <w:rFonts w:ascii="宋体" w:hAnsi="宋体" w:cs="宋体"/>
          <w:color w:val="000000" w:themeColor="text1"/>
          <w:sz w:val="22"/>
          <w:u w:val="single"/>
        </w:rPr>
        <w:t xml:space="preserve">规定比例）</w:t>
      </w:r>
      <w:r>
        <w:rPr>
          <w:rFonts w:ascii="宋体" w:hAnsi="宋体" w:cs="宋体"/>
          <w:color w:val="000000" w:themeColor="text1"/>
          <w:sz w:val="18"/>
          <w:u w:val="single"/>
          <w:vertAlign w:val="superscript"/>
        </w:rPr>
        <w:t xml:space="preserve">3</w:t>
      </w:r>
      <w:r>
        <w:rPr>
          <w:rFonts w:ascii="宋体" w:hAnsi="宋体" w:cs="宋体"/>
          <w:color w:val="000000" w:themeColor="text1"/>
          <w:sz w:val="22"/>
        </w:rPr>
        <w:t xml:space="preserve">。（</w:t>
      </w:r>
      <w:r>
        <w:rPr>
          <w:rFonts w:ascii="宋体" w:hAnsi="宋体" w:cs="宋体"/>
          <w:color w:val="000000" w:themeColor="text1"/>
          <w:sz w:val="22"/>
          <w:u w:val="single"/>
        </w:rPr>
        <w:t xml:space="preserve">产品名称1）</w:t>
      </w:r>
      <w:r>
        <w:rPr>
          <w:rFonts w:ascii="宋体" w:hAnsi="宋体" w:cs="宋体"/>
          <w:color w:val="000000" w:themeColor="text1"/>
          <w:sz w:val="22"/>
        </w:rPr>
        <w:t xml:space="preserve">的（</w:t>
      </w:r>
      <w:r>
        <w:rPr>
          <w:rFonts w:ascii="宋体" w:hAnsi="宋体" w:cs="宋体"/>
          <w:color w:val="000000" w:themeColor="text1"/>
          <w:sz w:val="22"/>
          <w:u w:val="single"/>
        </w:rPr>
        <w:t xml:space="preserve">关键组件）</w:t>
      </w:r>
      <w:r>
        <w:rPr>
          <w:rFonts w:ascii="宋体" w:hAnsi="宋体" w:cs="宋体"/>
          <w:color w:val="000000" w:themeColor="text1"/>
          <w:sz w:val="18"/>
          <w:u w:val="single"/>
          <w:vertAlign w:val="superscript"/>
        </w:rPr>
        <w:t xml:space="preserve">4</w:t>
      </w:r>
      <w:r>
        <w:rPr>
          <w:rFonts w:ascii="宋体" w:hAnsi="宋体" w:cs="宋体"/>
          <w:color w:val="000000" w:themeColor="text1"/>
          <w:sz w:val="22"/>
        </w:rPr>
        <w:t xml:space="preserve">在中国境内生产。（</w:t>
      </w:r>
      <w:r>
        <w:rPr>
          <w:rFonts w:ascii="宋体" w:hAnsi="宋体" w:cs="宋体"/>
          <w:color w:val="000000" w:themeColor="text1"/>
          <w:sz w:val="22"/>
          <w:u w:val="single"/>
        </w:rPr>
        <w:t xml:space="preserve">产品名称1）</w:t>
      </w:r>
      <w:r>
        <w:rPr>
          <w:rFonts w:ascii="宋体" w:hAnsi="宋体" w:cs="宋体"/>
          <w:color w:val="000000" w:themeColor="text1"/>
          <w:sz w:val="22"/>
        </w:rPr>
        <w:t xml:space="preserve">的（</w:t>
      </w:r>
      <w:r>
        <w:rPr>
          <w:rFonts w:ascii="宋体" w:hAnsi="宋体" w:cs="宋体"/>
          <w:color w:val="000000" w:themeColor="text1"/>
          <w:sz w:val="22"/>
          <w:u w:val="single"/>
        </w:rPr>
        <w:t xml:space="preserve">关键工序）</w:t>
      </w:r>
      <w:r>
        <w:rPr>
          <w:rFonts w:ascii="宋体" w:hAnsi="宋体" w:cs="宋体"/>
          <w:color w:val="000000" w:themeColor="text1"/>
          <w:sz w:val="18"/>
          <w:u w:val="single"/>
          <w:vertAlign w:val="superscript"/>
        </w:rPr>
        <w:t xml:space="preserve">5</w:t>
      </w:r>
      <w:r>
        <w:rPr>
          <w:rFonts w:ascii="宋体" w:hAnsi="宋体" w:cs="宋体"/>
          <w:color w:val="000000" w:themeColor="text1"/>
          <w:sz w:val="22"/>
        </w:rPr>
        <w:t xml:space="preserve">在中国境内完成。</w:t>
      </w:r>
      <w:r/>
    </w:p>
    <w:p>
      <w:pPr>
        <w:ind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2"/>
        </w:rPr>
        <w:t xml:space="preserve">2.（</w:t>
      </w:r>
      <w:r>
        <w:rPr>
          <w:rFonts w:ascii="宋体" w:hAnsi="宋体" w:cs="宋体"/>
          <w:color w:val="000000" w:themeColor="text1"/>
          <w:sz w:val="22"/>
          <w:u w:val="single"/>
        </w:rPr>
        <w:t xml:space="preserve">产品名称2）</w:t>
      </w:r>
      <w:r>
        <w:rPr>
          <w:rFonts w:ascii="宋体" w:hAnsi="宋体" w:cs="宋体"/>
          <w:color w:val="000000" w:themeColor="text1"/>
          <w:sz w:val="22"/>
        </w:rPr>
        <w:t xml:space="preserve">，生产厂为（</w:t>
      </w:r>
      <w:r>
        <w:rPr>
          <w:rFonts w:ascii="宋体" w:hAnsi="宋体" w:cs="宋体"/>
          <w:color w:val="000000" w:themeColor="text1"/>
          <w:sz w:val="22"/>
          <w:u w:val="single"/>
        </w:rPr>
        <w:t xml:space="preserve">厂名）</w:t>
      </w:r>
      <w:r>
        <w:rPr>
          <w:rFonts w:ascii="宋体" w:hAnsi="宋体" w:cs="宋体"/>
          <w:color w:val="000000" w:themeColor="text1"/>
          <w:sz w:val="22"/>
        </w:rPr>
        <w:t xml:space="preserve">，厂址为（</w:t>
      </w:r>
      <w:r>
        <w:rPr>
          <w:rFonts w:ascii="宋体" w:hAnsi="宋体" w:cs="宋体"/>
          <w:color w:val="000000" w:themeColor="text1"/>
          <w:sz w:val="22"/>
          <w:u w:val="single"/>
        </w:rPr>
        <w:t xml:space="preserve">生产厂址）</w:t>
      </w:r>
      <w:r>
        <w:rPr>
          <w:rFonts w:ascii="宋体" w:hAnsi="宋体" w:cs="宋体"/>
          <w:color w:val="000000" w:themeColor="text1"/>
          <w:sz w:val="22"/>
        </w:rPr>
        <w:t xml:space="preserve">。（</w:t>
      </w:r>
      <w:r>
        <w:rPr>
          <w:rFonts w:ascii="宋体" w:hAnsi="宋体" w:cs="宋体"/>
          <w:color w:val="000000" w:themeColor="text1"/>
          <w:sz w:val="22"/>
          <w:u w:val="single"/>
        </w:rPr>
        <w:t xml:space="preserve">产品名称2）</w:t>
      </w:r>
      <w:r>
        <w:rPr>
          <w:rFonts w:ascii="宋体" w:hAnsi="宋体" w:cs="宋体"/>
          <w:color w:val="000000" w:themeColor="text1"/>
          <w:sz w:val="22"/>
        </w:rPr>
        <w:t xml:space="preserve">的中国境内生产的组件成本占比≥（</w:t>
      </w:r>
      <w:r>
        <w:rPr>
          <w:rFonts w:ascii="宋体" w:hAnsi="宋体" w:cs="宋体"/>
          <w:color w:val="000000" w:themeColor="text1"/>
          <w:sz w:val="22"/>
          <w:u w:val="single"/>
        </w:rPr>
        <w:t xml:space="preserve">规定比例）</w:t>
      </w:r>
      <w:r>
        <w:rPr>
          <w:rFonts w:ascii="宋体" w:hAnsi="宋体" w:cs="宋体"/>
          <w:color w:val="000000" w:themeColor="text1"/>
          <w:sz w:val="22"/>
        </w:rPr>
        <w:t xml:space="preserve">。（</w:t>
      </w:r>
      <w:r>
        <w:rPr>
          <w:rFonts w:ascii="宋体" w:hAnsi="宋体" w:cs="宋体"/>
          <w:color w:val="000000" w:themeColor="text1"/>
          <w:sz w:val="22"/>
          <w:u w:val="single"/>
        </w:rPr>
        <w:t xml:space="preserve">产品名称2）</w:t>
      </w:r>
      <w:r>
        <w:rPr>
          <w:rFonts w:ascii="宋体" w:hAnsi="宋体" w:cs="宋体"/>
          <w:color w:val="000000" w:themeColor="text1"/>
          <w:sz w:val="22"/>
        </w:rPr>
        <w:t xml:space="preserve">的（</w:t>
      </w:r>
      <w:r>
        <w:rPr>
          <w:rFonts w:ascii="宋体" w:hAnsi="宋体" w:cs="宋体"/>
          <w:color w:val="000000" w:themeColor="text1"/>
          <w:sz w:val="22"/>
          <w:u w:val="single"/>
        </w:rPr>
        <w:t xml:space="preserve">关键组件）</w:t>
      </w:r>
      <w:r>
        <w:rPr>
          <w:rFonts w:ascii="宋体" w:hAnsi="宋体" w:cs="宋体"/>
          <w:color w:val="000000" w:themeColor="text1"/>
          <w:sz w:val="22"/>
        </w:rPr>
        <w:t xml:space="preserve">在中国境内生产。（</w:t>
      </w:r>
      <w:r>
        <w:rPr>
          <w:rFonts w:ascii="宋体" w:hAnsi="宋体" w:cs="宋体"/>
          <w:color w:val="000000" w:themeColor="text1"/>
          <w:sz w:val="22"/>
          <w:u w:val="single"/>
        </w:rPr>
        <w:t xml:space="preserve">产品名称2）</w:t>
      </w:r>
      <w:r>
        <w:rPr>
          <w:rFonts w:ascii="宋体" w:hAnsi="宋体" w:cs="宋体"/>
          <w:color w:val="000000" w:themeColor="text1"/>
          <w:sz w:val="22"/>
        </w:rPr>
        <w:t xml:space="preserve">的（</w:t>
      </w:r>
      <w:r>
        <w:rPr>
          <w:rFonts w:ascii="宋体" w:hAnsi="宋体" w:cs="宋体"/>
          <w:color w:val="000000" w:themeColor="text1"/>
          <w:sz w:val="22"/>
          <w:u w:val="single"/>
        </w:rPr>
        <w:t xml:space="preserve">关键工序）</w:t>
      </w:r>
      <w:r>
        <w:rPr>
          <w:rFonts w:ascii="宋体" w:hAnsi="宋体" w:cs="宋体"/>
          <w:color w:val="000000" w:themeColor="text1"/>
          <w:sz w:val="22"/>
        </w:rPr>
        <w:t xml:space="preserve">在中国境内完成。</w:t>
      </w:r>
      <w:r/>
    </w:p>
    <w:p>
      <w:pPr>
        <w:ind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2"/>
        </w:rPr>
        <w:t xml:space="preserve">……</w:t>
      </w:r>
      <w:r/>
    </w:p>
    <w:p>
      <w:pPr>
        <w:ind w:firstLine="440"/>
        <w:spacing w:before="240" w:after="240"/>
        <w:rPr>
          <w:color w:val="000000" w:themeColor="text1"/>
        </w:rPr>
        <w:pBdr>
          <w:top w:val="none" w:color="000000" w:sz="4" w:space="0"/>
          <w:left w:val="none" w:color="000000" w:sz="4" w:space="0"/>
          <w:bottom w:val="none" w:color="000000" w:sz="4" w:space="0"/>
          <w:right w:val="none" w:color="000000" w:sz="4" w:space="0"/>
        </w:pBdr>
      </w:pPr>
      <w:r>
        <w:rPr>
          <w:rFonts w:eastAsia="Calibri" w:cs="Calibri"/>
          <w:color w:val="000000" w:themeColor="text1"/>
          <w:sz w:val="24"/>
        </w:rPr>
        <w:t xml:space="preserve"> </w:t>
      </w:r>
      <w:r/>
    </w:p>
    <w:p>
      <w:pPr>
        <w:ind w:firstLine="440"/>
        <w:spacing w:before="240" w:after="240"/>
        <w:rPr>
          <w:color w:val="000000" w:themeColor="text1"/>
        </w:rPr>
        <w:pBdr>
          <w:top w:val="none" w:color="000000" w:sz="4" w:space="0"/>
          <w:left w:val="none" w:color="000000" w:sz="4" w:space="0"/>
          <w:bottom w:val="none" w:color="000000" w:sz="4" w:space="0"/>
          <w:right w:val="none" w:color="000000" w:sz="4" w:space="0"/>
        </w:pBdr>
      </w:pPr>
      <w:r>
        <w:rPr>
          <w:rFonts w:eastAsia="Calibri" w:cs="Calibri"/>
          <w:color w:val="000000" w:themeColor="text1"/>
          <w:sz w:val="24"/>
        </w:rPr>
        <w:t xml:space="preserve"> </w:t>
      </w:r>
      <w:r/>
    </w:p>
    <w:p>
      <w:pPr>
        <w:ind w:firstLine="440"/>
        <w:spacing w:before="240" w:after="240"/>
        <w:rPr>
          <w:color w:val="000000" w:themeColor="text1"/>
        </w:rPr>
        <w:pBdr>
          <w:top w:val="none" w:color="000000" w:sz="4" w:space="0"/>
          <w:left w:val="none" w:color="000000" w:sz="4" w:space="0"/>
          <w:bottom w:val="none" w:color="000000" w:sz="4" w:space="0"/>
          <w:right w:val="none" w:color="000000" w:sz="4" w:space="0"/>
        </w:pBdr>
      </w:pPr>
      <w:r>
        <w:rPr>
          <w:rFonts w:eastAsia="Calibri" w:cs="Calibri"/>
          <w:color w:val="000000" w:themeColor="text1"/>
          <w:sz w:val="24"/>
        </w:rPr>
        <w:t xml:space="preserve"> </w:t>
      </w:r>
      <w:r/>
    </w:p>
    <w:p>
      <w:pPr>
        <w:ind w:firstLine="44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0"/>
        </w:rPr>
        <w:t xml:space="preserve">1.产品如有型号，请在“产品名称”栏一并填写。</w:t>
      </w:r>
      <w:r/>
    </w:p>
    <w:p>
      <w:pPr>
        <w:ind w:firstLine="464"/>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0"/>
        </w:rPr>
        <w:t xml:space="preserve">2.生产厂名与厂址应与生产厂营业执照载明的相关信息保持一致。</w:t>
      </w:r>
      <w:r/>
    </w:p>
    <w:p>
      <w:pPr>
        <w:ind w:firstLine="456"/>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0"/>
        </w:rPr>
        <w:t xml:space="preserve">3.该产品的中国境内生产的组件成本占比相关要求实施前，“规定比例”栏可不填，下同。</w:t>
      </w:r>
      <w:r/>
    </w:p>
    <w:p>
      <w:pPr>
        <w:ind w:firstLine="448"/>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0"/>
        </w:rPr>
        <w:t xml:space="preserve">4.该产品的关键组件要求实施前，“关键组件”栏可不填，下同。</w:t>
      </w:r>
      <w:r/>
    </w:p>
    <w:p>
      <w:pPr>
        <w:ind w:firstLine="448"/>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0"/>
        </w:rPr>
        <w:t xml:space="preserve">5.该产品的关键工序要求实施前，“关键工序”栏可不填，下同。</w:t>
      </w:r>
      <w:r/>
    </w:p>
    <w:p>
      <w:pPr>
        <w:ind w:firstLine="564"/>
        <w:spacing w:before="240" w:after="240"/>
        <w:rPr>
          <w:color w:val="000000" w:themeColor="text1"/>
        </w:rPr>
        <w:pBdr>
          <w:top w:val="none" w:color="000000" w:sz="4" w:space="0"/>
          <w:left w:val="none" w:color="000000" w:sz="4" w:space="0"/>
          <w:bottom w:val="none" w:color="000000" w:sz="4" w:space="0"/>
          <w:right w:val="none" w:color="000000" w:sz="4" w:space="0"/>
        </w:pBdr>
      </w:pPr>
      <w:r>
        <w:rPr>
          <w:rFonts w:eastAsia="Calibri" w:cs="Calibri"/>
          <w:color w:val="000000" w:themeColor="text1"/>
          <w:sz w:val="24"/>
        </w:rPr>
        <w:t xml:space="preserve"> </w:t>
      </w:r>
      <w:r/>
    </w:p>
    <w:p>
      <w:pPr>
        <w:ind w:firstLine="564"/>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rPr>
        <w:t xml:space="preserve">本公司（单位）对上述声明内容的真实性负责。如有虚假，愿承担相应法律责任</w:t>
      </w:r>
      <w:r/>
    </w:p>
    <w:p>
      <w:pPr>
        <w:ind w:firstLine="84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rPr>
        <w:t xml:space="preserve">公司（单位）名称（盖CA电子公章）：</w:t>
      </w:r>
      <w:r/>
    </w:p>
    <w:p>
      <w:pPr>
        <w:ind w:left="4000" w:firstLine="56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rPr>
        <w:t xml:space="preserve">日期：   年  月  日</w:t>
      </w:r>
      <w:r/>
    </w:p>
    <w:p>
      <w:pPr>
        <w:pStyle w:val="1187"/>
        <w:ind w:firstLine="420"/>
        <w:spacing w:line="480" w:lineRule="exact"/>
        <w:rPr>
          <w:color w:val="000000" w:themeColor="text1"/>
          <w:sz w:val="24"/>
          <w:szCs w:val="24"/>
        </w:rPr>
      </w:pPr>
      <w:r>
        <w:rPr>
          <w:color w:val="000000" w:themeColor="text1"/>
          <w:sz w:val="24"/>
          <w:szCs w:val="24"/>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posOffset>2846567</wp:posOffset>
              </wp:positionH>
              <wp:positionV relativeFrom="paragraph">
                <wp:posOffset>76172</wp:posOffset>
              </wp:positionV>
              <wp:extent cx="1319916" cy="191936"/>
              <wp:effectExtent l="0" t="0" r="13970" b="1778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19916" cy="191936"/>
                      </a:xfrm>
                      <a:prstGeom prst="rect">
                        <a:avLst/>
                      </a:prstGeom>
                      <a:noFill/>
                      <a:ln>
                        <a:noFill/>
                      </a:ln>
                    </wps:spPr>
                    <wps:txbx>
                      <w:txbxContent>
                        <w:p>
                          <w:pPr>
                            <w:pStyle w:val="89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8752;o:allowoverlap:true;o:allowincell:true;mso-position-horizontal-relative:margin;margin-left:224.1pt;mso-position-horizontal:absolute;mso-position-vertical-relative:text;margin-top:6.0pt;mso-position-vertical:absolute;width:103.9pt;height:15.1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26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316"/>
    <w:qFormat/>
    <w:pPr>
      <w:jc w:val="both"/>
      <w:widowControl w:val="off"/>
    </w:pPr>
    <w:rPr>
      <w:rFonts w:ascii="Calibri" w:hAnsi="Calibri"/>
      <w:sz w:val="21"/>
      <w:szCs w:val="22"/>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table" w:styleId="799">
    <w:name w:val="Plain Table 1"/>
    <w:basedOn w:val="79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79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79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79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79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name w:val="Grid Table 1 Light"/>
    <w:basedOn w:val="79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79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name w:val="Grid Table 3"/>
    <w:basedOn w:val="79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79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79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name w:val="Grid Table 6 Colorful"/>
    <w:basedOn w:val="79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0">
    <w:name w:val="Grid Table 7 Colorful"/>
    <w:basedOn w:val="79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1">
    <w:name w:val="List Table 1 Light"/>
    <w:basedOn w:val="79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79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name w:val="List Table 3"/>
    <w:basedOn w:val="79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name w:val="List Table 4"/>
    <w:basedOn w:val="79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name w:val="List Table 5 Dark"/>
    <w:basedOn w:val="79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name w:val="List Table 6 Colorful"/>
    <w:basedOn w:val="79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7">
    <w:name w:val="List Table 7 Colorful"/>
    <w:basedOn w:val="79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8">
    <w:name w:val="TOC Heading"/>
    <w:uiPriority w:val="39"/>
    <w:unhideWhenUsed/>
  </w:style>
  <w:style w:type="paragraph" w:styleId="819">
    <w:name w:val="toc 7"/>
    <w:basedOn w:val="786"/>
    <w:next w:val="786"/>
    <w:uiPriority w:val="39"/>
    <w:unhideWhenUsed/>
    <w:qFormat/>
    <w:pPr>
      <w:ind w:left="1701"/>
      <w:spacing w:after="57"/>
    </w:pPr>
  </w:style>
  <w:style w:type="paragraph" w:styleId="820">
    <w:name w:val="Caption"/>
    <w:basedOn w:val="786"/>
    <w:next w:val="786"/>
    <w:uiPriority w:val="35"/>
    <w:semiHidden/>
    <w:unhideWhenUsed/>
    <w:qFormat/>
    <w:pPr>
      <w:spacing w:line="276" w:lineRule="auto"/>
    </w:pPr>
    <w:rPr>
      <w:b/>
      <w:bCs/>
      <w:color w:val="4f81bd" w:themeColor="accent1"/>
      <w:sz w:val="18"/>
      <w:szCs w:val="18"/>
    </w:rPr>
  </w:style>
  <w:style w:type="paragraph" w:styleId="821">
    <w:name w:val="toc 5"/>
    <w:basedOn w:val="786"/>
    <w:next w:val="786"/>
    <w:uiPriority w:val="39"/>
    <w:unhideWhenUsed/>
    <w:qFormat/>
    <w:pPr>
      <w:ind w:left="1134"/>
      <w:spacing w:after="57"/>
    </w:pPr>
  </w:style>
  <w:style w:type="paragraph" w:styleId="822">
    <w:name w:val="toc 3"/>
    <w:basedOn w:val="786"/>
    <w:next w:val="786"/>
    <w:uiPriority w:val="39"/>
    <w:unhideWhenUsed/>
    <w:qFormat/>
    <w:pPr>
      <w:ind w:left="567"/>
      <w:spacing w:after="57"/>
    </w:pPr>
  </w:style>
  <w:style w:type="paragraph" w:styleId="823">
    <w:name w:val="toc 8"/>
    <w:basedOn w:val="786"/>
    <w:next w:val="786"/>
    <w:uiPriority w:val="39"/>
    <w:unhideWhenUsed/>
    <w:qFormat/>
    <w:pPr>
      <w:ind w:left="1984"/>
      <w:spacing w:after="57"/>
    </w:pPr>
  </w:style>
  <w:style w:type="paragraph" w:styleId="824">
    <w:name w:val="endnote text"/>
    <w:basedOn w:val="786"/>
    <w:uiPriority w:val="99"/>
    <w:semiHidden/>
    <w:unhideWhenUsed/>
    <w:qFormat/>
    <w:rPr>
      <w:sz w:val="20"/>
    </w:rPr>
  </w:style>
  <w:style w:type="paragraph" w:styleId="825">
    <w:name w:val="Footer"/>
    <w:basedOn w:val="786"/>
    <w:uiPriority w:val="99"/>
    <w:unhideWhenUsed/>
    <w:qFormat/>
    <w:pPr>
      <w:tabs>
        <w:tab w:val="center" w:pos="7143" w:leader="none"/>
        <w:tab w:val="right" w:pos="14287" w:leader="none"/>
      </w:tabs>
    </w:pPr>
  </w:style>
  <w:style w:type="paragraph" w:styleId="826">
    <w:name w:val="Header"/>
    <w:basedOn w:val="786"/>
    <w:uiPriority w:val="99"/>
    <w:unhideWhenUsed/>
    <w:qFormat/>
    <w:pPr>
      <w:tabs>
        <w:tab w:val="center" w:pos="7143" w:leader="none"/>
        <w:tab w:val="right" w:pos="14287" w:leader="none"/>
      </w:tabs>
    </w:pPr>
  </w:style>
  <w:style w:type="paragraph" w:styleId="827">
    <w:name w:val="toc 1"/>
    <w:basedOn w:val="786"/>
    <w:next w:val="786"/>
    <w:uiPriority w:val="39"/>
    <w:unhideWhenUsed/>
    <w:qFormat/>
    <w:pPr>
      <w:spacing w:after="57"/>
    </w:pPr>
  </w:style>
  <w:style w:type="paragraph" w:styleId="828">
    <w:name w:val="toc 4"/>
    <w:basedOn w:val="786"/>
    <w:next w:val="786"/>
    <w:uiPriority w:val="39"/>
    <w:unhideWhenUsed/>
    <w:qFormat/>
    <w:pPr>
      <w:ind w:left="850"/>
      <w:spacing w:after="57"/>
    </w:pPr>
  </w:style>
  <w:style w:type="paragraph" w:styleId="829">
    <w:name w:val="Subtitle"/>
    <w:basedOn w:val="786"/>
    <w:next w:val="786"/>
    <w:uiPriority w:val="11"/>
    <w:qFormat/>
    <w:pPr>
      <w:spacing w:before="200" w:after="200"/>
    </w:pPr>
    <w:rPr>
      <w:sz w:val="24"/>
      <w:szCs w:val="24"/>
    </w:rPr>
  </w:style>
  <w:style w:type="paragraph" w:styleId="830">
    <w:name w:val="footnote text"/>
    <w:basedOn w:val="786"/>
    <w:uiPriority w:val="99"/>
    <w:semiHidden/>
    <w:unhideWhenUsed/>
    <w:qFormat/>
    <w:pPr>
      <w:spacing w:after="40"/>
    </w:pPr>
    <w:rPr>
      <w:sz w:val="18"/>
    </w:rPr>
  </w:style>
  <w:style w:type="paragraph" w:styleId="831">
    <w:name w:val="toc 6"/>
    <w:basedOn w:val="786"/>
    <w:next w:val="786"/>
    <w:uiPriority w:val="39"/>
    <w:unhideWhenUsed/>
    <w:qFormat/>
    <w:pPr>
      <w:ind w:left="1417"/>
      <w:spacing w:after="57"/>
    </w:pPr>
  </w:style>
  <w:style w:type="paragraph" w:styleId="832">
    <w:name w:val="table of figures"/>
    <w:basedOn w:val="786"/>
    <w:next w:val="786"/>
    <w:uiPriority w:val="99"/>
    <w:unhideWhenUsed/>
    <w:qFormat/>
  </w:style>
  <w:style w:type="paragraph" w:styleId="833">
    <w:name w:val="toc 2"/>
    <w:basedOn w:val="786"/>
    <w:next w:val="786"/>
    <w:uiPriority w:val="39"/>
    <w:unhideWhenUsed/>
    <w:qFormat/>
    <w:pPr>
      <w:ind w:left="283"/>
      <w:spacing w:after="57"/>
    </w:pPr>
  </w:style>
  <w:style w:type="paragraph" w:styleId="834">
    <w:name w:val="toc 9"/>
    <w:basedOn w:val="786"/>
    <w:next w:val="786"/>
    <w:uiPriority w:val="39"/>
    <w:unhideWhenUsed/>
    <w:qFormat/>
    <w:pPr>
      <w:ind w:left="2268"/>
      <w:spacing w:after="57"/>
    </w:pPr>
  </w:style>
  <w:style w:type="paragraph" w:styleId="835">
    <w:name w:val="Normal (Web)"/>
    <w:basedOn w:val="786"/>
    <w:uiPriority w:val="99"/>
    <w:unhideWhenUsed/>
    <w:qFormat/>
    <w:pPr>
      <w:jc w:val="left"/>
      <w:spacing w:beforeAutospacing="1" w:afterAutospacing="1"/>
    </w:pPr>
    <w:rPr>
      <w:sz w:val="24"/>
    </w:rPr>
  </w:style>
  <w:style w:type="paragraph" w:styleId="836">
    <w:name w:val="Title"/>
    <w:basedOn w:val="786"/>
    <w:next w:val="786"/>
    <w:uiPriority w:val="10"/>
    <w:qFormat/>
    <w:pPr>
      <w:contextualSpacing/>
      <w:spacing w:before="300" w:after="200"/>
    </w:pPr>
    <w:rPr>
      <w:sz w:val="48"/>
      <w:szCs w:val="48"/>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rPr>
  </w:style>
  <w:style w:type="character" w:styleId="840">
    <w:name w:val="footnote reference"/>
    <w:uiPriority w:val="99"/>
    <w:unhideWhenUsed/>
    <w:qFormat/>
    <w:rPr>
      <w:vertAlign w:val="superscript"/>
    </w:rPr>
  </w:style>
  <w:style w:type="paragraph" w:styleId="841" w:customStyle="1">
    <w:name w:val="正文文本11"/>
    <w:basedOn w:val="786"/>
    <w:semiHidden/>
    <w:qFormat/>
    <w:rPr>
      <w:rFonts w:ascii="仿宋" w:hAnsi="仿宋" w:eastAsia="仿宋" w:cs="仿宋"/>
      <w:sz w:val="32"/>
      <w:szCs w:val="32"/>
      <w:lang w:eastAsia="en-US"/>
    </w:rPr>
  </w:style>
  <w:style w:type="paragraph" w:styleId="842">
    <w:name w:val="List Paragraph"/>
    <w:basedOn w:val="786"/>
    <w:uiPriority w:val="34"/>
    <w:qFormat/>
    <w:pPr>
      <w:contextualSpacing/>
      <w:ind w:left="720"/>
    </w:pPr>
  </w:style>
  <w:style w:type="paragraph" w:styleId="843">
    <w:name w:val="No Spacing"/>
    <w:uiPriority w:val="1"/>
    <w:qFormat/>
  </w:style>
  <w:style w:type="paragraph" w:styleId="844">
    <w:name w:val="Quote"/>
    <w:basedOn w:val="786"/>
    <w:next w:val="786"/>
    <w:uiPriority w:val="29"/>
    <w:qFormat/>
    <w:pPr>
      <w:ind w:left="720" w:right="720"/>
    </w:pPr>
    <w:rPr>
      <w:i/>
    </w:rPr>
  </w:style>
  <w:style w:type="paragraph" w:styleId="845">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标题 11"/>
    <w:basedOn w:val="786"/>
    <w:next w:val="786"/>
    <w:link w:val="861"/>
    <w:qFormat/>
    <w:pPr>
      <w:keepLines/>
      <w:keepNext/>
      <w:spacing w:before="480" w:after="200"/>
      <w:outlineLvl w:val="0"/>
    </w:pPr>
    <w:rPr>
      <w:rFonts w:ascii="Arial" w:hAnsi="Arial" w:eastAsia="Arial" w:cs="Arial"/>
      <w:sz w:val="40"/>
      <w:szCs w:val="40"/>
    </w:rPr>
  </w:style>
  <w:style w:type="paragraph" w:styleId="847" w:customStyle="1">
    <w:name w:val="标题 211"/>
    <w:basedOn w:val="786"/>
    <w:next w:val="786"/>
    <w:link w:val="862"/>
    <w:qFormat/>
    <w:pPr>
      <w:keepLines/>
      <w:keepNext/>
      <w:spacing w:before="260" w:after="260" w:line="413" w:lineRule="auto"/>
      <w:outlineLvl w:val="1"/>
    </w:pPr>
    <w:rPr>
      <w:rFonts w:ascii="Arial" w:hAnsi="Arial" w:eastAsia="黑体"/>
      <w:b/>
      <w:sz w:val="32"/>
      <w:szCs w:val="20"/>
    </w:rPr>
  </w:style>
  <w:style w:type="paragraph" w:styleId="848" w:customStyle="1">
    <w:name w:val="标题 311"/>
    <w:basedOn w:val="849"/>
    <w:next w:val="850"/>
    <w:link w:val="863"/>
    <w:qFormat/>
    <w:pPr>
      <w:keepLines/>
      <w:keepNext/>
      <w:spacing w:before="320" w:after="200"/>
      <w:outlineLvl w:val="2"/>
    </w:pPr>
    <w:rPr>
      <w:rFonts w:ascii="Arial" w:hAnsi="Arial" w:eastAsia="Arial" w:cs="Arial"/>
      <w:sz w:val="30"/>
      <w:szCs w:val="30"/>
    </w:rPr>
  </w:style>
  <w:style w:type="paragraph" w:styleId="849" w:customStyle="1">
    <w:name w:val="Normal1"/>
    <w:next w:val="848"/>
    <w:qFormat/>
    <w:pPr>
      <w:jc w:val="both"/>
      <w:widowControl w:val="off"/>
    </w:pPr>
    <w:rPr>
      <w:rFonts w:ascii="Calibri" w:hAnsi="Calibri"/>
      <w:sz w:val="21"/>
      <w:szCs w:val="22"/>
    </w:rPr>
  </w:style>
  <w:style w:type="paragraph" w:styleId="850" w:customStyle="1">
    <w:name w:val="Normal_19"/>
    <w:next w:val="851"/>
    <w:qFormat/>
    <w:rPr>
      <w:rFonts w:ascii="黑体" w:hAnsi="黑体" w:eastAsia="黑体" w:cs="黑体"/>
      <w:b/>
      <w:sz w:val="32"/>
      <w:szCs w:val="24"/>
    </w:rPr>
  </w:style>
  <w:style w:type="paragraph" w:styleId="851" w:customStyle="1">
    <w:name w:val="Normal11"/>
    <w:next w:val="852"/>
    <w:qFormat/>
    <w:pPr>
      <w:jc w:val="both"/>
      <w:widowControl w:val="off"/>
    </w:pPr>
    <w:rPr>
      <w:szCs w:val="21"/>
    </w:rPr>
  </w:style>
  <w:style w:type="paragraph" w:styleId="852" w:customStyle="1">
    <w:name w:val="Title1"/>
    <w:basedOn w:val="851"/>
    <w:next w:val="851"/>
    <w:uiPriority w:val="10"/>
    <w:qFormat/>
    <w:pPr>
      <w:contextualSpacing/>
    </w:pPr>
    <w:rPr>
      <w:rFonts w:ascii="Cambria" w:hAnsi="Cambria"/>
      <w:color w:val="262626"/>
      <w:spacing w:val="-15"/>
      <w:sz w:val="96"/>
      <w:szCs w:val="96"/>
    </w:rPr>
  </w:style>
  <w:style w:type="paragraph" w:styleId="853" w:customStyle="1">
    <w:name w:val="标题 411"/>
    <w:basedOn w:val="786"/>
    <w:next w:val="786"/>
    <w:link w:val="864"/>
    <w:qFormat/>
    <w:pPr>
      <w:jc w:val="center"/>
      <w:keepNext/>
      <w:outlineLvl w:val="3"/>
    </w:pPr>
    <w:rPr>
      <w:rFonts w:eastAsia="新宋体"/>
      <w:sz w:val="30"/>
      <w:szCs w:val="21"/>
    </w:rPr>
  </w:style>
  <w:style w:type="paragraph" w:styleId="854" w:customStyle="1">
    <w:name w:val="标题 51"/>
    <w:basedOn w:val="786"/>
    <w:next w:val="786"/>
    <w:link w:val="865"/>
    <w:qFormat/>
    <w:pPr>
      <w:keepLines/>
      <w:keepNext/>
      <w:spacing w:before="320" w:after="200"/>
      <w:outlineLvl w:val="4"/>
    </w:pPr>
    <w:rPr>
      <w:rFonts w:ascii="Arial" w:hAnsi="Arial" w:eastAsia="Arial" w:cs="Arial"/>
      <w:b/>
      <w:bCs/>
      <w:sz w:val="24"/>
      <w:szCs w:val="24"/>
    </w:rPr>
  </w:style>
  <w:style w:type="paragraph" w:styleId="855" w:customStyle="1">
    <w:name w:val="标题 61"/>
    <w:basedOn w:val="786"/>
    <w:next w:val="786"/>
    <w:link w:val="866"/>
    <w:qFormat/>
    <w:pPr>
      <w:keepLines/>
      <w:keepNext/>
      <w:spacing w:before="320" w:after="200"/>
      <w:outlineLvl w:val="5"/>
    </w:pPr>
    <w:rPr>
      <w:rFonts w:ascii="Arial" w:hAnsi="Arial" w:eastAsia="Arial" w:cs="Arial"/>
      <w:b/>
      <w:bCs/>
      <w:sz w:val="22"/>
    </w:rPr>
  </w:style>
  <w:style w:type="paragraph" w:styleId="856" w:customStyle="1">
    <w:name w:val="标题 71"/>
    <w:basedOn w:val="786"/>
    <w:next w:val="786"/>
    <w:link w:val="867"/>
    <w:qFormat/>
    <w:pPr>
      <w:keepLines/>
      <w:keepNext/>
      <w:spacing w:before="320" w:after="200"/>
      <w:outlineLvl w:val="6"/>
    </w:pPr>
    <w:rPr>
      <w:rFonts w:ascii="Arial" w:hAnsi="Arial" w:eastAsia="Arial" w:cs="Arial"/>
      <w:b/>
      <w:bCs/>
      <w:i/>
      <w:iCs/>
      <w:sz w:val="22"/>
    </w:rPr>
  </w:style>
  <w:style w:type="paragraph" w:styleId="857" w:customStyle="1">
    <w:name w:val="标题 81"/>
    <w:basedOn w:val="786"/>
    <w:next w:val="786"/>
    <w:link w:val="868"/>
    <w:qFormat/>
    <w:pPr>
      <w:keepLines/>
      <w:keepNext/>
      <w:spacing w:before="320" w:after="200"/>
      <w:outlineLvl w:val="7"/>
    </w:pPr>
    <w:rPr>
      <w:rFonts w:ascii="Arial" w:hAnsi="Arial" w:eastAsia="Arial" w:cs="Arial"/>
      <w:i/>
      <w:iCs/>
      <w:sz w:val="22"/>
    </w:rPr>
  </w:style>
  <w:style w:type="paragraph" w:styleId="858" w:customStyle="1">
    <w:name w:val="标题 91"/>
    <w:basedOn w:val="786"/>
    <w:next w:val="786"/>
    <w:link w:val="869"/>
    <w:qFormat/>
    <w:pPr>
      <w:keepLines/>
      <w:keepNext/>
      <w:spacing w:before="320" w:after="200"/>
      <w:outlineLvl w:val="8"/>
    </w:pPr>
    <w:rPr>
      <w:rFonts w:ascii="Arial" w:hAnsi="Arial" w:eastAsia="Arial" w:cs="Arial"/>
      <w:i/>
      <w:iCs/>
      <w:szCs w:val="21"/>
    </w:rPr>
  </w:style>
  <w:style w:type="character" w:styleId="859" w:customStyle="1">
    <w:name w:val="默认段落字体1"/>
    <w:uiPriority w:val="1"/>
    <w:unhideWhenUsed/>
    <w:qFormat/>
  </w:style>
  <w:style w:type="table" w:styleId="860" w:customStyle="1">
    <w:name w:val="普通表格1"/>
    <w:uiPriority w:val="99"/>
    <w:unhideWhenUsed/>
    <w:qFormat/>
    <w:tblPr>
      <w:tblCellMar>
        <w:left w:w="0" w:type="dxa"/>
        <w:top w:w="0" w:type="dxa"/>
        <w:right w:w="0" w:type="dxa"/>
        <w:bottom w:w="0" w:type="dxa"/>
      </w:tblCellMar>
    </w:tblPr>
  </w:style>
  <w:style w:type="character" w:styleId="861" w:customStyle="1">
    <w:name w:val="标题 1 字符"/>
    <w:link w:val="846"/>
    <w:qFormat/>
    <w:rPr>
      <w:rFonts w:ascii="Arial" w:hAnsi="Arial" w:eastAsia="Arial" w:cs="Arial"/>
      <w:sz w:val="40"/>
      <w:szCs w:val="40"/>
    </w:rPr>
  </w:style>
  <w:style w:type="character" w:styleId="862" w:customStyle="1">
    <w:name w:val="标题 2 字符"/>
    <w:link w:val="847"/>
    <w:qFormat/>
    <w:rPr>
      <w:rFonts w:ascii="Arial" w:hAnsi="Arial" w:eastAsia="Arial" w:cs="Arial"/>
      <w:sz w:val="34"/>
    </w:rPr>
  </w:style>
  <w:style w:type="character" w:styleId="863" w:customStyle="1">
    <w:name w:val="标题 3 字符"/>
    <w:link w:val="848"/>
    <w:qFormat/>
    <w:rPr>
      <w:rFonts w:ascii="Arial" w:hAnsi="Arial" w:eastAsia="Arial" w:cs="Arial"/>
      <w:sz w:val="30"/>
      <w:szCs w:val="30"/>
    </w:rPr>
  </w:style>
  <w:style w:type="character" w:styleId="864" w:customStyle="1">
    <w:name w:val="标题 4 字符"/>
    <w:link w:val="853"/>
    <w:qFormat/>
    <w:rPr>
      <w:rFonts w:ascii="Arial" w:hAnsi="Arial" w:eastAsia="Arial" w:cs="Arial"/>
      <w:b/>
      <w:bCs/>
      <w:sz w:val="26"/>
      <w:szCs w:val="26"/>
    </w:rPr>
  </w:style>
  <w:style w:type="character" w:styleId="865" w:customStyle="1">
    <w:name w:val="标题 5 字符"/>
    <w:link w:val="854"/>
    <w:qFormat/>
    <w:rPr>
      <w:rFonts w:ascii="Arial" w:hAnsi="Arial" w:eastAsia="Arial" w:cs="Arial"/>
      <w:b/>
      <w:bCs/>
      <w:sz w:val="24"/>
      <w:szCs w:val="24"/>
    </w:rPr>
  </w:style>
  <w:style w:type="character" w:styleId="866" w:customStyle="1">
    <w:name w:val="标题 6 字符"/>
    <w:link w:val="855"/>
    <w:qFormat/>
    <w:rPr>
      <w:rFonts w:ascii="Arial" w:hAnsi="Arial" w:eastAsia="Arial" w:cs="Arial"/>
      <w:b/>
      <w:bCs/>
      <w:sz w:val="22"/>
      <w:szCs w:val="22"/>
    </w:rPr>
  </w:style>
  <w:style w:type="character" w:styleId="867" w:customStyle="1">
    <w:name w:val="标题 7 字符"/>
    <w:link w:val="856"/>
    <w:qFormat/>
    <w:rPr>
      <w:rFonts w:ascii="Arial" w:hAnsi="Arial" w:eastAsia="Arial" w:cs="Arial"/>
      <w:b/>
      <w:bCs/>
      <w:i/>
      <w:iCs/>
      <w:sz w:val="22"/>
      <w:szCs w:val="22"/>
    </w:rPr>
  </w:style>
  <w:style w:type="character" w:styleId="868" w:customStyle="1">
    <w:name w:val="标题 8 字符"/>
    <w:link w:val="857"/>
    <w:qFormat/>
    <w:rPr>
      <w:rFonts w:ascii="Arial" w:hAnsi="Arial" w:eastAsia="Arial" w:cs="Arial"/>
      <w:i/>
      <w:iCs/>
      <w:sz w:val="22"/>
      <w:szCs w:val="22"/>
    </w:rPr>
  </w:style>
  <w:style w:type="character" w:styleId="869" w:customStyle="1">
    <w:name w:val="标题 9 字符"/>
    <w:link w:val="858"/>
    <w:qFormat/>
    <w:rPr>
      <w:rFonts w:ascii="Arial" w:hAnsi="Arial" w:eastAsia="Arial" w:cs="Arial"/>
      <w:i/>
      <w:iCs/>
      <w:sz w:val="21"/>
      <w:szCs w:val="21"/>
    </w:rPr>
  </w:style>
  <w:style w:type="paragraph" w:styleId="870" w:customStyle="1">
    <w:name w:val="列表 31"/>
    <w:basedOn w:val="786"/>
    <w:qFormat/>
    <w:pPr>
      <w:ind w:left="100" w:hanging="200"/>
    </w:pPr>
    <w:rPr>
      <w:rFonts w:ascii="Times New Roman" w:hAnsi="Times New Roman"/>
      <w:szCs w:val="21"/>
    </w:rPr>
  </w:style>
  <w:style w:type="paragraph" w:styleId="871" w:customStyle="1">
    <w:name w:val="目录 71"/>
    <w:basedOn w:val="786"/>
    <w:next w:val="786"/>
    <w:unhideWhenUsed/>
    <w:qFormat/>
    <w:pPr>
      <w:ind w:left="1701"/>
      <w:spacing w:after="57"/>
    </w:pPr>
  </w:style>
  <w:style w:type="paragraph" w:styleId="872" w:customStyle="1">
    <w:name w:val="正文缩进11"/>
    <w:basedOn w:val="786"/>
    <w:link w:val="873"/>
    <w:qFormat/>
    <w:pPr>
      <w:ind w:firstLine="420"/>
    </w:pPr>
    <w:rPr>
      <w:rFonts w:ascii="宋体"/>
      <w:color w:val="000000"/>
      <w:sz w:val="24"/>
      <w:szCs w:val="20"/>
    </w:rPr>
  </w:style>
  <w:style w:type="character" w:styleId="873" w:customStyle="1">
    <w:name w:val="正文缩进 字符"/>
    <w:link w:val="872"/>
    <w:qFormat/>
    <w:rPr>
      <w:rFonts w:ascii="宋体" w:hAnsi="Calibri"/>
      <w:color w:val="000000"/>
      <w:sz w:val="24"/>
    </w:rPr>
  </w:style>
  <w:style w:type="paragraph" w:styleId="874" w:customStyle="1">
    <w:name w:val="题注1"/>
    <w:basedOn w:val="786"/>
    <w:next w:val="786"/>
    <w:uiPriority w:val="35"/>
    <w:qFormat/>
    <w:pPr>
      <w:spacing w:line="276" w:lineRule="auto"/>
    </w:pPr>
    <w:rPr>
      <w:b/>
      <w:bCs/>
      <w:color w:val="5b9bd5"/>
      <w:sz w:val="18"/>
      <w:szCs w:val="18"/>
    </w:rPr>
  </w:style>
  <w:style w:type="paragraph" w:styleId="875" w:customStyle="1">
    <w:name w:val="文档结构图1"/>
    <w:basedOn w:val="786"/>
    <w:link w:val="876"/>
    <w:semiHidden/>
    <w:qFormat/>
    <w:pPr>
      <w:shd w:val="clear" w:color="auto" w:fill="000080"/>
    </w:pPr>
    <w:rPr>
      <w:rFonts w:ascii="Times New Roman" w:hAnsi="Times New Roman"/>
      <w:szCs w:val="21"/>
    </w:rPr>
  </w:style>
  <w:style w:type="character" w:styleId="876" w:customStyle="1">
    <w:name w:val="文档结构图 字符"/>
    <w:link w:val="875"/>
    <w:semiHidden/>
    <w:qFormat/>
    <w:rPr>
      <w:sz w:val="21"/>
      <w:szCs w:val="21"/>
      <w:shd w:val="clear" w:color="auto" w:fill="000080"/>
    </w:rPr>
  </w:style>
  <w:style w:type="paragraph" w:styleId="877" w:customStyle="1">
    <w:name w:val="批注文字1"/>
    <w:basedOn w:val="786"/>
    <w:link w:val="878"/>
    <w:semiHidden/>
    <w:qFormat/>
    <w:pPr>
      <w:jc w:val="left"/>
    </w:pPr>
    <w:rPr>
      <w:rFonts w:ascii="Times New Roman" w:hAnsi="Times New Roman"/>
      <w:szCs w:val="21"/>
    </w:rPr>
  </w:style>
  <w:style w:type="character" w:styleId="878" w:customStyle="1">
    <w:name w:val="批注文字 字符"/>
    <w:link w:val="877"/>
    <w:semiHidden/>
    <w:qFormat/>
    <w:rPr>
      <w:sz w:val="21"/>
      <w:szCs w:val="21"/>
    </w:rPr>
  </w:style>
  <w:style w:type="paragraph" w:styleId="879" w:customStyle="1">
    <w:name w:val="正文文本 31"/>
    <w:basedOn w:val="786"/>
    <w:link w:val="880"/>
    <w:qFormat/>
    <w:rPr>
      <w:rFonts w:ascii="仿宋_GB2312" w:hAnsi="Arial" w:eastAsia="仿宋_GB2312"/>
      <w:sz w:val="32"/>
      <w:szCs w:val="32"/>
    </w:rPr>
  </w:style>
  <w:style w:type="character" w:styleId="880" w:customStyle="1">
    <w:name w:val="正文文本 3 字符"/>
    <w:link w:val="879"/>
    <w:qFormat/>
    <w:rPr>
      <w:rFonts w:ascii="仿宋_GB2312" w:hAnsi="Arial" w:eastAsia="仿宋_GB2312"/>
      <w:sz w:val="32"/>
      <w:szCs w:val="32"/>
    </w:rPr>
  </w:style>
  <w:style w:type="paragraph" w:styleId="881" w:customStyle="1">
    <w:name w:val="正文文本121"/>
    <w:basedOn w:val="786"/>
    <w:semiHidden/>
    <w:qFormat/>
    <w:rPr>
      <w:rFonts w:ascii="仿宋" w:hAnsi="仿宋" w:eastAsia="仿宋" w:cs="仿宋"/>
      <w:sz w:val="32"/>
      <w:szCs w:val="32"/>
      <w:lang w:eastAsia="en-US"/>
    </w:rPr>
  </w:style>
  <w:style w:type="paragraph" w:styleId="882" w:customStyle="1">
    <w:name w:val="正文文本缩进11"/>
    <w:basedOn w:val="786"/>
    <w:link w:val="883"/>
    <w:qFormat/>
    <w:pPr>
      <w:ind w:firstLine="225"/>
    </w:pPr>
    <w:rPr>
      <w:rFonts w:ascii="仿宋_GB2312" w:eastAsia="仿宋_GB2312"/>
      <w:sz w:val="32"/>
    </w:rPr>
  </w:style>
  <w:style w:type="character" w:styleId="883" w:customStyle="1">
    <w:name w:val="正文文本缩进 字符1"/>
    <w:link w:val="882"/>
    <w:qFormat/>
    <w:rPr>
      <w:rFonts w:ascii="仿宋_GB2312" w:hAnsi="Calibri" w:eastAsia="仿宋_GB2312"/>
      <w:sz w:val="32"/>
      <w:szCs w:val="22"/>
    </w:rPr>
  </w:style>
  <w:style w:type="paragraph" w:styleId="884" w:customStyle="1">
    <w:name w:val="列表 21"/>
    <w:basedOn w:val="786"/>
    <w:qFormat/>
    <w:pPr>
      <w:ind w:left="100" w:hanging="200"/>
    </w:pPr>
    <w:rPr>
      <w:rFonts w:ascii="Times New Roman" w:hAnsi="Times New Roman"/>
      <w:szCs w:val="21"/>
    </w:rPr>
  </w:style>
  <w:style w:type="paragraph" w:styleId="885" w:customStyle="1">
    <w:name w:val="目录 51"/>
    <w:basedOn w:val="786"/>
    <w:next w:val="786"/>
    <w:unhideWhenUsed/>
    <w:qFormat/>
    <w:pPr>
      <w:ind w:left="1134"/>
      <w:spacing w:after="57"/>
    </w:pPr>
  </w:style>
  <w:style w:type="paragraph" w:styleId="886" w:customStyle="1">
    <w:name w:val="目录 31"/>
    <w:basedOn w:val="786"/>
    <w:next w:val="786"/>
    <w:unhideWhenUsed/>
    <w:qFormat/>
    <w:pPr>
      <w:ind w:left="567"/>
      <w:spacing w:after="57"/>
    </w:pPr>
  </w:style>
  <w:style w:type="paragraph" w:styleId="887" w:customStyle="1">
    <w:name w:val="纯文本11"/>
    <w:basedOn w:val="786"/>
    <w:link w:val="888"/>
    <w:qFormat/>
    <w:rPr>
      <w:rFonts w:ascii="宋体" w:hAnsi="Courier New" w:cs="Courier New"/>
      <w:szCs w:val="21"/>
    </w:rPr>
  </w:style>
  <w:style w:type="character" w:styleId="888" w:customStyle="1">
    <w:name w:val="纯文本 字符"/>
    <w:link w:val="887"/>
    <w:qFormat/>
    <w:rPr>
      <w:rFonts w:ascii="宋体" w:hAnsi="Courier New" w:cs="Courier New"/>
      <w:sz w:val="21"/>
      <w:szCs w:val="21"/>
    </w:rPr>
  </w:style>
  <w:style w:type="paragraph" w:styleId="889" w:customStyle="1">
    <w:name w:val="目录 81"/>
    <w:basedOn w:val="786"/>
    <w:next w:val="786"/>
    <w:unhideWhenUsed/>
    <w:qFormat/>
    <w:pPr>
      <w:ind w:left="1984"/>
      <w:spacing w:after="57"/>
    </w:pPr>
  </w:style>
  <w:style w:type="paragraph" w:styleId="890" w:customStyle="1">
    <w:name w:val="日期1"/>
    <w:basedOn w:val="786"/>
    <w:next w:val="786"/>
    <w:link w:val="891"/>
    <w:qFormat/>
    <w:rPr>
      <w:rFonts w:ascii="Times New Roman" w:hAnsi="Times New Roman"/>
      <w:sz w:val="24"/>
      <w:szCs w:val="24"/>
    </w:rPr>
  </w:style>
  <w:style w:type="character" w:styleId="891" w:customStyle="1">
    <w:name w:val="日期 字符"/>
    <w:link w:val="890"/>
    <w:qFormat/>
    <w:rPr>
      <w:sz w:val="24"/>
      <w:szCs w:val="24"/>
    </w:rPr>
  </w:style>
  <w:style w:type="paragraph" w:styleId="892" w:customStyle="1">
    <w:name w:val="正文文本缩进 21"/>
    <w:basedOn w:val="786"/>
    <w:link w:val="893"/>
    <w:qFormat/>
    <w:pPr>
      <w:ind w:left="630" w:firstLine="645"/>
    </w:pPr>
    <w:rPr>
      <w:rFonts w:ascii="Arial" w:hAnsi="Arial" w:eastAsia="仿宋_GB2312" w:cs="Arial"/>
      <w:sz w:val="32"/>
      <w:szCs w:val="32"/>
    </w:rPr>
  </w:style>
  <w:style w:type="character" w:styleId="893" w:customStyle="1">
    <w:name w:val="正文文本缩进 2 字符"/>
    <w:link w:val="892"/>
    <w:qFormat/>
    <w:rPr>
      <w:rFonts w:ascii="Arial" w:hAnsi="Arial" w:eastAsia="仿宋_GB2312" w:cs="Arial"/>
      <w:sz w:val="32"/>
      <w:szCs w:val="32"/>
    </w:rPr>
  </w:style>
  <w:style w:type="paragraph" w:styleId="894" w:customStyle="1">
    <w:name w:val="尾注文本1"/>
    <w:basedOn w:val="786"/>
    <w:link w:val="895"/>
    <w:uiPriority w:val="99"/>
    <w:unhideWhenUsed/>
    <w:qFormat/>
    <w:rPr>
      <w:sz w:val="20"/>
    </w:rPr>
  </w:style>
  <w:style w:type="character" w:styleId="895" w:customStyle="1">
    <w:name w:val="尾注文本 字符"/>
    <w:link w:val="894"/>
    <w:uiPriority w:val="99"/>
    <w:qFormat/>
    <w:rPr>
      <w:sz w:val="20"/>
    </w:rPr>
  </w:style>
  <w:style w:type="paragraph" w:styleId="896" w:customStyle="1">
    <w:name w:val="批注框文本1"/>
    <w:basedOn w:val="786"/>
    <w:link w:val="897"/>
    <w:qFormat/>
    <w:rPr>
      <w:rFonts w:ascii="Times New Roman" w:hAnsi="Times New Roman"/>
      <w:sz w:val="18"/>
      <w:szCs w:val="18"/>
    </w:rPr>
  </w:style>
  <w:style w:type="character" w:styleId="897" w:customStyle="1">
    <w:name w:val="批注框文本 字符"/>
    <w:link w:val="896"/>
    <w:qFormat/>
    <w:rPr>
      <w:sz w:val="18"/>
      <w:szCs w:val="18"/>
    </w:rPr>
  </w:style>
  <w:style w:type="paragraph" w:styleId="898" w:customStyle="1">
    <w:name w:val="页脚11"/>
    <w:basedOn w:val="786"/>
    <w:link w:val="899"/>
    <w:uiPriority w:val="99"/>
    <w:qFormat/>
    <w:pPr>
      <w:jc w:val="left"/>
      <w:tabs>
        <w:tab w:val="center" w:pos="4153" w:leader="none"/>
        <w:tab w:val="right" w:pos="8306" w:leader="none"/>
      </w:tabs>
    </w:pPr>
    <w:rPr>
      <w:sz w:val="18"/>
      <w:szCs w:val="18"/>
    </w:rPr>
  </w:style>
  <w:style w:type="character" w:styleId="899" w:customStyle="1">
    <w:name w:val="页脚 字符"/>
    <w:link w:val="898"/>
    <w:uiPriority w:val="99"/>
    <w:qFormat/>
  </w:style>
  <w:style w:type="paragraph" w:styleId="900" w:customStyle="1">
    <w:name w:val="页眉1"/>
    <w:basedOn w:val="786"/>
    <w:link w:val="901"/>
    <w:qFormat/>
    <w:pPr>
      <w:jc w:val="center"/>
      <w:tabs>
        <w:tab w:val="center" w:pos="4153" w:leader="none"/>
        <w:tab w:val="right" w:pos="8306" w:leader="none"/>
      </w:tabs>
    </w:pPr>
    <w:rPr>
      <w:sz w:val="18"/>
      <w:szCs w:val="18"/>
    </w:rPr>
  </w:style>
  <w:style w:type="character" w:styleId="901" w:customStyle="1">
    <w:name w:val="页眉 字符"/>
    <w:link w:val="900"/>
    <w:qFormat/>
    <w:rPr>
      <w:rFonts w:ascii="Calibri" w:hAnsi="Calibri"/>
      <w:sz w:val="18"/>
      <w:szCs w:val="18"/>
    </w:rPr>
  </w:style>
  <w:style w:type="paragraph" w:styleId="902" w:customStyle="1">
    <w:name w:val="目录 11"/>
    <w:basedOn w:val="786"/>
    <w:next w:val="786"/>
    <w:qFormat/>
    <w:pPr>
      <w:jc w:val="left"/>
      <w:spacing w:before="120" w:after="120"/>
    </w:pPr>
    <w:rPr>
      <w:rFonts w:cs="Calibri"/>
      <w:b/>
      <w:bCs/>
      <w:caps/>
      <w:sz w:val="20"/>
      <w:szCs w:val="20"/>
    </w:rPr>
  </w:style>
  <w:style w:type="paragraph" w:styleId="903" w:customStyle="1">
    <w:name w:val="目录 41"/>
    <w:basedOn w:val="786"/>
    <w:next w:val="786"/>
    <w:unhideWhenUsed/>
    <w:qFormat/>
    <w:pPr>
      <w:ind w:left="850"/>
      <w:spacing w:after="57"/>
    </w:pPr>
  </w:style>
  <w:style w:type="paragraph" w:styleId="904" w:customStyle="1">
    <w:name w:val="副标题1"/>
    <w:basedOn w:val="786"/>
    <w:next w:val="786"/>
    <w:link w:val="905"/>
    <w:uiPriority w:val="11"/>
    <w:qFormat/>
    <w:pPr>
      <w:spacing w:before="200" w:after="200"/>
    </w:pPr>
    <w:rPr>
      <w:sz w:val="24"/>
      <w:szCs w:val="24"/>
    </w:rPr>
  </w:style>
  <w:style w:type="character" w:styleId="905" w:customStyle="1">
    <w:name w:val="副标题 字符"/>
    <w:link w:val="904"/>
    <w:uiPriority w:val="11"/>
    <w:qFormat/>
    <w:rPr>
      <w:sz w:val="24"/>
      <w:szCs w:val="24"/>
    </w:rPr>
  </w:style>
  <w:style w:type="paragraph" w:styleId="906" w:customStyle="1">
    <w:name w:val="列表1"/>
    <w:basedOn w:val="786"/>
    <w:qFormat/>
    <w:pPr>
      <w:ind w:left="200" w:hanging="200"/>
    </w:pPr>
    <w:rPr>
      <w:rFonts w:ascii="Times New Roman" w:hAnsi="Times New Roman"/>
      <w:szCs w:val="21"/>
    </w:rPr>
  </w:style>
  <w:style w:type="paragraph" w:styleId="907" w:customStyle="1">
    <w:name w:val="脚注文本11"/>
    <w:basedOn w:val="786"/>
    <w:link w:val="908"/>
    <w:uiPriority w:val="99"/>
    <w:unhideWhenUsed/>
    <w:qFormat/>
    <w:pPr>
      <w:spacing w:after="40"/>
    </w:pPr>
    <w:rPr>
      <w:sz w:val="18"/>
    </w:rPr>
  </w:style>
  <w:style w:type="character" w:styleId="908" w:customStyle="1">
    <w:name w:val="脚注文本 字符"/>
    <w:link w:val="907"/>
    <w:uiPriority w:val="99"/>
    <w:qFormat/>
    <w:rPr>
      <w:sz w:val="18"/>
    </w:rPr>
  </w:style>
  <w:style w:type="paragraph" w:styleId="909" w:customStyle="1">
    <w:name w:val="目录 61"/>
    <w:basedOn w:val="786"/>
    <w:next w:val="786"/>
    <w:unhideWhenUsed/>
    <w:qFormat/>
    <w:pPr>
      <w:ind w:left="1417"/>
      <w:spacing w:after="57"/>
    </w:pPr>
  </w:style>
  <w:style w:type="paragraph" w:styleId="910" w:customStyle="1">
    <w:name w:val="正文文本缩进 31"/>
    <w:basedOn w:val="786"/>
    <w:link w:val="911"/>
    <w:qFormat/>
    <w:pPr>
      <w:ind w:left="645" w:firstLine="645"/>
    </w:pPr>
    <w:rPr>
      <w:rFonts w:ascii="Arial" w:hAnsi="Arial" w:eastAsia="仿宋_GB2312" w:cs="Arial"/>
      <w:color w:val="ffff00"/>
      <w:sz w:val="32"/>
      <w:szCs w:val="32"/>
    </w:rPr>
  </w:style>
  <w:style w:type="character" w:styleId="911" w:customStyle="1">
    <w:name w:val="正文文本缩进 3 字符"/>
    <w:link w:val="910"/>
    <w:qFormat/>
    <w:rPr>
      <w:rFonts w:ascii="Arial" w:hAnsi="Arial" w:eastAsia="仿宋_GB2312" w:cs="Arial"/>
      <w:color w:val="ffff00"/>
      <w:sz w:val="32"/>
      <w:szCs w:val="32"/>
    </w:rPr>
  </w:style>
  <w:style w:type="paragraph" w:styleId="912" w:customStyle="1">
    <w:name w:val="图表目录1"/>
    <w:basedOn w:val="786"/>
    <w:next w:val="786"/>
    <w:unhideWhenUsed/>
    <w:qFormat/>
  </w:style>
  <w:style w:type="paragraph" w:styleId="913" w:customStyle="1">
    <w:name w:val="目录 21"/>
    <w:basedOn w:val="786"/>
    <w:next w:val="786"/>
    <w:qFormat/>
    <w:pPr>
      <w:ind w:left="210"/>
      <w:jc w:val="left"/>
    </w:pPr>
    <w:rPr>
      <w:rFonts w:cs="Calibri"/>
      <w:smallCaps/>
      <w:sz w:val="20"/>
      <w:szCs w:val="20"/>
    </w:rPr>
  </w:style>
  <w:style w:type="paragraph" w:styleId="914" w:customStyle="1">
    <w:name w:val="目录 91"/>
    <w:basedOn w:val="786"/>
    <w:next w:val="786"/>
    <w:unhideWhenUsed/>
    <w:qFormat/>
    <w:pPr>
      <w:ind w:left="2268"/>
      <w:spacing w:after="57"/>
    </w:pPr>
  </w:style>
  <w:style w:type="paragraph" w:styleId="915" w:customStyle="1">
    <w:name w:val="正文文本 21"/>
    <w:basedOn w:val="786"/>
    <w:link w:val="916"/>
    <w:qFormat/>
    <w:pPr>
      <w:jc w:val="center"/>
      <w:widowControl/>
    </w:pPr>
    <w:rPr>
      <w:rFonts w:ascii="楷体_GB2312" w:hAnsi="Times New Roman" w:eastAsia="楷体_GB2312"/>
      <w:sz w:val="28"/>
      <w:szCs w:val="28"/>
    </w:rPr>
  </w:style>
  <w:style w:type="character" w:styleId="916" w:customStyle="1">
    <w:name w:val="正文文本 2 字符"/>
    <w:link w:val="915"/>
    <w:qFormat/>
    <w:rPr>
      <w:rFonts w:ascii="楷体_GB2312" w:eastAsia="楷体_GB2312"/>
      <w:sz w:val="28"/>
      <w:szCs w:val="28"/>
    </w:rPr>
  </w:style>
  <w:style w:type="paragraph" w:styleId="917" w:customStyle="1">
    <w:name w:val="HTML 预设格式1"/>
    <w:basedOn w:val="786"/>
    <w:link w:val="9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8" w:customStyle="1">
    <w:name w:val="HTML 预设格式 字符"/>
    <w:link w:val="917"/>
    <w:uiPriority w:val="99"/>
    <w:qFormat/>
    <w:rPr>
      <w:rFonts w:ascii="宋体" w:hAnsi="宋体"/>
      <w:sz w:val="24"/>
      <w:szCs w:val="24"/>
    </w:rPr>
  </w:style>
  <w:style w:type="paragraph" w:styleId="919"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920" w:customStyle="1">
    <w:name w:val="索引 11"/>
    <w:basedOn w:val="786"/>
    <w:next w:val="786"/>
    <w:semiHidden/>
    <w:qFormat/>
    <w:pPr>
      <w:spacing w:line="240" w:lineRule="atLeast"/>
    </w:pPr>
    <w:rPr>
      <w:rFonts w:ascii="Times New Roman" w:hAnsi="Times New Roman"/>
      <w:b/>
      <w:bCs/>
      <w:szCs w:val="21"/>
    </w:rPr>
  </w:style>
  <w:style w:type="paragraph" w:styleId="921" w:customStyle="1">
    <w:name w:val="标题11"/>
    <w:basedOn w:val="786"/>
    <w:next w:val="786"/>
    <w:link w:val="922"/>
    <w:uiPriority w:val="10"/>
    <w:qFormat/>
    <w:pPr>
      <w:contextualSpacing/>
      <w:spacing w:before="300" w:after="200"/>
    </w:pPr>
    <w:rPr>
      <w:sz w:val="48"/>
      <w:szCs w:val="48"/>
    </w:rPr>
  </w:style>
  <w:style w:type="character" w:styleId="922" w:customStyle="1">
    <w:name w:val="标题 字符"/>
    <w:link w:val="921"/>
    <w:uiPriority w:val="10"/>
    <w:qFormat/>
    <w:rPr>
      <w:sz w:val="48"/>
      <w:szCs w:val="48"/>
    </w:rPr>
  </w:style>
  <w:style w:type="paragraph" w:styleId="923" w:customStyle="1">
    <w:name w:val="批注主题1"/>
    <w:basedOn w:val="877"/>
    <w:next w:val="877"/>
    <w:link w:val="924"/>
    <w:semiHidden/>
    <w:qFormat/>
    <w:rPr>
      <w:b/>
      <w:bCs/>
    </w:rPr>
  </w:style>
  <w:style w:type="character" w:styleId="924" w:customStyle="1">
    <w:name w:val="批注主题 字符"/>
    <w:link w:val="923"/>
    <w:semiHidden/>
    <w:qFormat/>
    <w:rPr>
      <w:b/>
      <w:bCs/>
      <w:sz w:val="21"/>
      <w:szCs w:val="21"/>
    </w:rPr>
  </w:style>
  <w:style w:type="paragraph" w:styleId="925" w:customStyle="1">
    <w:name w:val="正文首行缩进 211"/>
    <w:basedOn w:val="882"/>
    <w:link w:val="926"/>
    <w:qFormat/>
    <w:pPr>
      <w:ind w:firstLine="420"/>
      <w:spacing w:line="360" w:lineRule="auto"/>
    </w:pPr>
    <w:rPr>
      <w:rFonts w:ascii="宋体" w:hAnsi="宋体" w:eastAsia="宋体"/>
      <w:sz w:val="21"/>
      <w:szCs w:val="20"/>
    </w:rPr>
  </w:style>
  <w:style w:type="character" w:styleId="926" w:customStyle="1">
    <w:name w:val="正文文本首行缩进 2 字符"/>
    <w:link w:val="925"/>
    <w:qFormat/>
    <w:rPr>
      <w:rFonts w:ascii="宋体" w:hAnsi="宋体" w:eastAsia="仿宋_GB2312"/>
      <w:sz w:val="21"/>
      <w:szCs w:val="22"/>
    </w:rPr>
  </w:style>
  <w:style w:type="table" w:styleId="927" w:customStyle="1">
    <w:name w:val="网格型1"/>
    <w:basedOn w:val="860"/>
    <w:qFormat/>
    <w:pPr>
      <w:jc w:val="both"/>
      <w:widowControl w:val="off"/>
    </w:pPr>
    <w:tblPr/>
  </w:style>
  <w:style w:type="character" w:styleId="928" w:customStyle="1">
    <w:name w:val="要点1"/>
    <w:qFormat/>
    <w:rPr>
      <w:b/>
      <w:bCs/>
    </w:rPr>
  </w:style>
  <w:style w:type="character" w:styleId="929" w:customStyle="1">
    <w:name w:val="尾注引用1"/>
    <w:uiPriority w:val="99"/>
    <w:unhideWhenUsed/>
    <w:qFormat/>
    <w:rPr>
      <w:vertAlign w:val="superscript"/>
    </w:rPr>
  </w:style>
  <w:style w:type="character" w:styleId="930" w:customStyle="1">
    <w:name w:val="页码11"/>
    <w:qFormat/>
  </w:style>
  <w:style w:type="character" w:styleId="931" w:customStyle="1">
    <w:name w:val="已访问的超链接1"/>
    <w:qFormat/>
    <w:rPr>
      <w:color w:val="800080"/>
      <w:u w:val="single"/>
    </w:rPr>
  </w:style>
  <w:style w:type="character" w:styleId="932" w:customStyle="1">
    <w:name w:val="超链接1"/>
    <w:qFormat/>
    <w:rPr>
      <w:color w:val="0000ff"/>
      <w:u w:val="single"/>
    </w:rPr>
  </w:style>
  <w:style w:type="character" w:styleId="933" w:customStyle="1">
    <w:name w:val="批注引用1"/>
    <w:semiHidden/>
    <w:qFormat/>
    <w:rPr>
      <w:sz w:val="21"/>
      <w:szCs w:val="21"/>
    </w:rPr>
  </w:style>
  <w:style w:type="character" w:styleId="934" w:customStyle="1">
    <w:name w:val="脚注引用1"/>
    <w:uiPriority w:val="99"/>
    <w:unhideWhenUsed/>
    <w:qFormat/>
    <w:rPr>
      <w:vertAlign w:val="superscript"/>
    </w:rPr>
  </w:style>
  <w:style w:type="paragraph" w:styleId="935" w:customStyle="1">
    <w:name w:val="正文首行缩进1"/>
    <w:basedOn w:val="936"/>
    <w:qFormat/>
    <w:pPr>
      <w:ind w:firstLine="100"/>
      <w:spacing w:after="120" w:line="240" w:lineRule="auto"/>
    </w:pPr>
    <w:rPr>
      <w:rFonts w:ascii="Times New Roman" w:hAnsi="Times New Roman" w:eastAsia="宋体"/>
      <w:sz w:val="21"/>
    </w:rPr>
  </w:style>
  <w:style w:type="paragraph" w:styleId="936" w:customStyle="1">
    <w:name w:val="正文文本1"/>
    <w:basedOn w:val="786"/>
    <w:qFormat/>
    <w:pPr>
      <w:spacing w:line="60" w:lineRule="auto"/>
    </w:pPr>
    <w:rPr>
      <w:rFonts w:ascii="仿宋_GB2312" w:eastAsia="仿宋_GB2312"/>
      <w:sz w:val="32"/>
    </w:rPr>
  </w:style>
  <w:style w:type="paragraph" w:styleId="937" w:customStyle="1">
    <w:name w:val="Body Text First Indent1"/>
    <w:basedOn w:val="938"/>
    <w:uiPriority w:val="99"/>
    <w:unhideWhenUsed/>
    <w:qFormat/>
    <w:pPr>
      <w:ind w:firstLine="420"/>
    </w:pPr>
  </w:style>
  <w:style w:type="paragraph" w:styleId="938" w:customStyle="1">
    <w:name w:val="Body Text1"/>
    <w:basedOn w:val="851"/>
    <w:uiPriority w:val="99"/>
    <w:unhideWhenUsed/>
    <w:qFormat/>
    <w:pPr>
      <w:spacing w:after="120"/>
    </w:pPr>
  </w:style>
  <w:style w:type="paragraph" w:styleId="939" w:customStyle="1">
    <w:name w:val="正文首行缩进 21"/>
    <w:basedOn w:val="940"/>
    <w:next w:val="786"/>
    <w:qFormat/>
    <w:pPr>
      <w:ind w:firstLine="420"/>
      <w:spacing w:line="360" w:lineRule="auto"/>
    </w:pPr>
    <w:rPr>
      <w:rFonts w:ascii="宋体" w:hAnsi="宋体" w:eastAsia="宋体"/>
      <w:sz w:val="21"/>
      <w:szCs w:val="20"/>
    </w:rPr>
  </w:style>
  <w:style w:type="paragraph" w:styleId="940" w:customStyle="1">
    <w:name w:val="正文文本缩进1"/>
    <w:basedOn w:val="786"/>
    <w:next w:val="941"/>
    <w:qFormat/>
    <w:pPr>
      <w:ind w:firstLine="645"/>
    </w:pPr>
    <w:rPr>
      <w:rFonts w:ascii="楷体_GB2312" w:eastAsia="楷体_GB2312"/>
      <w:sz w:val="32"/>
      <w:szCs w:val="32"/>
    </w:rPr>
  </w:style>
  <w:style w:type="paragraph" w:styleId="941" w:customStyle="1">
    <w:name w:val="寄信人地址1"/>
    <w:basedOn w:val="786"/>
    <w:qFormat/>
    <w:rPr>
      <w:rFonts w:ascii="Arial" w:hAnsi="Arial"/>
    </w:rPr>
  </w:style>
  <w:style w:type="paragraph" w:styleId="942" w:customStyle="1">
    <w:name w:val="标题 41"/>
    <w:basedOn w:val="943"/>
    <w:next w:val="786"/>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3" w:customStyle="1">
    <w:name w:val="Normal_20"/>
    <w:next w:val="944"/>
    <w:qFormat/>
    <w:rPr>
      <w:rFonts w:ascii="黑体" w:hAnsi="黑体" w:eastAsia="黑体" w:cs="黑体"/>
      <w:b/>
      <w:sz w:val="32"/>
      <w:szCs w:val="24"/>
    </w:rPr>
  </w:style>
  <w:style w:type="paragraph" w:styleId="944" w:customStyle="1">
    <w:name w:val="Body Text First Indent_2"/>
    <w:basedOn w:val="943"/>
    <w:qFormat/>
    <w:pPr>
      <w:ind w:firstLine="100"/>
      <w:spacing w:after="120"/>
    </w:pPr>
  </w:style>
  <w:style w:type="paragraph" w:styleId="945" w:customStyle="1">
    <w:name w:val="脚注文本1"/>
    <w:basedOn w:val="786"/>
    <w:qFormat/>
    <w:pPr>
      <w:jc w:val="left"/>
    </w:pPr>
    <w:rPr>
      <w:rFonts w:eastAsia="Times New Roman"/>
      <w:sz w:val="18"/>
      <w:szCs w:val="24"/>
    </w:rPr>
  </w:style>
  <w:style w:type="table" w:styleId="946" w:customStyle="1">
    <w:name w:val="无格式表格 11"/>
    <w:basedOn w:val="860"/>
    <w:uiPriority w:val="59"/>
    <w:qFormat/>
    <w:tblPr/>
  </w:style>
  <w:style w:type="table" w:styleId="947" w:customStyle="1">
    <w:name w:val="无格式表格 21"/>
    <w:basedOn w:val="860"/>
    <w:uiPriority w:val="59"/>
    <w:qFormat/>
    <w:tblPr/>
  </w:style>
  <w:style w:type="table" w:styleId="948" w:customStyle="1">
    <w:name w:val="无格式表格 31"/>
    <w:basedOn w:val="860"/>
    <w:uiPriority w:val="99"/>
    <w:qFormat/>
    <w:tblPr/>
  </w:style>
  <w:style w:type="table" w:styleId="949" w:customStyle="1">
    <w:name w:val="无格式表格 41"/>
    <w:basedOn w:val="860"/>
    <w:uiPriority w:val="99"/>
    <w:qFormat/>
    <w:tblPr/>
  </w:style>
  <w:style w:type="table" w:styleId="950" w:customStyle="1">
    <w:name w:val="无格式表格 51"/>
    <w:basedOn w:val="860"/>
    <w:uiPriority w:val="99"/>
    <w:qFormat/>
    <w:tblPr/>
  </w:style>
  <w:style w:type="table" w:styleId="951" w:customStyle="1">
    <w:name w:val="网格表 1 浅色1"/>
    <w:basedOn w:val="860"/>
    <w:uiPriority w:val="99"/>
    <w:qFormat/>
    <w:tblPr/>
  </w:style>
  <w:style w:type="table" w:styleId="952" w:customStyle="1">
    <w:name w:val="网格表 21"/>
    <w:basedOn w:val="860"/>
    <w:uiPriority w:val="99"/>
    <w:qFormat/>
    <w:tblPr/>
  </w:style>
  <w:style w:type="table" w:styleId="953" w:customStyle="1">
    <w:name w:val="网格表 31"/>
    <w:basedOn w:val="860"/>
    <w:uiPriority w:val="99"/>
    <w:qFormat/>
    <w:tblPr/>
  </w:style>
  <w:style w:type="table" w:styleId="954" w:customStyle="1">
    <w:name w:val="网格表 41"/>
    <w:basedOn w:val="860"/>
    <w:uiPriority w:val="59"/>
    <w:qFormat/>
    <w:tblPr/>
  </w:style>
  <w:style w:type="table" w:styleId="955" w:customStyle="1">
    <w:name w:val="网格表 5 深色1"/>
    <w:basedOn w:val="860"/>
    <w:uiPriority w:val="99"/>
    <w:qFormat/>
    <w:tblPr/>
  </w:style>
  <w:style w:type="table" w:styleId="956" w:customStyle="1">
    <w:name w:val="网格表 6 彩色1"/>
    <w:basedOn w:val="860"/>
    <w:uiPriority w:val="99"/>
    <w:qFormat/>
    <w:tblPr/>
  </w:style>
  <w:style w:type="table" w:styleId="957" w:customStyle="1">
    <w:name w:val="网格表 7 彩色1"/>
    <w:basedOn w:val="860"/>
    <w:uiPriority w:val="99"/>
    <w:qFormat/>
    <w:tblPr/>
  </w:style>
  <w:style w:type="table" w:styleId="958" w:customStyle="1">
    <w:name w:val="清单表 1 浅色1"/>
    <w:basedOn w:val="860"/>
    <w:uiPriority w:val="99"/>
    <w:qFormat/>
    <w:tblPr/>
  </w:style>
  <w:style w:type="table" w:styleId="959" w:customStyle="1">
    <w:name w:val="清单表 21"/>
    <w:basedOn w:val="860"/>
    <w:uiPriority w:val="99"/>
    <w:qFormat/>
    <w:tblPr/>
  </w:style>
  <w:style w:type="table" w:styleId="960" w:customStyle="1">
    <w:name w:val="清单表 31"/>
    <w:basedOn w:val="860"/>
    <w:uiPriority w:val="99"/>
    <w:qFormat/>
    <w:tblPr/>
  </w:style>
  <w:style w:type="table" w:styleId="961" w:customStyle="1">
    <w:name w:val="清单表 41"/>
    <w:basedOn w:val="860"/>
    <w:uiPriority w:val="99"/>
    <w:qFormat/>
    <w:tblPr/>
  </w:style>
  <w:style w:type="table" w:styleId="962" w:customStyle="1">
    <w:name w:val="清单表 5 深色1"/>
    <w:basedOn w:val="860"/>
    <w:uiPriority w:val="99"/>
    <w:qFormat/>
    <w:tblPr/>
  </w:style>
  <w:style w:type="table" w:styleId="963" w:customStyle="1">
    <w:name w:val="清单表 6 彩色1"/>
    <w:basedOn w:val="860"/>
    <w:uiPriority w:val="99"/>
    <w:qFormat/>
    <w:tblPr/>
  </w:style>
  <w:style w:type="table" w:styleId="964" w:customStyle="1">
    <w:name w:val="清单表 7 彩色1"/>
    <w:basedOn w:val="860"/>
    <w:uiPriority w:val="99"/>
    <w:qFormat/>
    <w:tblPr/>
  </w:style>
  <w:style w:type="paragraph" w:styleId="965" w:customStyle="1">
    <w:name w:val="TOC 标题1"/>
    <w:uiPriority w:val="39"/>
    <w:unhideWhenUsed/>
    <w:qFormat/>
  </w:style>
  <w:style w:type="table" w:styleId="966" w:customStyle="1">
    <w:name w:val="无格式表格 11"/>
    <w:basedOn w:val="860"/>
    <w:uiPriority w:val="59"/>
    <w:qFormat/>
    <w:tblPr/>
  </w:style>
  <w:style w:type="table" w:styleId="967" w:customStyle="1">
    <w:name w:val="无格式表格 21"/>
    <w:basedOn w:val="860"/>
    <w:uiPriority w:val="59"/>
    <w:qFormat/>
    <w:tblPr/>
  </w:style>
  <w:style w:type="table" w:styleId="968" w:customStyle="1">
    <w:name w:val="无格式表格 31"/>
    <w:basedOn w:val="860"/>
    <w:uiPriority w:val="99"/>
    <w:qFormat/>
    <w:tblPr/>
  </w:style>
  <w:style w:type="table" w:styleId="969" w:customStyle="1">
    <w:name w:val="无格式表格 41"/>
    <w:basedOn w:val="860"/>
    <w:uiPriority w:val="99"/>
    <w:qFormat/>
    <w:tblPr/>
  </w:style>
  <w:style w:type="table" w:styleId="970" w:customStyle="1">
    <w:name w:val="无格式表格 51"/>
    <w:basedOn w:val="860"/>
    <w:uiPriority w:val="99"/>
    <w:qFormat/>
    <w:tblPr/>
  </w:style>
  <w:style w:type="table" w:styleId="971" w:customStyle="1">
    <w:name w:val="网格表 1 浅色1"/>
    <w:basedOn w:val="860"/>
    <w:uiPriority w:val="99"/>
    <w:qFormat/>
    <w:tblPr/>
  </w:style>
  <w:style w:type="table" w:styleId="972" w:customStyle="1">
    <w:name w:val="网格表 21"/>
    <w:basedOn w:val="860"/>
    <w:uiPriority w:val="99"/>
    <w:qFormat/>
    <w:tblPr/>
  </w:style>
  <w:style w:type="table" w:styleId="973" w:customStyle="1">
    <w:name w:val="网格表 31"/>
    <w:basedOn w:val="860"/>
    <w:uiPriority w:val="99"/>
    <w:qFormat/>
    <w:tblPr/>
  </w:style>
  <w:style w:type="table" w:styleId="974" w:customStyle="1">
    <w:name w:val="网格表 41"/>
    <w:basedOn w:val="860"/>
    <w:uiPriority w:val="59"/>
    <w:qFormat/>
    <w:tblPr/>
  </w:style>
  <w:style w:type="table" w:styleId="975" w:customStyle="1">
    <w:name w:val="网格表 5 深色1"/>
    <w:basedOn w:val="860"/>
    <w:uiPriority w:val="99"/>
    <w:qFormat/>
    <w:tblPr/>
  </w:style>
  <w:style w:type="table" w:styleId="976" w:customStyle="1">
    <w:name w:val="网格表 6 彩色1"/>
    <w:basedOn w:val="860"/>
    <w:uiPriority w:val="99"/>
    <w:qFormat/>
    <w:tblPr/>
  </w:style>
  <w:style w:type="table" w:styleId="977" w:customStyle="1">
    <w:name w:val="网格表 7 彩色1"/>
    <w:basedOn w:val="860"/>
    <w:uiPriority w:val="99"/>
    <w:qFormat/>
    <w:tblPr/>
  </w:style>
  <w:style w:type="table" w:styleId="978" w:customStyle="1">
    <w:name w:val="清单表 1 浅色1"/>
    <w:basedOn w:val="860"/>
    <w:uiPriority w:val="99"/>
    <w:qFormat/>
    <w:tblPr/>
  </w:style>
  <w:style w:type="table" w:styleId="979" w:customStyle="1">
    <w:name w:val="清单表 21"/>
    <w:basedOn w:val="860"/>
    <w:uiPriority w:val="99"/>
    <w:qFormat/>
    <w:tblPr/>
  </w:style>
  <w:style w:type="table" w:styleId="980" w:customStyle="1">
    <w:name w:val="清单表 31"/>
    <w:basedOn w:val="860"/>
    <w:uiPriority w:val="99"/>
    <w:qFormat/>
    <w:tblPr/>
  </w:style>
  <w:style w:type="table" w:styleId="981" w:customStyle="1">
    <w:name w:val="清单表 41"/>
    <w:basedOn w:val="860"/>
    <w:uiPriority w:val="99"/>
    <w:qFormat/>
    <w:tblPr/>
  </w:style>
  <w:style w:type="table" w:styleId="982" w:customStyle="1">
    <w:name w:val="清单表 5 深色1"/>
    <w:basedOn w:val="860"/>
    <w:uiPriority w:val="99"/>
    <w:qFormat/>
    <w:tblPr/>
  </w:style>
  <w:style w:type="table" w:styleId="983" w:customStyle="1">
    <w:name w:val="清单表 6 彩色1"/>
    <w:basedOn w:val="860"/>
    <w:uiPriority w:val="99"/>
    <w:qFormat/>
    <w:tblPr/>
  </w:style>
  <w:style w:type="table" w:styleId="984" w:customStyle="1">
    <w:name w:val="清单表 7 彩色1"/>
    <w:basedOn w:val="860"/>
    <w:uiPriority w:val="99"/>
    <w:qFormat/>
    <w:tblPr/>
  </w:style>
  <w:style w:type="paragraph" w:styleId="985" w:customStyle="1">
    <w:name w:val="TOC 标题1"/>
    <w:uiPriority w:val="39"/>
    <w:unhideWhenUsed/>
    <w:qFormat/>
  </w:style>
  <w:style w:type="paragraph" w:styleId="986" w:customStyle="1">
    <w:name w:val="Normal_21"/>
    <w:basedOn w:val="987"/>
    <w:next w:val="987"/>
    <w:qFormat/>
    <w:rPr>
      <w:rFonts w:ascii="Times New Roman" w:hAnsi="Times New Roman"/>
      <w:szCs w:val="24"/>
    </w:rPr>
  </w:style>
  <w:style w:type="paragraph" w:styleId="987" w:customStyle="1">
    <w:name w:val="正文_16"/>
    <w:qFormat/>
    <w:pPr>
      <w:jc w:val="both"/>
      <w:widowControl w:val="off"/>
    </w:pPr>
    <w:rPr>
      <w:rFonts w:ascii="Calibri" w:hAnsi="Calibri"/>
      <w:sz w:val="21"/>
      <w:szCs w:val="22"/>
    </w:rPr>
  </w:style>
  <w:style w:type="paragraph" w:styleId="988" w:customStyle="1">
    <w:name w:val="正文_17"/>
    <w:next w:val="989"/>
    <w:qFormat/>
    <w:pPr>
      <w:jc w:val="both"/>
      <w:widowControl w:val="off"/>
    </w:pPr>
    <w:rPr>
      <w:sz w:val="21"/>
      <w:szCs w:val="22"/>
    </w:rPr>
  </w:style>
  <w:style w:type="paragraph" w:styleId="989" w:customStyle="1">
    <w:name w:val="标题 4_1"/>
    <w:basedOn w:val="988"/>
    <w:next w:val="98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0" w:customStyle="1">
    <w:name w:val="Heading 1 Char"/>
    <w:uiPriority w:val="9"/>
    <w:qFormat/>
    <w:rPr>
      <w:rFonts w:ascii="Arial" w:hAnsi="Arial" w:eastAsia="Arial" w:cs="Arial"/>
      <w:sz w:val="40"/>
      <w:szCs w:val="40"/>
    </w:rPr>
  </w:style>
  <w:style w:type="character" w:styleId="991" w:customStyle="1">
    <w:name w:val="Heading 2 Char"/>
    <w:uiPriority w:val="9"/>
    <w:qFormat/>
    <w:rPr>
      <w:rFonts w:ascii="Arial" w:hAnsi="Arial" w:eastAsia="Arial" w:cs="Arial"/>
      <w:sz w:val="34"/>
    </w:rPr>
  </w:style>
  <w:style w:type="character" w:styleId="992" w:customStyle="1">
    <w:name w:val="Heading 3 Char"/>
    <w:uiPriority w:val="9"/>
    <w:qFormat/>
    <w:rPr>
      <w:rFonts w:ascii="Arial" w:hAnsi="Arial" w:eastAsia="Arial" w:cs="Arial"/>
      <w:sz w:val="30"/>
      <w:szCs w:val="30"/>
    </w:rPr>
  </w:style>
  <w:style w:type="character" w:styleId="993" w:customStyle="1">
    <w:name w:val="Heading 4 Char"/>
    <w:uiPriority w:val="9"/>
    <w:qFormat/>
    <w:rPr>
      <w:rFonts w:ascii="Arial" w:hAnsi="Arial" w:eastAsia="Arial" w:cs="Arial"/>
      <w:b/>
      <w:bCs/>
      <w:sz w:val="26"/>
      <w:szCs w:val="26"/>
    </w:rPr>
  </w:style>
  <w:style w:type="character" w:styleId="994" w:customStyle="1">
    <w:name w:val="Heading 5 Char"/>
    <w:uiPriority w:val="9"/>
    <w:qFormat/>
    <w:rPr>
      <w:rFonts w:ascii="Arial" w:hAnsi="Arial" w:eastAsia="Arial" w:cs="Arial"/>
      <w:b/>
      <w:bCs/>
      <w:sz w:val="24"/>
      <w:szCs w:val="24"/>
    </w:rPr>
  </w:style>
  <w:style w:type="character" w:styleId="995" w:customStyle="1">
    <w:name w:val="Heading 6 Char"/>
    <w:uiPriority w:val="9"/>
    <w:qFormat/>
    <w:rPr>
      <w:rFonts w:ascii="Arial" w:hAnsi="Arial" w:eastAsia="Arial" w:cs="Arial"/>
      <w:b/>
      <w:bCs/>
      <w:sz w:val="22"/>
      <w:szCs w:val="22"/>
    </w:rPr>
  </w:style>
  <w:style w:type="character" w:styleId="996" w:customStyle="1">
    <w:name w:val="Heading 7 Char"/>
    <w:uiPriority w:val="9"/>
    <w:qFormat/>
    <w:rPr>
      <w:rFonts w:ascii="Arial" w:hAnsi="Arial" w:eastAsia="Arial" w:cs="Arial"/>
      <w:b/>
      <w:bCs/>
      <w:i/>
      <w:iCs/>
      <w:sz w:val="22"/>
      <w:szCs w:val="22"/>
    </w:rPr>
  </w:style>
  <w:style w:type="character" w:styleId="997" w:customStyle="1">
    <w:name w:val="Heading 8 Char"/>
    <w:uiPriority w:val="9"/>
    <w:qFormat/>
    <w:rPr>
      <w:rFonts w:ascii="Arial" w:hAnsi="Arial" w:eastAsia="Arial" w:cs="Arial"/>
      <w:i/>
      <w:iCs/>
      <w:sz w:val="22"/>
      <w:szCs w:val="22"/>
    </w:rPr>
  </w:style>
  <w:style w:type="character" w:styleId="998" w:customStyle="1">
    <w:name w:val="Heading 9 Char"/>
    <w:uiPriority w:val="9"/>
    <w:qFormat/>
    <w:rPr>
      <w:rFonts w:ascii="Arial" w:hAnsi="Arial" w:eastAsia="Arial" w:cs="Arial"/>
      <w:i/>
      <w:iCs/>
      <w:sz w:val="21"/>
      <w:szCs w:val="21"/>
    </w:rPr>
  </w:style>
  <w:style w:type="character" w:styleId="999" w:customStyle="1">
    <w:name w:val="Title Char"/>
    <w:uiPriority w:val="10"/>
    <w:qFormat/>
    <w:rPr>
      <w:sz w:val="48"/>
      <w:szCs w:val="48"/>
    </w:rPr>
  </w:style>
  <w:style w:type="character" w:styleId="1000" w:customStyle="1">
    <w:name w:val="Subtitle Char"/>
    <w:uiPriority w:val="11"/>
    <w:qFormat/>
    <w:rPr>
      <w:sz w:val="24"/>
      <w:szCs w:val="24"/>
    </w:rPr>
  </w:style>
  <w:style w:type="character" w:styleId="1001" w:customStyle="1">
    <w:name w:val="Quote Char"/>
    <w:uiPriority w:val="29"/>
    <w:qFormat/>
    <w:rPr>
      <w:i/>
    </w:rPr>
  </w:style>
  <w:style w:type="character" w:styleId="1002" w:customStyle="1">
    <w:name w:val="Intense Quote Char"/>
    <w:uiPriority w:val="30"/>
    <w:qFormat/>
    <w:rPr>
      <w:i/>
    </w:rPr>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列表段落1"/>
    <w:basedOn w:val="786"/>
    <w:qFormat/>
    <w:pPr>
      <w:contextualSpacing/>
      <w:ind w:left="720"/>
    </w:pPr>
  </w:style>
  <w:style w:type="paragraph" w:styleId="1007" w:customStyle="1">
    <w:name w:val="无间隔1"/>
    <w:uiPriority w:val="99"/>
    <w:qFormat/>
  </w:style>
  <w:style w:type="paragraph" w:styleId="1008" w:customStyle="1">
    <w:name w:val="引用1"/>
    <w:basedOn w:val="786"/>
    <w:next w:val="786"/>
    <w:link w:val="1009"/>
    <w:uiPriority w:val="29"/>
    <w:qFormat/>
    <w:pPr>
      <w:ind w:left="720" w:right="720"/>
    </w:pPr>
    <w:rPr>
      <w:i/>
    </w:rPr>
  </w:style>
  <w:style w:type="character" w:styleId="1009" w:customStyle="1">
    <w:name w:val="引用 字符"/>
    <w:link w:val="1008"/>
    <w:uiPriority w:val="29"/>
    <w:qFormat/>
    <w:rPr>
      <w:i/>
    </w:rPr>
  </w:style>
  <w:style w:type="paragraph" w:styleId="1010" w:customStyle="1">
    <w:name w:val="明显引用1"/>
    <w:basedOn w:val="786"/>
    <w:next w:val="786"/>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字符"/>
    <w:link w:val="1010"/>
    <w:uiPriority w:val="30"/>
    <w:qFormat/>
    <w:rPr>
      <w:i/>
    </w:rPr>
  </w:style>
  <w:style w:type="character" w:styleId="1012" w:customStyle="1">
    <w:name w:val="Header Char"/>
    <w:uiPriority w:val="99"/>
    <w:qFormat/>
  </w:style>
  <w:style w:type="character" w:styleId="1013" w:customStyle="1">
    <w:name w:val="Footer Char"/>
    <w:uiPriority w:val="99"/>
    <w:qFormat/>
  </w:style>
  <w:style w:type="table" w:styleId="1014" w:customStyle="1">
    <w:name w:val="Table Grid Light"/>
    <w:basedOn w:val="860"/>
    <w:uiPriority w:val="59"/>
    <w:qFormat/>
    <w:tblPr/>
  </w:style>
  <w:style w:type="table" w:styleId="1015" w:customStyle="1">
    <w:name w:val="Grid Table 1 Light - Accent 1"/>
    <w:basedOn w:val="860"/>
    <w:uiPriority w:val="99"/>
    <w:qFormat/>
    <w:tblPr/>
  </w:style>
  <w:style w:type="table" w:styleId="1016" w:customStyle="1">
    <w:name w:val="Grid Table 1 Light - Accent 2"/>
    <w:basedOn w:val="860"/>
    <w:uiPriority w:val="99"/>
    <w:qFormat/>
    <w:tblPr/>
  </w:style>
  <w:style w:type="table" w:styleId="1017" w:customStyle="1">
    <w:name w:val="Grid Table 1 Light - Accent 3"/>
    <w:basedOn w:val="860"/>
    <w:uiPriority w:val="99"/>
    <w:qFormat/>
    <w:tblPr/>
  </w:style>
  <w:style w:type="table" w:styleId="1018" w:customStyle="1">
    <w:name w:val="Grid Table 1 Light - Accent 4"/>
    <w:basedOn w:val="860"/>
    <w:uiPriority w:val="99"/>
    <w:qFormat/>
    <w:tblPr/>
  </w:style>
  <w:style w:type="table" w:styleId="1019" w:customStyle="1">
    <w:name w:val="Grid Table 1 Light - Accent 5"/>
    <w:basedOn w:val="860"/>
    <w:uiPriority w:val="99"/>
    <w:qFormat/>
    <w:tblPr/>
  </w:style>
  <w:style w:type="table" w:styleId="1020" w:customStyle="1">
    <w:name w:val="Grid Table 1 Light - Accent 6"/>
    <w:basedOn w:val="860"/>
    <w:uiPriority w:val="99"/>
    <w:qFormat/>
    <w:tblPr/>
  </w:style>
  <w:style w:type="table" w:styleId="1021" w:customStyle="1">
    <w:name w:val="Grid Table 2 - Accent 1"/>
    <w:basedOn w:val="860"/>
    <w:uiPriority w:val="99"/>
    <w:qFormat/>
    <w:tblPr/>
  </w:style>
  <w:style w:type="table" w:styleId="1022" w:customStyle="1">
    <w:name w:val="Grid Table 2 - Accent 2"/>
    <w:basedOn w:val="860"/>
    <w:uiPriority w:val="99"/>
    <w:qFormat/>
    <w:tblPr/>
  </w:style>
  <w:style w:type="table" w:styleId="1023" w:customStyle="1">
    <w:name w:val="Grid Table 2 - Accent 3"/>
    <w:basedOn w:val="860"/>
    <w:uiPriority w:val="99"/>
    <w:qFormat/>
    <w:tblPr/>
  </w:style>
  <w:style w:type="table" w:styleId="1024" w:customStyle="1">
    <w:name w:val="Grid Table 2 - Accent 4"/>
    <w:basedOn w:val="860"/>
    <w:uiPriority w:val="99"/>
    <w:qFormat/>
    <w:tblPr/>
  </w:style>
  <w:style w:type="table" w:styleId="1025" w:customStyle="1">
    <w:name w:val="Grid Table 2 - Accent 5"/>
    <w:basedOn w:val="860"/>
    <w:uiPriority w:val="99"/>
    <w:qFormat/>
    <w:tblPr/>
  </w:style>
  <w:style w:type="table" w:styleId="1026" w:customStyle="1">
    <w:name w:val="Grid Table 2 - Accent 6"/>
    <w:basedOn w:val="860"/>
    <w:uiPriority w:val="99"/>
    <w:qFormat/>
    <w:tblPr/>
  </w:style>
  <w:style w:type="table" w:styleId="1027" w:customStyle="1">
    <w:name w:val="Grid Table 3 - Accent 1"/>
    <w:basedOn w:val="860"/>
    <w:uiPriority w:val="99"/>
    <w:qFormat/>
    <w:tblPr/>
  </w:style>
  <w:style w:type="table" w:styleId="1028" w:customStyle="1">
    <w:name w:val="Grid Table 3 - Accent 2"/>
    <w:basedOn w:val="860"/>
    <w:uiPriority w:val="99"/>
    <w:qFormat/>
    <w:tblPr/>
  </w:style>
  <w:style w:type="table" w:styleId="1029" w:customStyle="1">
    <w:name w:val="Grid Table 3 - Accent 3"/>
    <w:basedOn w:val="860"/>
    <w:uiPriority w:val="99"/>
    <w:qFormat/>
    <w:tblPr/>
  </w:style>
  <w:style w:type="table" w:styleId="1030" w:customStyle="1">
    <w:name w:val="Grid Table 3 - Accent 4"/>
    <w:basedOn w:val="860"/>
    <w:uiPriority w:val="99"/>
    <w:qFormat/>
    <w:tblPr/>
  </w:style>
  <w:style w:type="table" w:styleId="1031" w:customStyle="1">
    <w:name w:val="Grid Table 3 - Accent 5"/>
    <w:basedOn w:val="860"/>
    <w:uiPriority w:val="99"/>
    <w:qFormat/>
    <w:tblPr/>
  </w:style>
  <w:style w:type="table" w:styleId="1032" w:customStyle="1">
    <w:name w:val="Grid Table 3 - Accent 6"/>
    <w:basedOn w:val="860"/>
    <w:uiPriority w:val="99"/>
    <w:qFormat/>
    <w:tblPr/>
  </w:style>
  <w:style w:type="table" w:styleId="1033" w:customStyle="1">
    <w:name w:val="Grid Table 4 - Accent 1"/>
    <w:basedOn w:val="860"/>
    <w:uiPriority w:val="59"/>
    <w:qFormat/>
    <w:tblPr/>
  </w:style>
  <w:style w:type="table" w:styleId="1034" w:customStyle="1">
    <w:name w:val="Grid Table 4 - Accent 2"/>
    <w:basedOn w:val="860"/>
    <w:uiPriority w:val="59"/>
    <w:qFormat/>
    <w:tblPr/>
  </w:style>
  <w:style w:type="table" w:styleId="1035" w:customStyle="1">
    <w:name w:val="Grid Table 4 - Accent 3"/>
    <w:basedOn w:val="860"/>
    <w:uiPriority w:val="59"/>
    <w:qFormat/>
    <w:tblPr/>
  </w:style>
  <w:style w:type="table" w:styleId="1036" w:customStyle="1">
    <w:name w:val="Grid Table 4 - Accent 4"/>
    <w:basedOn w:val="860"/>
    <w:uiPriority w:val="59"/>
    <w:qFormat/>
    <w:tblPr/>
  </w:style>
  <w:style w:type="table" w:styleId="1037" w:customStyle="1">
    <w:name w:val="Grid Table 4 - Accent 5"/>
    <w:basedOn w:val="860"/>
    <w:uiPriority w:val="59"/>
    <w:qFormat/>
    <w:tblPr/>
  </w:style>
  <w:style w:type="table" w:styleId="1038" w:customStyle="1">
    <w:name w:val="Grid Table 4 - Accent 6"/>
    <w:basedOn w:val="860"/>
    <w:uiPriority w:val="59"/>
    <w:qFormat/>
    <w:tblPr/>
  </w:style>
  <w:style w:type="table" w:styleId="1039" w:customStyle="1">
    <w:name w:val="Grid Table 5 Dark- Accent 1"/>
    <w:basedOn w:val="860"/>
    <w:uiPriority w:val="99"/>
    <w:qFormat/>
    <w:tblPr/>
  </w:style>
  <w:style w:type="table" w:styleId="1040" w:customStyle="1">
    <w:name w:val="Grid Table 5 Dark - Accent 2"/>
    <w:basedOn w:val="860"/>
    <w:uiPriority w:val="99"/>
    <w:qFormat/>
    <w:tblPr/>
  </w:style>
  <w:style w:type="table" w:styleId="1041" w:customStyle="1">
    <w:name w:val="Grid Table 5 Dark - Accent 3"/>
    <w:basedOn w:val="860"/>
    <w:uiPriority w:val="99"/>
    <w:qFormat/>
    <w:tblPr/>
  </w:style>
  <w:style w:type="table" w:styleId="1042" w:customStyle="1">
    <w:name w:val="Grid Table 5 Dark- Accent 4"/>
    <w:basedOn w:val="860"/>
    <w:uiPriority w:val="99"/>
    <w:qFormat/>
    <w:tblPr/>
  </w:style>
  <w:style w:type="table" w:styleId="1043" w:customStyle="1">
    <w:name w:val="Grid Table 5 Dark - Accent 5"/>
    <w:basedOn w:val="860"/>
    <w:uiPriority w:val="99"/>
    <w:qFormat/>
    <w:tblPr/>
  </w:style>
  <w:style w:type="table" w:styleId="1044" w:customStyle="1">
    <w:name w:val="Grid Table 5 Dark - Accent 6"/>
    <w:basedOn w:val="860"/>
    <w:uiPriority w:val="99"/>
    <w:qFormat/>
    <w:tblPr/>
  </w:style>
  <w:style w:type="table" w:styleId="1045" w:customStyle="1">
    <w:name w:val="Grid Table 6 Colorful - Accent 1"/>
    <w:basedOn w:val="860"/>
    <w:uiPriority w:val="99"/>
    <w:qFormat/>
    <w:tblPr/>
  </w:style>
  <w:style w:type="table" w:styleId="1046" w:customStyle="1">
    <w:name w:val="Grid Table 6 Colorful - Accent 2"/>
    <w:basedOn w:val="860"/>
    <w:uiPriority w:val="99"/>
    <w:qFormat/>
    <w:tblPr/>
  </w:style>
  <w:style w:type="table" w:styleId="1047" w:customStyle="1">
    <w:name w:val="Grid Table 6 Colorful - Accent 3"/>
    <w:basedOn w:val="860"/>
    <w:uiPriority w:val="99"/>
    <w:qFormat/>
    <w:tblPr/>
  </w:style>
  <w:style w:type="table" w:styleId="1048" w:customStyle="1">
    <w:name w:val="Grid Table 6 Colorful - Accent 4"/>
    <w:basedOn w:val="860"/>
    <w:uiPriority w:val="99"/>
    <w:qFormat/>
    <w:tblPr/>
  </w:style>
  <w:style w:type="table" w:styleId="1049" w:customStyle="1">
    <w:name w:val="Grid Table 6 Colorful - Accent 5"/>
    <w:basedOn w:val="860"/>
    <w:uiPriority w:val="99"/>
    <w:qFormat/>
    <w:tblPr/>
  </w:style>
  <w:style w:type="table" w:styleId="1050" w:customStyle="1">
    <w:name w:val="Grid Table 6 Colorful - Accent 6"/>
    <w:basedOn w:val="860"/>
    <w:uiPriority w:val="99"/>
    <w:qFormat/>
    <w:tblPr/>
  </w:style>
  <w:style w:type="table" w:styleId="1051" w:customStyle="1">
    <w:name w:val="Grid Table 7 Colorful - Accent 1"/>
    <w:basedOn w:val="860"/>
    <w:uiPriority w:val="99"/>
    <w:qFormat/>
    <w:tblPr/>
  </w:style>
  <w:style w:type="table" w:styleId="1052" w:customStyle="1">
    <w:name w:val="Grid Table 7 Colorful - Accent 2"/>
    <w:basedOn w:val="860"/>
    <w:uiPriority w:val="99"/>
    <w:qFormat/>
    <w:tblPr/>
  </w:style>
  <w:style w:type="table" w:styleId="1053" w:customStyle="1">
    <w:name w:val="Grid Table 7 Colorful - Accent 3"/>
    <w:basedOn w:val="860"/>
    <w:uiPriority w:val="99"/>
    <w:qFormat/>
    <w:tblPr/>
  </w:style>
  <w:style w:type="table" w:styleId="1054" w:customStyle="1">
    <w:name w:val="Grid Table 7 Colorful - Accent 4"/>
    <w:basedOn w:val="860"/>
    <w:uiPriority w:val="99"/>
    <w:qFormat/>
    <w:tblPr/>
  </w:style>
  <w:style w:type="table" w:styleId="1055" w:customStyle="1">
    <w:name w:val="Grid Table 7 Colorful - Accent 5"/>
    <w:basedOn w:val="860"/>
    <w:uiPriority w:val="99"/>
    <w:qFormat/>
    <w:tblPr/>
  </w:style>
  <w:style w:type="table" w:styleId="1056" w:customStyle="1">
    <w:name w:val="Grid Table 7 Colorful - Accent 6"/>
    <w:basedOn w:val="860"/>
    <w:uiPriority w:val="99"/>
    <w:qFormat/>
    <w:tblPr/>
  </w:style>
  <w:style w:type="table" w:styleId="1057" w:customStyle="1">
    <w:name w:val="List Table 1 Light - Accent 1"/>
    <w:basedOn w:val="860"/>
    <w:uiPriority w:val="99"/>
    <w:qFormat/>
    <w:tblPr/>
  </w:style>
  <w:style w:type="table" w:styleId="1058" w:customStyle="1">
    <w:name w:val="List Table 1 Light - Accent 2"/>
    <w:basedOn w:val="860"/>
    <w:uiPriority w:val="99"/>
    <w:qFormat/>
    <w:tblPr/>
  </w:style>
  <w:style w:type="table" w:styleId="1059" w:customStyle="1">
    <w:name w:val="List Table 1 Light - Accent 3"/>
    <w:basedOn w:val="860"/>
    <w:uiPriority w:val="99"/>
    <w:qFormat/>
    <w:tblPr/>
  </w:style>
  <w:style w:type="table" w:styleId="1060" w:customStyle="1">
    <w:name w:val="List Table 1 Light - Accent 4"/>
    <w:basedOn w:val="860"/>
    <w:uiPriority w:val="99"/>
    <w:qFormat/>
    <w:tblPr/>
  </w:style>
  <w:style w:type="table" w:styleId="1061" w:customStyle="1">
    <w:name w:val="List Table 1 Light - Accent 5"/>
    <w:basedOn w:val="860"/>
    <w:uiPriority w:val="99"/>
    <w:qFormat/>
    <w:tblPr/>
  </w:style>
  <w:style w:type="table" w:styleId="1062" w:customStyle="1">
    <w:name w:val="List Table 1 Light - Accent 6"/>
    <w:basedOn w:val="860"/>
    <w:uiPriority w:val="99"/>
    <w:qFormat/>
    <w:tblPr/>
  </w:style>
  <w:style w:type="table" w:styleId="1063" w:customStyle="1">
    <w:name w:val="List Table 2 - Accent 1"/>
    <w:basedOn w:val="860"/>
    <w:uiPriority w:val="99"/>
    <w:qFormat/>
    <w:tblPr/>
  </w:style>
  <w:style w:type="table" w:styleId="1064" w:customStyle="1">
    <w:name w:val="List Table 2 - Accent 2"/>
    <w:basedOn w:val="860"/>
    <w:uiPriority w:val="99"/>
    <w:qFormat/>
    <w:tblPr/>
  </w:style>
  <w:style w:type="table" w:styleId="1065" w:customStyle="1">
    <w:name w:val="List Table 2 - Accent 3"/>
    <w:basedOn w:val="860"/>
    <w:uiPriority w:val="99"/>
    <w:qFormat/>
    <w:tblPr/>
  </w:style>
  <w:style w:type="table" w:styleId="1066" w:customStyle="1">
    <w:name w:val="List Table 2 - Accent 4"/>
    <w:basedOn w:val="860"/>
    <w:uiPriority w:val="99"/>
    <w:qFormat/>
    <w:tblPr/>
  </w:style>
  <w:style w:type="table" w:styleId="1067" w:customStyle="1">
    <w:name w:val="List Table 2 - Accent 5"/>
    <w:basedOn w:val="860"/>
    <w:uiPriority w:val="99"/>
    <w:qFormat/>
    <w:tblPr/>
  </w:style>
  <w:style w:type="table" w:styleId="1068" w:customStyle="1">
    <w:name w:val="List Table 2 - Accent 6"/>
    <w:basedOn w:val="860"/>
    <w:uiPriority w:val="99"/>
    <w:qFormat/>
    <w:tblPr/>
  </w:style>
  <w:style w:type="table" w:styleId="1069" w:customStyle="1">
    <w:name w:val="List Table 3 - Accent 1"/>
    <w:basedOn w:val="860"/>
    <w:uiPriority w:val="99"/>
    <w:qFormat/>
    <w:tblPr/>
  </w:style>
  <w:style w:type="table" w:styleId="1070" w:customStyle="1">
    <w:name w:val="List Table 3 - Accent 2"/>
    <w:basedOn w:val="860"/>
    <w:uiPriority w:val="99"/>
    <w:qFormat/>
    <w:tblPr/>
  </w:style>
  <w:style w:type="table" w:styleId="1071" w:customStyle="1">
    <w:name w:val="List Table 3 - Accent 3"/>
    <w:basedOn w:val="860"/>
    <w:uiPriority w:val="99"/>
    <w:qFormat/>
    <w:tblPr/>
  </w:style>
  <w:style w:type="table" w:styleId="1072" w:customStyle="1">
    <w:name w:val="List Table 3 - Accent 4"/>
    <w:basedOn w:val="860"/>
    <w:uiPriority w:val="99"/>
    <w:qFormat/>
    <w:tblPr/>
  </w:style>
  <w:style w:type="table" w:styleId="1073" w:customStyle="1">
    <w:name w:val="List Table 3 - Accent 5"/>
    <w:basedOn w:val="860"/>
    <w:uiPriority w:val="99"/>
    <w:qFormat/>
    <w:tblPr/>
  </w:style>
  <w:style w:type="table" w:styleId="1074" w:customStyle="1">
    <w:name w:val="List Table 3 - Accent 6"/>
    <w:basedOn w:val="860"/>
    <w:uiPriority w:val="99"/>
    <w:qFormat/>
    <w:tblPr/>
  </w:style>
  <w:style w:type="table" w:styleId="1075" w:customStyle="1">
    <w:name w:val="List Table 4 - Accent 1"/>
    <w:basedOn w:val="860"/>
    <w:uiPriority w:val="99"/>
    <w:qFormat/>
    <w:tblPr/>
  </w:style>
  <w:style w:type="table" w:styleId="1076" w:customStyle="1">
    <w:name w:val="List Table 4 - Accent 2"/>
    <w:basedOn w:val="860"/>
    <w:uiPriority w:val="99"/>
    <w:qFormat/>
    <w:tblPr/>
  </w:style>
  <w:style w:type="table" w:styleId="1077" w:customStyle="1">
    <w:name w:val="List Table 4 - Accent 3"/>
    <w:basedOn w:val="860"/>
    <w:uiPriority w:val="99"/>
    <w:qFormat/>
    <w:tblPr/>
  </w:style>
  <w:style w:type="table" w:styleId="1078" w:customStyle="1">
    <w:name w:val="List Table 4 - Accent 4"/>
    <w:basedOn w:val="860"/>
    <w:uiPriority w:val="99"/>
    <w:qFormat/>
    <w:tblPr/>
  </w:style>
  <w:style w:type="table" w:styleId="1079" w:customStyle="1">
    <w:name w:val="List Table 4 - Accent 5"/>
    <w:basedOn w:val="860"/>
    <w:uiPriority w:val="99"/>
    <w:qFormat/>
    <w:tblPr/>
  </w:style>
  <w:style w:type="table" w:styleId="1080" w:customStyle="1">
    <w:name w:val="List Table 4 - Accent 6"/>
    <w:basedOn w:val="860"/>
    <w:uiPriority w:val="99"/>
    <w:qFormat/>
    <w:tblPr/>
  </w:style>
  <w:style w:type="table" w:styleId="1081" w:customStyle="1">
    <w:name w:val="List Table 5 Dark - Accent 1"/>
    <w:basedOn w:val="860"/>
    <w:uiPriority w:val="99"/>
    <w:qFormat/>
    <w:tblPr/>
  </w:style>
  <w:style w:type="table" w:styleId="1082" w:customStyle="1">
    <w:name w:val="List Table 5 Dark - Accent 2"/>
    <w:basedOn w:val="860"/>
    <w:uiPriority w:val="99"/>
    <w:qFormat/>
    <w:tblPr/>
  </w:style>
  <w:style w:type="table" w:styleId="1083" w:customStyle="1">
    <w:name w:val="List Table 5 Dark - Accent 3"/>
    <w:basedOn w:val="860"/>
    <w:uiPriority w:val="99"/>
    <w:qFormat/>
    <w:tblPr/>
  </w:style>
  <w:style w:type="table" w:styleId="1084" w:customStyle="1">
    <w:name w:val="List Table 5 Dark - Accent 4"/>
    <w:basedOn w:val="860"/>
    <w:uiPriority w:val="99"/>
    <w:qFormat/>
    <w:tblPr/>
  </w:style>
  <w:style w:type="table" w:styleId="1085" w:customStyle="1">
    <w:name w:val="List Table 5 Dark - Accent 5"/>
    <w:basedOn w:val="860"/>
    <w:uiPriority w:val="99"/>
    <w:qFormat/>
    <w:tblPr/>
  </w:style>
  <w:style w:type="table" w:styleId="1086" w:customStyle="1">
    <w:name w:val="List Table 5 Dark - Accent 6"/>
    <w:basedOn w:val="860"/>
    <w:uiPriority w:val="99"/>
    <w:qFormat/>
    <w:tblPr/>
  </w:style>
  <w:style w:type="table" w:styleId="1087" w:customStyle="1">
    <w:name w:val="List Table 6 Colorful - Accent 1"/>
    <w:basedOn w:val="860"/>
    <w:uiPriority w:val="99"/>
    <w:qFormat/>
    <w:tblPr/>
  </w:style>
  <w:style w:type="table" w:styleId="1088" w:customStyle="1">
    <w:name w:val="List Table 6 Colorful - Accent 2"/>
    <w:basedOn w:val="860"/>
    <w:uiPriority w:val="99"/>
    <w:qFormat/>
    <w:tblPr/>
  </w:style>
  <w:style w:type="table" w:styleId="1089" w:customStyle="1">
    <w:name w:val="List Table 6 Colorful - Accent 3"/>
    <w:basedOn w:val="860"/>
    <w:uiPriority w:val="99"/>
    <w:qFormat/>
    <w:tblPr/>
  </w:style>
  <w:style w:type="table" w:styleId="1090" w:customStyle="1">
    <w:name w:val="List Table 6 Colorful - Accent 4"/>
    <w:basedOn w:val="860"/>
    <w:uiPriority w:val="99"/>
    <w:qFormat/>
    <w:tblPr/>
  </w:style>
  <w:style w:type="table" w:styleId="1091" w:customStyle="1">
    <w:name w:val="List Table 6 Colorful - Accent 5"/>
    <w:basedOn w:val="860"/>
    <w:uiPriority w:val="99"/>
    <w:qFormat/>
    <w:tblPr/>
  </w:style>
  <w:style w:type="table" w:styleId="1092" w:customStyle="1">
    <w:name w:val="List Table 6 Colorful - Accent 6"/>
    <w:basedOn w:val="860"/>
    <w:uiPriority w:val="99"/>
    <w:qFormat/>
    <w:tblPr/>
  </w:style>
  <w:style w:type="table" w:styleId="1093" w:customStyle="1">
    <w:name w:val="List Table 7 Colorful - Accent 1"/>
    <w:basedOn w:val="860"/>
    <w:uiPriority w:val="99"/>
    <w:qFormat/>
    <w:tblPr/>
  </w:style>
  <w:style w:type="table" w:styleId="1094" w:customStyle="1">
    <w:name w:val="List Table 7 Colorful - Accent 2"/>
    <w:basedOn w:val="860"/>
    <w:uiPriority w:val="99"/>
    <w:qFormat/>
    <w:tblPr/>
  </w:style>
  <w:style w:type="table" w:styleId="1095" w:customStyle="1">
    <w:name w:val="List Table 7 Colorful - Accent 3"/>
    <w:basedOn w:val="860"/>
    <w:uiPriority w:val="99"/>
    <w:qFormat/>
    <w:tblPr/>
  </w:style>
  <w:style w:type="table" w:styleId="1096" w:customStyle="1">
    <w:name w:val="List Table 7 Colorful - Accent 4"/>
    <w:basedOn w:val="860"/>
    <w:uiPriority w:val="99"/>
    <w:qFormat/>
    <w:tblPr/>
  </w:style>
  <w:style w:type="table" w:styleId="1097" w:customStyle="1">
    <w:name w:val="List Table 7 Colorful - Accent 5"/>
    <w:basedOn w:val="860"/>
    <w:uiPriority w:val="99"/>
    <w:qFormat/>
    <w:tblPr/>
  </w:style>
  <w:style w:type="table" w:styleId="1098" w:customStyle="1">
    <w:name w:val="List Table 7 Colorful - Accent 6"/>
    <w:basedOn w:val="860"/>
    <w:uiPriority w:val="99"/>
    <w:qFormat/>
    <w:tblPr/>
  </w:style>
  <w:style w:type="table" w:styleId="1099" w:customStyle="1">
    <w:name w:val="Lined - Accent"/>
    <w:basedOn w:val="860"/>
    <w:uiPriority w:val="99"/>
    <w:qFormat/>
    <w:rPr>
      <w:color w:val="404040"/>
    </w:rPr>
    <w:tblPr/>
  </w:style>
  <w:style w:type="table" w:styleId="1100" w:customStyle="1">
    <w:name w:val="Lined - Accent 1"/>
    <w:basedOn w:val="860"/>
    <w:uiPriority w:val="99"/>
    <w:qFormat/>
    <w:rPr>
      <w:color w:val="404040"/>
    </w:rPr>
    <w:tblPr/>
  </w:style>
  <w:style w:type="table" w:styleId="1101" w:customStyle="1">
    <w:name w:val="Lined - Accent 2"/>
    <w:basedOn w:val="860"/>
    <w:uiPriority w:val="99"/>
    <w:qFormat/>
    <w:rPr>
      <w:color w:val="404040"/>
    </w:rPr>
    <w:tblPr/>
  </w:style>
  <w:style w:type="table" w:styleId="1102" w:customStyle="1">
    <w:name w:val="Lined - Accent 3"/>
    <w:basedOn w:val="860"/>
    <w:uiPriority w:val="99"/>
    <w:qFormat/>
    <w:rPr>
      <w:color w:val="404040"/>
    </w:rPr>
    <w:tblPr/>
  </w:style>
  <w:style w:type="table" w:styleId="1103" w:customStyle="1">
    <w:name w:val="Lined - Accent 4"/>
    <w:basedOn w:val="860"/>
    <w:uiPriority w:val="99"/>
    <w:qFormat/>
    <w:rPr>
      <w:color w:val="404040"/>
    </w:rPr>
    <w:tblPr/>
  </w:style>
  <w:style w:type="table" w:styleId="1104" w:customStyle="1">
    <w:name w:val="Lined - Accent 5"/>
    <w:basedOn w:val="860"/>
    <w:uiPriority w:val="99"/>
    <w:qFormat/>
    <w:rPr>
      <w:color w:val="404040"/>
    </w:rPr>
    <w:tblPr/>
  </w:style>
  <w:style w:type="table" w:styleId="1105" w:customStyle="1">
    <w:name w:val="Lined - Accent 6"/>
    <w:basedOn w:val="860"/>
    <w:uiPriority w:val="99"/>
    <w:qFormat/>
    <w:rPr>
      <w:color w:val="404040"/>
    </w:rPr>
    <w:tblPr/>
  </w:style>
  <w:style w:type="table" w:styleId="1106" w:customStyle="1">
    <w:name w:val="Bordered &amp; Lined - Accent"/>
    <w:basedOn w:val="860"/>
    <w:uiPriority w:val="99"/>
    <w:qFormat/>
    <w:rPr>
      <w:color w:val="404040"/>
    </w:rPr>
    <w:tblPr/>
  </w:style>
  <w:style w:type="table" w:styleId="1107" w:customStyle="1">
    <w:name w:val="Bordered &amp; Lined - Accent 1"/>
    <w:basedOn w:val="860"/>
    <w:uiPriority w:val="99"/>
    <w:qFormat/>
    <w:rPr>
      <w:color w:val="404040"/>
    </w:rPr>
    <w:tblPr/>
  </w:style>
  <w:style w:type="table" w:styleId="1108" w:customStyle="1">
    <w:name w:val="Bordered &amp; Lined - Accent 2"/>
    <w:basedOn w:val="860"/>
    <w:uiPriority w:val="99"/>
    <w:qFormat/>
    <w:rPr>
      <w:color w:val="404040"/>
    </w:rPr>
    <w:tblPr/>
  </w:style>
  <w:style w:type="table" w:styleId="1109" w:customStyle="1">
    <w:name w:val="Bordered &amp; Lined - Accent 3"/>
    <w:basedOn w:val="860"/>
    <w:uiPriority w:val="99"/>
    <w:qFormat/>
    <w:rPr>
      <w:color w:val="404040"/>
    </w:rPr>
    <w:tblPr/>
  </w:style>
  <w:style w:type="table" w:styleId="1110" w:customStyle="1">
    <w:name w:val="Bordered &amp; Lined - Accent 4"/>
    <w:basedOn w:val="860"/>
    <w:uiPriority w:val="99"/>
    <w:qFormat/>
    <w:rPr>
      <w:color w:val="404040"/>
    </w:rPr>
    <w:tblPr/>
  </w:style>
  <w:style w:type="table" w:styleId="1111" w:customStyle="1">
    <w:name w:val="Bordered &amp; Lined - Accent 5"/>
    <w:basedOn w:val="860"/>
    <w:uiPriority w:val="99"/>
    <w:qFormat/>
    <w:rPr>
      <w:color w:val="404040"/>
    </w:rPr>
    <w:tblPr/>
  </w:style>
  <w:style w:type="table" w:styleId="1112" w:customStyle="1">
    <w:name w:val="Bordered &amp; Lined - Accent 6"/>
    <w:basedOn w:val="860"/>
    <w:uiPriority w:val="99"/>
    <w:qFormat/>
    <w:rPr>
      <w:color w:val="404040"/>
    </w:rPr>
    <w:tblPr/>
  </w:style>
  <w:style w:type="table" w:styleId="1113" w:customStyle="1">
    <w:name w:val="Bordered"/>
    <w:basedOn w:val="860"/>
    <w:uiPriority w:val="99"/>
    <w:qFormat/>
    <w:tblPr/>
  </w:style>
  <w:style w:type="table" w:styleId="1114" w:customStyle="1">
    <w:name w:val="Bordered - Accent 1"/>
    <w:basedOn w:val="860"/>
    <w:uiPriority w:val="99"/>
    <w:qFormat/>
    <w:tblPr/>
  </w:style>
  <w:style w:type="table" w:styleId="1115" w:customStyle="1">
    <w:name w:val="Bordered - Accent 2"/>
    <w:basedOn w:val="860"/>
    <w:uiPriority w:val="99"/>
    <w:qFormat/>
    <w:tblPr/>
  </w:style>
  <w:style w:type="table" w:styleId="1116" w:customStyle="1">
    <w:name w:val="Bordered - Accent 3"/>
    <w:basedOn w:val="860"/>
    <w:uiPriority w:val="99"/>
    <w:qFormat/>
    <w:tblPr/>
  </w:style>
  <w:style w:type="table" w:styleId="1117" w:customStyle="1">
    <w:name w:val="Bordered - Accent 4"/>
    <w:basedOn w:val="860"/>
    <w:uiPriority w:val="99"/>
    <w:qFormat/>
    <w:tblPr/>
  </w:style>
  <w:style w:type="table" w:styleId="1118" w:customStyle="1">
    <w:name w:val="Bordered - Accent 5"/>
    <w:basedOn w:val="860"/>
    <w:uiPriority w:val="99"/>
    <w:qFormat/>
    <w:tblPr/>
  </w:style>
  <w:style w:type="table" w:styleId="1119" w:customStyle="1">
    <w:name w:val="Bordered - Accent 6"/>
    <w:basedOn w:val="860"/>
    <w:uiPriority w:val="99"/>
    <w:qFormat/>
    <w:tblPr/>
  </w:style>
  <w:style w:type="paragraph" w:styleId="1120" w:customStyle="1">
    <w:name w:val="TOC 标题11"/>
    <w:uiPriority w:val="39"/>
    <w:unhideWhenUsed/>
    <w:qFormat/>
  </w:style>
  <w:style w:type="paragraph" w:styleId="1121" w:customStyle="1">
    <w:name w:val="Normal_0"/>
    <w:qFormat/>
    <w:rPr>
      <w:rFonts w:ascii="黑体" w:hAnsi="黑体" w:eastAsia="黑体"/>
      <w:b/>
      <w:sz w:val="32"/>
      <w:szCs w:val="24"/>
    </w:rPr>
  </w:style>
  <w:style w:type="paragraph" w:styleId="1122" w:customStyle="1">
    <w:name w:val="正文1"/>
    <w:next w:val="937"/>
    <w:qFormat/>
    <w:rPr>
      <w:rFonts w:eastAsia="Times New Roman"/>
      <w:sz w:val="24"/>
      <w:szCs w:val="24"/>
    </w:rPr>
  </w:style>
  <w:style w:type="paragraph" w:styleId="1123" w:customStyle="1">
    <w:name w:val="Normal_0_3"/>
    <w:qFormat/>
    <w:rPr>
      <w:rFonts w:ascii="黑体" w:hAnsi="黑体" w:eastAsia="黑体" w:cs="黑体"/>
      <w:b/>
      <w:sz w:val="32"/>
      <w:szCs w:val="24"/>
    </w:rPr>
  </w:style>
  <w:style w:type="paragraph" w:styleId="1124" w:customStyle="1">
    <w:name w:val="正文首行缩进 2_0"/>
    <w:basedOn w:val="1125"/>
    <w:qFormat/>
    <w:pPr>
      <w:ind w:left="200" w:firstLine="200"/>
      <w:spacing w:after="120"/>
    </w:pPr>
    <w:rPr>
      <w:rFonts w:ascii="Times New Roman" w:hAnsi="Times New Roman"/>
      <w:sz w:val="24"/>
      <w:szCs w:val="24"/>
    </w:rPr>
  </w:style>
  <w:style w:type="paragraph" w:styleId="1125" w:customStyle="1">
    <w:name w:val="正文文本缩进_0"/>
    <w:basedOn w:val="1126"/>
    <w:qFormat/>
    <w:pPr>
      <w:ind w:firstLine="225"/>
    </w:pPr>
    <w:rPr>
      <w:rFonts w:ascii="仿宋_GB2312" w:eastAsia="仿宋_GB2312"/>
      <w:sz w:val="32"/>
    </w:rPr>
  </w:style>
  <w:style w:type="paragraph" w:styleId="1126" w:customStyle="1">
    <w:name w:val="正文_2"/>
    <w:next w:val="1127"/>
    <w:qFormat/>
    <w:pPr>
      <w:jc w:val="both"/>
      <w:widowControl w:val="off"/>
    </w:pPr>
    <w:rPr>
      <w:rFonts w:ascii="Calibri" w:hAnsi="Calibri"/>
      <w:sz w:val="21"/>
      <w:szCs w:val="22"/>
    </w:rPr>
  </w:style>
  <w:style w:type="paragraph" w:styleId="1127" w:customStyle="1">
    <w:name w:val="段_0"/>
    <w:next w:val="1126"/>
    <w:uiPriority w:val="99"/>
    <w:qFormat/>
    <w:pPr>
      <w:ind w:firstLine="200"/>
      <w:jc w:val="both"/>
    </w:pPr>
    <w:rPr>
      <w:rFonts w:ascii="宋体"/>
      <w:sz w:val="21"/>
    </w:rPr>
  </w:style>
  <w:style w:type="paragraph" w:styleId="1128" w:customStyle="1">
    <w:name w:val="Normal_0_2"/>
    <w:next w:val="1129"/>
    <w:qFormat/>
    <w:rPr>
      <w:rFonts w:ascii="黑体" w:hAnsi="黑体" w:eastAsia="黑体" w:cs="黑体"/>
      <w:b/>
      <w:sz w:val="32"/>
      <w:szCs w:val="24"/>
    </w:rPr>
  </w:style>
  <w:style w:type="paragraph" w:styleId="1129" w:customStyle="1">
    <w:name w:val="Body Text First Indent_1"/>
    <w:basedOn w:val="851"/>
    <w:uiPriority w:val="99"/>
    <w:unhideWhenUsed/>
    <w:qFormat/>
    <w:pPr>
      <w:ind w:firstLine="420"/>
      <w:spacing w:after="120"/>
    </w:pPr>
    <w:rPr>
      <w:rFonts w:eastAsia="Times New Roman"/>
    </w:rPr>
  </w:style>
  <w:style w:type="paragraph" w:styleId="1130" w:customStyle="1">
    <w:name w:val="Normal_1_2"/>
    <w:qFormat/>
    <w:rPr>
      <w:rFonts w:eastAsia="Times New Roman"/>
      <w:sz w:val="24"/>
      <w:szCs w:val="24"/>
    </w:rPr>
  </w:style>
  <w:style w:type="paragraph" w:styleId="1131" w:customStyle="1">
    <w:name w:val="Normal_0_1"/>
    <w:qFormat/>
    <w:rPr>
      <w:rFonts w:ascii="黑体" w:hAnsi="黑体" w:eastAsia="黑体" w:cs="黑体"/>
      <w:b/>
      <w:sz w:val="32"/>
      <w:szCs w:val="24"/>
    </w:rPr>
  </w:style>
  <w:style w:type="paragraph" w:styleId="1132" w:customStyle="1">
    <w:name w:val="Body Text First Indent_0"/>
    <w:basedOn w:val="1133"/>
    <w:uiPriority w:val="99"/>
    <w:unhideWhenUsed/>
    <w:qFormat/>
    <w:pPr>
      <w:ind w:firstLine="420"/>
      <w:spacing w:after="120"/>
    </w:pPr>
  </w:style>
  <w:style w:type="paragraph" w:styleId="1133" w:customStyle="1">
    <w:name w:val="正文3"/>
    <w:next w:val="1134"/>
    <w:qFormat/>
    <w:rPr>
      <w:rFonts w:eastAsia="Times New Roman"/>
      <w:sz w:val="24"/>
      <w:szCs w:val="24"/>
    </w:rPr>
  </w:style>
  <w:style w:type="paragraph" w:styleId="1134" w:customStyle="1">
    <w:name w:val="正文首行缩进3"/>
    <w:basedOn w:val="1122"/>
    <w:uiPriority w:val="99"/>
    <w:unhideWhenUsed/>
    <w:qFormat/>
    <w:pPr>
      <w:ind w:firstLine="420"/>
      <w:spacing w:after="120"/>
    </w:pPr>
    <w:rPr>
      <w:sz w:val="20"/>
    </w:rPr>
  </w:style>
  <w:style w:type="paragraph" w:styleId="1135" w:customStyle="1">
    <w:name w:val="Normal_1_1"/>
    <w:qFormat/>
    <w:rPr>
      <w:rFonts w:ascii="黑体" w:hAnsi="黑体" w:eastAsia="黑体" w:cs="黑体"/>
      <w:b/>
      <w:sz w:val="32"/>
      <w:szCs w:val="24"/>
    </w:rPr>
  </w:style>
  <w:style w:type="paragraph" w:styleId="1136" w:customStyle="1">
    <w:name w:val="正文_0_1"/>
    <w:qFormat/>
    <w:pPr>
      <w:jc w:val="both"/>
      <w:widowControl w:val="off"/>
    </w:pPr>
    <w:rPr>
      <w:rFonts w:ascii="Calibri" w:hAnsi="Calibri"/>
      <w:sz w:val="21"/>
      <w:szCs w:val="22"/>
    </w:rPr>
  </w:style>
  <w:style w:type="paragraph" w:styleId="1137" w:customStyle="1">
    <w:name w:val="正文_1_1"/>
    <w:qFormat/>
    <w:pPr>
      <w:jc w:val="both"/>
      <w:widowControl w:val="off"/>
    </w:pPr>
    <w:rPr>
      <w:rFonts w:ascii="Calibri" w:hAnsi="Calibri"/>
      <w:sz w:val="21"/>
      <w:szCs w:val="22"/>
    </w:rPr>
  </w:style>
  <w:style w:type="paragraph" w:styleId="1138" w:customStyle="1">
    <w:name w:val="Normal_2_0"/>
    <w:qFormat/>
    <w:rPr>
      <w:rFonts w:ascii="黑体" w:hAnsi="黑体" w:eastAsia="黑体" w:cs="黑体"/>
      <w:b/>
      <w:sz w:val="32"/>
      <w:szCs w:val="24"/>
    </w:rPr>
  </w:style>
  <w:style w:type="paragraph" w:styleId="1139" w:customStyle="1">
    <w:name w:val="Normal_3_0"/>
    <w:qFormat/>
    <w:pPr>
      <w:jc w:val="both"/>
      <w:widowControl w:val="off"/>
    </w:pPr>
    <w:rPr>
      <w:rFonts w:ascii="Calibri" w:hAnsi="Calibri"/>
      <w:sz w:val="21"/>
      <w:szCs w:val="22"/>
    </w:rPr>
  </w:style>
  <w:style w:type="paragraph" w:styleId="1140" w:customStyle="1">
    <w:name w:val="Normal_4_0"/>
    <w:qFormat/>
    <w:rPr>
      <w:rFonts w:ascii="黑体" w:hAnsi="黑体" w:eastAsia="黑体" w:cs="黑体"/>
      <w:b/>
      <w:sz w:val="32"/>
      <w:szCs w:val="24"/>
    </w:rPr>
  </w:style>
  <w:style w:type="paragraph" w:styleId="1141" w:customStyle="1">
    <w:name w:val="Normal_5_0"/>
    <w:qFormat/>
    <w:pPr>
      <w:jc w:val="both"/>
      <w:widowControl w:val="off"/>
    </w:pPr>
    <w:rPr>
      <w:rFonts w:ascii="Calibri" w:hAnsi="Calibri"/>
      <w:sz w:val="21"/>
      <w:szCs w:val="22"/>
    </w:rPr>
  </w:style>
  <w:style w:type="paragraph" w:styleId="1142" w:customStyle="1">
    <w:name w:val="Normal_6_0"/>
    <w:qFormat/>
    <w:rPr>
      <w:rFonts w:ascii="黑体" w:hAnsi="黑体" w:eastAsia="黑体" w:cs="黑体"/>
      <w:b/>
      <w:sz w:val="32"/>
      <w:szCs w:val="24"/>
    </w:rPr>
  </w:style>
  <w:style w:type="paragraph" w:styleId="1143" w:customStyle="1">
    <w:name w:val="正文_1_0_0"/>
    <w:qFormat/>
    <w:pPr>
      <w:jc w:val="both"/>
      <w:widowControl w:val="off"/>
    </w:pPr>
    <w:rPr>
      <w:sz w:val="21"/>
    </w:rPr>
  </w:style>
  <w:style w:type="paragraph" w:styleId="1144" w:customStyle="1">
    <w:name w:val="正文_0_0_0_0"/>
    <w:qFormat/>
    <w:pPr>
      <w:jc w:val="both"/>
      <w:widowControl w:val="off"/>
    </w:pPr>
    <w:rPr>
      <w:sz w:val="21"/>
      <w:szCs w:val="24"/>
    </w:rPr>
  </w:style>
  <w:style w:type="paragraph" w:styleId="1145" w:customStyle="1">
    <w:name w:val="正文_1_0_0_0"/>
    <w:qFormat/>
    <w:pPr>
      <w:jc w:val="both"/>
      <w:widowControl w:val="off"/>
    </w:pPr>
    <w:rPr>
      <w:sz w:val="21"/>
    </w:rPr>
  </w:style>
  <w:style w:type="paragraph" w:styleId="1146" w:customStyle="1">
    <w:name w:val="Normal_7_0"/>
    <w:qFormat/>
    <w:rPr>
      <w:rFonts w:ascii="黑体" w:hAnsi="黑体" w:eastAsia="黑体" w:cs="黑体"/>
      <w:b/>
      <w:sz w:val="32"/>
      <w:szCs w:val="24"/>
    </w:rPr>
  </w:style>
  <w:style w:type="paragraph" w:styleId="1147" w:customStyle="1">
    <w:name w:val="Normal_8_0"/>
    <w:qFormat/>
    <w:rPr>
      <w:rFonts w:eastAsia="Times New Roman"/>
      <w:sz w:val="24"/>
      <w:szCs w:val="24"/>
    </w:rPr>
  </w:style>
  <w:style w:type="paragraph" w:styleId="1148" w:customStyle="1">
    <w:name w:val="Normal_9_0"/>
    <w:qFormat/>
    <w:rPr>
      <w:rFonts w:eastAsia="Times New Roman"/>
      <w:sz w:val="24"/>
      <w:szCs w:val="24"/>
    </w:rPr>
  </w:style>
  <w:style w:type="paragraph" w:styleId="1149" w:customStyle="1">
    <w:name w:val="Normal_10_0"/>
    <w:qFormat/>
    <w:rPr>
      <w:rFonts w:ascii="黑体" w:hAnsi="黑体" w:eastAsia="黑体" w:cs="黑体"/>
      <w:b/>
      <w:sz w:val="32"/>
      <w:szCs w:val="24"/>
    </w:rPr>
  </w:style>
  <w:style w:type="paragraph" w:styleId="1150" w:customStyle="1">
    <w:name w:val="正文_3"/>
    <w:qFormat/>
    <w:pPr>
      <w:jc w:val="both"/>
      <w:widowControl w:val="off"/>
    </w:pPr>
    <w:rPr>
      <w:rFonts w:ascii="Calibri" w:hAnsi="Calibri"/>
      <w:sz w:val="21"/>
      <w:szCs w:val="22"/>
    </w:rPr>
  </w:style>
  <w:style w:type="paragraph" w:styleId="1151" w:customStyle="1">
    <w:name w:val="正文首行缩进 2_1"/>
    <w:basedOn w:val="1152"/>
    <w:next w:val="1154"/>
    <w:qFormat/>
    <w:pPr>
      <w:ind w:left="200" w:firstLine="200"/>
      <w:spacing w:after="120"/>
    </w:pPr>
    <w:rPr>
      <w:rFonts w:ascii="Times New Roman"/>
      <w:szCs w:val="24"/>
    </w:rPr>
  </w:style>
  <w:style w:type="paragraph" w:styleId="1152" w:customStyle="1">
    <w:name w:val="正文文本缩进_1"/>
    <w:basedOn w:val="1153"/>
    <w:next w:val="1151"/>
    <w:qFormat/>
    <w:pPr>
      <w:ind w:firstLine="225"/>
    </w:pPr>
    <w:rPr>
      <w:rFonts w:ascii="仿宋_GB2312" w:eastAsia="仿宋_GB2312"/>
      <w:sz w:val="32"/>
    </w:rPr>
  </w:style>
  <w:style w:type="paragraph" w:styleId="1153" w:customStyle="1">
    <w:name w:val="正文_18"/>
    <w:next w:val="1152"/>
    <w:qFormat/>
    <w:pPr>
      <w:jc w:val="both"/>
      <w:widowControl w:val="off"/>
    </w:pPr>
    <w:rPr>
      <w:rFonts w:ascii="Calibri" w:hAnsi="Calibri"/>
      <w:sz w:val="21"/>
      <w:szCs w:val="22"/>
    </w:rPr>
  </w:style>
  <w:style w:type="paragraph" w:styleId="1154" w:customStyle="1">
    <w:name w:val="xl53_0"/>
    <w:next w:val="115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155" w:customStyle="1">
    <w:name w:val="正文_4_0"/>
    <w:qFormat/>
    <w:pPr>
      <w:jc w:val="both"/>
      <w:widowControl w:val="off"/>
    </w:pPr>
    <w:rPr>
      <w:rFonts w:ascii="Calibri" w:hAnsi="Calibri"/>
      <w:sz w:val="21"/>
      <w:szCs w:val="22"/>
    </w:rPr>
  </w:style>
  <w:style w:type="paragraph" w:styleId="1156" w:customStyle="1">
    <w:name w:val="Normal_11_0"/>
    <w:qFormat/>
    <w:rPr>
      <w:rFonts w:ascii="黑体" w:hAnsi="黑体" w:eastAsia="黑体" w:cs="黑体"/>
      <w:b/>
      <w:sz w:val="32"/>
      <w:szCs w:val="24"/>
    </w:rPr>
  </w:style>
  <w:style w:type="paragraph" w:styleId="1157" w:customStyle="1">
    <w:name w:val="Normal_12_0"/>
    <w:qFormat/>
    <w:pPr>
      <w:jc w:val="both"/>
      <w:widowControl w:val="off"/>
    </w:pPr>
    <w:rPr>
      <w:rFonts w:ascii="Calibri" w:hAnsi="Calibri"/>
      <w:sz w:val="21"/>
      <w:szCs w:val="22"/>
    </w:rPr>
  </w:style>
  <w:style w:type="paragraph" w:styleId="1158" w:customStyle="1">
    <w:name w:val="正文_9_0"/>
    <w:qFormat/>
    <w:pPr>
      <w:jc w:val="both"/>
      <w:widowControl w:val="off"/>
    </w:pPr>
    <w:rPr>
      <w:rFonts w:ascii="Calibri" w:hAnsi="Calibri"/>
      <w:sz w:val="21"/>
      <w:szCs w:val="22"/>
    </w:rPr>
  </w:style>
  <w:style w:type="paragraph" w:styleId="1159" w:customStyle="1">
    <w:name w:val="正文_8_1"/>
    <w:qFormat/>
    <w:pPr>
      <w:jc w:val="both"/>
      <w:widowControl w:val="off"/>
    </w:pPr>
    <w:rPr>
      <w:rFonts w:ascii="Calibri" w:hAnsi="Calibri"/>
      <w:sz w:val="21"/>
      <w:szCs w:val="22"/>
    </w:rPr>
  </w:style>
  <w:style w:type="paragraph" w:styleId="1160" w:customStyle="1">
    <w:name w:val="正文_1_0_0_0_0"/>
    <w:qFormat/>
    <w:pPr>
      <w:jc w:val="both"/>
      <w:widowControl w:val="off"/>
    </w:pPr>
    <w:rPr>
      <w:sz w:val="21"/>
    </w:rPr>
  </w:style>
  <w:style w:type="paragraph" w:styleId="1161" w:customStyle="1">
    <w:name w:val="列出段落_2"/>
    <w:basedOn w:val="1159"/>
    <w:uiPriority w:val="34"/>
    <w:qFormat/>
    <w:pPr>
      <w:ind w:firstLine="420"/>
    </w:pPr>
  </w:style>
  <w:style w:type="paragraph" w:styleId="1162" w:customStyle="1">
    <w:name w:val="Normal_13_0"/>
    <w:qFormat/>
    <w:rPr>
      <w:rFonts w:ascii="黑体" w:hAnsi="黑体" w:eastAsia="黑体" w:cs="黑体"/>
      <w:b/>
      <w:sz w:val="32"/>
      <w:szCs w:val="24"/>
    </w:rPr>
  </w:style>
  <w:style w:type="paragraph" w:styleId="1163" w:customStyle="1">
    <w:name w:val="正文_7_1_0"/>
    <w:qFormat/>
    <w:pPr>
      <w:jc w:val="both"/>
      <w:widowControl w:val="off"/>
    </w:pPr>
    <w:rPr>
      <w:rFonts w:ascii="Calibri" w:hAnsi="Calibri"/>
      <w:sz w:val="21"/>
      <w:szCs w:val="22"/>
    </w:rPr>
  </w:style>
  <w:style w:type="paragraph" w:styleId="1164" w:customStyle="1">
    <w:name w:val="纯文本_0_0"/>
    <w:basedOn w:val="1163"/>
    <w:unhideWhenUsed/>
    <w:qFormat/>
    <w:rPr>
      <w:rFonts w:ascii="宋体" w:hAnsi="Courier New"/>
      <w:szCs w:val="21"/>
    </w:rPr>
  </w:style>
  <w:style w:type="paragraph" w:styleId="1165" w:customStyle="1">
    <w:name w:val="正文_8_0"/>
    <w:qFormat/>
    <w:pPr>
      <w:jc w:val="both"/>
      <w:widowControl w:val="off"/>
    </w:pPr>
    <w:rPr>
      <w:rFonts w:ascii="Calibri" w:hAnsi="Calibri"/>
      <w:sz w:val="21"/>
      <w:szCs w:val="22"/>
    </w:rPr>
  </w:style>
  <w:style w:type="paragraph" w:styleId="1166" w:customStyle="1">
    <w:name w:val="Normal_14_0"/>
    <w:qFormat/>
    <w:rPr>
      <w:rFonts w:ascii="黑体" w:hAnsi="黑体" w:eastAsia="黑体" w:cs="黑体"/>
      <w:b/>
      <w:sz w:val="32"/>
      <w:szCs w:val="24"/>
    </w:rPr>
  </w:style>
  <w:style w:type="paragraph" w:styleId="1167" w:customStyle="1">
    <w:name w:val="正文_6_0"/>
    <w:qFormat/>
    <w:pPr>
      <w:jc w:val="both"/>
      <w:widowControl w:val="off"/>
    </w:pPr>
    <w:rPr>
      <w:rFonts w:ascii="Calibri" w:hAnsi="Calibri"/>
      <w:sz w:val="21"/>
      <w:szCs w:val="22"/>
    </w:rPr>
  </w:style>
  <w:style w:type="paragraph" w:styleId="1168" w:customStyle="1">
    <w:name w:val="Normal_15_0"/>
    <w:qFormat/>
    <w:rPr>
      <w:rFonts w:ascii="黑体" w:hAnsi="黑体" w:eastAsia="黑体" w:cs="黑体"/>
      <w:b/>
      <w:sz w:val="32"/>
      <w:szCs w:val="24"/>
    </w:rPr>
  </w:style>
  <w:style w:type="paragraph" w:styleId="1169" w:customStyle="1">
    <w:name w:val="正文_7_0"/>
    <w:qFormat/>
    <w:pPr>
      <w:jc w:val="both"/>
      <w:widowControl w:val="off"/>
    </w:pPr>
    <w:rPr>
      <w:rFonts w:ascii="Calibri" w:hAnsi="Calibri"/>
      <w:sz w:val="21"/>
      <w:szCs w:val="22"/>
    </w:rPr>
  </w:style>
  <w:style w:type="paragraph" w:styleId="1170" w:customStyle="1">
    <w:name w:val="正文_9_1"/>
    <w:qFormat/>
    <w:pPr>
      <w:jc w:val="both"/>
      <w:widowControl w:val="off"/>
    </w:pPr>
    <w:rPr>
      <w:sz w:val="21"/>
      <w:szCs w:val="24"/>
    </w:rPr>
  </w:style>
  <w:style w:type="paragraph" w:styleId="1171" w:customStyle="1">
    <w:name w:val="Normal_16_0"/>
    <w:qFormat/>
    <w:rPr>
      <w:rFonts w:ascii="黑体" w:hAnsi="黑体" w:eastAsia="黑体" w:cs="黑体"/>
      <w:b/>
      <w:sz w:val="32"/>
      <w:szCs w:val="24"/>
    </w:rPr>
  </w:style>
  <w:style w:type="paragraph" w:styleId="1172" w:customStyle="1">
    <w:name w:val="正文_10_0"/>
    <w:qFormat/>
    <w:pPr>
      <w:jc w:val="both"/>
      <w:widowControl w:val="off"/>
    </w:pPr>
    <w:rPr>
      <w:sz w:val="21"/>
      <w:szCs w:val="24"/>
    </w:rPr>
  </w:style>
  <w:style w:type="paragraph" w:styleId="1173" w:customStyle="1">
    <w:name w:val="Normal_17_0"/>
    <w:qFormat/>
    <w:rPr>
      <w:rFonts w:ascii="黑体" w:hAnsi="黑体" w:eastAsia="黑体" w:cs="黑体"/>
      <w:b/>
      <w:sz w:val="32"/>
      <w:szCs w:val="24"/>
    </w:rPr>
  </w:style>
  <w:style w:type="paragraph" w:styleId="1174" w:customStyle="1">
    <w:name w:val="正文_10_0_0"/>
    <w:qFormat/>
    <w:pPr>
      <w:jc w:val="both"/>
      <w:widowControl w:val="off"/>
    </w:pPr>
    <w:rPr>
      <w:sz w:val="21"/>
      <w:szCs w:val="24"/>
    </w:rPr>
  </w:style>
  <w:style w:type="paragraph" w:styleId="1175" w:customStyle="1">
    <w:name w:val="Normal_18_0"/>
    <w:qFormat/>
    <w:rPr>
      <w:rFonts w:ascii="黑体" w:hAnsi="黑体" w:eastAsia="黑体" w:cs="黑体"/>
      <w:b/>
      <w:sz w:val="32"/>
      <w:szCs w:val="24"/>
    </w:rPr>
  </w:style>
  <w:style w:type="paragraph" w:styleId="1176" w:customStyle="1">
    <w:name w:val="正文_12_0"/>
    <w:qFormat/>
    <w:pPr>
      <w:jc w:val="both"/>
      <w:widowControl w:val="off"/>
    </w:pPr>
    <w:rPr>
      <w:rFonts w:ascii="Calibri" w:hAnsi="Calibri"/>
      <w:sz w:val="21"/>
      <w:szCs w:val="22"/>
    </w:rPr>
  </w:style>
  <w:style w:type="paragraph" w:styleId="1177" w:customStyle="1">
    <w:name w:val="正文_9_1_0"/>
    <w:qFormat/>
    <w:pPr>
      <w:jc w:val="both"/>
      <w:widowControl w:val="off"/>
    </w:pPr>
    <w:rPr>
      <w:sz w:val="21"/>
      <w:szCs w:val="24"/>
    </w:rPr>
  </w:style>
  <w:style w:type="paragraph" w:styleId="1178" w:customStyle="1">
    <w:name w:val="Normal_14_0_0"/>
    <w:qFormat/>
    <w:rPr>
      <w:rFonts w:ascii="黑体" w:hAnsi="黑体" w:eastAsia="黑体"/>
      <w:b/>
      <w:sz w:val="32"/>
      <w:szCs w:val="24"/>
    </w:rPr>
  </w:style>
  <w:style w:type="paragraph" w:styleId="1179" w:customStyle="1">
    <w:name w:val="正文_12_0_0"/>
    <w:qFormat/>
    <w:pPr>
      <w:jc w:val="both"/>
      <w:widowControl w:val="off"/>
    </w:pPr>
    <w:rPr>
      <w:sz w:val="21"/>
      <w:szCs w:val="24"/>
    </w:rPr>
  </w:style>
  <w:style w:type="paragraph" w:styleId="1180" w:customStyle="1">
    <w:name w:val="正文_12_0_0_0"/>
    <w:qFormat/>
    <w:pPr>
      <w:jc w:val="both"/>
      <w:widowControl w:val="off"/>
    </w:pPr>
    <w:rPr>
      <w:sz w:val="21"/>
      <w:szCs w:val="24"/>
    </w:rPr>
  </w:style>
  <w:style w:type="paragraph" w:styleId="1181" w:customStyle="1">
    <w:name w:val="正文_13_0"/>
    <w:qFormat/>
    <w:pPr>
      <w:jc w:val="both"/>
      <w:widowControl w:val="off"/>
    </w:pPr>
    <w:rPr>
      <w:rFonts w:ascii="Calibri" w:hAnsi="Calibri"/>
      <w:sz w:val="21"/>
      <w:szCs w:val="22"/>
    </w:rPr>
  </w:style>
  <w:style w:type="paragraph" w:styleId="1182" w:customStyle="1">
    <w:name w:val="正文_13_0_0"/>
    <w:qFormat/>
    <w:pPr>
      <w:jc w:val="both"/>
      <w:widowControl w:val="off"/>
    </w:pPr>
    <w:rPr>
      <w:sz w:val="21"/>
      <w:szCs w:val="24"/>
    </w:rPr>
  </w:style>
  <w:style w:type="paragraph" w:styleId="1183" w:customStyle="1">
    <w:name w:val="正文_14_0"/>
    <w:qFormat/>
    <w:pPr>
      <w:jc w:val="both"/>
      <w:widowControl w:val="off"/>
    </w:pPr>
    <w:rPr>
      <w:rFonts w:ascii="Calibri" w:hAnsi="Calibri"/>
      <w:sz w:val="21"/>
      <w:szCs w:val="22"/>
    </w:rPr>
  </w:style>
  <w:style w:type="paragraph" w:styleId="1184" w:customStyle="1">
    <w:name w:val="正文_14_0_0"/>
    <w:qFormat/>
    <w:pPr>
      <w:jc w:val="both"/>
      <w:widowControl w:val="off"/>
    </w:pPr>
    <w:rPr>
      <w:sz w:val="21"/>
      <w:szCs w:val="24"/>
    </w:rPr>
  </w:style>
  <w:style w:type="paragraph" w:styleId="1185" w:customStyle="1">
    <w:name w:val="Normal Indent_0"/>
    <w:basedOn w:val="943"/>
    <w:qFormat/>
    <w:pPr>
      <w:ind w:firstLine="420"/>
    </w:pPr>
    <w:rPr>
      <w:rFonts w:ascii="宋体" w:eastAsia="Times New Roman"/>
      <w:color w:val="000000"/>
      <w:sz w:val="24"/>
      <w:szCs w:val="20"/>
    </w:rPr>
  </w:style>
  <w:style w:type="paragraph" w:styleId="1186" w:customStyle="1">
    <w:name w:val="Heading 3_0"/>
    <w:basedOn w:val="943"/>
    <w:next w:val="943"/>
    <w:qFormat/>
    <w:pPr>
      <w:keepLines/>
      <w:keepNext/>
      <w:spacing w:before="260" w:after="260" w:line="413" w:lineRule="auto"/>
      <w:outlineLvl w:val="2"/>
    </w:pPr>
    <w:rPr>
      <w:rFonts w:ascii="Times New Roman" w:hAnsi="Times New Roman" w:eastAsia="Times New Roman"/>
      <w:szCs w:val="20"/>
    </w:rPr>
  </w:style>
  <w:style w:type="paragraph" w:styleId="1187" w:customStyle="1">
    <w:name w:val="正文_15_0"/>
    <w:qFormat/>
    <w:pPr>
      <w:jc w:val="both"/>
      <w:widowControl w:val="off"/>
    </w:pPr>
    <w:rPr>
      <w:rFonts w:ascii="Calibri" w:hAnsi="Calibri"/>
      <w:sz w:val="21"/>
      <w:szCs w:val="22"/>
    </w:rPr>
  </w:style>
  <w:style w:type="paragraph" w:styleId="1188" w:customStyle="1">
    <w:name w:val="正文2"/>
    <w:basedOn w:val="786"/>
    <w:qFormat/>
    <w:pPr>
      <w:ind w:firstLine="510"/>
      <w:spacing w:before="156" w:line="360" w:lineRule="auto"/>
    </w:pPr>
    <w:rPr>
      <w:sz w:val="24"/>
      <w:szCs w:val="20"/>
    </w:rPr>
  </w:style>
  <w:style w:type="paragraph" w:styleId="1189" w:customStyle="1">
    <w:name w:val="Default"/>
    <w:qFormat/>
    <w:pPr>
      <w:widowControl w:val="off"/>
    </w:pPr>
    <w:rPr>
      <w:rFonts w:ascii="宋体" w:cs="宋体"/>
      <w:color w:val="000000"/>
      <w:sz w:val="24"/>
      <w:szCs w:val="24"/>
    </w:rPr>
  </w:style>
  <w:style w:type="paragraph" w:styleId="1190" w:customStyle="1">
    <w:name w:val="正文_0_2_0"/>
    <w:qFormat/>
    <w:pPr>
      <w:jc w:val="both"/>
      <w:widowControl w:val="off"/>
    </w:pPr>
    <w:rPr>
      <w:szCs w:val="24"/>
    </w:rPr>
  </w:style>
  <w:style w:type="paragraph" w:styleId="1191" w:customStyle="1">
    <w:name w:val="Normal_19_1_0"/>
    <w:next w:val="1192"/>
    <w:qFormat/>
    <w:pPr>
      <w:jc w:val="both"/>
      <w:widowControl w:val="off"/>
    </w:pPr>
    <w:rPr>
      <w:rFonts w:ascii="Calibri" w:hAnsi="Calibri"/>
      <w:szCs w:val="24"/>
    </w:rPr>
  </w:style>
  <w:style w:type="paragraph" w:styleId="1192" w:customStyle="1">
    <w:name w:val="正文_16_0"/>
    <w:basedOn w:val="1153"/>
    <w:next w:val="1151"/>
    <w:qFormat/>
    <w:rPr>
      <w:rFonts w:ascii="Times New Roman" w:hAnsi="Times New Roman"/>
    </w:rPr>
  </w:style>
  <w:style w:type="paragraph" w:styleId="1193" w:customStyle="1">
    <w:name w:val="Normal_19_0"/>
    <w:basedOn w:val="849"/>
    <w:next w:val="1194"/>
    <w:qFormat/>
    <w:rPr>
      <w:szCs w:val="24"/>
    </w:rPr>
  </w:style>
  <w:style w:type="paragraph" w:styleId="1194" w:customStyle="1">
    <w:name w:val="Body Text First Indent_1_0"/>
    <w:basedOn w:val="1193"/>
    <w:qFormat/>
    <w:pPr>
      <w:ind w:firstLine="100"/>
      <w:spacing w:after="120"/>
    </w:pPr>
  </w:style>
  <w:style w:type="paragraph" w:styleId="1195" w:customStyle="1">
    <w:name w:val="Body Text_0"/>
    <w:basedOn w:val="1193"/>
    <w:qFormat/>
    <w:pPr>
      <w:spacing w:line="60" w:lineRule="auto"/>
    </w:pPr>
    <w:rPr>
      <w:rFonts w:ascii="仿宋_GB2312" w:eastAsia="仿宋_GB2312"/>
      <w:sz w:val="32"/>
    </w:rPr>
  </w:style>
  <w:style w:type="paragraph" w:styleId="1196" w:customStyle="1">
    <w:name w:val="Normal_19_1"/>
    <w:next w:val="943"/>
    <w:qFormat/>
    <w:pPr>
      <w:jc w:val="both"/>
      <w:widowControl w:val="off"/>
    </w:pPr>
    <w:rPr>
      <w:rFonts w:ascii="Calibri" w:hAnsi="Calibri"/>
      <w:szCs w:val="24"/>
    </w:rPr>
  </w:style>
  <w:style w:type="paragraph" w:styleId="1197" w:customStyle="1">
    <w:name w:val="正文_6_0_0"/>
    <w:qFormat/>
    <w:pPr>
      <w:jc w:val="both"/>
      <w:widowControl w:val="off"/>
    </w:pPr>
    <w:rPr>
      <w:rFonts w:ascii="Calibri" w:hAnsi="Calibri"/>
    </w:rPr>
  </w:style>
  <w:style w:type="paragraph" w:styleId="1198" w:customStyle="1">
    <w:name w:val="正文_7_1"/>
    <w:qFormat/>
    <w:pPr>
      <w:jc w:val="both"/>
      <w:widowControl w:val="off"/>
    </w:pPr>
    <w:rPr>
      <w:rFonts w:ascii="Calibri" w:hAnsi="Calibri"/>
    </w:rPr>
  </w:style>
  <w:style w:type="paragraph" w:styleId="1199" w:customStyle="1">
    <w:name w:val="正文1_1"/>
    <w:basedOn w:val="1147"/>
    <w:qFormat/>
    <w:pPr>
      <w:jc w:val="both"/>
      <w:widowControl w:val="off"/>
    </w:pPr>
    <w:rPr>
      <w:sz w:val="20"/>
      <w:szCs w:val="20"/>
    </w:rPr>
  </w:style>
  <w:style w:type="paragraph" w:styleId="1200" w:customStyle="1">
    <w:name w:val="Normal_8_0_0"/>
    <w:qFormat/>
    <w:rPr>
      <w:rFonts w:eastAsia="Times New Roman"/>
      <w:sz w:val="24"/>
      <w:szCs w:val="24"/>
    </w:rPr>
  </w:style>
  <w:style w:type="paragraph" w:styleId="1201" w:customStyle="1">
    <w:name w:val="Normal_8_0_0_0"/>
    <w:qFormat/>
    <w:pPr>
      <w:jc w:val="both"/>
      <w:widowControl w:val="off"/>
    </w:pPr>
    <w:rPr>
      <w:rFonts w:ascii="Calibri" w:hAnsi="Calibri"/>
    </w:rPr>
  </w:style>
  <w:style w:type="paragraph" w:styleId="1202" w:customStyle="1">
    <w:name w:val="Normal_16_1"/>
    <w:qFormat/>
    <w:rPr>
      <w:rFonts w:ascii="黑体" w:hAnsi="黑体" w:eastAsia="黑体"/>
      <w:b/>
      <w:sz w:val="32"/>
      <w:szCs w:val="24"/>
    </w:rPr>
  </w:style>
  <w:style w:type="paragraph" w:styleId="1203" w:customStyle="1">
    <w:name w:val="Normal_19_0_1"/>
    <w:qFormat/>
    <w:rPr>
      <w:rFonts w:ascii="Tahoma" w:hAnsi="Tahoma" w:eastAsia="微软雅黑"/>
    </w:rPr>
  </w:style>
  <w:style w:type="paragraph" w:styleId="1204" w:customStyle="1">
    <w:name w:val="Normal_16_0_0"/>
    <w:qFormat/>
    <w:pPr>
      <w:jc w:val="both"/>
      <w:widowControl w:val="off"/>
    </w:pPr>
    <w:rPr>
      <w:rFonts w:ascii="Calibri" w:hAnsi="Calibri"/>
    </w:rPr>
  </w:style>
  <w:style w:type="paragraph" w:styleId="1205" w:customStyle="1">
    <w:name w:val="Normal_22_0"/>
    <w:qFormat/>
    <w:pPr>
      <w:jc w:val="both"/>
      <w:widowControl w:val="off"/>
    </w:pPr>
    <w:rPr>
      <w:rFonts w:ascii="Calibri" w:hAnsi="Calibri"/>
      <w:szCs w:val="24"/>
    </w:rPr>
  </w:style>
  <w:style w:type="paragraph" w:styleId="1206" w:customStyle="1">
    <w:name w:val="Normal_17_0_0"/>
    <w:qFormat/>
    <w:rPr>
      <w:rFonts w:ascii="黑体" w:hAnsi="黑体" w:eastAsia="黑体"/>
      <w:b/>
      <w:sz w:val="32"/>
      <w:szCs w:val="24"/>
    </w:rPr>
  </w:style>
  <w:style w:type="paragraph" w:styleId="1207" w:customStyle="1">
    <w:name w:val="Normal_19_0_1_0"/>
    <w:qFormat/>
    <w:rPr>
      <w:rFonts w:ascii="Tahoma" w:hAnsi="Tahoma" w:eastAsia="微软雅黑"/>
    </w:rPr>
  </w:style>
  <w:style w:type="paragraph" w:styleId="1208" w:customStyle="1">
    <w:name w:val="Normal_19_3"/>
    <w:next w:val="1209"/>
    <w:qFormat/>
    <w:pPr>
      <w:jc w:val="both"/>
      <w:widowControl w:val="off"/>
    </w:pPr>
    <w:rPr>
      <w:rFonts w:ascii="Calibri" w:hAnsi="Calibri" w:eastAsia="Times New Roman"/>
      <w:szCs w:val="24"/>
    </w:rPr>
  </w:style>
  <w:style w:type="paragraph" w:styleId="1209" w:customStyle="1">
    <w:name w:val="正文_17_0"/>
    <w:qFormat/>
    <w:pPr>
      <w:jc w:val="both"/>
      <w:widowControl w:val="off"/>
    </w:pPr>
    <w:rPr>
      <w:rFonts w:ascii="Calibri" w:hAnsi="Calibri"/>
      <w:sz w:val="21"/>
      <w:szCs w:val="22"/>
    </w:rPr>
  </w:style>
  <w:style w:type="paragraph" w:styleId="1210" w:customStyle="1">
    <w:name w:val="Normal_22_0_0"/>
    <w:qFormat/>
    <w:pPr>
      <w:jc w:val="both"/>
      <w:widowControl w:val="off"/>
    </w:pPr>
    <w:rPr>
      <w:rFonts w:ascii="Calibri" w:hAnsi="Calibri"/>
      <w:szCs w:val="24"/>
    </w:rPr>
  </w:style>
  <w:style w:type="character" w:styleId="1211" w:customStyle="1">
    <w:name w:val="custom-tag-placeholder-class"/>
    <w:qFormat/>
  </w:style>
  <w:style w:type="paragraph" w:styleId="1212" w:customStyle="1">
    <w:name w:val="Normal_19_0_0"/>
    <w:basedOn w:val="943"/>
    <w:next w:val="1213"/>
    <w:qFormat/>
    <w:rPr>
      <w:rFonts w:ascii="Calibri" w:hAnsi="Calibri" w:eastAsia="Times New Roman"/>
      <w:sz w:val="24"/>
    </w:rPr>
  </w:style>
  <w:style w:type="paragraph" w:styleId="1213" w:customStyle="1">
    <w:name w:val="Body Text First Indent_1_0_0"/>
    <w:basedOn w:val="1212"/>
    <w:qFormat/>
    <w:pPr>
      <w:ind w:firstLine="100"/>
      <w:spacing w:after="120"/>
    </w:pPr>
  </w:style>
  <w:style w:type="paragraph" w:styleId="1214" w:customStyle="1">
    <w:name w:val="正文_2_0"/>
    <w:qFormat/>
    <w:pPr>
      <w:jc w:val="both"/>
      <w:widowControl w:val="off"/>
    </w:pPr>
    <w:rPr>
      <w:rFonts w:ascii="Calibri" w:hAnsi="Calibri"/>
      <w:sz w:val="21"/>
      <w:szCs w:val="22"/>
    </w:rPr>
  </w:style>
  <w:style w:type="paragraph" w:styleId="1215" w:customStyle="1">
    <w:name w:val="List Paragraph_0"/>
    <w:basedOn w:val="1216"/>
    <w:qFormat/>
  </w:style>
  <w:style w:type="paragraph" w:styleId="1216" w:customStyle="1">
    <w:name w:val="正文1_0"/>
    <w:basedOn w:val="1214"/>
    <w:qFormat/>
    <w:pPr>
      <w:ind w:left="357" w:firstLine="420"/>
      <w:jc w:val="left"/>
      <w:spacing w:line="360" w:lineRule="auto"/>
      <w:widowControl/>
    </w:pPr>
    <w:rPr>
      <w:rFonts w:cs="Arial"/>
      <w:szCs w:val="20"/>
    </w:rPr>
  </w:style>
  <w:style w:type="paragraph" w:styleId="1217" w:customStyle="1">
    <w:name w:val="纯文本_1"/>
    <w:basedOn w:val="1214"/>
    <w:qFormat/>
    <w:rPr>
      <w:rFonts w:ascii="宋体" w:hAnsi="Times New Roman"/>
      <w:sz w:val="20"/>
      <w:szCs w:val="21"/>
    </w:rPr>
  </w:style>
  <w:style w:type="paragraph" w:styleId="1218" w:customStyle="1">
    <w:name w:val="正文_16_0_0"/>
    <w:next w:val="988"/>
    <w:qFormat/>
    <w:pPr>
      <w:jc w:val="both"/>
      <w:widowControl w:val="off"/>
    </w:pPr>
    <w:rPr>
      <w:rFonts w:ascii="Calibri" w:hAnsi="Calibri"/>
      <w:sz w:val="21"/>
      <w:szCs w:val="22"/>
    </w:rPr>
  </w:style>
  <w:style w:type="paragraph" w:styleId="1219" w:customStyle="1">
    <w:name w:val="正文_11_0"/>
    <w:basedOn w:val="988"/>
    <w:qFormat/>
    <w:rPr>
      <w:rFonts w:ascii="Calibri" w:hAnsi="Calibri"/>
      <w:szCs w:val="20"/>
    </w:rPr>
  </w:style>
  <w:style w:type="paragraph" w:styleId="1220" w:customStyle="1">
    <w:name w:val="Normal_19_0_0_0"/>
    <w:basedOn w:val="849"/>
    <w:qFormat/>
    <w:rPr>
      <w:rFonts w:cs="黑体"/>
      <w:szCs w:val="24"/>
    </w:rPr>
  </w:style>
  <w:style w:type="paragraph" w:styleId="1221" w:customStyle="1">
    <w:name w:val="无间隔1"/>
    <w:basedOn w:val="1133"/>
    <w:qFormat/>
    <w:rPr>
      <w:rFonts w:ascii="Calibri" w:hAnsi="Calibri" w:cs="Calibri"/>
    </w:rPr>
  </w:style>
  <w:style w:type="paragraph" w:styleId="1222" w:customStyle="1">
    <w:name w:val="标题 31"/>
    <w:basedOn w:val="1133"/>
    <w:next w:val="1133"/>
    <w:qFormat/>
    <w:pPr>
      <w:keepLines/>
      <w:keepNext/>
      <w:spacing w:before="260" w:after="260" w:line="413" w:lineRule="auto"/>
      <w:outlineLvl w:val="2"/>
    </w:pPr>
    <w:rPr>
      <w:b/>
      <w:sz w:val="32"/>
      <w:szCs w:val="20"/>
    </w:rPr>
  </w:style>
  <w:style w:type="character" w:styleId="1223" w:customStyle="1">
    <w:name w:val="标题 2 Char_0"/>
    <w:link w:val="1224"/>
    <w:qFormat/>
    <w:rPr>
      <w:rFonts w:ascii="Arial" w:hAnsi="Arial" w:eastAsia="黑体"/>
      <w:b/>
      <w:sz w:val="32"/>
      <w:szCs w:val="22"/>
    </w:rPr>
  </w:style>
  <w:style w:type="paragraph" w:styleId="1224" w:customStyle="1">
    <w:name w:val="标题 21"/>
    <w:basedOn w:val="850"/>
    <w:next w:val="850"/>
    <w:link w:val="1223"/>
    <w:unhideWhenUsed/>
    <w:qFormat/>
    <w:pPr>
      <w:keepLines/>
      <w:keepNext/>
      <w:spacing w:before="260" w:after="260" w:line="413" w:lineRule="auto"/>
      <w:outlineLvl w:val="1"/>
    </w:pPr>
    <w:rPr>
      <w:rFonts w:ascii="Arial" w:hAnsi="Arial"/>
      <w:szCs w:val="22"/>
    </w:rPr>
  </w:style>
  <w:style w:type="paragraph" w:styleId="1225" w:customStyle="1">
    <w:name w:val="Normal_19_1_0_0"/>
    <w:next w:val="1226"/>
    <w:qFormat/>
    <w:pPr>
      <w:jc w:val="both"/>
      <w:widowControl w:val="off"/>
    </w:pPr>
    <w:rPr>
      <w:rFonts w:ascii="Calibri" w:hAnsi="Calibri"/>
      <w:sz w:val="21"/>
      <w:szCs w:val="24"/>
    </w:rPr>
  </w:style>
  <w:style w:type="paragraph" w:styleId="1226" w:customStyle="1">
    <w:name w:val="正文_16_0_1"/>
    <w:qFormat/>
    <w:pPr>
      <w:jc w:val="both"/>
      <w:widowControl w:val="off"/>
    </w:pPr>
    <w:rPr>
      <w:sz w:val="21"/>
      <w:szCs w:val="22"/>
    </w:rPr>
  </w:style>
  <w:style w:type="paragraph" w:styleId="1227" w:customStyle="1">
    <w:name w:val="正文1_0_0"/>
    <w:basedOn w:val="850"/>
    <w:qFormat/>
    <w:pPr>
      <w:ind w:left="357" w:firstLine="420"/>
      <w:spacing w:line="360" w:lineRule="auto"/>
    </w:pPr>
    <w:rPr>
      <w:rFonts w:eastAsia="Times New Roman" w:cs="Arial"/>
    </w:rPr>
  </w:style>
  <w:style w:type="paragraph" w:styleId="1228" w:customStyle="1">
    <w:name w:val="普通正文"/>
    <w:basedOn w:val="786"/>
    <w:qFormat/>
    <w:pPr>
      <w:ind w:firstLine="480"/>
      <w:jc w:val="left"/>
      <w:spacing w:before="120" w:after="120" w:line="360" w:lineRule="auto"/>
    </w:pPr>
    <w:rPr>
      <w:rFonts w:ascii="Arial" w:hAnsi="Arial"/>
      <w:sz w:val="24"/>
      <w:szCs w:val="24"/>
    </w:rPr>
  </w:style>
  <w:style w:type="paragraph" w:styleId="1229" w:customStyle="1">
    <w:name w:val="正文空2字"/>
    <w:basedOn w:val="1230"/>
    <w:uiPriority w:val="99"/>
    <w:qFormat/>
    <w:pPr>
      <w:ind w:firstLine="640"/>
      <w:spacing w:line="560" w:lineRule="exact"/>
      <w:widowControl w:val="off"/>
    </w:pPr>
    <w:rPr>
      <w:rFonts w:ascii="仿宋_GB2312" w:hAnsi="仿宋_GB2312" w:cs="仿宋_GB2312"/>
      <w:lang w:val="zh-TW"/>
    </w:rPr>
  </w:style>
  <w:style w:type="paragraph" w:styleId="1230" w:customStyle="1">
    <w:name w:val="左对齐正文"/>
    <w:uiPriority w:val="99"/>
    <w:qFormat/>
    <w:rPr>
      <w:rFonts w:ascii="Calibri" w:hAnsi="Calibri" w:eastAsia="仿宋_GB2312" w:cs="Calibri"/>
      <w:sz w:val="32"/>
      <w:szCs w:val="32"/>
    </w:rPr>
  </w:style>
  <w:style w:type="paragraph" w:styleId="1231" w:customStyle="1">
    <w:name w:val="普通(网站)1"/>
    <w:basedOn w:val="786"/>
    <w:qFormat/>
    <w:rPr>
      <w:sz w:val="24"/>
    </w:rPr>
  </w:style>
  <w:style w:type="character" w:styleId="1232" w:customStyle="1">
    <w:name w:val="16"/>
    <w:qFormat/>
    <w:rPr>
      <w:rFonts w:ascii="Times New Roman" w:hAnsi="Times New Roman"/>
      <w:sz w:val="21"/>
      <w:szCs w:val="21"/>
      <w:lang w:val="en-US" w:eastAsia="zh-CN" w:bidi="ar-SA"/>
    </w:rPr>
  </w:style>
  <w:style w:type="paragraph" w:styleId="1233" w:customStyle="1">
    <w:name w:val="正文文本_0"/>
    <w:basedOn w:val="1126"/>
    <w:next w:val="1234"/>
    <w:qFormat/>
    <w:pPr>
      <w:spacing w:line="60" w:lineRule="auto"/>
    </w:pPr>
    <w:rPr>
      <w:rFonts w:ascii="仿宋_GB2312" w:eastAsia="仿宋_GB2312"/>
      <w:sz w:val="32"/>
    </w:rPr>
  </w:style>
  <w:style w:type="paragraph" w:styleId="1234" w:customStyle="1">
    <w:name w:val="正文缩进_1"/>
    <w:basedOn w:val="1126"/>
    <w:next w:val="1126"/>
    <w:qFormat/>
    <w:pPr>
      <w:ind w:firstLine="420"/>
    </w:pPr>
    <w:rPr>
      <w:rFonts w:ascii="宋体"/>
      <w:color w:val="000000"/>
      <w:sz w:val="24"/>
      <w:szCs w:val="20"/>
    </w:rPr>
  </w:style>
  <w:style w:type="paragraph" w:styleId="1235" w:customStyle="1">
    <w:name w:val="Table Paragraph"/>
    <w:basedOn w:val="943"/>
    <w:uiPriority w:val="1"/>
    <w:qFormat/>
    <w:rPr>
      <w:rFonts w:ascii="宋体" w:hAnsi="宋体" w:cs="宋体"/>
      <w:sz w:val="22"/>
      <w:lang w:val="zh-CN" w:bidi="zh-CN"/>
    </w:rPr>
  </w:style>
  <w:style w:type="paragraph" w:styleId="1236" w:customStyle="1">
    <w:name w:val="Normal_19_2"/>
    <w:basedOn w:val="1237"/>
    <w:qFormat/>
    <w:rPr>
      <w:rFonts w:ascii="Times New Roman" w:hAnsi="Times New Roman"/>
      <w:szCs w:val="21"/>
    </w:rPr>
  </w:style>
  <w:style w:type="paragraph" w:styleId="1237" w:customStyle="1">
    <w:name w:val="正文_3_0"/>
    <w:qFormat/>
    <w:pPr>
      <w:jc w:val="both"/>
      <w:widowControl w:val="off"/>
    </w:pPr>
    <w:rPr>
      <w:rFonts w:ascii="Calibri" w:hAnsi="Calibri"/>
      <w:sz w:val="21"/>
      <w:szCs w:val="22"/>
    </w:rPr>
  </w:style>
  <w:style w:type="paragraph" w:styleId="1238" w:customStyle="1">
    <w:name w:val="正文文本2"/>
    <w:basedOn w:val="986"/>
    <w:qFormat/>
    <w:pPr>
      <w:spacing w:line="60" w:lineRule="auto"/>
    </w:pPr>
    <w:rPr>
      <w:rFonts w:ascii="仿宋_GB2312" w:eastAsia="仿宋_GB2312"/>
      <w:sz w:val="32"/>
      <w:szCs w:val="22"/>
    </w:rPr>
  </w:style>
  <w:style w:type="paragraph" w:styleId="1239" w:customStyle="1">
    <w:name w:val="Normal_19_2_0"/>
    <w:basedOn w:val="1240"/>
    <w:qFormat/>
    <w:rPr>
      <w:rFonts w:ascii="Times New Roman" w:hAnsi="Times New Roman"/>
      <w:szCs w:val="21"/>
    </w:rPr>
  </w:style>
  <w:style w:type="paragraph" w:styleId="1240" w:customStyle="1">
    <w:name w:val="正文_3_1"/>
    <w:qFormat/>
    <w:pPr>
      <w:jc w:val="both"/>
      <w:widowControl w:val="off"/>
    </w:pPr>
    <w:rPr>
      <w:rFonts w:ascii="Calibri" w:hAnsi="Calibri"/>
      <w:sz w:val="21"/>
      <w:szCs w:val="22"/>
    </w:rPr>
  </w:style>
  <w:style w:type="paragraph" w:styleId="1241" w:customStyle="1">
    <w:name w:val="正文缩进1"/>
    <w:basedOn w:val="786"/>
    <w:qFormat/>
    <w:pPr>
      <w:ind w:firstLine="420"/>
      <w:jc w:val="left"/>
    </w:pPr>
    <w:rPr>
      <w:rFonts w:ascii="宋体"/>
      <w:sz w:val="24"/>
    </w:rPr>
  </w:style>
  <w:style w:type="paragraph" w:styleId="1242" w:customStyle="1">
    <w:name w:val="纯文本1"/>
    <w:basedOn w:val="987"/>
    <w:qFormat/>
    <w:rPr>
      <w:rFonts w:ascii="宋体" w:hAnsi="Courier New"/>
    </w:rPr>
  </w:style>
  <w:style w:type="paragraph" w:styleId="1243" w:customStyle="1">
    <w:name w:val="Normal_21_0"/>
    <w:next w:val="1244"/>
    <w:qFormat/>
    <w:pPr>
      <w:jc w:val="both"/>
      <w:widowControl w:val="off"/>
    </w:pPr>
    <w:rPr>
      <w:sz w:val="21"/>
      <w:szCs w:val="24"/>
    </w:rPr>
  </w:style>
  <w:style w:type="paragraph" w:styleId="1244" w:customStyle="1">
    <w:name w:val="Heading 1_0"/>
    <w:basedOn w:val="1243"/>
    <w:next w:val="1243"/>
    <w:qFormat/>
    <w:pPr>
      <w:jc w:val="center"/>
      <w:keepLines/>
      <w:keepNext/>
      <w:spacing w:before="240" w:after="120" w:line="300" w:lineRule="auto"/>
      <w:outlineLvl w:val="0"/>
    </w:pPr>
    <w:rPr>
      <w:rFonts w:ascii="宋体"/>
      <w:b/>
      <w:sz w:val="32"/>
      <w:szCs w:val="20"/>
    </w:rPr>
  </w:style>
  <w:style w:type="paragraph" w:styleId="1245" w:customStyle="1">
    <w:name w:val="正文_12_0_0_0_0"/>
    <w:qFormat/>
    <w:pPr>
      <w:jc w:val="both"/>
      <w:widowControl w:val="off"/>
    </w:pPr>
    <w:rPr>
      <w:sz w:val="21"/>
      <w:szCs w:val="24"/>
    </w:rPr>
  </w:style>
  <w:style w:type="character" w:styleId="1246" w:customStyle="1">
    <w:name w:val="正文文本 字符"/>
    <w:qFormat/>
    <w:rPr>
      <w:rFonts w:ascii="楷体_GB2312" w:hAnsi="Arial" w:eastAsia="楷体_GB2312" w:cs="Times New Roman"/>
      <w:sz w:val="28"/>
      <w:szCs w:val="28"/>
    </w:rPr>
  </w:style>
  <w:style w:type="character" w:styleId="1247" w:customStyle="1">
    <w:name w:val="正文文本缩进 字符"/>
    <w:qFormat/>
    <w:rPr>
      <w:rFonts w:ascii="楷体_GB2312" w:hAnsi="Times New Roman" w:eastAsia="楷体_GB2312" w:cs="Times New Roman"/>
      <w:sz w:val="32"/>
      <w:szCs w:val="32"/>
    </w:rPr>
  </w:style>
  <w:style w:type="character" w:styleId="1248" w:customStyle="1">
    <w:name w:val="正文文本 字符1"/>
    <w:qFormat/>
    <w:rPr>
      <w:rFonts w:ascii="Calibri" w:hAnsi="Calibri"/>
      <w:sz w:val="28"/>
      <w:szCs w:val="24"/>
    </w:rPr>
  </w:style>
  <w:style w:type="character" w:styleId="1249" w:customStyle="1">
    <w:name w:val="正文文本首行缩进 字符"/>
    <w:qFormat/>
    <w:rPr>
      <w:rFonts w:ascii="仿宋_GB2312" w:hAnsi="Calibri" w:eastAsia="仿宋_GB2312"/>
      <w:sz w:val="30"/>
      <w:szCs w:val="30"/>
    </w:rPr>
  </w:style>
  <w:style w:type="paragraph" w:styleId="1250" w:customStyle="1">
    <w:name w:val="索引 41"/>
    <w:basedOn w:val="786"/>
    <w:next w:val="786"/>
    <w:semiHidden/>
    <w:qFormat/>
    <w:pPr>
      <w:ind w:left="1260"/>
    </w:pPr>
    <w:rPr>
      <w:rFonts w:eastAsia="Calibri" w:cs="宋体"/>
      <w:sz w:val="20"/>
      <w:szCs w:val="21"/>
      <w:lang w:val="zh-CN"/>
    </w:rPr>
  </w:style>
  <w:style w:type="character" w:styleId="1251" w:customStyle="1">
    <w:name w:val="font5 Char"/>
    <w:qFormat/>
    <w:rPr>
      <w:rFonts w:ascii="宋体" w:hAnsi="宋体" w:eastAsia="宋体"/>
      <w:sz w:val="28"/>
      <w:szCs w:val="28"/>
      <w:lang w:val="en-US" w:eastAsia="zh-CN" w:bidi="ar-SA"/>
    </w:rPr>
  </w:style>
  <w:style w:type="character" w:styleId="1252" w:customStyle="1">
    <w:name w:val="二级目录 Char"/>
    <w:link w:val="1253"/>
    <w:qFormat/>
    <w:rPr>
      <w:b/>
      <w:sz w:val="30"/>
      <w:szCs w:val="28"/>
    </w:rPr>
  </w:style>
  <w:style w:type="paragraph" w:styleId="1253" w:customStyle="1">
    <w:name w:val="二级目录"/>
    <w:next w:val="786"/>
    <w:link w:val="1252"/>
    <w:qFormat/>
    <w:pPr>
      <w:numPr>
        <w:numId w:val="1"/>
      </w:numPr>
      <w:tabs>
        <w:tab w:val="left" w:pos="907" w:leader="none"/>
        <w:tab w:val="left" w:pos="1145" w:leader="none"/>
      </w:tabs>
      <w:outlineLvl w:val="1"/>
    </w:pPr>
    <w:rPr>
      <w:b/>
      <w:sz w:val="30"/>
      <w:szCs w:val="28"/>
    </w:rPr>
  </w:style>
  <w:style w:type="character" w:styleId="1254" w:customStyle="1">
    <w:name w:val="列出段落 Char"/>
    <w:link w:val="1255"/>
    <w:qFormat/>
    <w:rPr>
      <w:rFonts w:ascii="Calibri" w:hAnsi="Calibri"/>
      <w:sz w:val="24"/>
      <w:szCs w:val="24"/>
      <w:lang w:eastAsia="en-US" w:bidi="en-US"/>
    </w:rPr>
  </w:style>
  <w:style w:type="paragraph" w:styleId="1255" w:customStyle="1">
    <w:name w:val="列出段落1"/>
    <w:basedOn w:val="786"/>
    <w:link w:val="1254"/>
    <w:qFormat/>
    <w:pPr>
      <w:contextualSpacing/>
      <w:ind w:left="720"/>
      <w:jc w:val="left"/>
      <w:widowControl/>
    </w:pPr>
    <w:rPr>
      <w:sz w:val="24"/>
      <w:szCs w:val="24"/>
      <w:lang w:eastAsia="en-US" w:bidi="en-US"/>
    </w:rPr>
  </w:style>
  <w:style w:type="paragraph" w:styleId="1256" w:customStyle="1">
    <w:name w:val="Body Text(ch)"/>
    <w:basedOn w:val="786"/>
    <w:qFormat/>
    <w:pPr>
      <w:spacing w:after="120"/>
    </w:pPr>
    <w:rPr>
      <w:rFonts w:ascii="宋体" w:hAnsi="Arial"/>
      <w:bCs/>
      <w:iCs/>
      <w:szCs w:val="24"/>
    </w:rPr>
  </w:style>
  <w:style w:type="paragraph" w:styleId="1257" w:customStyle="1">
    <w:name w:val="xl27"/>
    <w:basedOn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8" w:customStyle="1">
    <w:name w:val="xl26"/>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9" w:customStyle="1">
    <w:name w:val="Char"/>
    <w:basedOn w:val="786"/>
    <w:qFormat/>
    <w:pPr>
      <w:ind w:firstLine="200"/>
      <w:tabs>
        <w:tab w:val="left" w:pos="360" w:leader="none"/>
      </w:tabs>
    </w:pPr>
    <w:rPr>
      <w:rFonts w:ascii="Times New Roman" w:hAnsi="Times New Roman"/>
      <w:sz w:val="28"/>
      <w:szCs w:val="30"/>
    </w:rPr>
  </w:style>
  <w:style w:type="paragraph" w:styleId="1260" w:customStyle="1">
    <w:name w:val="Char1"/>
    <w:basedOn w:val="875"/>
    <w:qFormat/>
    <w:rPr>
      <w:rFonts w:ascii="Tahoma" w:hAnsi="Tahoma"/>
      <w:sz w:val="24"/>
      <w:szCs w:val="24"/>
    </w:rPr>
  </w:style>
  <w:style w:type="paragraph" w:styleId="1261" w:customStyle="1">
    <w:name w:val="table_lines"/>
    <w:basedOn w:val="786"/>
    <w:qFormat/>
    <w:pPr>
      <w:jc w:val="left"/>
      <w:widowControl/>
    </w:pPr>
    <w:rPr>
      <w:rFonts w:ascii="Times New Roman" w:hAnsi="Times New Roman"/>
      <w:sz w:val="20"/>
      <w:szCs w:val="20"/>
      <w:lang w:val="de-DE" w:eastAsia="de-DE"/>
    </w:rPr>
  </w:style>
  <w:style w:type="paragraph" w:styleId="1262" w:customStyle="1">
    <w:name w:val="附录1"/>
    <w:qFormat/>
    <w:pPr>
      <w:spacing w:before="240" w:line="600" w:lineRule="atLeast"/>
      <w:tabs>
        <w:tab w:val="left" w:pos="907" w:leader="none"/>
      </w:tabs>
    </w:pPr>
    <w:rPr>
      <w:b/>
      <w:i/>
      <w:sz w:val="28"/>
    </w:rPr>
  </w:style>
  <w:style w:type="paragraph" w:styleId="1263" w:customStyle="1">
    <w:name w:val="font7"/>
    <w:basedOn w:val="786"/>
    <w:qFormat/>
    <w:pPr>
      <w:jc w:val="left"/>
      <w:spacing w:before="100" w:beforeAutospacing="1" w:after="100" w:afterAutospacing="1"/>
      <w:widowControl/>
    </w:pPr>
    <w:rPr>
      <w:rFonts w:hint="eastAsia" w:ascii="宋体" w:hAnsi="宋体"/>
      <w:sz w:val="18"/>
      <w:szCs w:val="18"/>
    </w:rPr>
  </w:style>
  <w:style w:type="paragraph" w:styleId="1264" w:customStyle="1">
    <w:name w:val="Char Char Char Char"/>
    <w:basedOn w:val="875"/>
    <w:qFormat/>
    <w:pPr>
      <w:spacing w:line="360" w:lineRule="auto"/>
    </w:pPr>
    <w:rPr>
      <w:rFonts w:ascii="Tahoma" w:hAnsi="Tahoma"/>
      <w:sz w:val="24"/>
      <w:szCs w:val="24"/>
    </w:rPr>
  </w:style>
  <w:style w:type="paragraph" w:styleId="1265" w:customStyle="1">
    <w:name w:val="4"/>
    <w:basedOn w:val="786"/>
    <w:next w:val="910"/>
    <w:qFormat/>
    <w:pPr>
      <w:ind w:firstLine="420"/>
      <w:spacing w:line="360" w:lineRule="auto"/>
    </w:pPr>
    <w:rPr>
      <w:rFonts w:ascii="Times New Roman" w:hAnsi="Times New Roman"/>
      <w:color w:val="ff0000"/>
      <w:sz w:val="24"/>
      <w:szCs w:val="24"/>
    </w:rPr>
  </w:style>
  <w:style w:type="paragraph" w:styleId="1266" w:customStyle="1">
    <w:name w:val="普通 (Web)"/>
    <w:basedOn w:val="786"/>
    <w:qFormat/>
    <w:pPr>
      <w:jc w:val="left"/>
      <w:spacing w:before="100" w:beforeAutospacing="1" w:after="100" w:afterAutospacing="1"/>
      <w:widowControl/>
    </w:pPr>
    <w:rPr>
      <w:rFonts w:ascii="宋体" w:hAnsi="宋体"/>
      <w:sz w:val="24"/>
      <w:szCs w:val="24"/>
    </w:rPr>
  </w:style>
  <w:style w:type="paragraph" w:styleId="1267" w:customStyle="1">
    <w:name w:val="Char Char Char Char Char Char Char Char Char Char"/>
    <w:basedOn w:val="786"/>
    <w:qFormat/>
    <w:pPr>
      <w:spacing w:line="360" w:lineRule="auto"/>
    </w:pPr>
    <w:rPr>
      <w:rFonts w:ascii="Times New Roman" w:hAnsi="Times New Roman"/>
      <w:sz w:val="24"/>
      <w:szCs w:val="20"/>
    </w:rPr>
  </w:style>
  <w:style w:type="paragraph" w:styleId="1268" w:customStyle="1">
    <w:name w:val="样式1"/>
    <w:basedOn w:val="786"/>
    <w:qFormat/>
    <w:pPr>
      <w:numPr>
        <w:numId w:val="2"/>
      </w:numPr>
      <w:tabs>
        <w:tab w:val="left" w:pos="709" w:leader="none"/>
      </w:tabs>
    </w:pPr>
    <w:rPr>
      <w:rFonts w:ascii="宋体" w:hAnsi="宋体"/>
      <w:szCs w:val="21"/>
    </w:rPr>
  </w:style>
  <w:style w:type="paragraph" w:styleId="1269" w:customStyle="1">
    <w:name w:val="font6"/>
    <w:basedOn w:val="786"/>
    <w:qFormat/>
    <w:pPr>
      <w:jc w:val="left"/>
      <w:spacing w:before="100" w:beforeAutospacing="1" w:after="100" w:afterAutospacing="1"/>
      <w:widowControl/>
    </w:pPr>
    <w:rPr>
      <w:rFonts w:hint="eastAsia" w:ascii="宋体" w:hAnsi="宋体"/>
      <w:sz w:val="28"/>
      <w:szCs w:val="28"/>
      <w:u w:val="single"/>
    </w:rPr>
  </w:style>
  <w:style w:type="paragraph" w:styleId="1270" w:customStyle="1">
    <w:name w:val="xl25"/>
    <w:basedOn w:val="78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1" w:customStyle="1">
    <w:name w:val="图标"/>
    <w:basedOn w:val="786"/>
    <w:next w:val="78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2" w:customStyle="1">
    <w:name w:val="标题3"/>
    <w:basedOn w:val="786"/>
    <w:next w:val="786"/>
    <w:qFormat/>
    <w:pPr>
      <w:ind w:firstLine="624"/>
      <w:spacing w:line="590" w:lineRule="atLeast"/>
    </w:pPr>
    <w:rPr>
      <w:rFonts w:ascii="方正黑体_GBK" w:hAnsi="Times New Roman" w:eastAsia="方正黑体_GBK"/>
      <w:sz w:val="32"/>
      <w:szCs w:val="32"/>
    </w:rPr>
  </w:style>
  <w:style w:type="paragraph" w:styleId="1273" w:customStyle="1">
    <w:name w:val="xl24"/>
    <w:basedOn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9"/>
    <w:basedOn w:val="78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Char Char Char Char Char Char Char Char"/>
    <w:basedOn w:val="786"/>
    <w:qFormat/>
    <w:pPr>
      <w:jc w:val="left"/>
      <w:spacing w:after="160" w:line="240" w:lineRule="exact"/>
      <w:widowControl/>
    </w:pPr>
    <w:rPr>
      <w:rFonts w:ascii="Verdana" w:hAnsi="Verdana"/>
      <w:sz w:val="20"/>
      <w:szCs w:val="20"/>
      <w:lang w:eastAsia="en-US"/>
    </w:rPr>
  </w:style>
  <w:style w:type="paragraph" w:styleId="1276" w:customStyle="1">
    <w:name w:val="xl28"/>
    <w:basedOn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7" w:customStyle="1">
    <w:name w:val="Char Char Char Char Char Char Char Char1"/>
    <w:basedOn w:val="786"/>
    <w:qFormat/>
    <w:pPr>
      <w:jc w:val="left"/>
      <w:spacing w:after="160" w:line="240" w:lineRule="exact"/>
      <w:widowControl/>
    </w:pPr>
    <w:rPr>
      <w:rFonts w:ascii="Verdana" w:hAnsi="Verdana"/>
      <w:sz w:val="20"/>
      <w:szCs w:val="20"/>
      <w:lang w:eastAsia="en-US"/>
    </w:rPr>
  </w:style>
  <w:style w:type="paragraph" w:styleId="1278" w:customStyle="1">
    <w:name w:val="xl30"/>
    <w:basedOn w:val="786"/>
    <w:qFormat/>
    <w:pPr>
      <w:jc w:val="center"/>
      <w:spacing w:before="100" w:beforeAutospacing="1" w:after="100" w:afterAutospacing="1"/>
      <w:widowControl/>
    </w:pPr>
    <w:rPr>
      <w:rFonts w:ascii="宋体" w:hAnsi="宋体"/>
      <w:b/>
      <w:bCs/>
      <w:sz w:val="36"/>
      <w:szCs w:val="36"/>
    </w:rPr>
  </w:style>
  <w:style w:type="paragraph" w:styleId="1279" w:customStyle="1">
    <w:name w:val="Char Char Char Char1"/>
    <w:basedOn w:val="875"/>
    <w:qFormat/>
    <w:pPr>
      <w:spacing w:line="360" w:lineRule="auto"/>
    </w:pPr>
    <w:rPr>
      <w:rFonts w:ascii="Tahoma" w:hAnsi="Tahoma"/>
      <w:sz w:val="24"/>
      <w:szCs w:val="24"/>
    </w:rPr>
  </w:style>
  <w:style w:type="paragraph" w:styleId="1280" w:customStyle="1">
    <w:name w:val="table_1stline"/>
    <w:basedOn w:val="786"/>
    <w:qFormat/>
    <w:pPr>
      <w:jc w:val="left"/>
      <w:spacing w:before="120"/>
      <w:widowControl/>
    </w:pPr>
    <w:rPr>
      <w:rFonts w:ascii="Times New Roman" w:hAnsi="Times New Roman"/>
      <w:bCs/>
      <w:sz w:val="20"/>
      <w:szCs w:val="20"/>
      <w:lang w:val="de-DE" w:eastAsia="de-DE"/>
    </w:rPr>
  </w:style>
  <w:style w:type="paragraph" w:styleId="1281" w:customStyle="1">
    <w:name w:val="font5"/>
    <w:basedOn w:val="786"/>
    <w:qFormat/>
    <w:pPr>
      <w:jc w:val="left"/>
      <w:spacing w:before="100" w:beforeAutospacing="1" w:after="100" w:afterAutospacing="1"/>
      <w:widowControl/>
    </w:pPr>
    <w:rPr>
      <w:rFonts w:hint="eastAsia" w:ascii="宋体" w:hAnsi="宋体"/>
      <w:sz w:val="28"/>
      <w:szCs w:val="28"/>
    </w:rPr>
  </w:style>
  <w:style w:type="paragraph" w:styleId="1282" w:customStyle="1">
    <w:name w:val="标题1"/>
    <w:basedOn w:val="786"/>
    <w:next w:val="78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3" w:customStyle="1">
    <w:name w:val="修订1"/>
    <w:uiPriority w:val="99"/>
    <w:semiHidden/>
    <w:qFormat/>
    <w:rPr>
      <w:sz w:val="21"/>
      <w:szCs w:val="21"/>
    </w:rPr>
  </w:style>
  <w:style w:type="table" w:styleId="1284" w:customStyle="1">
    <w:name w:val="Table Normal"/>
    <w:qFormat/>
    <w:tblPr>
      <w:tblCellMar>
        <w:left w:w="0" w:type="dxa"/>
        <w:top w:w="0" w:type="dxa"/>
        <w:right w:w="0" w:type="dxa"/>
        <w:bottom w:w="0" w:type="dxa"/>
      </w:tblCellMar>
    </w:tblPr>
  </w:style>
  <w:style w:type="paragraph" w:styleId="1285" w:customStyle="1">
    <w:name w:val="正文文本12"/>
    <w:basedOn w:val="786"/>
    <w:uiPriority w:val="1"/>
    <w:qFormat/>
    <w:pPr>
      <w:ind w:left="120"/>
    </w:pPr>
    <w:rPr>
      <w:rFonts w:ascii="宋体" w:hAnsi="宋体" w:cs="宋体"/>
      <w:szCs w:val="21"/>
      <w:lang w:val="zh-CN" w:bidi="zh-CN"/>
    </w:rPr>
  </w:style>
  <w:style w:type="paragraph" w:styleId="1286" w:customStyle="1">
    <w:name w:val="首行缩进"/>
    <w:basedOn w:val="786"/>
    <w:qFormat/>
    <w:pPr>
      <w:ind w:firstLine="480"/>
    </w:pPr>
    <w:rPr>
      <w:rFonts w:ascii="Times New Roman" w:hAnsi="Times New Roman"/>
      <w:szCs w:val="21"/>
      <w:lang w:val="zh-CN"/>
    </w:rPr>
  </w:style>
  <w:style w:type="paragraph" w:styleId="1287" w:customStyle="1">
    <w:name w:val="部分1"/>
    <w:basedOn w:val="786"/>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88" w:customStyle="1">
    <w:name w:val="15"/>
    <w:qFormat/>
    <w:rPr>
      <w:rFonts w:ascii="Times New Roman" w:hAnsi="Times New Roman" w:cs="Times New Roman"/>
    </w:rPr>
  </w:style>
  <w:style w:type="paragraph" w:styleId="1289" w:customStyle="1">
    <w:name w:val="正文文本缩进 2_0"/>
    <w:basedOn w:val="1126"/>
    <w:qFormat/>
    <w:pPr>
      <w:ind w:firstLine="720"/>
      <w:jc w:val="left"/>
      <w:spacing w:line="540" w:lineRule="exact"/>
    </w:pPr>
    <w:rPr>
      <w:rFonts w:ascii="仿宋_GB2312" w:hAnsi="仿宋_GB2312" w:cs="宋体"/>
      <w:sz w:val="32"/>
      <w:szCs w:val="32"/>
    </w:rPr>
  </w:style>
  <w:style w:type="character" w:styleId="1290" w:customStyle="1">
    <w:name w:val="10"/>
    <w:qFormat/>
    <w:rPr>
      <w:rFonts w:ascii="Times New Roman" w:hAnsi="Times New Roman" w:cs="Times New Roman"/>
    </w:rPr>
  </w:style>
  <w:style w:type="paragraph" w:styleId="1291" w:customStyle="1">
    <w:name w:val="正文_16_1"/>
    <w:basedOn w:val="786"/>
    <w:qFormat/>
    <w:rPr>
      <w:rFonts w:ascii="Times New Roman" w:hAnsi="Times New Roman"/>
      <w:szCs w:val="21"/>
    </w:rPr>
  </w:style>
  <w:style w:type="paragraph" w:styleId="1292" w:customStyle="1">
    <w:name w:val="页脚1"/>
    <w:basedOn w:val="786"/>
    <w:qFormat/>
    <w:pPr>
      <w:jc w:val="left"/>
      <w:tabs>
        <w:tab w:val="center" w:pos="4153" w:leader="none"/>
        <w:tab w:val="right" w:pos="8306" w:leader="none"/>
      </w:tabs>
    </w:pPr>
    <w:rPr>
      <w:sz w:val="18"/>
      <w:szCs w:val="18"/>
    </w:rPr>
  </w:style>
  <w:style w:type="character" w:styleId="1293" w:customStyle="1">
    <w:name w:val="页码1"/>
    <w:qFormat/>
  </w:style>
  <w:style w:type="paragraph" w:styleId="1294" w:customStyle="1">
    <w:name w:val="*正文"/>
    <w:basedOn w:val="872"/>
    <w:qFormat/>
    <w:pPr>
      <w:ind w:firstLine="200"/>
    </w:pPr>
    <w:rPr>
      <w:rFonts w:hAnsi="宋体"/>
      <w:szCs w:val="24"/>
    </w:rPr>
  </w:style>
  <w:style w:type="paragraph" w:styleId="1295" w:customStyle="1">
    <w:name w:val="*正文_0"/>
    <w:basedOn w:val="1296"/>
    <w:qFormat/>
    <w:pPr>
      <w:ind w:firstLine="200"/>
      <w:spacing w:line="360" w:lineRule="auto"/>
    </w:pPr>
    <w:rPr>
      <w:rFonts w:ascii="宋体" w:hAnsi="宋体" w:eastAsia="Arial" w:cs="Arial"/>
      <w:color w:val="000000"/>
      <w:sz w:val="24"/>
    </w:rPr>
  </w:style>
  <w:style w:type="paragraph" w:styleId="1296" w:customStyle="1">
    <w:name w:val="正文缩进_2"/>
    <w:basedOn w:val="1150"/>
    <w:unhideWhenUsed/>
    <w:qFormat/>
    <w:pPr>
      <w:ind w:firstLine="420"/>
      <w:jc w:val="left"/>
      <w:widowControl/>
    </w:pPr>
    <w:rPr>
      <w:rFonts w:ascii="Times New Roman" w:hAnsi="Times New Roman"/>
      <w:sz w:val="20"/>
      <w:szCs w:val="24"/>
    </w:rPr>
  </w:style>
  <w:style w:type="paragraph" w:styleId="1297" w:customStyle="1">
    <w:name w:val="*正文_0_0"/>
    <w:basedOn w:val="1150"/>
    <w:qFormat/>
    <w:pPr>
      <w:ind w:firstLine="200"/>
      <w:jc w:val="left"/>
      <w:spacing w:line="360" w:lineRule="auto"/>
      <w:widowControl/>
    </w:pPr>
    <w:rPr>
      <w:rFonts w:ascii="宋体" w:hAnsi="宋体" w:eastAsia="Arial" w:cs="Arial"/>
      <w:color w:val="000000"/>
      <w:sz w:val="24"/>
      <w:szCs w:val="24"/>
    </w:rPr>
  </w:style>
  <w:style w:type="paragraph" w:styleId="1298" w:customStyle="1">
    <w:name w:val="无间隔1_0_0"/>
    <w:basedOn w:val="1150"/>
    <w:qFormat/>
    <w:rPr>
      <w:rFonts w:ascii="Times New Roman" w:hAnsi="Times New Roman"/>
      <w:szCs w:val="21"/>
    </w:rPr>
  </w:style>
  <w:style w:type="paragraph" w:styleId="1299" w:customStyle="1">
    <w:name w:val="正文_0_2"/>
    <w:qFormat/>
    <w:pPr>
      <w:jc w:val="both"/>
      <w:widowControl w:val="off"/>
    </w:pPr>
    <w:rPr>
      <w:szCs w:val="24"/>
    </w:rPr>
  </w:style>
  <w:style w:type="paragraph" w:styleId="1300" w:customStyle="1">
    <w:name w:val="标题 4_0"/>
    <w:basedOn w:val="1301"/>
    <w:next w:val="1301"/>
    <w:uiPriority w:val="9"/>
    <w:unhideWhenUsed/>
    <w:qFormat/>
    <w:pPr>
      <w:keepLines/>
      <w:keepNext/>
      <w:spacing w:before="280" w:after="290" w:line="372" w:lineRule="auto"/>
      <w:outlineLvl w:val="3"/>
    </w:pPr>
    <w:rPr>
      <w:rFonts w:ascii="Arial" w:hAnsi="Arial" w:eastAsia="黑体"/>
      <w:b/>
      <w:sz w:val="28"/>
    </w:rPr>
  </w:style>
  <w:style w:type="paragraph" w:styleId="1301" w:customStyle="1">
    <w:name w:val="正文4"/>
    <w:qFormat/>
    <w:pPr>
      <w:jc w:val="both"/>
      <w:widowControl w:val="off"/>
    </w:pPr>
    <w:rPr>
      <w:rFonts w:ascii="Calibri" w:hAnsi="Calibri"/>
    </w:rPr>
  </w:style>
  <w:style w:type="paragraph" w:styleId="1302" w:customStyle="1">
    <w:name w:val="正文_3_0_0"/>
    <w:qFormat/>
    <w:pPr>
      <w:jc w:val="both"/>
      <w:widowControl w:val="off"/>
    </w:pPr>
  </w:style>
  <w:style w:type="paragraph" w:styleId="1303" w:customStyle="1">
    <w:name w:val="p17_0_0"/>
    <w:basedOn w:val="1193"/>
    <w:qFormat/>
    <w:pPr>
      <w:jc w:val="left"/>
      <w:spacing w:before="100" w:beforeAutospacing="1" w:after="100" w:afterAutospacing="1"/>
      <w:widowControl/>
    </w:pPr>
    <w:rPr>
      <w:rFonts w:ascii="宋体" w:hAnsi="宋体" w:eastAsia="Times New Roman" w:cs="宋体"/>
      <w:sz w:val="24"/>
    </w:rPr>
  </w:style>
  <w:style w:type="paragraph" w:styleId="1304" w:customStyle="1">
    <w:name w:val="p17_0"/>
    <w:basedOn w:val="850"/>
    <w:qFormat/>
    <w:pPr>
      <w:spacing w:before="100" w:beforeAutospacing="1" w:after="100" w:afterAutospacing="1"/>
    </w:pPr>
    <w:rPr>
      <w:rFonts w:ascii="宋体" w:hAnsi="宋体" w:eastAsia="Times New Roman" w:cs="宋体"/>
      <w:sz w:val="24"/>
    </w:rPr>
  </w:style>
  <w:style w:type="paragraph" w:styleId="1305" w:customStyle="1">
    <w:name w:val="普通(网站)11"/>
    <w:basedOn w:val="786"/>
    <w:uiPriority w:val="99"/>
    <w:qFormat/>
    <w:rPr>
      <w:sz w:val="24"/>
    </w:rPr>
  </w:style>
  <w:style w:type="paragraph" w:styleId="1306" w:customStyle="1">
    <w:name w:val="AONormal"/>
    <w:qFormat/>
    <w:pPr>
      <w:ind w:firstLine="440"/>
      <w:spacing w:line="400" w:lineRule="exact"/>
    </w:pPr>
    <w:rPr>
      <w:rFonts w:ascii="华文楷体" w:hAnsi="华文楷体" w:eastAsia="华文楷体" w:cs="华文楷体"/>
      <w:sz w:val="22"/>
      <w:szCs w:val="21"/>
    </w:rPr>
  </w:style>
  <w:style w:type="character" w:styleId="1307" w:customStyle="1">
    <w:name w:val="font61"/>
    <w:basedOn w:val="859"/>
    <w:qFormat/>
    <w:rPr>
      <w:rFonts w:hint="eastAsia" w:ascii="宋体" w:hAnsi="宋体" w:eastAsia="宋体" w:cs="宋体"/>
      <w:color w:val="000000"/>
      <w:sz w:val="22"/>
      <w:szCs w:val="22"/>
      <w:u w:val="none"/>
    </w:rPr>
  </w:style>
  <w:style w:type="character" w:styleId="1308" w:customStyle="1">
    <w:name w:val="font81"/>
    <w:basedOn w:val="859"/>
    <w:qFormat/>
    <w:rPr>
      <w:rFonts w:hint="eastAsia" w:ascii="宋体" w:hAnsi="宋体" w:eastAsia="宋体" w:cs="宋体"/>
      <w:color w:val="000000"/>
      <w:sz w:val="22"/>
      <w:szCs w:val="22"/>
      <w:u w:val="none"/>
    </w:rPr>
  </w:style>
  <w:style w:type="character" w:styleId="1309" w:customStyle="1">
    <w:name w:val="font71"/>
    <w:basedOn w:val="859"/>
    <w:qFormat/>
    <w:rPr>
      <w:rFonts w:hint="eastAsia" w:ascii="宋体" w:hAnsi="宋体" w:eastAsia="宋体" w:cs="宋体"/>
      <w:b/>
      <w:bCs/>
      <w:color w:val="000000"/>
      <w:sz w:val="22"/>
      <w:szCs w:val="22"/>
      <w:u w:val="none"/>
    </w:rPr>
  </w:style>
  <w:style w:type="table" w:styleId="1310" w:customStyle="1">
    <w:name w:val="Table Normal1"/>
    <w:qFormat/>
    <w:tblPr>
      <w:tblCellMar>
        <w:left w:w="0" w:type="dxa"/>
        <w:top w:w="0" w:type="dxa"/>
        <w:right w:w="0" w:type="dxa"/>
        <w:bottom w:w="0" w:type="dxa"/>
      </w:tblCellMar>
    </w:tblPr>
  </w:style>
  <w:style w:type="table" w:styleId="1311" w:customStyle="1">
    <w:name w:val="Table Normal2"/>
    <w:qFormat/>
    <w:tblPr>
      <w:tblCellMar>
        <w:left w:w="0" w:type="dxa"/>
        <w:top w:w="0" w:type="dxa"/>
        <w:right w:w="0" w:type="dxa"/>
        <w:bottom w:w="0" w:type="dxa"/>
      </w:tblCellMar>
    </w:tblPr>
  </w:style>
  <w:style w:type="character" w:styleId="1312" w:customStyle="1">
    <w:name w:val="font41"/>
    <w:basedOn w:val="859"/>
    <w:qFormat/>
    <w:rPr>
      <w:rFonts w:hint="eastAsia" w:ascii="宋体" w:hAnsi="宋体" w:eastAsia="宋体" w:cs="宋体"/>
      <w:color w:val="000000"/>
      <w:sz w:val="22"/>
      <w:szCs w:val="22"/>
      <w:u w:val="none"/>
    </w:rPr>
  </w:style>
  <w:style w:type="character" w:styleId="1313" w:customStyle="1">
    <w:name w:val="font31"/>
    <w:basedOn w:val="859"/>
    <w:qFormat/>
    <w:rPr>
      <w:rFonts w:hint="eastAsia" w:ascii="宋体" w:hAnsi="宋体" w:eastAsia="宋体" w:cs="宋体"/>
      <w:color w:val="000000"/>
      <w:sz w:val="22"/>
      <w:szCs w:val="22"/>
      <w:u w:val="none"/>
    </w:rPr>
  </w:style>
  <w:style w:type="character" w:styleId="1314" w:customStyle="1">
    <w:name w:val="font51"/>
    <w:basedOn w:val="859"/>
    <w:qFormat/>
    <w:rPr>
      <w:rFonts w:hint="eastAsia" w:ascii="宋体" w:hAnsi="宋体" w:eastAsia="宋体" w:cs="宋体"/>
      <w:color w:val="000000"/>
      <w:sz w:val="22"/>
      <w:szCs w:val="22"/>
      <w:u w:val="none"/>
    </w:rPr>
  </w:style>
  <w:style w:type="character" w:styleId="1315" w:customStyle="1">
    <w:name w:val="font01"/>
    <w:basedOn w:val="796"/>
    <w:qFormat/>
    <w:rPr>
      <w:rFonts w:ascii="等线" w:hAnsi="等线" w:eastAsia="等线" w:cs="等线"/>
      <w:color w:val="000000"/>
      <w:sz w:val="22"/>
      <w:szCs w:val="22"/>
      <w:u w:val="none"/>
    </w:rPr>
  </w:style>
  <w:style w:type="character" w:styleId="1316" w:customStyle="1">
    <w:name w:val="font11"/>
    <w:basedOn w:val="859"/>
    <w:qFormat/>
    <w:rPr>
      <w:rFonts w:ascii="等线" w:hAnsi="等线" w:eastAsia="等线" w:cs="等线"/>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47EA417-5FC3-4B3F-948D-FA8C69CA670B}">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江苏博哲沭阳分公司</cp:lastModifiedBy>
  <cp:revision>46</cp:revision>
  <dcterms:created xsi:type="dcterms:W3CDTF">2023-07-23T13:07:00Z</dcterms:created>
  <dcterms:modified xsi:type="dcterms:W3CDTF">2026-09-21T00:48:59Z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356F5735C24A4544A2714B61700AE737_13</vt:lpwstr>
  </property>
</Properties>
</file>