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60"/>
        <w:jc w:val="right"/>
        <w:rPr>
          <w:rFonts w:ascii="宋体" w:hAnsi="宋体" w:cs="宋体"/>
          <w:color w:val="auto"/>
          <w:sz w:val="36"/>
          <w:highlight w:val="none"/>
        </w:rPr>
      </w:pPr>
      <w:r>
        <w:rPr>
          <w:rFonts w:ascii="宋体" w:hAnsi="宋体" w:cs="宋体"/>
          <w:color w:val="auto"/>
          <w:sz w:val="36"/>
          <w:highlight w:val="none"/>
        </w:rPr>
      </w:r>
      <w:r/>
    </w:p>
    <w:p>
      <w:pPr>
        <w:ind w:right="39" w:firstLine="281"/>
        <w:jc w:val="right"/>
        <w:rPr>
          <w:rFonts w:ascii="宋体" w:hAnsi="宋体" w:cs="宋体"/>
          <w:b/>
          <w:color w:val="auto"/>
          <w:sz w:val="30"/>
          <w:szCs w:val="30"/>
          <w:highlight w:val="none"/>
        </w:rPr>
      </w:pPr>
      <w:r>
        <w:rPr>
          <w:rFonts w:hint="eastAsia" w:ascii="宋体" w:hAnsi="宋体" w:cs="宋体"/>
          <w:b/>
          <w:color w:val="auto"/>
          <w:sz w:val="30"/>
          <w:szCs w:val="30"/>
          <w:highlight w:val="none"/>
        </w:rPr>
        <w:t xml:space="preserve">编号：JSZC-321000-JSZX-G2026-0011</w:t>
      </w:r>
      <w:r/>
    </w:p>
    <w:p>
      <w:pPr>
        <w:ind w:firstLine="280"/>
        <w:jc w:val="center"/>
        <w:rPr>
          <w:rFonts w:ascii="宋体" w:hAnsi="宋体" w:cs="宋体"/>
          <w:b/>
          <w:color w:val="auto"/>
          <w:sz w:val="30"/>
          <w:szCs w:val="30"/>
          <w:highlight w:val="none"/>
        </w:rPr>
      </w:pPr>
      <w:r>
        <w:rPr>
          <w:rFonts w:ascii="宋体" w:hAnsi="宋体" w:cs="宋体"/>
          <w:b/>
          <w:color w:val="auto"/>
          <w:sz w:val="30"/>
          <w:szCs w:val="30"/>
          <w:highlight w:val="none"/>
        </w:rPr>
      </w:r>
      <w:r/>
    </w:p>
    <w:p>
      <w:pPr>
        <w:jc w:val="center"/>
        <w:rPr>
          <w:rFonts w:ascii="宋体" w:hAnsi="宋体" w:cs="宋体"/>
          <w:color w:val="auto"/>
          <w:highlight w:val="none"/>
        </w:rPr>
      </w:pPr>
      <w:r>
        <w:rPr>
          <w:rFonts w:ascii="宋体" w:hAnsi="宋体" w:cs="宋体"/>
          <w:color w:val="auto"/>
          <w:highlight w:val="none"/>
        </w:rPr>
      </w:r>
      <w:r/>
    </w:p>
    <w:p>
      <w:pPr>
        <w:ind w:firstLine="361"/>
        <w:jc w:val="center"/>
        <w:spacing w:line="360" w:lineRule="auto"/>
        <w:rPr>
          <w:rFonts w:hint="eastAsia" w:ascii="宋体" w:hAnsi="宋体" w:cs="宋体"/>
          <w:b/>
          <w:color w:val="auto"/>
          <w:sz w:val="36"/>
          <w:szCs w:val="22"/>
          <w:highlight w:val="none"/>
        </w:rPr>
      </w:pPr>
      <w:r>
        <w:rPr>
          <w:rFonts w:hint="eastAsia" w:ascii="宋体" w:hAnsi="宋体" w:cs="宋体"/>
          <w:b/>
          <w:color w:val="auto"/>
          <w:sz w:val="36"/>
          <w:szCs w:val="22"/>
          <w:highlight w:val="none"/>
        </w:rPr>
        <w:t xml:space="preserve">江苏省苏北人民医院</w:t>
      </w:r>
      <w:r/>
    </w:p>
    <w:p>
      <w:pPr>
        <w:ind w:firstLine="361"/>
        <w:jc w:val="center"/>
        <w:spacing w:line="360" w:lineRule="auto"/>
        <w:rPr>
          <w:rFonts w:ascii="宋体" w:hAnsi="宋体" w:cs="宋体"/>
          <w:b/>
          <w:color w:val="auto"/>
          <w:sz w:val="36"/>
          <w:szCs w:val="22"/>
          <w:highlight w:val="none"/>
        </w:rPr>
      </w:pPr>
      <w:r>
        <w:rPr>
          <w:rFonts w:hint="eastAsia" w:ascii="宋体" w:hAnsi="宋体" w:cs="宋体"/>
          <w:b/>
          <w:color w:val="auto"/>
          <w:sz w:val="36"/>
          <w:szCs w:val="22"/>
          <w:highlight w:val="none"/>
          <w:lang w:eastAsia="zh-CN"/>
        </w:rPr>
        <w:t xml:space="preserve">2026-2027年度</w:t>
      </w:r>
      <w:r>
        <w:rPr>
          <w:rFonts w:hint="eastAsia" w:ascii="宋体" w:hAnsi="宋体" w:cs="宋体"/>
          <w:b/>
          <w:color w:val="auto"/>
          <w:sz w:val="36"/>
          <w:szCs w:val="22"/>
          <w:highlight w:val="none"/>
        </w:rPr>
        <w:t xml:space="preserve">医疗责任险采购项目</w:t>
      </w:r>
      <w:r/>
    </w:p>
    <w:p>
      <w:pPr>
        <w:ind w:firstLine="361"/>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ind w:firstLine="238"/>
        <w:keepLines/>
        <w:keepNext/>
        <w:rPr>
          <w:rFonts w:ascii="宋体" w:hAnsi="宋体" w:cs="宋体"/>
          <w:color w:val="auto"/>
          <w:highlight w:val="none"/>
        </w:rPr>
      </w:pPr>
      <w:r>
        <w:rPr>
          <w:rFonts w:hint="eastAsia" w:ascii="宋体" w:hAnsi="宋体" w:cs="宋体"/>
          <w:color w:val="auto"/>
          <w:sz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-415925</wp:posOffset>
                </wp:positionH>
                <wp:positionV relativeFrom="paragraph">
                  <wp:posOffset>396875</wp:posOffset>
                </wp:positionV>
                <wp:extent cx="6172200" cy="3475990"/>
                <wp:effectExtent l="0" t="0" r="0" b="13970"/>
                <wp:wrapNone/>
                <wp:docPr id="5" name="图片 1"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1c7e1d23248204d55c64632e4af063b"/>
                        <pic:cNvPicPr>
                          <a:picLocks noChangeAspect="1"/>
                        </pic:cNvPicPr>
                        <pic:nvPr/>
                      </pic:nvPicPr>
                      <pic:blipFill>
                        <a:blip r:embed="rId18"/>
                        <a:stretch/>
                      </pic:blipFill>
                      <pic:spPr bwMode="auto">
                        <a:xfrm>
                          <a:off x="0" y="0"/>
                          <a:ext cx="6172200" cy="347599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32.8pt;mso-position-horizontal:absolute;mso-position-vertical-relative:text;margin-top:31.2pt;mso-position-vertical:absolute;width:486.0pt;height:273.7pt;mso-wrap-distance-left:9.0pt;mso-wrap-distance-top:0.0pt;mso-wrap-distance-right:9.0pt;mso-wrap-distance-bottom:0.0pt;" stroked="f">
                <v:path textboxrect="0,0,0,0"/>
                <v:imagedata r:id="rId18" o:title=""/>
              </v:shape>
            </w:pict>
          </mc:Fallback>
        </mc:AlternateContent>
      </w:r>
      <w:r/>
    </w:p>
    <w:p>
      <w:pPr>
        <w:ind w:firstLine="360"/>
        <w:jc w:val="center"/>
        <w:rPr>
          <w:rFonts w:ascii="宋体" w:hAnsi="宋体" w:cs="宋体"/>
          <w:color w:val="auto"/>
          <w:sz w:val="36"/>
          <w:highlight w:val="none"/>
        </w:rPr>
      </w:pPr>
      <w:r>
        <w:rPr>
          <w:rFonts w:ascii="宋体" w:hAnsi="宋体" w:cs="宋体"/>
          <w:color w:val="auto"/>
          <w:sz w:val="36"/>
          <w:highlight w:val="none"/>
        </w:rPr>
      </w:r>
      <w:r/>
    </w:p>
    <w:p>
      <w:pPr>
        <w:ind w:firstLine="360"/>
        <w:jc w:val="center"/>
        <w:rPr>
          <w:rFonts w:ascii="宋体" w:hAnsi="宋体" w:cs="宋体"/>
          <w:color w:val="auto"/>
          <w:sz w:val="36"/>
          <w:highlight w:val="none"/>
        </w:rPr>
      </w:pPr>
      <w:r>
        <w:rPr>
          <w:rFonts w:ascii="宋体" w:hAnsi="宋体" w:cs="宋体"/>
          <w:color w:val="auto"/>
          <w:sz w:val="36"/>
          <w:highlight w:val="none"/>
        </w:rPr>
      </w:r>
      <w:r/>
    </w:p>
    <w:p>
      <w:pPr>
        <w:ind w:firstLine="360"/>
        <w:jc w:val="center"/>
        <w:rPr>
          <w:rFonts w:ascii="宋体" w:hAnsi="宋体" w:cs="宋体"/>
          <w:color w:val="auto"/>
          <w:sz w:val="36"/>
          <w:highlight w:val="none"/>
        </w:rPr>
      </w:pPr>
      <w:r>
        <w:rPr>
          <w:rFonts w:ascii="宋体" w:hAnsi="宋体" w:cs="宋体"/>
          <w:color w:val="auto"/>
          <w:sz w:val="36"/>
          <w:highlight w:val="none"/>
        </w:rPr>
      </w:r>
      <w:r/>
    </w:p>
    <w:p>
      <w:pPr>
        <w:ind w:firstLine="361"/>
        <w:rPr>
          <w:rFonts w:ascii="宋体" w:hAnsi="宋体" w:cs="宋体"/>
          <w:b/>
          <w:bCs/>
          <w:color w:val="auto"/>
          <w:sz w:val="36"/>
          <w:highlight w:val="none"/>
        </w:rPr>
      </w:pPr>
      <w:r>
        <w:rPr>
          <w:rFonts w:ascii="宋体" w:hAnsi="宋体" w:cs="宋体"/>
          <w:b/>
          <w:bCs/>
          <w:color w:val="auto"/>
          <w:sz w:val="36"/>
          <w:highlight w:val="none"/>
        </w:rPr>
      </w:r>
      <w:r/>
    </w:p>
    <w:p>
      <w:pPr>
        <w:ind w:firstLine="361"/>
        <w:jc w:val="center"/>
        <w:rPr>
          <w:rFonts w:ascii="宋体" w:hAnsi="宋体" w:cs="宋体"/>
          <w:b/>
          <w:bCs/>
          <w:color w:val="auto"/>
          <w:sz w:val="36"/>
          <w:highlight w:val="none"/>
        </w:rPr>
      </w:pPr>
      <w:r>
        <w:rPr>
          <w:rFonts w:ascii="宋体" w:hAnsi="宋体" w:cs="宋体"/>
          <w:b/>
          <w:bCs/>
          <w:color w:val="auto"/>
          <w:sz w:val="36"/>
          <w:highlight w:val="none"/>
        </w:rPr>
      </w:r>
      <w:r/>
    </w:p>
    <w:p>
      <w:pPr>
        <w:ind w:firstLine="361"/>
        <w:jc w:val="center"/>
        <w:rPr>
          <w:rFonts w:ascii="宋体" w:hAnsi="宋体" w:cs="宋体"/>
          <w:b/>
          <w:bCs/>
          <w:color w:val="auto"/>
          <w:sz w:val="36"/>
          <w:highlight w:val="none"/>
        </w:rPr>
      </w:pPr>
      <w:r>
        <w:rPr>
          <w:rFonts w:ascii="宋体" w:hAnsi="宋体" w:cs="宋体"/>
          <w:b/>
          <w:bCs/>
          <w:color w:val="auto"/>
          <w:sz w:val="36"/>
          <w:highlight w:val="none"/>
        </w:rPr>
      </w:r>
      <w:r/>
    </w:p>
    <w:p>
      <w:pPr>
        <w:ind w:firstLine="361"/>
        <w:jc w:val="center"/>
        <w:rPr>
          <w:rFonts w:ascii="宋体" w:hAnsi="宋体" w:cs="宋体"/>
          <w:b/>
          <w:bCs/>
          <w:color w:val="auto"/>
          <w:sz w:val="36"/>
          <w:highlight w:val="none"/>
        </w:rPr>
      </w:pPr>
      <w:r>
        <w:rPr>
          <w:rFonts w:ascii="宋体" w:hAnsi="宋体" w:cs="宋体"/>
          <w:b/>
          <w:bCs/>
          <w:color w:val="auto"/>
          <w:sz w:val="36"/>
          <w:highlight w:val="none"/>
        </w:rPr>
      </w:r>
      <w:r/>
    </w:p>
    <w:p>
      <w:pPr>
        <w:ind w:firstLine="361"/>
        <w:jc w:val="center"/>
        <w:rPr>
          <w:rFonts w:ascii="宋体" w:hAnsi="宋体" w:cs="宋体"/>
          <w:b/>
          <w:bCs/>
          <w:color w:val="auto"/>
          <w:sz w:val="36"/>
          <w:highlight w:val="none"/>
        </w:rPr>
      </w:pPr>
      <w:r>
        <w:rPr>
          <w:rFonts w:ascii="宋体" w:hAnsi="宋体" w:cs="宋体"/>
          <w:b/>
          <w:bCs/>
          <w:color w:val="auto"/>
          <w:sz w:val="36"/>
          <w:highlight w:val="none"/>
        </w:rPr>
      </w:r>
      <w:r/>
    </w:p>
    <w:p>
      <w:pPr>
        <w:ind w:firstLine="361"/>
        <w:jc w:val="center"/>
        <w:rPr>
          <w:rFonts w:ascii="宋体" w:hAnsi="宋体" w:cs="宋体"/>
          <w:b/>
          <w:bCs/>
          <w:color w:val="auto"/>
          <w:sz w:val="36"/>
          <w:highlight w:val="none"/>
        </w:rPr>
      </w:pPr>
      <w:r>
        <w:rPr>
          <w:rFonts w:ascii="宋体" w:hAnsi="宋体" w:cs="宋体"/>
          <w:b/>
          <w:bCs/>
          <w:color w:val="auto"/>
          <w:sz w:val="36"/>
          <w:highlight w:val="none"/>
        </w:rPr>
      </w:r>
      <w:r/>
    </w:p>
    <w:p>
      <w:pPr>
        <w:ind w:firstLine="361"/>
        <w:jc w:val="center"/>
        <w:rPr>
          <w:rFonts w:ascii="宋体" w:hAnsi="宋体" w:cs="宋体"/>
          <w:b/>
          <w:bCs/>
          <w:color w:val="auto"/>
          <w:sz w:val="36"/>
          <w:highlight w:val="none"/>
        </w:rPr>
      </w:pPr>
      <w:r>
        <w:rPr>
          <w:rFonts w:ascii="宋体" w:hAnsi="宋体" w:cs="宋体"/>
          <w:b/>
          <w:bCs/>
          <w:color w:val="auto"/>
          <w:sz w:val="36"/>
          <w:highlight w:val="none"/>
        </w:rPr>
      </w:r>
      <w:r/>
    </w:p>
    <w:p>
      <w:pPr>
        <w:ind w:firstLine="361"/>
        <w:jc w:val="center"/>
        <w:rPr>
          <w:rFonts w:ascii="宋体" w:hAnsi="宋体" w:cs="宋体"/>
          <w:b/>
          <w:bCs/>
          <w:color w:val="auto"/>
          <w:sz w:val="36"/>
          <w:highlight w:val="none"/>
        </w:rPr>
      </w:pPr>
      <w:r>
        <w:rPr>
          <w:rFonts w:ascii="宋体" w:hAnsi="宋体" w:cs="宋体"/>
          <w:b/>
          <w:bCs/>
          <w:color w:val="auto"/>
          <w:sz w:val="36"/>
          <w:highlight w:val="none"/>
        </w:rPr>
      </w:r>
      <w:r/>
    </w:p>
    <w:p>
      <w:pPr>
        <w:ind w:firstLine="361"/>
        <w:jc w:val="center"/>
        <w:rPr>
          <w:rFonts w:ascii="宋体" w:hAnsi="宋体" w:cs="宋体"/>
          <w:b/>
          <w:bCs/>
          <w:color w:val="auto"/>
          <w:sz w:val="36"/>
          <w:highlight w:val="none"/>
        </w:rPr>
      </w:pPr>
      <w:r>
        <w:rPr>
          <w:rFonts w:ascii="宋体" w:hAnsi="宋体" w:cs="宋体"/>
          <w:b/>
          <w:bCs/>
          <w:color w:val="auto"/>
          <w:sz w:val="36"/>
          <w:highlight w:val="none"/>
        </w:rPr>
      </w:r>
      <w:r/>
    </w:p>
    <w:p>
      <w:pPr>
        <w:ind w:firstLine="361"/>
        <w:jc w:val="center"/>
        <w:rPr>
          <w:rFonts w:ascii="宋体" w:hAnsi="宋体" w:cs="宋体"/>
          <w:b/>
          <w:bCs/>
          <w:color w:val="auto"/>
          <w:sz w:val="36"/>
          <w:highlight w:val="none"/>
        </w:rPr>
      </w:pPr>
      <w:r>
        <w:rPr>
          <w:rFonts w:ascii="宋体" w:hAnsi="宋体" w:cs="宋体"/>
          <w:b/>
          <w:bCs/>
          <w:color w:val="auto"/>
          <w:sz w:val="36"/>
          <w:highlight w:val="none"/>
        </w:rPr>
      </w:r>
      <w:r/>
    </w:p>
    <w:p>
      <w:pPr>
        <w:ind w:firstLine="361"/>
        <w:jc w:val="center"/>
        <w:rPr>
          <w:rFonts w:ascii="宋体" w:hAnsi="宋体" w:cs="宋体"/>
          <w:b/>
          <w:bCs/>
          <w:color w:val="auto"/>
          <w:sz w:val="36"/>
          <w:highlight w:val="none"/>
        </w:rPr>
      </w:pPr>
      <w:r>
        <w:rPr>
          <w:rFonts w:ascii="宋体" w:hAnsi="宋体" w:cs="宋体"/>
          <w:b/>
          <w:bCs/>
          <w:color w:val="auto"/>
          <w:sz w:val="36"/>
          <w:highlight w:val="none"/>
        </w:rPr>
      </w:r>
      <w:r/>
    </w:p>
    <w:p>
      <w:pPr>
        <w:ind w:firstLine="361"/>
        <w:jc w:val="center"/>
        <w:spacing w:line="360" w:lineRule="auto"/>
        <w:rPr>
          <w:rFonts w:ascii="宋体" w:hAnsi="宋体" w:cs="宋体"/>
          <w:b/>
          <w:bCs/>
          <w:color w:val="auto"/>
          <w:sz w:val="36"/>
          <w:highlight w:val="none"/>
        </w:rPr>
      </w:pPr>
      <w:r>
        <w:rPr>
          <w:rFonts w:ascii="宋体" w:hAnsi="宋体" w:cs="宋体"/>
          <w:b/>
          <w:bCs/>
          <w:color w:val="auto"/>
          <w:sz w:val="36"/>
          <w:highlight w:val="none"/>
        </w:rPr>
      </w:r>
      <w:r/>
    </w:p>
    <w:p>
      <w:pPr>
        <w:ind w:firstLine="361"/>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江苏中鑫项目管理有限公司</w:t>
      </w:r>
      <w:r/>
    </w:p>
    <w:p>
      <w:pPr>
        <w:ind w:firstLine="361"/>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2026年9月</w:t>
      </w:r>
      <w:r>
        <w:rPr>
          <w:rFonts w:hint="eastAsia" w:ascii="宋体" w:hAnsi="宋体" w:cs="宋体"/>
          <w:b/>
          <w:bCs/>
          <w:color w:val="auto"/>
          <w:sz w:val="36"/>
          <w:highlight w:val="none"/>
          <w:lang w:val="en-US" w:eastAsia="zh-CN"/>
        </w:rPr>
        <w:t xml:space="preserve">14</w:t>
      </w:r>
      <w:r>
        <w:rPr>
          <w:rFonts w:hint="eastAsia" w:ascii="宋体" w:hAnsi="宋体" w:cs="宋体"/>
          <w:b/>
          <w:bCs/>
          <w:color w:val="auto"/>
          <w:sz w:val="36"/>
          <w:highlight w:val="none"/>
        </w:rPr>
        <w:t xml:space="preserve">日</w:t>
      </w:r>
      <w:r/>
    </w:p>
    <w:p>
      <w:pPr>
        <w:ind w:firstLine="320"/>
        <w:jc w:val="center"/>
        <w:spacing w:line="360" w:lineRule="auto"/>
        <w:rPr>
          <w:rFonts w:ascii="宋体" w:hAnsi="宋体" w:cs="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1077" w:footer="992" w:gutter="0"/>
          <w:cols w:num="1" w:sep="0" w:space="0" w:equalWidth="1"/>
          <w:docGrid w:linePitch="360"/>
        </w:sectPr>
      </w:pPr>
      <w:r>
        <w:rPr>
          <w:rFonts w:ascii="宋体" w:hAnsi="宋体" w:cs="宋体"/>
          <w:color w:val="auto"/>
          <w:sz w:val="32"/>
          <w:highlight w:val="none"/>
        </w:rPr>
      </w:r>
      <w:r/>
    </w:p>
    <w:p>
      <w:pPr>
        <w:ind w:firstLine="320"/>
        <w:jc w:val="center"/>
        <w:spacing w:line="480" w:lineRule="auto"/>
        <w:rPr>
          <w:rFonts w:ascii="宋体" w:hAnsi="宋体" w:cs="宋体"/>
          <w:color w:val="auto"/>
          <w:sz w:val="32"/>
          <w:highlight w:val="none"/>
        </w:rPr>
      </w:pPr>
      <w:r>
        <w:rPr>
          <w:rFonts w:ascii="宋体" w:hAnsi="宋体" w:cs="宋体"/>
          <w:color w:val="auto"/>
          <w:sz w:val="32"/>
          <w:highlight w:val="none"/>
        </w:rPr>
      </w:r>
      <w:r/>
    </w:p>
    <w:p>
      <w:pPr>
        <w:ind w:firstLine="320"/>
        <w:jc w:val="center"/>
        <w:spacing w:line="480" w:lineRule="auto"/>
        <w:rPr>
          <w:rFonts w:ascii="宋体" w:hAnsi="宋体" w:cs="宋体"/>
          <w:color w:val="auto"/>
          <w:sz w:val="32"/>
          <w:highlight w:val="none"/>
        </w:rPr>
      </w:pPr>
      <w:r>
        <w:rPr>
          <w:rFonts w:hint="eastAsia" w:ascii="宋体" w:hAnsi="宋体" w:cs="宋体"/>
          <w:color w:val="auto"/>
          <w:sz w:val="32"/>
          <w:highlight w:val="none"/>
        </w:rPr>
        <w:t xml:space="preserve">目 录</w:t>
      </w:r>
      <w:r/>
    </w:p>
    <w:p>
      <w:pPr>
        <w:pStyle w:val="1066"/>
        <w:ind w:firstLine="240"/>
        <w:spacing w:line="360" w:lineRule="auto"/>
        <w:tabs>
          <w:tab w:val="right" w:pos="8306" w:leader="dot"/>
        </w:tabs>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TOC \o "1-3" \f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第一章 招标公告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3</w:t>
      </w:r>
      <w:r/>
    </w:p>
    <w:p>
      <w:pPr>
        <w:pStyle w:val="1066"/>
        <w:ind w:firstLine="240"/>
        <w:spacing w:line="360" w:lineRule="auto"/>
        <w:tabs>
          <w:tab w:val="right" w:pos="8306" w:leader="dot"/>
        </w:tabs>
        <w:rPr>
          <w:rFonts w:ascii="宋体" w:hAnsi="宋体" w:cs="宋体"/>
          <w:color w:val="auto"/>
          <w:sz w:val="24"/>
          <w:szCs w:val="24"/>
          <w:highlight w:val="none"/>
        </w:rPr>
      </w:pPr>
      <w:r>
        <w:rPr>
          <w:rFonts w:hint="eastAsia" w:ascii="宋体" w:hAnsi="宋体" w:cs="宋体"/>
          <w:color w:val="auto"/>
          <w:sz w:val="24"/>
          <w:szCs w:val="24"/>
          <w:highlight w:val="none"/>
        </w:rPr>
        <w:t xml:space="preserve">第二章 投标人须知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6</w:t>
      </w:r>
      <w:r/>
    </w:p>
    <w:p>
      <w:pPr>
        <w:pStyle w:val="1066"/>
        <w:ind w:firstLine="240"/>
        <w:spacing w:line="360" w:lineRule="auto"/>
        <w:tabs>
          <w:tab w:val="right" w:pos="8306" w:leader="dot"/>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第三章 合同条款及格式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p>
      <w:pPr>
        <w:pStyle w:val="1066"/>
        <w:ind w:firstLine="240"/>
        <w:spacing w:line="360" w:lineRule="auto"/>
        <w:tabs>
          <w:tab w:val="right" w:pos="8306" w:leader="dot"/>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第四章 项目需求</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19</w:t>
      </w:r>
      <w:r/>
    </w:p>
    <w:p>
      <w:pPr>
        <w:pStyle w:val="1066"/>
        <w:ind w:firstLine="240"/>
        <w:spacing w:line="360" w:lineRule="auto"/>
        <w:tabs>
          <w:tab w:val="right" w:pos="8306" w:leader="dot"/>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第五章 评标方法及评标标准</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23</w:t>
      </w:r>
      <w:r/>
    </w:p>
    <w:p>
      <w:pPr>
        <w:pStyle w:val="1066"/>
        <w:ind w:firstLine="240"/>
        <w:spacing w:line="360" w:lineRule="auto"/>
        <w:tabs>
          <w:tab w:val="right" w:pos="8306" w:leader="dot"/>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第六章 投标文件格式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26</w:t>
      </w:r>
      <w:r/>
    </w:p>
    <w:p>
      <w:pPr>
        <w:ind w:firstLine="240"/>
        <w:spacing w:line="360" w:lineRule="auto"/>
        <w:rPr>
          <w:rFonts w:ascii="宋体" w:hAnsi="宋体" w:cs="宋体"/>
          <w:color w:val="auto"/>
          <w:sz w:val="28"/>
          <w:highlight w:val="none"/>
        </w:rPr>
      </w:pPr>
      <w:r>
        <w:rPr>
          <w:rFonts w:hint="eastAsia" w:ascii="宋体" w:hAnsi="宋体" w:cs="宋体"/>
          <w:color w:val="auto"/>
          <w:sz w:val="24"/>
          <w:szCs w:val="24"/>
          <w:highlight w:val="none"/>
        </w:rPr>
        <w:fldChar w:fldCharType="end"/>
      </w:r>
      <w:r/>
    </w:p>
    <w:p>
      <w:pPr>
        <w:rPr>
          <w:rFonts w:ascii="宋体" w:hAnsi="宋体" w:cs="宋体"/>
          <w:color w:val="auto"/>
          <w:highlight w:val="none"/>
        </w:rPr>
        <w:sectPr>
          <w:footerReference w:type="default" r:id="rId13"/>
          <w:footnotePr/>
          <w:endnotePr/>
          <w:type w:val="nextPage"/>
          <w:pgSz w:w="11906" w:h="16838" w:orient="portrait"/>
          <w:pgMar w:top="1440" w:right="1800" w:bottom="1440" w:left="1800" w:header="1077" w:footer="992" w:gutter="0"/>
          <w:pgNumType w:start="2"/>
          <w:cols w:num="1" w:sep="0" w:space="0" w:equalWidth="1"/>
          <w:docGrid w:linePitch="360"/>
        </w:sectPr>
      </w:pPr>
      <w:r>
        <w:rPr>
          <w:rFonts w:ascii="宋体" w:hAnsi="宋体" w:cs="宋体"/>
          <w:color w:val="auto"/>
          <w:highlight w:val="none"/>
        </w:rPr>
      </w:r>
      <w:r/>
    </w:p>
    <w:p>
      <w:pPr>
        <w:pStyle w:val="840"/>
        <w:ind w:firstLine="400"/>
        <w:rPr>
          <w:rFonts w:ascii="宋体" w:hAnsi="宋体" w:eastAsia="宋体" w:cs="宋体"/>
          <w:color w:val="auto"/>
          <w:highlight w:val="none"/>
        </w:rPr>
      </w:pPr>
      <w:r/>
      <w:bookmarkStart w:id="0" w:name="_Toc55204177"/>
      <w:r/>
      <w:bookmarkStart w:id="1" w:name="_Toc11136"/>
      <w:r>
        <w:rPr>
          <w:rFonts w:hint="eastAsia" w:ascii="宋体" w:hAnsi="宋体" w:eastAsia="宋体" w:cs="宋体"/>
          <w:b/>
          <w:bCs/>
          <w:color w:val="auto"/>
          <w:highlight w:val="none"/>
        </w:rPr>
        <w:t xml:space="preserve">第一章 招标公告</w:t>
      </w:r>
      <w:bookmarkEnd w:id="0"/>
      <w:r/>
      <w:bookmarkEnd w:id="1"/>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受江苏省苏北人民医院的委托，江苏中鑫项目管理有限公司就江苏省苏北人民医院</w:t>
      </w:r>
      <w:r>
        <w:rPr>
          <w:rFonts w:hint="eastAsia" w:ascii="宋体" w:hAnsi="宋体" w:cs="宋体"/>
          <w:color w:val="auto"/>
          <w:highlight w:val="none"/>
          <w:lang w:eastAsia="zh-CN"/>
        </w:rPr>
        <w:t xml:space="preserve">2026-2027年度</w:t>
      </w:r>
      <w:r>
        <w:rPr>
          <w:rFonts w:hint="eastAsia" w:ascii="宋体" w:hAnsi="宋体" w:cs="宋体"/>
          <w:color w:val="auto"/>
          <w:highlight w:val="none"/>
        </w:rPr>
        <w:t xml:space="preserve">医疗责任险采购项目进行公开招标采购，欢迎符合条件的供应商投标。</w:t>
      </w:r>
      <w:r/>
    </w:p>
    <w:p>
      <w:pPr>
        <w:ind w:firstLine="211"/>
        <w:spacing w:line="360" w:lineRule="auto"/>
        <w:rPr>
          <w:rFonts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210"/>
        <w:spacing w:line="360" w:lineRule="auto"/>
        <w:rPr>
          <w:rFonts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江苏省苏北人民医院</w:t>
      </w:r>
      <w:r>
        <w:rPr>
          <w:rFonts w:hint="eastAsia" w:ascii="宋体" w:hAnsi="宋体" w:cs="宋体"/>
          <w:color w:val="auto"/>
          <w:szCs w:val="21"/>
          <w:highlight w:val="none"/>
          <w:u w:val="single"/>
          <w:lang w:eastAsia="zh-CN"/>
        </w:rPr>
        <w:t xml:space="preserve">2026-2027年度</w:t>
      </w:r>
      <w:r>
        <w:rPr>
          <w:rFonts w:hint="eastAsia" w:ascii="宋体" w:hAnsi="宋体" w:cs="宋体"/>
          <w:color w:val="auto"/>
          <w:szCs w:val="21"/>
          <w:highlight w:val="none"/>
          <w:u w:val="single"/>
        </w:rPr>
        <w:t xml:space="preserve">医疗责任险采购项目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 “扬州市政府采购网”“江苏省政府采购网”</w:t>
      </w:r>
      <w:r>
        <w:rPr>
          <w:rFonts w:hint="eastAsia" w:ascii="宋体" w:hAnsi="宋体" w:cs="宋体"/>
          <w:color w:val="auto"/>
          <w:highlight w:val="none"/>
        </w:rPr>
        <w:t xml:space="preserve">获取招标文件，并于</w:t>
      </w:r>
      <w:r>
        <w:rPr>
          <w:rFonts w:hint="eastAsia" w:ascii="宋体" w:hAnsi="宋体" w:cs="宋体"/>
          <w:b/>
          <w:bCs/>
          <w:color w:val="auto"/>
          <w:highlight w:val="none"/>
          <w:u w:val="single"/>
        </w:rPr>
        <w:t xml:space="preserve">2026年</w:t>
      </w:r>
      <w:r>
        <w:rPr>
          <w:rFonts w:hint="eastAsia" w:ascii="宋体" w:hAnsi="宋体" w:cs="宋体"/>
          <w:b/>
          <w:bCs/>
          <w:color w:val="auto"/>
          <w:highlight w:val="none"/>
          <w:u w:val="single"/>
          <w:lang w:val="en-US" w:eastAsia="zh-CN"/>
        </w:rPr>
        <w:t xml:space="preserve">10</w:t>
      </w:r>
      <w:r>
        <w:rPr>
          <w:rFonts w:hint="eastAsia" w:ascii="宋体" w:hAnsi="宋体" w:cs="宋体"/>
          <w:b/>
          <w:bCs/>
          <w:color w:val="auto"/>
          <w:highlight w:val="none"/>
          <w:u w:val="single"/>
        </w:rPr>
        <w:t xml:space="preserve">月</w:t>
      </w:r>
      <w:r>
        <w:rPr>
          <w:rFonts w:hint="eastAsia" w:ascii="宋体" w:hAnsi="宋体" w:cs="宋体"/>
          <w:b/>
          <w:bCs/>
          <w:color w:val="auto"/>
          <w:highlight w:val="none"/>
          <w:u w:val="single"/>
          <w:lang w:val="en-US" w:eastAsia="zh-CN"/>
        </w:rPr>
        <w:t xml:space="preserve">9</w:t>
      </w:r>
      <w:r>
        <w:rPr>
          <w:rFonts w:hint="eastAsia" w:ascii="宋体" w:hAnsi="宋体" w:cs="宋体"/>
          <w:b/>
          <w:bCs/>
          <w:color w:val="auto"/>
          <w:highlight w:val="none"/>
          <w:u w:val="single"/>
        </w:rPr>
        <w:t xml:space="preserve">日9:30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spacing w:line="360" w:lineRule="auto"/>
        <w:tabs>
          <w:tab w:val="left" w:pos="266" w:leader="none"/>
        </w:tabs>
        <w:rPr>
          <w:rFonts w:ascii="宋体" w:hAnsi="宋体" w:cs="宋体"/>
          <w:b/>
          <w:bCs/>
          <w:color w:val="auto"/>
          <w:highlight w:val="none"/>
        </w:rPr>
      </w:pPr>
      <w:r/>
      <w:bookmarkStart w:id="2" w:name="_Toc38985263"/>
      <w:r/>
      <w:bookmarkStart w:id="3" w:name="_Toc35393621"/>
      <w:r/>
      <w:bookmarkStart w:id="4" w:name="_Toc35393790"/>
      <w:r/>
      <w:bookmarkStart w:id="5" w:name="_Toc28359079"/>
      <w:r/>
      <w:bookmarkStart w:id="6" w:name="_Toc28359002"/>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1.项目编号：JSZC-321000-JSZX-G2026-0011；</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2.项目名称：江苏省苏北人民医院</w:t>
      </w:r>
      <w:r>
        <w:rPr>
          <w:rFonts w:hint="eastAsia" w:ascii="宋体" w:hAnsi="宋体" w:cs="宋体"/>
          <w:color w:val="auto"/>
          <w:highlight w:val="none"/>
          <w:lang w:eastAsia="zh-CN"/>
        </w:rPr>
        <w:t xml:space="preserve">2026-2027年度</w:t>
      </w:r>
      <w:r>
        <w:rPr>
          <w:rFonts w:hint="eastAsia" w:ascii="宋体" w:hAnsi="宋体" w:cs="宋体"/>
          <w:color w:val="auto"/>
          <w:highlight w:val="none"/>
        </w:rPr>
        <w:t xml:space="preserve">医疗责任险采购项目；</w:t>
      </w:r>
      <w:bookmarkEnd w:id="7"/>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3.预算金额：</w:t>
      </w:r>
      <w:bookmarkStart w:id="8" w:name="_Hlk164694237"/>
      <w:r>
        <w:rPr>
          <w:rFonts w:hint="eastAsia" w:ascii="宋体" w:hAnsi="宋体" w:cs="宋体"/>
          <w:color w:val="auto"/>
          <w:highlight w:val="none"/>
        </w:rPr>
        <w:t xml:space="preserve">300万元；</w:t>
      </w:r>
      <w:bookmarkEnd w:id="8"/>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4.本项目设置最高限价：</w:t>
      </w:r>
      <w:r>
        <w:rPr>
          <w:rFonts w:hint="eastAsia" w:ascii="宋体" w:hAnsi="宋体" w:cs="宋体"/>
          <w:color w:val="auto"/>
          <w:szCs w:val="21"/>
          <w:highlight w:val="none"/>
        </w:rPr>
        <w:t xml:space="preserve">300万元，报价超过最高限价按无效响应文件处理；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5.报价要求：本项目按固定价格300万元报价，报价不作为评审因素。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6.采购需求：详见招标文件第四章；</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7.保险起止日期：</w:t>
      </w:r>
      <w:r>
        <w:rPr>
          <w:rFonts w:hint="eastAsia" w:ascii="宋体" w:hAnsi="宋体" w:cs="宋体"/>
          <w:color w:val="auto"/>
          <w:highlight w:val="none"/>
        </w:rPr>
        <w:t xml:space="preserve">2026年</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18</w:t>
      </w:r>
      <w:r>
        <w:rPr>
          <w:rFonts w:hint="eastAsia" w:ascii="宋体" w:hAnsi="宋体" w:cs="宋体"/>
          <w:color w:val="auto"/>
          <w:highlight w:val="none"/>
        </w:rPr>
        <w:t xml:space="preserve">日至2027年</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17</w:t>
      </w:r>
      <w:r>
        <w:rPr>
          <w:rFonts w:hint="eastAsia" w:ascii="宋体" w:hAnsi="宋体" w:cs="宋体"/>
          <w:color w:val="auto"/>
          <w:highlight w:val="none"/>
        </w:rPr>
        <w:t xml:space="preserve">日</w:t>
      </w:r>
      <w:r>
        <w:rPr>
          <w:rFonts w:hint="eastAsia" w:ascii="宋体" w:hAnsi="宋体" w:cs="宋体"/>
          <w:color w:val="auto"/>
          <w:highlight w:val="none"/>
          <w:lang w:eastAsia="zh-CN"/>
        </w:rPr>
        <w:t xml:space="preserve">。</w:t>
      </w:r>
      <w:r/>
    </w:p>
    <w:p>
      <w:pPr>
        <w:ind w:firstLine="422"/>
        <w:spacing w:line="360" w:lineRule="auto"/>
        <w:tabs>
          <w:tab w:val="left" w:pos="266" w:leader="none"/>
        </w:tabs>
        <w:rPr>
          <w:rFonts w:ascii="宋体" w:hAnsi="宋体" w:cs="宋体"/>
          <w:b/>
          <w:bCs/>
          <w:color w:val="auto"/>
          <w:highlight w:val="none"/>
        </w:rPr>
      </w:pPr>
      <w:r/>
      <w:bookmarkStart w:id="9" w:name="_Toc35393791"/>
      <w:r/>
      <w:bookmarkStart w:id="10" w:name="_Toc28359003"/>
      <w:r/>
      <w:bookmarkStart w:id="11" w:name="_Toc38985264"/>
      <w:r/>
      <w:bookmarkStart w:id="12" w:name="_Toc35393622"/>
      <w:r/>
      <w:bookmarkStart w:id="13" w:name="_Toc28359080"/>
      <w:r>
        <w:rPr>
          <w:rFonts w:hint="eastAsia" w:ascii="宋体" w:hAnsi="宋体" w:cs="宋体"/>
          <w:b/>
          <w:bCs/>
          <w:color w:val="auto"/>
          <w:highlight w:val="none"/>
        </w:rPr>
        <w:t xml:space="preserve">二、申请人的资格要求</w:t>
      </w:r>
      <w:bookmarkEnd w:id="9"/>
      <w:r/>
      <w:bookmarkEnd w:id="10"/>
      <w:r/>
      <w:bookmarkEnd w:id="11"/>
      <w:r/>
      <w:bookmarkEnd w:id="12"/>
      <w:r/>
      <w:bookmarkEnd w:id="13"/>
      <w:r/>
      <w:r/>
    </w:p>
    <w:p>
      <w:pPr>
        <w:ind w:firstLine="420"/>
        <w:spacing w:line="360" w:lineRule="auto"/>
        <w:tabs>
          <w:tab w:val="left" w:pos="266" w:leader="none"/>
        </w:tabs>
        <w:rPr>
          <w:rFonts w:ascii="宋体" w:hAnsi="宋体" w:cs="宋体"/>
          <w:color w:val="auto"/>
          <w:szCs w:val="21"/>
          <w:highlight w:val="none"/>
        </w:rPr>
      </w:pPr>
      <w:r/>
      <w:bookmarkStart w:id="14" w:name="_Toc35393792"/>
      <w:r/>
      <w:bookmarkStart w:id="15" w:name="_Toc35393623"/>
      <w:r/>
      <w:bookmarkStart w:id="16" w:name="_Toc28359081"/>
      <w:r/>
      <w:bookmarkStart w:id="17" w:name="_Toc28359004"/>
      <w:r/>
      <w:bookmarkStart w:id="18" w:name="_Toc38985265"/>
      <w:r>
        <w:rPr>
          <w:rFonts w:hint="eastAsia" w:ascii="宋体" w:hAnsi="宋体" w:cs="宋体"/>
          <w:b/>
          <w:bCs/>
          <w:color w:val="auto"/>
          <w:szCs w:val="21"/>
          <w:highlight w:val="none"/>
        </w:rPr>
        <w:t xml:space="preserve">（一）通用资格要求</w:t>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1.1 法人或者其他组织的营业执照等证明文件，自然人的身份证明；</w:t>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1.2 上一年度的财务状况报告（成立不满一年无需提供）；</w:t>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1.4 具备履行合同所必需的设备和专业技术能力的书面声明；</w:t>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1.5 参加政府采购活动前3年内在经营活动中没有重大违法记录的书面声明；</w:t>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1.6 供应商信用承诺函。</w:t>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2.未被“信用中国”网站（www.creditchina.gov.cn）、“中国政府采购网”www.ccgp.gov.cn）列入失信被执行人、重大税收违法案件当事人名单、政府采购严重违法失信行为记录名单。</w:t>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3.落实政府采购政策须满足的资格要求：无。</w:t>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4.本项目不接受联合体投标。</w:t>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5.本项目不接受进口产品投标。</w:t>
      </w:r>
      <w:r/>
    </w:p>
    <w:p>
      <w:pPr>
        <w:ind w:firstLine="420"/>
        <w:spacing w:line="360" w:lineRule="auto"/>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（二）本项目的特定资格要求</w:t>
      </w:r>
      <w:r/>
    </w:p>
    <w:p>
      <w:pPr>
        <w:ind w:left="0" w:right="0" w:firstLine="422"/>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1.投标人具备有效的《经营保险业务许可证》或《金融许可证》（原件扫描上传）。依据《银行保险机构许可证管理办法》，原保险许可证在2028年6月1日前继续有效。</w:t>
      </w:r>
      <w:r/>
    </w:p>
    <w:p>
      <w:pPr>
        <w:ind w:left="0" w:right="0" w:firstLine="422"/>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2.投标人具有经国家金融监督管理总局（原中国保险监督管理委员会）备案的医疗责任保险或医疗机构执业责任保险条款及备案相关证明材料（原件扫描上传）。</w:t>
      </w:r>
      <w:r/>
    </w:p>
    <w:p>
      <w:pPr>
        <w:ind w:left="0" w:right="0" w:firstLine="420"/>
        <w:jc w:val="both"/>
        <w:spacing w:before="0" w:after="0" w:line="85" w:lineRule="atLeast"/>
        <w:tabs>
          <w:tab w:val="left" w:pos="2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3.本项目仅接受具有独立法人资格的公司或其下属分公司/支公司参与投标</w:t>
      </w:r>
      <w:r>
        <w:rPr>
          <w:rFonts w:ascii="SimSun" w:hAnsi="SimSun" w:eastAsia="SimSun" w:cs="SimSun"/>
          <w:b/>
          <w:color w:val="ff0000"/>
          <w:sz w:val="21"/>
        </w:rPr>
        <w:t xml:space="preserve">（总公司及其各分公司/支公司视为同一家公司，不得同时作为供应商参与本项目的投标，投标人需提供“自身是独立法人或是其总公司下属唯一参与本项目投标的分支机构，否则自动放弃投标资格”的承诺函，格式自拟，原件扫描上传）。</w:t>
      </w:r>
      <w:r/>
    </w:p>
    <w:p>
      <w:pPr>
        <w:ind w:firstLine="422"/>
        <w:spacing w:line="360" w:lineRule="auto"/>
        <w:tabs>
          <w:tab w:val="left" w:pos="266" w:leader="none"/>
        </w:tabs>
        <w:rPr>
          <w:rFonts w:hint="eastAsia" w:ascii="宋体" w:hAnsi="宋体" w:cs="宋体"/>
          <w:b/>
          <w:bCs/>
          <w:color w:val="auto"/>
          <w:highlight w:val="none"/>
        </w:rPr>
      </w:pPr>
      <w:r>
        <w:rPr>
          <w:rFonts w:ascii="SimSun" w:hAnsi="SimSun" w:eastAsia="SimSun" w:cs="SimSun"/>
          <w:b/>
          <w:color w:val="ff0000"/>
          <w:sz w:val="21"/>
        </w:rPr>
        <w:t xml:space="preserve">注：银行、保险、石油石化、电力、电信等因有行业特殊情况，可以分支机构身份参加采购。本文件中所需法定代表人相关材料、盖章及签字等可用分支机构负责人的相应材料代替。</w:t>
      </w:r>
      <w:r/>
      <w:r>
        <w:rPr>
          <w:rFonts w:hint="eastAsia" w:ascii="宋体" w:hAnsi="宋体" w:cs="宋体"/>
          <w:b/>
          <w:bCs/>
          <w:color w:val="auto"/>
          <w:highlight w:val="none"/>
        </w:rPr>
      </w:r>
      <w:r>
        <w:rPr>
          <w:rFonts w:ascii="宋体" w:hAnsi="宋体" w:cs="宋体"/>
          <w:b/>
          <w:bCs/>
          <w:color w:val="auto"/>
          <w:highlight w:val="none"/>
        </w:rP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4"/>
      <w:r/>
      <w:bookmarkEnd w:id="15"/>
      <w:r/>
      <w:bookmarkEnd w:id="16"/>
      <w:r/>
      <w:bookmarkEnd w:id="17"/>
      <w:r/>
      <w:bookmarkEnd w:id="18"/>
      <w:r/>
      <w:r/>
    </w:p>
    <w:p>
      <w:pPr>
        <w:ind w:firstLine="422"/>
        <w:spacing w:line="360" w:lineRule="auto"/>
        <w:shd w:val="clear" w:color="auto" w:fill="ffffff"/>
        <w:rPr>
          <w:rFonts w:ascii="宋体" w:hAnsi="宋体" w:cs="宋体"/>
          <w:color w:val="auto"/>
          <w:highlight w:val="none"/>
        </w:rPr>
      </w:pPr>
      <w:r/>
      <w:bookmarkStart w:id="19" w:name="_Toc38985266"/>
      <w:r/>
      <w:bookmarkStart w:id="20" w:name="_Toc35393793"/>
      <w:r/>
      <w:bookmarkStart w:id="21" w:name="_Toc28359082"/>
      <w:r/>
      <w:bookmarkStart w:id="22" w:name="_Toc28359005"/>
      <w:r/>
      <w:bookmarkStart w:id="23" w:name="_Toc35393624"/>
      <w:r>
        <w:rPr>
          <w:rFonts w:hint="eastAsia" w:ascii="宋体" w:hAnsi="宋体" w:cs="宋体"/>
          <w:color w:val="auto"/>
          <w:highlight w:val="none"/>
        </w:rPr>
        <w:t xml:space="preserve">1.时间：自公告发布之日起5个工作日。</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2.获取方式：本项目采用网上注册登记方式。</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3.潜在投标人访问政府采购管理交易系统（苏采云）的网络地址和方法：</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（3）“CA数字证书”的办理材料以及供应商操作手册详见：</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http://zfcq.yanqzhou.qov.cn/xzzx/art/2023/art_4d7de1f7865f4a2894fc22bc452f94d8.html。潜在供应商访问“苏采云”系统的网络地址和方法：“苏采云”系统的网址：http：//jszfcg.jsczt.cn/。</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highlight w:val="none"/>
        </w:rPr>
        <w:t xml:space="preserve">（7）苏采云系统使用谷歌浏览器参与不见面开标。</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w:t>
      </w:r>
      <w:bookmarkEnd w:id="19"/>
      <w:r/>
      <w:bookmarkEnd w:id="20"/>
      <w:r/>
      <w:bookmarkEnd w:id="21"/>
      <w:r/>
      <w:bookmarkEnd w:id="22"/>
      <w:r/>
      <w:bookmarkEnd w:id="23"/>
      <w:r>
        <w:rPr>
          <w:rFonts w:hint="eastAsia" w:ascii="宋体" w:hAnsi="宋体" w:cs="宋体"/>
          <w:b/>
          <w:bCs/>
          <w:color w:val="auto"/>
          <w:highlight w:val="none"/>
        </w:rPr>
        <w:t xml:space="preserve">提交投标文件截止时间、开标时间和地点</w:t>
      </w:r>
      <w:r/>
    </w:p>
    <w:p>
      <w:pPr>
        <w:ind w:firstLine="420"/>
        <w:spacing w:line="360" w:lineRule="auto"/>
        <w:rPr>
          <w:rFonts w:hint="eastAsia" w:ascii="宋体" w:hAnsi="宋体" w:eastAsia="宋体" w:cs="宋体"/>
          <w:iCs/>
          <w:color w:val="auto"/>
          <w:szCs w:val="21"/>
          <w:highlight w:val="none"/>
          <w:u w:val="single"/>
          <w:lang w:eastAsia="zh-CN"/>
        </w:rPr>
      </w:pPr>
      <w:r>
        <w:rPr>
          <w:rFonts w:hint="eastAsia" w:ascii="宋体" w:hAnsi="宋体" w:cs="宋体"/>
          <w:color w:val="auto"/>
          <w:szCs w:val="21"/>
          <w:highlight w:val="none"/>
        </w:rPr>
        <w:t xml:space="preserve">1.时间</w:t>
      </w:r>
      <w:r>
        <w:rPr>
          <w:rFonts w:hint="eastAsia" w:ascii="宋体" w:hAnsi="宋体" w:cs="宋体"/>
          <w:b/>
          <w:bCs/>
          <w:color w:val="auto"/>
          <w:highlight w:val="none"/>
        </w:rPr>
        <w:t xml:space="preserve">：2026年</w:t>
      </w:r>
      <w:r>
        <w:rPr>
          <w:rFonts w:hint="eastAsia" w:ascii="宋体" w:hAnsi="宋体" w:cs="宋体"/>
          <w:b/>
          <w:bCs/>
          <w:color w:val="auto"/>
          <w:highlight w:val="none"/>
          <w:lang w:val="en-US" w:eastAsia="zh-CN"/>
        </w:rPr>
        <w:t xml:space="preserve">10</w:t>
      </w:r>
      <w:r>
        <w:rPr>
          <w:rFonts w:hint="eastAsia" w:ascii="宋体" w:hAnsi="宋体" w:cs="宋体"/>
          <w:b/>
          <w:bCs/>
          <w:color w:val="auto"/>
          <w:highlight w:val="none"/>
        </w:rPr>
        <w:t xml:space="preserve">月</w:t>
      </w:r>
      <w:r>
        <w:rPr>
          <w:rFonts w:hint="eastAsia" w:ascii="宋体" w:hAnsi="宋体" w:cs="宋体"/>
          <w:b/>
          <w:bCs/>
          <w:color w:val="auto"/>
          <w:highlight w:val="none"/>
          <w:lang w:val="en-US" w:eastAsia="zh-CN"/>
        </w:rPr>
        <w:t xml:space="preserve">9</w:t>
      </w:r>
      <w:r>
        <w:rPr>
          <w:rFonts w:hint="eastAsia" w:ascii="宋体" w:hAnsi="宋体" w:cs="宋体"/>
          <w:b/>
          <w:bCs/>
          <w:color w:val="auto"/>
          <w:highlight w:val="none"/>
        </w:rPr>
        <w:t xml:space="preserve">日9点30分</w:t>
      </w:r>
      <w:r>
        <w:rPr>
          <w:rFonts w:hint="eastAsia" w:ascii="宋体" w:hAnsi="宋体" w:cs="宋体"/>
          <w:bCs/>
          <w:color w:val="auto"/>
          <w:szCs w:val="21"/>
          <w:highlight w:val="none"/>
        </w:rPr>
        <w:t xml:space="preserve">（北京时间）</w:t>
      </w:r>
      <w:r>
        <w:rPr>
          <w:rFonts w:hint="eastAsia" w:ascii="宋体" w:hAnsi="宋体" w:cs="宋体"/>
          <w:bCs/>
          <w:color w:val="auto"/>
          <w:szCs w:val="21"/>
          <w:highlight w:val="none"/>
          <w:lang w:eastAsia="zh-CN"/>
        </w:rPr>
        <w:t xml:space="preserve">。</w:t>
      </w:r>
      <w:bookmarkStart w:id="67" w:name="_GoBack"/>
      <w:r/>
      <w:bookmarkEnd w:id="67"/>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2.地点：“苏采云”政府采购交易系统。</w:t>
      </w:r>
      <w:r/>
    </w:p>
    <w:p>
      <w:pPr>
        <w:ind w:firstLine="422"/>
        <w:spacing w:line="360" w:lineRule="auto"/>
        <w:tabs>
          <w:tab w:val="left" w:pos="266" w:leader="none"/>
        </w:tabs>
        <w:rPr>
          <w:rFonts w:ascii="宋体" w:hAnsi="宋体" w:cs="宋体"/>
          <w:b/>
          <w:bCs/>
          <w:color w:val="auto"/>
          <w:highlight w:val="none"/>
        </w:rPr>
      </w:pPr>
      <w:r/>
      <w:bookmarkStart w:id="24" w:name="_Toc28359084"/>
      <w:r/>
      <w:bookmarkStart w:id="25" w:name="_Toc35393794"/>
      <w:r/>
      <w:bookmarkStart w:id="26" w:name="_Toc28359007"/>
      <w:r/>
      <w:bookmarkStart w:id="27" w:name="_Toc35393625"/>
      <w:r/>
      <w:bookmarkStart w:id="28" w:name="_Toc38985267"/>
      <w:r>
        <w:rPr>
          <w:rFonts w:hint="eastAsia" w:ascii="宋体" w:hAnsi="宋体" w:cs="宋体"/>
          <w:b/>
          <w:bCs/>
          <w:color w:val="auto"/>
          <w:highlight w:val="none"/>
        </w:rPr>
        <w:t xml:space="preserve">五、公告期限</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w:t>
      </w:r>
      <w:bookmarkEnd w:id="24"/>
      <w:r/>
      <w:bookmarkEnd w:id="25"/>
      <w:r/>
      <w:bookmarkEnd w:id="26"/>
      <w:r/>
      <w:bookmarkEnd w:id="27"/>
      <w:r/>
      <w:bookmarkEnd w:id="28"/>
      <w:r/>
      <w:bookmarkStart w:id="29" w:name="_Toc35393626"/>
      <w:r/>
      <w:bookmarkStart w:id="30" w:name="_Toc35393795"/>
      <w:r/>
      <w:bookmarkStart w:id="31" w:name="_Toc38985268"/>
      <w:r>
        <w:rPr>
          <w:rFonts w:hint="eastAsia" w:ascii="宋体" w:hAnsi="宋体" w:cs="宋体"/>
          <w:b/>
          <w:bCs/>
          <w:color w:val="auto"/>
          <w:highlight w:val="none"/>
        </w:rPr>
        <w:t xml:space="preserve">其他补充事宜</w:t>
      </w:r>
      <w:bookmarkEnd w:id="29"/>
      <w:r/>
      <w:bookmarkEnd w:id="30"/>
      <w:r/>
      <w:bookmarkEnd w:id="31"/>
      <w:r/>
      <w:r/>
    </w:p>
    <w:p>
      <w:pPr>
        <w:ind w:firstLine="420"/>
        <w:spacing w:line="360" w:lineRule="auto"/>
        <w:tabs>
          <w:tab w:val="left" w:pos="266" w:leader="none"/>
        </w:tabs>
        <w:rPr>
          <w:rFonts w:ascii="宋体" w:hAnsi="宋体" w:cs="宋体"/>
          <w:color w:val="auto"/>
          <w:highlight w:val="none"/>
        </w:rPr>
      </w:pPr>
      <w:r/>
      <w:bookmarkStart w:id="32" w:name="_Toc35393627"/>
      <w:r/>
      <w:bookmarkStart w:id="33" w:name="_Toc35393796"/>
      <w:r/>
      <w:bookmarkStart w:id="34" w:name="_Toc38985269"/>
      <w:r/>
      <w:bookmarkStart w:id="35" w:name="_Toc28359085"/>
      <w:r/>
      <w:bookmarkStart w:id="36" w:name="_Toc28359008"/>
      <w:r>
        <w:rPr>
          <w:rFonts w:hint="eastAsia" w:ascii="宋体" w:hAnsi="宋体" w:cs="宋体"/>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3.本次招标不收取投标保证金。</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4.有关本次招标的事项若存在变动或修改，敬请及时关注“扬州市政府采购网”“江苏省政府采购网”发布的信息。</w:t>
      </w:r>
      <w:r/>
    </w:p>
    <w:p>
      <w:pPr>
        <w:ind w:firstLine="422"/>
        <w:spacing w:line="360" w:lineRule="auto"/>
        <w:tabs>
          <w:tab w:val="left" w:pos="266" w:leader="none"/>
        </w:tabs>
        <w:rPr>
          <w:rFonts w:ascii="宋体" w:hAnsi="宋体" w:cs="宋体"/>
          <w:color w:val="auto"/>
          <w:highlight w:val="none"/>
        </w:rPr>
      </w:pPr>
      <w:r>
        <w:rPr>
          <w:rFonts w:hint="eastAsia" w:ascii="宋体" w:hAnsi="宋体" w:cs="宋体"/>
          <w:b/>
          <w:bCs/>
          <w:color w:val="auto"/>
          <w:highlight w:val="none"/>
        </w:rPr>
        <w:t xml:space="preserve">5.本项目招标文件中所有斜体下划线部分为实质性条款，如不满足，则为无效投标。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6.潜在投标人对采购文件项目需求部分的询问、质疑向采购人提出，由采购人负责答复。</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8.集中考察或召开答疑会：无</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9.为落实好政府采购履约资金扶持政策，中标/成交供应商可凭政府采购合同办理融资 贷款，详见江苏政府采购网“政采贷”专栏。</w:t>
      </w:r>
      <w:r/>
    </w:p>
    <w:p>
      <w:pPr>
        <w:ind w:firstLine="420"/>
        <w:spacing w:line="360" w:lineRule="auto"/>
        <w:rPr>
          <w:rFonts w:ascii="宋体" w:hAnsi="宋体" w:cs="宋体"/>
          <w:color w:val="auto"/>
          <w:highlight w:val="none"/>
        </w:rPr>
      </w:pPr>
      <w:r>
        <w:rPr>
          <w:rFonts w:hint="eastAsia" w:ascii="宋体" w:hAnsi="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2"/>
      <w:r/>
      <w:bookmarkEnd w:id="33"/>
      <w:r/>
      <w:bookmarkEnd w:id="34"/>
      <w:r/>
      <w:bookmarkEnd w:id="35"/>
      <w:r/>
      <w:bookmarkEnd w:id="36"/>
      <w:r/>
      <w:r/>
    </w:p>
    <w:p>
      <w:pPr>
        <w:ind w:firstLine="420"/>
        <w:spacing w:line="360" w:lineRule="auto"/>
        <w:widowControl/>
        <w:rPr>
          <w:rFonts w:ascii="宋体" w:hAnsi="宋体" w:cs="宋体"/>
          <w:color w:val="auto"/>
          <w:szCs w:val="21"/>
          <w:highlight w:val="none"/>
        </w:rPr>
      </w:pPr>
      <w:r/>
      <w:bookmarkStart w:id="37" w:name="_Toc28359009"/>
      <w:r/>
      <w:bookmarkStart w:id="38" w:name="_Toc28359086"/>
      <w:r>
        <w:rPr>
          <w:rFonts w:hint="eastAsia" w:ascii="宋体" w:hAnsi="宋体" w:cs="宋体"/>
          <w:color w:val="auto"/>
          <w:highlight w:val="none"/>
        </w:rPr>
        <w:t xml:space="preserve">1.采购人信息</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名 称：江苏省苏北人民医院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址：江苏省扬州市南通西路98号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丁</w:t>
      </w:r>
      <w:r>
        <w:rPr>
          <w:rFonts w:hint="eastAsia" w:ascii="宋体" w:hAnsi="宋体" w:cs="宋体"/>
          <w:color w:val="auto"/>
          <w:highlight w:val="none"/>
        </w:rPr>
        <w:t xml:space="preserve">老师</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联系方式：0514-87373868</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2.代理机构信息</w:t>
      </w:r>
      <w:bookmarkEnd w:id="37"/>
      <w:r/>
      <w:bookmarkEnd w:id="38"/>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szCs w:val="21"/>
          <w:highlight w:val="none"/>
        </w:rPr>
        <w:t xml:space="preserve">江苏中鑫项目管理有限公司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扬州市京华城路8号五彩世界B座19楼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szCs w:val="21"/>
          <w:highlight w:val="none"/>
        </w:rPr>
        <w:t xml:space="preserve">高工</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联系方式：</w:t>
      </w:r>
      <w:bookmarkStart w:id="39" w:name="_Toc28359087"/>
      <w:r/>
      <w:bookmarkStart w:id="40" w:name="_Toc28359010"/>
      <w:r>
        <w:rPr>
          <w:rFonts w:hint="eastAsia" w:ascii="宋体" w:hAnsi="宋体" w:cs="宋体"/>
          <w:color w:val="auto"/>
          <w:szCs w:val="21"/>
          <w:highlight w:val="none"/>
        </w:rPr>
        <w:t xml:space="preserve">18912120715</w:t>
      </w:r>
      <w:bookmarkEnd w:id="39"/>
      <w:r/>
      <w:bookmarkEnd w:id="40"/>
      <w:r/>
      <w:r/>
    </w:p>
    <w:p>
      <w:pPr>
        <w:ind w:firstLine="3150"/>
        <w:jc w:val="left"/>
        <w:widowControl/>
        <w:rPr>
          <w:rFonts w:ascii="宋体" w:hAnsi="宋体" w:cs="宋体"/>
          <w:color w:val="auto"/>
          <w:sz w:val="40"/>
          <w:szCs w:val="40"/>
          <w:highlight w:val="none"/>
        </w:rPr>
      </w:pPr>
      <w:r>
        <w:rPr>
          <w:rFonts w:hint="eastAsia" w:ascii="宋体" w:hAnsi="宋体" w:cs="宋体"/>
          <w:color w:val="auto"/>
          <w:szCs w:val="21"/>
          <w:highlight w:val="none"/>
        </w:rPr>
        <w:br w:type="page" w:clear="all"/>
      </w:r>
      <w:bookmarkStart w:id="41" w:name="_Toc2889"/>
      <w:r/>
      <w:bookmarkStart w:id="42" w:name="_Toc55204178"/>
      <w:r>
        <w:rPr>
          <w:rFonts w:hint="eastAsia" w:ascii="宋体" w:hAnsi="宋体" w:cs="宋体"/>
          <w:b/>
          <w:bCs/>
          <w:color w:val="auto"/>
          <w:sz w:val="40"/>
          <w:szCs w:val="40"/>
          <w:highlight w:val="none"/>
        </w:rPr>
        <w:t xml:space="preserve">第二章 投标人须知</w:t>
      </w:r>
      <w:bookmarkEnd w:id="41"/>
      <w:r/>
      <w:bookmarkEnd w:id="42"/>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一、总则</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1、招标方式</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1.1本次招标采取公开招标方式，本招标文件仅适用于此项目。</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2、合格的投标人</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2.1满足招标公告中供应商的资格要求的规定。</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2.2满足本文件实质性要求的规定。。</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3、适用法律</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3.1本次招标及由此产生的合同受中华人民共和国有关的法律法规制约和保护。</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4、投标费用</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4.1投标人应自行承担所有与参加投标有关的费用，无论投标过程中的做法和结果如何，代理机构在任何情况下均无义务和责任承担这些费用。 </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4.2招标代理服务费：本次采购预算中已包含参照《招标代理服务收费管理暂行办法》(计价格【2002】1980号文)服务类标准四折计取的代理服务费，不足叁仟按叁仟元计取，投标报价应包含代理服务费，由中标人支付给代理机构。</w:t>
      </w:r>
      <w:r/>
    </w:p>
    <w:tbl>
      <w:tblPr>
        <w:tblStyle w:val="85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367"/>
        </w:trPr>
        <w:tc>
          <w:tcPr>
            <w:tcW w:w="5000" w:type="pct"/>
            <w:textDirection w:val="lrTb"/>
            <w:noWrap w:val="false"/>
          </w:tcPr>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户  名：江苏中鑫项目管理有限公司</w:t>
            </w:r>
            <w:r/>
          </w:p>
        </w:tc>
      </w:tr>
      <w:tr>
        <w:trPr>
          <w:jc w:val="center"/>
          <w:trHeight w:val="521"/>
        </w:trPr>
        <w:tc>
          <w:tcPr>
            <w:tcW w:w="5000" w:type="pct"/>
            <w:textDirection w:val="lrTb"/>
            <w:noWrap w:val="false"/>
          </w:tcPr>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开户行：中国建设银行股份有限公司扬州曲江分理处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账  号：32050174473600000049</w:t>
            </w:r>
            <w:r/>
          </w:p>
        </w:tc>
      </w:tr>
    </w:tbl>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4.3专家评审费按照《扬州市财政局关于进一步规范扬州市政府采购专家评审费标准的通知》（扬财购〔2020〕40号）执行</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5、招标文件的约束力</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5.1投标人一旦参加本项目采购活动，即被认为接受了本招标文件的规定和约束。</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二、招标文件</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6、招标文件构成</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6.1 招标文件由以下部分组成：</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（1）投标邀请</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（2）投标人须知</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（3）合同文本</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（4）采购需求</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（5）评标方法与评标标准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（6）投标文件格式</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请仔细检查招标文件是否齐全，如有缺漏请立即与代理机构联系解决。</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7、招标文件的修改</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7.1在投标截止时间前，代理机构可以对招标文件进行修改。</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7.2代理机构在招标文件要求提交投标文件截止时间前，有权按照法定要求推迟投标截止时间和开标时间。</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7.3招标文件的修改将在“扬州市政府采购网”“江苏省政府采购网”公布，补充文件将作为招标文件的组成部分，并对投标人具有约束力。</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三、投标文件的编制</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8、投标文件的语言、度量衡单位、货币</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8.1投标人提交的投标文件以及投标人与代理机构就有关投标的所有来往通知、函件和文件均应使用简体中文。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8.2 除技术性能另有规定外，投标文件所使用的度量衡单位，均须采用国家法定计量单位。</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9、投标文件构成</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9.1投标人编写的投标文件应包括基本目录、资格审查内容、符合性审查内容、价格扣除证明文件等部分。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9.2 如标书制作工具中格式和内容与“江苏政府采购网、扬州市政府采购网”发布的招标文件不一致，请以“江苏政府采购网、扬州市政府采购网”发布的招标文件为准。</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10、证明投标人资格及符合招标文件规定的文件</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10.1 投标人应按照招标文件要求提交证明文件，证明其投标标的符合招标文件规定。</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10.2招标文件对证明文件无明确形式要求的，证明文件可以以文字资料、图纸和数据等形式提交。</w:t>
      </w:r>
      <w:r/>
    </w:p>
    <w:p>
      <w:pPr>
        <w:ind w:firstLine="420"/>
        <w:spacing w:line="360" w:lineRule="auto"/>
        <w:rPr>
          <w:rFonts w:ascii="宋体" w:hAnsi="宋体" w:cs="宋体"/>
          <w:b/>
          <w:color w:val="auto"/>
          <w:highlight w:val="none"/>
        </w:rPr>
      </w:pPr>
      <w:r>
        <w:rPr>
          <w:rFonts w:hint="eastAsia" w:ascii="宋体" w:hAnsi="宋体" w:cs="宋体"/>
          <w:b/>
          <w:color w:val="auto"/>
          <w:highlight w:val="none"/>
        </w:rPr>
        <w:t xml:space="preserve">11、投标分项报价表</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11.1 投标人按照招标文件规定格式填报投标分项报价表。</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11.2投标货币。投标文件中的单价和总价无特殊规定的采用人民币报价，以元为单位标注。招标文件中另有规定的按规定执行。</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12、技术参数响应及偏离表、商务条款响应及偏离表及投标货物说明</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12.1 投标人需对招标文件中的技术要求与商务要求逐项作出响应或偏离，并说明原因。</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12.2 投标人需按照招标文件要求，在投标文件中提供与技术要求和商务要求相关的证明材料。</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13、投标函和开标一览表</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13.1 投标人应按照招标文件中提供的格式完整、正确填写投标函、开标一览表。</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13.2 对于采用货币报价的项目，开标一览表中的投标总报价应与投标分项报价表中的投标总报价一致，如不一致，不作为无效投标处理，但评标时按开标一览表中价格为准。</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14、投标有效期</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14.1投标有效期为开标之日起六十（60）天。投标有效期比规定短的将被视为非响应性投标而予以拒绝。</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15.投标有效期的延长</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15.1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color w:val="auto"/>
          <w:highlight w:val="none"/>
        </w:rPr>
      </w:pPr>
      <w:r/>
      <w:bookmarkStart w:id="43" w:name="_Toc513029226"/>
      <w:r/>
      <w:bookmarkStart w:id="44" w:name="_Toc16938542"/>
      <w:r/>
      <w:bookmarkStart w:id="45" w:name="_Toc20823298"/>
      <w:r>
        <w:rPr>
          <w:rFonts w:hint="eastAsia" w:ascii="宋体" w:hAnsi="宋体" w:cs="宋体"/>
          <w:b/>
          <w:color w:val="auto"/>
          <w:highlight w:val="none"/>
        </w:rPr>
        <w:t xml:space="preserve">四、投标文件的递交</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16、电子投标文件的递交</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16.1电子投标文件的递交投标人应当按照《操作手册》规定，在投标截止时间前制作并上传电子投标文件。</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16.2</w:t>
      </w:r>
      <w:r>
        <w:rPr>
          <w:rFonts w:hint="eastAsia" w:ascii="宋体" w:hAnsi="宋体" w:cs="宋体"/>
          <w:b/>
          <w:bCs/>
          <w:color w:val="auto"/>
          <w:highlight w:val="none"/>
        </w:rPr>
        <w:t xml:space="preserve">政府采购管理交易系统（苏采云）</w:t>
      </w:r>
      <w:r>
        <w:rPr>
          <w:rFonts w:hint="eastAsia" w:ascii="宋体" w:hAnsi="宋体" w:cs="宋体"/>
          <w:b/>
          <w:color w:val="auto"/>
          <w:highlight w:val="none"/>
        </w:rPr>
        <w:t xml:space="preserve">相关要求是本招标文件的组成部分。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16.3投标人应对 CA 证书妥善保管，如被他人盗用投标，因此带来的后果均由投标人自行承担。</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16.4投标人应当对招标文件提出的要求和条件作出实质性响应，并在电子投标系统逐条应答。</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16.5投标人应对要求提供的资格证明文件（如资质证书、资格证书）、技术资料（如白皮书、彩页、手册、检测报告等）扫描上传至投标系统。</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16.6投标人应当在招标文件要求提交投标文件的截止时间前，将投标文件提交至“苏采云”系统，逾期提交的投标文件，“苏采云”系统将自动拒收。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bCs/>
          <w:color w:val="auto"/>
          <w:highlight w:val="none"/>
        </w:rPr>
      </w:pPr>
      <w:r>
        <w:rPr>
          <w:rFonts w:hint="eastAsia" w:ascii="宋体" w:hAnsi="宋体" w:cs="宋体"/>
          <w:b/>
          <w:color w:val="auto"/>
          <w:highlight w:val="none"/>
        </w:rPr>
        <w:t xml:space="preserve">16.7各投标人应在规定时间内凭CA证书进行网上解密。</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17、投标截止日期</w:t>
      </w:r>
      <w:r/>
    </w:p>
    <w:p>
      <w:pPr>
        <w:ind w:firstLine="420"/>
        <w:spacing w:line="360" w:lineRule="auto"/>
        <w:rPr>
          <w:rFonts w:ascii="宋体" w:hAnsi="宋体" w:cs="宋体"/>
          <w:bCs/>
          <w:iCs/>
          <w:color w:val="auto"/>
          <w:highlight w:val="none"/>
        </w:rPr>
      </w:pPr>
      <w:r>
        <w:rPr>
          <w:rFonts w:hint="eastAsia" w:ascii="宋体" w:hAnsi="宋体" w:cs="宋体"/>
          <w:bCs/>
          <w:iCs/>
          <w:color w:val="auto"/>
          <w:highlight w:val="none"/>
        </w:rPr>
        <w:t xml:space="preserve">1</w:t>
      </w:r>
      <w:r>
        <w:rPr>
          <w:rFonts w:hint="eastAsia" w:ascii="宋体" w:hAnsi="宋体" w:cs="宋体"/>
          <w:b/>
          <w:bCs/>
          <w:iCs/>
          <w:color w:val="auto"/>
          <w:highlight w:val="none"/>
        </w:rPr>
        <w:t xml:space="preserve">7.1 投标人上传电子投标文件的时间不得迟于招标公告中规定的投标截止时间。</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投标人应充分考虑网络环境、网络宽带等风险因素，如因投标人自身原因造成的电子投标文件上传不成功由投标人自行承担全部责任。</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17.2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color w:val="auto"/>
          <w:highlight w:val="none"/>
        </w:rPr>
      </w:pPr>
      <w:r/>
      <w:bookmarkStart w:id="46" w:name="_Toc20823299"/>
      <w:r/>
      <w:bookmarkStart w:id="47" w:name="_Toc513029227"/>
      <w:r/>
      <w:bookmarkStart w:id="48" w:name="_Toc16938543"/>
      <w:r>
        <w:rPr>
          <w:rFonts w:hint="eastAsia" w:ascii="宋体" w:hAnsi="宋体" w:cs="宋体"/>
          <w:b/>
          <w:color w:val="auto"/>
          <w:highlight w:val="none"/>
        </w:rPr>
        <w:t xml:space="preserve">18、投标文件</w:t>
      </w:r>
      <w:bookmarkEnd w:id="46"/>
      <w:r/>
      <w:bookmarkEnd w:id="47"/>
      <w:r/>
      <w:bookmarkEnd w:id="48"/>
      <w:r>
        <w:rPr>
          <w:rFonts w:hint="eastAsia" w:ascii="宋体" w:hAnsi="宋体" w:cs="宋体"/>
          <w:b/>
          <w:color w:val="auto"/>
          <w:highlight w:val="none"/>
        </w:rPr>
        <w:t xml:space="preserve">的拒收</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18.1代理机构拒绝接收在其规定的投标截止时间后上传的任何投标文件。 </w:t>
      </w:r>
      <w:r/>
    </w:p>
    <w:p>
      <w:pPr>
        <w:ind w:firstLine="422"/>
        <w:spacing w:line="360" w:lineRule="auto"/>
        <w:rPr>
          <w:rFonts w:ascii="宋体" w:hAnsi="宋体" w:cs="宋体"/>
          <w:b/>
          <w:color w:val="auto"/>
          <w:highlight w:val="none"/>
        </w:rPr>
      </w:pPr>
      <w:r/>
      <w:bookmarkStart w:id="49" w:name="_Toc513029228"/>
      <w:r/>
      <w:bookmarkStart w:id="50" w:name="_Toc20823300"/>
      <w:r/>
      <w:bookmarkStart w:id="51" w:name="_Toc16938544"/>
      <w:r>
        <w:rPr>
          <w:rFonts w:hint="eastAsia" w:ascii="宋体" w:hAnsi="宋体" w:cs="宋体"/>
          <w:b/>
          <w:color w:val="auto"/>
          <w:highlight w:val="none"/>
        </w:rPr>
        <w:t xml:space="preserve">19、投标文件的撤回和修改</w:t>
      </w:r>
      <w:bookmarkEnd w:id="49"/>
      <w:r/>
      <w:bookmarkEnd w:id="50"/>
      <w:r/>
      <w:bookmarkEnd w:id="51"/>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19.1 投标文件的撤回</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19.1.1 电子投标文件的撤回</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投标人可在投标截止时间前，撤回其电子投标文件，具体操作方法见《操作手册》。</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19.1.2 投标人撤回电子投标文件，则认为其不再参与本项目投标活动。</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19.2 投标文件的修改</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19.2.1投标人可在投标截止时间前，对其电子投标文件进行修改，具体操作方法见《操作手册》。</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19.2.2 在投标截止时间之后，投标人不得对其电子投标文件作任何修改。</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19.3 在投标截止时间至招标文件中规定的投标有效期满之间的这段时间内，投标人不得撤回其投标。</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五、开标与评标</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20、开标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20.1代理机构将在招标公告中规定的时间和地点组织公开开标。投标人应当按照《操作手册》规定，参加开标活动。投标人未参加开标的，视同认可开标结果。</w:t>
      </w:r>
      <w:r/>
    </w:p>
    <w:p>
      <w:pPr>
        <w:ind w:firstLine="422"/>
        <w:spacing w:line="360" w:lineRule="auto"/>
        <w:rPr>
          <w:rFonts w:ascii="宋体" w:hAnsi="宋体" w:cs="宋体"/>
          <w:bCs/>
          <w:color w:val="auto"/>
          <w:highlight w:val="none"/>
        </w:rPr>
      </w:pPr>
      <w:r>
        <w:rPr>
          <w:rFonts w:hint="eastAsia" w:ascii="宋体" w:hAnsi="宋体" w:cs="宋体"/>
          <w:b/>
          <w:color w:val="auto"/>
          <w:highlight w:val="none"/>
        </w:rPr>
        <w:t xml:space="preserve">20.2开标仪式由代理机构组织。苏采云系统将自动对项目进行开标，并宣读各投标人的《开标一览表》。</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20.3投标人在开标过程中涉及的投标文件解密、开标结果确认等工作，应按照《操作手册》规定执行。</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20.4投标人如果对开标过程和开标记录有疑义，应当根据《操作手册》规定提出，如苏采云系统中《开标记录表》宣布后5分钟内未提出的，视同认可开标结果。</w:t>
      </w:r>
      <w:bookmarkEnd w:id="43"/>
      <w:r/>
      <w:bookmarkEnd w:id="44"/>
      <w:r/>
      <w:bookmarkEnd w:id="45"/>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21、评标委员会</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21.1 开标后，代理机构将立即组织评标委员会（以下简称评委会）进行评标。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21.2 评委会由采购人代表和有关技术、经济等方面的专家组成，且人员构成符合政府采购有关规定。</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21.3评委会独立工作，负责评审所有投标文件并确定中标候选人。</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22、评标过程的保密与公正</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22.1凡是与审查、澄清、评价和比较投标的有关资料以及授标建议等，采购人、评委、代理机构工作人员均不得向投标人或与评标无关的其他人员透露。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22.2在评标过程中，投标人不得以任何行为影响评标过程，否则其投标文件将被作为无效投标文件。</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22.3代理机构和评委会不向未中标的投标人解释未中标原因，也不公布评标过程中的相关细节。</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22.4采用综合评分法的项目，未中标的投标人可于中标结果公告期限届满之日起通过苏采云系统查看自己的评审得分及排序情况。</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23、投标的澄清</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23.1评标期间，评委会对投标文件中含义不明确、同类问题表述不一致或者有明显文字和计算错误的内容，有权要求投标人作出必要的澄清、说明或者补正。</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投标人的澄清、说明或者补正不得超出投标文件的范围或者改变投标文件的实质性内容。</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评委会并非对每个投标人都做澄清要求。</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23.3接到评委会澄清、说明和补正要求的投标人如未按规定做出澄清、说明和补正，其风险由投标人自行承担。</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24、对投标文件的初审</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24.1投标文件初审分为资格审查和符合性审查。</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24.1.1 资格审查：依据法律法规和招标文件的规定，由采购人对投标文件中的资格证明文件进行审查。资格审查的结论，采购人以书面形式向评委会进行反馈。</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24.1.3 未通过资格审查或符合性审查的投标人，代理机构将在苏采云系统中告知未通过资格审查或符合性审查的原因，评审结束后，代理机构将不再告知未通过资格审查或符合性审查的原因。</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24.3如果投标文件实质上没有响应招标文件的要求，评委会将予以拒绝，投标人不得通过修改或撤销不合要求的偏离或保留而使其投标成为实质性响应的投标。</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24.4评委会将对确定为实质性响应的投标进行进一步审核，是否有计算上或累加上的算术错误，修正错误的原则如下：</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（1）投标文件中开标一览表内容与投标文件中相应内容不一致的，以开标一览表为准。</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（2）大写金额和小写金额不一致的，以大写金额为准。</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（3）单价金额小数点或者百分比有明显错位的，以开标一览表的总价为准，并修改单价。</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（4）总价金额与按单价汇总金额不一致的，以单价金额计算结果为准。</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同时出现两种以上错误的，按照前款规定的顺序修正。</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24.6投标人在开、评标全过程中应保持通讯畅通，及时登录苏采云系统查阅、答复相关信息，并安排专人与代理机构及评委会联系。</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25、无效投标、废标及投标人不足三家的处理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25.1无效投标条款</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25.1.1 投标人在苏采云系统规定的时间内未成功解密电子投标文件的。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25.1.2 投标人未按照招标文件要求上传电子投标文件的。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25.1.3 投标人同一采购包提交两个（含两个）以上不同的投标报价的。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25.1.4投标人不具备招标文件中规定资格要求的。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25.1.5投标人的报价超过了采购预算或最高限价的。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25.1.6未通过符合性审查的。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25.1.7不符合招标文件中规定的实质性要求的（本招标文件中斜体且有下划线部分为实质性要求）</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25.1.9 投标文件含有采购人不能接受的附加条件的。</w:t>
      </w:r>
      <w:r/>
    </w:p>
    <w:p>
      <w:pPr>
        <w:ind w:firstLine="420"/>
        <w:spacing w:line="360" w:lineRule="auto"/>
        <w:rPr>
          <w:rFonts w:ascii="宋体" w:hAnsi="宋体" w:cs="宋体"/>
          <w:b/>
          <w:color w:val="auto"/>
          <w:highlight w:val="none"/>
        </w:rPr>
      </w:pPr>
      <w:r>
        <w:rPr>
          <w:rFonts w:hint="eastAsia" w:ascii="宋体" w:hAnsi="宋体" w:cs="宋体"/>
          <w:b/>
          <w:color w:val="auto"/>
          <w:highlight w:val="none"/>
        </w:rPr>
        <w:t xml:space="preserve">25.1.10 异常低价投标（响应）</w:t>
      </w:r>
      <w:r/>
    </w:p>
    <w:p>
      <w:pPr>
        <w:ind w:firstLine="420"/>
        <w:spacing w:line="360" w:lineRule="auto"/>
        <w:rPr>
          <w:rFonts w:ascii="宋体" w:hAnsi="宋体" w:cs="宋体"/>
          <w:b/>
          <w:color w:val="auto"/>
          <w:highlight w:val="none"/>
        </w:rPr>
      </w:pPr>
      <w:r>
        <w:rPr>
          <w:rFonts w:hint="eastAsia" w:ascii="宋体" w:hAnsi="宋体" w:cs="宋体"/>
          <w:b/>
          <w:color w:val="auto"/>
          <w:highlight w:val="none"/>
        </w:rPr>
        <w:t xml:space="preserve">25.1.10.1投标（响应）报价低于全部通过符合性审查供应商投标（响应）报价平均值50%的，即投标（响应）报价&lt;全部通过符合性审查供应商投标（响应）报价平均值×50%；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
          <w:color w:val="auto"/>
          <w:highlight w:val="none"/>
        </w:rPr>
      </w:pPr>
      <w:r>
        <w:rPr>
          <w:rFonts w:hint="eastAsia" w:ascii="宋体" w:hAnsi="宋体" w:cs="宋体"/>
          <w:b/>
          <w:color w:val="auto"/>
          <w:highlight w:val="none"/>
        </w:rPr>
        <w:t xml:space="preserve">25.1.10.2投标（响应）报价低于通过符合性审查的次低报价供应商投标（响应）报价50%的，即投标（响应）报价&lt;通过符合性审查的次低报价供应商投标（响应）报价×50%；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
          <w:color w:val="auto"/>
          <w:highlight w:val="none"/>
        </w:rPr>
      </w:pPr>
      <w:r>
        <w:rPr>
          <w:rFonts w:hint="eastAsia" w:ascii="宋体" w:hAnsi="宋体" w:cs="宋体"/>
          <w:b/>
          <w:color w:val="auto"/>
          <w:highlight w:val="none"/>
        </w:rPr>
        <w:t xml:space="preserve">25.1.10.3投标（响应）报价低于采购项目最高限价 45% 的，即投标（响应）报价&lt;采购项目最高限价×45% ；</w:t>
      </w:r>
      <w:r/>
    </w:p>
    <w:p>
      <w:pPr>
        <w:ind w:firstLine="420"/>
        <w:spacing w:line="360" w:lineRule="auto"/>
        <w:rPr>
          <w:rFonts w:ascii="宋体" w:hAnsi="宋体" w:cs="宋体"/>
          <w:b/>
          <w:color w:val="auto"/>
          <w:highlight w:val="none"/>
        </w:rPr>
      </w:pPr>
      <w:r>
        <w:rPr>
          <w:rFonts w:hint="eastAsia" w:ascii="宋体" w:hAnsi="宋体" w:cs="宋体"/>
          <w:b/>
          <w:color w:val="auto"/>
          <w:highlight w:val="none"/>
        </w:rPr>
        <w:t xml:space="preserve">25.1.10.4评审委员会认定的供应商报价过低、有可能影响产品质量或者不能诚信履约的其他情形。</w:t>
      </w:r>
      <w:r/>
    </w:p>
    <w:p>
      <w:pPr>
        <w:ind w:firstLine="420"/>
        <w:spacing w:line="360" w:lineRule="auto"/>
        <w:rPr>
          <w:rFonts w:ascii="宋体" w:hAnsi="宋体" w:cs="宋体"/>
          <w:b/>
          <w:color w:val="auto"/>
          <w:highlight w:val="none"/>
        </w:rPr>
      </w:pPr>
      <w:r>
        <w:rPr>
          <w:rFonts w:hint="eastAsia" w:ascii="宋体" w:hAnsi="宋体" w:cs="宋体"/>
          <w:b/>
          <w:color w:val="auto"/>
          <w:highlight w:val="none"/>
        </w:rPr>
        <w:t xml:space="preserve">25.1.10.5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
          <w:color w:val="auto"/>
          <w:highlight w:val="none"/>
        </w:rPr>
      </w:pPr>
      <w:r>
        <w:rPr>
          <w:rFonts w:hint="eastAsia" w:ascii="宋体" w:hAnsi="宋体" w:cs="宋体"/>
          <w:b/>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Cs/>
          <w:color w:val="auto"/>
          <w:highlight w:val="none"/>
        </w:rPr>
      </w:pPr>
      <w:r>
        <w:rPr>
          <w:rFonts w:hint="eastAsia" w:ascii="宋体" w:hAnsi="宋体" w:cs="宋体"/>
          <w:b/>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25.1.11 投标文件未按照招标文件要求加盖CA电子公章的。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25.1.12其他法律、法规及本招标文件规定的属无效投标的情形。</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25.2废标条款</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25.2.1符合专业条件的供应商或者对招标文件作实质响应的供应商不足三家的。25.2.2出现影响采购公正的违法、违规行为的。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25.2.3因重大变故，采购任务取消的。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25.2.4评委会认定招标文件存在歧义、重大缺陷导致评审工作无法进行。</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25.2.5 因苏采云系统系统故障原因造成开标不成功的。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25.3 投标截止时间结束后参加投标的供应商不足三家的处理：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25.3.1如出现投标截止时间结束后参加投标的供应商或者在评标期间对招标文件做出实质响应的供应商不足三家情况，按政府采购相关规定执行。</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六、定标</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26、确定中标单位</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26.1中标候选人的选取原则和数量见招标文件第五章规定。</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26.2 采购人应根据评委会推荐的中标候选人确定中标供应商。</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26.3 代理机构将在“江苏政府采购网、扬州市政府采购网”发布中标公告，公告期限为1个工作日。</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26.4 若有充分证据证明，中标供应商出现下列情况之一的，一经查实，将被取消中标资格：</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26.4.1提供虚假材料谋取中标的。</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26.4.2向采购人、代理机构行贿或者提供其他不正当利益的。</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26.4.3属于本文件规定的无效条件，但在评标过程中又未被评委会发现的。</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26.4.4与采购人或者其他供应商恶意串通的。</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26.4.5采取不正当手段诋毁、排挤其他供应商的。</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26.5 有下列情形之一的，视为投标人串通投标，投标无效：</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26.5.1不同投标人的投标文件由同一单位或者个人编制。</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26.5.2不同投标人委托同一单位或者个人办理投标事宜。</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26.5.3 不同投标人的投标文件载明的项目管理成员或者联系人员为同一人。</w:t>
      </w:r>
      <w:r/>
    </w:p>
    <w:p>
      <w:pPr>
        <w:ind w:firstLine="422"/>
        <w:spacing w:line="360" w:lineRule="auto"/>
        <w:rPr>
          <w:rFonts w:ascii="宋体" w:hAnsi="宋体" w:cs="宋体"/>
          <w:bCs/>
          <w:color w:val="auto"/>
          <w:highlight w:val="none"/>
        </w:rPr>
      </w:pPr>
      <w:r>
        <w:rPr>
          <w:rFonts w:hint="eastAsia" w:ascii="宋体" w:hAnsi="宋体" w:cs="宋体"/>
          <w:bCs/>
          <w:color w:val="auto"/>
          <w:highlight w:val="none"/>
        </w:rPr>
        <w:t xml:space="preserve">26.5.4不同投标人的投标文件异常一致或者投标报价呈规律性差异。</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27、质疑处理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供应商认为采购文件、采购过程和采购结果使自己的权益受到损害的，可以在知道或应知其权益受到损害之日起七个工作日内，以书面形式根据下述27.4条款的规定向代理机构或采购人提出质疑。上述应知其权益受到损害之日，是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27.2.1对可以质疑的采购文件提出质疑的，为收到采购文件之日或者采购文件公告期限届满之日；</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27.2.2对采购过程提出质疑的，为各采购程序环节结束之日；</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27.2.3对中标或者成交结果提出质疑的，为中标或者成交结果公告期限届满之日。</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代理机构提出，由代理机构负责答复。</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采购人及代理机构只接收以纸质原件形式送达的质疑,建议供应商尽量通过邮寄方式提交质疑（采购人和代理机构不接受无快递运单号的快递）。</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质疑接收人及联系方式见招标文件第一章。</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27.5 以下情形的质疑不予受理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27.5.1 内容不符合《政府采购质疑和投诉办法》第十二条规定的质疑。</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27.5.2 超出政府采购法定期限的质疑。</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27.5.3 以传真、电子邮件等方式递交的非原件形式的质疑。</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27.5.4 未参加投标活动的供应商或在投标活动中自身权益未受到损害的供应商所提出的质疑。</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27.5.5供应商组成联合体参加投标，联合体中任何一方或多方未按要求签字、盖章、加盖公章的质疑。</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28、中标通知书</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28.l 中标结果确定后，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七、授予合同</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29、签订合同</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29.l中标供应商应当在中标通知书发出之日起三十日内，按照招标文件确定的事项与采购人签订政府采购合同。</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29.2 招标文件、中标供应商的投标文件及招标过程中有关澄清、承诺文件均应作为合同附件。</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2"/>
        <w:spacing w:line="360" w:lineRule="auto"/>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30、政府采购履约资金扶持政策：中标供应商可凭政府采购合同办理融资贷款，详情请见江苏政府采购网“政采贷”专栏。</w:t>
      </w:r>
      <w:r/>
    </w:p>
    <w:p>
      <w:pPr>
        <w:ind w:firstLine="1890"/>
        <w:spacing w:line="360" w:lineRule="auto"/>
        <w:rPr>
          <w:rFonts w:ascii="宋体" w:hAnsi="宋体" w:cs="宋体"/>
          <w:bCs/>
          <w:color w:val="auto"/>
          <w:sz w:val="40"/>
          <w:szCs w:val="40"/>
          <w:highlight w:val="none"/>
        </w:rPr>
        <w:outlineLvl w:val="0"/>
      </w:pPr>
      <w:r>
        <w:rPr>
          <w:rFonts w:hint="eastAsia" w:ascii="宋体" w:hAnsi="宋体" w:cs="宋体"/>
          <w:bCs/>
          <w:color w:val="auto"/>
          <w:szCs w:val="21"/>
          <w:highlight w:val="none"/>
        </w:rPr>
        <w:br w:type="page" w:clear="all"/>
      </w:r>
      <w:bookmarkStart w:id="52" w:name="_Toc6163"/>
      <w:r/>
      <w:bookmarkStart w:id="53" w:name="_Toc55204179"/>
      <w:r/>
      <w:bookmarkStart w:id="54" w:name="_Hlk69392822"/>
      <w:r>
        <w:rPr>
          <w:rFonts w:hint="eastAsia" w:ascii="宋体" w:hAnsi="宋体" w:cs="宋体"/>
          <w:b/>
          <w:bCs/>
          <w:color w:val="auto"/>
          <w:sz w:val="40"/>
          <w:szCs w:val="40"/>
          <w:highlight w:val="none"/>
        </w:rPr>
        <w:t xml:space="preserve">第三章 合同条款及格式</w:t>
      </w:r>
      <w:bookmarkEnd w:id="52"/>
      <w:r/>
      <w:bookmarkEnd w:id="53"/>
      <w:r/>
      <w:r/>
    </w:p>
    <w:p>
      <w:pPr>
        <w:pStyle w:val="1060"/>
        <w:ind w:firstLine="420"/>
        <w:spacing w:line="360" w:lineRule="auto"/>
        <w:rPr>
          <w:rFonts w:hAnsi="宋体" w:cs="宋体"/>
          <w:color w:val="auto"/>
          <w:sz w:val="21"/>
          <w:highlight w:val="none"/>
        </w:rPr>
      </w:pPr>
      <w:r>
        <w:rPr>
          <w:rFonts w:hint="eastAsia" w:hAnsi="宋体" w:cs="宋体"/>
          <w:color w:val="auto"/>
          <w:sz w:val="21"/>
          <w:highlight w:val="none"/>
        </w:rPr>
        <w:t xml:space="preserve">以下为中标后签订本项目合同的通用条款，中标人不得提出实质性的修改，关于专用条款将由采购人与中标人结合本项目具体情况协商后签订。</w:t>
      </w:r>
      <w:bookmarkEnd w:id="54"/>
      <w:r/>
      <w:r/>
    </w:p>
    <w:p>
      <w:pPr>
        <w:jc w:val="center"/>
        <w:spacing w:before="145" w:after="145"/>
        <w:rPr>
          <w:rFonts w:hint="eastAsia" w:ascii="宋体" w:hAnsi="宋体" w:cs="宋体"/>
          <w:b/>
          <w:color w:val="auto"/>
          <w:sz w:val="30"/>
          <w:highlight w:val="none"/>
        </w:rPr>
        <w:pBdr>
          <w:top w:val="none" w:color="000000" w:sz="0" w:space="0"/>
          <w:left w:val="none" w:color="000000" w:sz="0" w:space="0"/>
          <w:bottom w:val="none" w:color="000000" w:sz="0" w:space="0"/>
          <w:right w:val="none" w:color="000000" w:sz="0" w:space="0"/>
        </w:pBdr>
      </w:pPr>
      <w:r/>
      <w:bookmarkStart w:id="55" w:name="_Toc18039"/>
      <w:r/>
      <w:r/>
    </w:p>
    <w:p>
      <w:pPr>
        <w:jc w:val="center"/>
        <w:spacing w:before="145" w:after="145"/>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rPr>
        <w:t xml:space="preserve">江苏省政府采购合同（服务）（合同编号）</w:t>
      </w:r>
      <w:r/>
    </w:p>
    <w:p>
      <w:pPr>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项目名称：</w:t>
      </w:r>
      <w:r/>
    </w:p>
    <w:p>
      <w:pPr>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项目编号：</w:t>
      </w:r>
      <w:r/>
    </w:p>
    <w:p>
      <w:pPr>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采购包号：</w:t>
      </w:r>
      <w:r/>
    </w:p>
    <w:p>
      <w:pPr>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甲方：（买方/采购人）_________</w:t>
      </w:r>
      <w:r/>
    </w:p>
    <w:p>
      <w:pPr>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乙方：（卖方/中标投标人）_________</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甲、乙双方根据江苏中鑫项目管理有限公司</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项目公开招标的结果，签署本合同。</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一、合同内容</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1.1 标的名称：</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1.2标的质量：</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1.3 标的数量（规模）：</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1.4 履行时间（期限）：</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1.5 履行地点：</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1.6 履行方式：</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二、合同金额</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2.1 本合同金额为（大写）：________圆（________元）人民币或其他币种。</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三、技术资料</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3.1乙方应按招标文件规定的时间向甲方提供服务（包含与服务相关的货物）的有关技术资料。</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四、知识产权</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4.2乙方为履行本合同所专门创造、开发并交付给甲方的所有工作成果（包括但不限于软件源代码、目标代码、技术文档、设计图纸等，以下简称“交付成果”）的知识产权（包括但不限于著作权、专利权、专利申请权及技术秘密），自该成果产生之日起即全部归甲方所有。乙方应提供一切必要协助，配合甲方办理相关权利的登记或备案手续。</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五、产权担保</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5.1 乙方保证所交付的服务（包含与服务相关的货物）的所有权完全属于乙方且无任何抵押、查封等产权瑕疵。</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六、履约保证金</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6.1 乙方交纳人民币___</w:t>
      </w:r>
      <w:r>
        <w:rPr>
          <w:rFonts w:hint="eastAsia" w:ascii="宋体" w:hAnsi="宋体" w:cs="宋体"/>
          <w:color w:val="auto"/>
          <w:highlight w:val="none"/>
          <w:u w:val="single"/>
        </w:rPr>
        <w:t xml:space="preserve">零</w:t>
      </w:r>
      <w:r>
        <w:rPr>
          <w:rFonts w:hint="eastAsia" w:ascii="宋体" w:hAnsi="宋体" w:cs="宋体"/>
          <w:color w:val="auto"/>
          <w:highlight w:val="none"/>
        </w:rPr>
        <w:t xml:space="preserve">______元作为本合同的履约保证金。（不得超过合同金额的10%）</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6.2合同履行结束后，甲方应及时退还交纳的履约保证金。</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6.2.1履约保证金退还方式：无</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6.2.2履约保证金退还时间：无</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6.2.3履约保证金退还条件：无</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6.2.4履约保证金不予退还的情形：无</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6.2.5履约保证金逾期退还的违约责任：无</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七、合同转包或分包</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7.1乙方不得将合同标的转包给他人履行。</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7.2乙方不得将合同标的分包给他人履行。</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7.3乙方如有转包或未经甲方同意的分包行为，甲方有权解除合同。</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八、合同款项支付</w:t>
      </w:r>
      <w:r/>
    </w:p>
    <w:p>
      <w:pPr>
        <w:ind w:firstLine="422"/>
        <w:spacing w:line="360" w:lineRule="auto"/>
        <w:rPr>
          <w:rFonts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合同签订后，乙方向甲方开具发票，甲方自收到发票之日起</w:t>
      </w:r>
      <w:r>
        <w:rPr>
          <w:rFonts w:hint="eastAsia" w:ascii="宋体" w:hAnsi="宋体" w:cs="宋体"/>
          <w:b/>
          <w:color w:val="auto"/>
          <w:highlight w:val="none"/>
        </w:rPr>
        <w:t xml:space="preserve">30</w:t>
      </w:r>
      <w:r>
        <w:rPr>
          <w:rFonts w:hint="eastAsia" w:ascii="宋体" w:hAnsi="宋体" w:cs="宋体"/>
          <w:b/>
          <w:color w:val="auto"/>
          <w:highlight w:val="none"/>
        </w:rPr>
        <w:t xml:space="preserve">日内一次性支付保费。</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九、税费</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9.1本合同执行中相关的一切税费均由乙方负担。</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十、项目验收</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10.1甲方依法组织履约验收工作。</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10.3对于实际使用人和甲方分离的项目，甲方邀请实际使用人参与验收。</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10.4如有必要，甲方邀请参加本项目的其他投标人或第三方专业机构及专家参与验收，相关意见将作为验收书的参考资料。</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十一、违约责任</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11.1甲方无正当理由拒绝接受乙方提供服务的，甲方向乙方偿付拒绝接受服务合同价款总值</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11.2甲方无故逾期验收和办理合同款项支付手续的,甲方应按逾期付款总额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每日向乙方支付违约金。</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auto"/>
          <w:highlight w:val="none"/>
          <w:u w:val="single"/>
        </w:rPr>
        <w:t xml:space="preserve">10%</w:t>
      </w:r>
      <w:r>
        <w:rPr>
          <w:rFonts w:hint="eastAsia" w:ascii="宋体" w:hAnsi="宋体" w:cs="宋体"/>
          <w:color w:val="auto"/>
          <w:highlight w:val="none"/>
        </w:rPr>
        <w:t xml:space="preserve">的违约金，如造成甲方损失超过违约金的，超出部分由乙方继续承担赔偿责11.4 乙方所提供服务的标准不符合合同规定及招标文件规定标准的，</w:t>
      </w:r>
      <w:bookmarkStart w:id="56" w:name="OLE_LINK7"/>
      <w:r>
        <w:rPr>
          <w:rFonts w:hint="eastAsia" w:ascii="宋体" w:hAnsi="宋体" w:cs="宋体"/>
          <w:color w:val="auto"/>
          <w:highlight w:val="none"/>
        </w:rPr>
        <w:t xml:space="preserve">甲方有权拒绝接受服务，并可单方面解除合同</w:t>
      </w:r>
      <w:bookmarkEnd w:id="56"/>
      <w:r>
        <w:rPr>
          <w:rFonts w:hint="eastAsia" w:ascii="宋体" w:hAnsi="宋体" w:cs="宋体"/>
          <w:color w:val="auto"/>
          <w:highlight w:val="none"/>
        </w:rPr>
        <w:t xml:space="preserve">。</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十二、不可抗力事件处理</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12.1在合同有效期内，任何一方因不可抗力事件导致不能履行合同，则合同履行期可延长，其延长期与不可抗力影响期相同。</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12.2不可抗力事件发生后，应立即通知对方，并寄送有关权威机构出具的证明。</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12.3不可抗力事件延续120天以上，双方应通过友好协商，确定是否继续履行合同。</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十三、解决争议的方法</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13.1双方在签订、履行合同中所发生的一切争议，应通过友好协商解决。如协商不成，由甲方住所地人民法院管辖。</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十四、合同生效及其它</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14.1合同经双方法定代表人或授权委托代表人签字并加盖单位公章后生效。</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14.2本合同未尽事宜，遵照中华人民共和国现行法律法规有关条文执行。</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14.3本合同正本一式两份，具有同等法律效力，甲方、乙方各执一份。</w:t>
      </w:r>
      <w:r/>
    </w:p>
    <w:p>
      <w:pPr>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0"/>
        <w:gridCol w:w="4252"/>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联系电话：</w:t>
            </w:r>
            <w:r/>
          </w:p>
        </w:tc>
      </w:tr>
    </w:tbl>
    <w:p>
      <w:pPr>
        <w:jc w:val="center"/>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jc w:val="right"/>
        <w:spacing w:before="120" w:after="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pStyle w:val="861"/>
        <w:rPr>
          <w:color w:val="auto"/>
          <w:highlight w:val="none"/>
        </w:rPr>
      </w:pPr>
      <w:r>
        <w:rPr>
          <w:rFonts w:hint="eastAsia"/>
          <w:color w:val="auto"/>
          <w:highlight w:val="none"/>
        </w:rPr>
        <w:t xml:space="preserve">                                              签订日期：  年  月 日 </w:t>
      </w:r>
      <w:r/>
    </w:p>
    <w:p>
      <w:pPr>
        <w:rPr>
          <w:rFonts w:ascii="宋体" w:hAnsi="宋体" w:cs="宋体"/>
          <w:color w:val="auto"/>
          <w:highlight w:val="none"/>
        </w:rPr>
      </w:pPr>
      <w:r>
        <w:rPr>
          <w:rFonts w:hint="eastAsia" w:ascii="宋体" w:hAnsi="宋体" w:cs="宋体"/>
          <w:color w:val="auto"/>
          <w:highlight w:val="none"/>
        </w:rPr>
        <w:br w:type="page" w:clear="all"/>
      </w:r>
      <w:bookmarkEnd w:id="55"/>
      <w:r/>
      <w:r/>
    </w:p>
    <w:p>
      <w:pPr>
        <w:jc w:val="center"/>
        <w:spacing w:line="360" w:lineRule="auto"/>
        <w:rPr>
          <w:rFonts w:ascii="宋体" w:hAnsi="宋体" w:cs="宋体"/>
          <w:b/>
          <w:bCs/>
          <w:color w:val="auto"/>
          <w:highlight w:val="none"/>
        </w:rPr>
        <w:outlineLvl w:val="0"/>
      </w:pPr>
      <w:r>
        <w:rPr>
          <w:rFonts w:hint="eastAsia" w:ascii="宋体" w:hAnsi="宋体" w:cs="宋体"/>
          <w:b/>
          <w:bCs/>
          <w:color w:val="auto"/>
          <w:sz w:val="40"/>
          <w:szCs w:val="40"/>
          <w:highlight w:val="none"/>
        </w:rPr>
        <w:t xml:space="preserve">第四章 项目需求</w:t>
      </w:r>
      <w:r/>
    </w:p>
    <w:p>
      <w:pPr>
        <w:ind w:firstLine="422"/>
        <w:spacing w:line="360" w:lineRule="auto"/>
        <w:rPr>
          <w:rFonts w:ascii="宋体" w:hAnsi="宋体" w:cs="宋体"/>
          <w:b/>
          <w:bCs/>
          <w:color w:val="auto"/>
          <w:highlight w:val="none"/>
        </w:rPr>
      </w:pPr>
      <w:r>
        <w:rPr>
          <w:rFonts w:hint="eastAsia" w:ascii="宋体" w:hAnsi="宋体" w:cs="宋体"/>
          <w:b/>
          <w:bCs/>
          <w:i/>
          <w:color w:val="auto"/>
          <w:highlight w:val="none"/>
          <w:u w:val="single"/>
        </w:rPr>
        <w:t xml:space="preserve">注：本章内容里斜体且有下划线部分为实质性要求和条件，投标文件不满足的，视为无效投标处理。</w:t>
      </w:r>
      <w:r>
        <w:rPr>
          <w:rFonts w:hint="eastAsia" w:ascii="宋体" w:hAnsi="宋体" w:cs="宋体"/>
          <w:b/>
          <w:bCs/>
          <w:color w:val="auto"/>
          <w:highlight w:val="none"/>
        </w:rPr>
        <w:t xml:space="preserve">请各供应商制作电子投标文件时，将实质性响应的内容在政府采购交易系统（苏采云）“符合证明文件格式”中准确填写或上传。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项目属性：服务类项目。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其他要求：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1.严格执行政府采购关于支持</w:t>
      </w:r>
      <w:r>
        <w:rPr>
          <w:rFonts w:hint="eastAsia" w:ascii="宋体" w:hAnsi="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2"/>
        <w:gridCol w:w="3182"/>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082" w:type="dxa"/>
            <w:vAlign w:val="center"/>
            <w:textDirection w:val="lrTb"/>
            <w:noWrap/>
          </w:tcPr>
          <w:p>
            <w:pPr>
              <w:pStyle w:val="1100"/>
              <w:jc w:val="center"/>
              <w:widowControl/>
              <w:rPr>
                <w:rFonts w:hAnsi="宋体"/>
                <w:color w:val="auto"/>
                <w:sz w:val="21"/>
                <w:szCs w:val="21"/>
                <w:highlight w:val="none"/>
              </w:rPr>
            </w:pPr>
            <w:r>
              <w:rPr>
                <w:rFonts w:hint="eastAsia" w:hAnsi="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182" w:type="dxa"/>
            <w:vAlign w:val="center"/>
            <w:textDirection w:val="lrTb"/>
            <w:noWrap/>
          </w:tcPr>
          <w:p>
            <w:pPr>
              <w:pStyle w:val="1100"/>
              <w:jc w:val="center"/>
              <w:widowControl/>
              <w:rPr>
                <w:rFonts w:hAnsi="宋体"/>
                <w:color w:val="auto"/>
                <w:sz w:val="21"/>
                <w:szCs w:val="21"/>
                <w:highlight w:val="none"/>
              </w:rPr>
            </w:pPr>
            <w:r>
              <w:rPr>
                <w:rFonts w:hint="eastAsia" w:hAnsi="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082" w:type="dxa"/>
            <w:vAlign w:val="center"/>
            <w:textDirection w:val="lrTb"/>
            <w:noWrap/>
          </w:tcPr>
          <w:p>
            <w:pPr>
              <w:pStyle w:val="1100"/>
              <w:jc w:val="center"/>
              <w:widowControl/>
              <w:rPr>
                <w:rFonts w:hAnsi="宋体"/>
                <w:color w:val="auto"/>
                <w:sz w:val="21"/>
                <w:szCs w:val="21"/>
                <w:highlight w:val="none"/>
              </w:rPr>
            </w:pPr>
            <w:r>
              <w:rPr>
                <w:rFonts w:hint="eastAsia" w:hAnsi="宋体"/>
                <w:color w:val="auto"/>
                <w:sz w:val="21"/>
                <w:szCs w:val="21"/>
                <w:highlight w:val="none"/>
              </w:rPr>
              <w:t xml:space="preserve">江苏省苏北人民医院</w:t>
            </w:r>
            <w:r>
              <w:rPr>
                <w:rFonts w:hint="eastAsia" w:hAnsi="宋体"/>
                <w:color w:val="auto"/>
                <w:sz w:val="21"/>
                <w:szCs w:val="21"/>
                <w:highlight w:val="none"/>
                <w:lang w:eastAsia="zh-CN"/>
              </w:rPr>
              <w:t xml:space="preserve">2026-2027年度</w:t>
            </w:r>
            <w:r>
              <w:rPr>
                <w:rFonts w:hint="eastAsia" w:hAnsi="宋体"/>
                <w:color w:val="auto"/>
                <w:sz w:val="21"/>
                <w:szCs w:val="21"/>
                <w:highlight w:val="none"/>
              </w:rPr>
              <w:t xml:space="preserve">医疗责任险采购项目</w:t>
            </w:r>
            <w:r/>
          </w:p>
        </w:tc>
        <w:tc>
          <w:tcPr>
            <w:shd w:val="clear" w:color="auto" w:fill="auto"/>
            <w:tcBorders>
              <w:top w:val="single" w:color="000000" w:sz="4" w:space="0"/>
              <w:left w:val="single" w:color="000000" w:sz="4" w:space="0"/>
              <w:bottom w:val="single" w:color="000000" w:sz="4" w:space="0"/>
              <w:right w:val="single" w:color="000000" w:sz="4" w:space="0"/>
            </w:tcBorders>
            <w:tcW w:w="3182" w:type="dxa"/>
            <w:vAlign w:val="center"/>
            <w:textDirection w:val="lrTb"/>
            <w:noWrap/>
          </w:tcPr>
          <w:p>
            <w:pPr>
              <w:pStyle w:val="1100"/>
              <w:jc w:val="center"/>
              <w:widowControl/>
              <w:rPr>
                <w:rFonts w:hAnsi="宋体"/>
                <w:color w:val="auto"/>
                <w:sz w:val="21"/>
                <w:szCs w:val="21"/>
                <w:highlight w:val="none"/>
              </w:rPr>
            </w:pPr>
            <w:r>
              <w:rPr>
                <w:rFonts w:hint="eastAsia" w:hAnsi="宋体"/>
                <w:color w:val="auto"/>
                <w:sz w:val="21"/>
                <w:szCs w:val="21"/>
                <w:highlight w:val="none"/>
                <w:shd w:val="clear" w:color="auto" w:fill="ffffff"/>
              </w:rPr>
              <w:t xml:space="preserve">其他未列明行业</w:t>
            </w:r>
            <w:r/>
          </w:p>
        </w:tc>
      </w:tr>
    </w:tbl>
    <w:p>
      <w:pPr>
        <w:ind w:firstLine="440"/>
        <w:spacing w:line="360" w:lineRule="auto"/>
        <w:rPr>
          <w:rFonts w:ascii="宋体" w:hAnsi="宋体" w:cs="宋体"/>
          <w:color w:val="auto"/>
          <w:sz w:val="22"/>
          <w:highlight w:val="none"/>
        </w:rPr>
      </w:pPr>
      <w:r>
        <w:rPr>
          <w:rFonts w:ascii="宋体" w:hAnsi="宋体" w:cs="宋体"/>
          <w:color w:val="auto"/>
          <w:sz w:val="22"/>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本项目为江苏省苏北人民医院</w:t>
      </w:r>
      <w:r>
        <w:rPr>
          <w:rFonts w:hint="eastAsia" w:ascii="宋体" w:hAnsi="宋体" w:cs="宋体"/>
          <w:color w:val="auto"/>
          <w:szCs w:val="21"/>
          <w:highlight w:val="none"/>
          <w:lang w:eastAsia="zh-CN"/>
        </w:rPr>
        <w:t xml:space="preserve">2026-2027年度</w:t>
      </w:r>
      <w:r>
        <w:rPr>
          <w:rFonts w:hint="eastAsia" w:ascii="宋体" w:hAnsi="宋体" w:cs="宋体"/>
          <w:color w:val="auto"/>
          <w:szCs w:val="21"/>
          <w:highlight w:val="none"/>
        </w:rPr>
        <w:t xml:space="preserve">医疗责任险采购项目，具体要求如下：</w:t>
      </w:r>
      <w:r/>
    </w:p>
    <w:p>
      <w:pPr>
        <w:pStyle w:val="1096"/>
        <w:ind w:firstLine="422"/>
        <w:jc w:val="both"/>
        <w:spacing w:before="0" w:beforeAutospacing="0" w:after="0" w:afterAutospacing="0" w:line="360" w:lineRule="auto"/>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一、医疗责任保险参保对象</w:t>
      </w:r>
      <w:r/>
    </w:p>
    <w:p>
      <w:pPr>
        <w:pStyle w:val="1096"/>
        <w:ind w:firstLine="420"/>
        <w:jc w:val="both"/>
        <w:spacing w:before="0" w:beforeAutospacing="0" w:after="0" w:afterAutospacing="0" w:line="360" w:lineRule="auto"/>
        <w:rPr>
          <w:rFonts w:ascii="宋体" w:hAnsi="宋体" w:cs="宋体"/>
          <w:bCs/>
          <w:color w:val="auto"/>
          <w:sz w:val="21"/>
          <w:szCs w:val="21"/>
          <w:highlight w:val="none"/>
        </w:rPr>
      </w:pPr>
      <w:r/>
      <w:bookmarkStart w:id="57" w:name="_Toc136872008"/>
      <w:r>
        <w:rPr>
          <w:rFonts w:hint="eastAsia" w:ascii="宋体" w:hAnsi="宋体" w:cs="宋体"/>
          <w:bCs/>
          <w:color w:val="auto"/>
          <w:sz w:val="21"/>
          <w:szCs w:val="21"/>
          <w:highlight w:val="none"/>
        </w:rPr>
        <w:t xml:space="preserve">江苏省苏北人民医院（扬州市南通西路98号、扬州市蜀岗一瘦西湖风景名胜区鸿福路11号、扬州市经济技术开发区定浦路6号）。</w:t>
      </w:r>
      <w:r/>
    </w:p>
    <w:p>
      <w:pPr>
        <w:pStyle w:val="1096"/>
        <w:ind w:firstLine="422"/>
        <w:jc w:val="both"/>
        <w:spacing w:before="0" w:beforeAutospacing="0" w:after="0" w:afterAutospacing="0" w:line="360" w:lineRule="auto"/>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二、预算金额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1.预算金额：300万元；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本项目设置最高限价：</w:t>
      </w:r>
      <w:r>
        <w:rPr>
          <w:rFonts w:hint="eastAsia" w:ascii="宋体" w:hAnsi="宋体" w:cs="宋体"/>
          <w:color w:val="auto"/>
          <w:szCs w:val="21"/>
          <w:highlight w:val="none"/>
        </w:rPr>
        <w:t xml:space="preserve">300万元，报价超过最高限价按无效响应文件处理；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3.报价要求：本项目按固定价格300万元报价，报价不作为评审因素。</w:t>
      </w:r>
      <w:r/>
    </w:p>
    <w:p>
      <w:pPr>
        <w:pStyle w:val="1096"/>
        <w:ind w:firstLine="422"/>
        <w:jc w:val="both"/>
        <w:spacing w:before="0" w:beforeAutospacing="0" w:after="0" w:afterAutospacing="0" w:line="360" w:lineRule="auto"/>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三、保险赔偿责任</w:t>
      </w:r>
      <w:r/>
    </w:p>
    <w:p>
      <w:pPr>
        <w:pStyle w:val="1096"/>
        <w:ind w:firstLine="420"/>
        <w:jc w:val="both"/>
        <w:spacing w:before="0" w:beforeAutospacing="0" w:after="0" w:afterAutospacing="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在医责险保险合同列明的保险期间或追溯期及承保区域范围内，在保险合同载明的投保医疗机构的医务人员在诊疗活动中，因执业过失造成患者人身损害，由患者或其近亲属在规定期限内首次向承保机构提出索赔申请的，依法由承保机构承担民事赔偿责任。</w:t>
      </w:r>
      <w:r/>
    </w:p>
    <w:p>
      <w:pPr>
        <w:pStyle w:val="1096"/>
        <w:ind w:firstLine="422"/>
        <w:jc w:val="both"/>
        <w:spacing w:before="0" w:beforeAutospacing="0" w:after="0" w:afterAutospacing="0" w:line="360" w:lineRule="auto"/>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四、保险期限</w:t>
      </w:r>
      <w:r/>
    </w:p>
    <w:p>
      <w:pPr>
        <w:pStyle w:val="1096"/>
        <w:ind w:firstLine="420"/>
        <w:jc w:val="both"/>
        <w:spacing w:before="0" w:beforeAutospacing="0" w:after="0" w:afterAutospacing="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保险起止日期：2026年10月18日至2027年10月17日</w:t>
      </w:r>
      <w:r/>
    </w:p>
    <w:p>
      <w:pPr>
        <w:pStyle w:val="1096"/>
        <w:ind w:firstLine="420"/>
        <w:jc w:val="both"/>
        <w:spacing w:before="0" w:beforeAutospacing="0" w:after="0" w:afterAutospacing="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追溯期：5年。（追溯期是指从保险期间开始之时起向前追溯的约定的期间。追溯期的具体起止时间以保险单载明的时间为准）</w:t>
      </w:r>
      <w:r/>
    </w:p>
    <w:p>
      <w:pPr>
        <w:ind w:firstLine="420"/>
        <w:spacing w:line="360" w:lineRule="auto"/>
        <w:rPr>
          <w:rFonts w:ascii="宋体" w:hAnsi="宋体" w:cs="宋体"/>
          <w:bCs/>
          <w:color w:val="auto"/>
          <w:szCs w:val="21"/>
          <w:highlight w:val="none"/>
        </w:rPr>
      </w:pPr>
      <w:r>
        <w:rPr>
          <w:rFonts w:hint="eastAsia" w:ascii="宋体" w:hAnsi="宋体" w:cs="宋体"/>
          <w:iCs/>
          <w:color w:val="auto"/>
          <w:szCs w:val="21"/>
          <w:highlight w:val="none"/>
        </w:rPr>
        <w:t xml:space="preserve">理赔期限：在保险单列明的保险期间或追溯期及承保区域范围内，处理完结的纠纷（以医疗纠纷结案时间为准，依据医患双方自行协商达成的和解协议、医疗纠纷人民调解委员会调解达成的调解协议、人民法院生效调解书或者判决书上的签订时间为结案时间），承保机构应当在保险合同约定的责任范围内及时履行赔偿保险金义务。</w:t>
      </w:r>
      <w:r/>
    </w:p>
    <w:p>
      <w:pPr>
        <w:pStyle w:val="1096"/>
        <w:ind w:firstLine="422"/>
        <w:jc w:val="both"/>
        <w:spacing w:before="0" w:beforeAutospacing="0" w:after="0" w:afterAutospacing="0" w:line="360" w:lineRule="auto"/>
        <w:rPr>
          <w:rFonts w:ascii="宋体" w:hAnsi="宋体" w:cs="宋体"/>
          <w:b/>
          <w:color w:val="auto"/>
          <w:sz w:val="21"/>
          <w:szCs w:val="21"/>
          <w:highlight w:val="none"/>
        </w:rPr>
        <w:outlineLvl w:val="1"/>
      </w:pPr>
      <w:r>
        <w:rPr>
          <w:rFonts w:hint="eastAsia" w:ascii="宋体" w:hAnsi="宋体" w:cs="宋体"/>
          <w:b/>
          <w:color w:val="auto"/>
          <w:sz w:val="21"/>
          <w:szCs w:val="21"/>
          <w:highlight w:val="none"/>
        </w:rPr>
        <w:t xml:space="preserve">五、</w:t>
      </w:r>
      <w:r>
        <w:rPr>
          <w:rFonts w:hint="eastAsia" w:ascii="宋体" w:hAnsi="宋体" w:cs="宋体"/>
          <w:b/>
          <w:bCs/>
          <w:color w:val="auto"/>
          <w:sz w:val="21"/>
          <w:szCs w:val="21"/>
          <w:highlight w:val="none"/>
        </w:rPr>
        <w:t xml:space="preserve">服务要求</w:t>
      </w:r>
      <w:bookmarkEnd w:id="57"/>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color w:val="auto"/>
          <w:szCs w:val="21"/>
          <w:highlight w:val="none"/>
        </w:rPr>
        <w:t xml:space="preserve">按照《医疗责任保险条款》，投标人提供的赔偿要求需满足以下条件：</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47"/>
        <w:gridCol w:w="5749"/>
      </w:tblGrid>
      <w:tr>
        <w:trPr>
          <w:jc w:val="center"/>
          <w:trHeight w:val="535"/>
        </w:trPr>
        <w:tc>
          <w:tcPr>
            <w:tcW w:w="2547"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险种</w:t>
            </w:r>
            <w:r/>
          </w:p>
        </w:tc>
        <w:tc>
          <w:tcPr>
            <w:tcW w:w="5749" w:type="dxa"/>
            <w:vAlign w:val="center"/>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赔偿限额</w:t>
            </w:r>
            <w:r/>
          </w:p>
        </w:tc>
      </w:tr>
      <w:tr>
        <w:trPr>
          <w:jc w:val="center"/>
          <w:trHeight w:val="1137"/>
        </w:trPr>
        <w:tc>
          <w:tcPr>
            <w:tcW w:w="2547" w:type="dxa"/>
            <w:vAlign w:val="center"/>
            <w:vMerge w:val="restart"/>
            <w:textDirection w:val="lrTb"/>
            <w:noWrap/>
          </w:tcPr>
          <w:p>
            <w:pPr>
              <w:pStyle w:val="1096"/>
              <w:jc w:val="center"/>
              <w:spacing w:before="0" w:beforeAutospacing="0" w:after="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医疗责任险</w:t>
            </w:r>
            <w:r/>
          </w:p>
        </w:tc>
        <w:tc>
          <w:tcPr>
            <w:tcW w:w="5749" w:type="dxa"/>
            <w:vAlign w:val="center"/>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年度累计赔偿限额：≥300万元</w:t>
            </w:r>
            <w:r/>
          </w:p>
          <w:p>
            <w:pPr>
              <w:spacing w:line="360" w:lineRule="auto"/>
              <w:rPr>
                <w:rFonts w:ascii="宋体" w:hAnsi="宋体" w:cs="宋体"/>
                <w:color w:val="auto"/>
                <w:highlight w:val="none"/>
              </w:rPr>
            </w:pPr>
            <w:r>
              <w:rPr>
                <w:rFonts w:hint="eastAsia" w:ascii="宋体" w:hAnsi="宋体" w:cs="宋体"/>
                <w:color w:val="auto"/>
                <w:highlight w:val="none"/>
              </w:rPr>
              <w:t xml:space="preserve">每次每人案件赔偿限额：≥20万元</w:t>
            </w:r>
            <w:r/>
          </w:p>
          <w:p>
            <w:pPr>
              <w:spacing w:line="360" w:lineRule="auto"/>
              <w:rPr>
                <w:rFonts w:ascii="宋体" w:hAnsi="宋体" w:cs="宋体"/>
                <w:color w:val="auto"/>
                <w:highlight w:val="none"/>
              </w:rPr>
            </w:pPr>
            <w:r>
              <w:rPr>
                <w:rFonts w:hint="eastAsia" w:ascii="宋体" w:hAnsi="宋体" w:cs="宋体"/>
                <w:color w:val="auto"/>
                <w:highlight w:val="none"/>
              </w:rPr>
              <w:t xml:space="preserve">精神抚慰金每人限额：≥6万元</w:t>
            </w:r>
            <w:r/>
          </w:p>
          <w:p>
            <w:pPr>
              <w:spacing w:line="360" w:lineRule="auto"/>
              <w:rPr>
                <w:rFonts w:ascii="宋体" w:hAnsi="宋体" w:cs="宋体"/>
                <w:color w:val="auto"/>
                <w:szCs w:val="21"/>
                <w:highlight w:val="none"/>
              </w:rPr>
            </w:pPr>
            <w:r>
              <w:rPr>
                <w:rFonts w:hint="eastAsia" w:ascii="宋体" w:hAnsi="宋体" w:cs="宋体"/>
                <w:color w:val="auto"/>
                <w:highlight w:val="none"/>
              </w:rPr>
              <w:t xml:space="preserve">法律费用年度累计责任赔偿限额：≥6万元</w:t>
            </w:r>
            <w:r/>
          </w:p>
        </w:tc>
      </w:tr>
      <w:tr>
        <w:trPr>
          <w:jc w:val="center"/>
          <w:trHeight w:val="314"/>
        </w:trPr>
        <w:tc>
          <w:tcPr>
            <w:tcW w:w="2547" w:type="dxa"/>
            <w:vAlign w:val="center"/>
            <w:vMerge w:val="continue"/>
            <w:textDirection w:val="lrTb"/>
            <w:noWrap/>
          </w:tcPr>
          <w:p>
            <w:pPr>
              <w:pStyle w:val="1096"/>
              <w:ind w:firstLine="420"/>
              <w:jc w:val="center"/>
              <w:spacing w:before="0" w:beforeAutospacing="0" w:after="0" w:afterAutospacing="0"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5749" w:type="dxa"/>
            <w:vAlign w:val="center"/>
            <w:textDirection w:val="lrTb"/>
            <w:noWrap/>
          </w:tcPr>
          <w:p>
            <w:pPr>
              <w:pStyle w:val="1096"/>
              <w:jc w:val="both"/>
              <w:spacing w:before="0" w:beforeAutospacing="0" w:after="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医疗机构场所责任保险限额：</w:t>
            </w:r>
            <w:r/>
          </w:p>
          <w:p>
            <w:pPr>
              <w:pStyle w:val="1096"/>
              <w:jc w:val="both"/>
              <w:spacing w:before="0" w:beforeAutospacing="0" w:after="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每次每人人身伤亡赔偿限额≥10万元</w:t>
            </w:r>
            <w:r/>
          </w:p>
          <w:p>
            <w:pPr>
              <w:pStyle w:val="1096"/>
              <w:jc w:val="both"/>
              <w:spacing w:before="0" w:beforeAutospacing="0" w:after="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医务人员遭受伤害责任≥6万元</w:t>
            </w:r>
            <w:r/>
          </w:p>
        </w:tc>
      </w:tr>
      <w:tr>
        <w:trPr>
          <w:jc w:val="center"/>
          <w:trHeight w:val="1407"/>
        </w:trPr>
        <w:tc>
          <w:tcPr>
            <w:tcW w:w="2547" w:type="dxa"/>
            <w:vAlign w:val="center"/>
            <w:textDirection w:val="lrTb"/>
            <w:noWrap/>
          </w:tcPr>
          <w:p>
            <w:pPr>
              <w:pStyle w:val="1096"/>
              <w:jc w:val="center"/>
              <w:spacing w:before="0" w:beforeAutospacing="0" w:after="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附加险</w:t>
            </w:r>
            <w:r/>
          </w:p>
        </w:tc>
        <w:tc>
          <w:tcPr>
            <w:tcW w:w="5749" w:type="dxa"/>
            <w:vAlign w:val="center"/>
            <w:textDirection w:val="lrTb"/>
            <w:noWrap/>
          </w:tcPr>
          <w:p>
            <w:pPr>
              <w:pStyle w:val="1096"/>
              <w:jc w:val="both"/>
              <w:spacing w:before="0" w:beforeAutospacing="0" w:after="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1.医疗责任保险附加进修医务人员责任保险条款</w:t>
            </w:r>
            <w:r/>
          </w:p>
          <w:p>
            <w:pPr>
              <w:pStyle w:val="1096"/>
              <w:jc w:val="both"/>
              <w:spacing w:before="0" w:beforeAutospacing="0" w:after="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2.医疗责任保险附加外请医务人员医疗责任保险条款</w:t>
            </w:r>
            <w:r/>
          </w:p>
          <w:p>
            <w:pPr>
              <w:pStyle w:val="1096"/>
              <w:jc w:val="both"/>
              <w:spacing w:before="0" w:beforeAutospacing="0" w:after="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3.医疗责任保险附加医疗机构场所责任保险条款</w:t>
            </w:r>
            <w:r/>
          </w:p>
          <w:p>
            <w:pPr>
              <w:pStyle w:val="1096"/>
              <w:jc w:val="both"/>
              <w:spacing w:before="0" w:beforeAutospacing="0" w:after="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4.附加医务人员遭受伤害责任保险条款</w:t>
            </w:r>
            <w:r/>
          </w:p>
        </w:tc>
      </w:tr>
      <w:tr>
        <w:trPr>
          <w:jc w:val="center"/>
          <w:trHeight w:val="1165"/>
        </w:trPr>
        <w:tc>
          <w:tcPr>
            <w:tcW w:w="2547" w:type="dxa"/>
            <w:vAlign w:val="center"/>
            <w:textDirection w:val="lrTb"/>
            <w:noWrap/>
          </w:tcPr>
          <w:p>
            <w:pPr>
              <w:pStyle w:val="1096"/>
              <w:jc w:val="center"/>
              <w:spacing w:before="0" w:beforeAutospacing="0" w:after="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免赔</w:t>
            </w:r>
            <w:r/>
          </w:p>
        </w:tc>
        <w:tc>
          <w:tcPr>
            <w:tcW w:w="5749" w:type="dxa"/>
            <w:vAlign w:val="center"/>
            <w:textDirection w:val="lrTb"/>
            <w:noWrap/>
          </w:tcPr>
          <w:p>
            <w:pPr>
              <w:pStyle w:val="1096"/>
              <w:jc w:val="both"/>
              <w:spacing w:before="0" w:beforeAutospacing="0" w:after="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每次事故绝对免赔额：2000元</w:t>
            </w:r>
            <w:r/>
          </w:p>
          <w:p>
            <w:pPr>
              <w:pStyle w:val="1096"/>
              <w:jc w:val="both"/>
              <w:spacing w:before="0" w:beforeAutospacing="0" w:after="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每次事故免赔率：10%</w:t>
            </w:r>
            <w:r/>
          </w:p>
          <w:p>
            <w:pPr>
              <w:pStyle w:val="1096"/>
              <w:jc w:val="both"/>
              <w:spacing w:before="0" w:beforeAutospacing="0" w:after="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二者取高</w:t>
            </w:r>
            <w:r/>
          </w:p>
        </w:tc>
      </w:tr>
    </w:tbl>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2.投标人应具备稳定的财务状况和良好的声誉，以确保合同期内的保险责任履行。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3.投标人应具备丰富的承保经验，并提供相应证明材料。</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4.投标人应具备丰富的理赔经验，并提供相应证明材料。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5.投标人应配备足够的服务人员，</w:t>
      </w:r>
      <w:r>
        <w:rPr>
          <w:rFonts w:hint="eastAsia" w:ascii="宋体" w:hAnsi="宋体" w:cs="宋体"/>
          <w:b/>
          <w:bCs/>
          <w:color w:val="auto"/>
          <w:highlight w:val="none"/>
        </w:rPr>
        <w:t xml:space="preserve">其中须包含至少2名调解人员</w:t>
      </w:r>
      <w:r>
        <w:rPr>
          <w:rFonts w:hint="eastAsia" w:ascii="宋体" w:hAnsi="宋体" w:cs="宋体"/>
          <w:color w:val="auto"/>
          <w:highlight w:val="none"/>
        </w:rPr>
        <w:t xml:space="preserve">，以确保及时高效地处理索赔申请及其他服务需求。项目服务团队应满足项目服务需要，投标人针对本项目应设立专职的</w:t>
      </w:r>
      <w:r>
        <w:rPr>
          <w:rFonts w:hint="eastAsia" w:ascii="宋体" w:hAnsi="宋体" w:cs="宋体"/>
          <w:color w:val="auto"/>
          <w:highlight w:val="none"/>
        </w:rPr>
        <w:t xml:space="preserve">服务团队，包括项目负责人、项目服务人员和理赔人员等。投标人应明确一名有医学背景、医疗纠纷处置经验的人员驻点服务，及时参加医疗纠纷处理，负责受理、调查、评估、协商、调解、诉讼以及理赔等工作；派驻人员须具备基本的法学、医学知识同时还需掌握一定的沟通、临场应变与协调能力。同时积极配合采购人的调解工作，依法妥善处理日常医疗纠纷，维护医患双方合法权益。如派驻人员未能达到采购人的服务要求，投标人必须立即进行整改，并在必要时更换为满足条件的人员。如果连续两个月，派驻人员服务仍未达到采购人的要求，采购人保留终止合同的权利。</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6.投标人承保服务：需指定专人上门服务、随叫随到、接受各方咨询、解释相关保险内容、做好定期回访工作等。</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7.投标人理赔服务：</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（1）投标人需设立24小时保险服务专线电话，电脑录音系统和查勘调度系统保证畅通无误，及时准确。全年365天随时接受被保险人的出险报案，并立即通知保险公司本项目客户服务人员。</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（2）投标人应提供详细的索赔处理流程，包括索赔申请的要求和处理时间等。保险公司上门收取理赔资料时，若认为有关证明或材料不完整，立刻以书面或口头方式通知被保险人需补充提供的有关证明或材料。</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（3）小额案件、常发案件、重大案件及纠纷案件理赔快速响应机制及内容。</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8.投标人应提供医疗责任保险培训宣传服务，包括但不限于以下方面：</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（1）培训医院员工关于医疗责任保险基本知识和操作流程；</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（2）提供宣传资料和培训材料，以帮助员工理解医疗责任保险、医疗意外保险的重要性和保障范围；</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（3）定期组织培训活动，提供保险知识更新和案例分享等；</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（4）协助医院开展医疗风险防范、医患沟通等培训活动，提高医务人员的保险意识和风险意识。</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9.投标人应提供风险管理、防范、控制措施，包括但不限于：提供风险管理建议、专业的风险评估和管理服务，并针对各类风险隐患制定科学、合理、可落地的专项防控对策、处置方案及长效管控措施，持续协助医院压降医疗风险、化解医患矛盾、提升整体安全运营管理水平。</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10．投标人须提供本项目配套增值服务，服务内容包含但不限于医疗责任险相关的风险培训、纠纷调解、风控咨询、理赔辅助等相关工作，所有增值服务费用均包含在投标总价中，采购人不另行支付任何费用。</w:t>
      </w:r>
      <w:r/>
    </w:p>
    <w:p>
      <w:pPr>
        <w:ind w:firstLine="422"/>
        <w:spacing w:line="360" w:lineRule="auto"/>
        <w:widowControl/>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六、相关说明</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1.医疗责任险</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在保险期间或追溯期及承保区域范围内，在合同中载明的被保险人的医务人员（以下简称投保医务人员）在诊疗活动中，因执业过失造成患者人身损害，在本保险期间内，由患者或其近亲属首次向被保险人提出索赔申请，依法应由被保险人承担民事赔偿责任时，保险人按照本保险合同的约定负责赔偿。</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2.进修医务人员责任险</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2.1进修医务人员包含投保医疗机构的实习生、研究生、进修生、规培生及试用期人员，其医疗纠纷经济赔偿责任由参加投保的带教老师承担，承保机构承担相应的赔偿责任。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3.外请医务人员责任险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外请医务人员：指因医疗诊治工作需要，被保险人批准从其他医疗机构邀请进行会诊的具有相应资格的医务人员。其从事与资格相符的诊疗活动中，产生医疗纠纷经济赔偿责任时，由承保机构承担相应的赔偿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4.医疗机构场所责任险</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4.1在保险单明细表列明的保险期间或追溯期及承保区域范围内，由于下列原因导致第三者（含患者）的人身伤害或财产损失，承保机构承担相应的赔偿责任：</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4.1.1医疗机构的公共设施存在缺陷；</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4.1.2被保险人或其雇员对医疗机构内的公共设施管理不善或操作、维护不当；</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4.1.3被保险人或其雇员的过失导致的火灾或爆炸；</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4.1.4被保险人或其雇员的过失导致被保险人提供的食品引发食物中毒或其他食源性疾患。</w:t>
      </w:r>
      <w:bookmarkStart w:id="58" w:name="_Toc29044"/>
      <w:r/>
      <w:bookmarkStart w:id="59" w:name="_Toc55204181"/>
      <w:r/>
      <w:r/>
    </w:p>
    <w:p>
      <w:pPr>
        <w:jc w:val="left"/>
        <w:rPr>
          <w:rFonts w:ascii="宋体" w:hAnsi="宋体" w:cs="宋体"/>
          <w:b/>
          <w:bCs/>
          <w:color w:val="auto"/>
          <w:highlight w:val="none"/>
        </w:rPr>
      </w:pPr>
      <w:r>
        <w:rPr>
          <w:rFonts w:hint="eastAsia" w:ascii="宋体" w:hAnsi="宋体" w:cs="宋体"/>
          <w:b/>
          <w:bCs/>
          <w:color w:val="auto"/>
          <w:highlight w:val="none"/>
        </w:rPr>
        <w:br w:type="page" w:clear="all"/>
      </w:r>
      <w:bookmarkEnd w:id="58"/>
      <w:r/>
      <w:bookmarkEnd w:id="59"/>
      <w:r/>
      <w:r/>
    </w:p>
    <w:p>
      <w:pPr>
        <w:pStyle w:val="840"/>
        <w:ind w:firstLine="400"/>
        <w:rPr>
          <w:rFonts w:ascii="宋体" w:hAnsi="宋体" w:eastAsia="宋体" w:cs="宋体"/>
          <w:b/>
          <w:bCs/>
          <w:color w:val="auto"/>
          <w:highlight w:val="none"/>
        </w:rPr>
      </w:pPr>
      <w:r>
        <w:rPr>
          <w:rFonts w:hint="eastAsia" w:ascii="宋体" w:hAnsi="宋体" w:eastAsia="宋体" w:cs="宋体"/>
          <w:b/>
          <w:bCs/>
          <w:color w:val="auto"/>
          <w:highlight w:val="none"/>
        </w:rPr>
        <w:t xml:space="preserve">第五章 评标方法及评标标准</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采用综合评分法的，评标结果按评审后得分由高到低顺序排列。得分相同的，按投标报价由低到高顺序排列。得分且投标报价相同的并列。</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采用最低评标价法评标时，除了算术修正和落实政府采购政策需进行的价格扣除外，不能对投标人的投标价格进行任何调整。</w:t>
      </w:r>
      <w:r/>
    </w:p>
    <w:tbl>
      <w:tblPr>
        <w:tblStyle w:val="87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250"/>
        <w:gridCol w:w="5406"/>
      </w:tblGrid>
      <w:tr>
        <w:trPr>
          <w:jc w:val="cente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选取中标候选人的原则</w:t>
            </w:r>
            <w:r/>
          </w:p>
        </w:tc>
      </w:tr>
      <w:tr>
        <w:trPr>
          <w:jc w:val="cente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left"/>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满足招标文件全部实质性要求，且按照评审因素的量化指标评审得分最高的投标人为中标候选人。</w:t>
            </w:r>
            <w:r/>
          </w:p>
        </w:tc>
      </w:tr>
    </w:tbl>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政府采购政策功能落实</w:t>
      </w:r>
      <w:r/>
    </w:p>
    <w:p>
      <w:pPr>
        <w:ind w:firstLine="42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本项目不专门面向中小企业采购。</w:t>
      </w:r>
      <w:r/>
    </w:p>
    <w:tbl>
      <w:tblPr>
        <w:tblStyle w:val="877"/>
        <w:tblW w:w="5171"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48"/>
        <w:gridCol w:w="6065"/>
      </w:tblGrid>
      <w:tr>
        <w:trPr>
          <w:jc w:val="cente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pct"/>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0" w:type="pct"/>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专门面向中小企业</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pct"/>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0" w:type="pct"/>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否</w:t>
            </w:r>
            <w:r/>
          </w:p>
        </w:tc>
      </w:tr>
    </w:tbl>
    <w:p>
      <w:pPr>
        <w:pStyle w:val="1076"/>
        <w:jc w:val="both"/>
        <w:rPr>
          <w:rFonts w:cs="宋体"/>
          <w:color w:val="auto"/>
          <w:highlight w:val="none"/>
        </w:rPr>
      </w:pPr>
      <w:r>
        <w:rPr>
          <w:rFonts w:hint="eastAsia" w:cs="宋体"/>
          <w:color w:val="auto"/>
          <w:highlight w:val="none"/>
        </w:rPr>
        <w:t xml:space="preserve">1、小微型企业价格扣除</w:t>
      </w:r>
      <w:r/>
    </w:p>
    <w:p>
      <w:pPr>
        <w:pStyle w:val="1076"/>
        <w:jc w:val="both"/>
        <w:rPr>
          <w:rFonts w:cs="宋体"/>
          <w:color w:val="auto"/>
          <w:highlight w:val="none"/>
        </w:rPr>
      </w:pPr>
      <w:r>
        <w:rPr>
          <w:rFonts w:hint="eastAsia" w:cs="宋体"/>
          <w:color w:val="auto"/>
          <w:highlight w:val="none"/>
        </w:rPr>
        <w:t xml:space="preserve">（1）本项目对小型和微型企业产品给予20%的扣除价格，用扣除后的价格参与评审。</w:t>
      </w:r>
      <w:r/>
    </w:p>
    <w:p>
      <w:pPr>
        <w:pStyle w:val="1076"/>
        <w:jc w:val="both"/>
        <w:rPr>
          <w:rFonts w:cs="宋体"/>
          <w:color w:val="auto"/>
          <w:highlight w:val="none"/>
        </w:rPr>
      </w:pPr>
      <w:r>
        <w:rPr>
          <w:rFonts w:hint="eastAsia" w:cs="宋体"/>
          <w:color w:val="auto"/>
          <w:highlight w:val="none"/>
        </w:rPr>
        <w:t xml:space="preserve">（2）供应商需按照采购文件的要求提供相应的《中小企业声明函》。</w:t>
      </w:r>
      <w:r/>
    </w:p>
    <w:p>
      <w:pPr>
        <w:pStyle w:val="1076"/>
        <w:jc w:val="both"/>
        <w:rPr>
          <w:rFonts w:cs="宋体"/>
          <w:color w:val="auto"/>
          <w:highlight w:val="none"/>
        </w:rPr>
      </w:pPr>
      <w:r>
        <w:rPr>
          <w:rFonts w:hint="eastAsia" w:cs="宋体"/>
          <w:color w:val="auto"/>
          <w:highlight w:val="none"/>
        </w:rPr>
        <w:t xml:space="preserve">2、残疾人福利单位价格扣除</w:t>
      </w:r>
      <w:r/>
    </w:p>
    <w:p>
      <w:pPr>
        <w:pStyle w:val="1076"/>
        <w:jc w:val="both"/>
        <w:rPr>
          <w:rFonts w:cs="宋体"/>
          <w:color w:val="auto"/>
          <w:highlight w:val="none"/>
        </w:rPr>
      </w:pPr>
      <w:r>
        <w:rPr>
          <w:rFonts w:hint="eastAsia" w:cs="宋体"/>
          <w:color w:val="auto"/>
          <w:highlight w:val="none"/>
        </w:rPr>
        <w:t xml:space="preserve">（1）本项目对残疾人福利性单位视同小型、微型企业，给予20%的价格扣除，用扣除后的价格参与评审。</w:t>
      </w:r>
      <w:r/>
    </w:p>
    <w:p>
      <w:pPr>
        <w:pStyle w:val="1076"/>
        <w:jc w:val="both"/>
        <w:rPr>
          <w:rFonts w:cs="宋体"/>
          <w:color w:val="auto"/>
          <w:highlight w:val="none"/>
        </w:rPr>
      </w:pPr>
      <w:r>
        <w:rPr>
          <w:rFonts w:hint="eastAsia" w:cs="宋体"/>
          <w:color w:val="auto"/>
          <w:highlight w:val="none"/>
        </w:rPr>
        <w:t xml:space="preserve">（2）残疾人福利单位需按照采购文件的要求提供《残疾人福利性单位声明函》。</w:t>
      </w:r>
      <w:r/>
    </w:p>
    <w:p>
      <w:pPr>
        <w:pStyle w:val="1076"/>
        <w:jc w:val="both"/>
        <w:rPr>
          <w:rFonts w:cs="宋体"/>
          <w:color w:val="auto"/>
          <w:highlight w:val="none"/>
        </w:rPr>
      </w:pPr>
      <w:r>
        <w:rPr>
          <w:rFonts w:hint="eastAsia" w:cs="宋体"/>
          <w:color w:val="auto"/>
          <w:highlight w:val="none"/>
        </w:rPr>
        <w:t xml:space="preserve">（3）残疾人福利单位标准请参照《关于促进残疾人就业政府采购政策的通知》（财库2017〕141号）。</w:t>
      </w:r>
      <w:r/>
    </w:p>
    <w:p>
      <w:pPr>
        <w:pStyle w:val="1076"/>
        <w:jc w:val="both"/>
        <w:rPr>
          <w:rFonts w:cs="宋体"/>
          <w:color w:val="auto"/>
          <w:highlight w:val="none"/>
        </w:rPr>
      </w:pPr>
      <w:r>
        <w:rPr>
          <w:rFonts w:hint="eastAsia" w:cs="宋体"/>
          <w:color w:val="auto"/>
          <w:highlight w:val="none"/>
        </w:rPr>
        <w:t xml:space="preserve">3、监狱和戒毒企业价格扣除</w:t>
      </w:r>
      <w:r/>
    </w:p>
    <w:p>
      <w:pPr>
        <w:pStyle w:val="1076"/>
        <w:jc w:val="both"/>
        <w:rPr>
          <w:rFonts w:cs="宋体"/>
          <w:color w:val="auto"/>
          <w:highlight w:val="none"/>
        </w:rPr>
      </w:pPr>
      <w:r>
        <w:rPr>
          <w:rFonts w:hint="eastAsia" w:cs="宋体"/>
          <w:color w:val="auto"/>
          <w:highlight w:val="none"/>
        </w:rPr>
        <w:t xml:space="preserve">（1）本项目对监狱和戒毒企业（简称监狱企业）视同小型、微型企业，给予20%的价格扣除，用扣除后的价格参与评审。</w:t>
      </w:r>
      <w:r/>
    </w:p>
    <w:p>
      <w:pPr>
        <w:pStyle w:val="1076"/>
        <w:jc w:val="both"/>
        <w:rPr>
          <w:rFonts w:cs="宋体"/>
          <w:color w:val="auto"/>
          <w:highlight w:val="none"/>
        </w:rPr>
      </w:pPr>
      <w:r>
        <w:rPr>
          <w:rFonts w:hint="eastAsia"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76"/>
        <w:jc w:val="both"/>
        <w:rPr>
          <w:rFonts w:cs="宋体"/>
          <w:color w:val="auto"/>
          <w:highlight w:val="none"/>
        </w:rPr>
      </w:pPr>
      <w:r>
        <w:rPr>
          <w:rFonts w:hint="eastAsia" w:cs="宋体"/>
          <w:color w:val="auto"/>
          <w:highlight w:val="none"/>
        </w:rPr>
        <w:t xml:space="preserve">（3）监狱企业标准请参照《关于政府采购支持监狱企业发展有关问题的通知》（财库[2014]68号）。</w:t>
      </w:r>
      <w:r/>
    </w:p>
    <w:p>
      <w:pPr>
        <w:pStyle w:val="1076"/>
        <w:jc w:val="both"/>
        <w:rPr>
          <w:rFonts w:cs="宋体"/>
          <w:color w:val="auto"/>
          <w:highlight w:val="none"/>
        </w:rPr>
      </w:pPr>
      <w:r>
        <w:rPr>
          <w:rFonts w:hint="eastAsia" w:cs="宋体"/>
          <w:color w:val="auto"/>
          <w:highlight w:val="none"/>
        </w:rPr>
        <w:t xml:space="preserve">4、残疾人福利单位、监狱企业属于小型、微型企业的，不重复享受政策。</w:t>
      </w:r>
      <w:r/>
    </w:p>
    <w:p>
      <w:pPr>
        <w:pStyle w:val="1076"/>
        <w:jc w:val="both"/>
        <w:rPr>
          <w:rFonts w:cs="宋体"/>
          <w:color w:val="auto"/>
          <w:highlight w:val="none"/>
        </w:rPr>
      </w:pPr>
      <w:r>
        <w:rPr>
          <w:rFonts w:hint="eastAsia" w:cs="宋体"/>
          <w:color w:val="auto"/>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76"/>
        <w:jc w:val="both"/>
        <w:rPr>
          <w:rFonts w:cs="宋体"/>
          <w:color w:val="auto"/>
          <w:highlight w:val="none"/>
        </w:rPr>
      </w:pPr>
      <w:r>
        <w:rPr>
          <w:rFonts w:hint="eastAsia" w:cs="宋体"/>
          <w:color w:val="auto"/>
          <w:highlight w:val="none"/>
        </w:rPr>
        <w:t xml:space="preserve">6、联合体各方均为小型、微型企业（残疾人福利单位、监狱企业）的，联合体享受20%价格扣除，用扣除后的价格参与评审。</w:t>
      </w:r>
      <w:r/>
    </w:p>
    <w:p>
      <w:pPr>
        <w:pStyle w:val="1076"/>
        <w:jc w:val="both"/>
        <w:rPr>
          <w:rFonts w:cs="宋体"/>
          <w:color w:val="auto"/>
          <w:highlight w:val="none"/>
        </w:rPr>
      </w:pPr>
      <w:r>
        <w:rPr>
          <w:rFonts w:hint="eastAsia" w:cs="宋体"/>
          <w:color w:val="auto"/>
          <w:highlight w:val="none"/>
        </w:rPr>
        <w:t xml:space="preserve">7、大中型企业向小型、微型企业分包的，分包意向协议约定小型、微型企业合同份额占到合同总金额30%以上的，给予6%的价格扣除，用扣除后的价格参与评审。</w:t>
      </w:r>
      <w:r/>
    </w:p>
    <w:p>
      <w:pPr>
        <w:pStyle w:val="1076"/>
        <w:ind w:firstLine="422"/>
        <w:jc w:val="both"/>
        <w:rPr>
          <w:rFonts w:cs="宋体"/>
          <w:color w:val="auto"/>
          <w:highlight w:val="none"/>
        </w:rPr>
      </w:pPr>
      <w:r>
        <w:rPr>
          <w:rFonts w:hint="eastAsia" w:cs="宋体"/>
          <w:b/>
          <w:color w:val="auto"/>
          <w:highlight w:val="none"/>
        </w:rPr>
        <w:t xml:space="preserve">三、评标标准</w:t>
      </w:r>
      <w:r/>
    </w:p>
    <w:tbl>
      <w:tblPr>
        <w:tblStyle w:val="850"/>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1263"/>
        <w:gridCol w:w="8235"/>
      </w:tblGrid>
      <w:tr>
        <w:trPr>
          <w:jc w:val="center"/>
          <w:trHeight w:val="418"/>
        </w:trPr>
        <w:tc>
          <w:tcPr>
            <w:shd w:val="clear" w:color="auto" w:fill="ffffff"/>
            <w:tcMar>
              <w:left w:w="108" w:type="dxa"/>
              <w:right w:w="108" w:type="dxa"/>
            </w:tcMar>
            <w:tcW w:w="1263" w:type="dxa"/>
            <w:vAlign w:val="center"/>
            <w:textDirection w:val="lrTb"/>
            <w:noWrap/>
          </w:tcPr>
          <w:p>
            <w:pPr>
              <w:jc w:val="center"/>
              <w:rPr>
                <w:rFonts w:ascii="宋体" w:hAnsi="宋体" w:cs="宋体"/>
                <w:color w:val="auto"/>
                <w:highlight w:val="none"/>
              </w:rPr>
            </w:pPr>
            <w:r>
              <w:rPr>
                <w:rFonts w:hint="eastAsia" w:ascii="宋体" w:hAnsi="宋体" w:cs="宋体"/>
                <w:b/>
                <w:bCs/>
                <w:color w:val="auto"/>
                <w:highlight w:val="none"/>
              </w:rPr>
              <w:t xml:space="preserve">项目</w:t>
            </w:r>
            <w:r/>
          </w:p>
        </w:tc>
        <w:tc>
          <w:tcPr>
            <w:shd w:val="clear" w:color="auto" w:fill="ffffff"/>
            <w:tcMar>
              <w:left w:w="108" w:type="dxa"/>
              <w:right w:w="108" w:type="dxa"/>
            </w:tcMar>
            <w:tcW w:w="8235" w:type="dxa"/>
            <w:vAlign w:val="center"/>
            <w:textDirection w:val="lrTb"/>
            <w:noWrap/>
          </w:tcPr>
          <w:p>
            <w:pPr>
              <w:jc w:val="center"/>
              <w:rPr>
                <w:rFonts w:ascii="宋体" w:hAnsi="宋体" w:cs="宋体"/>
                <w:color w:val="auto"/>
                <w:highlight w:val="none"/>
              </w:rPr>
            </w:pPr>
            <w:r>
              <w:rPr>
                <w:rFonts w:hint="eastAsia" w:ascii="宋体" w:hAnsi="宋体" w:cs="宋体"/>
                <w:b/>
                <w:bCs/>
                <w:color w:val="auto"/>
                <w:highlight w:val="none"/>
              </w:rPr>
              <w:t xml:space="preserve">评 分 标 准</w:t>
            </w:r>
            <w:r/>
          </w:p>
        </w:tc>
      </w:tr>
      <w:tr>
        <w:trPr>
          <w:jc w:val="center"/>
        </w:trPr>
        <w:tc>
          <w:tcPr>
            <w:shd w:val="clear" w:color="auto" w:fill="ffffff"/>
            <w:tcMar>
              <w:left w:w="108" w:type="dxa"/>
              <w:right w:w="108" w:type="dxa"/>
            </w:tcMar>
            <w:tcW w:w="1263"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赔偿限额</w:t>
            </w:r>
            <w:r>
              <w:rPr>
                <w:rFonts w:hint="eastAsia" w:ascii="宋体" w:hAnsi="宋体" w:cs="宋体"/>
                <w:b/>
                <w:color w:val="auto"/>
                <w:szCs w:val="21"/>
                <w:highlight w:val="none"/>
              </w:rPr>
              <w:t xml:space="preserve">（35分）</w:t>
            </w:r>
            <w:r/>
          </w:p>
        </w:tc>
        <w:tc>
          <w:tcPr>
            <w:shd w:val="clear" w:color="auto" w:fill="ffffff"/>
            <w:tcMar>
              <w:left w:w="108" w:type="dxa"/>
              <w:right w:w="108" w:type="dxa"/>
            </w:tcMar>
            <w:tcW w:w="8235" w:type="dxa"/>
            <w:vAlign w:val="center"/>
            <w:textDirection w:val="lrTb"/>
            <w:noWrap/>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赔偿限额（35分）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（1）年度累计赔偿限额基准为300万元，每增加</w:t>
            </w:r>
            <w:r>
              <w:rPr>
                <w:rFonts w:hint="eastAsia" w:ascii="宋体" w:hAnsi="宋体" w:cs="宋体"/>
                <w:color w:val="auto"/>
                <w:szCs w:val="21"/>
                <w:highlight w:val="none"/>
              </w:rPr>
              <w:t xml:space="preserve">2万元</w:t>
            </w:r>
            <w:r>
              <w:rPr>
                <w:rFonts w:hint="eastAsia" w:ascii="宋体" w:hAnsi="宋体" w:cs="宋体"/>
                <w:color w:val="auto"/>
                <w:szCs w:val="21"/>
                <w:highlight w:val="none"/>
              </w:rPr>
              <w:t xml:space="preserve">赔偿限额得1分，最高得10分（包含进修医务人员责任、外请医务人员医疗责任）。</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（2）每人每次医疗责任赔偿限额基准为20万元，每增加2万元赔偿限额得1分，最高得10分（包含进修医务人员责任、外请医务人员医疗责任）。</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（3）精神损害每人责任限额基准为6万元，每增加3万元得1分，最高得2分。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（4）法律费用年度累计事故责任限额基准为6万元，每增加3万元得1分，最高得3分。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（5）医疗机构场所责任保险限额每次每人人身伤亡赔偿限额基准为10万元，每增加5万得1分，最高得6分。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（6）医务人员遭受伤害责任基准为6万元，每增加1万元得1分，最高得4分。</w:t>
            </w:r>
            <w:r/>
          </w:p>
        </w:tc>
      </w:tr>
      <w:tr>
        <w:trPr>
          <w:jc w:val="center"/>
        </w:trPr>
        <w:tc>
          <w:tcPr>
            <w:shd w:val="clear" w:color="auto" w:fill="ffffff"/>
            <w:tcMar>
              <w:left w:w="108" w:type="dxa"/>
              <w:right w:w="108" w:type="dxa"/>
            </w:tcMar>
            <w:tcW w:w="1263"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综合实力（26分）</w:t>
            </w:r>
            <w:r/>
          </w:p>
        </w:tc>
        <w:tc>
          <w:tcPr>
            <w:shd w:val="clear" w:color="auto" w:fill="ffffff"/>
            <w:tcBorders>
              <w:bottom w:val="single" w:color="auto" w:sz="4" w:space="0"/>
            </w:tcBorders>
            <w:tcMar>
              <w:left w:w="108" w:type="dxa"/>
              <w:right w:w="108" w:type="dxa"/>
            </w:tcMar>
            <w:tcW w:w="8235"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1.核心偿付能力充足率（16分）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投标人2025年第二季度起连续4个季度的核心偿付能力</w:t>
            </w:r>
            <w:r>
              <w:rPr>
                <w:rFonts w:hint="eastAsia" w:ascii="宋体" w:hAnsi="宋体" w:cs="宋体"/>
                <w:color w:val="auto"/>
                <w:szCs w:val="21"/>
                <w:highlight w:val="none"/>
              </w:rPr>
              <w:t xml:space="preserve">，按季度打分，每个季度满分4分，本项最高16分。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（1）每季度核心偿付能力充足率</w:t>
            </w:r>
            <w:r>
              <w:rPr>
                <w:rFonts w:hint="eastAsia" w:ascii="宋体" w:hAnsi="宋体" w:cs="宋体"/>
                <w:color w:val="auto"/>
                <w:szCs w:val="21"/>
                <w:highlight w:val="none"/>
              </w:rPr>
              <w:t xml:space="preserve">210%</w:t>
            </w:r>
            <w:r>
              <w:rPr>
                <w:rFonts w:hint="eastAsia" w:ascii="宋体" w:hAnsi="宋体" w:cs="宋体"/>
                <w:color w:val="auto"/>
                <w:szCs w:val="21"/>
                <w:highlight w:val="none"/>
              </w:rPr>
              <w:t xml:space="preserve">以上的得4分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（2）每季度核心偿付能力充足率</w:t>
            </w:r>
            <w:r>
              <w:rPr>
                <w:rFonts w:hint="eastAsia" w:ascii="宋体" w:hAnsi="宋体" w:cs="宋体"/>
                <w:color w:val="auto"/>
                <w:szCs w:val="21"/>
                <w:highlight w:val="none"/>
              </w:rPr>
              <w:t xml:space="preserve">200%-210%</w:t>
            </w:r>
            <w:r>
              <w:rPr>
                <w:rFonts w:hint="eastAsia" w:ascii="宋体" w:hAnsi="宋体" w:cs="宋体"/>
                <w:color w:val="auto"/>
                <w:szCs w:val="21"/>
                <w:highlight w:val="none"/>
              </w:rPr>
              <w:t xml:space="preserve">（含）的得3分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（3）每季度核心偿付能力充足率</w:t>
            </w:r>
            <w:r>
              <w:rPr>
                <w:rFonts w:hint="eastAsia" w:ascii="宋体" w:hAnsi="宋体" w:cs="宋体"/>
                <w:color w:val="auto"/>
                <w:szCs w:val="21"/>
                <w:highlight w:val="none"/>
              </w:rPr>
              <w:t xml:space="preserve">190%-200%</w:t>
            </w:r>
            <w:r>
              <w:rPr>
                <w:rFonts w:hint="eastAsia" w:ascii="宋体" w:hAnsi="宋体" w:cs="宋体"/>
                <w:color w:val="auto"/>
                <w:szCs w:val="21"/>
                <w:highlight w:val="none"/>
              </w:rPr>
              <w:t xml:space="preserve">（含）的得2分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（4）每季度核心偿付能力充足率</w:t>
            </w:r>
            <w:r>
              <w:rPr>
                <w:rFonts w:hint="eastAsia" w:ascii="宋体" w:hAnsi="宋体" w:cs="宋体"/>
                <w:color w:val="auto"/>
                <w:szCs w:val="21"/>
                <w:highlight w:val="none"/>
              </w:rPr>
              <w:t xml:space="preserve">180%-190%</w:t>
            </w:r>
            <w:r>
              <w:rPr>
                <w:rFonts w:hint="eastAsia" w:ascii="宋体" w:hAnsi="宋体" w:cs="宋体"/>
                <w:color w:val="auto"/>
                <w:szCs w:val="21"/>
                <w:highlight w:val="none"/>
              </w:rPr>
              <w:t xml:space="preserve">（含）的得1分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（5）每季度核心偿付能力充足率低于</w:t>
            </w:r>
            <w:r>
              <w:rPr>
                <w:rFonts w:hint="eastAsia" w:ascii="宋体" w:hAnsi="宋体" w:cs="宋体"/>
                <w:color w:val="auto"/>
                <w:szCs w:val="21"/>
                <w:highlight w:val="none"/>
              </w:rPr>
              <w:t xml:space="preserve">180%</w:t>
            </w:r>
            <w:r>
              <w:rPr>
                <w:rFonts w:hint="eastAsia" w:ascii="宋体" w:hAnsi="宋体" w:cs="宋体"/>
                <w:color w:val="auto"/>
                <w:szCs w:val="21"/>
                <w:highlight w:val="none"/>
              </w:rPr>
              <w:t xml:space="preserve">（含）的不得分</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b/>
                <w:color w:val="auto"/>
                <w:szCs w:val="21"/>
                <w:highlight w:val="none"/>
              </w:rPr>
              <w:t xml:space="preserve">投标人须提供银保监会发布的或行业协会网站下载的偿付能力情况截图或其他可以体现核心偿付能力充足率的证明材料，原件扫描上传。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2.承保经验（5分）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投标人自2023年1月1日以来（以合同/保险单签订时间为准）有类似医疗责任保险项目案例的，每有一个得1分，本项最高得5分。</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注：同一项目与同一单位连续签约的，仅计一次分，保险单/协议能清晰反映投保人名称以及签订日期，提供不全不得分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提供保单原件扫描上传。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3.理赔经验（5分）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投标人自2023年1月1日以来（以合同/保险单签订时间为准）有类似医疗责任保险理赔案例的，每有一个得1分，本项最高得5分。同一项目与同一单位理赔只记一次分。</w:t>
            </w:r>
            <w:r>
              <w:rPr>
                <w:rFonts w:hint="eastAsia" w:ascii="宋体" w:hAnsi="宋体" w:cs="宋体"/>
                <w:b/>
                <w:bCs/>
                <w:color w:val="auto"/>
                <w:szCs w:val="21"/>
                <w:highlight w:val="none"/>
              </w:rPr>
              <w:t xml:space="preserve">注：投标人须同时提供①赔款计算书、②赔款支付凭证或截图（收款人为医疗机构），两者缺一不可，缺一项不得分，扫描上传。</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1263" w:type="dxa"/>
            <w:vAlign w:val="center"/>
            <w:textDirection w:val="lrTb"/>
            <w:noWrap/>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服务团队</w:t>
            </w:r>
            <w:r/>
          </w:p>
          <w:p>
            <w:pPr>
              <w:jc w:val="center"/>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（17分）</w:t>
            </w:r>
            <w:r/>
          </w:p>
        </w:tc>
        <w:tc>
          <w:tcPr>
            <w:shd w:val="clear" w:color="auto" w:fill="ffffff"/>
            <w:tcBorders>
              <w:top w:val="single" w:color="auto" w:sz="4" w:space="0"/>
              <w:left w:val="single" w:color="auto" w:sz="4" w:space="0"/>
              <w:right w:val="single" w:color="auto" w:sz="4" w:space="0"/>
            </w:tcBorders>
            <w:tcMar>
              <w:left w:w="108" w:type="dxa"/>
              <w:right w:w="108" w:type="dxa"/>
            </w:tcMar>
            <w:tcW w:w="8235" w:type="dxa"/>
            <w:textDirection w:val="lrTb"/>
            <w:noWrap/>
          </w:tcPr>
          <w:p>
            <w:pPr>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1.项目负责人（5分）</w:t>
            </w:r>
            <w:r>
              <w:rPr>
                <w:rFonts w:hint="eastAsia" w:ascii="宋体" w:hAnsi="宋体" w:cs="宋体"/>
                <w:color w:val="auto"/>
                <w:szCs w:val="21"/>
                <w:highlight w:val="none"/>
              </w:rPr>
              <w:t xml:space="preserve">：具备高级经济师职称，得5分；中级经济师职称，得3分。</w:t>
            </w:r>
            <w:r>
              <w:rPr>
                <w:rFonts w:hint="eastAsia" w:ascii="宋体" w:hAnsi="宋体" w:cs="宋体"/>
                <w:b/>
                <w:bCs/>
                <w:color w:val="auto"/>
                <w:szCs w:val="21"/>
                <w:highlight w:val="none"/>
                <w:lang w:val="en-US" w:eastAsia="zh-CN"/>
              </w:rPr>
              <w:t xml:space="preserve">注：</w:t>
            </w:r>
            <w:r>
              <w:rPr>
                <w:rFonts w:hint="eastAsia" w:ascii="宋体" w:hAnsi="宋体" w:cs="宋体"/>
                <w:b/>
                <w:bCs/>
                <w:color w:val="auto"/>
                <w:szCs w:val="21"/>
                <w:highlight w:val="none"/>
              </w:rPr>
              <w:t xml:space="preserve">提供证书以及投标人前一年内任意一个月为其缴纳社保的缴费记录，原件扫描上传</w:t>
            </w:r>
            <w:r>
              <w:rPr>
                <w:rFonts w:hint="eastAsia" w:ascii="宋体" w:hAnsi="宋体" w:cs="宋体"/>
                <w:b/>
                <w:bCs/>
                <w:color w:val="auto"/>
                <w:szCs w:val="21"/>
                <w:highlight w:val="none"/>
                <w:lang w:eastAsia="zh-CN"/>
              </w:rPr>
              <w:t xml:space="preserve">。</w:t>
            </w:r>
            <w:r/>
          </w:p>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2.项目团队（不含项目负责人）（12分）</w:t>
            </w:r>
            <w:r>
              <w:rPr>
                <w:rFonts w:hint="eastAsia" w:ascii="宋体" w:hAnsi="宋体" w:cs="宋体"/>
                <w:color w:val="auto"/>
                <w:szCs w:val="21"/>
                <w:highlight w:val="none"/>
              </w:rPr>
              <w:t xml:space="preserve">：项目服务团队应满足项目服务需要，配备各专业服务人员，项目服务人员和理赔人员，服务团队中具有全日制医学类或法学类专科及以上学历的，每有1人得1.5分，最高得12分。</w:t>
            </w:r>
            <w:r/>
          </w:p>
          <w:p>
            <w:pPr>
              <w:jc w:val="left"/>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lang w:val="en-US" w:eastAsia="zh-CN"/>
              </w:rPr>
              <w:t xml:space="preserve">注：</w:t>
            </w:r>
            <w:r>
              <w:rPr>
                <w:rFonts w:hint="eastAsia" w:ascii="宋体" w:hAnsi="宋体" w:cs="宋体"/>
                <w:b/>
                <w:bCs/>
                <w:color w:val="auto"/>
                <w:szCs w:val="21"/>
                <w:highlight w:val="none"/>
              </w:rPr>
              <w:t xml:space="preserve">投标人需提供人员名单、毕业证书、学信网截图以及投标人或下属分支机构前一年内任意一个月为其缴纳社保的缴费记录，原件扫描上传</w:t>
            </w:r>
            <w:r>
              <w:rPr>
                <w:rFonts w:hint="eastAsia" w:ascii="宋体" w:hAnsi="宋体" w:cs="宋体"/>
                <w:b/>
                <w:bCs/>
                <w:color w:val="auto"/>
                <w:szCs w:val="21"/>
                <w:highlight w:val="none"/>
                <w:lang w:eastAsia="zh-CN"/>
              </w:rPr>
              <w:t xml:space="preserve">。</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1263" w:type="dxa"/>
            <w:vAlign w:val="center"/>
            <w:textDirection w:val="lrTb"/>
            <w:noWrap/>
          </w:tcPr>
          <w:p>
            <w:pPr>
              <w:jc w:val="center"/>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服务方案（22分）</w:t>
            </w:r>
            <w:r/>
          </w:p>
        </w:tc>
        <w:tc>
          <w:tcPr>
            <w:shd w:val="clear" w:color="auto" w:fill="ffffff"/>
            <w:tcBorders>
              <w:left w:val="single" w:color="auto" w:sz="4" w:space="0"/>
              <w:bottom w:val="single" w:color="auto" w:sz="4" w:space="0"/>
              <w:right w:val="single" w:color="auto" w:sz="4" w:space="0"/>
            </w:tcBorders>
            <w:tcMar>
              <w:left w:w="108" w:type="dxa"/>
              <w:right w:w="108" w:type="dxa"/>
            </w:tcMar>
            <w:tcW w:w="8235" w:type="dxa"/>
            <w:textDirection w:val="lrTb"/>
            <w:noWrap/>
          </w:tcPr>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1.承保服务（</w:t>
            </w:r>
            <w:r>
              <w:rPr>
                <w:rFonts w:ascii="宋体" w:hAnsi="宋体" w:cs="宋体"/>
                <w:b/>
                <w:bCs/>
                <w:color w:val="auto"/>
                <w:szCs w:val="21"/>
                <w:highlight w:val="none"/>
              </w:rPr>
              <w:t xml:space="preserve">4</w:t>
            </w:r>
            <w:r>
              <w:rPr>
                <w:rFonts w:hint="eastAsia" w:ascii="宋体" w:hAnsi="宋体" w:cs="宋体"/>
                <w:b/>
                <w:bCs/>
                <w:color w:val="auto"/>
                <w:szCs w:val="21"/>
                <w:highlight w:val="none"/>
              </w:rPr>
              <w:t xml:space="preserve">分）</w:t>
            </w:r>
            <w:r>
              <w:rPr>
                <w:rFonts w:hint="eastAsia" w:ascii="宋体" w:hAnsi="宋体" w:cs="宋体"/>
                <w:color w:val="auto"/>
                <w:szCs w:val="21"/>
                <w:highlight w:val="none"/>
              </w:rPr>
              <w:t xml:space="preserve">：</w:t>
            </w:r>
            <w:bookmarkStart w:id="60" w:name="OLE_LINK3"/>
            <w:r/>
            <w:bookmarkStart w:id="61" w:name="OLE_LINK4"/>
            <w:r>
              <w:rPr>
                <w:rFonts w:hint="eastAsia" w:ascii="宋体" w:hAnsi="宋体" w:cs="宋体"/>
                <w:color w:val="auto"/>
                <w:szCs w:val="21"/>
                <w:highlight w:val="none"/>
              </w:rPr>
              <w:t xml:space="preserve">根据投标人提供的承保服务内容进行打分</w:t>
            </w:r>
            <w:bookmarkEnd w:id="60"/>
            <w:r/>
            <w:bookmarkEnd w:id="61"/>
            <w:r>
              <w:rPr>
                <w:rFonts w:hint="eastAsia" w:ascii="宋体" w:hAnsi="宋体" w:cs="宋体"/>
                <w:color w:val="auto"/>
                <w:szCs w:val="21"/>
                <w:highlight w:val="none"/>
              </w:rPr>
              <w:t xml:space="preserve">。承保服务方案清晰，优于招标文件要求的得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分；承保服务方案符合招标文件要求的得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分；未提供不得分。</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2.理赔服务</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6分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：包括但不限于建立24小时报案热线、理赔服务流程、快速响应机制及内容进行打分。理赔服务方案优于招标文件要求的得</w:t>
            </w:r>
            <w:r>
              <w:rPr>
                <w:rFonts w:ascii="宋体" w:hAnsi="宋体" w:cs="宋体"/>
                <w:color w:val="auto"/>
                <w:szCs w:val="21"/>
                <w:highlight w:val="none"/>
              </w:rPr>
              <w:t xml:space="preserve">6</w:t>
            </w:r>
            <w:r>
              <w:rPr>
                <w:rFonts w:hint="eastAsia" w:ascii="宋体" w:hAnsi="宋体" w:cs="宋体"/>
                <w:color w:val="auto"/>
                <w:szCs w:val="21"/>
                <w:highlight w:val="none"/>
              </w:rPr>
              <w:t xml:space="preserve">分；理赔服务方案符合招标文件要求得</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分；理赔服务方案</w:t>
            </w:r>
            <w:r>
              <w:rPr>
                <w:rFonts w:hint="eastAsia" w:ascii="宋体" w:hAnsi="宋体" w:cs="宋体"/>
                <w:color w:val="auto"/>
                <w:szCs w:val="21"/>
                <w:highlight w:val="none"/>
              </w:rPr>
              <w:t xml:space="preserve">部分</w:t>
            </w:r>
            <w:r>
              <w:rPr>
                <w:rFonts w:hint="eastAsia" w:ascii="宋体" w:hAnsi="宋体" w:cs="宋体"/>
                <w:color w:val="auto"/>
                <w:szCs w:val="21"/>
                <w:highlight w:val="none"/>
              </w:rPr>
              <w:t xml:space="preserve">满足招标文件要求的得</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分，未提供不得分。</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3.投标人应</w:t>
            </w:r>
            <w:bookmarkStart w:id="62" w:name="OLE_LINK6"/>
            <w:r/>
            <w:bookmarkStart w:id="63" w:name="OLE_LINK5"/>
            <w:r>
              <w:rPr>
                <w:rFonts w:hint="eastAsia" w:ascii="宋体" w:hAnsi="宋体" w:cs="宋体"/>
                <w:b/>
                <w:bCs/>
                <w:color w:val="auto"/>
                <w:szCs w:val="21"/>
                <w:highlight w:val="none"/>
              </w:rPr>
              <w:t xml:space="preserve">提供医疗责任保险培训宣传服务</w:t>
            </w:r>
            <w:bookmarkEnd w:id="62"/>
            <w:r/>
            <w:bookmarkEnd w:id="63"/>
            <w:r>
              <w:rPr>
                <w:rFonts w:hint="eastAsia" w:ascii="宋体" w:hAnsi="宋体" w:cs="宋体"/>
                <w:b/>
                <w:bCs/>
                <w:color w:val="auto"/>
                <w:szCs w:val="21"/>
                <w:highlight w:val="none"/>
              </w:rPr>
              <w:t xml:space="preserve">（5分）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根据投标人提供的医疗责任保险培训宣传服务内容进行打分。方案内容优于招标文件要求的，得5分；方案符合招标文件要求，得3</w:t>
            </w:r>
            <w:bookmarkStart w:id="64" w:name="OLE_LINK1"/>
            <w:r/>
            <w:bookmarkStart w:id="65" w:name="OLE_LINK2"/>
            <w:r>
              <w:rPr>
                <w:rFonts w:hint="eastAsia" w:ascii="宋体" w:hAnsi="宋体" w:cs="宋体"/>
                <w:color w:val="auto"/>
                <w:szCs w:val="21"/>
                <w:highlight w:val="none"/>
              </w:rPr>
              <w:t xml:space="preserve">分；未提供不得分</w:t>
            </w:r>
            <w:bookmarkEnd w:id="64"/>
            <w:r/>
            <w:bookmarkEnd w:id="65"/>
            <w:r>
              <w:rPr>
                <w:rFonts w:hint="eastAsia" w:ascii="宋体" w:hAnsi="宋体" w:cs="宋体"/>
                <w:color w:val="auto"/>
                <w:szCs w:val="21"/>
                <w:highlight w:val="none"/>
              </w:rPr>
              <w:t xml:space="preserve">。</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4.医疗责任险风险管理、防范、控制措施（4分）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投标人对本项目风险识别差异、风险防范与控制措施的合理性和可行性进行评分：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风险识别全面准确，防范措施合理可行，得4分；风险识别一般，防范措施合理性、可行性一般，得2分；未提供不得分。</w:t>
            </w:r>
            <w:r/>
          </w:p>
          <w:p>
            <w:pPr>
              <w:jc w:val="left"/>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5.履约配套增值服务方案（3分）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投标人提供与本医疗责任险项目履约直接相关的配套增值服务，每提供1项切实可行、针对性强的配套服务得1分，本项最高得3分。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注：1.增值服务须围绕医疗责任保险承保、理赔、纠纷调解、院内风险防控等本项目业务开展，与本项目无关的服务不得分；2.本项涉及全部工作成本均包含在投标总报价中，采购人不另行支付任何费用。</w:t>
            </w:r>
            <w:r/>
          </w:p>
        </w:tc>
      </w:tr>
    </w:tbl>
    <w:p>
      <w:pPr>
        <w:spacing w:line="360" w:lineRule="auto"/>
        <w:tabs>
          <w:tab w:val="left" w:pos="2393" w:leader="none"/>
        </w:tabs>
        <w:rPr>
          <w:rFonts w:ascii="宋体" w:hAnsi="宋体" w:cs="宋体"/>
          <w:color w:val="auto"/>
          <w:highlight w:val="none"/>
        </w:rPr>
        <w:sectPr>
          <w:headerReference w:type="default" r:id="rId10"/>
          <w:footerReference w:type="default" r:id="rId14"/>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color w:val="auto"/>
          <w:highlight w:val="none"/>
        </w:rPr>
      </w:r>
      <w:r/>
    </w:p>
    <w:p>
      <w:pPr>
        <w:ind w:firstLine="1054"/>
        <w:keepLines/>
        <w:keepNext/>
        <w:rPr>
          <w:rFonts w:ascii="宋体" w:hAnsi="宋体" w:cs="宋体"/>
          <w:b/>
          <w:color w:val="auto"/>
          <w:highlight w:val="none"/>
        </w:rPr>
      </w:pPr>
      <w:r/>
      <w:bookmarkStart w:id="66" w:name="_Toc28849"/>
      <w:r/>
      <w:r/>
    </w:p>
    <w:p>
      <w:pPr>
        <w:ind w:firstLine="1054"/>
        <w:keepLines/>
        <w:keepNext/>
        <w:rPr>
          <w:rFonts w:ascii="宋体" w:hAnsi="宋体" w:cs="宋体"/>
          <w:b/>
          <w:color w:val="auto"/>
          <w:highlight w:val="none"/>
        </w:rPr>
      </w:pPr>
      <w:r>
        <w:rPr>
          <w:rFonts w:ascii="宋体" w:hAnsi="宋体" w:cs="宋体"/>
          <w:b/>
          <w:color w:val="auto"/>
          <w:highlight w:val="none"/>
        </w:rPr>
      </w:r>
      <w:r/>
    </w:p>
    <w:p>
      <w:pPr>
        <w:ind w:firstLine="1054"/>
        <w:keepLines/>
        <w:keepNext/>
        <w:rPr>
          <w:rFonts w:ascii="宋体" w:hAnsi="宋体" w:cs="宋体"/>
          <w:b/>
          <w:color w:val="auto"/>
          <w:highlight w:val="none"/>
        </w:rPr>
      </w:pPr>
      <w:r>
        <w:rPr>
          <w:rFonts w:ascii="宋体" w:hAnsi="宋体" w:cs="宋体"/>
          <w:b/>
          <w:color w:val="auto"/>
          <w:highlight w:val="none"/>
        </w:rPr>
      </w:r>
      <w:r/>
    </w:p>
    <w:p>
      <w:pPr>
        <w:pStyle w:val="840"/>
        <w:ind w:firstLine="2008"/>
        <w:jc w:val="both"/>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40"/>
        <w:ind w:firstLine="2008"/>
        <w:jc w:val="both"/>
        <w:rPr>
          <w:rFonts w:ascii="宋体" w:hAnsi="宋体" w:eastAsia="宋体" w:cs="宋体"/>
          <w:b/>
          <w:color w:val="auto"/>
          <w:highlight w:val="none"/>
        </w:rPr>
      </w:pPr>
      <w:r>
        <w:rPr>
          <w:rFonts w:hint="eastAsia" w:ascii="宋体" w:hAnsi="宋体" w:eastAsia="宋体" w:cs="宋体"/>
          <w:b/>
          <w:color w:val="auto"/>
          <w:highlight w:val="none"/>
        </w:rPr>
        <w:t xml:space="preserve">第六章 投标文件格式</w:t>
      </w:r>
      <w:bookmarkEnd w:id="66"/>
      <w:r/>
      <w:r/>
    </w:p>
    <w:p>
      <w:pPr>
        <w:ind w:firstLine="442"/>
        <w:jc w:val="center"/>
        <w:rPr>
          <w:rFonts w:ascii="宋体" w:hAnsi="宋体" w:cs="宋体"/>
          <w:b/>
          <w:bCs/>
          <w:color w:val="auto"/>
          <w:sz w:val="44"/>
          <w:highlight w:val="none"/>
        </w:rPr>
      </w:pPr>
      <w:r>
        <w:rPr>
          <w:rFonts w:ascii="宋体" w:hAnsi="宋体" w:cs="宋体"/>
          <w:b/>
          <w:bCs/>
          <w:color w:val="auto"/>
          <w:sz w:val="44"/>
          <w:highlight w:val="none"/>
        </w:rPr>
      </w:r>
      <w:r/>
    </w:p>
    <w:p>
      <w:pPr>
        <w:ind w:firstLine="442"/>
        <w:jc w:val="center"/>
        <w:rPr>
          <w:rFonts w:ascii="宋体" w:hAnsi="宋体" w:cs="宋体"/>
          <w:b/>
          <w:bCs/>
          <w:color w:val="auto"/>
          <w:sz w:val="44"/>
          <w:highlight w:val="none"/>
        </w:rPr>
      </w:pPr>
      <w:r>
        <w:rPr>
          <w:rFonts w:ascii="宋体" w:hAnsi="宋体" w:cs="宋体"/>
          <w:b/>
          <w:bCs/>
          <w:color w:val="auto"/>
          <w:sz w:val="44"/>
          <w:highlight w:val="none"/>
        </w:rPr>
      </w:r>
      <w:r/>
    </w:p>
    <w:p>
      <w:pPr>
        <w:ind w:firstLine="442"/>
        <w:jc w:val="center"/>
        <w:rPr>
          <w:rFonts w:ascii="宋体" w:hAnsi="宋体" w:cs="宋体"/>
          <w:b/>
          <w:bCs/>
          <w:color w:val="auto"/>
          <w:sz w:val="44"/>
          <w:highlight w:val="none"/>
        </w:rPr>
      </w:pPr>
      <w:r>
        <w:rPr>
          <w:rFonts w:ascii="宋体" w:hAnsi="宋体" w:cs="宋体"/>
          <w:b/>
          <w:bCs/>
          <w:color w:val="auto"/>
          <w:sz w:val="44"/>
          <w:highlight w:val="none"/>
        </w:rPr>
      </w:r>
      <w:r/>
    </w:p>
    <w:p>
      <w:pPr>
        <w:ind w:firstLine="442"/>
        <w:jc w:val="center"/>
        <w:rPr>
          <w:rFonts w:ascii="宋体" w:hAnsi="宋体" w:cs="宋体"/>
          <w:b/>
          <w:bCs/>
          <w:color w:val="auto"/>
          <w:sz w:val="44"/>
          <w:highlight w:val="none"/>
        </w:rPr>
      </w:pPr>
      <w:r>
        <w:rPr>
          <w:rFonts w:ascii="宋体" w:hAnsi="宋体" w:cs="宋体"/>
          <w:b/>
          <w:bCs/>
          <w:color w:val="auto"/>
          <w:sz w:val="44"/>
          <w:highlight w:val="none"/>
        </w:rPr>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t xml:space="preserve">投标文件</w:t>
      </w:r>
      <w:r/>
    </w:p>
    <w:p>
      <w:pPr>
        <w:jc w:val="left"/>
        <w:spacing w:line="360" w:lineRule="auto"/>
        <w:rPr>
          <w:rFonts w:hint="eastAsia"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r>
      <w:r/>
    </w:p>
    <w:p>
      <w:pPr>
        <w:jc w:val="left"/>
        <w:spacing w:line="360" w:lineRule="auto"/>
        <w:rPr>
          <w:rFonts w:hint="eastAsia"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r>
      <w:r/>
    </w:p>
    <w:p>
      <w:pPr>
        <w:jc w:val="left"/>
        <w:spacing w:line="360" w:lineRule="auto"/>
        <w:rPr>
          <w:rFonts w:hint="eastAsia"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r>
      <w:r/>
    </w:p>
    <w:p>
      <w:pPr>
        <w:jc w:val="left"/>
        <w:spacing w:line="360" w:lineRule="auto"/>
        <w:rPr>
          <w:rFonts w:hint="eastAsia"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r>
      <w:r/>
    </w:p>
    <w:p>
      <w:pPr>
        <w:jc w:val="left"/>
        <w:spacing w:line="360" w:lineRule="auto"/>
        <w:rPr>
          <w:rFonts w:hint="eastAsia"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r>
      <w:r/>
    </w:p>
    <w:p>
      <w:pPr>
        <w:jc w:val="left"/>
        <w:spacing w:line="360" w:lineRule="auto"/>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项 目 名称：</w:t>
      </w:r>
      <w:r>
        <w:rPr>
          <w:rFonts w:hint="eastAsia" w:ascii="宋体" w:hAnsi="宋体" w:cs="宋体"/>
          <w:b/>
          <w:color w:val="auto"/>
          <w:sz w:val="36"/>
          <w:highlight w:val="none"/>
          <w:u w:val="single"/>
          <w:lang w:val="en-US" w:eastAsia="zh-CN"/>
        </w:rPr>
        <w:t xml:space="preserve">                         </w:t>
      </w:r>
      <w:r/>
    </w:p>
    <w:p>
      <w:pPr>
        <w:jc w:val="left"/>
        <w:spacing w:line="360" w:lineRule="auto"/>
        <w:rPr>
          <w:rFonts w:hint="default" w:ascii="宋体" w:hAnsi="宋体" w:eastAsia="宋体" w:cs="宋体"/>
          <w:b/>
          <w:bCs/>
          <w:color w:val="auto"/>
          <w:sz w:val="36"/>
          <w:szCs w:val="36"/>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lang w:val="en-US" w:eastAsia="zh-CN"/>
        </w:rPr>
        <w:t xml:space="preserve">                        </w:t>
      </w:r>
      <w:r/>
    </w:p>
    <w:p>
      <w:pPr>
        <w:jc w:val="left"/>
        <w:spacing w:line="360" w:lineRule="auto"/>
        <w:rPr>
          <w:rFonts w:ascii="宋体" w:hAnsi="宋体" w:cs="宋体"/>
          <w:b/>
          <w:bCs/>
          <w:color w:val="auto"/>
          <w:sz w:val="36"/>
          <w:szCs w:val="36"/>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投标人名称 ：</w:t>
      </w:r>
      <w:r>
        <w:rPr>
          <w:rFonts w:hint="eastAsia" w:ascii="宋体" w:hAnsi="宋体" w:cs="宋体"/>
          <w:b/>
          <w:color w:val="auto"/>
          <w:sz w:val="36"/>
          <w:highlight w:val="none"/>
          <w:u w:val="single"/>
        </w:rPr>
        <w:t xml:space="preserve">（加盖CA电子公章）</w:t>
      </w:r>
      <w:r/>
    </w:p>
    <w:p>
      <w:pPr>
        <w:jc w:val="left"/>
        <w:spacing w:line="360" w:lineRule="auto"/>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日期 ：</w:t>
      </w:r>
      <w:r>
        <w:rPr>
          <w:rFonts w:hint="eastAsia" w:ascii="宋体" w:hAnsi="宋体" w:cs="宋体"/>
          <w:b/>
          <w:color w:val="auto"/>
          <w:sz w:val="36"/>
          <w:highlight w:val="none"/>
          <w:u w:val="single"/>
          <w:lang w:val="en-US" w:eastAsia="zh-CN"/>
        </w:rPr>
        <w:t xml:space="preserve">                              </w:t>
      </w:r>
      <w:r/>
    </w:p>
    <w:p>
      <w:pPr>
        <w:spacing w:line="438"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spacing w:line="43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p>
    <w:p>
      <w:pPr>
        <w:jc w:val="center"/>
        <w:spacing w:line="43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投标文件的组成</w:t>
      </w:r>
      <w:r/>
    </w:p>
    <w:p>
      <w:pPr>
        <w:jc w:val="center"/>
        <w:spacing w:line="438" w:lineRule="atLeast"/>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r>
      <w:r/>
    </w:p>
    <w:p>
      <w:pPr>
        <w:ind w:left="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一、基本目录</w:t>
      </w:r>
      <w:r/>
    </w:p>
    <w:p>
      <w:pPr>
        <w:ind w:left="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1.开标一览表（格式见附件1）</w:t>
      </w:r>
      <w:r/>
    </w:p>
    <w:p>
      <w:pPr>
        <w:ind w:left="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2.投标分项报价表（格式见附件2）</w:t>
      </w:r>
      <w:r/>
    </w:p>
    <w:p>
      <w:pPr>
        <w:ind w:left="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3.技术要求响应及偏离表（格式见附件3）</w:t>
      </w:r>
      <w:r/>
    </w:p>
    <w:p>
      <w:pPr>
        <w:ind w:left="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4.商务要求响应及偏离表（格式见附件4）</w:t>
      </w:r>
      <w:r/>
    </w:p>
    <w:p>
      <w:pPr>
        <w:ind w:left="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5.法人授权书（格式见附件5）</w:t>
      </w:r>
      <w:r/>
    </w:p>
    <w:p>
      <w:pPr>
        <w:ind w:left="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6.投标函（格式见附件6）</w:t>
      </w:r>
      <w:r/>
    </w:p>
    <w:p>
      <w:pPr>
        <w:ind w:left="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7.主要标的信息（格式见附件7）</w:t>
      </w:r>
      <w:r/>
    </w:p>
    <w:p>
      <w:pPr>
        <w:ind w:left="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8.其他</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****（格式见附件**）</w:t>
      </w:r>
      <w:r/>
    </w:p>
    <w:p>
      <w:pPr>
        <w:ind w:left="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二、资格审查内容</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1.法人或者其他组织的营业执照等证明文件，自然人的身份证明</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2.上一年度的财务状况报告（成立不满一年无需提供）</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4.具备履行合同所必需的设备和专业技术能力的书面声明（格式见附件8）</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5.参加政府采购活动前 3 年内在经营活动中没有重大违法记录的书面声明（格式见附件9）</w:t>
      </w:r>
      <w:r/>
    </w:p>
    <w:p>
      <w:pPr>
        <w:ind w:left="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6.投标人信用承诺函（格式见附件10）</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7.企业报价折扣证明文件：</w:t>
      </w:r>
      <w:r/>
    </w:p>
    <w:p>
      <w:pPr>
        <w:ind w:firstLine="72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中小企业声明函（格式见附件11）。如果本项目专门面向中小企业采购，则必须提供。</w:t>
      </w:r>
      <w:r/>
    </w:p>
    <w:p>
      <w:pPr>
        <w:ind w:firstLine="72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残疾人福利性单位声明函（格式见附件12）。如果本项目专门面向中小企业采购，投标人为残疾人福利性单位并提供本单位制造的货物，或者提供其他残疾人福利性单位制造的货物，则必须提供。</w:t>
      </w:r>
      <w:r/>
    </w:p>
    <w:p>
      <w:pPr>
        <w:ind w:firstLine="72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监狱企业的证明文件。</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8.联合体协议（格式见附件13）。如果本项目接受联合体投标，投标人是联合体的，则必须提供。</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9.特定资格要求的证明文件。如果本项目对投标人做出特定资格要求的，则必须提供。</w:t>
      </w:r>
      <w:r/>
    </w:p>
    <w:p>
      <w:pPr>
        <w:ind w:left="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三、符合性审查内容</w:t>
      </w:r>
      <w:r/>
    </w:p>
    <w:p>
      <w:pPr>
        <w:ind w:firstLine="48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投标人必须对技术要求和商务要求中加斜体下划线的实质性要求逐条做出响应，并按照招标文件要求提供证明材料，否则做无效投标处理。（格式见附件14）</w:t>
      </w:r>
      <w:r/>
    </w:p>
    <w:p>
      <w:pPr>
        <w:ind w:firstLine="48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四、价格扣除证明文件</w:t>
      </w:r>
      <w:r/>
    </w:p>
    <w:p>
      <w:pPr>
        <w:ind w:firstLine="48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1.中小企业声明函（格式见附件11）</w:t>
      </w:r>
      <w:r/>
    </w:p>
    <w:p>
      <w:pPr>
        <w:ind w:firstLine="48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2.残疾人福利性单位声明函（格式见附件12）</w:t>
      </w:r>
      <w:r/>
    </w:p>
    <w:p>
      <w:pPr>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附件1 开标一览表</w:t>
      </w:r>
      <w:r/>
    </w:p>
    <w:p>
      <w:pPr>
        <w:ind w:firstLine="482"/>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投标人全称（加盖CA电子签章）：</w:t>
      </w:r>
      <w:r/>
    </w:p>
    <w:p>
      <w:pPr>
        <w:ind w:firstLine="482"/>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项目编号：</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采购包号：</w:t>
      </w:r>
      <w:r/>
    </w:p>
    <w:tbl>
      <w:tblPr>
        <w:tblStyle w:val="87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725"/>
        </w:trPr>
        <w:tc>
          <w:tcPr>
            <w:tcMar>
              <w:left w:w="108" w:type="dxa"/>
              <w:top w:w="0" w:type="dxa"/>
              <w:right w:w="108" w:type="dxa"/>
              <w:bottom w:w="0" w:type="dxa"/>
            </w:tcMar>
            <w:tcW w:w="5000" w:type="pct"/>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投标总报价</w:t>
            </w:r>
            <w:r/>
          </w:p>
        </w:tc>
      </w:tr>
      <w:tr>
        <w:trPr>
          <w:trHeight w:val="612"/>
        </w:trPr>
        <w:tc>
          <w:tcPr>
            <w:tcMar>
              <w:left w:w="108" w:type="dxa"/>
              <w:top w:w="0" w:type="dxa"/>
              <w:right w:w="108" w:type="dxa"/>
              <w:bottom w:w="0" w:type="dxa"/>
            </w:tcMar>
            <w:tcW w:w="5000" w:type="pct"/>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大写：</w:t>
            </w:r>
            <w:r>
              <w:rPr>
                <w:rFonts w:hint="eastAsia" w:ascii="宋体" w:hAnsi="宋体" w:cs="宋体"/>
                <w:color w:val="auto"/>
                <w:sz w:val="24"/>
                <w:highlight w:val="none"/>
                <w:lang w:val="en-US" w:eastAsia="zh-CN"/>
              </w:rPr>
              <w:t xml:space="preserve"> </w:t>
            </w:r>
            <w:r/>
          </w:p>
        </w:tc>
      </w:tr>
      <w:tr>
        <w:trPr>
          <w:trHeight w:val="612"/>
        </w:trPr>
        <w:tc>
          <w:tcPr>
            <w:tcMar>
              <w:left w:w="108" w:type="dxa"/>
              <w:top w:w="0" w:type="dxa"/>
              <w:right w:w="108" w:type="dxa"/>
              <w:bottom w:w="0" w:type="dxa"/>
            </w:tcMar>
            <w:tcW w:w="5000" w:type="pct"/>
            <w:vAlign w:val="center"/>
            <w:textDirection w:val="lrTb"/>
            <w:noWrap w:val="false"/>
          </w:tcPr>
          <w:p>
            <w:pPr>
              <w:jc w:val="center"/>
              <w:spacing w:line="49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小写：</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（人民币：元）</w:t>
            </w:r>
            <w:r/>
          </w:p>
        </w:tc>
      </w:tr>
      <w:tr>
        <w:trPr>
          <w:trHeight w:val="612"/>
        </w:trPr>
        <w:tc>
          <w:tcPr>
            <w:tcMar>
              <w:left w:w="108" w:type="dxa"/>
              <w:top w:w="0" w:type="dxa"/>
              <w:right w:w="108" w:type="dxa"/>
              <w:bottom w:w="0" w:type="dxa"/>
            </w:tcMar>
            <w:tcW w:w="5000" w:type="pct"/>
            <w:vAlign w:val="center"/>
            <w:textDirection w:val="lrTb"/>
            <w:noWrap w:val="false"/>
          </w:tcPr>
          <w:p>
            <w:pPr>
              <w:jc w:val="center"/>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投标总报价：按固定价格3000000元报价，报价不作为评审因素。</w:t>
            </w:r>
            <w:r/>
          </w:p>
        </w:tc>
      </w:tr>
    </w:tbl>
    <w:p>
      <w:pPr>
        <w:ind w:firstLine="48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附件2    投标分项报价表（采购包号：**）（本项目不需要填写）</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tbl>
      <w:tblPr>
        <w:tblStyle w:val="8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0"/>
        <w:gridCol w:w="2134"/>
        <w:gridCol w:w="2308"/>
        <w:gridCol w:w="1900"/>
      </w:tblGrid>
      <w:tr>
        <w:trPr>
          <w:cantSplit/>
          <w:jc w:val="center"/>
          <w:trHeight w:val="624" w:hRule="exact"/>
        </w:trPr>
        <w:tc>
          <w:tcPr>
            <w:tcBorders>
              <w:top w:val="single" w:color="auto" w:sz="4" w:space="0"/>
              <w:left w:val="single" w:color="auto" w:sz="4" w:space="0"/>
              <w:bottom w:val="single" w:color="auto" w:sz="4" w:space="0"/>
              <w:right w:val="single" w:color="auto" w:sz="4" w:space="0"/>
            </w:tcBorders>
            <w:tcW w:w="1279" w:type="pct"/>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52" w:type="pct"/>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54" w:type="pct"/>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cantSplit/>
          <w:jc w:val="center"/>
          <w:trHeight w:val="624" w:hRule="exact"/>
        </w:trPr>
        <w:tc>
          <w:tcPr>
            <w:tcBorders>
              <w:top w:val="single" w:color="auto" w:sz="4" w:space="0"/>
              <w:left w:val="single" w:color="auto" w:sz="4" w:space="0"/>
              <w:bottom w:val="single" w:color="auto" w:sz="4" w:space="0"/>
              <w:right w:val="single" w:color="auto" w:sz="4" w:space="0"/>
            </w:tcBorders>
            <w:tcW w:w="1279" w:type="pct"/>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252" w:type="pct"/>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354" w:type="pct"/>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总价</w:t>
            </w:r>
            <w:r/>
          </w:p>
        </w:tc>
      </w:tr>
      <w:tr>
        <w:trPr>
          <w:cantSplit/>
          <w:jc w:val="center"/>
          <w:trHeight w:val="624" w:hRule="exact"/>
        </w:trPr>
        <w:tc>
          <w:tcPr>
            <w:tcBorders>
              <w:top w:val="single" w:color="auto" w:sz="4" w:space="0"/>
              <w:left w:val="single" w:color="auto" w:sz="4" w:space="0"/>
              <w:bottom w:val="single" w:color="auto" w:sz="4" w:space="0"/>
              <w:right w:val="single" w:color="auto" w:sz="4" w:space="0"/>
            </w:tcBorders>
            <w:tcW w:w="1279" w:type="pct"/>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2" w:type="pct"/>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54" w:type="pct"/>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24" w:hRule="exact"/>
        </w:trPr>
        <w:tc>
          <w:tcPr>
            <w:tcBorders>
              <w:top w:val="single" w:color="auto" w:sz="4" w:space="0"/>
              <w:left w:val="single" w:color="auto" w:sz="4" w:space="0"/>
              <w:bottom w:val="single" w:color="auto" w:sz="4" w:space="0"/>
              <w:right w:val="single" w:color="auto" w:sz="4" w:space="0"/>
            </w:tcBorders>
            <w:tcW w:w="1279" w:type="pct"/>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2" w:type="pct"/>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54" w:type="pct"/>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24" w:hRule="exact"/>
        </w:trPr>
        <w:tc>
          <w:tcPr>
            <w:tcBorders>
              <w:top w:val="single" w:color="auto" w:sz="4" w:space="0"/>
              <w:left w:val="single" w:color="auto" w:sz="4" w:space="0"/>
              <w:bottom w:val="single" w:color="auto" w:sz="4" w:space="0"/>
              <w:right w:val="single" w:color="auto" w:sz="4" w:space="0"/>
            </w:tcBorders>
            <w:tcW w:w="1279" w:type="pct"/>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52" w:type="pct"/>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54" w:type="pct"/>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5" w:type="pct"/>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24" w:hRule="exact"/>
        </w:trPr>
        <w:tc>
          <w:tcPr>
            <w:tcBorders>
              <w:top w:val="single" w:color="auto" w:sz="4" w:space="0"/>
              <w:left w:val="single" w:color="auto" w:sz="4" w:space="0"/>
              <w:bottom w:val="single" w:color="auto" w:sz="4" w:space="0"/>
              <w:right w:val="single" w:color="auto" w:sz="4" w:space="0"/>
            </w:tcBorders>
            <w:tcW w:w="1279" w:type="pct"/>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gridSpan w:val="3"/>
            <w:tcBorders>
              <w:top w:val="single" w:color="auto" w:sz="4" w:space="0"/>
              <w:left w:val="single" w:color="auto" w:sz="4" w:space="0"/>
              <w:bottom w:val="single" w:color="auto" w:sz="4" w:space="0"/>
              <w:right w:val="single" w:color="auto" w:sz="4" w:space="0"/>
            </w:tcBorders>
            <w:tcW w:w="3721" w:type="pct"/>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备注：</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2.“投标分项报价表”中“投标总报价”数额应当与“开标一览表”中“投标总报价”数额一致。</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 项目经办人可以根据项目实际需要对表格结构进行调整。</w:t>
      </w:r>
      <w:r/>
    </w:p>
    <w:p>
      <w:pP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pStyle w:val="858"/>
        <w:ind w:left="1260"/>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附件3        技术要求响应及偏离表（采购包号：**）</w:t>
      </w:r>
      <w:r/>
    </w:p>
    <w:tbl>
      <w:tblPr>
        <w:tblStyle w:val="87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738"/>
        <w:gridCol w:w="2780"/>
        <w:gridCol w:w="2008"/>
      </w:tblGrid>
      <w:tr>
        <w:trPr/>
        <w:tc>
          <w:tcPr>
            <w:tcMar>
              <w:left w:w="108" w:type="dxa"/>
              <w:top w:w="0" w:type="dxa"/>
              <w:right w:w="108" w:type="dxa"/>
              <w:bottom w:w="0" w:type="dxa"/>
            </w:tcMar>
            <w:tcW w:w="583" w:type="pct"/>
            <w:vAlign w:val="center"/>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607" w:type="pct"/>
            <w:vAlign w:val="center"/>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技术要求</w:t>
            </w:r>
            <w:r/>
          </w:p>
        </w:tc>
        <w:tc>
          <w:tcPr>
            <w:tcMar>
              <w:left w:w="108" w:type="dxa"/>
              <w:top w:w="0" w:type="dxa"/>
              <w:right w:w="108" w:type="dxa"/>
              <w:bottom w:w="0" w:type="dxa"/>
            </w:tcMar>
            <w:tcW w:w="1631" w:type="pct"/>
            <w:vAlign w:val="center"/>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投标响应情况</w:t>
            </w:r>
            <w:r/>
          </w:p>
        </w:tc>
        <w:tc>
          <w:tcPr>
            <w:tcMar>
              <w:left w:w="108" w:type="dxa"/>
              <w:top w:w="0" w:type="dxa"/>
              <w:right w:w="108" w:type="dxa"/>
              <w:bottom w:w="0" w:type="dxa"/>
            </w:tcMar>
            <w:tcW w:w="1178" w:type="pct"/>
            <w:vAlign w:val="center"/>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超出、符合或偏离</w:t>
            </w:r>
            <w:r/>
          </w:p>
        </w:tc>
      </w:tr>
      <w:tr>
        <w:trPr>
          <w:trHeight w:val="640"/>
        </w:trPr>
        <w:tc>
          <w:tcPr>
            <w:tcMar>
              <w:left w:w="108" w:type="dxa"/>
              <w:top w:w="0" w:type="dxa"/>
              <w:right w:w="108" w:type="dxa"/>
              <w:bottom w:w="0" w:type="dxa"/>
            </w:tcMar>
            <w:tcW w:w="583"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p>
        </w:tc>
        <w:tc>
          <w:tcPr>
            <w:tcMar>
              <w:left w:w="108" w:type="dxa"/>
              <w:top w:w="0" w:type="dxa"/>
              <w:right w:w="108" w:type="dxa"/>
              <w:bottom w:w="0" w:type="dxa"/>
            </w:tcMar>
            <w:tcW w:w="1607"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631"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178"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640"/>
        </w:trPr>
        <w:tc>
          <w:tcPr>
            <w:tcMar>
              <w:left w:w="108" w:type="dxa"/>
              <w:top w:w="0" w:type="dxa"/>
              <w:right w:w="108" w:type="dxa"/>
              <w:bottom w:w="0" w:type="dxa"/>
            </w:tcMar>
            <w:tcW w:w="583"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607"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p>
        </w:tc>
        <w:tc>
          <w:tcPr>
            <w:tcMar>
              <w:left w:w="108" w:type="dxa"/>
              <w:top w:w="0" w:type="dxa"/>
              <w:right w:w="108" w:type="dxa"/>
              <w:bottom w:w="0" w:type="dxa"/>
            </w:tcMar>
            <w:tcW w:w="1631"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178"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bl>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附件3-1  证明材料1，证明材料2，……</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备注：</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1.投标人需对技术要求（未加斜体下划线的非实质性要求）逐条做出明确响应。</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2.如果招标文件要求提供证明材料，投标人需将证明材料列于该表之下。</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附件4        商务要求响应及偏离表（采购包号：**）</w:t>
      </w:r>
      <w:r/>
    </w:p>
    <w:tbl>
      <w:tblPr>
        <w:tblStyle w:val="87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7"/>
        <w:gridCol w:w="2759"/>
        <w:gridCol w:w="2655"/>
        <w:gridCol w:w="2106"/>
      </w:tblGrid>
      <w:tr>
        <w:trPr/>
        <w:tc>
          <w:tcPr>
            <w:tcMar>
              <w:left w:w="108" w:type="dxa"/>
              <w:top w:w="0" w:type="dxa"/>
              <w:right w:w="108" w:type="dxa"/>
              <w:bottom w:w="0" w:type="dxa"/>
            </w:tcMar>
            <w:tcW w:w="585" w:type="pct"/>
            <w:vAlign w:val="center"/>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619" w:type="pct"/>
            <w:vAlign w:val="center"/>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商务要求</w:t>
            </w:r>
            <w:r/>
          </w:p>
        </w:tc>
        <w:tc>
          <w:tcPr>
            <w:tcMar>
              <w:left w:w="108" w:type="dxa"/>
              <w:top w:w="0" w:type="dxa"/>
              <w:right w:w="108" w:type="dxa"/>
              <w:bottom w:w="0" w:type="dxa"/>
            </w:tcMar>
            <w:tcW w:w="1558" w:type="pct"/>
            <w:vAlign w:val="center"/>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投标响应情况</w:t>
            </w:r>
            <w:r/>
          </w:p>
        </w:tc>
        <w:tc>
          <w:tcPr>
            <w:tcMar>
              <w:left w:w="108" w:type="dxa"/>
              <w:top w:w="0" w:type="dxa"/>
              <w:right w:w="108" w:type="dxa"/>
              <w:bottom w:w="0" w:type="dxa"/>
            </w:tcMar>
            <w:tcW w:w="1236" w:type="pct"/>
            <w:vAlign w:val="center"/>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超出、符合或偏离</w:t>
            </w:r>
            <w:r/>
          </w:p>
        </w:tc>
      </w:tr>
      <w:tr>
        <w:trPr>
          <w:trHeight w:val="640"/>
        </w:trPr>
        <w:tc>
          <w:tcPr>
            <w:tcMar>
              <w:left w:w="108" w:type="dxa"/>
              <w:top w:w="0" w:type="dxa"/>
              <w:right w:w="108" w:type="dxa"/>
              <w:bottom w:w="0" w:type="dxa"/>
            </w:tcMar>
            <w:tcW w:w="585"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p>
        </w:tc>
        <w:tc>
          <w:tcPr>
            <w:tcMar>
              <w:left w:w="108" w:type="dxa"/>
              <w:top w:w="0" w:type="dxa"/>
              <w:right w:w="108" w:type="dxa"/>
              <w:bottom w:w="0" w:type="dxa"/>
            </w:tcMar>
            <w:tcW w:w="1619"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58"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236"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640"/>
        </w:trPr>
        <w:tc>
          <w:tcPr>
            <w:tcMar>
              <w:left w:w="108" w:type="dxa"/>
              <w:top w:w="0" w:type="dxa"/>
              <w:right w:w="108" w:type="dxa"/>
              <w:bottom w:w="0" w:type="dxa"/>
            </w:tcMar>
            <w:tcW w:w="585"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619"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p>
        </w:tc>
        <w:tc>
          <w:tcPr>
            <w:tcMar>
              <w:left w:w="108" w:type="dxa"/>
              <w:top w:w="0" w:type="dxa"/>
              <w:right w:w="108" w:type="dxa"/>
              <w:bottom w:w="0" w:type="dxa"/>
            </w:tcMar>
            <w:tcW w:w="1558"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236"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bl>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附件4-1  证明材料1，证明材料2，……</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备注：</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1.投标人需对商务要求（未加斜体下划线的非实质性要求）逐条做出明确响应。</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2.如果招标文件要求提供证明材料，投标人需将证明材料列于该表之下。</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480"/>
        <w:spacing w:line="460"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附件5            </w:t>
      </w:r>
      <w:r/>
    </w:p>
    <w:p>
      <w:pPr>
        <w:ind w:firstLine="3373"/>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法人授权书</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本授权书声明：____________（投标人名称）授权________________（被授权人的姓名）为我方就</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号项目采购活动的合法代理人，以本单位名义全权处理一切与该项目采购有关的事务。</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本授权书于______年____月____日起生效，特此声明。</w:t>
      </w:r>
      <w:r/>
    </w:p>
    <w:p>
      <w:pPr>
        <w:ind w:firstLine="120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被授权人身份证号码：           </w:t>
      </w:r>
      <w:r/>
    </w:p>
    <w:p>
      <w:pPr>
        <w:ind w:firstLine="120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被授权人联系电话：（手机）           </w:t>
      </w:r>
      <w:r/>
    </w:p>
    <w:p>
      <w:pPr>
        <w:ind w:firstLine="120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被授权人电子邮箱：</w:t>
      </w:r>
      <w:r>
        <w:rPr>
          <w:rFonts w:hint="eastAsia" w:ascii="宋体" w:hAnsi="宋体" w:cs="宋体"/>
          <w:color w:val="auto"/>
          <w:sz w:val="24"/>
          <w:highlight w:val="none"/>
          <w:u w:val="single"/>
        </w:rPr>
        <w:t xml:space="preserve">           </w:t>
      </w:r>
      <w:r/>
    </w:p>
    <w:p>
      <w:pPr>
        <w:ind w:firstLine="120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授权单位名称：</w:t>
      </w:r>
      <w:r>
        <w:rPr>
          <w:rFonts w:hint="eastAsia" w:ascii="宋体" w:hAnsi="宋体" w:cs="宋体"/>
          <w:color w:val="auto"/>
          <w:sz w:val="24"/>
          <w:highlight w:val="none"/>
          <w:u w:val="single"/>
        </w:rPr>
        <w:t xml:space="preserve">（加盖CA电子公章）</w:t>
      </w:r>
      <w:r/>
    </w:p>
    <w:p>
      <w:pPr>
        <w:ind w:firstLine="120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单位地址：           </w:t>
      </w:r>
      <w:r/>
    </w:p>
    <w:p>
      <w:pPr>
        <w:ind w:firstLine="120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           </w:t>
      </w:r>
      <w:r/>
    </w:p>
    <w:p>
      <w:pPr>
        <w:spacing w:before="260" w:after="26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1200"/>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法人及授权人身份证正反面</w:t>
      </w:r>
      <w:r/>
    </w:p>
    <w:p>
      <w:pPr>
        <w:spacing w:before="260" w:after="26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p>
    <w:p>
      <w:pPr>
        <w:spacing w:before="260" w:after="26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附件6              投标函</w:t>
      </w:r>
      <w:r/>
    </w:p>
    <w:p>
      <w:pPr>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致：江苏中鑫项目管理有限公司：</w:t>
      </w:r>
      <w:r/>
    </w:p>
    <w:p>
      <w:pPr>
        <w:ind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号招标文件，正式授权下述签字人_____(姓名)代表我方_______（投标人的名称），全权处理本次项目投标的有关事宜。</w:t>
      </w:r>
      <w:r/>
    </w:p>
    <w:p>
      <w:pPr>
        <w:ind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据此函，__________签字人兹宣布同意如下：</w:t>
      </w:r>
      <w:r/>
    </w:p>
    <w:p>
      <w:pPr>
        <w:ind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1.按招标文件规定的各项要求，向买方提供所需货物（包含与货物相关的服务）。</w:t>
      </w:r>
      <w:r/>
    </w:p>
    <w:p>
      <w:pPr>
        <w:ind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2.我们完全理解贵方不一定将合同授予最低报价的投标人。</w:t>
      </w:r>
      <w:r/>
    </w:p>
    <w:p>
      <w:pPr>
        <w:ind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left="425"/>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7.与本投标有关的正式通讯地址为：</w:t>
      </w:r>
      <w:r/>
    </w:p>
    <w:p>
      <w:pPr>
        <w:ind w:left="420"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地址：</w:t>
      </w:r>
      <w:r/>
    </w:p>
    <w:p>
      <w:pPr>
        <w:ind w:left="420"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邮编：</w:t>
      </w:r>
      <w:r/>
    </w:p>
    <w:p>
      <w:pPr>
        <w:ind w:left="420"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电话：</w:t>
      </w:r>
      <w:r/>
    </w:p>
    <w:p>
      <w:pPr>
        <w:ind w:left="420"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传真：</w:t>
      </w:r>
      <w:r/>
    </w:p>
    <w:p>
      <w:pPr>
        <w:ind w:left="420"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投标人开户行：</w:t>
      </w:r>
      <w:r/>
    </w:p>
    <w:p>
      <w:pPr>
        <w:ind w:left="420"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账号： </w:t>
      </w:r>
      <w:r/>
    </w:p>
    <w:p>
      <w:pPr>
        <w:ind w:left="420" w:firstLine="480"/>
        <w:spacing w:line="41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日期：______年____月____日</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rPr>
          <w:rFonts w:ascii="宋体" w:hAnsi="宋体" w:cs="宋体"/>
          <w:b/>
          <w:color w:val="auto"/>
          <w:sz w:val="24"/>
          <w:highlight w:val="none"/>
        </w:rPr>
      </w:pPr>
      <w:r>
        <w:rPr>
          <w:rFonts w:hint="eastAsia" w:ascii="宋体" w:hAnsi="宋体" w:cs="宋体"/>
          <w:b/>
          <w:color w:val="auto"/>
          <w:sz w:val="24"/>
          <w:highlight w:val="none"/>
        </w:rPr>
        <w:br w:type="page" w:clear="all"/>
      </w:r>
      <w:r/>
    </w:p>
    <w:p>
      <w:pPr>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附件7           主要标的信息（中标后将公示）</w:t>
      </w:r>
      <w:r/>
    </w:p>
    <w:p>
      <w:pPr>
        <w:spacing w:after="312"/>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投标人全称：</w:t>
      </w:r>
      <w:r/>
    </w:p>
    <w:tbl>
      <w:tblPr>
        <w:tblStyle w:val="8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jc w:val="center"/>
        </w:trPr>
        <w:tc>
          <w:tcPr>
            <w:tcMar>
              <w:left w:w="108" w:type="dxa"/>
              <w:top w:w="0" w:type="dxa"/>
              <w:right w:w="108" w:type="dxa"/>
              <w:bottom w:w="0" w:type="dxa"/>
            </w:tcMar>
            <w:tcW w:w="3433" w:type="dxa"/>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货物类</w:t>
            </w:r>
            <w:r/>
          </w:p>
        </w:tc>
        <w:tc>
          <w:tcPr>
            <w:tcMar>
              <w:left w:w="108" w:type="dxa"/>
              <w:top w:w="0" w:type="dxa"/>
              <w:right w:w="108" w:type="dxa"/>
              <w:bottom w:w="0" w:type="dxa"/>
            </w:tcMar>
            <w:tcW w:w="3296" w:type="dxa"/>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服务类</w:t>
            </w:r>
            <w:r/>
          </w:p>
        </w:tc>
      </w:tr>
      <w:tr>
        <w:trPr>
          <w:jc w:val="center"/>
          <w:trHeight w:val="3810"/>
        </w:trPr>
        <w:tc>
          <w:tcPr>
            <w:tcMar>
              <w:left w:w="108" w:type="dxa"/>
              <w:top w:w="0" w:type="dxa"/>
              <w:right w:w="108" w:type="dxa"/>
              <w:bottom w:w="0" w:type="dxa"/>
            </w:tcMar>
            <w:tcW w:w="3433" w:type="dxa"/>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名称：</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品牌（如有）：</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规格型号：</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数量：</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单价：</w:t>
            </w:r>
            <w:r/>
          </w:p>
        </w:tc>
        <w:tc>
          <w:tcPr>
            <w:tcMar>
              <w:left w:w="108" w:type="dxa"/>
              <w:top w:w="0" w:type="dxa"/>
              <w:right w:w="108" w:type="dxa"/>
              <w:bottom w:w="0" w:type="dxa"/>
            </w:tcMar>
            <w:tcW w:w="3296" w:type="dxa"/>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名称：</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服务范围：</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服务要求：</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服务时间：</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服务标准：</w:t>
            </w:r>
            <w:r/>
          </w:p>
        </w:tc>
      </w:tr>
    </w:tbl>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200"/>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spacing w:line="450"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附件8</w:t>
      </w:r>
      <w:r/>
    </w:p>
    <w:p>
      <w:pPr>
        <w:ind w:firstLine="1205"/>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具备履行合同所必需的设备和专业技术能力的书面声明</w:t>
      </w:r>
      <w:r/>
    </w:p>
    <w:p>
      <w:pPr>
        <w:ind w:firstLine="492"/>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主要设备有：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92"/>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主要专业技术能力有：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5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附件9</w:t>
      </w:r>
      <w:r/>
    </w:p>
    <w:p>
      <w:pPr>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left="48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参加政府采购活动前 3 年内在经营活动中没有重大违法记录的书面声明</w:t>
      </w:r>
      <w:r/>
    </w:p>
    <w:p>
      <w:pPr>
        <w:jc w:val="center"/>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480"/>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480"/>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480"/>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spacing w:line="49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附件10            投标人信用承诺函</w:t>
      </w:r>
      <w:r/>
    </w:p>
    <w:p>
      <w:pPr>
        <w:spacing w:line="49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承诺主体名称：</w:t>
      </w:r>
      <w:r/>
    </w:p>
    <w:p>
      <w:pPr>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统一社会信用代码：</w:t>
      </w:r>
      <w:r/>
    </w:p>
    <w:p>
      <w:pPr>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20"/>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一、对提供给注册登记部门、行业管理部门、司法部门、行业组织以及在政府采购活动中提交的所有资料的合法性、真实性、准确性和有效性负责；</w:t>
      </w:r>
      <w:r/>
    </w:p>
    <w:p>
      <w:pPr>
        <w:ind w:firstLine="420"/>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四、自觉接受行政管理部门、行业组织、社会公众、新闻舆论的监督；</w:t>
      </w:r>
      <w:r/>
    </w:p>
    <w:p>
      <w:pPr>
        <w:ind w:firstLine="420"/>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五、自觉做到自我约束、自我管理，不制假售假、商标侵权、虚假宣传、违约毁约、恶意逃债、偷税漏税、垄断和不正当竞争，维护经营者、消费者的合法权益；</w:t>
      </w:r>
      <w:r/>
    </w:p>
    <w:p>
      <w:pPr>
        <w:ind w:firstLine="420"/>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六、提出政府采购质疑和投诉坚持依法依规、诚实信用原则，在全国范围12个月内没有三次以上查无实据的政府采购投诉；</w:t>
      </w:r>
      <w:r/>
    </w:p>
    <w:p>
      <w:pPr>
        <w:ind w:firstLine="420"/>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七、严格遵守信用信息公示相关规定，向社会公示信用信息；</w:t>
      </w:r>
      <w:r/>
    </w:p>
    <w:p>
      <w:pPr>
        <w:ind w:firstLine="420"/>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八、在“信用中国”和“中国政府采购网”网站中无严重失信记录；</w:t>
      </w:r>
      <w:r/>
    </w:p>
    <w:p>
      <w:pPr>
        <w:ind w:firstLine="420"/>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十、本承诺书自签订之日起生效。</w:t>
      </w:r>
      <w:r/>
    </w:p>
    <w:p>
      <w:pPr>
        <w:ind w:firstLine="420"/>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（注：法定代表人或负责人、主体名称发生变更的应当重新做出承诺。）</w:t>
      </w:r>
      <w:r/>
    </w:p>
    <w:p>
      <w:pPr>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承诺单位（加盖CA电子公章）：    </w:t>
      </w:r>
      <w:r/>
    </w:p>
    <w:p>
      <w:pPr>
        <w:jc w:val="center"/>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年  月  日</w:t>
      </w:r>
      <w:r/>
    </w:p>
    <w:p>
      <w:pPr>
        <w:spacing w:after="361"/>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after="361"/>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附件11        中小企业声明函（服务类项目）（采购包号：**）</w:t>
      </w:r>
      <w:r/>
    </w:p>
    <w:p>
      <w:pPr>
        <w:ind w:firstLine="36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本公司（联合体）郑重声明，根据《政府采购促进中小企业发展管理办法》(财库[2020]46号)的规定，本公司（联合体）参加江苏中鑫项目管理有限公司组织的</w:t>
      </w:r>
      <w:r>
        <w:rPr>
          <w:rFonts w:hint="eastAsia" w:ascii="宋体" w:hAnsi="宋体" w:cs="宋体"/>
          <w:color w:val="auto"/>
          <w:sz w:val="24"/>
          <w:highlight w:val="none"/>
          <w:u w:val="single"/>
        </w:rPr>
        <w:t xml:space="preserve">（项目名称）（采购包号：**）</w:t>
      </w:r>
      <w:r>
        <w:rPr>
          <w:rFonts w:hint="eastAsia" w:ascii="宋体" w:hAnsi="宋体" w:cs="宋体"/>
          <w:color w:val="auto"/>
          <w:sz w:val="24"/>
          <w:highlight w:val="none"/>
        </w:rPr>
        <w:t xml:space="preserve">的采购活动，服务全部由符合政策的中小企业承接。相关企业（含联合体中的中小企业、签订采购包意向协议的中小企业）的具体情况如下：</w:t>
      </w:r>
      <w:r/>
    </w:p>
    <w:p>
      <w:pPr>
        <w:ind w:firstLine="36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（包一标的名称）</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b/>
          <w:bCs/>
          <w:color w:val="auto"/>
          <w:sz w:val="24"/>
          <w:highlight w:val="none"/>
          <w:u w:val="single"/>
        </w:rPr>
        <w:t xml:space="preserve">（其他未列明）</w:t>
      </w:r>
      <w:r>
        <w:rPr>
          <w:rFonts w:hint="eastAsia" w:ascii="宋体" w:hAnsi="宋体" w:cs="宋体"/>
          <w:color w:val="auto"/>
          <w:sz w:val="24"/>
          <w:highlight w:val="none"/>
        </w:rPr>
        <w:t xml:space="preserve">行业；承接企业为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 □小型企业 □微型企业）；</w:t>
      </w:r>
      <w:r/>
    </w:p>
    <w:p>
      <w:pPr>
        <w:ind w:firstLine="36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p>
    <w:p>
      <w:pPr>
        <w:ind w:firstLine="36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36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本企业对上述声明内容的真实性负责。如有虚假，将依法承担相应责任</w:t>
      </w:r>
      <w:r/>
    </w:p>
    <w:p>
      <w:pPr>
        <w:ind w:right="7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right="180" w:firstLine="360"/>
        <w:jc w:val="righ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企业名称（加盖CA电子公章）：</w:t>
      </w:r>
      <w:r/>
    </w:p>
    <w:p>
      <w:pPr>
        <w:ind w:right="480" w:firstLine="540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  期：</w:t>
      </w:r>
      <w:r/>
    </w:p>
    <w:p>
      <w:pPr>
        <w:ind w:firstLine="24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备注：</w:t>
      </w:r>
      <w:r/>
    </w:p>
    <w:p>
      <w:pPr>
        <w:ind w:firstLine="48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1.从业人员、营业收入、资产总额填报上一年度数据，无上一年度数据的新成立企业可不填报。</w:t>
      </w:r>
      <w:r/>
    </w:p>
    <w:p>
      <w:pPr>
        <w:ind w:firstLine="48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2.专门面向中小微型企业采购的项目，投标人如不提供此声明函，则不能通过资格审查；非专门面向中小微型企业采购的项目，投标人如不提供此声明函，价格将不做相应扣除。</w:t>
      </w:r>
      <w:r/>
    </w:p>
    <w:p>
      <w:pPr>
        <w:ind w:left="540" w:hanging="1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3.投标人应对照《工业和信息化部、国家统计局、国家发展和改革委员会、财政</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p>
    <w:p>
      <w:pPr>
        <w:spacing w:before="300" w:after="452"/>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中小微企业划型标准如下：</w:t>
      </w:r>
      <w:r/>
    </w:p>
    <w:tbl>
      <w:tblPr>
        <w:tblStyle w:val="8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50≤Y＜500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X＜20</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2000≤Y＜40000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300≤Y＜2000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6000≤Y＜80000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300≤Y＜6000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Y＜300</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5000≤Z＜80000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300≤Z＜5000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Z＜300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20≤X＜200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5≤X＜20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X＜5</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5000≤Y＜40000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50≤X＜300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10≤X＜50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X＜10</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X＜20</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3000≤Y＜30000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200≤Y＜3000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20≤X＜100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X＜20</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X＜20</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2000≤Y＜30000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X＜10</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X＜10</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100≤X＜2000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X＜10</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1000≤Y＜100000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X＜10</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50≤Y＜1000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1000≤Y＜200000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X＜100</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5000≤Z＜10000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2000≤Y＜5000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X＜100</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500≤Y＜1000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X＜10</w:t>
            </w:r>
            <w:r/>
          </w:p>
        </w:tc>
      </w:tr>
      <w:tr>
        <w:trPr>
          <w:trHeight w:val="225"/>
        </w:trPr>
        <w:tc>
          <w:tcPr>
            <w:tcW w:w="1716" w:type="dxa"/>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8000≤Z＜120000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100≤Z＜8000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X＜10</w:t>
            </w:r>
            <w:r/>
          </w:p>
        </w:tc>
      </w:tr>
    </w:tbl>
    <w:p>
      <w:pPr>
        <w:ind w:firstLine="810"/>
        <w:spacing w:before="300" w:after="452"/>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附件12     残疾人福利性单位声明函（服务类项目）（采购包号：**）</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141号）的规定，本单位为符合条件的残疾人福利性单位，且本单位参加______单位的采购文件编号为的     项目（采购包号：**）采购活动由本单位提供服务。</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本单位对上述声明的真实性负责。如有虚假，将依法承担相应责任。</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备注：</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1.专门面向中小微型企业采购的项目，投标人为残疾人福利性单位并提供服务的必须提供此声明函，否则将不能通过资格审查。</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2.非专门面向中小微型企业采购的项目，投标人如不提供此声明函，价格将不做相应扣除。</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3.中标/成交投标人为残疾人福利性单位的，此声明函将随中标/成交结果同时公告，接受社会监督</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投标人全称（加盖CA电子公章）：</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日期：</w:t>
      </w:r>
      <w:r/>
    </w:p>
    <w:p>
      <w:pPr>
        <w:spacing w:line="400" w:lineRule="atLeast"/>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spacing w:line="400" w:lineRule="atLeast"/>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spacing w:line="400"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附件13          联合体协议（参考格式）（采购包号：**）</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（联合体中各投标人全称）在此达成以下协议：</w:t>
      </w:r>
      <w:r/>
    </w:p>
    <w:p>
      <w:pPr>
        <w:ind w:firstLine="645"/>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1、我们</w:t>
      </w:r>
      <w:r>
        <w:rPr>
          <w:rFonts w:hint="eastAsia" w:ascii="宋体" w:hAnsi="宋体" w:cs="宋体"/>
          <w:color w:val="auto"/>
          <w:sz w:val="24"/>
          <w:highlight w:val="none"/>
          <w:u w:val="single"/>
        </w:rPr>
        <w:t xml:space="preserve"> （投标人1），（投标人2） ，……</w:t>
      </w:r>
      <w:r>
        <w:rPr>
          <w:rFonts w:hint="eastAsia" w:ascii="宋体" w:hAnsi="宋体" w:cs="宋体"/>
          <w:color w:val="auto"/>
          <w:sz w:val="24"/>
          <w:highlight w:val="none"/>
        </w:rPr>
        <w:t xml:space="preserve">自愿组成联合体，参加江苏中鑫项目管理有限公司组织的采购编号为</w:t>
      </w:r>
      <w:r>
        <w:rPr>
          <w:rFonts w:hint="eastAsia" w:ascii="宋体" w:hAnsi="宋体" w:cs="宋体"/>
          <w:color w:val="auto"/>
          <w:sz w:val="24"/>
          <w:highlight w:val="none"/>
          <w:u w:val="single"/>
        </w:rPr>
        <w:t xml:space="preserve">（编号全称），（项目全称）</w:t>
      </w:r>
      <w:r>
        <w:rPr>
          <w:rFonts w:hint="eastAsia" w:ascii="宋体" w:hAnsi="宋体" w:cs="宋体"/>
          <w:color w:val="auto"/>
          <w:sz w:val="24"/>
          <w:highlight w:val="none"/>
        </w:rPr>
        <w:t xml:space="preserve">项目（采购包号：**）的政府采购活动，我联合体指定</w:t>
      </w:r>
      <w:r>
        <w:rPr>
          <w:rFonts w:hint="eastAsia" w:ascii="宋体" w:hAnsi="宋体" w:cs="宋体"/>
          <w:color w:val="auto"/>
          <w:sz w:val="24"/>
          <w:highlight w:val="none"/>
          <w:u w:val="single"/>
        </w:rPr>
        <w:t xml:space="preserve">（投标人*）</w:t>
      </w:r>
      <w:r>
        <w:rPr>
          <w:rFonts w:hint="eastAsia" w:ascii="宋体" w:hAnsi="宋体" w:cs="宋体"/>
          <w:color w:val="auto"/>
          <w:sz w:val="24"/>
          <w:highlight w:val="none"/>
        </w:rPr>
        <w:t xml:space="preserve">为牵头单位（牵头单位必须为联合体成员）。</w:t>
      </w:r>
      <w:r/>
    </w:p>
    <w:p>
      <w:pPr>
        <w:ind w:firstLine="645"/>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645"/>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3、其中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（小型、微型企业/残疾人福利性单位/监狱企业全称）为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（小型、微型企业/残疾人福利性单位/监狱企业）企业，且我们约定该公司/单位所承担的合同金额将占本项目合同总金额的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645"/>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45"/>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46"/>
        <w:jc w:val="right"/>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联合体中各投标人全称（公章）：     </w:t>
      </w:r>
      <w:r/>
    </w:p>
    <w:p>
      <w:pPr>
        <w:ind w:firstLine="646"/>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日期：</w:t>
      </w:r>
      <w:r/>
    </w:p>
    <w:p>
      <w:pPr>
        <w:ind w:firstLine="645"/>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45"/>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45"/>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备注：本招标文件中要求加盖CA电子签章的地方，仅需加盖牵头单位的CA电子签章。</w:t>
      </w:r>
      <w:r/>
    </w:p>
    <w:p>
      <w:pPr>
        <w:ind w:firstLine="645"/>
        <w:spacing w:line="558"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spacing w:after="361"/>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附件14        实质性要求响应及偏离表（采购包号：**）</w:t>
      </w:r>
      <w:r/>
    </w:p>
    <w:tbl>
      <w:tblPr>
        <w:tblStyle w:val="87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9"/>
        <w:gridCol w:w="3394"/>
        <w:gridCol w:w="3052"/>
        <w:gridCol w:w="1514"/>
      </w:tblGrid>
      <w:tr>
        <w:trPr/>
        <w:tc>
          <w:tcPr>
            <w:tcMar>
              <w:left w:w="108" w:type="dxa"/>
              <w:top w:w="0" w:type="dxa"/>
              <w:right w:w="108" w:type="dxa"/>
              <w:bottom w:w="0" w:type="dxa"/>
            </w:tcMar>
            <w:tcW w:w="328" w:type="pct"/>
            <w:vAlign w:val="center"/>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991" w:type="pct"/>
            <w:vAlign w:val="center"/>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技术要求和商务要求中的实质性要求</w:t>
            </w:r>
            <w:r>
              <w:rPr>
                <w:rFonts w:hint="eastAsia" w:ascii="宋体" w:hAnsi="宋体" w:cs="宋体"/>
                <w:b/>
                <w:color w:val="auto"/>
                <w:sz w:val="24"/>
                <w:highlight w:val="none"/>
              </w:rPr>
              <w:t xml:space="preserve">（</w:t>
            </w:r>
            <w:r>
              <w:rPr>
                <w:rFonts w:hint="eastAsia" w:ascii="宋体" w:hAnsi="宋体" w:cs="宋体"/>
                <w:b/>
                <w:i/>
                <w:color w:val="auto"/>
                <w:sz w:val="24"/>
                <w:highlight w:val="none"/>
                <w:u w:val="single"/>
              </w:rPr>
              <w:t xml:space="preserve">斜体且有下划线部分</w:t>
            </w:r>
            <w:r>
              <w:rPr>
                <w:rFonts w:hint="eastAsia" w:ascii="宋体" w:hAnsi="宋体" w:cs="宋体"/>
                <w:b/>
                <w:color w:val="auto"/>
                <w:sz w:val="24"/>
                <w:highlight w:val="none"/>
              </w:rPr>
              <w:t xml:space="preserve">）</w:t>
            </w:r>
            <w:r/>
          </w:p>
        </w:tc>
        <w:tc>
          <w:tcPr>
            <w:tcMar>
              <w:left w:w="108" w:type="dxa"/>
              <w:top w:w="0" w:type="dxa"/>
              <w:right w:w="108" w:type="dxa"/>
              <w:bottom w:w="0" w:type="dxa"/>
            </w:tcMar>
            <w:tcW w:w="1790" w:type="pct"/>
            <w:vAlign w:val="center"/>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投标响应情况</w:t>
            </w:r>
            <w:r/>
          </w:p>
        </w:tc>
        <w:tc>
          <w:tcPr>
            <w:tcMar>
              <w:left w:w="108" w:type="dxa"/>
              <w:top w:w="0" w:type="dxa"/>
              <w:right w:w="108" w:type="dxa"/>
              <w:bottom w:w="0" w:type="dxa"/>
            </w:tcMar>
            <w:tcW w:w="888" w:type="pct"/>
            <w:vAlign w:val="center"/>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超出、符合或偏离</w:t>
            </w:r>
            <w:r/>
          </w:p>
        </w:tc>
      </w:tr>
      <w:tr>
        <w:trPr>
          <w:trHeight w:val="640"/>
        </w:trPr>
        <w:tc>
          <w:tcPr>
            <w:tcMar>
              <w:left w:w="108" w:type="dxa"/>
              <w:top w:w="0" w:type="dxa"/>
              <w:right w:w="108" w:type="dxa"/>
              <w:bottom w:w="0" w:type="dxa"/>
            </w:tcMar>
            <w:tcW w:w="328"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p>
        </w:tc>
        <w:tc>
          <w:tcPr>
            <w:tcMar>
              <w:left w:w="108" w:type="dxa"/>
              <w:top w:w="0" w:type="dxa"/>
              <w:right w:w="108" w:type="dxa"/>
              <w:bottom w:w="0" w:type="dxa"/>
            </w:tcMar>
            <w:tcW w:w="1991"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790"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888"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640"/>
        </w:trPr>
        <w:tc>
          <w:tcPr>
            <w:tcMar>
              <w:left w:w="108" w:type="dxa"/>
              <w:top w:w="0" w:type="dxa"/>
              <w:right w:w="108" w:type="dxa"/>
              <w:bottom w:w="0" w:type="dxa"/>
            </w:tcMar>
            <w:tcW w:w="328"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p>
        </w:tc>
        <w:tc>
          <w:tcPr>
            <w:tcMar>
              <w:left w:w="108" w:type="dxa"/>
              <w:top w:w="0" w:type="dxa"/>
              <w:right w:w="108" w:type="dxa"/>
              <w:bottom w:w="0" w:type="dxa"/>
            </w:tcMar>
            <w:tcW w:w="1991"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790"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888"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640"/>
        </w:trPr>
        <w:tc>
          <w:tcPr>
            <w:tcMar>
              <w:left w:w="108" w:type="dxa"/>
              <w:top w:w="0" w:type="dxa"/>
              <w:right w:w="108" w:type="dxa"/>
              <w:bottom w:w="0" w:type="dxa"/>
            </w:tcMar>
            <w:tcW w:w="328"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991"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p>
        </w:tc>
        <w:tc>
          <w:tcPr>
            <w:tcMar>
              <w:left w:w="108" w:type="dxa"/>
              <w:top w:w="0" w:type="dxa"/>
              <w:right w:w="108" w:type="dxa"/>
              <w:bottom w:w="0" w:type="dxa"/>
            </w:tcMar>
            <w:tcW w:w="1790"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888" w:type="pct"/>
            <w:textDirection w:val="lrTb"/>
            <w:noWrap w:val="false"/>
          </w:tcPr>
          <w:p>
            <w:pPr>
              <w:jc w:val="cente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bl>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附件14-1 证明材料1，证明材料2，……</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备注：</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1.投标人必须对技术要求和商务要求中的实质性要求</w:t>
      </w:r>
      <w:r>
        <w:rPr>
          <w:rFonts w:hint="eastAsia" w:ascii="宋体" w:hAnsi="宋体" w:cs="宋体"/>
          <w:b/>
          <w:color w:val="auto"/>
          <w:sz w:val="24"/>
          <w:highlight w:val="none"/>
        </w:rPr>
        <w:t xml:space="preserve">（</w:t>
      </w:r>
      <w:r>
        <w:rPr>
          <w:rFonts w:hint="eastAsia" w:ascii="宋体" w:hAnsi="宋体" w:cs="宋体"/>
          <w:b/>
          <w:i/>
          <w:color w:val="auto"/>
          <w:sz w:val="24"/>
          <w:highlight w:val="none"/>
          <w:u w:val="single"/>
        </w:rPr>
        <w:t xml:space="preserve">斜体且有下划线部分</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逐条做出明确响应。</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2.如果招标文件要求提供证明材料，投标人必须将证明材料列于该表之下。</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3.投标人未对实质性要求逐条作出明确响应的，或未按招标文件要求提供证明材料的，该采购包作无效投标处理。</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 </w:t>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质疑函范本</w:t>
      </w:r>
      <w:r/>
    </w:p>
    <w:p>
      <w:pPr>
        <w:spacing w:before="312"/>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一、质疑投标人基本信息</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质疑投标人：</w:t>
      </w:r>
      <w:r>
        <w:rPr>
          <w:rFonts w:hint="eastAsia" w:ascii="宋体" w:hAnsi="宋体" w:cs="宋体"/>
          <w:color w:val="auto"/>
          <w:sz w:val="24"/>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邮编：</w:t>
      </w:r>
      <w:r>
        <w:rPr>
          <w:rFonts w:hint="eastAsia" w:ascii="宋体" w:hAnsi="宋体" w:cs="宋体"/>
          <w:color w:val="auto"/>
          <w:sz w:val="24"/>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联系电话</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授权代表：</w:t>
      </w:r>
      <w:r>
        <w:rPr>
          <w:rFonts w:hint="eastAsia" w:ascii="宋体" w:hAnsi="宋体" w:cs="宋体"/>
          <w:color w:val="auto"/>
          <w:sz w:val="24"/>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邮编：</w:t>
      </w:r>
      <w:r>
        <w:rPr>
          <w:rFonts w:hint="eastAsia" w:ascii="宋体" w:hAnsi="宋体" w:cs="宋体"/>
          <w:color w:val="auto"/>
          <w:sz w:val="24"/>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二、质疑项目基本情况</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质疑项目的名称：</w:t>
      </w:r>
      <w:r>
        <w:rPr>
          <w:rFonts w:hint="eastAsia" w:ascii="宋体" w:hAnsi="宋体" w:cs="宋体"/>
          <w:color w:val="auto"/>
          <w:sz w:val="24"/>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质疑项目的编号：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包号：</w:t>
      </w:r>
      <w:r>
        <w:rPr>
          <w:rFonts w:hint="eastAsia" w:ascii="宋体" w:hAnsi="宋体" w:cs="宋体"/>
          <w:color w:val="auto"/>
          <w:sz w:val="24"/>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采购人名称：</w:t>
      </w:r>
      <w:r>
        <w:rPr>
          <w:rFonts w:hint="eastAsia" w:ascii="宋体" w:hAnsi="宋体" w:cs="宋体"/>
          <w:color w:val="auto"/>
          <w:sz w:val="24"/>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采购文件获取日期：</w:t>
      </w:r>
      <w:r>
        <w:rPr>
          <w:rFonts w:hint="eastAsia" w:ascii="宋体" w:hAnsi="宋体" w:cs="宋体"/>
          <w:color w:val="auto"/>
          <w:sz w:val="24"/>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三、质疑事项具体内容</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质疑事项1：</w:t>
      </w:r>
      <w:r>
        <w:rPr>
          <w:rFonts w:hint="eastAsia" w:ascii="宋体" w:hAnsi="宋体" w:cs="宋体"/>
          <w:color w:val="auto"/>
          <w:sz w:val="24"/>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事实依据：</w:t>
      </w:r>
      <w:r>
        <w:rPr>
          <w:rFonts w:hint="eastAsia" w:ascii="宋体" w:hAnsi="宋体" w:cs="宋体"/>
          <w:color w:val="auto"/>
          <w:sz w:val="24"/>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法律依据：</w:t>
      </w:r>
      <w:r>
        <w:rPr>
          <w:rFonts w:hint="eastAsia" w:ascii="宋体" w:hAnsi="宋体" w:cs="宋体"/>
          <w:color w:val="auto"/>
          <w:sz w:val="24"/>
          <w:highlight w:val="none"/>
          <w:u w:val="singl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质疑事项2</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四、与质疑事项相关的质疑请求</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请求：</w:t>
      </w:r>
      <w:r>
        <w:rPr>
          <w:rFonts w:hint="eastAsia" w:ascii="宋体" w:hAnsi="宋体" w:cs="宋体"/>
          <w:color w:val="auto"/>
          <w:sz w:val="24"/>
          <w:highlight w:val="none"/>
          <w:u w:val="single"/>
        </w:rPr>
        <w:t xml:space="preserve">           </w:t>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签字(签章)：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公章：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质疑函制作说明：</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1.投标人提出质疑时，应提交质疑函和必要的证明材料。</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3.质疑投标人若对项目的某一采购包进行质疑，质疑函中应列明具体采购包号。</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4.质疑函的质疑事项应具体、明确，并有必要的事实依据和法律依据。</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5.质疑函的质疑请求应与质疑事项相关。</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sectPr>
      <w:headerReference w:type="default" r:id="rId11"/>
      <w:footerReference w:type="default" r:id="rId15"/>
      <w:footnotePr/>
      <w:endnotePr/>
      <w:type w:val="nextPage"/>
      <w:pgSz w:w="11906" w:h="16838" w:orient="portrait"/>
      <w:pgMar w:top="1440" w:right="1800" w:bottom="1440" w:left="1800"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mbria">
    <w:panose1 w:val="02040503050406030204"/>
  </w:font>
  <w:font w:name="方正仿宋_GBK">
    <w:panose1 w:val="020B0503020202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945" cy="162560"/>
              <wp:effectExtent l="0" t="0" r="0" b="0"/>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7945" cy="162560"/>
                      </a:xfrm>
                      <a:prstGeom prst="rect">
                        <a:avLst/>
                      </a:prstGeom>
                      <a:noFill/>
                      <a:ln>
                        <a:noFill/>
                      </a:ln>
                      <a:effectLst/>
                    </wps:spPr>
                    <wps:txbx>
                      <w:txbxContent>
                        <w:p>
                          <w:pPr>
                            <w:pStyle w:val="864"/>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3pt;height:12.8pt;mso-wrap-distance-left:9.0pt;mso-wrap-distance-top:0.0pt;mso-wrap-distance-right:9.0pt;mso-wrap-distance-bottom:0.0pt;v-text-anchor:top;visibility:visible;" filled="f" stroked="f">
              <v:textbox inset="0,0,0,0">
                <w:txbxContent>
                  <w:p>
                    <w:pPr>
                      <w:pStyle w:val="86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226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14935" cy="302260"/>
                      </a:xfrm>
                      <a:prstGeom prst="rect">
                        <a:avLst/>
                      </a:prstGeom>
                      <a:noFill/>
                      <a:ln>
                        <a:noFill/>
                      </a:ln>
                      <a:effectLst/>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27</w:t>
                          </w:r>
                          <w:r>
                            <w:rPr>
                              <w:rFonts w:ascii="仿宋_GB2312" w:eastAsia="仿宋_GB2312"/>
                              <w:bCs/>
                              <w:sz w:val="18"/>
                              <w:szCs w:val="18"/>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27</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rPr>
        <w:b/>
      </w:rPr>
    </w:pPr>
    <w:r>
      <w:rPr>
        <w:rFonts w:hint="eastAsia"/>
      </w:rPr>
      <w:t xml:space="preserve">                                                </w:t>
    </w:r>
    <w:r>
      <w:t xml:space="preserve">                 </w:t>
    </w:r>
    <w:r>
      <w:rPr>
        <w:rFonts w:hint="eastAsia"/>
      </w:rPr>
      <w:t xml:space="preserve">   </w:t>
    </w:r>
    <w:r>
      <w:rPr>
        <w:rFonts w:hint="eastAsia"/>
        <w:b/>
      </w:rPr>
      <w:t xml:space="preserve">江苏中鑫项目管理有限公司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pPr>
    <w:r>
      <w:rPr>
        <w:rFonts w:hint="eastAsia"/>
      </w:rPr>
      <w:t xml:space="preserve">                                                  </w:t>
    </w:r>
    <w:r>
      <w:t xml:space="preserve">                  </w:t>
    </w:r>
    <w:r>
      <w:rPr>
        <w:rFonts w:hint="eastAsia"/>
      </w:rPr>
      <w:t xml:space="preserve">江苏中鑫项目管理有限公司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1227"/>
      <w:jc w:val="both"/>
      <w:rPr>
        <w:rFonts w:asciiTheme="majorEastAsia" w:hAnsiTheme="majorEastAsia" w:eastAsiaTheme="majorEastAsia"/>
      </w:rPr>
    </w:pPr>
    <w:r>
      <w:rPr>
        <w:rFonts w:asciiTheme="majorEastAsia" w:hAnsiTheme="majorEastAsia" w:eastAsiaTheme="majorEastAsia"/>
      </w:rPr>
      <w:t xml:space="preserve">                                                     江苏中鑫项目管理有限公司</w:t>
    </w:r>
    <w:r/>
  </w:p>
  <w:p>
    <w:pPr>
      <w:ind w:firstLine="180"/>
      <w:rPr>
        <w:sz w:val="18"/>
        <w:szCs w:val="18"/>
      </w:rPr>
    </w:pPr>
    <w:r>
      <w:rPr>
        <w:sz w:val="18"/>
        <w:szCs w:val="18"/>
      </w:r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9">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8">
    <w:name w:val="TOC Heading"/>
    <w:uiPriority w:val="39"/>
    <w:unhideWhenUsed/>
  </w:style>
  <w:style w:type="paragraph" w:styleId="83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40">
    <w:name w:val="Heading 1"/>
    <w:basedOn w:val="839"/>
    <w:next w:val="839"/>
    <w:link w:val="921"/>
    <w:uiPriority w:val="9"/>
    <w:qFormat/>
    <w:pPr>
      <w:jc w:val="center"/>
      <w:keepLines/>
      <w:keepNext/>
      <w:spacing w:before="480" w:after="200"/>
      <w:outlineLvl w:val="0"/>
    </w:pPr>
    <w:rPr>
      <w:rFonts w:ascii="Arial" w:hAnsi="Arial" w:eastAsia="Arial" w:cs="Arial"/>
      <w:sz w:val="40"/>
      <w:szCs w:val="40"/>
    </w:rPr>
  </w:style>
  <w:style w:type="paragraph" w:styleId="841">
    <w:name w:val="Heading 2"/>
    <w:basedOn w:val="839"/>
    <w:next w:val="851"/>
    <w:link w:val="922"/>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923"/>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924"/>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925"/>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926"/>
    <w:uiPriority w:val="9"/>
    <w:unhideWhenUsed/>
    <w:qFormat/>
    <w:pPr>
      <w:keepLines/>
      <w:keepNext/>
      <w:spacing w:before="320" w:after="200"/>
      <w:outlineLvl w:val="5"/>
    </w:pPr>
    <w:rPr>
      <w:rFonts w:ascii="Arial" w:hAnsi="Arial" w:eastAsia="Arial" w:cs="Arial"/>
      <w:b/>
      <w:bCs/>
      <w:sz w:val="22"/>
    </w:rPr>
  </w:style>
  <w:style w:type="paragraph" w:styleId="846">
    <w:name w:val="Heading 7"/>
    <w:basedOn w:val="839"/>
    <w:next w:val="839"/>
    <w:link w:val="927"/>
    <w:uiPriority w:val="9"/>
    <w:unhideWhenUsed/>
    <w:qFormat/>
    <w:pPr>
      <w:keepLines/>
      <w:keepNext/>
      <w:spacing w:before="320" w:after="200"/>
      <w:outlineLvl w:val="6"/>
    </w:pPr>
    <w:rPr>
      <w:rFonts w:ascii="Arial" w:hAnsi="Arial" w:eastAsia="Arial" w:cs="Arial"/>
      <w:b/>
      <w:bCs/>
      <w:i/>
      <w:iCs/>
      <w:sz w:val="22"/>
    </w:rPr>
  </w:style>
  <w:style w:type="paragraph" w:styleId="847">
    <w:name w:val="Heading 8"/>
    <w:basedOn w:val="839"/>
    <w:next w:val="839"/>
    <w:link w:val="928"/>
    <w:uiPriority w:val="9"/>
    <w:unhideWhenUsed/>
    <w:qFormat/>
    <w:pPr>
      <w:keepLines/>
      <w:keepNext/>
      <w:spacing w:before="320" w:after="200"/>
      <w:outlineLvl w:val="7"/>
    </w:pPr>
    <w:rPr>
      <w:rFonts w:ascii="Arial" w:hAnsi="Arial" w:eastAsia="Arial" w:cs="Arial"/>
      <w:i/>
      <w:iCs/>
      <w:sz w:val="22"/>
    </w:rPr>
  </w:style>
  <w:style w:type="paragraph" w:styleId="848">
    <w:name w:val="Heading 9"/>
    <w:basedOn w:val="839"/>
    <w:next w:val="839"/>
    <w:link w:val="929"/>
    <w:uiPriority w:val="9"/>
    <w:unhideWhenUsed/>
    <w:qFormat/>
    <w:pPr>
      <w:keepLines/>
      <w:keepNext/>
      <w:spacing w:before="320" w:after="200"/>
      <w:outlineLvl w:val="8"/>
    </w:pPr>
    <w:rPr>
      <w:rFonts w:ascii="Arial" w:hAnsi="Arial" w:eastAsia="Arial" w:cs="Arial"/>
      <w:i/>
      <w:iCs/>
      <w:szCs w:val="21"/>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Normal Indent"/>
    <w:basedOn w:val="839"/>
    <w:uiPriority w:val="0"/>
    <w:unhideWhenUsed/>
    <w:qFormat/>
    <w:pPr>
      <w:ind w:firstLine="420"/>
    </w:pPr>
    <w:rPr>
      <w:rFonts w:ascii="Times New Roman" w:hAnsi="Times New Roman"/>
    </w:rPr>
  </w:style>
  <w:style w:type="paragraph" w:styleId="852">
    <w:name w:val="toc 7"/>
    <w:basedOn w:val="839"/>
    <w:next w:val="839"/>
    <w:uiPriority w:val="39"/>
    <w:unhideWhenUsed/>
    <w:qFormat/>
    <w:pPr>
      <w:ind w:left="1701"/>
      <w:spacing w:after="57"/>
    </w:pPr>
  </w:style>
  <w:style w:type="paragraph" w:styleId="853">
    <w:name w:val="List Number 2"/>
    <w:basedOn w:val="839"/>
    <w:uiPriority w:val="0"/>
    <w:qFormat/>
    <w:pPr>
      <w:spacing w:line="440" w:lineRule="exact"/>
    </w:pPr>
    <w:rPr>
      <w:rFonts w:ascii="Times New Roman" w:hAnsi="Times New Roman"/>
      <w:sz w:val="28"/>
      <w:szCs w:val="20"/>
    </w:rPr>
  </w:style>
  <w:style w:type="paragraph" w:styleId="854">
    <w:name w:val="Caption"/>
    <w:basedOn w:val="839"/>
    <w:next w:val="839"/>
    <w:uiPriority w:val="35"/>
    <w:semiHidden/>
    <w:unhideWhenUsed/>
    <w:qFormat/>
    <w:pPr>
      <w:spacing w:line="276" w:lineRule="auto"/>
    </w:pPr>
    <w:rPr>
      <w:b/>
      <w:bCs/>
      <w:color w:val="4f81bd"/>
      <w:sz w:val="18"/>
      <w:szCs w:val="18"/>
    </w:rPr>
  </w:style>
  <w:style w:type="paragraph" w:styleId="855">
    <w:name w:val="Body Text"/>
    <w:basedOn w:val="839"/>
    <w:next w:val="839"/>
    <w:link w:val="1092"/>
    <w:uiPriority w:val="0"/>
    <w:qFormat/>
    <w:pPr>
      <w:jc w:val="center"/>
      <w:spacing w:line="360" w:lineRule="auto"/>
    </w:pPr>
    <w:rPr>
      <w:rFonts w:ascii="宋体" w:hAnsi="宋体" w:cs="宋体"/>
      <w:szCs w:val="21"/>
    </w:rPr>
  </w:style>
  <w:style w:type="paragraph" w:styleId="856">
    <w:name w:val="Body Text Indent"/>
    <w:basedOn w:val="839"/>
    <w:link w:val="1098"/>
    <w:uiPriority w:val="0"/>
    <w:qFormat/>
    <w:pPr>
      <w:ind w:firstLine="560"/>
      <w:jc w:val="left"/>
      <w:spacing w:line="300" w:lineRule="auto"/>
    </w:pPr>
    <w:rPr>
      <w:sz w:val="28"/>
    </w:rPr>
  </w:style>
  <w:style w:type="paragraph" w:styleId="857">
    <w:name w:val="List Bullet 2"/>
    <w:basedOn w:val="839"/>
    <w:uiPriority w:val="99"/>
    <w:unhideWhenUsed/>
    <w:qFormat/>
    <w:pPr>
      <w:ind w:left="780" w:hanging="360"/>
      <w:tabs>
        <w:tab w:val="left" w:pos="780" w:leader="none"/>
      </w:tabs>
    </w:pPr>
    <w:rPr>
      <w:rFonts w:ascii="Times New Roman" w:hAnsi="Times New Roman"/>
    </w:rPr>
  </w:style>
  <w:style w:type="paragraph" w:styleId="858">
    <w:name w:val="index 4"/>
    <w:basedOn w:val="839"/>
    <w:next w:val="839"/>
    <w:uiPriority w:val="0"/>
    <w:unhideWhenUsed/>
    <w:qFormat/>
    <w:pPr>
      <w:ind w:left="600"/>
    </w:pPr>
  </w:style>
  <w:style w:type="paragraph" w:styleId="859">
    <w:name w:val="toc 5"/>
    <w:basedOn w:val="839"/>
    <w:next w:val="839"/>
    <w:uiPriority w:val="39"/>
    <w:unhideWhenUsed/>
    <w:qFormat/>
    <w:pPr>
      <w:ind w:left="1134"/>
      <w:spacing w:after="57"/>
    </w:pPr>
  </w:style>
  <w:style w:type="paragraph" w:styleId="860">
    <w:name w:val="toc 3"/>
    <w:basedOn w:val="839"/>
    <w:next w:val="839"/>
    <w:uiPriority w:val="39"/>
    <w:unhideWhenUsed/>
    <w:qFormat/>
    <w:pPr>
      <w:ind w:left="567"/>
      <w:spacing w:after="57"/>
    </w:pPr>
  </w:style>
  <w:style w:type="paragraph" w:styleId="861">
    <w:name w:val="Plain Text"/>
    <w:basedOn w:val="839"/>
    <w:link w:val="931"/>
    <w:uiPriority w:val="0"/>
    <w:unhideWhenUsed/>
    <w:qFormat/>
    <w:pPr>
      <w:ind w:firstLine="420"/>
      <w:spacing w:line="360" w:lineRule="auto"/>
    </w:pPr>
    <w:rPr>
      <w:rFonts w:ascii="宋体" w:hAnsi="宋体" w:cs="宋体"/>
      <w:szCs w:val="21"/>
    </w:rPr>
  </w:style>
  <w:style w:type="paragraph" w:styleId="862">
    <w:name w:val="toc 8"/>
    <w:basedOn w:val="839"/>
    <w:next w:val="839"/>
    <w:uiPriority w:val="39"/>
    <w:unhideWhenUsed/>
    <w:qFormat/>
    <w:pPr>
      <w:ind w:left="1984"/>
      <w:spacing w:after="57"/>
    </w:pPr>
  </w:style>
  <w:style w:type="paragraph" w:styleId="863">
    <w:name w:val="endnote text"/>
    <w:basedOn w:val="839"/>
    <w:link w:val="932"/>
    <w:uiPriority w:val="99"/>
    <w:semiHidden/>
    <w:unhideWhenUsed/>
    <w:qFormat/>
    <w:rPr>
      <w:sz w:val="20"/>
    </w:rPr>
  </w:style>
  <w:style w:type="paragraph" w:styleId="864">
    <w:name w:val="Footer"/>
    <w:basedOn w:val="839"/>
    <w:link w:val="920"/>
    <w:uiPriority w:val="99"/>
    <w:unhideWhenUsed/>
    <w:qFormat/>
    <w:pPr>
      <w:jc w:val="left"/>
      <w:tabs>
        <w:tab w:val="center" w:pos="4153" w:leader="none"/>
        <w:tab w:val="right" w:pos="8306" w:leader="none"/>
      </w:tabs>
    </w:pPr>
    <w:rPr>
      <w:sz w:val="18"/>
      <w:szCs w:val="18"/>
    </w:rPr>
  </w:style>
  <w:style w:type="paragraph" w:styleId="865">
    <w:name w:val="Header"/>
    <w:basedOn w:val="839"/>
    <w:link w:val="9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6">
    <w:name w:val="toc 1"/>
    <w:basedOn w:val="839"/>
    <w:next w:val="839"/>
    <w:uiPriority w:val="39"/>
    <w:unhideWhenUsed/>
    <w:qFormat/>
    <w:pPr>
      <w:spacing w:after="57"/>
    </w:pPr>
  </w:style>
  <w:style w:type="paragraph" w:styleId="867">
    <w:name w:val="toc 4"/>
    <w:basedOn w:val="839"/>
    <w:next w:val="839"/>
    <w:uiPriority w:val="39"/>
    <w:unhideWhenUsed/>
    <w:qFormat/>
    <w:pPr>
      <w:ind w:left="850"/>
      <w:spacing w:after="57"/>
    </w:pPr>
  </w:style>
  <w:style w:type="paragraph" w:styleId="868">
    <w:name w:val="Subtitle"/>
    <w:basedOn w:val="839"/>
    <w:next w:val="839"/>
    <w:link w:val="933"/>
    <w:uiPriority w:val="11"/>
    <w:qFormat/>
    <w:pPr>
      <w:spacing w:before="200" w:after="200"/>
    </w:pPr>
    <w:rPr>
      <w:sz w:val="24"/>
      <w:szCs w:val="24"/>
    </w:rPr>
  </w:style>
  <w:style w:type="paragraph" w:styleId="869">
    <w:name w:val="footnote text"/>
    <w:basedOn w:val="839"/>
    <w:link w:val="934"/>
    <w:uiPriority w:val="99"/>
    <w:semiHidden/>
    <w:unhideWhenUsed/>
    <w:qFormat/>
    <w:pPr>
      <w:spacing w:after="40"/>
    </w:pPr>
    <w:rPr>
      <w:sz w:val="18"/>
    </w:rPr>
  </w:style>
  <w:style w:type="paragraph" w:styleId="870">
    <w:name w:val="toc 6"/>
    <w:basedOn w:val="839"/>
    <w:next w:val="839"/>
    <w:uiPriority w:val="39"/>
    <w:unhideWhenUsed/>
    <w:qFormat/>
    <w:pPr>
      <w:ind w:left="1417"/>
      <w:spacing w:after="57"/>
    </w:pPr>
  </w:style>
  <w:style w:type="paragraph" w:styleId="871">
    <w:name w:val="table of figures"/>
    <w:basedOn w:val="839"/>
    <w:next w:val="839"/>
    <w:uiPriority w:val="99"/>
    <w:unhideWhenUsed/>
    <w:qFormat/>
  </w:style>
  <w:style w:type="paragraph" w:styleId="872">
    <w:name w:val="toc 2"/>
    <w:basedOn w:val="839"/>
    <w:next w:val="839"/>
    <w:uiPriority w:val="39"/>
    <w:unhideWhenUsed/>
    <w:qFormat/>
    <w:pPr>
      <w:ind w:left="283"/>
      <w:spacing w:after="57"/>
    </w:pPr>
  </w:style>
  <w:style w:type="paragraph" w:styleId="873">
    <w:name w:val="toc 9"/>
    <w:basedOn w:val="839"/>
    <w:next w:val="839"/>
    <w:uiPriority w:val="39"/>
    <w:unhideWhenUsed/>
    <w:qFormat/>
    <w:pPr>
      <w:ind w:left="2268"/>
      <w:spacing w:after="57"/>
    </w:pPr>
  </w:style>
  <w:style w:type="paragraph" w:styleId="874">
    <w:name w:val="Normal (Web)"/>
    <w:basedOn w:val="839"/>
    <w:uiPriority w:val="99"/>
    <w:unhideWhenUsed/>
    <w:qFormat/>
    <w:pPr>
      <w:spacing w:line="360" w:lineRule="auto"/>
    </w:pPr>
    <w:rPr>
      <w:sz w:val="24"/>
      <w:szCs w:val="24"/>
    </w:rPr>
  </w:style>
  <w:style w:type="paragraph" w:styleId="875">
    <w:name w:val="Title"/>
    <w:basedOn w:val="839"/>
    <w:next w:val="839"/>
    <w:link w:val="935"/>
    <w:uiPriority w:val="10"/>
    <w:qFormat/>
    <w:pPr>
      <w:contextualSpacing/>
      <w:spacing w:before="300" w:after="200"/>
    </w:pPr>
    <w:rPr>
      <w:sz w:val="48"/>
      <w:szCs w:val="48"/>
    </w:rPr>
  </w:style>
  <w:style w:type="paragraph" w:styleId="876">
    <w:name w:val="Body Text First Indent 2"/>
    <w:basedOn w:val="856"/>
    <w:link w:val="1099"/>
    <w:uiPriority w:val="99"/>
    <w:unhideWhenUsed/>
    <w:qFormat/>
    <w:pPr>
      <w:ind w:left="420" w:firstLine="420"/>
      <w:jc w:val="both"/>
      <w:spacing w:after="120" w:line="580" w:lineRule="exact"/>
    </w:pPr>
    <w:rPr>
      <w:rFonts w:ascii="Times New Roman" w:hAnsi="Times New Roman" w:eastAsia="方正仿宋_GBK"/>
      <w:sz w:val="32"/>
      <w:szCs w:val="20"/>
    </w:rPr>
  </w:style>
  <w:style w:type="table" w:styleId="8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Strong"/>
    <w:uiPriority w:val="0"/>
    <w:qFormat/>
    <w:rPr>
      <w:b/>
    </w:rPr>
  </w:style>
  <w:style w:type="character" w:styleId="879">
    <w:name w:val="endnote reference"/>
    <w:uiPriority w:val="99"/>
    <w:semiHidden/>
    <w:unhideWhenUsed/>
    <w:qFormat/>
    <w:rPr>
      <w:vertAlign w:val="superscript"/>
    </w:rPr>
  </w:style>
  <w:style w:type="character" w:styleId="880">
    <w:name w:val="Hyperlink"/>
    <w:uiPriority w:val="99"/>
    <w:unhideWhenUsed/>
    <w:qFormat/>
    <w:rPr>
      <w:color w:val="0000ff"/>
      <w:u w:val="single"/>
    </w:rPr>
  </w:style>
  <w:style w:type="character" w:styleId="881">
    <w:name w:val="footnote reference"/>
    <w:uiPriority w:val="99"/>
    <w:unhideWhenUsed/>
    <w:qFormat/>
    <w:rPr>
      <w:vertAlign w:val="superscript"/>
    </w:rPr>
  </w:style>
  <w:style w:type="character" w:styleId="882" w:customStyle="1">
    <w:name w:val="Heading 1 Char"/>
    <w:basedOn w:val="849"/>
    <w:uiPriority w:val="9"/>
    <w:qFormat/>
    <w:rPr>
      <w:rFonts w:ascii="Arial" w:hAnsi="Arial" w:eastAsia="Arial" w:cs="Arial"/>
      <w:sz w:val="40"/>
      <w:szCs w:val="40"/>
    </w:rPr>
  </w:style>
  <w:style w:type="character" w:styleId="883" w:customStyle="1">
    <w:name w:val="Heading 2 Char"/>
    <w:basedOn w:val="849"/>
    <w:uiPriority w:val="9"/>
    <w:qFormat/>
    <w:rPr>
      <w:rFonts w:ascii="Arial" w:hAnsi="Arial" w:eastAsia="Arial" w:cs="Arial"/>
      <w:sz w:val="34"/>
    </w:rPr>
  </w:style>
  <w:style w:type="character" w:styleId="884" w:customStyle="1">
    <w:name w:val="Heading 3 Char"/>
    <w:basedOn w:val="849"/>
    <w:uiPriority w:val="9"/>
    <w:qFormat/>
    <w:rPr>
      <w:rFonts w:ascii="Arial" w:hAnsi="Arial" w:eastAsia="Arial" w:cs="Arial"/>
      <w:sz w:val="30"/>
      <w:szCs w:val="30"/>
    </w:rPr>
  </w:style>
  <w:style w:type="character" w:styleId="885" w:customStyle="1">
    <w:name w:val="Heading 4 Char"/>
    <w:basedOn w:val="849"/>
    <w:uiPriority w:val="9"/>
    <w:qFormat/>
    <w:rPr>
      <w:rFonts w:ascii="Arial" w:hAnsi="Arial" w:eastAsia="Arial" w:cs="Arial"/>
      <w:b/>
      <w:bCs/>
      <w:sz w:val="26"/>
      <w:szCs w:val="26"/>
    </w:rPr>
  </w:style>
  <w:style w:type="character" w:styleId="886" w:customStyle="1">
    <w:name w:val="Heading 5 Char"/>
    <w:basedOn w:val="849"/>
    <w:uiPriority w:val="9"/>
    <w:qFormat/>
    <w:rPr>
      <w:rFonts w:ascii="Arial" w:hAnsi="Arial" w:eastAsia="Arial" w:cs="Arial"/>
      <w:b/>
      <w:bCs/>
      <w:sz w:val="24"/>
      <w:szCs w:val="24"/>
    </w:rPr>
  </w:style>
  <w:style w:type="character" w:styleId="887" w:customStyle="1">
    <w:name w:val="Heading 6 Char"/>
    <w:basedOn w:val="849"/>
    <w:uiPriority w:val="9"/>
    <w:qFormat/>
    <w:rPr>
      <w:rFonts w:ascii="Arial" w:hAnsi="Arial" w:eastAsia="Arial" w:cs="Arial"/>
      <w:b/>
      <w:bCs/>
      <w:sz w:val="22"/>
      <w:szCs w:val="22"/>
    </w:rPr>
  </w:style>
  <w:style w:type="character" w:styleId="888" w:customStyle="1">
    <w:name w:val="Heading 7 Char"/>
    <w:basedOn w:val="849"/>
    <w:uiPriority w:val="9"/>
    <w:qFormat/>
    <w:rPr>
      <w:rFonts w:ascii="Arial" w:hAnsi="Arial" w:eastAsia="Arial" w:cs="Arial"/>
      <w:b/>
      <w:bCs/>
      <w:i/>
      <w:iCs/>
      <w:sz w:val="22"/>
      <w:szCs w:val="22"/>
    </w:rPr>
  </w:style>
  <w:style w:type="character" w:styleId="889" w:customStyle="1">
    <w:name w:val="Heading 8 Char"/>
    <w:basedOn w:val="849"/>
    <w:uiPriority w:val="9"/>
    <w:qFormat/>
    <w:rPr>
      <w:rFonts w:ascii="Arial" w:hAnsi="Arial" w:eastAsia="Arial" w:cs="Arial"/>
      <w:i/>
      <w:iCs/>
      <w:sz w:val="22"/>
      <w:szCs w:val="22"/>
    </w:rPr>
  </w:style>
  <w:style w:type="character" w:styleId="890" w:customStyle="1">
    <w:name w:val="Heading 9 Char"/>
    <w:basedOn w:val="849"/>
    <w:uiPriority w:val="9"/>
    <w:qFormat/>
    <w:rPr>
      <w:rFonts w:ascii="Arial" w:hAnsi="Arial" w:eastAsia="Arial" w:cs="Arial"/>
      <w:i/>
      <w:iCs/>
      <w:sz w:val="21"/>
      <w:szCs w:val="21"/>
    </w:rPr>
  </w:style>
  <w:style w:type="character" w:styleId="891" w:customStyle="1">
    <w:name w:val="Title Char"/>
    <w:basedOn w:val="849"/>
    <w:uiPriority w:val="10"/>
    <w:qFormat/>
    <w:rPr>
      <w:sz w:val="48"/>
      <w:szCs w:val="48"/>
    </w:rPr>
  </w:style>
  <w:style w:type="character" w:styleId="892" w:customStyle="1">
    <w:name w:val="Subtitle Char"/>
    <w:basedOn w:val="849"/>
    <w:uiPriority w:val="11"/>
    <w:qFormat/>
    <w:rPr>
      <w:sz w:val="24"/>
      <w:szCs w:val="24"/>
    </w:rPr>
  </w:style>
  <w:style w:type="character" w:styleId="893" w:customStyle="1">
    <w:name w:val="Quote Char"/>
    <w:uiPriority w:val="29"/>
    <w:qFormat/>
    <w:rPr>
      <w:i/>
    </w:rPr>
  </w:style>
  <w:style w:type="character" w:styleId="894" w:customStyle="1">
    <w:name w:val="Intense Quote Char"/>
    <w:uiPriority w:val="30"/>
    <w:qFormat/>
    <w:rPr>
      <w:i/>
    </w:rPr>
  </w:style>
  <w:style w:type="character" w:styleId="895" w:customStyle="1">
    <w:name w:val="Header Char"/>
    <w:basedOn w:val="849"/>
    <w:uiPriority w:val="99"/>
    <w:qFormat/>
  </w:style>
  <w:style w:type="character" w:styleId="896" w:customStyle="1">
    <w:name w:val="Caption Char"/>
    <w:uiPriority w:val="99"/>
    <w:qFormat/>
  </w:style>
  <w:style w:type="table" w:styleId="897" w:customStyle="1">
    <w:name w:val="无格式表格 11"/>
    <w:basedOn w:val="85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21"/>
    <w:basedOn w:val="850"/>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31"/>
    <w:basedOn w:val="85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basedOn w:val="85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basedOn w:val="85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网格表 1 浅色1"/>
    <w:basedOn w:val="85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网格表 21"/>
    <w:basedOn w:val="85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网格表 31"/>
    <w:basedOn w:val="85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85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网格表 5 深色1"/>
    <w:basedOn w:val="8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网格表 6 彩色1"/>
    <w:basedOn w:val="85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网格表 7 彩色1"/>
    <w:basedOn w:val="850"/>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清单表 1 浅色1"/>
    <w:basedOn w:val="85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清单表 21"/>
    <w:basedOn w:val="850"/>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清单表 31"/>
    <w:basedOn w:val="850"/>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清单表 41"/>
    <w:basedOn w:val="85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清单表 5 深色1"/>
    <w:basedOn w:val="850"/>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850"/>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清单表 7 彩色1"/>
    <w:basedOn w:val="850"/>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6" w:customStyle="1">
    <w:name w:val="Footnote Text Char"/>
    <w:uiPriority w:val="99"/>
    <w:qFormat/>
    <w:rPr>
      <w:sz w:val="18"/>
    </w:rPr>
  </w:style>
  <w:style w:type="character" w:styleId="917" w:customStyle="1">
    <w:name w:val="Endnote Text Char"/>
    <w:uiPriority w:val="99"/>
    <w:qFormat/>
    <w:rPr>
      <w:sz w:val="20"/>
    </w:rPr>
  </w:style>
  <w:style w:type="paragraph" w:styleId="918" w:customStyle="1">
    <w:name w:val="TOC 标题1"/>
    <w:uiPriority w:val="39"/>
    <w:unhideWhenUsed/>
    <w:qFormat/>
    <w:rPr>
      <w:rFonts w:ascii="Times New Roman" w:hAnsi="Times New Roman" w:eastAsia="宋体" w:cs="Times New Roman"/>
      <w:lang w:val="en-US" w:eastAsia="zh-CN" w:bidi="ar-SA"/>
    </w:rPr>
  </w:style>
  <w:style w:type="character" w:styleId="919" w:customStyle="1">
    <w:name w:val="页眉 Char"/>
    <w:basedOn w:val="849"/>
    <w:link w:val="865"/>
    <w:uiPriority w:val="99"/>
    <w:qFormat/>
    <w:rPr>
      <w:sz w:val="18"/>
      <w:szCs w:val="18"/>
    </w:rPr>
  </w:style>
  <w:style w:type="character" w:styleId="920" w:customStyle="1">
    <w:name w:val="页脚 Char"/>
    <w:basedOn w:val="849"/>
    <w:link w:val="864"/>
    <w:uiPriority w:val="99"/>
    <w:qFormat/>
    <w:rPr>
      <w:sz w:val="18"/>
      <w:szCs w:val="18"/>
    </w:rPr>
  </w:style>
  <w:style w:type="character" w:styleId="921" w:customStyle="1">
    <w:name w:val="标题 1 Char"/>
    <w:basedOn w:val="849"/>
    <w:link w:val="840"/>
    <w:uiPriority w:val="9"/>
    <w:qFormat/>
    <w:rPr>
      <w:rFonts w:ascii="Arial" w:hAnsi="Arial" w:eastAsia="Arial" w:cs="Arial"/>
      <w:sz w:val="40"/>
      <w:szCs w:val="40"/>
    </w:rPr>
  </w:style>
  <w:style w:type="character" w:styleId="922" w:customStyle="1">
    <w:name w:val="标题 2 Char"/>
    <w:basedOn w:val="849"/>
    <w:link w:val="841"/>
    <w:uiPriority w:val="9"/>
    <w:qFormat/>
    <w:rPr>
      <w:rFonts w:ascii="Arial" w:hAnsi="Arial" w:eastAsia="Arial" w:cs="Arial"/>
      <w:sz w:val="34"/>
    </w:rPr>
  </w:style>
  <w:style w:type="character" w:styleId="923" w:customStyle="1">
    <w:name w:val="标题 3 Char"/>
    <w:basedOn w:val="849"/>
    <w:link w:val="842"/>
    <w:uiPriority w:val="9"/>
    <w:qFormat/>
    <w:rPr>
      <w:rFonts w:ascii="Arial" w:hAnsi="Arial" w:eastAsia="Arial" w:cs="Arial"/>
      <w:sz w:val="30"/>
      <w:szCs w:val="30"/>
    </w:rPr>
  </w:style>
  <w:style w:type="character" w:styleId="924" w:customStyle="1">
    <w:name w:val="标题 4 Char"/>
    <w:basedOn w:val="849"/>
    <w:link w:val="843"/>
    <w:uiPriority w:val="9"/>
    <w:qFormat/>
    <w:rPr>
      <w:rFonts w:ascii="Arial" w:hAnsi="Arial" w:eastAsia="Arial" w:cs="Arial"/>
      <w:b/>
      <w:bCs/>
      <w:sz w:val="26"/>
      <w:szCs w:val="26"/>
    </w:rPr>
  </w:style>
  <w:style w:type="character" w:styleId="925" w:customStyle="1">
    <w:name w:val="标题 5 Char"/>
    <w:basedOn w:val="849"/>
    <w:link w:val="844"/>
    <w:uiPriority w:val="9"/>
    <w:qFormat/>
    <w:rPr>
      <w:rFonts w:ascii="Arial" w:hAnsi="Arial" w:eastAsia="Arial" w:cs="Arial"/>
      <w:b/>
      <w:bCs/>
      <w:sz w:val="24"/>
      <w:szCs w:val="24"/>
    </w:rPr>
  </w:style>
  <w:style w:type="character" w:styleId="926" w:customStyle="1">
    <w:name w:val="标题 6 Char"/>
    <w:basedOn w:val="849"/>
    <w:link w:val="845"/>
    <w:uiPriority w:val="9"/>
    <w:qFormat/>
    <w:rPr>
      <w:rFonts w:ascii="Arial" w:hAnsi="Arial" w:eastAsia="Arial" w:cs="Arial"/>
      <w:b/>
      <w:bCs/>
      <w:sz w:val="22"/>
    </w:rPr>
  </w:style>
  <w:style w:type="character" w:styleId="927" w:customStyle="1">
    <w:name w:val="标题 7 Char"/>
    <w:basedOn w:val="849"/>
    <w:link w:val="846"/>
    <w:uiPriority w:val="9"/>
    <w:qFormat/>
    <w:rPr>
      <w:rFonts w:ascii="Arial" w:hAnsi="Arial" w:eastAsia="Arial" w:cs="Arial"/>
      <w:b/>
      <w:bCs/>
      <w:i/>
      <w:iCs/>
      <w:sz w:val="22"/>
    </w:rPr>
  </w:style>
  <w:style w:type="character" w:styleId="928" w:customStyle="1">
    <w:name w:val="标题 8 Char"/>
    <w:basedOn w:val="849"/>
    <w:link w:val="847"/>
    <w:uiPriority w:val="9"/>
    <w:qFormat/>
    <w:rPr>
      <w:rFonts w:ascii="Arial" w:hAnsi="Arial" w:eastAsia="Arial" w:cs="Arial"/>
      <w:i/>
      <w:iCs/>
      <w:sz w:val="22"/>
    </w:rPr>
  </w:style>
  <w:style w:type="character" w:styleId="929" w:customStyle="1">
    <w:name w:val="标题 9 Char"/>
    <w:basedOn w:val="849"/>
    <w:link w:val="848"/>
    <w:uiPriority w:val="9"/>
    <w:qFormat/>
    <w:rPr>
      <w:rFonts w:ascii="Arial" w:hAnsi="Arial" w:eastAsia="Arial" w:cs="Arial"/>
      <w:i/>
      <w:iCs/>
      <w:szCs w:val="21"/>
    </w:rPr>
  </w:style>
  <w:style w:type="paragraph" w:styleId="930" w:customStyle="1">
    <w:name w:val="正文（缩进）"/>
    <w:basedOn w:val="839"/>
    <w:next w:val="839"/>
    <w:uiPriority w:val="0"/>
    <w:qFormat/>
    <w:pPr>
      <w:jc w:val="center"/>
      <w:spacing w:line="360" w:lineRule="auto"/>
    </w:pPr>
    <w:rPr>
      <w:rFonts w:ascii="宋体" w:hAnsi="宋体"/>
      <w:b/>
      <w:bCs/>
      <w:sz w:val="28"/>
      <w:szCs w:val="40"/>
    </w:rPr>
  </w:style>
  <w:style w:type="character" w:styleId="931" w:customStyle="1">
    <w:name w:val="纯文本 Char1"/>
    <w:basedOn w:val="849"/>
    <w:link w:val="861"/>
    <w:uiPriority w:val="0"/>
    <w:qFormat/>
    <w:rPr>
      <w:rFonts w:ascii="宋体" w:hAnsi="宋体" w:cs="宋体"/>
      <w:sz w:val="21"/>
      <w:szCs w:val="21"/>
    </w:rPr>
  </w:style>
  <w:style w:type="character" w:styleId="932" w:customStyle="1">
    <w:name w:val="尾注文本 Char"/>
    <w:basedOn w:val="849"/>
    <w:link w:val="863"/>
    <w:uiPriority w:val="99"/>
    <w:semiHidden/>
    <w:qFormat/>
    <w:rPr>
      <w:rFonts w:ascii="Calibri" w:hAnsi="Calibri" w:eastAsia="宋体" w:cs="Times New Roman"/>
      <w:sz w:val="20"/>
    </w:rPr>
  </w:style>
  <w:style w:type="character" w:styleId="933" w:customStyle="1">
    <w:name w:val="副标题 Char"/>
    <w:basedOn w:val="849"/>
    <w:link w:val="868"/>
    <w:uiPriority w:val="11"/>
    <w:qFormat/>
    <w:rPr>
      <w:rFonts w:ascii="Calibri" w:hAnsi="Calibri" w:eastAsia="宋体" w:cs="Times New Roman"/>
      <w:sz w:val="24"/>
      <w:szCs w:val="24"/>
    </w:rPr>
  </w:style>
  <w:style w:type="character" w:styleId="934" w:customStyle="1">
    <w:name w:val="脚注文本 Char"/>
    <w:basedOn w:val="849"/>
    <w:link w:val="869"/>
    <w:uiPriority w:val="99"/>
    <w:semiHidden/>
    <w:qFormat/>
    <w:rPr>
      <w:rFonts w:ascii="Calibri" w:hAnsi="Calibri" w:eastAsia="宋体" w:cs="Times New Roman"/>
      <w:sz w:val="18"/>
    </w:rPr>
  </w:style>
  <w:style w:type="character" w:styleId="935" w:customStyle="1">
    <w:name w:val="标题 Char"/>
    <w:basedOn w:val="849"/>
    <w:link w:val="875"/>
    <w:uiPriority w:val="10"/>
    <w:qFormat/>
    <w:rPr>
      <w:rFonts w:ascii="Calibri" w:hAnsi="Calibri" w:eastAsia="宋体" w:cs="Times New Roman"/>
      <w:sz w:val="48"/>
      <w:szCs w:val="48"/>
    </w:rPr>
  </w:style>
  <w:style w:type="paragraph" w:styleId="936">
    <w:name w:val="No Spacing"/>
    <w:uiPriority w:val="1"/>
    <w:qFormat/>
    <w:rPr>
      <w:rFonts w:ascii="Times New Roman" w:hAnsi="Times New Roman" w:eastAsia="宋体" w:cs="Times New Roman"/>
      <w:lang w:val="en-US" w:eastAsia="zh-CN" w:bidi="ar-SA"/>
    </w:rPr>
  </w:style>
  <w:style w:type="paragraph" w:styleId="937">
    <w:name w:val="Quote"/>
    <w:basedOn w:val="839"/>
    <w:next w:val="839"/>
    <w:link w:val="938"/>
    <w:uiPriority w:val="29"/>
    <w:qFormat/>
    <w:pPr>
      <w:ind w:left="720" w:right="720"/>
    </w:pPr>
    <w:rPr>
      <w:i/>
    </w:rPr>
  </w:style>
  <w:style w:type="character" w:styleId="938" w:customStyle="1">
    <w:name w:val="引用 Char"/>
    <w:basedOn w:val="849"/>
    <w:link w:val="937"/>
    <w:uiPriority w:val="29"/>
    <w:qFormat/>
    <w:rPr>
      <w:rFonts w:ascii="Calibri" w:hAnsi="Calibri" w:eastAsia="宋体" w:cs="Times New Roman"/>
      <w:i/>
    </w:rPr>
  </w:style>
  <w:style w:type="paragraph" w:styleId="939">
    <w:name w:val="Intense Quote"/>
    <w:basedOn w:val="839"/>
    <w:next w:val="839"/>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明显引用 Char"/>
    <w:basedOn w:val="849"/>
    <w:link w:val="939"/>
    <w:uiPriority w:val="30"/>
    <w:qFormat/>
    <w:rPr>
      <w:rFonts w:ascii="Calibri" w:hAnsi="Calibri" w:eastAsia="宋体" w:cs="Times New Roman"/>
      <w:i/>
      <w:shd w:val="clear" w:color="auto" w:fill="f2f2f2"/>
    </w:rPr>
  </w:style>
  <w:style w:type="character" w:styleId="941" w:customStyle="1">
    <w:name w:val="Footer Char"/>
    <w:uiPriority w:val="99"/>
    <w:qFormat/>
  </w:style>
  <w:style w:type="table" w:styleId="94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5" w:customStyle="1">
    <w:name w:val="List Table 1 Light - Accent 1"/>
    <w:uiPriority w:val="99"/>
    <w:qFormat/>
    <w:tblPr>
      <w:tblCellMar>
        <w:left w:w="0" w:type="dxa"/>
        <w:top w:w="0" w:type="dxa"/>
        <w:right w:w="0" w:type="dxa"/>
        <w:bottom w:w="0" w:type="dxa"/>
      </w:tblCellMar>
    </w:tblPr>
  </w:style>
  <w:style w:type="table" w:styleId="986" w:customStyle="1">
    <w:name w:val="List Table 1 Light - Accent 2"/>
    <w:uiPriority w:val="99"/>
    <w:qFormat/>
    <w:tblPr>
      <w:tblCellMar>
        <w:left w:w="0" w:type="dxa"/>
        <w:top w:w="0" w:type="dxa"/>
        <w:right w:w="0" w:type="dxa"/>
        <w:bottom w:w="0" w:type="dxa"/>
      </w:tblCellMar>
    </w:tblPr>
  </w:style>
  <w:style w:type="table" w:styleId="987" w:customStyle="1">
    <w:name w:val="List Table 1 Light - Accent 3"/>
    <w:uiPriority w:val="99"/>
    <w:qFormat/>
    <w:tblPr>
      <w:tblCellMar>
        <w:left w:w="0" w:type="dxa"/>
        <w:top w:w="0" w:type="dxa"/>
        <w:right w:w="0" w:type="dxa"/>
        <w:bottom w:w="0" w:type="dxa"/>
      </w:tblCellMar>
    </w:tblPr>
  </w:style>
  <w:style w:type="table" w:styleId="988" w:customStyle="1">
    <w:name w:val="List Table 1 Light - Accent 4"/>
    <w:uiPriority w:val="99"/>
    <w:qFormat/>
    <w:tblPr>
      <w:tblCellMar>
        <w:left w:w="0" w:type="dxa"/>
        <w:top w:w="0" w:type="dxa"/>
        <w:right w:w="0" w:type="dxa"/>
        <w:bottom w:w="0" w:type="dxa"/>
      </w:tblCellMar>
    </w:tblPr>
  </w:style>
  <w:style w:type="table" w:styleId="989" w:customStyle="1">
    <w:name w:val="List Table 1 Light - Accent 5"/>
    <w:uiPriority w:val="99"/>
    <w:qFormat/>
    <w:tblPr>
      <w:tblCellMar>
        <w:left w:w="0" w:type="dxa"/>
        <w:top w:w="0" w:type="dxa"/>
        <w:right w:w="0" w:type="dxa"/>
        <w:bottom w:w="0" w:type="dxa"/>
      </w:tblCellMar>
    </w:tblPr>
  </w:style>
  <w:style w:type="table" w:styleId="990" w:customStyle="1">
    <w:name w:val="List Table 1 Light - Accent 6"/>
    <w:uiPriority w:val="99"/>
    <w:qFormat/>
    <w:tblPr>
      <w:tblCellMar>
        <w:left w:w="0" w:type="dxa"/>
        <w:top w:w="0" w:type="dxa"/>
        <w:right w:w="0" w:type="dxa"/>
        <w:bottom w:w="0" w:type="dxa"/>
      </w:tblCellMar>
    </w:tblPr>
  </w:style>
  <w:style w:type="table" w:styleId="99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7" w:customStyle="1">
    <w:name w:val="Lined - Accent"/>
    <w:uiPriority w:val="99"/>
    <w:qFormat/>
    <w:rPr>
      <w:color w:val="404040"/>
    </w:rPr>
    <w:tblPr>
      <w:tblCellMar>
        <w:left w:w="0" w:type="dxa"/>
        <w:top w:w="0" w:type="dxa"/>
        <w:right w:w="0" w:type="dxa"/>
        <w:bottom w:w="0" w:type="dxa"/>
      </w:tblCellMar>
    </w:tblPr>
  </w:style>
  <w:style w:type="table" w:styleId="1028" w:customStyle="1">
    <w:name w:val="Lined - Accent 1"/>
    <w:uiPriority w:val="99"/>
    <w:qFormat/>
    <w:rPr>
      <w:color w:val="404040"/>
    </w:rPr>
    <w:tblPr>
      <w:tblCellMar>
        <w:left w:w="0" w:type="dxa"/>
        <w:top w:w="0" w:type="dxa"/>
        <w:right w:w="0" w:type="dxa"/>
        <w:bottom w:w="0" w:type="dxa"/>
      </w:tblCellMar>
    </w:tblPr>
  </w:style>
  <w:style w:type="table" w:styleId="1029" w:customStyle="1">
    <w:name w:val="Lined - Accent 2"/>
    <w:uiPriority w:val="99"/>
    <w:qFormat/>
    <w:rPr>
      <w:color w:val="404040"/>
    </w:rPr>
    <w:tblPr>
      <w:tblCellMar>
        <w:left w:w="0" w:type="dxa"/>
        <w:top w:w="0" w:type="dxa"/>
        <w:right w:w="0" w:type="dxa"/>
        <w:bottom w:w="0" w:type="dxa"/>
      </w:tblCellMar>
    </w:tblPr>
  </w:style>
  <w:style w:type="table" w:styleId="1030" w:customStyle="1">
    <w:name w:val="Lined - Accent 3"/>
    <w:uiPriority w:val="99"/>
    <w:qFormat/>
    <w:rPr>
      <w:color w:val="404040"/>
    </w:rPr>
    <w:tblPr>
      <w:tblCellMar>
        <w:left w:w="0" w:type="dxa"/>
        <w:top w:w="0" w:type="dxa"/>
        <w:right w:w="0" w:type="dxa"/>
        <w:bottom w:w="0" w:type="dxa"/>
      </w:tblCellMar>
    </w:tblPr>
  </w:style>
  <w:style w:type="table" w:styleId="1031" w:customStyle="1">
    <w:name w:val="Lined - Accent 4"/>
    <w:uiPriority w:val="99"/>
    <w:qFormat/>
    <w:rPr>
      <w:color w:val="404040"/>
    </w:rPr>
    <w:tblPr>
      <w:tblCellMar>
        <w:left w:w="0" w:type="dxa"/>
        <w:top w:w="0" w:type="dxa"/>
        <w:right w:w="0" w:type="dxa"/>
        <w:bottom w:w="0" w:type="dxa"/>
      </w:tblCellMar>
    </w:tblPr>
  </w:style>
  <w:style w:type="table" w:styleId="1032" w:customStyle="1">
    <w:name w:val="Lined - Accent 5"/>
    <w:uiPriority w:val="99"/>
    <w:qFormat/>
    <w:rPr>
      <w:color w:val="404040"/>
    </w:rPr>
    <w:tblPr>
      <w:tblCellMar>
        <w:left w:w="0" w:type="dxa"/>
        <w:top w:w="0" w:type="dxa"/>
        <w:right w:w="0" w:type="dxa"/>
        <w:bottom w:w="0" w:type="dxa"/>
      </w:tblCellMar>
    </w:tblPr>
  </w:style>
  <w:style w:type="table" w:styleId="1033" w:customStyle="1">
    <w:name w:val="Lined - Accent 6"/>
    <w:uiPriority w:val="99"/>
    <w:qFormat/>
    <w:rPr>
      <w:color w:val="404040"/>
    </w:rPr>
    <w:tblPr>
      <w:tblCellMar>
        <w:left w:w="0" w:type="dxa"/>
        <w:top w:w="0" w:type="dxa"/>
        <w:right w:w="0" w:type="dxa"/>
        <w:bottom w:w="0" w:type="dxa"/>
      </w:tblCellMar>
    </w:tblPr>
  </w:style>
  <w:style w:type="table" w:styleId="103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48" w:customStyle="1">
    <w:name w:val="TOC 标题11"/>
    <w:uiPriority w:val="39"/>
    <w:unhideWhenUsed/>
    <w:qFormat/>
    <w:rPr>
      <w:rFonts w:ascii="Times New Roman" w:hAnsi="Times New Roman" w:eastAsia="宋体" w:cs="Times New Roman"/>
      <w:lang w:val="en-US" w:eastAsia="zh-CN" w:bidi="ar-SA"/>
    </w:rPr>
  </w:style>
  <w:style w:type="paragraph" w:styleId="1049" w:customStyle="1">
    <w:name w:val="标题 11"/>
    <w:basedOn w:val="839"/>
    <w:next w:val="839"/>
    <w:uiPriority w:val="9"/>
    <w:qFormat/>
    <w:pPr>
      <w:keepLines/>
      <w:keepNext/>
      <w:spacing w:before="340" w:after="330" w:line="578" w:lineRule="auto"/>
      <w:outlineLvl w:val="0"/>
    </w:pPr>
    <w:rPr>
      <w:b/>
      <w:bCs/>
      <w:sz w:val="44"/>
      <w:szCs w:val="44"/>
    </w:rPr>
  </w:style>
  <w:style w:type="paragraph" w:styleId="1050" w:customStyle="1">
    <w:name w:val="标题 21"/>
    <w:basedOn w:val="839"/>
    <w:next w:val="10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1" w:customStyle="1">
    <w:name w:val="正文缩进1"/>
    <w:basedOn w:val="839"/>
    <w:next w:val="1052"/>
    <w:uiPriority w:val="0"/>
    <w:unhideWhenUsed/>
    <w:qFormat/>
    <w:pPr>
      <w:ind w:firstLine="420"/>
    </w:pPr>
  </w:style>
  <w:style w:type="paragraph" w:styleId="1052" w:customStyle="1">
    <w:name w:val="正文文本缩进1"/>
    <w:basedOn w:val="839"/>
    <w:next w:val="1051"/>
    <w:uiPriority w:val="0"/>
    <w:qFormat/>
    <w:pPr>
      <w:ind w:left="420"/>
      <w:spacing w:line="360" w:lineRule="auto"/>
    </w:pPr>
    <w:rPr>
      <w:sz w:val="20"/>
      <w:szCs w:val="24"/>
    </w:rPr>
  </w:style>
  <w:style w:type="paragraph" w:styleId="1053" w:customStyle="1">
    <w:name w:val="标题 31"/>
    <w:basedOn w:val="839"/>
    <w:next w:val="839"/>
    <w:uiPriority w:val="0"/>
    <w:qFormat/>
    <w:pPr>
      <w:keepLines/>
      <w:keepNext/>
      <w:spacing w:before="260" w:after="260" w:line="416" w:lineRule="auto"/>
      <w:outlineLvl w:val="2"/>
    </w:pPr>
    <w:rPr>
      <w:b/>
      <w:bCs/>
      <w:sz w:val="32"/>
      <w:szCs w:val="32"/>
    </w:rPr>
  </w:style>
  <w:style w:type="paragraph" w:styleId="1054" w:customStyle="1">
    <w:name w:val="标题 41"/>
    <w:basedOn w:val="839"/>
    <w:next w:val="1051"/>
    <w:uiPriority w:val="0"/>
    <w:qFormat/>
    <w:pPr>
      <w:spacing w:before="280" w:after="290" w:line="377" w:lineRule="auto"/>
      <w:outlineLvl w:val="3"/>
    </w:pPr>
    <w:rPr>
      <w:rFonts w:ascii="Arial" w:hAnsi="Arial" w:eastAsia="黑体"/>
      <w:b/>
      <w:bCs/>
      <w:sz w:val="28"/>
      <w:szCs w:val="28"/>
    </w:rPr>
  </w:style>
  <w:style w:type="character" w:styleId="1055" w:customStyle="1">
    <w:name w:val="默认段落字体1"/>
    <w:uiPriority w:val="1"/>
    <w:unhideWhenUsed/>
    <w:qFormat/>
  </w:style>
  <w:style w:type="table" w:styleId="1056" w:customStyle="1">
    <w:name w:val="普通表格1"/>
    <w:uiPriority w:val="99"/>
    <w:unhideWhenUsed/>
    <w:qFormat/>
    <w:tblPr>
      <w:tblCellMar>
        <w:left w:w="0" w:type="dxa"/>
        <w:top w:w="0" w:type="dxa"/>
        <w:right w:w="0" w:type="dxa"/>
        <w:bottom w:w="0" w:type="dxa"/>
      </w:tblCellMar>
    </w:tblPr>
  </w:style>
  <w:style w:type="paragraph" w:styleId="1057" w:customStyle="1">
    <w:name w:val="批注文字1"/>
    <w:basedOn w:val="839"/>
    <w:uiPriority w:val="0"/>
    <w:qFormat/>
    <w:pPr>
      <w:jc w:val="left"/>
    </w:pPr>
  </w:style>
  <w:style w:type="paragraph" w:styleId="1058" w:customStyle="1">
    <w:name w:val="正文文本11"/>
    <w:basedOn w:val="839"/>
    <w:next w:val="839"/>
    <w:uiPriority w:val="0"/>
    <w:qFormat/>
    <w:rPr>
      <w:rFonts w:ascii="楷体_GB2312" w:hAnsi="Arial" w:eastAsia="楷体_GB2312"/>
      <w:sz w:val="28"/>
      <w:szCs w:val="28"/>
    </w:rPr>
  </w:style>
  <w:style w:type="paragraph" w:styleId="1059" w:customStyle="1">
    <w:name w:val="列表 21"/>
    <w:basedOn w:val="839"/>
    <w:uiPriority w:val="0"/>
    <w:unhideWhenUsed/>
    <w:qFormat/>
    <w:pPr>
      <w:ind w:left="100" w:hanging="200"/>
      <w:jc w:val="left"/>
    </w:pPr>
    <w:rPr>
      <w:rFonts w:ascii="宋体" w:hAnsi="宋体"/>
    </w:rPr>
  </w:style>
  <w:style w:type="paragraph" w:styleId="1060" w:customStyle="1">
    <w:name w:val="纯文本1"/>
    <w:basedOn w:val="839"/>
    <w:next w:val="1051"/>
    <w:uiPriority w:val="99"/>
    <w:qFormat/>
    <w:rPr>
      <w:rFonts w:ascii="宋体" w:hAnsi="Courier New"/>
      <w:sz w:val="20"/>
      <w:szCs w:val="21"/>
    </w:rPr>
  </w:style>
  <w:style w:type="paragraph" w:styleId="1061" w:customStyle="1">
    <w:name w:val="正文文本缩进 21"/>
    <w:basedOn w:val="839"/>
    <w:uiPriority w:val="0"/>
    <w:qFormat/>
    <w:pPr>
      <w:ind w:firstLine="540"/>
      <w:spacing w:line="360" w:lineRule="auto"/>
    </w:pPr>
    <w:rPr>
      <w:rFonts w:ascii="宋体" w:hAnsi="宋体"/>
      <w:sz w:val="24"/>
    </w:rPr>
  </w:style>
  <w:style w:type="paragraph" w:styleId="1062" w:customStyle="1">
    <w:name w:val="批注框文本1"/>
    <w:basedOn w:val="839"/>
    <w:link w:val="1063"/>
    <w:uiPriority w:val="0"/>
    <w:qFormat/>
    <w:rPr>
      <w:sz w:val="18"/>
      <w:szCs w:val="18"/>
    </w:rPr>
  </w:style>
  <w:style w:type="character" w:styleId="1063" w:customStyle="1">
    <w:name w:val="批注框文本 字符"/>
    <w:link w:val="1062"/>
    <w:uiPriority w:val="0"/>
    <w:qFormat/>
    <w:rPr>
      <w:rFonts w:ascii="Calibri" w:hAnsi="Calibri" w:eastAsia="宋体" w:cs="Times New Roman"/>
      <w:sz w:val="18"/>
      <w:szCs w:val="18"/>
    </w:rPr>
  </w:style>
  <w:style w:type="paragraph" w:styleId="1064" w:customStyle="1">
    <w:name w:val="页脚1"/>
    <w:basedOn w:val="839"/>
    <w:uiPriority w:val="99"/>
    <w:unhideWhenUsed/>
    <w:qFormat/>
    <w:pPr>
      <w:jc w:val="left"/>
      <w:tabs>
        <w:tab w:val="center" w:pos="4153" w:leader="none"/>
        <w:tab w:val="right" w:pos="8306" w:leader="none"/>
      </w:tabs>
    </w:pPr>
    <w:rPr>
      <w:sz w:val="18"/>
      <w:szCs w:val="18"/>
    </w:rPr>
  </w:style>
  <w:style w:type="paragraph" w:styleId="1065" w:customStyle="1">
    <w:name w:val="页眉1"/>
    <w:basedOn w:val="83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66" w:customStyle="1">
    <w:name w:val="目录 11"/>
    <w:basedOn w:val="839"/>
    <w:next w:val="839"/>
    <w:uiPriority w:val="39"/>
    <w:unhideWhenUsed/>
    <w:qFormat/>
  </w:style>
  <w:style w:type="paragraph" w:styleId="1067" w:customStyle="1">
    <w:name w:val="目录 21"/>
    <w:basedOn w:val="839"/>
    <w:next w:val="839"/>
    <w:uiPriority w:val="0"/>
    <w:qFormat/>
    <w:pPr>
      <w:ind w:left="420"/>
    </w:pPr>
  </w:style>
  <w:style w:type="paragraph" w:styleId="1068" w:customStyle="1">
    <w:name w:val="正文文本 21"/>
    <w:basedOn w:val="839"/>
    <w:uiPriority w:val="0"/>
    <w:qFormat/>
    <w:pPr>
      <w:spacing w:after="120" w:line="480" w:lineRule="auto"/>
    </w:pPr>
  </w:style>
  <w:style w:type="paragraph" w:styleId="1069" w:customStyle="1">
    <w:name w:val="普通(网站)1"/>
    <w:basedOn w:val="839"/>
    <w:uiPriority w:val="0"/>
    <w:qFormat/>
    <w:rPr>
      <w:rFonts w:ascii="Times New Roman" w:hAnsi="Times New Roman"/>
      <w:sz w:val="24"/>
    </w:rPr>
  </w:style>
  <w:style w:type="paragraph" w:styleId="1070" w:customStyle="1">
    <w:name w:val="正文首行缩进1"/>
    <w:basedOn w:val="839"/>
    <w:uiPriority w:val="0"/>
    <w:qFormat/>
    <w:pPr>
      <w:spacing w:line="312" w:lineRule="auto"/>
    </w:pPr>
    <w:rPr>
      <w:rFonts w:ascii="Arial" w:hAnsi="Arial" w:eastAsia="幼圆"/>
      <w:sz w:val="28"/>
    </w:rPr>
  </w:style>
  <w:style w:type="paragraph" w:styleId="1071" w:customStyle="1">
    <w:name w:val="正文首行缩进 21"/>
    <w:basedOn w:val="1052"/>
    <w:uiPriority w:val="99"/>
    <w:unhideWhenUsed/>
    <w:qFormat/>
    <w:pPr>
      <w:ind w:firstLine="420"/>
    </w:pPr>
  </w:style>
  <w:style w:type="table" w:styleId="1072" w:customStyle="1">
    <w:name w:val="网格型1"/>
    <w:basedOn w:val="1056"/>
    <w:uiPriority w:val="0"/>
    <w:qFormat/>
    <w:rPr>
      <w:rFonts w:ascii="Calibri" w:hAnsi="Calibri"/>
    </w:rPr>
    <w:tblPr/>
  </w:style>
  <w:style w:type="character" w:styleId="1073" w:customStyle="1">
    <w:name w:val="要点1"/>
    <w:uiPriority w:val="0"/>
    <w:qFormat/>
    <w:rPr>
      <w:b/>
    </w:rPr>
  </w:style>
  <w:style w:type="character" w:styleId="1074" w:customStyle="1">
    <w:name w:val="超链接1"/>
    <w:uiPriority w:val="0"/>
    <w:qFormat/>
    <w:rPr>
      <w:color w:val="0000ff"/>
      <w:u w:val="single"/>
    </w:rPr>
  </w:style>
  <w:style w:type="character" w:styleId="1075" w:customStyle="1">
    <w:name w:val="批注引用1"/>
    <w:uiPriority w:val="0"/>
    <w:qFormat/>
    <w:rPr>
      <w:sz w:val="21"/>
      <w:szCs w:val="21"/>
    </w:rPr>
  </w:style>
  <w:style w:type="paragraph" w:styleId="1076" w:customStyle="1">
    <w:name w:val="普通正文"/>
    <w:basedOn w:val="839"/>
    <w:link w:val="1093"/>
    <w:uiPriority w:val="0"/>
    <w:qFormat/>
    <w:pPr>
      <w:ind w:firstLine="420"/>
      <w:jc w:val="left"/>
      <w:spacing w:line="360" w:lineRule="auto"/>
    </w:pPr>
    <w:rPr>
      <w:rFonts w:ascii="宋体" w:hAnsi="宋体"/>
      <w:szCs w:val="21"/>
    </w:rPr>
  </w:style>
  <w:style w:type="paragraph" w:styleId="1077" w:customStyle="1">
    <w:name w:val="Char"/>
    <w:basedOn w:val="839"/>
    <w:uiPriority w:val="0"/>
    <w:qFormat/>
    <w:pPr>
      <w:ind w:firstLine="200"/>
      <w:tabs>
        <w:tab w:val="left" w:pos="360" w:leader="none"/>
      </w:tabs>
    </w:pPr>
    <w:rPr>
      <w:rFonts w:ascii="Times New Roman" w:hAnsi="Times New Roman"/>
      <w:sz w:val="28"/>
      <w:szCs w:val="30"/>
    </w:rPr>
  </w:style>
  <w:style w:type="paragraph" w:styleId="1078" w:customStyle="1">
    <w:name w:val="正文1"/>
    <w:basedOn w:val="839"/>
    <w:next w:val="1079"/>
    <w:uiPriority w:val="0"/>
    <w:qFormat/>
    <w:pPr>
      <w:jc w:val="left"/>
      <w:spacing w:line="360" w:lineRule="atLeast"/>
    </w:pPr>
    <w:rPr>
      <w:rFonts w:ascii="宋体"/>
      <w:sz w:val="24"/>
      <w:szCs w:val="20"/>
    </w:rPr>
  </w:style>
  <w:style w:type="paragraph" w:styleId="1079" w:customStyle="1">
    <w:name w:val="正文文本1"/>
    <w:basedOn w:val="1078"/>
    <w:next w:val="1080"/>
    <w:uiPriority w:val="0"/>
    <w:qFormat/>
    <w:pPr>
      <w:spacing w:after="120"/>
    </w:pPr>
    <w:rPr>
      <w:lang w:eastAsia="en-US"/>
    </w:rPr>
  </w:style>
  <w:style w:type="paragraph" w:styleId="1080" w:customStyle="1">
    <w:name w:val="一级条标题"/>
    <w:basedOn w:val="1081"/>
    <w:next w:val="108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1" w:customStyle="1">
    <w:name w:val="章标题"/>
    <w:next w:val="83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2" w:customStyle="1">
    <w:name w:val="段"/>
    <w:basedOn w:val="1078"/>
    <w:next w:val="839"/>
    <w:uiPriority w:val="0"/>
    <w:qFormat/>
    <w:pPr>
      <w:ind w:firstLine="200"/>
      <w:widowControl/>
    </w:pPr>
    <w:rPr>
      <w:sz w:val="20"/>
    </w:rPr>
  </w:style>
  <w:style w:type="paragraph" w:styleId="1083" w:customStyle="1">
    <w:name w:val="Table Paragraph"/>
    <w:basedOn w:val="839"/>
    <w:uiPriority w:val="1"/>
    <w:qFormat/>
    <w:rPr>
      <w:rFonts w:ascii="Noto Sans CJK JP Regular" w:hAnsi="Noto Sans CJK JP Regular" w:eastAsia="Noto Sans CJK JP Regular" w:cs="Noto Sans CJK JP Regular"/>
    </w:rPr>
  </w:style>
  <w:style w:type="paragraph" w:styleId="1084" w:customStyle="1">
    <w:name w:val="表内容"/>
    <w:basedOn w:val="839"/>
    <w:next w:val="839"/>
    <w:uiPriority w:val="0"/>
    <w:qFormat/>
    <w:pPr>
      <w:jc w:val="center"/>
    </w:pPr>
  </w:style>
  <w:style w:type="paragraph" w:styleId="1085" w:customStyle="1">
    <w:name w:val="宋14"/>
    <w:basedOn w:val="839"/>
    <w:uiPriority w:val="0"/>
    <w:qFormat/>
    <w:pPr>
      <w:spacing w:before="113"/>
    </w:pPr>
    <w:rPr>
      <w:rFonts w:ascii="宋体"/>
      <w:b/>
      <w:bCs/>
      <w:sz w:val="28"/>
      <w:szCs w:val="28"/>
    </w:rPr>
  </w:style>
  <w:style w:type="character" w:styleId="1086" w:customStyle="1">
    <w:name w:val="font21"/>
    <w:uiPriority w:val="0"/>
    <w:qFormat/>
    <w:rPr>
      <w:rFonts w:hint="eastAsia" w:ascii="宋体" w:hAnsi="宋体" w:eastAsia="宋体" w:cs="宋体"/>
      <w:color w:val="000000"/>
      <w:sz w:val="21"/>
      <w:szCs w:val="21"/>
      <w:u w:val="none"/>
    </w:rPr>
  </w:style>
  <w:style w:type="table" w:styleId="1087" w:customStyle="1">
    <w:name w:val="Table Normal"/>
    <w:uiPriority w:val="0"/>
    <w:unhideWhenUsed/>
    <w:qFormat/>
    <w:tblPr>
      <w:tblCellMar>
        <w:left w:w="0" w:type="dxa"/>
        <w:top w:w="0" w:type="dxa"/>
        <w:right w:w="0" w:type="dxa"/>
        <w:bottom w:w="0" w:type="dxa"/>
      </w:tblCellMar>
    </w:tblPr>
  </w:style>
  <w:style w:type="paragraph" w:styleId="1088" w:customStyle="1">
    <w:name w:val="列出段落1"/>
    <w:basedOn w:val="839"/>
    <w:uiPriority w:val="0"/>
    <w:qFormat/>
    <w:pPr>
      <w:contextualSpacing/>
      <w:ind w:left="720"/>
      <w:jc w:val="left"/>
      <w:widowControl/>
    </w:pPr>
    <w:rPr>
      <w:sz w:val="24"/>
      <w:szCs w:val="24"/>
      <w:lang w:eastAsia="en-US" w:bidi="en-US"/>
    </w:rPr>
  </w:style>
  <w:style w:type="paragraph" w:styleId="1089" w:customStyle="1">
    <w:name w:val="ListBullet21"/>
    <w:basedOn w:val="839"/>
    <w:uiPriority w:val="0"/>
    <w:qFormat/>
    <w:pPr>
      <w:numPr>
        <w:ilvl w:val="0"/>
        <w:numId w:val="1"/>
      </w:numPr>
    </w:pPr>
  </w:style>
  <w:style w:type="paragraph" w:styleId="1090">
    <w:name w:val="List Paragraph"/>
    <w:basedOn w:val="839"/>
    <w:uiPriority w:val="0"/>
    <w:qFormat/>
    <w:pPr>
      <w:ind w:firstLine="420"/>
    </w:pPr>
  </w:style>
  <w:style w:type="table" w:styleId="1091" w:customStyle="1">
    <w:name w:val="网格型11"/>
    <w:basedOn w:val="8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2" w:customStyle="1">
    <w:name w:val="正文文本 Char"/>
    <w:basedOn w:val="849"/>
    <w:link w:val="855"/>
    <w:uiPriority w:val="0"/>
    <w:qFormat/>
    <w:rPr>
      <w:rFonts w:ascii="宋体" w:hAnsi="宋体" w:cs="宋体"/>
      <w:sz w:val="21"/>
      <w:szCs w:val="21"/>
    </w:rPr>
  </w:style>
  <w:style w:type="character" w:styleId="1093" w:customStyle="1">
    <w:name w:val="普通正文 Char"/>
    <w:link w:val="1076"/>
    <w:uiPriority w:val="0"/>
    <w:qFormat/>
    <w:rPr>
      <w:rFonts w:ascii="宋体" w:hAnsi="宋体"/>
      <w:sz w:val="21"/>
      <w:szCs w:val="21"/>
    </w:rPr>
  </w:style>
  <w:style w:type="table" w:styleId="1094" w:customStyle="1">
    <w:name w:val="网格型21"/>
    <w:basedOn w:val="85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5" w:customStyle="1">
    <w:name w:val="Normal_5"/>
    <w:uiPriority w:val="0"/>
    <w:qFormat/>
    <w:rPr>
      <w:rFonts w:ascii="Calibri" w:hAnsi="Calibri" w:eastAsia="宋体" w:cs="Times New Roman"/>
      <w:sz w:val="24"/>
      <w:szCs w:val="24"/>
      <w:lang w:val="en-US" w:eastAsia="zh-CN" w:bidi="ar-SA"/>
    </w:rPr>
  </w:style>
  <w:style w:type="paragraph" w:styleId="1096" w:customStyle="1">
    <w:name w:val="p0"/>
    <w:basedOn w:val="839"/>
    <w:uiPriority w:val="0"/>
    <w:qFormat/>
    <w:pPr>
      <w:jc w:val="left"/>
      <w:spacing w:before="100" w:beforeAutospacing="1" w:after="100" w:afterAutospacing="1"/>
      <w:widowControl/>
    </w:pPr>
    <w:rPr>
      <w:rFonts w:ascii="Cambria" w:hAnsi="Cambria" w:cs="Cambria"/>
      <w:sz w:val="24"/>
      <w:szCs w:val="24"/>
    </w:rPr>
  </w:style>
  <w:style w:type="character" w:styleId="1097" w:customStyle="1">
    <w:name w:val="纯文本 Char"/>
    <w:uiPriority w:val="0"/>
    <w:qFormat/>
    <w:rPr>
      <w:rFonts w:ascii="宋体" w:hAnsi="Courier New" w:eastAsia="宋体" w:cs="Times New Roman"/>
      <w:szCs w:val="21"/>
    </w:rPr>
  </w:style>
  <w:style w:type="character" w:styleId="1098" w:customStyle="1">
    <w:name w:val="正文文本缩进 Char"/>
    <w:basedOn w:val="849"/>
    <w:link w:val="856"/>
    <w:uiPriority w:val="0"/>
    <w:qFormat/>
    <w:rPr>
      <w:rFonts w:ascii="Calibri" w:hAnsi="Calibri"/>
      <w:sz w:val="28"/>
      <w:szCs w:val="22"/>
    </w:rPr>
  </w:style>
  <w:style w:type="character" w:styleId="1099" w:customStyle="1">
    <w:name w:val="正文首行缩进 2 Char"/>
    <w:basedOn w:val="1098"/>
    <w:link w:val="876"/>
    <w:uiPriority w:val="99"/>
    <w:qFormat/>
    <w:rPr>
      <w:rFonts w:ascii="Calibri" w:hAnsi="Calibri" w:eastAsia="方正仿宋_GBK"/>
      <w:sz w:val="32"/>
      <w:szCs w:val="22"/>
    </w:rPr>
  </w:style>
  <w:style w:type="paragraph" w:styleId="1100" w:customStyle="1">
    <w:name w:val="Default"/>
    <w:next w:val="839"/>
    <w:uiPriority w:val="0"/>
    <w:qFormat/>
    <w:pPr>
      <w:widowControl w:val="off"/>
    </w:pPr>
    <w:rPr>
      <w:rFonts w:ascii="宋体" w:hAnsi="Times New Roman" w:eastAsia="宋体" w:cs="宋体"/>
      <w:color w:val="000000"/>
      <w:sz w:val="24"/>
      <w:szCs w:val="24"/>
      <w:lang w:val="en-US" w:eastAsia="zh-CN" w:bidi="ar-SA"/>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9D70491-7B62-424F-8583-029BC118CB2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ᱲ</dc:creator>
  <cp:lastModifiedBy>高静雅</cp:lastModifiedBy>
  <cp:revision>29</cp:revision>
  <dcterms:created xsi:type="dcterms:W3CDTF">2026-09-03T09:54:00Z</dcterms:created>
  <dcterms:modified xsi:type="dcterms:W3CDTF">2026-09-29T01:42:31Z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80F15427F822432BA8AD7BE05506AA2D_13</vt:lpwstr>
  </property>
  <property fmtid="{D5CDD505-2E9C-101B-9397-08002B2CF9AE}" pid="4" name="KSOTemplateDocerSaveRecord">
    <vt:lpwstr>eyJoZGlkIjoiZjcxM2FiMDhiYzVlNmY0NWE1MTIzODBhNzVmNjY2MDgiLCJ1c2VySWQiOiI0NDIxNDkxMTMifQ==</vt:lpwstr>
  </property>
</Properties>
</file>