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07DB8A1">
      <w:pPr>
        <w:jc w:val="center"/>
        <w:rPr>
          <w:b/>
          <w:sz w:val="32"/>
          <w:szCs w:val="32"/>
          <w:highlight w:val="none"/>
        </w:rPr>
      </w:pPr>
    </w:p>
    <w:p w14:paraId="24572340">
      <w:pPr>
        <w:jc w:val="center"/>
        <w:rPr>
          <w:b/>
          <w:sz w:val="36"/>
          <w:szCs w:val="36"/>
          <w:highlight w:val="none"/>
        </w:rPr>
      </w:pPr>
    </w:p>
    <w:p w14:paraId="29B8CB2B">
      <w:pPr>
        <w:jc w:val="center"/>
        <w:rPr>
          <w:b/>
          <w:sz w:val="36"/>
          <w:szCs w:val="36"/>
          <w:highlight w:val="none"/>
        </w:rPr>
      </w:pPr>
    </w:p>
    <w:p w14:paraId="4BDF7B6A">
      <w:pPr>
        <w:pStyle w:val="38"/>
        <w:spacing w:line="240" w:lineRule="auto"/>
        <w:ind w:firstLine="0"/>
        <w:jc w:val="center"/>
        <w:outlineLvl w:val="9"/>
        <w:rPr>
          <w:rFonts w:ascii="方正小标宋简体" w:eastAsia="方正小标宋简体"/>
          <w:bCs/>
          <w:sz w:val="52"/>
          <w:szCs w:val="52"/>
          <w:highlight w:val="none"/>
        </w:rPr>
      </w:pPr>
      <w:r>
        <w:rPr>
          <w:rFonts w:hint="eastAsia" w:ascii="方正小标宋简体" w:eastAsia="方正小标宋简体"/>
          <w:bCs/>
          <w:sz w:val="52"/>
          <w:szCs w:val="52"/>
          <w:highlight w:val="none"/>
        </w:rPr>
        <w:t>如皋市政府采购竞争性磋商文件</w:t>
      </w:r>
    </w:p>
    <w:p w14:paraId="4BE90522">
      <w:pPr>
        <w:pStyle w:val="38"/>
        <w:spacing w:line="240" w:lineRule="auto"/>
        <w:ind w:firstLine="0"/>
        <w:jc w:val="center"/>
        <w:rPr>
          <w:rFonts w:ascii="方正小标宋简体" w:eastAsia="方正小标宋简体"/>
          <w:bCs/>
          <w:sz w:val="44"/>
          <w:szCs w:val="44"/>
          <w:highlight w:val="none"/>
        </w:rPr>
      </w:pPr>
    </w:p>
    <w:p w14:paraId="40ADA8F2">
      <w:pPr>
        <w:pStyle w:val="38"/>
        <w:spacing w:line="240" w:lineRule="auto"/>
        <w:rPr>
          <w:rFonts w:hint="default" w:eastAsia="宋体"/>
          <w:b/>
          <w:bCs/>
          <w:sz w:val="32"/>
          <w:highlight w:val="none"/>
          <w:u w:val="single"/>
          <w:lang w:val="en-US" w:eastAsia="zh-CN"/>
        </w:rPr>
      </w:pPr>
      <w:r>
        <w:rPr>
          <w:b/>
          <w:bCs/>
          <w:sz w:val="32"/>
          <w:highlight w:val="none"/>
        </w:rPr>
        <w:t>项目名称：</w:t>
      </w:r>
      <w:r>
        <w:rPr>
          <w:rFonts w:hint="eastAsia"/>
          <w:b/>
          <w:bCs/>
          <w:sz w:val="32"/>
          <w:highlight w:val="none"/>
          <w:lang w:val="en-US" w:eastAsia="zh-CN"/>
        </w:rPr>
        <w:t>如皋法院无纸</w:t>
      </w:r>
      <w:bookmarkStart w:id="107" w:name="_GoBack"/>
      <w:bookmarkEnd w:id="107"/>
      <w:r>
        <w:rPr>
          <w:rFonts w:hint="eastAsia"/>
          <w:b/>
          <w:bCs/>
          <w:sz w:val="32"/>
          <w:highlight w:val="none"/>
          <w:lang w:val="en-US" w:eastAsia="zh-CN"/>
        </w:rPr>
        <w:t>化数字加工服务</w:t>
      </w:r>
    </w:p>
    <w:p w14:paraId="247CA857">
      <w:pPr>
        <w:pStyle w:val="38"/>
        <w:spacing w:line="240" w:lineRule="auto"/>
        <w:rPr>
          <w:rFonts w:hint="default" w:eastAsia="宋体"/>
          <w:b/>
          <w:bCs/>
          <w:sz w:val="32"/>
          <w:highlight w:val="none"/>
          <w:u w:val="single"/>
          <w:lang w:val="en-US" w:eastAsia="zh-CN"/>
        </w:rPr>
      </w:pPr>
      <w:r>
        <w:rPr>
          <w:rFonts w:hint="eastAsia"/>
          <w:b/>
          <w:bCs/>
          <w:sz w:val="32"/>
          <w:highlight w:val="none"/>
        </w:rPr>
        <w:t>项目编号：</w:t>
      </w:r>
      <w:r>
        <w:rPr>
          <w:rFonts w:hint="eastAsia"/>
          <w:b/>
          <w:bCs/>
          <w:sz w:val="32"/>
          <w:highlight w:val="none"/>
          <w:lang w:val="en-US" w:eastAsia="zh-CN"/>
        </w:rPr>
        <w:t>JSZC-320682-NTJW-C2026-0039</w:t>
      </w:r>
    </w:p>
    <w:p w14:paraId="229319A6">
      <w:pPr>
        <w:pStyle w:val="38"/>
        <w:spacing w:line="240" w:lineRule="auto"/>
        <w:ind w:firstLine="0"/>
        <w:jc w:val="center"/>
        <w:rPr>
          <w:b/>
          <w:bCs/>
          <w:sz w:val="32"/>
          <w:highlight w:val="none"/>
        </w:rPr>
      </w:pPr>
    </w:p>
    <w:p w14:paraId="0C385A9E">
      <w:pPr>
        <w:pStyle w:val="38"/>
        <w:spacing w:line="240" w:lineRule="auto"/>
        <w:ind w:firstLine="0"/>
        <w:jc w:val="center"/>
        <w:rPr>
          <w:b/>
          <w:bCs/>
          <w:sz w:val="32"/>
          <w:highlight w:val="none"/>
        </w:rPr>
      </w:pPr>
    </w:p>
    <w:p w14:paraId="221A8177">
      <w:pPr>
        <w:pStyle w:val="38"/>
        <w:spacing w:line="240" w:lineRule="auto"/>
        <w:ind w:firstLine="0"/>
        <w:jc w:val="center"/>
        <w:rPr>
          <w:b/>
          <w:bCs/>
          <w:sz w:val="32"/>
          <w:highlight w:val="none"/>
        </w:rPr>
      </w:pPr>
    </w:p>
    <w:p w14:paraId="236BBF92">
      <w:pPr>
        <w:pStyle w:val="38"/>
        <w:spacing w:line="240" w:lineRule="auto"/>
        <w:ind w:firstLine="0"/>
        <w:jc w:val="center"/>
        <w:rPr>
          <w:b/>
          <w:bCs/>
          <w:sz w:val="32"/>
          <w:highlight w:val="none"/>
        </w:rPr>
      </w:pPr>
    </w:p>
    <w:p w14:paraId="0BA793A0">
      <w:pPr>
        <w:pStyle w:val="38"/>
        <w:spacing w:line="240" w:lineRule="auto"/>
        <w:ind w:firstLine="0"/>
        <w:jc w:val="center"/>
        <w:rPr>
          <w:b/>
          <w:bCs/>
          <w:sz w:val="32"/>
          <w:highlight w:val="none"/>
        </w:rPr>
      </w:pPr>
    </w:p>
    <w:p w14:paraId="00A16570">
      <w:pPr>
        <w:pStyle w:val="38"/>
        <w:spacing w:line="240" w:lineRule="auto"/>
        <w:ind w:firstLine="0"/>
        <w:jc w:val="center"/>
        <w:rPr>
          <w:b/>
          <w:bCs/>
          <w:sz w:val="32"/>
          <w:highlight w:val="none"/>
        </w:rPr>
      </w:pPr>
    </w:p>
    <w:p w14:paraId="3425BA9B">
      <w:pPr>
        <w:pStyle w:val="38"/>
        <w:spacing w:line="240" w:lineRule="auto"/>
        <w:ind w:firstLine="0"/>
        <w:jc w:val="center"/>
        <w:rPr>
          <w:b/>
          <w:bCs/>
          <w:sz w:val="32"/>
          <w:highlight w:val="none"/>
        </w:rPr>
      </w:pPr>
    </w:p>
    <w:p w14:paraId="229F06F4">
      <w:pPr>
        <w:pStyle w:val="38"/>
        <w:spacing w:line="240" w:lineRule="auto"/>
        <w:ind w:firstLine="851" w:firstLineChars="265"/>
        <w:rPr>
          <w:rFonts w:hint="default" w:eastAsia="宋体"/>
          <w:b/>
          <w:bCs/>
          <w:sz w:val="32"/>
          <w:highlight w:val="none"/>
          <w:u w:val="single"/>
          <w:lang w:val="en-US" w:eastAsia="zh-CN"/>
        </w:rPr>
      </w:pPr>
      <w:r>
        <w:rPr>
          <w:rFonts w:hint="eastAsia"/>
          <w:b/>
          <w:bCs/>
          <w:sz w:val="32"/>
          <w:highlight w:val="none"/>
        </w:rPr>
        <w:t>采购人名称：</w:t>
      </w:r>
      <w:r>
        <w:rPr>
          <w:rFonts w:hint="eastAsia"/>
          <w:b/>
          <w:bCs/>
          <w:sz w:val="32"/>
          <w:highlight w:val="none"/>
          <w:lang w:val="en-US" w:eastAsia="zh-CN"/>
        </w:rPr>
        <w:t>如皋市人民法院</w:t>
      </w:r>
    </w:p>
    <w:p w14:paraId="403BE04D">
      <w:pPr>
        <w:pStyle w:val="38"/>
        <w:spacing w:line="240" w:lineRule="auto"/>
        <w:ind w:firstLine="851" w:firstLineChars="265"/>
        <w:rPr>
          <w:rFonts w:hint="eastAsia" w:eastAsia="宋体"/>
          <w:b/>
          <w:bCs/>
          <w:sz w:val="32"/>
          <w:highlight w:val="none"/>
          <w:u w:val="single"/>
          <w:lang w:val="en-US" w:eastAsia="zh-CN"/>
        </w:rPr>
      </w:pPr>
      <w:r>
        <w:rPr>
          <w:rFonts w:hint="eastAsia"/>
          <w:b/>
          <w:bCs/>
          <w:sz w:val="32"/>
          <w:highlight w:val="none"/>
        </w:rPr>
        <w:t>采购代理机构名称：</w:t>
      </w:r>
      <w:r>
        <w:rPr>
          <w:rFonts w:hint="eastAsia"/>
          <w:b/>
          <w:bCs/>
          <w:sz w:val="32"/>
          <w:highlight w:val="none"/>
          <w:lang w:val="en-US" w:eastAsia="zh-CN"/>
        </w:rPr>
        <w:t>南通泾天纬地项目管理有限公司</w:t>
      </w:r>
    </w:p>
    <w:p w14:paraId="1057A714">
      <w:pPr>
        <w:pStyle w:val="38"/>
        <w:spacing w:line="240" w:lineRule="auto"/>
        <w:ind w:firstLine="0"/>
        <w:jc w:val="center"/>
        <w:rPr>
          <w:rFonts w:hint="eastAsia" w:ascii="方正小标宋简体" w:eastAsia="方正小标宋简体" w:cs="Times New Roman"/>
          <w:bCs/>
          <w:sz w:val="32"/>
          <w:szCs w:val="32"/>
          <w:highlight w:val="none"/>
          <w:lang w:val="en-US" w:eastAsia="zh-CN"/>
        </w:rPr>
      </w:pPr>
      <w:r>
        <w:rPr>
          <w:rFonts w:hint="eastAsia"/>
          <w:b/>
          <w:bCs/>
          <w:sz w:val="32"/>
          <w:highlight w:val="none"/>
          <w:lang w:val="en-US" w:eastAsia="zh-CN"/>
        </w:rPr>
        <w:t>2026</w:t>
      </w:r>
      <w:r>
        <w:rPr>
          <w:rFonts w:hint="eastAsia"/>
          <w:b/>
          <w:bCs/>
          <w:sz w:val="32"/>
          <w:highlight w:val="none"/>
        </w:rPr>
        <w:t>年</w:t>
      </w:r>
      <w:r>
        <w:rPr>
          <w:rFonts w:hint="eastAsia"/>
          <w:b/>
          <w:bCs/>
          <w:sz w:val="32"/>
          <w:highlight w:val="none"/>
          <w:lang w:val="en-US" w:eastAsia="zh-CN"/>
        </w:rPr>
        <w:t>10</w:t>
      </w:r>
      <w:r>
        <w:rPr>
          <w:rFonts w:hint="eastAsia"/>
          <w:b/>
          <w:bCs/>
          <w:sz w:val="32"/>
          <w:highlight w:val="none"/>
        </w:rPr>
        <w:t>月</w:t>
      </w:r>
      <w:r>
        <w:rPr>
          <w:rFonts w:hint="eastAsia"/>
          <w:b/>
          <w:bCs/>
          <w:sz w:val="32"/>
          <w:highlight w:val="none"/>
          <w:lang w:val="en-US" w:eastAsia="zh-CN"/>
        </w:rPr>
        <w:t>21</w:t>
      </w:r>
      <w:r>
        <w:rPr>
          <w:rFonts w:hint="eastAsia"/>
          <w:b/>
          <w:bCs/>
          <w:sz w:val="32"/>
          <w:highlight w:val="none"/>
        </w:rPr>
        <w:t>日</w:t>
      </w:r>
      <w:r>
        <w:rPr>
          <w:b/>
          <w:bCs/>
          <w:sz w:val="32"/>
          <w:highlight w:val="none"/>
        </w:rPr>
        <w:br w:type="page"/>
      </w:r>
      <w:r>
        <w:rPr>
          <w:rFonts w:hint="eastAsia" w:ascii="方正小标宋简体" w:eastAsia="方正小标宋简体" w:cs="Times New Roman"/>
          <w:bCs/>
          <w:sz w:val="32"/>
          <w:szCs w:val="32"/>
          <w:highlight w:val="none"/>
          <w:lang w:val="en-US" w:eastAsia="zh-CN"/>
        </w:rPr>
        <w:t>目   录</w:t>
      </w:r>
    </w:p>
    <w:p w14:paraId="2077CCFF">
      <w:pPr>
        <w:pStyle w:val="15"/>
        <w:tabs>
          <w:tab w:val="right" w:leader="dot" w:pos="9354"/>
        </w:tabs>
        <w:spacing w:line="360" w:lineRule="auto"/>
        <w:rPr>
          <w:rFonts w:hint="eastAsia" w:ascii="黑体" w:hAnsi="黑体" w:eastAsia="黑体" w:cs="黑体"/>
          <w:sz w:val="24"/>
          <w:szCs w:val="24"/>
          <w:highlight w:val="none"/>
        </w:rPr>
      </w:pPr>
      <w:r>
        <w:rPr>
          <w:rFonts w:hint="eastAsia" w:ascii="黑体" w:hAnsi="黑体" w:eastAsia="黑体" w:cs="黑体"/>
          <w:bCs/>
          <w:sz w:val="24"/>
          <w:szCs w:val="24"/>
          <w:highlight w:val="none"/>
          <w:lang w:val="en-US" w:eastAsia="zh-CN"/>
        </w:rPr>
        <w:fldChar w:fldCharType="begin"/>
      </w:r>
      <w:r>
        <w:rPr>
          <w:rFonts w:hint="eastAsia" w:ascii="黑体" w:hAnsi="黑体" w:eastAsia="黑体" w:cs="黑体"/>
          <w:bCs/>
          <w:sz w:val="24"/>
          <w:szCs w:val="24"/>
          <w:highlight w:val="none"/>
          <w:lang w:val="en-US" w:eastAsia="zh-CN"/>
        </w:rPr>
        <w:instrText xml:space="preserve">TOC \o "1-2" \h \u </w:instrText>
      </w:r>
      <w:r>
        <w:rPr>
          <w:rFonts w:hint="eastAsia" w:ascii="黑体" w:hAnsi="黑体" w:eastAsia="黑体" w:cs="黑体"/>
          <w:bCs/>
          <w:sz w:val="24"/>
          <w:szCs w:val="24"/>
          <w:highlight w:val="none"/>
          <w:lang w:val="en-US" w:eastAsia="zh-CN"/>
        </w:rPr>
        <w:fldChar w:fldCharType="separate"/>
      </w:r>
      <w:r>
        <w:rPr>
          <w:rFonts w:hint="eastAsia" w:ascii="黑体" w:hAnsi="黑体" w:eastAsia="黑体" w:cs="黑体"/>
          <w:bCs/>
          <w:sz w:val="24"/>
          <w:szCs w:val="24"/>
          <w:highlight w:val="none"/>
          <w:lang w:val="en-US" w:eastAsia="zh-CN"/>
        </w:rPr>
        <w:fldChar w:fldCharType="begin"/>
      </w:r>
      <w:r>
        <w:rPr>
          <w:rFonts w:hint="eastAsia" w:ascii="黑体" w:hAnsi="黑体" w:eastAsia="黑体" w:cs="黑体"/>
          <w:bCs/>
          <w:sz w:val="24"/>
          <w:szCs w:val="24"/>
          <w:highlight w:val="none"/>
          <w:lang w:val="en-US" w:eastAsia="zh-CN"/>
        </w:rPr>
        <w:instrText xml:space="preserve"> HYPERLINK \l _Toc19814 </w:instrText>
      </w:r>
      <w:r>
        <w:rPr>
          <w:rFonts w:hint="eastAsia" w:ascii="黑体" w:hAnsi="黑体" w:eastAsia="黑体" w:cs="黑体"/>
          <w:bCs/>
          <w:sz w:val="24"/>
          <w:szCs w:val="24"/>
          <w:highlight w:val="none"/>
          <w:lang w:val="en-US" w:eastAsia="zh-CN"/>
        </w:rPr>
        <w:fldChar w:fldCharType="separate"/>
      </w:r>
      <w:r>
        <w:rPr>
          <w:rFonts w:hint="eastAsia" w:ascii="黑体" w:hAnsi="黑体" w:eastAsia="黑体" w:cs="黑体"/>
          <w:bCs/>
          <w:sz w:val="24"/>
          <w:szCs w:val="24"/>
          <w:highlight w:val="none"/>
        </w:rPr>
        <w:t>第1章 竞争性磋商公告</w:t>
      </w:r>
      <w:r>
        <w:rPr>
          <w:rFonts w:hint="eastAsia" w:ascii="黑体" w:hAnsi="黑体" w:eastAsia="黑体" w:cs="黑体"/>
          <w:sz w:val="24"/>
          <w:szCs w:val="24"/>
          <w:highlight w:val="none"/>
        </w:rPr>
        <w:tab/>
      </w: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PAGEREF _Toc19814 \h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1</w:t>
      </w:r>
      <w:r>
        <w:rPr>
          <w:rFonts w:hint="eastAsia" w:ascii="黑体" w:hAnsi="黑体" w:eastAsia="黑体" w:cs="黑体"/>
          <w:sz w:val="24"/>
          <w:szCs w:val="24"/>
          <w:highlight w:val="none"/>
        </w:rPr>
        <w:fldChar w:fldCharType="end"/>
      </w:r>
      <w:r>
        <w:rPr>
          <w:rFonts w:hint="eastAsia" w:ascii="黑体" w:hAnsi="黑体" w:eastAsia="黑体" w:cs="黑体"/>
          <w:bCs/>
          <w:sz w:val="24"/>
          <w:szCs w:val="24"/>
          <w:highlight w:val="none"/>
          <w:lang w:val="en-US" w:eastAsia="zh-CN"/>
        </w:rPr>
        <w:fldChar w:fldCharType="end"/>
      </w:r>
    </w:p>
    <w:p w14:paraId="0E22416D">
      <w:pPr>
        <w:pStyle w:val="17"/>
        <w:tabs>
          <w:tab w:val="right" w:leader="dot" w:pos="9354"/>
        </w:tabs>
        <w:spacing w:line="360" w:lineRule="auto"/>
        <w:rPr>
          <w:rFonts w:hint="eastAsia" w:ascii="黑体" w:hAnsi="黑体" w:eastAsia="黑体" w:cs="黑体"/>
          <w:sz w:val="24"/>
          <w:szCs w:val="24"/>
          <w:highlight w:val="none"/>
        </w:rPr>
      </w:pPr>
      <w:r>
        <w:rPr>
          <w:rFonts w:hint="eastAsia" w:ascii="黑体" w:hAnsi="黑体" w:eastAsia="黑体" w:cs="黑体"/>
          <w:bCs/>
          <w:sz w:val="24"/>
          <w:szCs w:val="24"/>
          <w:highlight w:val="none"/>
          <w:lang w:val="en-US" w:eastAsia="zh-CN"/>
        </w:rPr>
        <w:fldChar w:fldCharType="begin"/>
      </w:r>
      <w:r>
        <w:rPr>
          <w:rFonts w:hint="eastAsia" w:ascii="黑体" w:hAnsi="黑体" w:eastAsia="黑体" w:cs="黑体"/>
          <w:bCs/>
          <w:sz w:val="24"/>
          <w:szCs w:val="24"/>
          <w:highlight w:val="none"/>
          <w:lang w:val="en-US" w:eastAsia="zh-CN"/>
        </w:rPr>
        <w:instrText xml:space="preserve"> HYPERLINK \l _Toc11104 </w:instrText>
      </w:r>
      <w:r>
        <w:rPr>
          <w:rFonts w:hint="eastAsia" w:ascii="黑体" w:hAnsi="黑体" w:eastAsia="黑体" w:cs="黑体"/>
          <w:bCs/>
          <w:sz w:val="24"/>
          <w:szCs w:val="24"/>
          <w:highlight w:val="none"/>
          <w:lang w:val="en-US" w:eastAsia="zh-CN"/>
        </w:rPr>
        <w:fldChar w:fldCharType="separate"/>
      </w:r>
      <w:r>
        <w:rPr>
          <w:rFonts w:hint="eastAsia" w:ascii="黑体" w:hAnsi="黑体" w:eastAsia="黑体" w:cs="黑体"/>
          <w:sz w:val="24"/>
          <w:szCs w:val="24"/>
          <w:highlight w:val="none"/>
        </w:rPr>
        <w:t>一、项目基本情况</w:t>
      </w:r>
      <w:r>
        <w:rPr>
          <w:rFonts w:hint="eastAsia" w:ascii="黑体" w:hAnsi="黑体" w:eastAsia="黑体" w:cs="黑体"/>
          <w:sz w:val="24"/>
          <w:szCs w:val="24"/>
          <w:highlight w:val="none"/>
        </w:rPr>
        <w:tab/>
      </w: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PAGEREF _Toc11104 \h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1</w:t>
      </w:r>
      <w:r>
        <w:rPr>
          <w:rFonts w:hint="eastAsia" w:ascii="黑体" w:hAnsi="黑体" w:eastAsia="黑体" w:cs="黑体"/>
          <w:sz w:val="24"/>
          <w:szCs w:val="24"/>
          <w:highlight w:val="none"/>
        </w:rPr>
        <w:fldChar w:fldCharType="end"/>
      </w:r>
      <w:r>
        <w:rPr>
          <w:rFonts w:hint="eastAsia" w:ascii="黑体" w:hAnsi="黑体" w:eastAsia="黑体" w:cs="黑体"/>
          <w:bCs/>
          <w:sz w:val="24"/>
          <w:szCs w:val="24"/>
          <w:highlight w:val="none"/>
          <w:lang w:val="en-US" w:eastAsia="zh-CN"/>
        </w:rPr>
        <w:fldChar w:fldCharType="end"/>
      </w:r>
    </w:p>
    <w:p w14:paraId="23E77886">
      <w:pPr>
        <w:pStyle w:val="17"/>
        <w:tabs>
          <w:tab w:val="right" w:leader="dot" w:pos="9354"/>
        </w:tabs>
        <w:spacing w:line="360" w:lineRule="auto"/>
        <w:rPr>
          <w:rFonts w:hint="eastAsia" w:ascii="黑体" w:hAnsi="黑体" w:eastAsia="黑体" w:cs="黑体"/>
          <w:sz w:val="24"/>
          <w:szCs w:val="24"/>
          <w:highlight w:val="none"/>
        </w:rPr>
      </w:pPr>
      <w:r>
        <w:rPr>
          <w:rFonts w:hint="eastAsia" w:ascii="黑体" w:hAnsi="黑体" w:eastAsia="黑体" w:cs="黑体"/>
          <w:bCs/>
          <w:sz w:val="24"/>
          <w:szCs w:val="24"/>
          <w:highlight w:val="none"/>
          <w:lang w:val="en-US" w:eastAsia="zh-CN"/>
        </w:rPr>
        <w:fldChar w:fldCharType="begin"/>
      </w:r>
      <w:r>
        <w:rPr>
          <w:rFonts w:hint="eastAsia" w:ascii="黑体" w:hAnsi="黑体" w:eastAsia="黑体" w:cs="黑体"/>
          <w:bCs/>
          <w:sz w:val="24"/>
          <w:szCs w:val="24"/>
          <w:highlight w:val="none"/>
          <w:lang w:val="en-US" w:eastAsia="zh-CN"/>
        </w:rPr>
        <w:instrText xml:space="preserve"> HYPERLINK \l _Toc32124 </w:instrText>
      </w:r>
      <w:r>
        <w:rPr>
          <w:rFonts w:hint="eastAsia" w:ascii="黑体" w:hAnsi="黑体" w:eastAsia="黑体" w:cs="黑体"/>
          <w:bCs/>
          <w:sz w:val="24"/>
          <w:szCs w:val="24"/>
          <w:highlight w:val="none"/>
          <w:lang w:val="en-US" w:eastAsia="zh-CN"/>
        </w:rPr>
        <w:fldChar w:fldCharType="separate"/>
      </w:r>
      <w:r>
        <w:rPr>
          <w:rFonts w:hint="eastAsia" w:ascii="黑体" w:hAnsi="黑体" w:eastAsia="黑体" w:cs="黑体"/>
          <w:sz w:val="24"/>
          <w:szCs w:val="24"/>
          <w:highlight w:val="none"/>
        </w:rPr>
        <w:t>二、响应人的资格要求：</w:t>
      </w:r>
      <w:r>
        <w:rPr>
          <w:rFonts w:hint="eastAsia" w:ascii="黑体" w:hAnsi="黑体" w:eastAsia="黑体" w:cs="黑体"/>
          <w:sz w:val="24"/>
          <w:szCs w:val="24"/>
          <w:highlight w:val="none"/>
        </w:rPr>
        <w:tab/>
      </w: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PAGEREF _Toc32124 \h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1</w:t>
      </w:r>
      <w:r>
        <w:rPr>
          <w:rFonts w:hint="eastAsia" w:ascii="黑体" w:hAnsi="黑体" w:eastAsia="黑体" w:cs="黑体"/>
          <w:sz w:val="24"/>
          <w:szCs w:val="24"/>
          <w:highlight w:val="none"/>
        </w:rPr>
        <w:fldChar w:fldCharType="end"/>
      </w:r>
      <w:r>
        <w:rPr>
          <w:rFonts w:hint="eastAsia" w:ascii="黑体" w:hAnsi="黑体" w:eastAsia="黑体" w:cs="黑体"/>
          <w:bCs/>
          <w:sz w:val="24"/>
          <w:szCs w:val="24"/>
          <w:highlight w:val="none"/>
          <w:lang w:val="en-US" w:eastAsia="zh-CN"/>
        </w:rPr>
        <w:fldChar w:fldCharType="end"/>
      </w:r>
    </w:p>
    <w:p w14:paraId="41A7830E">
      <w:pPr>
        <w:pStyle w:val="17"/>
        <w:tabs>
          <w:tab w:val="right" w:leader="dot" w:pos="9354"/>
        </w:tabs>
        <w:spacing w:line="360" w:lineRule="auto"/>
        <w:rPr>
          <w:rFonts w:hint="eastAsia" w:ascii="黑体" w:hAnsi="黑体" w:eastAsia="黑体" w:cs="黑体"/>
          <w:sz w:val="24"/>
          <w:szCs w:val="24"/>
          <w:highlight w:val="none"/>
        </w:rPr>
      </w:pPr>
      <w:r>
        <w:rPr>
          <w:rFonts w:hint="eastAsia" w:ascii="黑体" w:hAnsi="黑体" w:eastAsia="黑体" w:cs="黑体"/>
          <w:bCs/>
          <w:sz w:val="24"/>
          <w:szCs w:val="24"/>
          <w:highlight w:val="none"/>
          <w:lang w:val="en-US" w:eastAsia="zh-CN"/>
        </w:rPr>
        <w:fldChar w:fldCharType="begin"/>
      </w:r>
      <w:r>
        <w:rPr>
          <w:rFonts w:hint="eastAsia" w:ascii="黑体" w:hAnsi="黑体" w:eastAsia="黑体" w:cs="黑体"/>
          <w:bCs/>
          <w:sz w:val="24"/>
          <w:szCs w:val="24"/>
          <w:highlight w:val="none"/>
          <w:lang w:val="en-US" w:eastAsia="zh-CN"/>
        </w:rPr>
        <w:instrText xml:space="preserve"> HYPERLINK \l _Toc32761 </w:instrText>
      </w:r>
      <w:r>
        <w:rPr>
          <w:rFonts w:hint="eastAsia" w:ascii="黑体" w:hAnsi="黑体" w:eastAsia="黑体" w:cs="黑体"/>
          <w:bCs/>
          <w:sz w:val="24"/>
          <w:szCs w:val="24"/>
          <w:highlight w:val="none"/>
          <w:lang w:val="en-US" w:eastAsia="zh-CN"/>
        </w:rPr>
        <w:fldChar w:fldCharType="separate"/>
      </w:r>
      <w:r>
        <w:rPr>
          <w:rFonts w:hint="eastAsia" w:ascii="黑体" w:hAnsi="黑体" w:eastAsia="黑体" w:cs="黑体"/>
          <w:sz w:val="24"/>
          <w:szCs w:val="24"/>
          <w:highlight w:val="none"/>
        </w:rPr>
        <w:t>三、获取竞争性磋商文件</w:t>
      </w:r>
      <w:r>
        <w:rPr>
          <w:rFonts w:hint="eastAsia" w:ascii="黑体" w:hAnsi="黑体" w:eastAsia="黑体" w:cs="黑体"/>
          <w:sz w:val="24"/>
          <w:szCs w:val="24"/>
          <w:highlight w:val="none"/>
        </w:rPr>
        <w:tab/>
      </w: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PAGEREF _Toc32761 \h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2</w:t>
      </w:r>
      <w:r>
        <w:rPr>
          <w:rFonts w:hint="eastAsia" w:ascii="黑体" w:hAnsi="黑体" w:eastAsia="黑体" w:cs="黑体"/>
          <w:sz w:val="24"/>
          <w:szCs w:val="24"/>
          <w:highlight w:val="none"/>
        </w:rPr>
        <w:fldChar w:fldCharType="end"/>
      </w:r>
      <w:r>
        <w:rPr>
          <w:rFonts w:hint="eastAsia" w:ascii="黑体" w:hAnsi="黑体" w:eastAsia="黑体" w:cs="黑体"/>
          <w:bCs/>
          <w:sz w:val="24"/>
          <w:szCs w:val="24"/>
          <w:highlight w:val="none"/>
          <w:lang w:val="en-US" w:eastAsia="zh-CN"/>
        </w:rPr>
        <w:fldChar w:fldCharType="end"/>
      </w:r>
    </w:p>
    <w:p w14:paraId="2CE6CEE7">
      <w:pPr>
        <w:pStyle w:val="17"/>
        <w:tabs>
          <w:tab w:val="right" w:leader="dot" w:pos="9354"/>
        </w:tabs>
        <w:spacing w:line="360" w:lineRule="auto"/>
        <w:rPr>
          <w:rFonts w:hint="eastAsia" w:ascii="黑体" w:hAnsi="黑体" w:eastAsia="黑体" w:cs="黑体"/>
          <w:sz w:val="24"/>
          <w:szCs w:val="24"/>
          <w:highlight w:val="none"/>
        </w:rPr>
      </w:pPr>
      <w:r>
        <w:rPr>
          <w:rFonts w:hint="eastAsia" w:ascii="黑体" w:hAnsi="黑体" w:eastAsia="黑体" w:cs="黑体"/>
          <w:bCs/>
          <w:sz w:val="24"/>
          <w:szCs w:val="24"/>
          <w:highlight w:val="none"/>
          <w:lang w:val="en-US" w:eastAsia="zh-CN"/>
        </w:rPr>
        <w:fldChar w:fldCharType="begin"/>
      </w:r>
      <w:r>
        <w:rPr>
          <w:rFonts w:hint="eastAsia" w:ascii="黑体" w:hAnsi="黑体" w:eastAsia="黑体" w:cs="黑体"/>
          <w:bCs/>
          <w:sz w:val="24"/>
          <w:szCs w:val="24"/>
          <w:highlight w:val="none"/>
          <w:lang w:val="en-US" w:eastAsia="zh-CN"/>
        </w:rPr>
        <w:instrText xml:space="preserve"> HYPERLINK \l _Toc5954 </w:instrText>
      </w:r>
      <w:r>
        <w:rPr>
          <w:rFonts w:hint="eastAsia" w:ascii="黑体" w:hAnsi="黑体" w:eastAsia="黑体" w:cs="黑体"/>
          <w:bCs/>
          <w:sz w:val="24"/>
          <w:szCs w:val="24"/>
          <w:highlight w:val="none"/>
          <w:lang w:val="en-US" w:eastAsia="zh-CN"/>
        </w:rPr>
        <w:fldChar w:fldCharType="separate"/>
      </w:r>
      <w:r>
        <w:rPr>
          <w:rFonts w:hint="eastAsia" w:ascii="黑体" w:hAnsi="黑体" w:eastAsia="黑体" w:cs="黑体"/>
          <w:sz w:val="24"/>
          <w:szCs w:val="24"/>
          <w:highlight w:val="none"/>
        </w:rPr>
        <w:t>四、竞争性磋商响应文件提交和开启</w:t>
      </w:r>
      <w:r>
        <w:rPr>
          <w:rFonts w:hint="eastAsia" w:ascii="黑体" w:hAnsi="黑体" w:eastAsia="黑体" w:cs="黑体"/>
          <w:sz w:val="24"/>
          <w:szCs w:val="24"/>
          <w:highlight w:val="none"/>
        </w:rPr>
        <w:tab/>
      </w: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PAGEREF _Toc5954 \h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2</w:t>
      </w:r>
      <w:r>
        <w:rPr>
          <w:rFonts w:hint="eastAsia" w:ascii="黑体" w:hAnsi="黑体" w:eastAsia="黑体" w:cs="黑体"/>
          <w:sz w:val="24"/>
          <w:szCs w:val="24"/>
          <w:highlight w:val="none"/>
        </w:rPr>
        <w:fldChar w:fldCharType="end"/>
      </w:r>
      <w:r>
        <w:rPr>
          <w:rFonts w:hint="eastAsia" w:ascii="黑体" w:hAnsi="黑体" w:eastAsia="黑体" w:cs="黑体"/>
          <w:bCs/>
          <w:sz w:val="24"/>
          <w:szCs w:val="24"/>
          <w:highlight w:val="none"/>
          <w:lang w:val="en-US" w:eastAsia="zh-CN"/>
        </w:rPr>
        <w:fldChar w:fldCharType="end"/>
      </w:r>
    </w:p>
    <w:p w14:paraId="3AF03F90">
      <w:pPr>
        <w:pStyle w:val="17"/>
        <w:tabs>
          <w:tab w:val="right" w:leader="dot" w:pos="9354"/>
        </w:tabs>
        <w:spacing w:line="360" w:lineRule="auto"/>
        <w:rPr>
          <w:rFonts w:hint="eastAsia" w:ascii="黑体" w:hAnsi="黑体" w:eastAsia="黑体" w:cs="黑体"/>
          <w:sz w:val="24"/>
          <w:szCs w:val="24"/>
          <w:highlight w:val="none"/>
        </w:rPr>
      </w:pPr>
      <w:r>
        <w:rPr>
          <w:rFonts w:hint="eastAsia" w:ascii="黑体" w:hAnsi="黑体" w:eastAsia="黑体" w:cs="黑体"/>
          <w:bCs/>
          <w:sz w:val="24"/>
          <w:szCs w:val="24"/>
          <w:highlight w:val="none"/>
          <w:lang w:val="en-US" w:eastAsia="zh-CN"/>
        </w:rPr>
        <w:fldChar w:fldCharType="begin"/>
      </w:r>
      <w:r>
        <w:rPr>
          <w:rFonts w:hint="eastAsia" w:ascii="黑体" w:hAnsi="黑体" w:eastAsia="黑体" w:cs="黑体"/>
          <w:bCs/>
          <w:sz w:val="24"/>
          <w:szCs w:val="24"/>
          <w:highlight w:val="none"/>
          <w:lang w:val="en-US" w:eastAsia="zh-CN"/>
        </w:rPr>
        <w:instrText xml:space="preserve"> HYPERLINK \l _Toc6556 </w:instrText>
      </w:r>
      <w:r>
        <w:rPr>
          <w:rFonts w:hint="eastAsia" w:ascii="黑体" w:hAnsi="黑体" w:eastAsia="黑体" w:cs="黑体"/>
          <w:bCs/>
          <w:sz w:val="24"/>
          <w:szCs w:val="24"/>
          <w:highlight w:val="none"/>
          <w:lang w:val="en-US" w:eastAsia="zh-CN"/>
        </w:rPr>
        <w:fldChar w:fldCharType="separate"/>
      </w:r>
      <w:r>
        <w:rPr>
          <w:rFonts w:hint="eastAsia" w:ascii="黑体" w:hAnsi="黑体" w:eastAsia="黑体" w:cs="黑体"/>
          <w:sz w:val="24"/>
          <w:szCs w:val="24"/>
          <w:highlight w:val="none"/>
        </w:rPr>
        <w:t>五、公告期限</w:t>
      </w:r>
      <w:r>
        <w:rPr>
          <w:rFonts w:hint="eastAsia" w:ascii="黑体" w:hAnsi="黑体" w:eastAsia="黑体" w:cs="黑体"/>
          <w:sz w:val="24"/>
          <w:szCs w:val="24"/>
          <w:highlight w:val="none"/>
        </w:rPr>
        <w:tab/>
      </w: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PAGEREF _Toc6556 \h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3</w:t>
      </w:r>
      <w:r>
        <w:rPr>
          <w:rFonts w:hint="eastAsia" w:ascii="黑体" w:hAnsi="黑体" w:eastAsia="黑体" w:cs="黑体"/>
          <w:sz w:val="24"/>
          <w:szCs w:val="24"/>
          <w:highlight w:val="none"/>
        </w:rPr>
        <w:fldChar w:fldCharType="end"/>
      </w:r>
      <w:r>
        <w:rPr>
          <w:rFonts w:hint="eastAsia" w:ascii="黑体" w:hAnsi="黑体" w:eastAsia="黑体" w:cs="黑体"/>
          <w:bCs/>
          <w:sz w:val="24"/>
          <w:szCs w:val="24"/>
          <w:highlight w:val="none"/>
          <w:lang w:val="en-US" w:eastAsia="zh-CN"/>
        </w:rPr>
        <w:fldChar w:fldCharType="end"/>
      </w:r>
    </w:p>
    <w:p w14:paraId="1FD82204">
      <w:pPr>
        <w:pStyle w:val="17"/>
        <w:tabs>
          <w:tab w:val="right" w:leader="dot" w:pos="9354"/>
        </w:tabs>
        <w:spacing w:line="360" w:lineRule="auto"/>
        <w:rPr>
          <w:rFonts w:hint="eastAsia" w:ascii="黑体" w:hAnsi="黑体" w:eastAsia="黑体" w:cs="黑体"/>
          <w:sz w:val="24"/>
          <w:szCs w:val="24"/>
          <w:highlight w:val="none"/>
        </w:rPr>
      </w:pPr>
      <w:r>
        <w:rPr>
          <w:rFonts w:hint="eastAsia" w:ascii="黑体" w:hAnsi="黑体" w:eastAsia="黑体" w:cs="黑体"/>
          <w:bCs/>
          <w:sz w:val="24"/>
          <w:szCs w:val="24"/>
          <w:highlight w:val="none"/>
          <w:lang w:val="en-US" w:eastAsia="zh-CN"/>
        </w:rPr>
        <w:fldChar w:fldCharType="begin"/>
      </w:r>
      <w:r>
        <w:rPr>
          <w:rFonts w:hint="eastAsia" w:ascii="黑体" w:hAnsi="黑体" w:eastAsia="黑体" w:cs="黑体"/>
          <w:bCs/>
          <w:sz w:val="24"/>
          <w:szCs w:val="24"/>
          <w:highlight w:val="none"/>
          <w:lang w:val="en-US" w:eastAsia="zh-CN"/>
        </w:rPr>
        <w:instrText xml:space="preserve"> HYPERLINK \l _Toc3230 </w:instrText>
      </w:r>
      <w:r>
        <w:rPr>
          <w:rFonts w:hint="eastAsia" w:ascii="黑体" w:hAnsi="黑体" w:eastAsia="黑体" w:cs="黑体"/>
          <w:bCs/>
          <w:sz w:val="24"/>
          <w:szCs w:val="24"/>
          <w:highlight w:val="none"/>
          <w:lang w:val="en-US" w:eastAsia="zh-CN"/>
        </w:rPr>
        <w:fldChar w:fldCharType="separate"/>
      </w:r>
      <w:r>
        <w:rPr>
          <w:rFonts w:hint="eastAsia" w:ascii="黑体" w:hAnsi="黑体" w:eastAsia="黑体" w:cs="黑体"/>
          <w:sz w:val="24"/>
          <w:szCs w:val="24"/>
          <w:highlight w:val="none"/>
        </w:rPr>
        <w:t>六、其他补充事宜</w:t>
      </w:r>
      <w:r>
        <w:rPr>
          <w:rFonts w:hint="eastAsia" w:ascii="黑体" w:hAnsi="黑体" w:eastAsia="黑体" w:cs="黑体"/>
          <w:sz w:val="24"/>
          <w:szCs w:val="24"/>
          <w:highlight w:val="none"/>
        </w:rPr>
        <w:tab/>
      </w: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PAGEREF _Toc3230 \h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3</w:t>
      </w:r>
      <w:r>
        <w:rPr>
          <w:rFonts w:hint="eastAsia" w:ascii="黑体" w:hAnsi="黑体" w:eastAsia="黑体" w:cs="黑体"/>
          <w:sz w:val="24"/>
          <w:szCs w:val="24"/>
          <w:highlight w:val="none"/>
        </w:rPr>
        <w:fldChar w:fldCharType="end"/>
      </w:r>
      <w:r>
        <w:rPr>
          <w:rFonts w:hint="eastAsia" w:ascii="黑体" w:hAnsi="黑体" w:eastAsia="黑体" w:cs="黑体"/>
          <w:bCs/>
          <w:sz w:val="24"/>
          <w:szCs w:val="24"/>
          <w:highlight w:val="none"/>
          <w:lang w:val="en-US" w:eastAsia="zh-CN"/>
        </w:rPr>
        <w:fldChar w:fldCharType="end"/>
      </w:r>
    </w:p>
    <w:p w14:paraId="3A421784">
      <w:pPr>
        <w:pStyle w:val="17"/>
        <w:tabs>
          <w:tab w:val="right" w:leader="dot" w:pos="9354"/>
        </w:tabs>
        <w:spacing w:line="360" w:lineRule="auto"/>
        <w:rPr>
          <w:rFonts w:hint="eastAsia" w:ascii="黑体" w:hAnsi="黑体" w:eastAsia="黑体" w:cs="黑体"/>
          <w:sz w:val="24"/>
          <w:szCs w:val="24"/>
          <w:highlight w:val="none"/>
        </w:rPr>
      </w:pPr>
      <w:r>
        <w:rPr>
          <w:rFonts w:hint="eastAsia" w:ascii="黑体" w:hAnsi="黑体" w:eastAsia="黑体" w:cs="黑体"/>
          <w:bCs/>
          <w:sz w:val="24"/>
          <w:szCs w:val="24"/>
          <w:highlight w:val="none"/>
          <w:lang w:val="en-US" w:eastAsia="zh-CN"/>
        </w:rPr>
        <w:fldChar w:fldCharType="begin"/>
      </w:r>
      <w:r>
        <w:rPr>
          <w:rFonts w:hint="eastAsia" w:ascii="黑体" w:hAnsi="黑体" w:eastAsia="黑体" w:cs="黑体"/>
          <w:bCs/>
          <w:sz w:val="24"/>
          <w:szCs w:val="24"/>
          <w:highlight w:val="none"/>
          <w:lang w:val="en-US" w:eastAsia="zh-CN"/>
        </w:rPr>
        <w:instrText xml:space="preserve"> HYPERLINK \l _Toc3413 </w:instrText>
      </w:r>
      <w:r>
        <w:rPr>
          <w:rFonts w:hint="eastAsia" w:ascii="黑体" w:hAnsi="黑体" w:eastAsia="黑体" w:cs="黑体"/>
          <w:bCs/>
          <w:sz w:val="24"/>
          <w:szCs w:val="24"/>
          <w:highlight w:val="none"/>
          <w:lang w:val="en-US" w:eastAsia="zh-CN"/>
        </w:rPr>
        <w:fldChar w:fldCharType="separate"/>
      </w:r>
      <w:r>
        <w:rPr>
          <w:rFonts w:hint="eastAsia" w:ascii="黑体" w:hAnsi="黑体" w:eastAsia="黑体" w:cs="黑体"/>
          <w:sz w:val="24"/>
          <w:szCs w:val="24"/>
          <w:highlight w:val="none"/>
        </w:rPr>
        <w:t>七、凡对本次采购提出询问，请按以下方式联系。</w:t>
      </w:r>
      <w:r>
        <w:rPr>
          <w:rFonts w:hint="eastAsia" w:ascii="黑体" w:hAnsi="黑体" w:eastAsia="黑体" w:cs="黑体"/>
          <w:sz w:val="24"/>
          <w:szCs w:val="24"/>
          <w:highlight w:val="none"/>
        </w:rPr>
        <w:tab/>
      </w: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PAGEREF _Toc3413 \h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3</w:t>
      </w:r>
      <w:r>
        <w:rPr>
          <w:rFonts w:hint="eastAsia" w:ascii="黑体" w:hAnsi="黑体" w:eastAsia="黑体" w:cs="黑体"/>
          <w:sz w:val="24"/>
          <w:szCs w:val="24"/>
          <w:highlight w:val="none"/>
        </w:rPr>
        <w:fldChar w:fldCharType="end"/>
      </w:r>
      <w:r>
        <w:rPr>
          <w:rFonts w:hint="eastAsia" w:ascii="黑体" w:hAnsi="黑体" w:eastAsia="黑体" w:cs="黑体"/>
          <w:bCs/>
          <w:sz w:val="24"/>
          <w:szCs w:val="24"/>
          <w:highlight w:val="none"/>
          <w:lang w:val="en-US" w:eastAsia="zh-CN"/>
        </w:rPr>
        <w:fldChar w:fldCharType="end"/>
      </w:r>
    </w:p>
    <w:p w14:paraId="61580ADC">
      <w:pPr>
        <w:pStyle w:val="15"/>
        <w:tabs>
          <w:tab w:val="right" w:leader="dot" w:pos="9354"/>
        </w:tabs>
        <w:spacing w:line="360" w:lineRule="auto"/>
        <w:rPr>
          <w:rFonts w:hint="eastAsia" w:ascii="黑体" w:hAnsi="黑体" w:eastAsia="黑体" w:cs="黑体"/>
          <w:sz w:val="24"/>
          <w:szCs w:val="24"/>
          <w:highlight w:val="none"/>
        </w:rPr>
      </w:pPr>
      <w:r>
        <w:rPr>
          <w:rFonts w:hint="eastAsia" w:ascii="黑体" w:hAnsi="黑体" w:eastAsia="黑体" w:cs="黑体"/>
          <w:bCs/>
          <w:sz w:val="24"/>
          <w:szCs w:val="24"/>
          <w:highlight w:val="none"/>
          <w:lang w:val="en-US" w:eastAsia="zh-CN"/>
        </w:rPr>
        <w:fldChar w:fldCharType="begin"/>
      </w:r>
      <w:r>
        <w:rPr>
          <w:rFonts w:hint="eastAsia" w:ascii="黑体" w:hAnsi="黑体" w:eastAsia="黑体" w:cs="黑体"/>
          <w:bCs/>
          <w:sz w:val="24"/>
          <w:szCs w:val="24"/>
          <w:highlight w:val="none"/>
          <w:lang w:val="en-US" w:eastAsia="zh-CN"/>
        </w:rPr>
        <w:instrText xml:space="preserve"> HYPERLINK \l _Toc26155 </w:instrText>
      </w:r>
      <w:r>
        <w:rPr>
          <w:rFonts w:hint="eastAsia" w:ascii="黑体" w:hAnsi="黑体" w:eastAsia="黑体" w:cs="黑体"/>
          <w:bCs/>
          <w:sz w:val="24"/>
          <w:szCs w:val="24"/>
          <w:highlight w:val="none"/>
          <w:lang w:val="en-US" w:eastAsia="zh-CN"/>
        </w:rPr>
        <w:fldChar w:fldCharType="separate"/>
      </w:r>
      <w:r>
        <w:rPr>
          <w:rFonts w:hint="eastAsia" w:ascii="黑体" w:hAnsi="黑体" w:eastAsia="黑体" w:cs="黑体"/>
          <w:bCs/>
          <w:sz w:val="24"/>
          <w:szCs w:val="24"/>
          <w:highlight w:val="none"/>
        </w:rPr>
        <w:t>第2章 磋商须知</w:t>
      </w:r>
      <w:r>
        <w:rPr>
          <w:rFonts w:hint="eastAsia" w:ascii="黑体" w:hAnsi="黑体" w:eastAsia="黑体" w:cs="黑体"/>
          <w:sz w:val="24"/>
          <w:szCs w:val="24"/>
          <w:highlight w:val="none"/>
        </w:rPr>
        <w:tab/>
      </w: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PAGEREF _Toc26155 \h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5</w:t>
      </w:r>
      <w:r>
        <w:rPr>
          <w:rFonts w:hint="eastAsia" w:ascii="黑体" w:hAnsi="黑体" w:eastAsia="黑体" w:cs="黑体"/>
          <w:sz w:val="24"/>
          <w:szCs w:val="24"/>
          <w:highlight w:val="none"/>
        </w:rPr>
        <w:fldChar w:fldCharType="end"/>
      </w:r>
      <w:r>
        <w:rPr>
          <w:rFonts w:hint="eastAsia" w:ascii="黑体" w:hAnsi="黑体" w:eastAsia="黑体" w:cs="黑体"/>
          <w:bCs/>
          <w:sz w:val="24"/>
          <w:szCs w:val="24"/>
          <w:highlight w:val="none"/>
          <w:lang w:val="en-US" w:eastAsia="zh-CN"/>
        </w:rPr>
        <w:fldChar w:fldCharType="end"/>
      </w:r>
    </w:p>
    <w:p w14:paraId="3B6CC805">
      <w:pPr>
        <w:pStyle w:val="17"/>
        <w:tabs>
          <w:tab w:val="right" w:leader="dot" w:pos="9354"/>
        </w:tabs>
        <w:spacing w:line="360" w:lineRule="auto"/>
        <w:rPr>
          <w:rFonts w:hint="eastAsia" w:ascii="黑体" w:hAnsi="黑体" w:eastAsia="黑体" w:cs="黑体"/>
          <w:sz w:val="24"/>
          <w:szCs w:val="24"/>
          <w:highlight w:val="none"/>
        </w:rPr>
      </w:pPr>
      <w:r>
        <w:rPr>
          <w:rFonts w:hint="eastAsia" w:ascii="黑体" w:hAnsi="黑体" w:eastAsia="黑体" w:cs="黑体"/>
          <w:bCs/>
          <w:sz w:val="24"/>
          <w:szCs w:val="24"/>
          <w:highlight w:val="none"/>
          <w:lang w:val="en-US" w:eastAsia="zh-CN"/>
        </w:rPr>
        <w:fldChar w:fldCharType="begin"/>
      </w:r>
      <w:r>
        <w:rPr>
          <w:rFonts w:hint="eastAsia" w:ascii="黑体" w:hAnsi="黑体" w:eastAsia="黑体" w:cs="黑体"/>
          <w:bCs/>
          <w:sz w:val="24"/>
          <w:szCs w:val="24"/>
          <w:highlight w:val="none"/>
          <w:lang w:val="en-US" w:eastAsia="zh-CN"/>
        </w:rPr>
        <w:instrText xml:space="preserve"> HYPERLINK \l _Toc21031 </w:instrText>
      </w:r>
      <w:r>
        <w:rPr>
          <w:rFonts w:hint="eastAsia" w:ascii="黑体" w:hAnsi="黑体" w:eastAsia="黑体" w:cs="黑体"/>
          <w:bCs/>
          <w:sz w:val="24"/>
          <w:szCs w:val="24"/>
          <w:highlight w:val="none"/>
          <w:lang w:val="en-US" w:eastAsia="zh-CN"/>
        </w:rPr>
        <w:fldChar w:fldCharType="separate"/>
      </w:r>
      <w:r>
        <w:rPr>
          <w:rFonts w:hint="eastAsia" w:ascii="黑体" w:hAnsi="黑体" w:eastAsia="黑体" w:cs="黑体"/>
          <w:sz w:val="24"/>
          <w:szCs w:val="24"/>
          <w:highlight w:val="none"/>
        </w:rPr>
        <w:t>1. 参加磋商费用</w:t>
      </w:r>
      <w:r>
        <w:rPr>
          <w:rFonts w:hint="eastAsia" w:ascii="黑体" w:hAnsi="黑体" w:eastAsia="黑体" w:cs="黑体"/>
          <w:sz w:val="24"/>
          <w:szCs w:val="24"/>
          <w:highlight w:val="none"/>
        </w:rPr>
        <w:tab/>
      </w: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PAGEREF _Toc21031 \h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5</w:t>
      </w:r>
      <w:r>
        <w:rPr>
          <w:rFonts w:hint="eastAsia" w:ascii="黑体" w:hAnsi="黑体" w:eastAsia="黑体" w:cs="黑体"/>
          <w:sz w:val="24"/>
          <w:szCs w:val="24"/>
          <w:highlight w:val="none"/>
        </w:rPr>
        <w:fldChar w:fldCharType="end"/>
      </w:r>
      <w:r>
        <w:rPr>
          <w:rFonts w:hint="eastAsia" w:ascii="黑体" w:hAnsi="黑体" w:eastAsia="黑体" w:cs="黑体"/>
          <w:bCs/>
          <w:sz w:val="24"/>
          <w:szCs w:val="24"/>
          <w:highlight w:val="none"/>
          <w:lang w:val="en-US" w:eastAsia="zh-CN"/>
        </w:rPr>
        <w:fldChar w:fldCharType="end"/>
      </w:r>
    </w:p>
    <w:p w14:paraId="3979DBE8">
      <w:pPr>
        <w:pStyle w:val="17"/>
        <w:tabs>
          <w:tab w:val="right" w:leader="dot" w:pos="9354"/>
        </w:tabs>
        <w:spacing w:line="360" w:lineRule="auto"/>
        <w:rPr>
          <w:rFonts w:hint="eastAsia" w:ascii="黑体" w:hAnsi="黑体" w:eastAsia="黑体" w:cs="黑体"/>
          <w:sz w:val="24"/>
          <w:szCs w:val="24"/>
          <w:highlight w:val="none"/>
        </w:rPr>
      </w:pPr>
      <w:r>
        <w:rPr>
          <w:rFonts w:hint="eastAsia" w:ascii="黑体" w:hAnsi="黑体" w:eastAsia="黑体" w:cs="黑体"/>
          <w:bCs/>
          <w:sz w:val="24"/>
          <w:szCs w:val="24"/>
          <w:highlight w:val="none"/>
          <w:lang w:val="en-US" w:eastAsia="zh-CN"/>
        </w:rPr>
        <w:fldChar w:fldCharType="begin"/>
      </w:r>
      <w:r>
        <w:rPr>
          <w:rFonts w:hint="eastAsia" w:ascii="黑体" w:hAnsi="黑体" w:eastAsia="黑体" w:cs="黑体"/>
          <w:bCs/>
          <w:sz w:val="24"/>
          <w:szCs w:val="24"/>
          <w:highlight w:val="none"/>
          <w:lang w:val="en-US" w:eastAsia="zh-CN"/>
        </w:rPr>
        <w:instrText xml:space="preserve"> HYPERLINK \l _Toc21608 </w:instrText>
      </w:r>
      <w:r>
        <w:rPr>
          <w:rFonts w:hint="eastAsia" w:ascii="黑体" w:hAnsi="黑体" w:eastAsia="黑体" w:cs="黑体"/>
          <w:bCs/>
          <w:sz w:val="24"/>
          <w:szCs w:val="24"/>
          <w:highlight w:val="none"/>
          <w:lang w:val="en-US" w:eastAsia="zh-CN"/>
        </w:rPr>
        <w:fldChar w:fldCharType="separate"/>
      </w:r>
      <w:r>
        <w:rPr>
          <w:rFonts w:hint="eastAsia" w:ascii="黑体" w:hAnsi="黑体" w:eastAsia="黑体" w:cs="黑体"/>
          <w:sz w:val="24"/>
          <w:szCs w:val="24"/>
          <w:highlight w:val="none"/>
        </w:rPr>
        <w:t>2. 磋商文件的约束力</w:t>
      </w:r>
      <w:r>
        <w:rPr>
          <w:rFonts w:hint="eastAsia" w:ascii="黑体" w:hAnsi="黑体" w:eastAsia="黑体" w:cs="黑体"/>
          <w:sz w:val="24"/>
          <w:szCs w:val="24"/>
          <w:highlight w:val="none"/>
        </w:rPr>
        <w:tab/>
      </w: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PAGEREF _Toc21608 \h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5</w:t>
      </w:r>
      <w:r>
        <w:rPr>
          <w:rFonts w:hint="eastAsia" w:ascii="黑体" w:hAnsi="黑体" w:eastAsia="黑体" w:cs="黑体"/>
          <w:sz w:val="24"/>
          <w:szCs w:val="24"/>
          <w:highlight w:val="none"/>
        </w:rPr>
        <w:fldChar w:fldCharType="end"/>
      </w:r>
      <w:r>
        <w:rPr>
          <w:rFonts w:hint="eastAsia" w:ascii="黑体" w:hAnsi="黑体" w:eastAsia="黑体" w:cs="黑体"/>
          <w:bCs/>
          <w:sz w:val="24"/>
          <w:szCs w:val="24"/>
          <w:highlight w:val="none"/>
          <w:lang w:val="en-US" w:eastAsia="zh-CN"/>
        </w:rPr>
        <w:fldChar w:fldCharType="end"/>
      </w:r>
    </w:p>
    <w:p w14:paraId="1F53D332">
      <w:pPr>
        <w:pStyle w:val="17"/>
        <w:tabs>
          <w:tab w:val="right" w:leader="dot" w:pos="9354"/>
        </w:tabs>
        <w:spacing w:line="360" w:lineRule="auto"/>
        <w:rPr>
          <w:rFonts w:hint="eastAsia" w:ascii="黑体" w:hAnsi="黑体" w:eastAsia="黑体" w:cs="黑体"/>
          <w:sz w:val="24"/>
          <w:szCs w:val="24"/>
          <w:highlight w:val="none"/>
        </w:rPr>
      </w:pPr>
      <w:r>
        <w:rPr>
          <w:rFonts w:hint="eastAsia" w:ascii="黑体" w:hAnsi="黑体" w:eastAsia="黑体" w:cs="黑体"/>
          <w:bCs/>
          <w:sz w:val="24"/>
          <w:szCs w:val="24"/>
          <w:highlight w:val="none"/>
          <w:lang w:val="en-US" w:eastAsia="zh-CN"/>
        </w:rPr>
        <w:fldChar w:fldCharType="begin"/>
      </w:r>
      <w:r>
        <w:rPr>
          <w:rFonts w:hint="eastAsia" w:ascii="黑体" w:hAnsi="黑体" w:eastAsia="黑体" w:cs="黑体"/>
          <w:bCs/>
          <w:sz w:val="24"/>
          <w:szCs w:val="24"/>
          <w:highlight w:val="none"/>
          <w:lang w:val="en-US" w:eastAsia="zh-CN"/>
        </w:rPr>
        <w:instrText xml:space="preserve"> HYPERLINK \l _Toc15865 </w:instrText>
      </w:r>
      <w:r>
        <w:rPr>
          <w:rFonts w:hint="eastAsia" w:ascii="黑体" w:hAnsi="黑体" w:eastAsia="黑体" w:cs="黑体"/>
          <w:bCs/>
          <w:sz w:val="24"/>
          <w:szCs w:val="24"/>
          <w:highlight w:val="none"/>
          <w:lang w:val="en-US" w:eastAsia="zh-CN"/>
        </w:rPr>
        <w:fldChar w:fldCharType="separate"/>
      </w:r>
      <w:r>
        <w:rPr>
          <w:rFonts w:hint="eastAsia" w:ascii="黑体" w:hAnsi="黑体" w:eastAsia="黑体" w:cs="黑体"/>
          <w:sz w:val="24"/>
          <w:szCs w:val="24"/>
          <w:highlight w:val="none"/>
        </w:rPr>
        <w:t>3.响应文件编制</w:t>
      </w:r>
      <w:r>
        <w:rPr>
          <w:rFonts w:hint="eastAsia" w:ascii="黑体" w:hAnsi="黑体" w:eastAsia="黑体" w:cs="黑体"/>
          <w:sz w:val="24"/>
          <w:szCs w:val="24"/>
          <w:highlight w:val="none"/>
        </w:rPr>
        <w:tab/>
      </w: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PAGEREF _Toc15865 \h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5</w:t>
      </w:r>
      <w:r>
        <w:rPr>
          <w:rFonts w:hint="eastAsia" w:ascii="黑体" w:hAnsi="黑体" w:eastAsia="黑体" w:cs="黑体"/>
          <w:sz w:val="24"/>
          <w:szCs w:val="24"/>
          <w:highlight w:val="none"/>
        </w:rPr>
        <w:fldChar w:fldCharType="end"/>
      </w:r>
      <w:r>
        <w:rPr>
          <w:rFonts w:hint="eastAsia" w:ascii="黑体" w:hAnsi="黑体" w:eastAsia="黑体" w:cs="黑体"/>
          <w:bCs/>
          <w:sz w:val="24"/>
          <w:szCs w:val="24"/>
          <w:highlight w:val="none"/>
          <w:lang w:val="en-US" w:eastAsia="zh-CN"/>
        </w:rPr>
        <w:fldChar w:fldCharType="end"/>
      </w:r>
    </w:p>
    <w:p w14:paraId="02B20A45">
      <w:pPr>
        <w:pStyle w:val="17"/>
        <w:tabs>
          <w:tab w:val="right" w:leader="dot" w:pos="9354"/>
        </w:tabs>
        <w:spacing w:line="360" w:lineRule="auto"/>
        <w:rPr>
          <w:rFonts w:hint="eastAsia" w:ascii="黑体" w:hAnsi="黑体" w:eastAsia="黑体" w:cs="黑体"/>
          <w:sz w:val="24"/>
          <w:szCs w:val="24"/>
          <w:highlight w:val="none"/>
        </w:rPr>
      </w:pPr>
      <w:r>
        <w:rPr>
          <w:rFonts w:hint="eastAsia" w:ascii="黑体" w:hAnsi="黑体" w:eastAsia="黑体" w:cs="黑体"/>
          <w:bCs/>
          <w:sz w:val="24"/>
          <w:szCs w:val="24"/>
          <w:highlight w:val="none"/>
          <w:lang w:val="en-US" w:eastAsia="zh-CN"/>
        </w:rPr>
        <w:fldChar w:fldCharType="begin"/>
      </w:r>
      <w:r>
        <w:rPr>
          <w:rFonts w:hint="eastAsia" w:ascii="黑体" w:hAnsi="黑体" w:eastAsia="黑体" w:cs="黑体"/>
          <w:bCs/>
          <w:sz w:val="24"/>
          <w:szCs w:val="24"/>
          <w:highlight w:val="none"/>
          <w:lang w:val="en-US" w:eastAsia="zh-CN"/>
        </w:rPr>
        <w:instrText xml:space="preserve"> HYPERLINK \l _Toc10106 </w:instrText>
      </w:r>
      <w:r>
        <w:rPr>
          <w:rFonts w:hint="eastAsia" w:ascii="黑体" w:hAnsi="黑体" w:eastAsia="黑体" w:cs="黑体"/>
          <w:bCs/>
          <w:sz w:val="24"/>
          <w:szCs w:val="24"/>
          <w:highlight w:val="none"/>
          <w:lang w:val="en-US" w:eastAsia="zh-CN"/>
        </w:rPr>
        <w:fldChar w:fldCharType="separate"/>
      </w:r>
      <w:r>
        <w:rPr>
          <w:rFonts w:hint="eastAsia" w:ascii="黑体" w:hAnsi="黑体" w:eastAsia="黑体" w:cs="黑体"/>
          <w:sz w:val="24"/>
          <w:szCs w:val="24"/>
          <w:highlight w:val="none"/>
        </w:rPr>
        <w:t>4.响应文件提交、撤回和修改</w:t>
      </w:r>
      <w:r>
        <w:rPr>
          <w:rFonts w:hint="eastAsia" w:ascii="黑体" w:hAnsi="黑体" w:eastAsia="黑体" w:cs="黑体"/>
          <w:sz w:val="24"/>
          <w:szCs w:val="24"/>
          <w:highlight w:val="none"/>
        </w:rPr>
        <w:tab/>
      </w: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PAGEREF _Toc10106 \h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6</w:t>
      </w:r>
      <w:r>
        <w:rPr>
          <w:rFonts w:hint="eastAsia" w:ascii="黑体" w:hAnsi="黑体" w:eastAsia="黑体" w:cs="黑体"/>
          <w:sz w:val="24"/>
          <w:szCs w:val="24"/>
          <w:highlight w:val="none"/>
        </w:rPr>
        <w:fldChar w:fldCharType="end"/>
      </w:r>
      <w:r>
        <w:rPr>
          <w:rFonts w:hint="eastAsia" w:ascii="黑体" w:hAnsi="黑体" w:eastAsia="黑体" w:cs="黑体"/>
          <w:bCs/>
          <w:sz w:val="24"/>
          <w:szCs w:val="24"/>
          <w:highlight w:val="none"/>
          <w:lang w:val="en-US" w:eastAsia="zh-CN"/>
        </w:rPr>
        <w:fldChar w:fldCharType="end"/>
      </w:r>
    </w:p>
    <w:p w14:paraId="2B361811">
      <w:pPr>
        <w:pStyle w:val="17"/>
        <w:tabs>
          <w:tab w:val="right" w:leader="dot" w:pos="9354"/>
        </w:tabs>
        <w:spacing w:line="360" w:lineRule="auto"/>
        <w:rPr>
          <w:rFonts w:hint="eastAsia" w:ascii="黑体" w:hAnsi="黑体" w:eastAsia="黑体" w:cs="黑体"/>
          <w:sz w:val="24"/>
          <w:szCs w:val="24"/>
          <w:highlight w:val="none"/>
        </w:rPr>
      </w:pPr>
      <w:r>
        <w:rPr>
          <w:rFonts w:hint="eastAsia" w:ascii="黑体" w:hAnsi="黑体" w:eastAsia="黑体" w:cs="黑体"/>
          <w:bCs/>
          <w:sz w:val="24"/>
          <w:szCs w:val="24"/>
          <w:highlight w:val="none"/>
          <w:lang w:val="en-US" w:eastAsia="zh-CN"/>
        </w:rPr>
        <w:fldChar w:fldCharType="begin"/>
      </w:r>
      <w:r>
        <w:rPr>
          <w:rFonts w:hint="eastAsia" w:ascii="黑体" w:hAnsi="黑体" w:eastAsia="黑体" w:cs="黑体"/>
          <w:bCs/>
          <w:sz w:val="24"/>
          <w:szCs w:val="24"/>
          <w:highlight w:val="none"/>
          <w:lang w:val="en-US" w:eastAsia="zh-CN"/>
        </w:rPr>
        <w:instrText xml:space="preserve"> HYPERLINK \l _Toc21195 </w:instrText>
      </w:r>
      <w:r>
        <w:rPr>
          <w:rFonts w:hint="eastAsia" w:ascii="黑体" w:hAnsi="黑体" w:eastAsia="黑体" w:cs="黑体"/>
          <w:bCs/>
          <w:sz w:val="24"/>
          <w:szCs w:val="24"/>
          <w:highlight w:val="none"/>
          <w:lang w:val="en-US" w:eastAsia="zh-CN"/>
        </w:rPr>
        <w:fldChar w:fldCharType="separate"/>
      </w:r>
      <w:r>
        <w:rPr>
          <w:rFonts w:hint="eastAsia" w:ascii="黑体" w:hAnsi="黑体" w:eastAsia="黑体" w:cs="黑体"/>
          <w:sz w:val="24"/>
          <w:szCs w:val="24"/>
          <w:highlight w:val="none"/>
        </w:rPr>
        <w:t>5. 磋商</w:t>
      </w:r>
      <w:r>
        <w:rPr>
          <w:rFonts w:hint="eastAsia" w:ascii="黑体" w:hAnsi="黑体" w:eastAsia="黑体" w:cs="黑体"/>
          <w:sz w:val="24"/>
          <w:szCs w:val="24"/>
          <w:highlight w:val="none"/>
        </w:rPr>
        <w:tab/>
      </w: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PAGEREF _Toc21195 \h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6</w:t>
      </w:r>
      <w:r>
        <w:rPr>
          <w:rFonts w:hint="eastAsia" w:ascii="黑体" w:hAnsi="黑体" w:eastAsia="黑体" w:cs="黑体"/>
          <w:sz w:val="24"/>
          <w:szCs w:val="24"/>
          <w:highlight w:val="none"/>
        </w:rPr>
        <w:fldChar w:fldCharType="end"/>
      </w:r>
      <w:r>
        <w:rPr>
          <w:rFonts w:hint="eastAsia" w:ascii="黑体" w:hAnsi="黑体" w:eastAsia="黑体" w:cs="黑体"/>
          <w:bCs/>
          <w:sz w:val="24"/>
          <w:szCs w:val="24"/>
          <w:highlight w:val="none"/>
          <w:lang w:val="en-US" w:eastAsia="zh-CN"/>
        </w:rPr>
        <w:fldChar w:fldCharType="end"/>
      </w:r>
    </w:p>
    <w:p w14:paraId="1E79F313">
      <w:pPr>
        <w:pStyle w:val="17"/>
        <w:tabs>
          <w:tab w:val="right" w:leader="dot" w:pos="9354"/>
        </w:tabs>
        <w:spacing w:line="360" w:lineRule="auto"/>
        <w:rPr>
          <w:rFonts w:hint="eastAsia" w:ascii="黑体" w:hAnsi="黑体" w:eastAsia="黑体" w:cs="黑体"/>
          <w:sz w:val="24"/>
          <w:szCs w:val="24"/>
          <w:highlight w:val="none"/>
        </w:rPr>
      </w:pPr>
      <w:r>
        <w:rPr>
          <w:rFonts w:hint="eastAsia" w:ascii="黑体" w:hAnsi="黑体" w:eastAsia="黑体" w:cs="黑体"/>
          <w:bCs/>
          <w:sz w:val="24"/>
          <w:szCs w:val="24"/>
          <w:highlight w:val="none"/>
          <w:lang w:val="en-US" w:eastAsia="zh-CN"/>
        </w:rPr>
        <w:fldChar w:fldCharType="begin"/>
      </w:r>
      <w:r>
        <w:rPr>
          <w:rFonts w:hint="eastAsia" w:ascii="黑体" w:hAnsi="黑体" w:eastAsia="黑体" w:cs="黑体"/>
          <w:bCs/>
          <w:sz w:val="24"/>
          <w:szCs w:val="24"/>
          <w:highlight w:val="none"/>
          <w:lang w:val="en-US" w:eastAsia="zh-CN"/>
        </w:rPr>
        <w:instrText xml:space="preserve"> HYPERLINK \l _Toc18955 </w:instrText>
      </w:r>
      <w:r>
        <w:rPr>
          <w:rFonts w:hint="eastAsia" w:ascii="黑体" w:hAnsi="黑体" w:eastAsia="黑体" w:cs="黑体"/>
          <w:bCs/>
          <w:sz w:val="24"/>
          <w:szCs w:val="24"/>
          <w:highlight w:val="none"/>
          <w:lang w:val="en-US" w:eastAsia="zh-CN"/>
        </w:rPr>
        <w:fldChar w:fldCharType="separate"/>
      </w:r>
      <w:r>
        <w:rPr>
          <w:rFonts w:hint="eastAsia" w:ascii="黑体" w:hAnsi="黑体" w:eastAsia="黑体" w:cs="黑体"/>
          <w:bCs/>
          <w:sz w:val="24"/>
          <w:szCs w:val="24"/>
          <w:highlight w:val="none"/>
        </w:rPr>
        <w:t>6.成交和合同</w:t>
      </w:r>
      <w:r>
        <w:rPr>
          <w:rFonts w:hint="eastAsia" w:ascii="黑体" w:hAnsi="黑体" w:eastAsia="黑体" w:cs="黑体"/>
          <w:sz w:val="24"/>
          <w:szCs w:val="24"/>
          <w:highlight w:val="none"/>
        </w:rPr>
        <w:tab/>
      </w: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PAGEREF _Toc18955 \h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9</w:t>
      </w:r>
      <w:r>
        <w:rPr>
          <w:rFonts w:hint="eastAsia" w:ascii="黑体" w:hAnsi="黑体" w:eastAsia="黑体" w:cs="黑体"/>
          <w:sz w:val="24"/>
          <w:szCs w:val="24"/>
          <w:highlight w:val="none"/>
        </w:rPr>
        <w:fldChar w:fldCharType="end"/>
      </w:r>
      <w:r>
        <w:rPr>
          <w:rFonts w:hint="eastAsia" w:ascii="黑体" w:hAnsi="黑体" w:eastAsia="黑体" w:cs="黑体"/>
          <w:bCs/>
          <w:sz w:val="24"/>
          <w:szCs w:val="24"/>
          <w:highlight w:val="none"/>
          <w:lang w:val="en-US" w:eastAsia="zh-CN"/>
        </w:rPr>
        <w:fldChar w:fldCharType="end"/>
      </w:r>
    </w:p>
    <w:p w14:paraId="25BF1F20">
      <w:pPr>
        <w:pStyle w:val="17"/>
        <w:tabs>
          <w:tab w:val="right" w:leader="dot" w:pos="9354"/>
        </w:tabs>
        <w:spacing w:line="360" w:lineRule="auto"/>
        <w:rPr>
          <w:rFonts w:hint="eastAsia" w:ascii="黑体" w:hAnsi="黑体" w:eastAsia="黑体" w:cs="黑体"/>
          <w:sz w:val="24"/>
          <w:szCs w:val="24"/>
          <w:highlight w:val="none"/>
        </w:rPr>
      </w:pPr>
      <w:r>
        <w:rPr>
          <w:rFonts w:hint="eastAsia" w:ascii="黑体" w:hAnsi="黑体" w:eastAsia="黑体" w:cs="黑体"/>
          <w:bCs/>
          <w:sz w:val="24"/>
          <w:szCs w:val="24"/>
          <w:highlight w:val="none"/>
          <w:lang w:val="en-US" w:eastAsia="zh-CN"/>
        </w:rPr>
        <w:fldChar w:fldCharType="begin"/>
      </w:r>
      <w:r>
        <w:rPr>
          <w:rFonts w:hint="eastAsia" w:ascii="黑体" w:hAnsi="黑体" w:eastAsia="黑体" w:cs="黑体"/>
          <w:bCs/>
          <w:sz w:val="24"/>
          <w:szCs w:val="24"/>
          <w:highlight w:val="none"/>
          <w:lang w:val="en-US" w:eastAsia="zh-CN"/>
        </w:rPr>
        <w:instrText xml:space="preserve"> HYPERLINK \l _Toc9890 </w:instrText>
      </w:r>
      <w:r>
        <w:rPr>
          <w:rFonts w:hint="eastAsia" w:ascii="黑体" w:hAnsi="黑体" w:eastAsia="黑体" w:cs="黑体"/>
          <w:bCs/>
          <w:sz w:val="24"/>
          <w:szCs w:val="24"/>
          <w:highlight w:val="none"/>
          <w:lang w:val="en-US" w:eastAsia="zh-CN"/>
        </w:rPr>
        <w:fldChar w:fldCharType="separate"/>
      </w:r>
      <w:r>
        <w:rPr>
          <w:rFonts w:hint="eastAsia" w:ascii="黑体" w:hAnsi="黑体" w:eastAsia="黑体" w:cs="黑体"/>
          <w:bCs/>
          <w:sz w:val="24"/>
          <w:szCs w:val="24"/>
          <w:highlight w:val="none"/>
        </w:rPr>
        <w:t>7.政府采购政策功能落实</w:t>
      </w:r>
      <w:r>
        <w:rPr>
          <w:rFonts w:hint="eastAsia" w:ascii="黑体" w:hAnsi="黑体" w:eastAsia="黑体" w:cs="黑体"/>
          <w:sz w:val="24"/>
          <w:szCs w:val="24"/>
          <w:highlight w:val="none"/>
        </w:rPr>
        <w:tab/>
      </w: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PAGEREF _Toc9890 \h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10</w:t>
      </w:r>
      <w:r>
        <w:rPr>
          <w:rFonts w:hint="eastAsia" w:ascii="黑体" w:hAnsi="黑体" w:eastAsia="黑体" w:cs="黑体"/>
          <w:sz w:val="24"/>
          <w:szCs w:val="24"/>
          <w:highlight w:val="none"/>
        </w:rPr>
        <w:fldChar w:fldCharType="end"/>
      </w:r>
      <w:r>
        <w:rPr>
          <w:rFonts w:hint="eastAsia" w:ascii="黑体" w:hAnsi="黑体" w:eastAsia="黑体" w:cs="黑体"/>
          <w:bCs/>
          <w:sz w:val="24"/>
          <w:szCs w:val="24"/>
          <w:highlight w:val="none"/>
          <w:lang w:val="en-US" w:eastAsia="zh-CN"/>
        </w:rPr>
        <w:fldChar w:fldCharType="end"/>
      </w:r>
    </w:p>
    <w:p w14:paraId="7AB2C0AB">
      <w:pPr>
        <w:pStyle w:val="17"/>
        <w:tabs>
          <w:tab w:val="right" w:leader="dot" w:pos="9354"/>
        </w:tabs>
        <w:spacing w:line="360" w:lineRule="auto"/>
        <w:rPr>
          <w:rFonts w:hint="eastAsia" w:ascii="黑体" w:hAnsi="黑体" w:eastAsia="黑体" w:cs="黑体"/>
          <w:sz w:val="24"/>
          <w:szCs w:val="24"/>
          <w:highlight w:val="none"/>
        </w:rPr>
      </w:pPr>
      <w:r>
        <w:rPr>
          <w:rFonts w:hint="eastAsia" w:ascii="黑体" w:hAnsi="黑体" w:eastAsia="黑体" w:cs="黑体"/>
          <w:bCs/>
          <w:sz w:val="24"/>
          <w:szCs w:val="24"/>
          <w:highlight w:val="none"/>
          <w:lang w:val="en-US" w:eastAsia="zh-CN"/>
        </w:rPr>
        <w:fldChar w:fldCharType="begin"/>
      </w:r>
      <w:r>
        <w:rPr>
          <w:rFonts w:hint="eastAsia" w:ascii="黑体" w:hAnsi="黑体" w:eastAsia="黑体" w:cs="黑体"/>
          <w:bCs/>
          <w:sz w:val="24"/>
          <w:szCs w:val="24"/>
          <w:highlight w:val="none"/>
          <w:lang w:val="en-US" w:eastAsia="zh-CN"/>
        </w:rPr>
        <w:instrText xml:space="preserve"> HYPERLINK \l _Toc6 </w:instrText>
      </w:r>
      <w:r>
        <w:rPr>
          <w:rFonts w:hint="eastAsia" w:ascii="黑体" w:hAnsi="黑体" w:eastAsia="黑体" w:cs="黑体"/>
          <w:bCs/>
          <w:sz w:val="24"/>
          <w:szCs w:val="24"/>
          <w:highlight w:val="none"/>
          <w:lang w:val="en-US" w:eastAsia="zh-CN"/>
        </w:rPr>
        <w:fldChar w:fldCharType="separate"/>
      </w:r>
      <w:r>
        <w:rPr>
          <w:rFonts w:hint="eastAsia" w:ascii="黑体" w:hAnsi="黑体" w:eastAsia="黑体" w:cs="黑体"/>
          <w:bCs/>
          <w:sz w:val="24"/>
          <w:szCs w:val="24"/>
          <w:highlight w:val="none"/>
        </w:rPr>
        <w:t>8.无效响应和磋商活动终止</w:t>
      </w:r>
      <w:r>
        <w:rPr>
          <w:rFonts w:hint="eastAsia" w:ascii="黑体" w:hAnsi="黑体" w:eastAsia="黑体" w:cs="黑体"/>
          <w:sz w:val="24"/>
          <w:szCs w:val="24"/>
          <w:highlight w:val="none"/>
        </w:rPr>
        <w:tab/>
      </w: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PAGEREF _Toc6 \h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15</w:t>
      </w:r>
      <w:r>
        <w:rPr>
          <w:rFonts w:hint="eastAsia" w:ascii="黑体" w:hAnsi="黑体" w:eastAsia="黑体" w:cs="黑体"/>
          <w:sz w:val="24"/>
          <w:szCs w:val="24"/>
          <w:highlight w:val="none"/>
        </w:rPr>
        <w:fldChar w:fldCharType="end"/>
      </w:r>
      <w:r>
        <w:rPr>
          <w:rFonts w:hint="eastAsia" w:ascii="黑体" w:hAnsi="黑体" w:eastAsia="黑体" w:cs="黑体"/>
          <w:bCs/>
          <w:sz w:val="24"/>
          <w:szCs w:val="24"/>
          <w:highlight w:val="none"/>
          <w:lang w:val="en-US" w:eastAsia="zh-CN"/>
        </w:rPr>
        <w:fldChar w:fldCharType="end"/>
      </w:r>
    </w:p>
    <w:p w14:paraId="72DBA4F3">
      <w:pPr>
        <w:pStyle w:val="17"/>
        <w:tabs>
          <w:tab w:val="right" w:leader="dot" w:pos="9354"/>
        </w:tabs>
        <w:spacing w:line="360" w:lineRule="auto"/>
        <w:rPr>
          <w:rFonts w:hint="eastAsia" w:ascii="黑体" w:hAnsi="黑体" w:eastAsia="黑体" w:cs="黑体"/>
          <w:sz w:val="24"/>
          <w:szCs w:val="24"/>
          <w:highlight w:val="none"/>
        </w:rPr>
      </w:pPr>
      <w:r>
        <w:rPr>
          <w:rFonts w:hint="eastAsia" w:ascii="黑体" w:hAnsi="黑体" w:eastAsia="黑体" w:cs="黑体"/>
          <w:bCs/>
          <w:sz w:val="24"/>
          <w:szCs w:val="24"/>
          <w:highlight w:val="none"/>
          <w:lang w:val="en-US" w:eastAsia="zh-CN"/>
        </w:rPr>
        <w:fldChar w:fldCharType="begin"/>
      </w:r>
      <w:r>
        <w:rPr>
          <w:rFonts w:hint="eastAsia" w:ascii="黑体" w:hAnsi="黑体" w:eastAsia="黑体" w:cs="黑体"/>
          <w:bCs/>
          <w:sz w:val="24"/>
          <w:szCs w:val="24"/>
          <w:highlight w:val="none"/>
          <w:lang w:val="en-US" w:eastAsia="zh-CN"/>
        </w:rPr>
        <w:instrText xml:space="preserve"> HYPERLINK \l _Toc17362 </w:instrText>
      </w:r>
      <w:r>
        <w:rPr>
          <w:rFonts w:hint="eastAsia" w:ascii="黑体" w:hAnsi="黑体" w:eastAsia="黑体" w:cs="黑体"/>
          <w:bCs/>
          <w:sz w:val="24"/>
          <w:szCs w:val="24"/>
          <w:highlight w:val="none"/>
          <w:lang w:val="en-US" w:eastAsia="zh-CN"/>
        </w:rPr>
        <w:fldChar w:fldCharType="separate"/>
      </w:r>
      <w:r>
        <w:rPr>
          <w:rFonts w:hint="eastAsia" w:ascii="黑体" w:hAnsi="黑体" w:eastAsia="黑体" w:cs="黑体"/>
          <w:sz w:val="24"/>
          <w:szCs w:val="24"/>
          <w:highlight w:val="none"/>
        </w:rPr>
        <w:t>9. 询问、质疑和投诉</w:t>
      </w:r>
      <w:r>
        <w:rPr>
          <w:rFonts w:hint="eastAsia" w:ascii="黑体" w:hAnsi="黑体" w:eastAsia="黑体" w:cs="黑体"/>
          <w:sz w:val="24"/>
          <w:szCs w:val="24"/>
          <w:highlight w:val="none"/>
        </w:rPr>
        <w:tab/>
      </w: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PAGEREF _Toc17362 \h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16</w:t>
      </w:r>
      <w:r>
        <w:rPr>
          <w:rFonts w:hint="eastAsia" w:ascii="黑体" w:hAnsi="黑体" w:eastAsia="黑体" w:cs="黑体"/>
          <w:sz w:val="24"/>
          <w:szCs w:val="24"/>
          <w:highlight w:val="none"/>
        </w:rPr>
        <w:fldChar w:fldCharType="end"/>
      </w:r>
      <w:r>
        <w:rPr>
          <w:rFonts w:hint="eastAsia" w:ascii="黑体" w:hAnsi="黑体" w:eastAsia="黑体" w:cs="黑体"/>
          <w:bCs/>
          <w:sz w:val="24"/>
          <w:szCs w:val="24"/>
          <w:highlight w:val="none"/>
          <w:lang w:val="en-US" w:eastAsia="zh-CN"/>
        </w:rPr>
        <w:fldChar w:fldCharType="end"/>
      </w:r>
    </w:p>
    <w:p w14:paraId="6BCF4B24">
      <w:pPr>
        <w:pStyle w:val="17"/>
        <w:tabs>
          <w:tab w:val="right" w:leader="dot" w:pos="9354"/>
        </w:tabs>
        <w:spacing w:line="360" w:lineRule="auto"/>
        <w:rPr>
          <w:rFonts w:hint="eastAsia" w:ascii="黑体" w:hAnsi="黑体" w:eastAsia="黑体" w:cs="黑体"/>
          <w:sz w:val="24"/>
          <w:szCs w:val="24"/>
          <w:highlight w:val="none"/>
        </w:rPr>
      </w:pPr>
      <w:r>
        <w:rPr>
          <w:rFonts w:hint="eastAsia" w:ascii="黑体" w:hAnsi="黑体" w:eastAsia="黑体" w:cs="黑体"/>
          <w:bCs/>
          <w:sz w:val="24"/>
          <w:szCs w:val="24"/>
          <w:highlight w:val="none"/>
          <w:lang w:val="en-US" w:eastAsia="zh-CN"/>
        </w:rPr>
        <w:fldChar w:fldCharType="begin"/>
      </w:r>
      <w:r>
        <w:rPr>
          <w:rFonts w:hint="eastAsia" w:ascii="黑体" w:hAnsi="黑体" w:eastAsia="黑体" w:cs="黑体"/>
          <w:bCs/>
          <w:sz w:val="24"/>
          <w:szCs w:val="24"/>
          <w:highlight w:val="none"/>
          <w:lang w:val="en-US" w:eastAsia="zh-CN"/>
        </w:rPr>
        <w:instrText xml:space="preserve"> HYPERLINK \l _Toc28731 </w:instrText>
      </w:r>
      <w:r>
        <w:rPr>
          <w:rFonts w:hint="eastAsia" w:ascii="黑体" w:hAnsi="黑体" w:eastAsia="黑体" w:cs="黑体"/>
          <w:bCs/>
          <w:sz w:val="24"/>
          <w:szCs w:val="24"/>
          <w:highlight w:val="none"/>
          <w:lang w:val="en-US" w:eastAsia="zh-CN"/>
        </w:rPr>
        <w:fldChar w:fldCharType="separate"/>
      </w:r>
      <w:r>
        <w:rPr>
          <w:rFonts w:hint="eastAsia" w:ascii="黑体" w:hAnsi="黑体" w:eastAsia="黑体" w:cs="黑体"/>
          <w:sz w:val="24"/>
          <w:szCs w:val="24"/>
          <w:highlight w:val="none"/>
        </w:rPr>
        <w:t>10. 政府采购合同信用融资扶持政策</w:t>
      </w:r>
      <w:r>
        <w:rPr>
          <w:rFonts w:hint="eastAsia" w:ascii="黑体" w:hAnsi="黑体" w:eastAsia="黑体" w:cs="黑体"/>
          <w:sz w:val="24"/>
          <w:szCs w:val="24"/>
          <w:highlight w:val="none"/>
        </w:rPr>
        <w:tab/>
      </w: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PAGEREF _Toc28731 \h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21</w:t>
      </w:r>
      <w:r>
        <w:rPr>
          <w:rFonts w:hint="eastAsia" w:ascii="黑体" w:hAnsi="黑体" w:eastAsia="黑体" w:cs="黑体"/>
          <w:sz w:val="24"/>
          <w:szCs w:val="24"/>
          <w:highlight w:val="none"/>
        </w:rPr>
        <w:fldChar w:fldCharType="end"/>
      </w:r>
      <w:r>
        <w:rPr>
          <w:rFonts w:hint="eastAsia" w:ascii="黑体" w:hAnsi="黑体" w:eastAsia="黑体" w:cs="黑体"/>
          <w:bCs/>
          <w:sz w:val="24"/>
          <w:szCs w:val="24"/>
          <w:highlight w:val="none"/>
          <w:lang w:val="en-US" w:eastAsia="zh-CN"/>
        </w:rPr>
        <w:fldChar w:fldCharType="end"/>
      </w:r>
    </w:p>
    <w:p w14:paraId="682B2123">
      <w:pPr>
        <w:pStyle w:val="17"/>
        <w:tabs>
          <w:tab w:val="right" w:leader="dot" w:pos="9354"/>
        </w:tabs>
        <w:spacing w:line="360" w:lineRule="auto"/>
        <w:rPr>
          <w:rFonts w:hint="eastAsia" w:ascii="黑体" w:hAnsi="黑体" w:eastAsia="黑体" w:cs="黑体"/>
          <w:sz w:val="24"/>
          <w:szCs w:val="24"/>
          <w:highlight w:val="none"/>
        </w:rPr>
      </w:pPr>
      <w:r>
        <w:rPr>
          <w:rFonts w:hint="eastAsia" w:ascii="黑体" w:hAnsi="黑体" w:eastAsia="黑体" w:cs="黑体"/>
          <w:bCs/>
          <w:sz w:val="24"/>
          <w:szCs w:val="24"/>
          <w:highlight w:val="none"/>
          <w:lang w:val="en-US" w:eastAsia="zh-CN"/>
        </w:rPr>
        <w:fldChar w:fldCharType="begin"/>
      </w:r>
      <w:r>
        <w:rPr>
          <w:rFonts w:hint="eastAsia" w:ascii="黑体" w:hAnsi="黑体" w:eastAsia="黑体" w:cs="黑体"/>
          <w:bCs/>
          <w:sz w:val="24"/>
          <w:szCs w:val="24"/>
          <w:highlight w:val="none"/>
          <w:lang w:val="en-US" w:eastAsia="zh-CN"/>
        </w:rPr>
        <w:instrText xml:space="preserve"> HYPERLINK \l _Toc3208 </w:instrText>
      </w:r>
      <w:r>
        <w:rPr>
          <w:rFonts w:hint="eastAsia" w:ascii="黑体" w:hAnsi="黑体" w:eastAsia="黑体" w:cs="黑体"/>
          <w:bCs/>
          <w:sz w:val="24"/>
          <w:szCs w:val="24"/>
          <w:highlight w:val="none"/>
          <w:lang w:val="en-US" w:eastAsia="zh-CN"/>
        </w:rPr>
        <w:fldChar w:fldCharType="separate"/>
      </w:r>
      <w:r>
        <w:rPr>
          <w:rFonts w:hint="eastAsia" w:ascii="黑体" w:hAnsi="黑体" w:eastAsia="黑体" w:cs="黑体"/>
          <w:sz w:val="24"/>
          <w:szCs w:val="24"/>
          <w:highlight w:val="none"/>
        </w:rPr>
        <w:t>11. 采购代理服务费</w:t>
      </w:r>
      <w:r>
        <w:rPr>
          <w:rFonts w:hint="eastAsia" w:ascii="黑体" w:hAnsi="黑体" w:eastAsia="黑体" w:cs="黑体"/>
          <w:sz w:val="24"/>
          <w:szCs w:val="24"/>
          <w:highlight w:val="none"/>
        </w:rPr>
        <w:tab/>
      </w: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PAGEREF _Toc3208 \h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21</w:t>
      </w:r>
      <w:r>
        <w:rPr>
          <w:rFonts w:hint="eastAsia" w:ascii="黑体" w:hAnsi="黑体" w:eastAsia="黑体" w:cs="黑体"/>
          <w:sz w:val="24"/>
          <w:szCs w:val="24"/>
          <w:highlight w:val="none"/>
        </w:rPr>
        <w:fldChar w:fldCharType="end"/>
      </w:r>
      <w:r>
        <w:rPr>
          <w:rFonts w:hint="eastAsia" w:ascii="黑体" w:hAnsi="黑体" w:eastAsia="黑体" w:cs="黑体"/>
          <w:bCs/>
          <w:sz w:val="24"/>
          <w:szCs w:val="24"/>
          <w:highlight w:val="none"/>
          <w:lang w:val="en-US" w:eastAsia="zh-CN"/>
        </w:rPr>
        <w:fldChar w:fldCharType="end"/>
      </w:r>
    </w:p>
    <w:p w14:paraId="20BBCEF5">
      <w:pPr>
        <w:pStyle w:val="15"/>
        <w:tabs>
          <w:tab w:val="right" w:leader="dot" w:pos="9354"/>
        </w:tabs>
        <w:spacing w:line="360" w:lineRule="auto"/>
        <w:rPr>
          <w:rFonts w:hint="eastAsia" w:ascii="黑体" w:hAnsi="黑体" w:eastAsia="黑体" w:cs="黑体"/>
          <w:sz w:val="24"/>
          <w:szCs w:val="24"/>
          <w:highlight w:val="none"/>
        </w:rPr>
      </w:pPr>
      <w:r>
        <w:rPr>
          <w:rFonts w:hint="eastAsia" w:ascii="黑体" w:hAnsi="黑体" w:eastAsia="黑体" w:cs="黑体"/>
          <w:bCs/>
          <w:sz w:val="24"/>
          <w:szCs w:val="24"/>
          <w:highlight w:val="none"/>
          <w:lang w:val="en-US" w:eastAsia="zh-CN"/>
        </w:rPr>
        <w:fldChar w:fldCharType="begin"/>
      </w:r>
      <w:r>
        <w:rPr>
          <w:rFonts w:hint="eastAsia" w:ascii="黑体" w:hAnsi="黑体" w:eastAsia="黑体" w:cs="黑体"/>
          <w:bCs/>
          <w:sz w:val="24"/>
          <w:szCs w:val="24"/>
          <w:highlight w:val="none"/>
          <w:lang w:val="en-US" w:eastAsia="zh-CN"/>
        </w:rPr>
        <w:instrText xml:space="preserve"> HYPERLINK \l _Toc30777 </w:instrText>
      </w:r>
      <w:r>
        <w:rPr>
          <w:rFonts w:hint="eastAsia" w:ascii="黑体" w:hAnsi="黑体" w:eastAsia="黑体" w:cs="黑体"/>
          <w:bCs/>
          <w:sz w:val="24"/>
          <w:szCs w:val="24"/>
          <w:highlight w:val="none"/>
          <w:lang w:val="en-US" w:eastAsia="zh-CN"/>
        </w:rPr>
        <w:fldChar w:fldCharType="separate"/>
      </w:r>
      <w:r>
        <w:rPr>
          <w:rFonts w:hint="eastAsia" w:ascii="黑体" w:hAnsi="黑体" w:eastAsia="黑体" w:cs="黑体"/>
          <w:bCs/>
          <w:sz w:val="24"/>
          <w:szCs w:val="24"/>
          <w:highlight w:val="none"/>
        </w:rPr>
        <w:t>第3章 采购需求</w:t>
      </w:r>
      <w:r>
        <w:rPr>
          <w:rFonts w:hint="eastAsia" w:ascii="黑体" w:hAnsi="黑体" w:eastAsia="黑体" w:cs="黑体"/>
          <w:sz w:val="24"/>
          <w:szCs w:val="24"/>
          <w:highlight w:val="none"/>
        </w:rPr>
        <w:tab/>
      </w: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PAGEREF _Toc30777 \h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23</w:t>
      </w:r>
      <w:r>
        <w:rPr>
          <w:rFonts w:hint="eastAsia" w:ascii="黑体" w:hAnsi="黑体" w:eastAsia="黑体" w:cs="黑体"/>
          <w:sz w:val="24"/>
          <w:szCs w:val="24"/>
          <w:highlight w:val="none"/>
        </w:rPr>
        <w:fldChar w:fldCharType="end"/>
      </w:r>
      <w:r>
        <w:rPr>
          <w:rFonts w:hint="eastAsia" w:ascii="黑体" w:hAnsi="黑体" w:eastAsia="黑体" w:cs="黑体"/>
          <w:bCs/>
          <w:sz w:val="24"/>
          <w:szCs w:val="24"/>
          <w:highlight w:val="none"/>
          <w:lang w:val="en-US" w:eastAsia="zh-CN"/>
        </w:rPr>
        <w:fldChar w:fldCharType="end"/>
      </w:r>
    </w:p>
    <w:p w14:paraId="02348589">
      <w:pPr>
        <w:pStyle w:val="17"/>
        <w:tabs>
          <w:tab w:val="right" w:leader="dot" w:pos="9354"/>
        </w:tabs>
        <w:spacing w:line="360" w:lineRule="auto"/>
        <w:rPr>
          <w:rFonts w:hint="eastAsia" w:ascii="黑体" w:hAnsi="黑体" w:eastAsia="黑体" w:cs="黑体"/>
          <w:sz w:val="24"/>
          <w:szCs w:val="24"/>
          <w:highlight w:val="none"/>
        </w:rPr>
      </w:pPr>
      <w:r>
        <w:rPr>
          <w:rFonts w:hint="eastAsia" w:ascii="黑体" w:hAnsi="黑体" w:eastAsia="黑体" w:cs="黑体"/>
          <w:bCs/>
          <w:sz w:val="24"/>
          <w:szCs w:val="24"/>
          <w:highlight w:val="none"/>
          <w:lang w:val="en-US" w:eastAsia="zh-CN"/>
        </w:rPr>
        <w:fldChar w:fldCharType="begin"/>
      </w:r>
      <w:r>
        <w:rPr>
          <w:rFonts w:hint="eastAsia" w:ascii="黑体" w:hAnsi="黑体" w:eastAsia="黑体" w:cs="黑体"/>
          <w:bCs/>
          <w:sz w:val="24"/>
          <w:szCs w:val="24"/>
          <w:highlight w:val="none"/>
          <w:lang w:val="en-US" w:eastAsia="zh-CN"/>
        </w:rPr>
        <w:instrText xml:space="preserve"> HYPERLINK \l _Toc17352 </w:instrText>
      </w:r>
      <w:r>
        <w:rPr>
          <w:rFonts w:hint="eastAsia" w:ascii="黑体" w:hAnsi="黑体" w:eastAsia="黑体" w:cs="黑体"/>
          <w:bCs/>
          <w:sz w:val="24"/>
          <w:szCs w:val="24"/>
          <w:highlight w:val="none"/>
          <w:lang w:val="en-US" w:eastAsia="zh-CN"/>
        </w:rPr>
        <w:fldChar w:fldCharType="separate"/>
      </w:r>
      <w:r>
        <w:rPr>
          <w:rFonts w:hint="eastAsia" w:ascii="黑体" w:hAnsi="黑体" w:eastAsia="黑体" w:cs="黑体"/>
          <w:sz w:val="24"/>
          <w:szCs w:val="24"/>
          <w:highlight w:val="none"/>
        </w:rPr>
        <w:t>一、项目简介</w:t>
      </w:r>
      <w:r>
        <w:rPr>
          <w:rFonts w:hint="eastAsia" w:ascii="黑体" w:hAnsi="黑体" w:eastAsia="黑体" w:cs="黑体"/>
          <w:sz w:val="24"/>
          <w:szCs w:val="24"/>
          <w:highlight w:val="none"/>
        </w:rPr>
        <w:tab/>
      </w: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PAGEREF _Toc17352 \h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23</w:t>
      </w:r>
      <w:r>
        <w:rPr>
          <w:rFonts w:hint="eastAsia" w:ascii="黑体" w:hAnsi="黑体" w:eastAsia="黑体" w:cs="黑体"/>
          <w:sz w:val="24"/>
          <w:szCs w:val="24"/>
          <w:highlight w:val="none"/>
        </w:rPr>
        <w:fldChar w:fldCharType="end"/>
      </w:r>
      <w:r>
        <w:rPr>
          <w:rFonts w:hint="eastAsia" w:ascii="黑体" w:hAnsi="黑体" w:eastAsia="黑体" w:cs="黑体"/>
          <w:bCs/>
          <w:sz w:val="24"/>
          <w:szCs w:val="24"/>
          <w:highlight w:val="none"/>
          <w:lang w:val="en-US" w:eastAsia="zh-CN"/>
        </w:rPr>
        <w:fldChar w:fldCharType="end"/>
      </w:r>
    </w:p>
    <w:p w14:paraId="6EFCDF17">
      <w:pPr>
        <w:pStyle w:val="17"/>
        <w:tabs>
          <w:tab w:val="right" w:leader="dot" w:pos="9354"/>
        </w:tabs>
        <w:spacing w:line="360" w:lineRule="auto"/>
        <w:rPr>
          <w:rFonts w:hint="eastAsia" w:ascii="黑体" w:hAnsi="黑体" w:eastAsia="黑体" w:cs="黑体"/>
          <w:sz w:val="24"/>
          <w:szCs w:val="24"/>
          <w:highlight w:val="none"/>
        </w:rPr>
      </w:pPr>
      <w:r>
        <w:rPr>
          <w:rFonts w:hint="eastAsia" w:ascii="黑体" w:hAnsi="黑体" w:eastAsia="黑体" w:cs="黑体"/>
          <w:bCs/>
          <w:sz w:val="24"/>
          <w:szCs w:val="24"/>
          <w:highlight w:val="none"/>
          <w:lang w:val="en-US" w:eastAsia="zh-CN"/>
        </w:rPr>
        <w:fldChar w:fldCharType="begin"/>
      </w:r>
      <w:r>
        <w:rPr>
          <w:rFonts w:hint="eastAsia" w:ascii="黑体" w:hAnsi="黑体" w:eastAsia="黑体" w:cs="黑体"/>
          <w:bCs/>
          <w:sz w:val="24"/>
          <w:szCs w:val="24"/>
          <w:highlight w:val="none"/>
          <w:lang w:val="en-US" w:eastAsia="zh-CN"/>
        </w:rPr>
        <w:instrText xml:space="preserve"> HYPERLINK \l _Toc992 </w:instrText>
      </w:r>
      <w:r>
        <w:rPr>
          <w:rFonts w:hint="eastAsia" w:ascii="黑体" w:hAnsi="黑体" w:eastAsia="黑体" w:cs="黑体"/>
          <w:bCs/>
          <w:sz w:val="24"/>
          <w:szCs w:val="24"/>
          <w:highlight w:val="none"/>
          <w:lang w:val="en-US" w:eastAsia="zh-CN"/>
        </w:rPr>
        <w:fldChar w:fldCharType="separate"/>
      </w:r>
      <w:r>
        <w:rPr>
          <w:rFonts w:hint="eastAsia" w:ascii="黑体" w:hAnsi="黑体" w:eastAsia="黑体" w:cs="黑体"/>
          <w:sz w:val="24"/>
          <w:szCs w:val="24"/>
          <w:highlight w:val="none"/>
        </w:rPr>
        <w:t>二、采购内容</w:t>
      </w:r>
      <w:r>
        <w:rPr>
          <w:rFonts w:hint="eastAsia" w:ascii="黑体" w:hAnsi="黑体" w:eastAsia="黑体" w:cs="黑体"/>
          <w:sz w:val="24"/>
          <w:szCs w:val="24"/>
          <w:highlight w:val="none"/>
        </w:rPr>
        <w:tab/>
      </w: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PAGEREF _Toc992 \h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23</w:t>
      </w:r>
      <w:r>
        <w:rPr>
          <w:rFonts w:hint="eastAsia" w:ascii="黑体" w:hAnsi="黑体" w:eastAsia="黑体" w:cs="黑体"/>
          <w:sz w:val="24"/>
          <w:szCs w:val="24"/>
          <w:highlight w:val="none"/>
        </w:rPr>
        <w:fldChar w:fldCharType="end"/>
      </w:r>
      <w:r>
        <w:rPr>
          <w:rFonts w:hint="eastAsia" w:ascii="黑体" w:hAnsi="黑体" w:eastAsia="黑体" w:cs="黑体"/>
          <w:bCs/>
          <w:sz w:val="24"/>
          <w:szCs w:val="24"/>
          <w:highlight w:val="none"/>
          <w:lang w:val="en-US" w:eastAsia="zh-CN"/>
        </w:rPr>
        <w:fldChar w:fldCharType="end"/>
      </w:r>
    </w:p>
    <w:p w14:paraId="210D9823">
      <w:pPr>
        <w:pStyle w:val="17"/>
        <w:tabs>
          <w:tab w:val="right" w:leader="dot" w:pos="9354"/>
        </w:tabs>
        <w:spacing w:line="360" w:lineRule="auto"/>
        <w:rPr>
          <w:rFonts w:hint="eastAsia" w:ascii="黑体" w:hAnsi="黑体" w:eastAsia="黑体" w:cs="黑体"/>
          <w:sz w:val="24"/>
          <w:szCs w:val="24"/>
          <w:highlight w:val="none"/>
        </w:rPr>
      </w:pPr>
      <w:r>
        <w:rPr>
          <w:rFonts w:hint="eastAsia" w:ascii="黑体" w:hAnsi="黑体" w:eastAsia="黑体" w:cs="黑体"/>
          <w:bCs/>
          <w:sz w:val="24"/>
          <w:szCs w:val="24"/>
          <w:highlight w:val="none"/>
          <w:lang w:val="en-US" w:eastAsia="zh-CN"/>
        </w:rPr>
        <w:fldChar w:fldCharType="begin"/>
      </w:r>
      <w:r>
        <w:rPr>
          <w:rFonts w:hint="eastAsia" w:ascii="黑体" w:hAnsi="黑体" w:eastAsia="黑体" w:cs="黑体"/>
          <w:bCs/>
          <w:sz w:val="24"/>
          <w:szCs w:val="24"/>
          <w:highlight w:val="none"/>
          <w:lang w:val="en-US" w:eastAsia="zh-CN"/>
        </w:rPr>
        <w:instrText xml:space="preserve"> HYPERLINK \l _Toc12094 </w:instrText>
      </w:r>
      <w:r>
        <w:rPr>
          <w:rFonts w:hint="eastAsia" w:ascii="黑体" w:hAnsi="黑体" w:eastAsia="黑体" w:cs="黑体"/>
          <w:bCs/>
          <w:sz w:val="24"/>
          <w:szCs w:val="24"/>
          <w:highlight w:val="none"/>
          <w:lang w:val="en-US" w:eastAsia="zh-CN"/>
        </w:rPr>
        <w:fldChar w:fldCharType="separate"/>
      </w:r>
      <w:r>
        <w:rPr>
          <w:rFonts w:hint="eastAsia" w:ascii="黑体" w:hAnsi="黑体" w:eastAsia="黑体" w:cs="黑体"/>
          <w:sz w:val="24"/>
          <w:szCs w:val="24"/>
          <w:highlight w:val="none"/>
        </w:rPr>
        <w:t>三、服务要求</w:t>
      </w:r>
      <w:r>
        <w:rPr>
          <w:rFonts w:hint="eastAsia" w:ascii="黑体" w:hAnsi="黑体" w:eastAsia="黑体" w:cs="黑体"/>
          <w:sz w:val="24"/>
          <w:szCs w:val="24"/>
          <w:highlight w:val="none"/>
        </w:rPr>
        <w:tab/>
      </w: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PAGEREF _Toc12094 \h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24</w:t>
      </w:r>
      <w:r>
        <w:rPr>
          <w:rFonts w:hint="eastAsia" w:ascii="黑体" w:hAnsi="黑体" w:eastAsia="黑体" w:cs="黑体"/>
          <w:sz w:val="24"/>
          <w:szCs w:val="24"/>
          <w:highlight w:val="none"/>
        </w:rPr>
        <w:fldChar w:fldCharType="end"/>
      </w:r>
      <w:r>
        <w:rPr>
          <w:rFonts w:hint="eastAsia" w:ascii="黑体" w:hAnsi="黑体" w:eastAsia="黑体" w:cs="黑体"/>
          <w:bCs/>
          <w:sz w:val="24"/>
          <w:szCs w:val="24"/>
          <w:highlight w:val="none"/>
          <w:lang w:val="en-US" w:eastAsia="zh-CN"/>
        </w:rPr>
        <w:fldChar w:fldCharType="end"/>
      </w:r>
    </w:p>
    <w:p w14:paraId="689ED008">
      <w:pPr>
        <w:pStyle w:val="17"/>
        <w:tabs>
          <w:tab w:val="right" w:leader="dot" w:pos="9354"/>
        </w:tabs>
        <w:spacing w:line="360" w:lineRule="auto"/>
        <w:rPr>
          <w:rFonts w:hint="eastAsia" w:ascii="黑体" w:hAnsi="黑体" w:eastAsia="黑体" w:cs="黑体"/>
          <w:sz w:val="24"/>
          <w:szCs w:val="24"/>
          <w:highlight w:val="none"/>
        </w:rPr>
      </w:pPr>
      <w:r>
        <w:rPr>
          <w:rFonts w:hint="eastAsia" w:ascii="黑体" w:hAnsi="黑体" w:eastAsia="黑体" w:cs="黑体"/>
          <w:bCs/>
          <w:sz w:val="24"/>
          <w:szCs w:val="24"/>
          <w:highlight w:val="none"/>
          <w:lang w:val="en-US" w:eastAsia="zh-CN"/>
        </w:rPr>
        <w:fldChar w:fldCharType="begin"/>
      </w:r>
      <w:r>
        <w:rPr>
          <w:rFonts w:hint="eastAsia" w:ascii="黑体" w:hAnsi="黑体" w:eastAsia="黑体" w:cs="黑体"/>
          <w:bCs/>
          <w:sz w:val="24"/>
          <w:szCs w:val="24"/>
          <w:highlight w:val="none"/>
          <w:lang w:val="en-US" w:eastAsia="zh-CN"/>
        </w:rPr>
        <w:instrText xml:space="preserve"> HYPERLINK \l _Toc11882 </w:instrText>
      </w:r>
      <w:r>
        <w:rPr>
          <w:rFonts w:hint="eastAsia" w:ascii="黑体" w:hAnsi="黑体" w:eastAsia="黑体" w:cs="黑体"/>
          <w:bCs/>
          <w:sz w:val="24"/>
          <w:szCs w:val="24"/>
          <w:highlight w:val="none"/>
          <w:lang w:val="en-US" w:eastAsia="zh-CN"/>
        </w:rPr>
        <w:fldChar w:fldCharType="separate"/>
      </w:r>
      <w:r>
        <w:rPr>
          <w:rFonts w:hint="eastAsia" w:ascii="黑体" w:hAnsi="黑体" w:eastAsia="黑体" w:cs="黑体"/>
          <w:sz w:val="24"/>
          <w:szCs w:val="24"/>
          <w:highlight w:val="none"/>
        </w:rPr>
        <w:t>四、</w:t>
      </w:r>
      <w:r>
        <w:rPr>
          <w:rFonts w:hint="eastAsia" w:ascii="黑体" w:hAnsi="黑体" w:eastAsia="黑体" w:cs="黑体"/>
          <w:sz w:val="24"/>
          <w:szCs w:val="24"/>
          <w:highlight w:val="none"/>
          <w:lang w:val="en-US" w:eastAsia="zh-CN"/>
        </w:rPr>
        <w:t>服务标准</w:t>
      </w:r>
      <w:r>
        <w:rPr>
          <w:rFonts w:hint="eastAsia" w:ascii="黑体" w:hAnsi="黑体" w:eastAsia="黑体" w:cs="黑体"/>
          <w:sz w:val="24"/>
          <w:szCs w:val="24"/>
          <w:highlight w:val="none"/>
        </w:rPr>
        <w:tab/>
      </w: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PAGEREF _Toc11882 \h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25</w:t>
      </w:r>
      <w:r>
        <w:rPr>
          <w:rFonts w:hint="eastAsia" w:ascii="黑体" w:hAnsi="黑体" w:eastAsia="黑体" w:cs="黑体"/>
          <w:sz w:val="24"/>
          <w:szCs w:val="24"/>
          <w:highlight w:val="none"/>
        </w:rPr>
        <w:fldChar w:fldCharType="end"/>
      </w:r>
      <w:r>
        <w:rPr>
          <w:rFonts w:hint="eastAsia" w:ascii="黑体" w:hAnsi="黑体" w:eastAsia="黑体" w:cs="黑体"/>
          <w:bCs/>
          <w:sz w:val="24"/>
          <w:szCs w:val="24"/>
          <w:highlight w:val="none"/>
          <w:lang w:val="en-US" w:eastAsia="zh-CN"/>
        </w:rPr>
        <w:fldChar w:fldCharType="end"/>
      </w:r>
    </w:p>
    <w:p w14:paraId="6A314458">
      <w:pPr>
        <w:pStyle w:val="17"/>
        <w:tabs>
          <w:tab w:val="right" w:leader="dot" w:pos="9354"/>
        </w:tabs>
        <w:spacing w:line="360" w:lineRule="auto"/>
        <w:rPr>
          <w:rFonts w:hint="eastAsia" w:ascii="黑体" w:hAnsi="黑体" w:eastAsia="黑体" w:cs="黑体"/>
          <w:sz w:val="24"/>
          <w:szCs w:val="24"/>
          <w:highlight w:val="none"/>
        </w:rPr>
      </w:pPr>
      <w:r>
        <w:rPr>
          <w:rFonts w:hint="eastAsia" w:ascii="黑体" w:hAnsi="黑体" w:eastAsia="黑体" w:cs="黑体"/>
          <w:bCs/>
          <w:sz w:val="24"/>
          <w:szCs w:val="24"/>
          <w:highlight w:val="none"/>
          <w:lang w:val="en-US" w:eastAsia="zh-CN"/>
        </w:rPr>
        <w:fldChar w:fldCharType="begin"/>
      </w:r>
      <w:r>
        <w:rPr>
          <w:rFonts w:hint="eastAsia" w:ascii="黑体" w:hAnsi="黑体" w:eastAsia="黑体" w:cs="黑体"/>
          <w:bCs/>
          <w:sz w:val="24"/>
          <w:szCs w:val="24"/>
          <w:highlight w:val="none"/>
          <w:lang w:val="en-US" w:eastAsia="zh-CN"/>
        </w:rPr>
        <w:instrText xml:space="preserve"> HYPERLINK \l _Toc8323 </w:instrText>
      </w:r>
      <w:r>
        <w:rPr>
          <w:rFonts w:hint="eastAsia" w:ascii="黑体" w:hAnsi="黑体" w:eastAsia="黑体" w:cs="黑体"/>
          <w:bCs/>
          <w:sz w:val="24"/>
          <w:szCs w:val="24"/>
          <w:highlight w:val="none"/>
          <w:lang w:val="en-US" w:eastAsia="zh-CN"/>
        </w:rPr>
        <w:fldChar w:fldCharType="separate"/>
      </w:r>
      <w:r>
        <w:rPr>
          <w:rFonts w:hint="eastAsia" w:ascii="黑体" w:hAnsi="黑体" w:eastAsia="黑体" w:cs="黑体"/>
          <w:sz w:val="24"/>
          <w:szCs w:val="24"/>
          <w:highlight w:val="none"/>
          <w:lang w:val="en-US" w:eastAsia="zh-CN"/>
        </w:rPr>
        <w:t>五、</w:t>
      </w:r>
      <w:r>
        <w:rPr>
          <w:rFonts w:hint="eastAsia" w:ascii="黑体" w:hAnsi="黑体" w:eastAsia="黑体" w:cs="黑体"/>
          <w:sz w:val="24"/>
          <w:szCs w:val="24"/>
          <w:highlight w:val="none"/>
        </w:rPr>
        <w:t>人员配置及管理要求</w:t>
      </w:r>
      <w:r>
        <w:rPr>
          <w:rFonts w:hint="eastAsia" w:ascii="黑体" w:hAnsi="黑体" w:eastAsia="黑体" w:cs="黑体"/>
          <w:sz w:val="24"/>
          <w:szCs w:val="24"/>
          <w:highlight w:val="none"/>
        </w:rPr>
        <w:tab/>
      </w: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PAGEREF _Toc8323 \h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27</w:t>
      </w:r>
      <w:r>
        <w:rPr>
          <w:rFonts w:hint="eastAsia" w:ascii="黑体" w:hAnsi="黑体" w:eastAsia="黑体" w:cs="黑体"/>
          <w:sz w:val="24"/>
          <w:szCs w:val="24"/>
          <w:highlight w:val="none"/>
        </w:rPr>
        <w:fldChar w:fldCharType="end"/>
      </w:r>
      <w:r>
        <w:rPr>
          <w:rFonts w:hint="eastAsia" w:ascii="黑体" w:hAnsi="黑体" w:eastAsia="黑体" w:cs="黑体"/>
          <w:bCs/>
          <w:sz w:val="24"/>
          <w:szCs w:val="24"/>
          <w:highlight w:val="none"/>
          <w:lang w:val="en-US" w:eastAsia="zh-CN"/>
        </w:rPr>
        <w:fldChar w:fldCharType="end"/>
      </w:r>
    </w:p>
    <w:p w14:paraId="33B6B6CB">
      <w:pPr>
        <w:pStyle w:val="17"/>
        <w:tabs>
          <w:tab w:val="right" w:leader="dot" w:pos="9354"/>
        </w:tabs>
        <w:spacing w:line="360" w:lineRule="auto"/>
        <w:rPr>
          <w:rFonts w:hint="eastAsia" w:ascii="黑体" w:hAnsi="黑体" w:eastAsia="黑体" w:cs="黑体"/>
          <w:sz w:val="24"/>
          <w:szCs w:val="24"/>
          <w:highlight w:val="none"/>
        </w:rPr>
      </w:pPr>
      <w:r>
        <w:rPr>
          <w:rFonts w:hint="eastAsia" w:ascii="黑体" w:hAnsi="黑体" w:eastAsia="黑体" w:cs="黑体"/>
          <w:bCs/>
          <w:sz w:val="24"/>
          <w:szCs w:val="24"/>
          <w:highlight w:val="none"/>
          <w:lang w:val="en-US" w:eastAsia="zh-CN"/>
        </w:rPr>
        <w:fldChar w:fldCharType="begin"/>
      </w:r>
      <w:r>
        <w:rPr>
          <w:rFonts w:hint="eastAsia" w:ascii="黑体" w:hAnsi="黑体" w:eastAsia="黑体" w:cs="黑体"/>
          <w:bCs/>
          <w:sz w:val="24"/>
          <w:szCs w:val="24"/>
          <w:highlight w:val="none"/>
          <w:lang w:val="en-US" w:eastAsia="zh-CN"/>
        </w:rPr>
        <w:instrText xml:space="preserve"> HYPERLINK \l _Toc24846 </w:instrText>
      </w:r>
      <w:r>
        <w:rPr>
          <w:rFonts w:hint="eastAsia" w:ascii="黑体" w:hAnsi="黑体" w:eastAsia="黑体" w:cs="黑体"/>
          <w:bCs/>
          <w:sz w:val="24"/>
          <w:szCs w:val="24"/>
          <w:highlight w:val="none"/>
          <w:lang w:val="en-US" w:eastAsia="zh-CN"/>
        </w:rPr>
        <w:fldChar w:fldCharType="separate"/>
      </w:r>
      <w:r>
        <w:rPr>
          <w:rFonts w:hint="eastAsia" w:ascii="黑体" w:hAnsi="黑体" w:eastAsia="黑体" w:cs="黑体"/>
          <w:sz w:val="24"/>
          <w:szCs w:val="24"/>
          <w:highlight w:val="none"/>
          <w:lang w:val="en-US" w:eastAsia="zh-CN"/>
        </w:rPr>
        <w:t>六</w:t>
      </w:r>
      <w:r>
        <w:rPr>
          <w:rFonts w:hint="eastAsia" w:ascii="黑体" w:hAnsi="黑体" w:eastAsia="黑体" w:cs="黑体"/>
          <w:sz w:val="24"/>
          <w:szCs w:val="24"/>
          <w:highlight w:val="none"/>
        </w:rPr>
        <w:t>、服务期限</w:t>
      </w:r>
      <w:r>
        <w:rPr>
          <w:rFonts w:hint="eastAsia" w:ascii="黑体" w:hAnsi="黑体" w:eastAsia="黑体" w:cs="黑体"/>
          <w:sz w:val="24"/>
          <w:szCs w:val="24"/>
          <w:highlight w:val="none"/>
          <w:lang w:val="en-US" w:eastAsia="zh-CN"/>
        </w:rPr>
        <w:t>和地点</w:t>
      </w:r>
      <w:r>
        <w:rPr>
          <w:rFonts w:hint="eastAsia" w:ascii="黑体" w:hAnsi="黑体" w:eastAsia="黑体" w:cs="黑体"/>
          <w:sz w:val="24"/>
          <w:szCs w:val="24"/>
          <w:highlight w:val="none"/>
        </w:rPr>
        <w:tab/>
      </w: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PAGEREF _Toc24846 \h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28</w:t>
      </w:r>
      <w:r>
        <w:rPr>
          <w:rFonts w:hint="eastAsia" w:ascii="黑体" w:hAnsi="黑体" w:eastAsia="黑体" w:cs="黑体"/>
          <w:sz w:val="24"/>
          <w:szCs w:val="24"/>
          <w:highlight w:val="none"/>
        </w:rPr>
        <w:fldChar w:fldCharType="end"/>
      </w:r>
      <w:r>
        <w:rPr>
          <w:rFonts w:hint="eastAsia" w:ascii="黑体" w:hAnsi="黑体" w:eastAsia="黑体" w:cs="黑体"/>
          <w:bCs/>
          <w:sz w:val="24"/>
          <w:szCs w:val="24"/>
          <w:highlight w:val="none"/>
          <w:lang w:val="en-US" w:eastAsia="zh-CN"/>
        </w:rPr>
        <w:fldChar w:fldCharType="end"/>
      </w:r>
    </w:p>
    <w:p w14:paraId="4625BCB9">
      <w:pPr>
        <w:pStyle w:val="17"/>
        <w:tabs>
          <w:tab w:val="right" w:leader="dot" w:pos="9354"/>
        </w:tabs>
        <w:spacing w:line="360" w:lineRule="auto"/>
        <w:rPr>
          <w:rFonts w:hint="eastAsia" w:ascii="黑体" w:hAnsi="黑体" w:eastAsia="黑体" w:cs="黑体"/>
          <w:sz w:val="24"/>
          <w:szCs w:val="24"/>
          <w:highlight w:val="none"/>
        </w:rPr>
      </w:pPr>
      <w:r>
        <w:rPr>
          <w:rFonts w:hint="eastAsia" w:ascii="黑体" w:hAnsi="黑体" w:eastAsia="黑体" w:cs="黑体"/>
          <w:bCs/>
          <w:sz w:val="24"/>
          <w:szCs w:val="24"/>
          <w:highlight w:val="none"/>
          <w:lang w:val="en-US" w:eastAsia="zh-CN"/>
        </w:rPr>
        <w:fldChar w:fldCharType="begin"/>
      </w:r>
      <w:r>
        <w:rPr>
          <w:rFonts w:hint="eastAsia" w:ascii="黑体" w:hAnsi="黑体" w:eastAsia="黑体" w:cs="黑体"/>
          <w:bCs/>
          <w:sz w:val="24"/>
          <w:szCs w:val="24"/>
          <w:highlight w:val="none"/>
          <w:lang w:val="en-US" w:eastAsia="zh-CN"/>
        </w:rPr>
        <w:instrText xml:space="preserve"> HYPERLINK \l _Toc27097 </w:instrText>
      </w:r>
      <w:r>
        <w:rPr>
          <w:rFonts w:hint="eastAsia" w:ascii="黑体" w:hAnsi="黑体" w:eastAsia="黑体" w:cs="黑体"/>
          <w:bCs/>
          <w:sz w:val="24"/>
          <w:szCs w:val="24"/>
          <w:highlight w:val="none"/>
          <w:lang w:val="en-US" w:eastAsia="zh-CN"/>
        </w:rPr>
        <w:fldChar w:fldCharType="separate"/>
      </w:r>
      <w:r>
        <w:rPr>
          <w:rFonts w:hint="eastAsia" w:ascii="黑体" w:hAnsi="黑体" w:eastAsia="黑体" w:cs="黑体"/>
          <w:sz w:val="24"/>
          <w:szCs w:val="24"/>
          <w:highlight w:val="none"/>
          <w:lang w:val="en-US" w:eastAsia="zh-CN"/>
        </w:rPr>
        <w:t>七</w:t>
      </w:r>
      <w:r>
        <w:rPr>
          <w:rFonts w:hint="eastAsia" w:ascii="黑体" w:hAnsi="黑体" w:eastAsia="黑体" w:cs="黑体"/>
          <w:sz w:val="24"/>
          <w:szCs w:val="24"/>
          <w:highlight w:val="none"/>
        </w:rPr>
        <w:t>、考核方案</w:t>
      </w:r>
      <w:r>
        <w:rPr>
          <w:rFonts w:hint="eastAsia" w:ascii="黑体" w:hAnsi="黑体" w:eastAsia="黑体" w:cs="黑体"/>
          <w:sz w:val="24"/>
          <w:szCs w:val="24"/>
          <w:highlight w:val="none"/>
        </w:rPr>
        <w:tab/>
      </w: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PAGEREF _Toc27097 \h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28</w:t>
      </w:r>
      <w:r>
        <w:rPr>
          <w:rFonts w:hint="eastAsia" w:ascii="黑体" w:hAnsi="黑体" w:eastAsia="黑体" w:cs="黑体"/>
          <w:sz w:val="24"/>
          <w:szCs w:val="24"/>
          <w:highlight w:val="none"/>
        </w:rPr>
        <w:fldChar w:fldCharType="end"/>
      </w:r>
      <w:r>
        <w:rPr>
          <w:rFonts w:hint="eastAsia" w:ascii="黑体" w:hAnsi="黑体" w:eastAsia="黑体" w:cs="黑体"/>
          <w:bCs/>
          <w:sz w:val="24"/>
          <w:szCs w:val="24"/>
          <w:highlight w:val="none"/>
          <w:lang w:val="en-US" w:eastAsia="zh-CN"/>
        </w:rPr>
        <w:fldChar w:fldCharType="end"/>
      </w:r>
    </w:p>
    <w:p w14:paraId="4B68F408">
      <w:pPr>
        <w:pStyle w:val="17"/>
        <w:tabs>
          <w:tab w:val="right" w:leader="dot" w:pos="9354"/>
        </w:tabs>
        <w:spacing w:line="360" w:lineRule="auto"/>
        <w:rPr>
          <w:rFonts w:hint="eastAsia" w:ascii="黑体" w:hAnsi="黑体" w:eastAsia="黑体" w:cs="黑体"/>
          <w:sz w:val="24"/>
          <w:szCs w:val="24"/>
          <w:highlight w:val="none"/>
        </w:rPr>
      </w:pPr>
      <w:r>
        <w:rPr>
          <w:rFonts w:hint="eastAsia" w:ascii="黑体" w:hAnsi="黑体" w:eastAsia="黑体" w:cs="黑体"/>
          <w:bCs/>
          <w:sz w:val="24"/>
          <w:szCs w:val="24"/>
          <w:highlight w:val="none"/>
          <w:lang w:val="en-US" w:eastAsia="zh-CN"/>
        </w:rPr>
        <w:fldChar w:fldCharType="begin"/>
      </w:r>
      <w:r>
        <w:rPr>
          <w:rFonts w:hint="eastAsia" w:ascii="黑体" w:hAnsi="黑体" w:eastAsia="黑体" w:cs="黑体"/>
          <w:bCs/>
          <w:sz w:val="24"/>
          <w:szCs w:val="24"/>
          <w:highlight w:val="none"/>
          <w:lang w:val="en-US" w:eastAsia="zh-CN"/>
        </w:rPr>
        <w:instrText xml:space="preserve"> HYPERLINK \l _Toc870 </w:instrText>
      </w:r>
      <w:r>
        <w:rPr>
          <w:rFonts w:hint="eastAsia" w:ascii="黑体" w:hAnsi="黑体" w:eastAsia="黑体" w:cs="黑体"/>
          <w:bCs/>
          <w:sz w:val="24"/>
          <w:szCs w:val="24"/>
          <w:highlight w:val="none"/>
          <w:lang w:val="en-US" w:eastAsia="zh-CN"/>
        </w:rPr>
        <w:fldChar w:fldCharType="separate"/>
      </w:r>
      <w:r>
        <w:rPr>
          <w:rFonts w:hint="eastAsia" w:ascii="黑体" w:hAnsi="黑体" w:eastAsia="黑体" w:cs="黑体"/>
          <w:sz w:val="24"/>
          <w:szCs w:val="24"/>
          <w:highlight w:val="none"/>
          <w:lang w:val="en-US" w:eastAsia="zh-CN"/>
        </w:rPr>
        <w:t>八</w:t>
      </w:r>
      <w:r>
        <w:rPr>
          <w:rFonts w:hint="eastAsia" w:ascii="黑体" w:hAnsi="黑体" w:eastAsia="黑体" w:cs="黑体"/>
          <w:sz w:val="24"/>
          <w:szCs w:val="24"/>
          <w:highlight w:val="none"/>
        </w:rPr>
        <w:t>、付款方式</w:t>
      </w:r>
      <w:r>
        <w:rPr>
          <w:rFonts w:hint="eastAsia" w:ascii="黑体" w:hAnsi="黑体" w:eastAsia="黑体" w:cs="黑体"/>
          <w:sz w:val="24"/>
          <w:szCs w:val="24"/>
          <w:highlight w:val="none"/>
        </w:rPr>
        <w:tab/>
      </w: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PAGEREF _Toc870 \h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29</w:t>
      </w:r>
      <w:r>
        <w:rPr>
          <w:rFonts w:hint="eastAsia" w:ascii="黑体" w:hAnsi="黑体" w:eastAsia="黑体" w:cs="黑体"/>
          <w:sz w:val="24"/>
          <w:szCs w:val="24"/>
          <w:highlight w:val="none"/>
        </w:rPr>
        <w:fldChar w:fldCharType="end"/>
      </w:r>
      <w:r>
        <w:rPr>
          <w:rFonts w:hint="eastAsia" w:ascii="黑体" w:hAnsi="黑体" w:eastAsia="黑体" w:cs="黑体"/>
          <w:bCs/>
          <w:sz w:val="24"/>
          <w:szCs w:val="24"/>
          <w:highlight w:val="none"/>
          <w:lang w:val="en-US" w:eastAsia="zh-CN"/>
        </w:rPr>
        <w:fldChar w:fldCharType="end"/>
      </w:r>
    </w:p>
    <w:p w14:paraId="1868D5FD">
      <w:pPr>
        <w:pStyle w:val="17"/>
        <w:tabs>
          <w:tab w:val="right" w:leader="dot" w:pos="9354"/>
        </w:tabs>
        <w:spacing w:line="360" w:lineRule="auto"/>
        <w:rPr>
          <w:rFonts w:hint="eastAsia" w:ascii="黑体" w:hAnsi="黑体" w:eastAsia="黑体" w:cs="黑体"/>
          <w:sz w:val="24"/>
          <w:szCs w:val="24"/>
          <w:highlight w:val="none"/>
        </w:rPr>
      </w:pPr>
      <w:r>
        <w:rPr>
          <w:rFonts w:hint="eastAsia" w:ascii="黑体" w:hAnsi="黑体" w:eastAsia="黑体" w:cs="黑体"/>
          <w:bCs/>
          <w:sz w:val="24"/>
          <w:szCs w:val="24"/>
          <w:highlight w:val="none"/>
          <w:lang w:val="en-US" w:eastAsia="zh-CN"/>
        </w:rPr>
        <w:fldChar w:fldCharType="begin"/>
      </w:r>
      <w:r>
        <w:rPr>
          <w:rFonts w:hint="eastAsia" w:ascii="黑体" w:hAnsi="黑体" w:eastAsia="黑体" w:cs="黑体"/>
          <w:bCs/>
          <w:sz w:val="24"/>
          <w:szCs w:val="24"/>
          <w:highlight w:val="none"/>
          <w:lang w:val="en-US" w:eastAsia="zh-CN"/>
        </w:rPr>
        <w:instrText xml:space="preserve"> HYPERLINK \l _Toc8545 </w:instrText>
      </w:r>
      <w:r>
        <w:rPr>
          <w:rFonts w:hint="eastAsia" w:ascii="黑体" w:hAnsi="黑体" w:eastAsia="黑体" w:cs="黑体"/>
          <w:bCs/>
          <w:sz w:val="24"/>
          <w:szCs w:val="24"/>
          <w:highlight w:val="none"/>
          <w:lang w:val="en-US" w:eastAsia="zh-CN"/>
        </w:rPr>
        <w:fldChar w:fldCharType="separate"/>
      </w:r>
      <w:r>
        <w:rPr>
          <w:rFonts w:hint="eastAsia" w:ascii="黑体" w:hAnsi="黑体" w:eastAsia="黑体" w:cs="黑体"/>
          <w:sz w:val="24"/>
          <w:szCs w:val="24"/>
          <w:highlight w:val="none"/>
          <w:lang w:val="en-US" w:eastAsia="zh-CN"/>
        </w:rPr>
        <w:t>九</w:t>
      </w:r>
      <w:r>
        <w:rPr>
          <w:rFonts w:hint="eastAsia" w:ascii="黑体" w:hAnsi="黑体" w:eastAsia="黑体" w:cs="黑体"/>
          <w:sz w:val="24"/>
          <w:szCs w:val="24"/>
          <w:highlight w:val="none"/>
        </w:rPr>
        <w:t>、磋商过程中可能会实质性变动的内容</w:t>
      </w:r>
      <w:r>
        <w:rPr>
          <w:rFonts w:hint="eastAsia" w:ascii="黑体" w:hAnsi="黑体" w:eastAsia="黑体" w:cs="黑体"/>
          <w:sz w:val="24"/>
          <w:szCs w:val="24"/>
          <w:highlight w:val="none"/>
        </w:rPr>
        <w:tab/>
      </w: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PAGEREF _Toc8545 \h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29</w:t>
      </w:r>
      <w:r>
        <w:rPr>
          <w:rFonts w:hint="eastAsia" w:ascii="黑体" w:hAnsi="黑体" w:eastAsia="黑体" w:cs="黑体"/>
          <w:sz w:val="24"/>
          <w:szCs w:val="24"/>
          <w:highlight w:val="none"/>
        </w:rPr>
        <w:fldChar w:fldCharType="end"/>
      </w:r>
      <w:r>
        <w:rPr>
          <w:rFonts w:hint="eastAsia" w:ascii="黑体" w:hAnsi="黑体" w:eastAsia="黑体" w:cs="黑体"/>
          <w:bCs/>
          <w:sz w:val="24"/>
          <w:szCs w:val="24"/>
          <w:highlight w:val="none"/>
          <w:lang w:val="en-US" w:eastAsia="zh-CN"/>
        </w:rPr>
        <w:fldChar w:fldCharType="end"/>
      </w:r>
    </w:p>
    <w:p w14:paraId="6C56E724">
      <w:pPr>
        <w:pStyle w:val="17"/>
        <w:tabs>
          <w:tab w:val="right" w:leader="dot" w:pos="9354"/>
        </w:tabs>
        <w:spacing w:line="360" w:lineRule="auto"/>
        <w:rPr>
          <w:rFonts w:hint="eastAsia" w:ascii="黑体" w:hAnsi="黑体" w:eastAsia="黑体" w:cs="黑体"/>
          <w:sz w:val="24"/>
          <w:szCs w:val="24"/>
          <w:highlight w:val="none"/>
        </w:rPr>
      </w:pPr>
      <w:r>
        <w:rPr>
          <w:rFonts w:hint="eastAsia" w:ascii="黑体" w:hAnsi="黑体" w:eastAsia="黑体" w:cs="黑体"/>
          <w:bCs/>
          <w:sz w:val="24"/>
          <w:szCs w:val="24"/>
          <w:highlight w:val="none"/>
          <w:lang w:val="en-US" w:eastAsia="zh-CN"/>
        </w:rPr>
        <w:fldChar w:fldCharType="begin"/>
      </w:r>
      <w:r>
        <w:rPr>
          <w:rFonts w:hint="eastAsia" w:ascii="黑体" w:hAnsi="黑体" w:eastAsia="黑体" w:cs="黑体"/>
          <w:bCs/>
          <w:sz w:val="24"/>
          <w:szCs w:val="24"/>
          <w:highlight w:val="none"/>
          <w:lang w:val="en-US" w:eastAsia="zh-CN"/>
        </w:rPr>
        <w:instrText xml:space="preserve"> HYPERLINK \l _Toc13367 </w:instrText>
      </w:r>
      <w:r>
        <w:rPr>
          <w:rFonts w:hint="eastAsia" w:ascii="黑体" w:hAnsi="黑体" w:eastAsia="黑体" w:cs="黑体"/>
          <w:bCs/>
          <w:sz w:val="24"/>
          <w:szCs w:val="24"/>
          <w:highlight w:val="none"/>
          <w:lang w:val="en-US" w:eastAsia="zh-CN"/>
        </w:rPr>
        <w:fldChar w:fldCharType="separate"/>
      </w:r>
      <w:r>
        <w:rPr>
          <w:rFonts w:hint="eastAsia" w:ascii="黑体" w:hAnsi="黑体" w:eastAsia="黑体" w:cs="黑体"/>
          <w:sz w:val="24"/>
          <w:szCs w:val="24"/>
          <w:highlight w:val="none"/>
          <w:lang w:val="en-US" w:eastAsia="zh-CN"/>
        </w:rPr>
        <w:t>十</w:t>
      </w:r>
      <w:r>
        <w:rPr>
          <w:rFonts w:hint="eastAsia" w:ascii="黑体" w:hAnsi="黑体" w:eastAsia="黑体" w:cs="黑体"/>
          <w:sz w:val="24"/>
          <w:szCs w:val="24"/>
          <w:highlight w:val="none"/>
        </w:rPr>
        <w:t>、其他要求</w:t>
      </w:r>
      <w:r>
        <w:rPr>
          <w:rFonts w:hint="eastAsia" w:ascii="黑体" w:hAnsi="黑体" w:eastAsia="黑体" w:cs="黑体"/>
          <w:sz w:val="24"/>
          <w:szCs w:val="24"/>
          <w:highlight w:val="none"/>
        </w:rPr>
        <w:tab/>
      </w: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PAGEREF _Toc13367 \h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29</w:t>
      </w:r>
      <w:r>
        <w:rPr>
          <w:rFonts w:hint="eastAsia" w:ascii="黑体" w:hAnsi="黑体" w:eastAsia="黑体" w:cs="黑体"/>
          <w:sz w:val="24"/>
          <w:szCs w:val="24"/>
          <w:highlight w:val="none"/>
        </w:rPr>
        <w:fldChar w:fldCharType="end"/>
      </w:r>
      <w:r>
        <w:rPr>
          <w:rFonts w:hint="eastAsia" w:ascii="黑体" w:hAnsi="黑体" w:eastAsia="黑体" w:cs="黑体"/>
          <w:bCs/>
          <w:sz w:val="24"/>
          <w:szCs w:val="24"/>
          <w:highlight w:val="none"/>
          <w:lang w:val="en-US" w:eastAsia="zh-CN"/>
        </w:rPr>
        <w:fldChar w:fldCharType="end"/>
      </w:r>
    </w:p>
    <w:p w14:paraId="5BF023D6">
      <w:pPr>
        <w:pStyle w:val="15"/>
        <w:tabs>
          <w:tab w:val="right" w:leader="dot" w:pos="9354"/>
        </w:tabs>
        <w:spacing w:line="360" w:lineRule="auto"/>
        <w:rPr>
          <w:rFonts w:hint="eastAsia" w:ascii="黑体" w:hAnsi="黑体" w:eastAsia="黑体" w:cs="黑体"/>
          <w:sz w:val="24"/>
          <w:szCs w:val="24"/>
          <w:highlight w:val="none"/>
        </w:rPr>
      </w:pPr>
      <w:r>
        <w:rPr>
          <w:rFonts w:hint="eastAsia" w:ascii="黑体" w:hAnsi="黑体" w:eastAsia="黑体" w:cs="黑体"/>
          <w:bCs/>
          <w:sz w:val="24"/>
          <w:szCs w:val="24"/>
          <w:highlight w:val="none"/>
          <w:lang w:val="en-US" w:eastAsia="zh-CN"/>
        </w:rPr>
        <w:fldChar w:fldCharType="begin"/>
      </w:r>
      <w:r>
        <w:rPr>
          <w:rFonts w:hint="eastAsia" w:ascii="黑体" w:hAnsi="黑体" w:eastAsia="黑体" w:cs="黑体"/>
          <w:bCs/>
          <w:sz w:val="24"/>
          <w:szCs w:val="24"/>
          <w:highlight w:val="none"/>
          <w:lang w:val="en-US" w:eastAsia="zh-CN"/>
        </w:rPr>
        <w:instrText xml:space="preserve"> HYPERLINK \l _Toc28500 </w:instrText>
      </w:r>
      <w:r>
        <w:rPr>
          <w:rFonts w:hint="eastAsia" w:ascii="黑体" w:hAnsi="黑体" w:eastAsia="黑体" w:cs="黑体"/>
          <w:bCs/>
          <w:sz w:val="24"/>
          <w:szCs w:val="24"/>
          <w:highlight w:val="none"/>
          <w:lang w:val="en-US" w:eastAsia="zh-CN"/>
        </w:rPr>
        <w:fldChar w:fldCharType="separate"/>
      </w:r>
      <w:r>
        <w:rPr>
          <w:rFonts w:hint="eastAsia" w:ascii="黑体" w:hAnsi="黑体" w:eastAsia="黑体" w:cs="黑体"/>
          <w:bCs/>
          <w:sz w:val="24"/>
          <w:szCs w:val="24"/>
          <w:highlight w:val="none"/>
        </w:rPr>
        <w:t>第4章 合同文本</w:t>
      </w:r>
      <w:r>
        <w:rPr>
          <w:rFonts w:hint="eastAsia" w:ascii="黑体" w:hAnsi="黑体" w:eastAsia="黑体" w:cs="黑体"/>
          <w:sz w:val="24"/>
          <w:szCs w:val="24"/>
          <w:highlight w:val="none"/>
        </w:rPr>
        <w:tab/>
      </w: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PAGEREF _Toc28500 \h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31</w:t>
      </w:r>
      <w:r>
        <w:rPr>
          <w:rFonts w:hint="eastAsia" w:ascii="黑体" w:hAnsi="黑体" w:eastAsia="黑体" w:cs="黑体"/>
          <w:sz w:val="24"/>
          <w:szCs w:val="24"/>
          <w:highlight w:val="none"/>
        </w:rPr>
        <w:fldChar w:fldCharType="end"/>
      </w:r>
      <w:r>
        <w:rPr>
          <w:rFonts w:hint="eastAsia" w:ascii="黑体" w:hAnsi="黑体" w:eastAsia="黑体" w:cs="黑体"/>
          <w:bCs/>
          <w:sz w:val="24"/>
          <w:szCs w:val="24"/>
          <w:highlight w:val="none"/>
          <w:lang w:val="en-US" w:eastAsia="zh-CN"/>
        </w:rPr>
        <w:fldChar w:fldCharType="end"/>
      </w:r>
    </w:p>
    <w:p w14:paraId="5092E839">
      <w:pPr>
        <w:pStyle w:val="15"/>
        <w:tabs>
          <w:tab w:val="right" w:leader="dot" w:pos="9354"/>
        </w:tabs>
        <w:spacing w:line="360" w:lineRule="auto"/>
        <w:rPr>
          <w:rFonts w:hint="eastAsia" w:ascii="黑体" w:hAnsi="黑体" w:eastAsia="黑体" w:cs="黑体"/>
          <w:sz w:val="24"/>
          <w:szCs w:val="24"/>
          <w:highlight w:val="none"/>
        </w:rPr>
      </w:pPr>
      <w:r>
        <w:rPr>
          <w:rFonts w:hint="eastAsia" w:ascii="黑体" w:hAnsi="黑体" w:eastAsia="黑体" w:cs="黑体"/>
          <w:bCs/>
          <w:sz w:val="24"/>
          <w:szCs w:val="24"/>
          <w:highlight w:val="none"/>
          <w:lang w:val="en-US" w:eastAsia="zh-CN"/>
        </w:rPr>
        <w:fldChar w:fldCharType="begin"/>
      </w:r>
      <w:r>
        <w:rPr>
          <w:rFonts w:hint="eastAsia" w:ascii="黑体" w:hAnsi="黑体" w:eastAsia="黑体" w:cs="黑体"/>
          <w:bCs/>
          <w:sz w:val="24"/>
          <w:szCs w:val="24"/>
          <w:highlight w:val="none"/>
          <w:lang w:val="en-US" w:eastAsia="zh-CN"/>
        </w:rPr>
        <w:instrText xml:space="preserve"> HYPERLINK \l _Toc30032 </w:instrText>
      </w:r>
      <w:r>
        <w:rPr>
          <w:rFonts w:hint="eastAsia" w:ascii="黑体" w:hAnsi="黑体" w:eastAsia="黑体" w:cs="黑体"/>
          <w:bCs/>
          <w:sz w:val="24"/>
          <w:szCs w:val="24"/>
          <w:highlight w:val="none"/>
          <w:lang w:val="en-US" w:eastAsia="zh-CN"/>
        </w:rPr>
        <w:fldChar w:fldCharType="separate"/>
      </w:r>
      <w:r>
        <w:rPr>
          <w:rFonts w:hint="eastAsia" w:ascii="黑体" w:hAnsi="黑体" w:eastAsia="黑体" w:cs="黑体"/>
          <w:bCs/>
          <w:sz w:val="24"/>
          <w:szCs w:val="24"/>
          <w:highlight w:val="none"/>
        </w:rPr>
        <w:t>第5章 评审标准和方法</w:t>
      </w:r>
      <w:r>
        <w:rPr>
          <w:rFonts w:hint="eastAsia" w:ascii="黑体" w:hAnsi="黑体" w:eastAsia="黑体" w:cs="黑体"/>
          <w:sz w:val="24"/>
          <w:szCs w:val="24"/>
          <w:highlight w:val="none"/>
        </w:rPr>
        <w:tab/>
      </w: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PAGEREF _Toc30032 \h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35</w:t>
      </w:r>
      <w:r>
        <w:rPr>
          <w:rFonts w:hint="eastAsia" w:ascii="黑体" w:hAnsi="黑体" w:eastAsia="黑体" w:cs="黑体"/>
          <w:sz w:val="24"/>
          <w:szCs w:val="24"/>
          <w:highlight w:val="none"/>
        </w:rPr>
        <w:fldChar w:fldCharType="end"/>
      </w:r>
      <w:r>
        <w:rPr>
          <w:rFonts w:hint="eastAsia" w:ascii="黑体" w:hAnsi="黑体" w:eastAsia="黑体" w:cs="黑体"/>
          <w:bCs/>
          <w:sz w:val="24"/>
          <w:szCs w:val="24"/>
          <w:highlight w:val="none"/>
          <w:lang w:val="en-US" w:eastAsia="zh-CN"/>
        </w:rPr>
        <w:fldChar w:fldCharType="end"/>
      </w:r>
    </w:p>
    <w:p w14:paraId="58FC2171">
      <w:pPr>
        <w:pStyle w:val="15"/>
        <w:tabs>
          <w:tab w:val="right" w:leader="dot" w:pos="9354"/>
        </w:tabs>
        <w:spacing w:line="360" w:lineRule="auto"/>
        <w:rPr>
          <w:rFonts w:hint="eastAsia" w:ascii="黑体" w:hAnsi="黑体" w:eastAsia="黑体" w:cs="黑体"/>
          <w:sz w:val="24"/>
          <w:szCs w:val="24"/>
          <w:highlight w:val="none"/>
        </w:rPr>
      </w:pPr>
      <w:r>
        <w:rPr>
          <w:rFonts w:hint="eastAsia" w:ascii="黑体" w:hAnsi="黑体" w:eastAsia="黑体" w:cs="黑体"/>
          <w:bCs/>
          <w:sz w:val="24"/>
          <w:szCs w:val="24"/>
          <w:highlight w:val="none"/>
          <w:lang w:val="en-US" w:eastAsia="zh-CN"/>
        </w:rPr>
        <w:fldChar w:fldCharType="begin"/>
      </w:r>
      <w:r>
        <w:rPr>
          <w:rFonts w:hint="eastAsia" w:ascii="黑体" w:hAnsi="黑体" w:eastAsia="黑体" w:cs="黑体"/>
          <w:bCs/>
          <w:sz w:val="24"/>
          <w:szCs w:val="24"/>
          <w:highlight w:val="none"/>
          <w:lang w:val="en-US" w:eastAsia="zh-CN"/>
        </w:rPr>
        <w:instrText xml:space="preserve"> HYPERLINK \l _Toc18129 </w:instrText>
      </w:r>
      <w:r>
        <w:rPr>
          <w:rFonts w:hint="eastAsia" w:ascii="黑体" w:hAnsi="黑体" w:eastAsia="黑体" w:cs="黑体"/>
          <w:bCs/>
          <w:sz w:val="24"/>
          <w:szCs w:val="24"/>
          <w:highlight w:val="none"/>
          <w:lang w:val="en-US" w:eastAsia="zh-CN"/>
        </w:rPr>
        <w:fldChar w:fldCharType="separate"/>
      </w:r>
      <w:r>
        <w:rPr>
          <w:rFonts w:hint="eastAsia" w:ascii="黑体" w:hAnsi="黑体" w:eastAsia="黑体" w:cs="黑体"/>
          <w:bCs/>
          <w:sz w:val="24"/>
          <w:szCs w:val="24"/>
          <w:highlight w:val="none"/>
        </w:rPr>
        <w:t>第6章 竞争性磋商响应文件组成</w:t>
      </w:r>
      <w:r>
        <w:rPr>
          <w:rFonts w:hint="eastAsia" w:ascii="黑体" w:hAnsi="黑体" w:eastAsia="黑体" w:cs="黑体"/>
          <w:sz w:val="24"/>
          <w:szCs w:val="24"/>
          <w:highlight w:val="none"/>
        </w:rPr>
        <w:tab/>
      </w: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PAGEREF _Toc18129 \h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39</w:t>
      </w:r>
      <w:r>
        <w:rPr>
          <w:rFonts w:hint="eastAsia" w:ascii="黑体" w:hAnsi="黑体" w:eastAsia="黑体" w:cs="黑体"/>
          <w:sz w:val="24"/>
          <w:szCs w:val="24"/>
          <w:highlight w:val="none"/>
        </w:rPr>
        <w:fldChar w:fldCharType="end"/>
      </w:r>
      <w:r>
        <w:rPr>
          <w:rFonts w:hint="eastAsia" w:ascii="黑体" w:hAnsi="黑体" w:eastAsia="黑体" w:cs="黑体"/>
          <w:bCs/>
          <w:sz w:val="24"/>
          <w:szCs w:val="24"/>
          <w:highlight w:val="none"/>
          <w:lang w:val="en-US" w:eastAsia="zh-CN"/>
        </w:rPr>
        <w:fldChar w:fldCharType="end"/>
      </w:r>
    </w:p>
    <w:p w14:paraId="2FD4CDB1">
      <w:pPr>
        <w:pStyle w:val="17"/>
        <w:tabs>
          <w:tab w:val="right" w:leader="dot" w:pos="9354"/>
        </w:tabs>
        <w:spacing w:line="360" w:lineRule="auto"/>
        <w:rPr>
          <w:rFonts w:hint="eastAsia" w:ascii="黑体" w:hAnsi="黑体" w:eastAsia="黑体" w:cs="黑体"/>
          <w:sz w:val="24"/>
          <w:szCs w:val="24"/>
          <w:highlight w:val="none"/>
        </w:rPr>
      </w:pPr>
      <w:r>
        <w:rPr>
          <w:rFonts w:hint="eastAsia" w:ascii="黑体" w:hAnsi="黑体" w:eastAsia="黑体" w:cs="黑体"/>
          <w:bCs/>
          <w:sz w:val="24"/>
          <w:szCs w:val="24"/>
          <w:highlight w:val="none"/>
          <w:lang w:val="en-US" w:eastAsia="zh-CN"/>
        </w:rPr>
        <w:fldChar w:fldCharType="begin"/>
      </w:r>
      <w:r>
        <w:rPr>
          <w:rFonts w:hint="eastAsia" w:ascii="黑体" w:hAnsi="黑体" w:eastAsia="黑体" w:cs="黑体"/>
          <w:bCs/>
          <w:sz w:val="24"/>
          <w:szCs w:val="24"/>
          <w:highlight w:val="none"/>
          <w:lang w:val="en-US" w:eastAsia="zh-CN"/>
        </w:rPr>
        <w:instrText xml:space="preserve"> HYPERLINK \l _Toc19359 </w:instrText>
      </w:r>
      <w:r>
        <w:rPr>
          <w:rFonts w:hint="eastAsia" w:ascii="黑体" w:hAnsi="黑体" w:eastAsia="黑体" w:cs="黑体"/>
          <w:bCs/>
          <w:sz w:val="24"/>
          <w:szCs w:val="24"/>
          <w:highlight w:val="none"/>
          <w:lang w:val="en-US" w:eastAsia="zh-CN"/>
        </w:rPr>
        <w:fldChar w:fldCharType="separate"/>
      </w:r>
      <w:r>
        <w:rPr>
          <w:rFonts w:hint="eastAsia" w:ascii="黑体" w:hAnsi="黑体" w:eastAsia="黑体" w:cs="黑体"/>
          <w:sz w:val="24"/>
          <w:szCs w:val="24"/>
          <w:highlight w:val="none"/>
        </w:rPr>
        <w:t>一、资格证明文件</w:t>
      </w:r>
      <w:r>
        <w:rPr>
          <w:rFonts w:hint="eastAsia" w:ascii="黑体" w:hAnsi="黑体" w:eastAsia="黑体" w:cs="黑体"/>
          <w:sz w:val="24"/>
          <w:szCs w:val="24"/>
          <w:highlight w:val="none"/>
        </w:rPr>
        <w:tab/>
      </w: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PAGEREF _Toc19359 \h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40</w:t>
      </w:r>
      <w:r>
        <w:rPr>
          <w:rFonts w:hint="eastAsia" w:ascii="黑体" w:hAnsi="黑体" w:eastAsia="黑体" w:cs="黑体"/>
          <w:sz w:val="24"/>
          <w:szCs w:val="24"/>
          <w:highlight w:val="none"/>
        </w:rPr>
        <w:fldChar w:fldCharType="end"/>
      </w:r>
      <w:r>
        <w:rPr>
          <w:rFonts w:hint="eastAsia" w:ascii="黑体" w:hAnsi="黑体" w:eastAsia="黑体" w:cs="黑体"/>
          <w:bCs/>
          <w:sz w:val="24"/>
          <w:szCs w:val="24"/>
          <w:highlight w:val="none"/>
          <w:lang w:val="en-US" w:eastAsia="zh-CN"/>
        </w:rPr>
        <w:fldChar w:fldCharType="end"/>
      </w:r>
    </w:p>
    <w:p w14:paraId="53051F2F">
      <w:pPr>
        <w:pStyle w:val="17"/>
        <w:tabs>
          <w:tab w:val="right" w:leader="dot" w:pos="9354"/>
        </w:tabs>
        <w:spacing w:line="360" w:lineRule="auto"/>
        <w:rPr>
          <w:rFonts w:hint="eastAsia" w:ascii="黑体" w:hAnsi="黑体" w:eastAsia="黑体" w:cs="黑体"/>
          <w:sz w:val="24"/>
          <w:szCs w:val="24"/>
          <w:highlight w:val="none"/>
        </w:rPr>
      </w:pPr>
      <w:r>
        <w:rPr>
          <w:rFonts w:hint="eastAsia" w:ascii="黑体" w:hAnsi="黑体" w:eastAsia="黑体" w:cs="黑体"/>
          <w:bCs/>
          <w:sz w:val="24"/>
          <w:szCs w:val="24"/>
          <w:highlight w:val="none"/>
          <w:lang w:val="en-US" w:eastAsia="zh-CN"/>
        </w:rPr>
        <w:fldChar w:fldCharType="begin"/>
      </w:r>
      <w:r>
        <w:rPr>
          <w:rFonts w:hint="eastAsia" w:ascii="黑体" w:hAnsi="黑体" w:eastAsia="黑体" w:cs="黑体"/>
          <w:bCs/>
          <w:sz w:val="24"/>
          <w:szCs w:val="24"/>
          <w:highlight w:val="none"/>
          <w:lang w:val="en-US" w:eastAsia="zh-CN"/>
        </w:rPr>
        <w:instrText xml:space="preserve"> HYPERLINK \l _Toc9779 </w:instrText>
      </w:r>
      <w:r>
        <w:rPr>
          <w:rFonts w:hint="eastAsia" w:ascii="黑体" w:hAnsi="黑体" w:eastAsia="黑体" w:cs="黑体"/>
          <w:bCs/>
          <w:sz w:val="24"/>
          <w:szCs w:val="24"/>
          <w:highlight w:val="none"/>
          <w:lang w:val="en-US" w:eastAsia="zh-CN"/>
        </w:rPr>
        <w:fldChar w:fldCharType="separate"/>
      </w:r>
      <w:r>
        <w:rPr>
          <w:rFonts w:hint="eastAsia" w:ascii="黑体" w:hAnsi="黑体" w:eastAsia="黑体" w:cs="黑体"/>
          <w:sz w:val="24"/>
          <w:szCs w:val="24"/>
          <w:highlight w:val="none"/>
        </w:rPr>
        <w:t>二、商务技术文件</w:t>
      </w:r>
      <w:r>
        <w:rPr>
          <w:rFonts w:hint="eastAsia" w:ascii="黑体" w:hAnsi="黑体" w:eastAsia="黑体" w:cs="黑体"/>
          <w:sz w:val="24"/>
          <w:szCs w:val="24"/>
          <w:highlight w:val="none"/>
        </w:rPr>
        <w:tab/>
      </w: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PAGEREF _Toc9779 \h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47</w:t>
      </w:r>
      <w:r>
        <w:rPr>
          <w:rFonts w:hint="eastAsia" w:ascii="黑体" w:hAnsi="黑体" w:eastAsia="黑体" w:cs="黑体"/>
          <w:sz w:val="24"/>
          <w:szCs w:val="24"/>
          <w:highlight w:val="none"/>
        </w:rPr>
        <w:fldChar w:fldCharType="end"/>
      </w:r>
      <w:r>
        <w:rPr>
          <w:rFonts w:hint="eastAsia" w:ascii="黑体" w:hAnsi="黑体" w:eastAsia="黑体" w:cs="黑体"/>
          <w:bCs/>
          <w:sz w:val="24"/>
          <w:szCs w:val="24"/>
          <w:highlight w:val="none"/>
          <w:lang w:val="en-US" w:eastAsia="zh-CN"/>
        </w:rPr>
        <w:fldChar w:fldCharType="end"/>
      </w:r>
    </w:p>
    <w:p w14:paraId="47DA51D0">
      <w:pPr>
        <w:pStyle w:val="17"/>
        <w:tabs>
          <w:tab w:val="right" w:leader="dot" w:pos="9354"/>
        </w:tabs>
        <w:spacing w:line="360" w:lineRule="auto"/>
        <w:rPr>
          <w:rFonts w:hint="eastAsia" w:ascii="黑体" w:hAnsi="黑体" w:eastAsia="黑体" w:cs="黑体"/>
          <w:sz w:val="24"/>
          <w:szCs w:val="24"/>
          <w:highlight w:val="none"/>
        </w:rPr>
      </w:pPr>
      <w:r>
        <w:rPr>
          <w:rFonts w:hint="eastAsia" w:ascii="黑体" w:hAnsi="黑体" w:eastAsia="黑体" w:cs="黑体"/>
          <w:bCs/>
          <w:sz w:val="24"/>
          <w:szCs w:val="24"/>
          <w:highlight w:val="none"/>
          <w:lang w:val="en-US" w:eastAsia="zh-CN"/>
        </w:rPr>
        <w:fldChar w:fldCharType="begin"/>
      </w:r>
      <w:r>
        <w:rPr>
          <w:rFonts w:hint="eastAsia" w:ascii="黑体" w:hAnsi="黑体" w:eastAsia="黑体" w:cs="黑体"/>
          <w:bCs/>
          <w:sz w:val="24"/>
          <w:szCs w:val="24"/>
          <w:highlight w:val="none"/>
          <w:lang w:val="en-US" w:eastAsia="zh-CN"/>
        </w:rPr>
        <w:instrText xml:space="preserve"> HYPERLINK \l _Toc7340 </w:instrText>
      </w:r>
      <w:r>
        <w:rPr>
          <w:rFonts w:hint="eastAsia" w:ascii="黑体" w:hAnsi="黑体" w:eastAsia="黑体" w:cs="黑体"/>
          <w:bCs/>
          <w:sz w:val="24"/>
          <w:szCs w:val="24"/>
          <w:highlight w:val="none"/>
          <w:lang w:val="en-US" w:eastAsia="zh-CN"/>
        </w:rPr>
        <w:fldChar w:fldCharType="separate"/>
      </w:r>
      <w:r>
        <w:rPr>
          <w:rFonts w:hint="eastAsia" w:ascii="黑体" w:hAnsi="黑体" w:eastAsia="黑体" w:cs="黑体"/>
          <w:sz w:val="24"/>
          <w:szCs w:val="24"/>
          <w:highlight w:val="none"/>
        </w:rPr>
        <w:t>三、报价文件</w:t>
      </w:r>
      <w:r>
        <w:rPr>
          <w:rFonts w:hint="eastAsia" w:ascii="黑体" w:hAnsi="黑体" w:eastAsia="黑体" w:cs="黑体"/>
          <w:sz w:val="24"/>
          <w:szCs w:val="24"/>
          <w:highlight w:val="none"/>
        </w:rPr>
        <w:tab/>
      </w: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PAGEREF _Toc7340 \h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57</w:t>
      </w:r>
      <w:r>
        <w:rPr>
          <w:rFonts w:hint="eastAsia" w:ascii="黑体" w:hAnsi="黑体" w:eastAsia="黑体" w:cs="黑体"/>
          <w:sz w:val="24"/>
          <w:szCs w:val="24"/>
          <w:highlight w:val="none"/>
        </w:rPr>
        <w:fldChar w:fldCharType="end"/>
      </w:r>
      <w:r>
        <w:rPr>
          <w:rFonts w:hint="eastAsia" w:ascii="黑体" w:hAnsi="黑体" w:eastAsia="黑体" w:cs="黑体"/>
          <w:bCs/>
          <w:sz w:val="24"/>
          <w:szCs w:val="24"/>
          <w:highlight w:val="none"/>
          <w:lang w:val="en-US" w:eastAsia="zh-CN"/>
        </w:rPr>
        <w:fldChar w:fldCharType="end"/>
      </w:r>
    </w:p>
    <w:p w14:paraId="117AF52D">
      <w:pPr>
        <w:pStyle w:val="38"/>
        <w:spacing w:line="360" w:lineRule="auto"/>
        <w:ind w:firstLine="0"/>
        <w:jc w:val="center"/>
        <w:rPr>
          <w:rFonts w:hint="eastAsia" w:ascii="方正小标宋简体" w:eastAsia="方正小标宋简体" w:cs="Times New Roman"/>
          <w:bCs/>
          <w:sz w:val="32"/>
          <w:szCs w:val="32"/>
          <w:highlight w:val="none"/>
          <w:lang w:val="en-US" w:eastAsia="zh-CN"/>
        </w:rPr>
        <w:sectPr>
          <w:headerReference r:id="rId3" w:type="default"/>
          <w:footerReference r:id="rId4" w:type="even"/>
          <w:pgSz w:w="11906" w:h="16838"/>
          <w:pgMar w:top="1418" w:right="1134" w:bottom="1134" w:left="1418" w:header="851" w:footer="992" w:gutter="0"/>
          <w:cols w:space="720" w:num="1"/>
          <w:docGrid w:type="lines" w:linePitch="312" w:charSpace="0"/>
        </w:sectPr>
      </w:pPr>
      <w:r>
        <w:rPr>
          <w:rFonts w:hint="eastAsia" w:ascii="黑体" w:hAnsi="黑体" w:eastAsia="黑体" w:cs="黑体"/>
          <w:bCs/>
          <w:sz w:val="24"/>
          <w:szCs w:val="24"/>
          <w:highlight w:val="none"/>
          <w:lang w:val="en-US" w:eastAsia="zh-CN"/>
        </w:rPr>
        <w:fldChar w:fldCharType="end"/>
      </w:r>
    </w:p>
    <w:p w14:paraId="676AC011">
      <w:pPr>
        <w:pStyle w:val="38"/>
        <w:spacing w:line="240" w:lineRule="auto"/>
        <w:ind w:firstLine="0"/>
        <w:jc w:val="center"/>
        <w:outlineLvl w:val="0"/>
        <w:rPr>
          <w:rFonts w:ascii="方正小标宋简体" w:eastAsia="方正小标宋简体"/>
          <w:bCs/>
          <w:sz w:val="32"/>
          <w:szCs w:val="32"/>
          <w:highlight w:val="none"/>
        </w:rPr>
      </w:pPr>
      <w:bookmarkStart w:id="0" w:name="_Toc19814"/>
      <w:r>
        <w:rPr>
          <w:rFonts w:hint="eastAsia" w:ascii="方正小标宋简体" w:eastAsia="方正小标宋简体"/>
          <w:bCs/>
          <w:sz w:val="32"/>
          <w:szCs w:val="32"/>
          <w:highlight w:val="none"/>
        </w:rPr>
        <w:t>第1章 竞争性磋商公告</w:t>
      </w:r>
      <w:bookmarkEnd w:id="0"/>
    </w:p>
    <w:p w14:paraId="4AC2A096">
      <w:pPr>
        <w:pStyle w:val="10"/>
        <w:spacing w:after="0" w:line="500" w:lineRule="exact"/>
        <w:ind w:firstLine="560" w:firstLineChars="200"/>
        <w:outlineLvl w:val="1"/>
        <w:rPr>
          <w:rFonts w:ascii="黑体" w:hAnsi="黑体" w:eastAsia="黑体"/>
          <w:sz w:val="28"/>
          <w:szCs w:val="28"/>
          <w:highlight w:val="none"/>
        </w:rPr>
      </w:pPr>
      <w:bookmarkStart w:id="1" w:name="_Toc35393798"/>
      <w:bookmarkStart w:id="2" w:name="_Toc28359089"/>
      <w:bookmarkStart w:id="3" w:name="_Toc11104"/>
      <w:bookmarkStart w:id="4" w:name="_Toc35393629"/>
      <w:bookmarkStart w:id="5" w:name="_Toc28359012"/>
      <w:bookmarkStart w:id="6" w:name="OLE_LINK2"/>
      <w:r>
        <w:rPr>
          <w:rFonts w:hint="eastAsia" w:ascii="黑体" w:hAnsi="黑体" w:eastAsia="黑体"/>
          <w:sz w:val="28"/>
          <w:szCs w:val="28"/>
          <w:highlight w:val="none"/>
        </w:rPr>
        <w:t>一、项目基本情况</w:t>
      </w:r>
      <w:bookmarkEnd w:id="1"/>
      <w:bookmarkEnd w:id="2"/>
      <w:bookmarkEnd w:id="3"/>
      <w:bookmarkEnd w:id="4"/>
      <w:bookmarkEnd w:id="5"/>
    </w:p>
    <w:p w14:paraId="0DE077A3">
      <w:pPr>
        <w:spacing w:line="500" w:lineRule="exact"/>
        <w:ind w:firstLine="560" w:firstLineChars="200"/>
        <w:rPr>
          <w:rFonts w:hint="default" w:ascii="仿宋" w:hAnsi="仿宋" w:eastAsia="仿宋"/>
          <w:sz w:val="28"/>
          <w:szCs w:val="28"/>
          <w:highlight w:val="none"/>
          <w:lang w:val="en-US" w:eastAsia="zh-CN"/>
        </w:rPr>
      </w:pPr>
      <w:r>
        <w:rPr>
          <w:rFonts w:hint="eastAsia" w:ascii="仿宋" w:hAnsi="仿宋" w:eastAsia="仿宋"/>
          <w:sz w:val="28"/>
          <w:szCs w:val="28"/>
          <w:highlight w:val="none"/>
        </w:rPr>
        <w:t>1.项目名称：</w:t>
      </w:r>
      <w:r>
        <w:rPr>
          <w:rFonts w:hint="eastAsia" w:ascii="仿宋" w:hAnsi="仿宋" w:eastAsia="仿宋"/>
          <w:sz w:val="28"/>
          <w:szCs w:val="28"/>
          <w:highlight w:val="none"/>
          <w:lang w:val="en-US" w:eastAsia="zh-CN"/>
        </w:rPr>
        <w:t>如皋法院无纸化数字加工服务</w:t>
      </w:r>
    </w:p>
    <w:p w14:paraId="146BBB1C">
      <w:pPr>
        <w:spacing w:line="500" w:lineRule="exact"/>
        <w:ind w:firstLine="560" w:firstLineChars="200"/>
        <w:rPr>
          <w:rFonts w:hint="default" w:ascii="仿宋" w:hAnsi="仿宋" w:eastAsia="仿宋"/>
          <w:sz w:val="28"/>
          <w:szCs w:val="28"/>
          <w:highlight w:val="none"/>
          <w:lang w:val="en-US" w:eastAsia="zh-CN"/>
        </w:rPr>
      </w:pPr>
      <w:r>
        <w:rPr>
          <w:rFonts w:hint="eastAsia" w:ascii="仿宋" w:hAnsi="仿宋" w:eastAsia="仿宋"/>
          <w:sz w:val="28"/>
          <w:szCs w:val="28"/>
          <w:highlight w:val="none"/>
        </w:rPr>
        <w:t>2.项目编号：</w:t>
      </w:r>
      <w:r>
        <w:rPr>
          <w:rFonts w:hint="eastAsia" w:ascii="仿宋" w:hAnsi="仿宋" w:eastAsia="仿宋"/>
          <w:sz w:val="28"/>
          <w:szCs w:val="28"/>
          <w:highlight w:val="none"/>
          <w:lang w:val="en-US" w:eastAsia="zh-CN"/>
        </w:rPr>
        <w:t>JSZC-320682-NTJW-C2026-0039</w:t>
      </w:r>
    </w:p>
    <w:p w14:paraId="25274D6A">
      <w:pPr>
        <w:spacing w:line="500" w:lineRule="exact"/>
        <w:ind w:firstLine="560" w:firstLineChars="200"/>
        <w:rPr>
          <w:rFonts w:ascii="仿宋" w:hAnsi="仿宋" w:eastAsia="仿宋"/>
          <w:sz w:val="28"/>
          <w:szCs w:val="28"/>
          <w:highlight w:val="none"/>
        </w:rPr>
      </w:pPr>
      <w:r>
        <w:rPr>
          <w:rFonts w:hint="eastAsia" w:ascii="仿宋" w:hAnsi="仿宋" w:eastAsia="仿宋"/>
          <w:sz w:val="28"/>
          <w:szCs w:val="28"/>
          <w:highlight w:val="none"/>
        </w:rPr>
        <w:t>3.预算金额：</w:t>
      </w:r>
      <w:r>
        <w:rPr>
          <w:rFonts w:hint="eastAsia" w:ascii="仿宋" w:hAnsi="仿宋" w:eastAsia="仿宋"/>
          <w:sz w:val="28"/>
          <w:szCs w:val="28"/>
          <w:highlight w:val="none"/>
          <w:lang w:val="en-US" w:eastAsia="zh-CN"/>
        </w:rPr>
        <w:t>人民币120万元/年</w:t>
      </w:r>
    </w:p>
    <w:p w14:paraId="252EB1DF">
      <w:pPr>
        <w:spacing w:line="500" w:lineRule="exact"/>
        <w:ind w:firstLine="560" w:firstLineChars="200"/>
        <w:rPr>
          <w:rFonts w:ascii="仿宋" w:hAnsi="仿宋" w:eastAsia="仿宋"/>
          <w:sz w:val="28"/>
          <w:szCs w:val="28"/>
          <w:highlight w:val="none"/>
        </w:rPr>
      </w:pPr>
      <w:r>
        <w:rPr>
          <w:rFonts w:hint="eastAsia" w:ascii="仿宋" w:hAnsi="仿宋" w:eastAsia="仿宋"/>
          <w:sz w:val="28"/>
          <w:szCs w:val="28"/>
          <w:highlight w:val="none"/>
        </w:rPr>
        <w:t xml:space="preserve">4.最高限价：人民币 </w:t>
      </w:r>
      <w:r>
        <w:rPr>
          <w:rFonts w:hint="eastAsia" w:ascii="仿宋" w:hAnsi="仿宋" w:eastAsia="仿宋"/>
          <w:sz w:val="28"/>
          <w:szCs w:val="28"/>
          <w:highlight w:val="none"/>
          <w:lang w:val="en-US" w:eastAsia="zh-CN"/>
        </w:rPr>
        <w:t>120</w:t>
      </w:r>
      <w:r>
        <w:rPr>
          <w:rFonts w:hint="eastAsia" w:ascii="仿宋" w:hAnsi="仿宋" w:eastAsia="仿宋"/>
          <w:sz w:val="28"/>
          <w:szCs w:val="28"/>
          <w:highlight w:val="none"/>
        </w:rPr>
        <w:t>万元</w:t>
      </w:r>
      <w:r>
        <w:rPr>
          <w:rFonts w:hint="eastAsia" w:ascii="仿宋" w:hAnsi="仿宋" w:eastAsia="仿宋"/>
          <w:sz w:val="28"/>
          <w:szCs w:val="28"/>
          <w:highlight w:val="none"/>
          <w:lang w:val="en-US" w:eastAsia="zh-CN"/>
        </w:rPr>
        <w:t>/年，单价限价：如皋法院档案室约一个年度内即时产生的所有归档档案数字化加工工作和如皋法院约一个年度内的电子卷宗同步扫描服务0.18元/页、如皋法院约一个年度内的中间库归档服务22.5元/册。</w:t>
      </w:r>
    </w:p>
    <w:p w14:paraId="7713790E">
      <w:pPr>
        <w:spacing w:line="500" w:lineRule="exact"/>
        <w:ind w:firstLine="560" w:firstLineChars="200"/>
        <w:rPr>
          <w:rFonts w:ascii="仿宋" w:hAnsi="仿宋" w:eastAsia="仿宋"/>
          <w:sz w:val="28"/>
          <w:szCs w:val="28"/>
          <w:highlight w:val="none"/>
          <w:u w:val="single"/>
        </w:rPr>
      </w:pPr>
      <w:r>
        <w:rPr>
          <w:rFonts w:hint="eastAsia" w:ascii="仿宋" w:hAnsi="仿宋" w:eastAsia="仿宋"/>
          <w:sz w:val="28"/>
          <w:szCs w:val="28"/>
          <w:highlight w:val="none"/>
        </w:rPr>
        <w:t>5.采购需求：</w:t>
      </w:r>
      <w:r>
        <w:rPr>
          <w:rFonts w:hint="eastAsia" w:ascii="仿宋" w:hAnsi="仿宋" w:eastAsia="仿宋"/>
          <w:sz w:val="28"/>
          <w:szCs w:val="28"/>
          <w:highlight w:val="none"/>
          <w:lang w:eastAsia="zh-CN"/>
        </w:rPr>
        <w:t>如皋法院无纸化数字加工服务项目，</w:t>
      </w:r>
      <w:r>
        <w:rPr>
          <w:rFonts w:hint="eastAsia" w:ascii="仿宋" w:hAnsi="仿宋" w:eastAsia="仿宋"/>
          <w:sz w:val="28"/>
          <w:szCs w:val="28"/>
          <w:highlight w:val="none"/>
        </w:rPr>
        <w:t>详见第</w:t>
      </w:r>
      <w:r>
        <w:rPr>
          <w:rFonts w:hint="eastAsia" w:ascii="仿宋" w:hAnsi="仿宋" w:eastAsia="仿宋"/>
          <w:sz w:val="28"/>
          <w:szCs w:val="28"/>
          <w:highlight w:val="none"/>
          <w:lang w:val="en-US" w:eastAsia="zh-CN"/>
        </w:rPr>
        <w:t>3</w:t>
      </w:r>
      <w:r>
        <w:rPr>
          <w:rFonts w:hint="eastAsia" w:ascii="仿宋" w:hAnsi="仿宋" w:eastAsia="仿宋"/>
          <w:sz w:val="28"/>
          <w:szCs w:val="28"/>
          <w:highlight w:val="none"/>
        </w:rPr>
        <w:t>章。</w:t>
      </w:r>
    </w:p>
    <w:p w14:paraId="387DBCAF">
      <w:pPr>
        <w:spacing w:line="500" w:lineRule="exact"/>
        <w:ind w:firstLine="560" w:firstLineChars="200"/>
        <w:rPr>
          <w:rFonts w:hint="eastAsia" w:ascii="仿宋" w:hAnsi="仿宋" w:eastAsia="仿宋"/>
          <w:sz w:val="28"/>
          <w:szCs w:val="28"/>
          <w:highlight w:val="none"/>
          <w:lang w:eastAsia="zh-CN"/>
        </w:rPr>
      </w:pPr>
      <w:r>
        <w:rPr>
          <w:rFonts w:hint="eastAsia" w:ascii="仿宋" w:hAnsi="仿宋" w:eastAsia="仿宋"/>
          <w:sz w:val="28"/>
          <w:szCs w:val="28"/>
          <w:highlight w:val="none"/>
        </w:rPr>
        <w:t>6.合同履行期限：</w:t>
      </w:r>
      <w:r>
        <w:rPr>
          <w:rFonts w:hint="eastAsia" w:eastAsia="仿宋" w:cs="Times New Roman"/>
          <w:sz w:val="28"/>
          <w:szCs w:val="28"/>
          <w:highlight w:val="none"/>
          <w:lang w:eastAsia="zh-CN"/>
        </w:rPr>
        <w:t>自合同签订之日起一年，每年服务期届满前一个月进行验收考核，经验收合格，可以根据本项目服务要求进行续签，续签最多不超过两次；验收不合格，采购人有权单方终止履行并解除合同。</w:t>
      </w:r>
    </w:p>
    <w:p w14:paraId="00F21181">
      <w:pPr>
        <w:spacing w:line="500" w:lineRule="exact"/>
        <w:ind w:firstLine="560" w:firstLineChars="200"/>
        <w:rPr>
          <w:rFonts w:ascii="仿宋" w:hAnsi="仿宋" w:eastAsia="仿宋"/>
          <w:sz w:val="28"/>
          <w:szCs w:val="28"/>
          <w:highlight w:val="none"/>
        </w:rPr>
      </w:pPr>
      <w:r>
        <w:rPr>
          <w:rFonts w:hint="eastAsia" w:ascii="仿宋" w:hAnsi="仿宋" w:eastAsia="仿宋"/>
          <w:sz w:val="28"/>
          <w:szCs w:val="28"/>
          <w:highlight w:val="none"/>
        </w:rPr>
        <w:t>7.本项目是否接受联合体：</w:t>
      </w:r>
      <w:r>
        <w:rPr>
          <w:rFonts w:ascii="仿宋" w:hAnsi="仿宋" w:eastAsia="仿宋"/>
          <w:sz w:val="28"/>
          <w:szCs w:val="28"/>
          <w:highlight w:val="none"/>
        </w:rPr>
        <w:t>否</w:t>
      </w:r>
      <w:r>
        <w:rPr>
          <w:rFonts w:hint="eastAsia" w:ascii="仿宋" w:hAnsi="仿宋" w:eastAsia="仿宋"/>
          <w:sz w:val="28"/>
          <w:szCs w:val="28"/>
          <w:highlight w:val="none"/>
        </w:rPr>
        <w:t>。</w:t>
      </w:r>
    </w:p>
    <w:p w14:paraId="4D40C93C">
      <w:pPr>
        <w:spacing w:line="500" w:lineRule="exact"/>
        <w:ind w:firstLine="560" w:firstLineChars="200"/>
        <w:rPr>
          <w:rFonts w:ascii="仿宋" w:hAnsi="仿宋" w:eastAsia="仿宋"/>
          <w:sz w:val="28"/>
          <w:szCs w:val="28"/>
          <w:highlight w:val="none"/>
        </w:rPr>
      </w:pPr>
      <w:r>
        <w:rPr>
          <w:rFonts w:hint="eastAsia" w:ascii="仿宋" w:hAnsi="仿宋" w:eastAsia="仿宋"/>
          <w:sz w:val="28"/>
          <w:szCs w:val="28"/>
          <w:highlight w:val="none"/>
          <w:lang w:val="en-US" w:eastAsia="zh-CN"/>
        </w:rPr>
        <w:t>8</w:t>
      </w:r>
      <w:r>
        <w:rPr>
          <w:rFonts w:hint="eastAsia" w:ascii="仿宋" w:hAnsi="仿宋" w:eastAsia="仿宋"/>
          <w:sz w:val="28"/>
          <w:szCs w:val="28"/>
          <w:highlight w:val="none"/>
        </w:rPr>
        <w:t>.本项目是否专门面向中小企业采购：是。</w:t>
      </w:r>
    </w:p>
    <w:p w14:paraId="417191BC">
      <w:pPr>
        <w:spacing w:line="500" w:lineRule="exact"/>
        <w:ind w:firstLine="560" w:firstLineChars="200"/>
        <w:rPr>
          <w:rFonts w:ascii="仿宋" w:hAnsi="仿宋" w:eastAsia="仿宋"/>
          <w:color w:val="FF0000"/>
          <w:sz w:val="28"/>
          <w:szCs w:val="28"/>
          <w:highlight w:val="none"/>
        </w:rPr>
      </w:pPr>
      <w:r>
        <w:rPr>
          <w:rFonts w:hint="eastAsia" w:ascii="仿宋" w:hAnsi="仿宋" w:eastAsia="仿宋"/>
          <w:sz w:val="28"/>
          <w:szCs w:val="28"/>
          <w:highlight w:val="none"/>
          <w:lang w:val="en-US" w:eastAsia="zh-CN"/>
        </w:rPr>
        <w:t>9</w:t>
      </w:r>
      <w:r>
        <w:rPr>
          <w:rFonts w:hint="eastAsia" w:ascii="仿宋" w:hAnsi="仿宋" w:eastAsia="仿宋"/>
          <w:sz w:val="28"/>
          <w:szCs w:val="28"/>
          <w:highlight w:val="none"/>
        </w:rPr>
        <w:t>.项目类型：服务。</w:t>
      </w:r>
    </w:p>
    <w:p w14:paraId="697D4BE4">
      <w:pPr>
        <w:spacing w:line="500" w:lineRule="exact"/>
        <w:ind w:firstLine="560" w:firstLineChars="200"/>
        <w:rPr>
          <w:rFonts w:ascii="仿宋" w:hAnsi="仿宋" w:eastAsia="仿宋"/>
          <w:sz w:val="28"/>
          <w:szCs w:val="28"/>
          <w:highlight w:val="none"/>
        </w:rPr>
      </w:pPr>
      <w:r>
        <w:rPr>
          <w:rFonts w:hint="eastAsia" w:ascii="仿宋" w:hAnsi="仿宋" w:eastAsia="仿宋"/>
          <w:sz w:val="28"/>
          <w:szCs w:val="28"/>
          <w:highlight w:val="none"/>
        </w:rPr>
        <w:t>1</w:t>
      </w:r>
      <w:r>
        <w:rPr>
          <w:rFonts w:hint="eastAsia" w:ascii="仿宋" w:hAnsi="仿宋" w:eastAsia="仿宋"/>
          <w:sz w:val="28"/>
          <w:szCs w:val="28"/>
          <w:highlight w:val="none"/>
          <w:lang w:val="en-US" w:eastAsia="zh-CN"/>
        </w:rPr>
        <w:t>0</w:t>
      </w:r>
      <w:r>
        <w:rPr>
          <w:rFonts w:hint="eastAsia" w:ascii="仿宋" w:hAnsi="仿宋" w:eastAsia="仿宋"/>
          <w:sz w:val="28"/>
          <w:szCs w:val="28"/>
          <w:highlight w:val="none"/>
        </w:rPr>
        <w:t>.项目所属行业：租赁</w:t>
      </w:r>
      <w:r>
        <w:rPr>
          <w:rFonts w:ascii="仿宋" w:hAnsi="仿宋" w:eastAsia="仿宋"/>
          <w:sz w:val="28"/>
          <w:szCs w:val="28"/>
          <w:highlight w:val="none"/>
        </w:rPr>
        <w:t>和商务服务业。</w:t>
      </w:r>
    </w:p>
    <w:p w14:paraId="50AF43A9">
      <w:pPr>
        <w:pStyle w:val="10"/>
        <w:spacing w:after="0" w:line="500" w:lineRule="exact"/>
        <w:ind w:firstLine="560" w:firstLineChars="200"/>
        <w:outlineLvl w:val="1"/>
        <w:rPr>
          <w:rFonts w:ascii="黑体" w:hAnsi="黑体" w:eastAsia="黑体"/>
          <w:sz w:val="28"/>
          <w:szCs w:val="28"/>
          <w:highlight w:val="none"/>
        </w:rPr>
      </w:pPr>
      <w:bookmarkStart w:id="7" w:name="_Toc35393630"/>
      <w:bookmarkStart w:id="8" w:name="_Toc32124"/>
      <w:bookmarkStart w:id="9" w:name="_Toc28359090"/>
      <w:bookmarkStart w:id="10" w:name="_Toc35393799"/>
      <w:bookmarkStart w:id="11" w:name="_Toc28359013"/>
      <w:r>
        <w:rPr>
          <w:rFonts w:hint="eastAsia" w:ascii="黑体" w:hAnsi="黑体" w:eastAsia="黑体"/>
          <w:sz w:val="28"/>
          <w:szCs w:val="28"/>
          <w:highlight w:val="none"/>
        </w:rPr>
        <w:t>二、响应人的资格要求：</w:t>
      </w:r>
      <w:bookmarkEnd w:id="7"/>
      <w:bookmarkEnd w:id="8"/>
      <w:bookmarkEnd w:id="9"/>
      <w:bookmarkEnd w:id="10"/>
      <w:bookmarkEnd w:id="11"/>
    </w:p>
    <w:p w14:paraId="26C41134">
      <w:pPr>
        <w:spacing w:line="500" w:lineRule="exact"/>
        <w:ind w:firstLine="560" w:firstLineChars="200"/>
        <w:outlineLvl w:val="9"/>
        <w:rPr>
          <w:rFonts w:ascii="仿宋" w:hAnsi="仿宋" w:eastAsia="仿宋"/>
          <w:sz w:val="28"/>
          <w:szCs w:val="28"/>
          <w:highlight w:val="none"/>
        </w:rPr>
      </w:pPr>
      <w:r>
        <w:rPr>
          <w:rFonts w:hint="eastAsia" w:ascii="仿宋" w:hAnsi="仿宋" w:eastAsia="仿宋"/>
          <w:sz w:val="28"/>
          <w:szCs w:val="28"/>
          <w:highlight w:val="none"/>
        </w:rPr>
        <w:t>1.《中华人民共和国政府采购法》第二十二条规定的条件：</w:t>
      </w:r>
    </w:p>
    <w:p w14:paraId="3A07E10D">
      <w:pPr>
        <w:pStyle w:val="18"/>
        <w:shd w:val="clear" w:color="auto" w:fill="FFFFFF"/>
        <w:spacing w:before="0" w:beforeAutospacing="0" w:after="0" w:afterAutospacing="0" w:line="500" w:lineRule="exact"/>
        <w:ind w:firstLine="560" w:firstLineChars="200"/>
        <w:rPr>
          <w:rFonts w:ascii="仿宋" w:hAnsi="仿宋" w:eastAsia="仿宋" w:cs="Times New Roman"/>
          <w:kern w:val="2"/>
          <w:sz w:val="28"/>
          <w:szCs w:val="28"/>
          <w:highlight w:val="none"/>
        </w:rPr>
      </w:pPr>
      <w:bookmarkStart w:id="12" w:name="_Toc28359091"/>
      <w:bookmarkStart w:id="13" w:name="_Toc28359014"/>
      <w:r>
        <w:rPr>
          <w:rFonts w:hint="eastAsia" w:ascii="仿宋" w:hAnsi="仿宋" w:eastAsia="仿宋" w:cs="Times New Roman"/>
          <w:kern w:val="2"/>
          <w:sz w:val="28"/>
          <w:szCs w:val="28"/>
          <w:highlight w:val="none"/>
        </w:rPr>
        <w:t>（1）具有独立承担民事责任的能力;</w:t>
      </w:r>
    </w:p>
    <w:p w14:paraId="0B3C4A76">
      <w:pPr>
        <w:pStyle w:val="18"/>
        <w:shd w:val="clear" w:color="auto" w:fill="FFFFFF"/>
        <w:spacing w:before="0" w:beforeAutospacing="0" w:after="0" w:afterAutospacing="0" w:line="500" w:lineRule="exact"/>
        <w:ind w:firstLine="560" w:firstLineChars="200"/>
        <w:rPr>
          <w:rFonts w:ascii="仿宋" w:hAnsi="仿宋" w:eastAsia="仿宋" w:cs="Times New Roman"/>
          <w:kern w:val="2"/>
          <w:sz w:val="28"/>
          <w:szCs w:val="28"/>
          <w:highlight w:val="none"/>
        </w:rPr>
      </w:pPr>
      <w:r>
        <w:rPr>
          <w:rFonts w:hint="eastAsia" w:ascii="仿宋" w:hAnsi="仿宋" w:eastAsia="仿宋" w:cs="Times New Roman"/>
          <w:kern w:val="2"/>
          <w:sz w:val="28"/>
          <w:szCs w:val="28"/>
          <w:highlight w:val="none"/>
        </w:rPr>
        <w:t>（2）具有良好的商业信誉和健全的财务会计制度;</w:t>
      </w:r>
    </w:p>
    <w:p w14:paraId="02A3E8AC">
      <w:pPr>
        <w:pStyle w:val="18"/>
        <w:shd w:val="clear" w:color="auto" w:fill="FFFFFF"/>
        <w:spacing w:before="0" w:beforeAutospacing="0" w:after="0" w:afterAutospacing="0" w:line="500" w:lineRule="exact"/>
        <w:ind w:firstLine="560" w:firstLineChars="200"/>
        <w:rPr>
          <w:rFonts w:ascii="仿宋" w:hAnsi="仿宋" w:eastAsia="仿宋" w:cs="Times New Roman"/>
          <w:kern w:val="2"/>
          <w:sz w:val="28"/>
          <w:szCs w:val="28"/>
          <w:highlight w:val="none"/>
        </w:rPr>
      </w:pPr>
      <w:r>
        <w:rPr>
          <w:rFonts w:hint="eastAsia" w:ascii="仿宋" w:hAnsi="仿宋" w:eastAsia="仿宋" w:cs="Times New Roman"/>
          <w:kern w:val="2"/>
          <w:sz w:val="28"/>
          <w:szCs w:val="28"/>
          <w:highlight w:val="none"/>
        </w:rPr>
        <w:t>（3）具有履行合同所必需的设备和专业技术能力;</w:t>
      </w:r>
    </w:p>
    <w:p w14:paraId="4592EFC0">
      <w:pPr>
        <w:pStyle w:val="18"/>
        <w:shd w:val="clear" w:color="auto" w:fill="FFFFFF"/>
        <w:spacing w:before="0" w:beforeAutospacing="0" w:after="0" w:afterAutospacing="0" w:line="500" w:lineRule="exact"/>
        <w:ind w:firstLine="560" w:firstLineChars="200"/>
        <w:rPr>
          <w:rFonts w:ascii="仿宋" w:hAnsi="仿宋" w:eastAsia="仿宋" w:cs="Times New Roman"/>
          <w:kern w:val="2"/>
          <w:sz w:val="28"/>
          <w:szCs w:val="28"/>
          <w:highlight w:val="none"/>
        </w:rPr>
      </w:pPr>
      <w:r>
        <w:rPr>
          <w:rFonts w:hint="eastAsia" w:ascii="仿宋" w:hAnsi="仿宋" w:eastAsia="仿宋" w:cs="Times New Roman"/>
          <w:kern w:val="2"/>
          <w:sz w:val="28"/>
          <w:szCs w:val="28"/>
          <w:highlight w:val="none"/>
        </w:rPr>
        <w:t>（4）有依法缴纳税收和社会保障资金的良好记录;</w:t>
      </w:r>
    </w:p>
    <w:p w14:paraId="33DF582C">
      <w:pPr>
        <w:pStyle w:val="18"/>
        <w:shd w:val="clear" w:color="auto" w:fill="FFFFFF"/>
        <w:spacing w:before="0" w:beforeAutospacing="0" w:after="0" w:afterAutospacing="0" w:line="500" w:lineRule="exact"/>
        <w:ind w:firstLine="560" w:firstLineChars="200"/>
        <w:rPr>
          <w:rFonts w:ascii="仿宋" w:hAnsi="仿宋" w:eastAsia="仿宋" w:cs="Times New Roman"/>
          <w:kern w:val="2"/>
          <w:sz w:val="28"/>
          <w:szCs w:val="28"/>
          <w:highlight w:val="none"/>
        </w:rPr>
      </w:pPr>
      <w:r>
        <w:rPr>
          <w:rFonts w:hint="eastAsia" w:ascii="仿宋" w:hAnsi="仿宋" w:eastAsia="仿宋" w:cs="Times New Roman"/>
          <w:kern w:val="2"/>
          <w:sz w:val="28"/>
          <w:szCs w:val="28"/>
          <w:highlight w:val="none"/>
        </w:rPr>
        <w:t>（5）参加政府采购活动前三年内，在经营活动中没有重大违法记录;</w:t>
      </w:r>
    </w:p>
    <w:p w14:paraId="196031A8">
      <w:pPr>
        <w:pStyle w:val="18"/>
        <w:shd w:val="clear" w:color="auto" w:fill="FFFFFF"/>
        <w:spacing w:before="0" w:beforeAutospacing="0" w:after="0" w:afterAutospacing="0" w:line="500" w:lineRule="exact"/>
        <w:ind w:firstLine="560" w:firstLineChars="200"/>
        <w:outlineLvl w:val="9"/>
        <w:rPr>
          <w:rFonts w:ascii="仿宋" w:hAnsi="仿宋" w:eastAsia="仿宋" w:cs="Times New Roman"/>
          <w:kern w:val="2"/>
          <w:sz w:val="28"/>
          <w:szCs w:val="28"/>
          <w:highlight w:val="none"/>
        </w:rPr>
      </w:pPr>
      <w:r>
        <w:rPr>
          <w:rFonts w:hint="eastAsia" w:ascii="仿宋" w:hAnsi="仿宋" w:eastAsia="仿宋" w:cs="Times New Roman"/>
          <w:kern w:val="2"/>
          <w:sz w:val="28"/>
          <w:szCs w:val="28"/>
          <w:highlight w:val="none"/>
        </w:rPr>
        <w:t>（6）法律、行政法规规定的其他条件。</w:t>
      </w:r>
    </w:p>
    <w:p w14:paraId="5A404D91">
      <w:pPr>
        <w:spacing w:line="500" w:lineRule="exact"/>
        <w:ind w:firstLine="560" w:firstLineChars="200"/>
        <w:outlineLvl w:val="9"/>
        <w:rPr>
          <w:rFonts w:ascii="仿宋" w:hAnsi="仿宋" w:eastAsia="仿宋"/>
          <w:sz w:val="28"/>
          <w:szCs w:val="28"/>
          <w:highlight w:val="none"/>
          <w:u w:val="single"/>
        </w:rPr>
      </w:pPr>
      <w:r>
        <w:rPr>
          <w:rFonts w:ascii="仿宋" w:hAnsi="仿宋" w:eastAsia="仿宋"/>
          <w:sz w:val="28"/>
          <w:szCs w:val="28"/>
          <w:highlight w:val="none"/>
        </w:rPr>
        <w:t>2</w:t>
      </w:r>
      <w:r>
        <w:rPr>
          <w:rFonts w:hint="eastAsia" w:ascii="仿宋" w:hAnsi="仿宋" w:eastAsia="仿宋"/>
          <w:sz w:val="28"/>
          <w:szCs w:val="28"/>
          <w:highlight w:val="none"/>
        </w:rPr>
        <w:t>. 落实政府采购政策需满足的资格要求：</w:t>
      </w:r>
    </w:p>
    <w:p w14:paraId="68CB7224">
      <w:pPr>
        <w:pStyle w:val="18"/>
        <w:shd w:val="clear" w:color="auto" w:fill="FFFFFF"/>
        <w:spacing w:before="0" w:beforeAutospacing="0" w:after="0" w:afterAutospacing="0" w:line="500" w:lineRule="exact"/>
        <w:ind w:firstLine="482"/>
        <w:textAlignment w:val="baseline"/>
        <w:rPr>
          <w:rFonts w:ascii="仿宋" w:hAnsi="仿宋" w:eastAsia="仿宋" w:cs="Times New Roman"/>
          <w:kern w:val="2"/>
          <w:sz w:val="28"/>
          <w:szCs w:val="28"/>
          <w:highlight w:val="none"/>
        </w:rPr>
      </w:pPr>
      <w:r>
        <w:rPr>
          <w:rFonts w:hint="eastAsia" w:ascii="仿宋" w:hAnsi="仿宋" w:eastAsia="仿宋" w:cs="Times New Roman"/>
          <w:kern w:val="2"/>
          <w:sz w:val="28"/>
          <w:szCs w:val="28"/>
          <w:highlight w:val="none"/>
        </w:rPr>
        <w:t>提供《中小企业声明函》、《残疾人福利性单位声明函》或监狱和省级以上监狱管理局、戒毒管理局（含新疆生产建设兵团）出具的属于监狱企业的证明文件。对于专门面向中小企业采购的项目，不提供的，按无效响应处理；对于非专门面向中小企业采购的项目，</w:t>
      </w:r>
      <w:r>
        <w:rPr>
          <w:rFonts w:ascii="仿宋" w:hAnsi="仿宋" w:eastAsia="仿宋" w:cs="Times New Roman"/>
          <w:kern w:val="2"/>
          <w:sz w:val="28"/>
          <w:szCs w:val="28"/>
          <w:highlight w:val="none"/>
        </w:rPr>
        <w:t>供应商</w:t>
      </w:r>
      <w:r>
        <w:rPr>
          <w:rFonts w:hint="eastAsia" w:ascii="仿宋" w:hAnsi="仿宋" w:eastAsia="仿宋" w:cs="Times New Roman"/>
          <w:kern w:val="2"/>
          <w:sz w:val="28"/>
          <w:szCs w:val="28"/>
          <w:highlight w:val="none"/>
        </w:rPr>
        <w:t>属于</w:t>
      </w:r>
      <w:r>
        <w:rPr>
          <w:rFonts w:ascii="仿宋" w:hAnsi="仿宋" w:eastAsia="仿宋" w:cs="Times New Roman"/>
          <w:kern w:val="2"/>
          <w:sz w:val="28"/>
          <w:szCs w:val="28"/>
          <w:highlight w:val="none"/>
        </w:rPr>
        <w:t>小微企业</w:t>
      </w:r>
      <w:r>
        <w:rPr>
          <w:rFonts w:hint="eastAsia" w:ascii="仿宋" w:hAnsi="仿宋" w:eastAsia="仿宋" w:cs="Times New Roman"/>
          <w:kern w:val="2"/>
          <w:sz w:val="28"/>
          <w:szCs w:val="28"/>
          <w:highlight w:val="none"/>
        </w:rPr>
        <w:t>、</w:t>
      </w:r>
      <w:r>
        <w:rPr>
          <w:rFonts w:ascii="仿宋" w:hAnsi="仿宋" w:eastAsia="仿宋" w:cs="Times New Roman"/>
          <w:kern w:val="2"/>
          <w:sz w:val="28"/>
          <w:szCs w:val="28"/>
          <w:highlight w:val="none"/>
        </w:rPr>
        <w:t>监狱企业</w:t>
      </w:r>
      <w:r>
        <w:rPr>
          <w:rFonts w:hint="eastAsia" w:ascii="仿宋" w:hAnsi="仿宋" w:eastAsia="仿宋" w:cs="Times New Roman"/>
          <w:kern w:val="2"/>
          <w:sz w:val="28"/>
          <w:szCs w:val="28"/>
          <w:highlight w:val="none"/>
        </w:rPr>
        <w:t>或者</w:t>
      </w:r>
      <w:r>
        <w:rPr>
          <w:rFonts w:ascii="仿宋" w:hAnsi="仿宋" w:eastAsia="仿宋" w:cs="Times New Roman"/>
          <w:kern w:val="2"/>
          <w:sz w:val="28"/>
          <w:szCs w:val="28"/>
          <w:highlight w:val="none"/>
        </w:rPr>
        <w:t>残疾人福利性单位的</w:t>
      </w:r>
      <w:r>
        <w:rPr>
          <w:rFonts w:hint="eastAsia" w:ascii="仿宋" w:hAnsi="仿宋" w:eastAsia="仿宋" w:cs="Times New Roman"/>
          <w:kern w:val="2"/>
          <w:sz w:val="28"/>
          <w:szCs w:val="28"/>
          <w:highlight w:val="none"/>
        </w:rPr>
        <w:t>，享受价格扣除优惠。</w:t>
      </w:r>
    </w:p>
    <w:p w14:paraId="7A6E3789">
      <w:pPr>
        <w:pStyle w:val="18"/>
        <w:shd w:val="clear" w:color="auto" w:fill="FFFFFF"/>
        <w:spacing w:before="0" w:beforeAutospacing="0" w:after="0" w:afterAutospacing="0" w:line="500" w:lineRule="exact"/>
        <w:ind w:firstLine="567"/>
        <w:textAlignment w:val="baseline"/>
        <w:rPr>
          <w:rFonts w:ascii="仿宋" w:hAnsi="仿宋" w:eastAsia="仿宋"/>
          <w:sz w:val="28"/>
          <w:szCs w:val="28"/>
          <w:highlight w:val="none"/>
          <w:u w:val="single"/>
        </w:rPr>
      </w:pPr>
      <w:r>
        <w:rPr>
          <w:rFonts w:hint="eastAsia" w:ascii="仿宋" w:hAnsi="仿宋" w:eastAsia="仿宋" w:cs="Times New Roman"/>
          <w:kern w:val="2"/>
          <w:sz w:val="28"/>
          <w:szCs w:val="28"/>
          <w:highlight w:val="none"/>
        </w:rPr>
        <w:t>3. 单位负责人为同一人或者存在直接控股、管理关系的不同供应商，不得参加同一合同项下的政府采购活动。为本采购项目提供整体设计、规范编制或者项目管理、监理、检测等服务的供应商，不得再参加本采购项目的采购活动。</w:t>
      </w:r>
    </w:p>
    <w:p w14:paraId="243368D9">
      <w:pPr>
        <w:spacing w:line="500" w:lineRule="exact"/>
        <w:ind w:firstLine="560" w:firstLineChars="200"/>
        <w:rPr>
          <w:rFonts w:hint="eastAsia" w:ascii="仿宋" w:hAnsi="仿宋" w:eastAsia="仿宋"/>
          <w:iCs/>
          <w:sz w:val="28"/>
          <w:szCs w:val="28"/>
          <w:highlight w:val="none"/>
          <w:lang w:eastAsia="zh-CN"/>
        </w:rPr>
      </w:pPr>
      <w:r>
        <w:rPr>
          <w:rFonts w:hint="eastAsia" w:ascii="仿宋" w:hAnsi="仿宋" w:eastAsia="仿宋"/>
          <w:sz w:val="28"/>
          <w:szCs w:val="28"/>
          <w:highlight w:val="none"/>
        </w:rPr>
        <w:t>4. 本项目的特定资格要求：</w:t>
      </w:r>
    </w:p>
    <w:p w14:paraId="0071AFF2">
      <w:pPr>
        <w:pStyle w:val="18"/>
        <w:shd w:val="clear" w:color="auto" w:fill="FFFFFF"/>
        <w:spacing w:before="0" w:beforeAutospacing="0" w:after="0" w:afterAutospacing="0" w:line="500" w:lineRule="exact"/>
        <w:ind w:firstLine="567"/>
        <w:textAlignment w:val="baseline"/>
        <w:rPr>
          <w:rFonts w:hint="eastAsia" w:ascii="仿宋" w:hAnsi="仿宋" w:eastAsia="仿宋" w:cs="Times New Roman"/>
          <w:b/>
          <w:bCs/>
          <w:kern w:val="2"/>
          <w:sz w:val="28"/>
          <w:szCs w:val="28"/>
          <w:highlight w:val="none"/>
        </w:rPr>
      </w:pPr>
      <w:r>
        <w:rPr>
          <w:rFonts w:hint="eastAsia" w:ascii="仿宋" w:hAnsi="仿宋" w:eastAsia="仿宋" w:cs="Times New Roman"/>
          <w:b/>
          <w:bCs/>
          <w:kern w:val="2"/>
          <w:sz w:val="28"/>
          <w:szCs w:val="28"/>
          <w:highlight w:val="none"/>
          <w:lang w:val="zh-CN" w:eastAsia="zh-CN"/>
        </w:rPr>
        <w:t>响应供应商</w:t>
      </w:r>
      <w:r>
        <w:rPr>
          <w:rFonts w:hint="eastAsia" w:ascii="仿宋" w:hAnsi="仿宋" w:eastAsia="仿宋" w:cs="Times New Roman"/>
          <w:b/>
          <w:bCs/>
          <w:kern w:val="2"/>
          <w:sz w:val="28"/>
          <w:szCs w:val="28"/>
          <w:highlight w:val="none"/>
          <w:lang w:val="en-US" w:eastAsia="zh-CN"/>
        </w:rPr>
        <w:t>须</w:t>
      </w:r>
      <w:r>
        <w:rPr>
          <w:rFonts w:hint="eastAsia" w:ascii="仿宋" w:hAnsi="仿宋" w:eastAsia="仿宋" w:cs="Times New Roman"/>
          <w:b/>
          <w:bCs/>
          <w:kern w:val="2"/>
          <w:sz w:val="28"/>
          <w:szCs w:val="28"/>
          <w:highlight w:val="none"/>
          <w:lang w:val="zh-CN" w:eastAsia="zh-CN"/>
        </w:rPr>
        <w:t>具有有效的国家秘密载体印制</w:t>
      </w:r>
      <w:r>
        <w:rPr>
          <w:rFonts w:hint="eastAsia" w:ascii="仿宋" w:hAnsi="仿宋" w:eastAsia="仿宋" w:cs="Times New Roman"/>
          <w:b/>
          <w:bCs/>
          <w:kern w:val="2"/>
          <w:sz w:val="28"/>
          <w:szCs w:val="28"/>
          <w:highlight w:val="none"/>
          <w:lang w:val="en-US" w:eastAsia="zh-CN"/>
        </w:rPr>
        <w:t>乙级及以上</w:t>
      </w:r>
      <w:r>
        <w:rPr>
          <w:rFonts w:hint="eastAsia" w:ascii="仿宋" w:hAnsi="仿宋" w:eastAsia="仿宋" w:cs="Times New Roman"/>
          <w:b/>
          <w:bCs/>
          <w:kern w:val="2"/>
          <w:sz w:val="28"/>
          <w:szCs w:val="28"/>
          <w:highlight w:val="none"/>
          <w:lang w:val="zh-CN" w:eastAsia="zh-CN"/>
        </w:rPr>
        <w:t>资质，</w:t>
      </w:r>
      <w:r>
        <w:rPr>
          <w:rFonts w:hint="eastAsia" w:ascii="仿宋" w:hAnsi="仿宋" w:eastAsia="仿宋" w:cs="Times New Roman"/>
          <w:b/>
          <w:bCs/>
          <w:kern w:val="2"/>
          <w:sz w:val="28"/>
          <w:szCs w:val="28"/>
          <w:highlight w:val="none"/>
          <w:lang w:val="en-US" w:eastAsia="zh-CN"/>
        </w:rPr>
        <w:t>响应文件中须提供证书扫描件。</w:t>
      </w:r>
      <w:r>
        <w:rPr>
          <w:rFonts w:hint="eastAsia" w:ascii="仿宋" w:hAnsi="仿宋" w:eastAsia="仿宋" w:cs="Times New Roman"/>
          <w:b/>
          <w:bCs/>
          <w:kern w:val="2"/>
          <w:sz w:val="28"/>
          <w:szCs w:val="28"/>
          <w:highlight w:val="none"/>
        </w:rPr>
        <w:t>江苏省外乙级</w:t>
      </w:r>
      <w:r>
        <w:rPr>
          <w:rFonts w:hint="eastAsia" w:ascii="仿宋" w:hAnsi="仿宋" w:eastAsia="仿宋" w:cs="Times New Roman"/>
          <w:b/>
          <w:bCs/>
          <w:kern w:val="2"/>
          <w:sz w:val="28"/>
          <w:szCs w:val="28"/>
          <w:highlight w:val="none"/>
          <w:lang w:val="en-US" w:eastAsia="zh-CN"/>
        </w:rPr>
        <w:t>资质</w:t>
      </w:r>
      <w:r>
        <w:rPr>
          <w:rFonts w:hint="eastAsia" w:ascii="仿宋" w:hAnsi="仿宋" w:eastAsia="仿宋" w:cs="Times New Roman"/>
          <w:b/>
          <w:bCs/>
          <w:kern w:val="2"/>
          <w:sz w:val="28"/>
          <w:szCs w:val="28"/>
          <w:highlight w:val="none"/>
        </w:rPr>
        <w:t>供应商，须具有有效的江苏省保密行政管理部门批准证明文件或提供成交后取得江苏省保密行政管理部门批准证明文件的承诺函</w:t>
      </w:r>
      <w:r>
        <w:rPr>
          <w:rFonts w:hint="eastAsia" w:ascii="仿宋" w:hAnsi="仿宋" w:eastAsia="仿宋" w:cs="Times New Roman"/>
          <w:b/>
          <w:bCs/>
          <w:kern w:val="2"/>
          <w:sz w:val="28"/>
          <w:szCs w:val="28"/>
          <w:highlight w:val="none"/>
          <w:lang w:eastAsia="zh-CN"/>
        </w:rPr>
        <w:t>（</w:t>
      </w:r>
      <w:r>
        <w:rPr>
          <w:rFonts w:hint="eastAsia" w:ascii="仿宋" w:hAnsi="仿宋" w:eastAsia="仿宋" w:cs="Times New Roman"/>
          <w:b/>
          <w:bCs/>
          <w:kern w:val="2"/>
          <w:sz w:val="28"/>
          <w:szCs w:val="28"/>
          <w:highlight w:val="none"/>
          <w:lang w:val="en-US" w:eastAsia="zh-CN"/>
        </w:rPr>
        <w:t>格式自拟</w:t>
      </w:r>
      <w:r>
        <w:rPr>
          <w:rFonts w:hint="eastAsia" w:ascii="仿宋" w:hAnsi="仿宋" w:eastAsia="仿宋" w:cs="Times New Roman"/>
          <w:b/>
          <w:bCs/>
          <w:kern w:val="2"/>
          <w:sz w:val="28"/>
          <w:szCs w:val="28"/>
          <w:highlight w:val="none"/>
          <w:lang w:eastAsia="zh-CN"/>
        </w:rPr>
        <w:t>）</w:t>
      </w:r>
      <w:r>
        <w:rPr>
          <w:rFonts w:hint="eastAsia" w:ascii="仿宋" w:hAnsi="仿宋" w:eastAsia="仿宋" w:cs="Times New Roman"/>
          <w:b/>
          <w:bCs/>
          <w:kern w:val="2"/>
          <w:sz w:val="28"/>
          <w:szCs w:val="28"/>
          <w:highlight w:val="none"/>
        </w:rPr>
        <w:t>。</w:t>
      </w:r>
    </w:p>
    <w:p w14:paraId="6B26AF17">
      <w:pPr>
        <w:pStyle w:val="18"/>
        <w:shd w:val="clear" w:color="auto" w:fill="FFFFFF"/>
        <w:spacing w:before="0" w:beforeAutospacing="0" w:after="0" w:afterAutospacing="0" w:line="500" w:lineRule="exact"/>
        <w:ind w:firstLine="567"/>
        <w:textAlignment w:val="baseline"/>
        <w:rPr>
          <w:rFonts w:ascii="仿宋" w:hAnsi="仿宋" w:eastAsia="仿宋" w:cs="Times New Roman"/>
          <w:color w:val="000000"/>
          <w:kern w:val="2"/>
          <w:sz w:val="28"/>
          <w:szCs w:val="28"/>
          <w:highlight w:val="none"/>
        </w:rPr>
      </w:pPr>
      <w:r>
        <w:rPr>
          <w:rFonts w:hint="eastAsia" w:ascii="仿宋" w:hAnsi="仿宋" w:eastAsia="仿宋"/>
          <w:iCs/>
          <w:sz w:val="28"/>
          <w:szCs w:val="28"/>
          <w:highlight w:val="none"/>
        </w:rPr>
        <w:t>5.</w:t>
      </w:r>
      <w:r>
        <w:rPr>
          <w:rFonts w:hint="eastAsia" w:ascii="仿宋" w:hAnsi="仿宋" w:eastAsia="仿宋"/>
          <w:sz w:val="28"/>
          <w:szCs w:val="28"/>
          <w:highlight w:val="none"/>
        </w:rPr>
        <w:t xml:space="preserve"> 供应商的法定代表人参加竞争性磋商活动的，须在响应文件中提供法定代表人身份证明和身份证复印件；委托代理人参加竞争性磋商活动的，还须在响应文件中提供法定代表人的</w:t>
      </w:r>
      <w:r>
        <w:rPr>
          <w:rFonts w:hint="eastAsia" w:ascii="仿宋" w:hAnsi="仿宋" w:eastAsia="仿宋"/>
          <w:iCs/>
          <w:sz w:val="28"/>
          <w:szCs w:val="28"/>
          <w:highlight w:val="none"/>
        </w:rPr>
        <w:t>授权委托书。</w:t>
      </w:r>
    </w:p>
    <w:p w14:paraId="7792F767">
      <w:pPr>
        <w:spacing w:line="500" w:lineRule="exact"/>
        <w:ind w:firstLine="560" w:firstLineChars="200"/>
        <w:rPr>
          <w:rFonts w:ascii="仿宋" w:hAnsi="仿宋" w:eastAsia="仿宋"/>
          <w:i/>
          <w:iCs/>
          <w:sz w:val="28"/>
          <w:szCs w:val="28"/>
          <w:highlight w:val="none"/>
          <w:u w:val="single"/>
        </w:rPr>
      </w:pPr>
      <w:r>
        <w:rPr>
          <w:rFonts w:hint="eastAsia" w:ascii="仿宋" w:hAnsi="仿宋" w:eastAsia="仿宋"/>
          <w:sz w:val="28"/>
          <w:szCs w:val="28"/>
          <w:highlight w:val="none"/>
        </w:rPr>
        <w:t>6.未被“信用中国（www.creditchina.gov.cn）”、“中国政府采购网（http://www.ccgp.gov.cn/）”网站列入失信被执行人或重大税收违法案件当事人名单或政府采购严重失信行为记录名单，查询结果以评审过程中现场网络截图为准。</w:t>
      </w:r>
    </w:p>
    <w:p w14:paraId="761E0684">
      <w:pPr>
        <w:pStyle w:val="10"/>
        <w:spacing w:after="0" w:line="500" w:lineRule="exact"/>
        <w:ind w:firstLine="560" w:firstLineChars="200"/>
        <w:outlineLvl w:val="1"/>
        <w:rPr>
          <w:rFonts w:ascii="黑体" w:hAnsi="黑体" w:eastAsia="黑体"/>
          <w:sz w:val="28"/>
          <w:szCs w:val="28"/>
          <w:highlight w:val="none"/>
        </w:rPr>
      </w:pPr>
      <w:bookmarkStart w:id="14" w:name="_Toc35393631"/>
      <w:bookmarkStart w:id="15" w:name="_Toc32761"/>
      <w:bookmarkStart w:id="16" w:name="_Toc35393800"/>
      <w:r>
        <w:rPr>
          <w:rFonts w:hint="eastAsia" w:ascii="黑体" w:hAnsi="黑体" w:eastAsia="黑体"/>
          <w:sz w:val="28"/>
          <w:szCs w:val="28"/>
          <w:highlight w:val="none"/>
        </w:rPr>
        <w:t>三、获取竞争性磋商文件</w:t>
      </w:r>
      <w:bookmarkEnd w:id="12"/>
      <w:bookmarkEnd w:id="13"/>
      <w:bookmarkEnd w:id="14"/>
      <w:bookmarkEnd w:id="15"/>
      <w:bookmarkEnd w:id="16"/>
    </w:p>
    <w:p w14:paraId="64D51CF0">
      <w:pPr>
        <w:spacing w:line="500" w:lineRule="exact"/>
        <w:ind w:firstLine="540"/>
        <w:rPr>
          <w:rFonts w:ascii="仿宋" w:hAnsi="仿宋" w:eastAsia="仿宋" w:cs="宋体"/>
          <w:sz w:val="28"/>
          <w:szCs w:val="28"/>
          <w:highlight w:val="none"/>
        </w:rPr>
      </w:pPr>
      <w:r>
        <w:rPr>
          <w:rFonts w:hint="eastAsia" w:ascii="仿宋" w:hAnsi="仿宋" w:eastAsia="仿宋" w:cs="宋体"/>
          <w:sz w:val="28"/>
          <w:szCs w:val="28"/>
          <w:highlight w:val="none"/>
        </w:rPr>
        <w:t>1. 时间：</w:t>
      </w:r>
      <w:r>
        <w:rPr>
          <w:rFonts w:hint="eastAsia" w:ascii="仿宋" w:hAnsi="仿宋" w:eastAsia="仿宋" w:cs="仿宋"/>
          <w:sz w:val="30"/>
          <w:highlight w:val="none"/>
        </w:rPr>
        <w:t>自公告发布之日起5个工作日内。</w:t>
      </w:r>
    </w:p>
    <w:p w14:paraId="6938BEE3">
      <w:pPr>
        <w:spacing w:line="500" w:lineRule="exact"/>
        <w:ind w:firstLine="540"/>
        <w:rPr>
          <w:rFonts w:ascii="仿宋" w:hAnsi="仿宋" w:eastAsia="仿宋" w:cs="宋体"/>
          <w:sz w:val="28"/>
          <w:szCs w:val="28"/>
          <w:highlight w:val="none"/>
        </w:rPr>
      </w:pPr>
      <w:r>
        <w:rPr>
          <w:rFonts w:hint="eastAsia" w:ascii="仿宋" w:hAnsi="仿宋" w:eastAsia="仿宋" w:cs="宋体"/>
          <w:sz w:val="28"/>
          <w:szCs w:val="28"/>
          <w:highlight w:val="none"/>
        </w:rPr>
        <w:t>2. 地点：江苏省政府采购网</w:t>
      </w:r>
    </w:p>
    <w:p w14:paraId="2B71FB81">
      <w:pPr>
        <w:spacing w:line="500" w:lineRule="exact"/>
        <w:ind w:firstLine="540"/>
        <w:rPr>
          <w:rFonts w:ascii="仿宋" w:hAnsi="仿宋" w:eastAsia="仿宋" w:cs="宋体"/>
          <w:sz w:val="28"/>
          <w:szCs w:val="28"/>
          <w:highlight w:val="none"/>
        </w:rPr>
      </w:pPr>
      <w:r>
        <w:rPr>
          <w:rFonts w:hint="eastAsia" w:ascii="仿宋" w:hAnsi="仿宋" w:eastAsia="仿宋" w:cs="宋体"/>
          <w:sz w:val="28"/>
          <w:szCs w:val="28"/>
          <w:highlight w:val="none"/>
        </w:rPr>
        <w:t>3. 方式：</w:t>
      </w:r>
      <w:r>
        <w:rPr>
          <w:rFonts w:hint="eastAsia" w:ascii="仿宋" w:hAnsi="仿宋" w:eastAsia="仿宋" w:cs="仿宋"/>
          <w:sz w:val="30"/>
          <w:highlight w:val="none"/>
        </w:rPr>
        <w:t>本项目采用“苏采云”系统网上注册登记方式，具体详见《江苏省政府采购管理交易系统（苏采云）</w:t>
      </w:r>
      <w:r>
        <w:rPr>
          <w:rFonts w:hint="eastAsia" w:ascii="仿宋" w:hAnsi="仿宋" w:eastAsia="仿宋" w:cs="仿宋"/>
          <w:sz w:val="30"/>
          <w:highlight w:val="none"/>
          <w:lang w:eastAsia="zh-CN"/>
        </w:rPr>
        <w:t>响应供应商</w:t>
      </w:r>
      <w:r>
        <w:rPr>
          <w:rFonts w:hint="eastAsia" w:ascii="仿宋" w:hAnsi="仿宋" w:eastAsia="仿宋" w:cs="仿宋"/>
          <w:sz w:val="30"/>
          <w:highlight w:val="none"/>
        </w:rPr>
        <w:t>操作手册》。</w:t>
      </w:r>
    </w:p>
    <w:p w14:paraId="442A9C2B">
      <w:pPr>
        <w:pStyle w:val="10"/>
        <w:spacing w:after="0" w:line="500" w:lineRule="exact"/>
        <w:ind w:firstLine="560" w:firstLineChars="200"/>
        <w:outlineLvl w:val="1"/>
        <w:rPr>
          <w:rFonts w:ascii="黑体" w:hAnsi="黑体" w:eastAsia="黑体"/>
          <w:sz w:val="28"/>
          <w:szCs w:val="28"/>
          <w:highlight w:val="none"/>
        </w:rPr>
      </w:pPr>
      <w:bookmarkStart w:id="17" w:name="_Toc35393801"/>
      <w:bookmarkStart w:id="18" w:name="_Toc28359092"/>
      <w:bookmarkStart w:id="19" w:name="_Toc35393632"/>
      <w:bookmarkStart w:id="20" w:name="_Toc28359015"/>
      <w:bookmarkStart w:id="21" w:name="_Toc5954"/>
      <w:r>
        <w:rPr>
          <w:rFonts w:hint="eastAsia" w:ascii="黑体" w:hAnsi="黑体" w:eastAsia="黑体"/>
          <w:sz w:val="28"/>
          <w:szCs w:val="28"/>
          <w:highlight w:val="none"/>
        </w:rPr>
        <w:t>四、</w:t>
      </w:r>
      <w:bookmarkEnd w:id="17"/>
      <w:bookmarkEnd w:id="18"/>
      <w:bookmarkEnd w:id="19"/>
      <w:bookmarkEnd w:id="20"/>
      <w:r>
        <w:rPr>
          <w:rFonts w:hint="eastAsia" w:ascii="黑体" w:hAnsi="黑体" w:eastAsia="黑体"/>
          <w:sz w:val="28"/>
          <w:szCs w:val="28"/>
          <w:highlight w:val="none"/>
        </w:rPr>
        <w:t>竞争性磋商响应文件提交和开启</w:t>
      </w:r>
      <w:bookmarkEnd w:id="21"/>
    </w:p>
    <w:p w14:paraId="170021F0">
      <w:pPr>
        <w:spacing w:line="500" w:lineRule="exact"/>
        <w:ind w:firstLine="560" w:firstLineChars="200"/>
        <w:rPr>
          <w:rFonts w:ascii="仿宋" w:hAnsi="仿宋" w:eastAsia="仿宋"/>
          <w:bCs/>
          <w:sz w:val="28"/>
          <w:szCs w:val="28"/>
          <w:highlight w:val="none"/>
          <w:u w:val="single"/>
        </w:rPr>
      </w:pPr>
      <w:r>
        <w:rPr>
          <w:rFonts w:hint="eastAsia" w:ascii="仿宋" w:hAnsi="仿宋" w:eastAsia="仿宋"/>
          <w:sz w:val="28"/>
          <w:szCs w:val="28"/>
          <w:highlight w:val="none"/>
        </w:rPr>
        <w:t>截止时间：</w:t>
      </w:r>
      <w:r>
        <w:rPr>
          <w:rFonts w:hint="eastAsia" w:ascii="仿宋" w:hAnsi="仿宋" w:eastAsia="仿宋"/>
          <w:sz w:val="28"/>
          <w:szCs w:val="28"/>
          <w:highlight w:val="none"/>
          <w:lang w:val="en-US" w:eastAsia="zh-CN"/>
        </w:rPr>
        <w:t>2026</w:t>
      </w:r>
      <w:r>
        <w:rPr>
          <w:rFonts w:hint="eastAsia" w:ascii="仿宋" w:hAnsi="仿宋" w:eastAsia="仿宋"/>
          <w:bCs/>
          <w:sz w:val="28"/>
          <w:szCs w:val="28"/>
          <w:highlight w:val="none"/>
        </w:rPr>
        <w:t>年</w:t>
      </w:r>
      <w:r>
        <w:rPr>
          <w:rFonts w:hint="eastAsia" w:ascii="仿宋" w:hAnsi="仿宋" w:eastAsia="仿宋"/>
          <w:bCs/>
          <w:sz w:val="28"/>
          <w:szCs w:val="28"/>
          <w:highlight w:val="none"/>
          <w:lang w:val="en-US" w:eastAsia="zh-CN"/>
        </w:rPr>
        <w:t>11</w:t>
      </w:r>
      <w:r>
        <w:rPr>
          <w:rFonts w:hint="eastAsia" w:ascii="仿宋" w:hAnsi="仿宋" w:eastAsia="仿宋"/>
          <w:bCs/>
          <w:sz w:val="28"/>
          <w:szCs w:val="28"/>
          <w:highlight w:val="none"/>
        </w:rPr>
        <w:t>月</w:t>
      </w:r>
      <w:r>
        <w:rPr>
          <w:rFonts w:hint="eastAsia" w:ascii="仿宋" w:hAnsi="仿宋" w:eastAsia="仿宋"/>
          <w:bCs/>
          <w:sz w:val="28"/>
          <w:szCs w:val="28"/>
          <w:highlight w:val="none"/>
          <w:lang w:val="en-US" w:eastAsia="zh-CN"/>
        </w:rPr>
        <w:t>2</w:t>
      </w:r>
      <w:r>
        <w:rPr>
          <w:rFonts w:hint="eastAsia" w:ascii="仿宋" w:hAnsi="仿宋" w:eastAsia="仿宋"/>
          <w:bCs/>
          <w:sz w:val="28"/>
          <w:szCs w:val="28"/>
          <w:highlight w:val="none"/>
        </w:rPr>
        <w:t>日</w:t>
      </w:r>
      <w:r>
        <w:rPr>
          <w:rFonts w:hint="eastAsia" w:ascii="仿宋" w:hAnsi="仿宋" w:eastAsia="仿宋"/>
          <w:bCs/>
          <w:sz w:val="28"/>
          <w:szCs w:val="28"/>
          <w:highlight w:val="none"/>
          <w:lang w:val="en-US" w:eastAsia="zh-CN"/>
        </w:rPr>
        <w:t>9</w:t>
      </w:r>
      <w:r>
        <w:rPr>
          <w:rFonts w:hint="eastAsia" w:ascii="仿宋" w:hAnsi="仿宋" w:eastAsia="仿宋"/>
          <w:bCs/>
          <w:sz w:val="28"/>
          <w:szCs w:val="28"/>
          <w:highlight w:val="none"/>
        </w:rPr>
        <w:t>点</w:t>
      </w:r>
      <w:r>
        <w:rPr>
          <w:rFonts w:hint="eastAsia" w:ascii="仿宋" w:hAnsi="仿宋" w:eastAsia="仿宋"/>
          <w:bCs/>
          <w:sz w:val="28"/>
          <w:szCs w:val="28"/>
          <w:highlight w:val="none"/>
          <w:lang w:val="en-US" w:eastAsia="zh-CN"/>
        </w:rPr>
        <w:t>00</w:t>
      </w:r>
      <w:r>
        <w:rPr>
          <w:rFonts w:hint="eastAsia" w:ascii="仿宋" w:hAnsi="仿宋" w:eastAsia="仿宋"/>
          <w:bCs/>
          <w:sz w:val="28"/>
          <w:szCs w:val="28"/>
          <w:highlight w:val="none"/>
        </w:rPr>
        <w:t>分（北京时间）</w:t>
      </w:r>
    </w:p>
    <w:p w14:paraId="2C877EF4">
      <w:pPr>
        <w:spacing w:line="500" w:lineRule="exact"/>
        <w:ind w:firstLine="560" w:firstLineChars="200"/>
        <w:rPr>
          <w:rFonts w:ascii="仿宋" w:hAnsi="仿宋" w:eastAsia="仿宋"/>
          <w:sz w:val="28"/>
          <w:szCs w:val="28"/>
          <w:highlight w:val="none"/>
        </w:rPr>
      </w:pPr>
      <w:r>
        <w:rPr>
          <w:rFonts w:hint="eastAsia" w:ascii="仿宋" w:hAnsi="仿宋" w:eastAsia="仿宋"/>
          <w:sz w:val="28"/>
          <w:szCs w:val="28"/>
          <w:highlight w:val="none"/>
        </w:rPr>
        <w:t>地点：通过“苏采云”系统提交，具体详见《江苏省政府采购管理交易系统（苏采云）</w:t>
      </w:r>
      <w:r>
        <w:rPr>
          <w:rFonts w:hint="eastAsia" w:ascii="仿宋" w:hAnsi="仿宋" w:eastAsia="仿宋"/>
          <w:sz w:val="28"/>
          <w:szCs w:val="28"/>
          <w:highlight w:val="none"/>
          <w:lang w:eastAsia="zh-CN"/>
        </w:rPr>
        <w:t>响应供应商</w:t>
      </w:r>
      <w:r>
        <w:rPr>
          <w:rFonts w:hint="eastAsia" w:ascii="仿宋" w:hAnsi="仿宋" w:eastAsia="仿宋"/>
          <w:sz w:val="28"/>
          <w:szCs w:val="28"/>
          <w:highlight w:val="none"/>
        </w:rPr>
        <w:t>操作手册》。</w:t>
      </w:r>
    </w:p>
    <w:p w14:paraId="3F8CFB25">
      <w:pPr>
        <w:spacing w:line="500" w:lineRule="exact"/>
        <w:ind w:firstLine="560"/>
        <w:rPr>
          <w:rFonts w:ascii="仿宋" w:hAnsi="仿宋" w:eastAsia="仿宋"/>
          <w:bCs/>
          <w:sz w:val="28"/>
          <w:szCs w:val="28"/>
          <w:highlight w:val="none"/>
        </w:rPr>
      </w:pPr>
      <w:r>
        <w:rPr>
          <w:rFonts w:hint="eastAsia" w:ascii="仿宋" w:hAnsi="仿宋" w:eastAsia="仿宋"/>
          <w:sz w:val="28"/>
          <w:szCs w:val="28"/>
          <w:highlight w:val="none"/>
        </w:rPr>
        <w:t>开启时间：</w:t>
      </w:r>
      <w:r>
        <w:rPr>
          <w:rFonts w:hint="eastAsia" w:ascii="仿宋" w:hAnsi="仿宋" w:eastAsia="仿宋"/>
          <w:sz w:val="28"/>
          <w:szCs w:val="28"/>
          <w:highlight w:val="none"/>
          <w:lang w:val="en-US" w:eastAsia="zh-CN"/>
        </w:rPr>
        <w:t>2026</w:t>
      </w:r>
      <w:r>
        <w:rPr>
          <w:rFonts w:hint="eastAsia" w:ascii="仿宋" w:hAnsi="仿宋" w:eastAsia="仿宋"/>
          <w:bCs/>
          <w:sz w:val="28"/>
          <w:szCs w:val="28"/>
          <w:highlight w:val="none"/>
        </w:rPr>
        <w:t>年</w:t>
      </w:r>
      <w:r>
        <w:rPr>
          <w:rFonts w:hint="eastAsia" w:ascii="仿宋" w:hAnsi="仿宋" w:eastAsia="仿宋"/>
          <w:bCs/>
          <w:sz w:val="28"/>
          <w:szCs w:val="28"/>
          <w:highlight w:val="none"/>
          <w:lang w:val="en-US" w:eastAsia="zh-CN"/>
        </w:rPr>
        <w:t>11</w:t>
      </w:r>
      <w:r>
        <w:rPr>
          <w:rFonts w:hint="eastAsia" w:ascii="仿宋" w:hAnsi="仿宋" w:eastAsia="仿宋"/>
          <w:bCs/>
          <w:sz w:val="28"/>
          <w:szCs w:val="28"/>
          <w:highlight w:val="none"/>
        </w:rPr>
        <w:t>月</w:t>
      </w:r>
      <w:r>
        <w:rPr>
          <w:rFonts w:hint="eastAsia" w:ascii="仿宋" w:hAnsi="仿宋" w:eastAsia="仿宋"/>
          <w:bCs/>
          <w:sz w:val="28"/>
          <w:szCs w:val="28"/>
          <w:highlight w:val="none"/>
          <w:lang w:val="en-US" w:eastAsia="zh-CN"/>
        </w:rPr>
        <w:t>2</w:t>
      </w:r>
      <w:r>
        <w:rPr>
          <w:rFonts w:hint="eastAsia" w:ascii="仿宋" w:hAnsi="仿宋" w:eastAsia="仿宋"/>
          <w:bCs/>
          <w:sz w:val="28"/>
          <w:szCs w:val="28"/>
          <w:highlight w:val="none"/>
        </w:rPr>
        <w:t>日</w:t>
      </w:r>
      <w:r>
        <w:rPr>
          <w:rFonts w:hint="eastAsia" w:ascii="仿宋" w:hAnsi="仿宋" w:eastAsia="仿宋"/>
          <w:bCs/>
          <w:sz w:val="28"/>
          <w:szCs w:val="28"/>
          <w:highlight w:val="none"/>
          <w:lang w:val="en-US" w:eastAsia="zh-CN"/>
        </w:rPr>
        <w:t>9</w:t>
      </w:r>
      <w:r>
        <w:rPr>
          <w:rFonts w:hint="eastAsia" w:ascii="仿宋" w:hAnsi="仿宋" w:eastAsia="仿宋"/>
          <w:bCs/>
          <w:sz w:val="28"/>
          <w:szCs w:val="28"/>
          <w:highlight w:val="none"/>
        </w:rPr>
        <w:t>点</w:t>
      </w:r>
      <w:r>
        <w:rPr>
          <w:rFonts w:hint="eastAsia" w:ascii="仿宋" w:hAnsi="仿宋" w:eastAsia="仿宋"/>
          <w:bCs/>
          <w:sz w:val="28"/>
          <w:szCs w:val="28"/>
          <w:highlight w:val="none"/>
          <w:lang w:val="en-US" w:eastAsia="zh-CN"/>
        </w:rPr>
        <w:t>00</w:t>
      </w:r>
      <w:r>
        <w:rPr>
          <w:rFonts w:hint="eastAsia" w:ascii="仿宋" w:hAnsi="仿宋" w:eastAsia="仿宋"/>
          <w:bCs/>
          <w:sz w:val="28"/>
          <w:szCs w:val="28"/>
          <w:highlight w:val="none"/>
        </w:rPr>
        <w:t>分（北京时间）</w:t>
      </w:r>
    </w:p>
    <w:p w14:paraId="53A0ECFD">
      <w:pPr>
        <w:spacing w:line="500" w:lineRule="exact"/>
        <w:ind w:firstLine="560" w:firstLineChars="200"/>
        <w:rPr>
          <w:rFonts w:ascii="仿宋" w:hAnsi="仿宋" w:eastAsia="仿宋"/>
          <w:sz w:val="28"/>
          <w:szCs w:val="28"/>
          <w:highlight w:val="none"/>
        </w:rPr>
      </w:pPr>
      <w:r>
        <w:rPr>
          <w:rFonts w:hint="eastAsia" w:ascii="仿宋" w:hAnsi="仿宋" w:eastAsia="仿宋"/>
          <w:bCs/>
          <w:sz w:val="28"/>
          <w:szCs w:val="28"/>
          <w:highlight w:val="none"/>
        </w:rPr>
        <w:t>开启地点：</w:t>
      </w:r>
      <w:r>
        <w:rPr>
          <w:rFonts w:ascii="仿宋" w:hAnsi="仿宋" w:eastAsia="仿宋"/>
          <w:sz w:val="28"/>
          <w:szCs w:val="28"/>
          <w:highlight w:val="none"/>
        </w:rPr>
        <w:t>“苏采云”系统（网址：http://jszfcg.jsczt.cn/）“开标大厅”。</w:t>
      </w:r>
    </w:p>
    <w:p w14:paraId="006519FD">
      <w:pPr>
        <w:pStyle w:val="10"/>
        <w:spacing w:after="0" w:line="500" w:lineRule="exact"/>
        <w:ind w:firstLine="560" w:firstLineChars="200"/>
        <w:outlineLvl w:val="1"/>
        <w:rPr>
          <w:rFonts w:ascii="黑体" w:hAnsi="黑体" w:eastAsia="黑体"/>
          <w:sz w:val="28"/>
          <w:szCs w:val="28"/>
          <w:highlight w:val="none"/>
        </w:rPr>
      </w:pPr>
      <w:bookmarkStart w:id="22" w:name="_Toc6556"/>
      <w:bookmarkStart w:id="23" w:name="_Toc28359094"/>
      <w:bookmarkStart w:id="24" w:name="_Toc28359017"/>
      <w:bookmarkStart w:id="25" w:name="_Toc35393634"/>
      <w:bookmarkStart w:id="26" w:name="_Toc35393803"/>
      <w:r>
        <w:rPr>
          <w:rFonts w:hint="eastAsia" w:ascii="黑体" w:hAnsi="黑体" w:eastAsia="黑体"/>
          <w:sz w:val="28"/>
          <w:szCs w:val="28"/>
          <w:highlight w:val="none"/>
        </w:rPr>
        <w:t>五、公告期限</w:t>
      </w:r>
      <w:bookmarkEnd w:id="22"/>
      <w:bookmarkEnd w:id="23"/>
      <w:bookmarkEnd w:id="24"/>
      <w:bookmarkEnd w:id="25"/>
      <w:bookmarkEnd w:id="26"/>
    </w:p>
    <w:p w14:paraId="1F0D6BCB">
      <w:pPr>
        <w:spacing w:line="500" w:lineRule="exact"/>
        <w:ind w:firstLine="560" w:firstLineChars="200"/>
        <w:rPr>
          <w:rFonts w:ascii="仿宋" w:hAnsi="仿宋" w:eastAsia="仿宋" w:cs="宋体"/>
          <w:kern w:val="0"/>
          <w:sz w:val="28"/>
          <w:szCs w:val="28"/>
          <w:highlight w:val="none"/>
        </w:rPr>
      </w:pPr>
      <w:r>
        <w:rPr>
          <w:rFonts w:hint="eastAsia" w:ascii="仿宋" w:hAnsi="仿宋" w:eastAsia="仿宋" w:cs="宋体"/>
          <w:kern w:val="0"/>
          <w:sz w:val="28"/>
          <w:szCs w:val="28"/>
          <w:highlight w:val="none"/>
        </w:rPr>
        <w:t>自本公告发布之日起3个工作日。</w:t>
      </w:r>
    </w:p>
    <w:p w14:paraId="4D2FB943">
      <w:pPr>
        <w:pStyle w:val="10"/>
        <w:spacing w:after="0" w:line="500" w:lineRule="exact"/>
        <w:ind w:firstLine="560" w:firstLineChars="200"/>
        <w:outlineLvl w:val="1"/>
        <w:rPr>
          <w:rFonts w:ascii="黑体" w:hAnsi="黑体" w:eastAsia="黑体"/>
          <w:sz w:val="28"/>
          <w:szCs w:val="28"/>
          <w:highlight w:val="none"/>
        </w:rPr>
      </w:pPr>
      <w:bookmarkStart w:id="27" w:name="_Toc35393804"/>
      <w:bookmarkStart w:id="28" w:name="_Toc35393635"/>
      <w:bookmarkStart w:id="29" w:name="_Toc3230"/>
      <w:r>
        <w:rPr>
          <w:rFonts w:hint="eastAsia" w:ascii="黑体" w:hAnsi="黑体" w:eastAsia="黑体"/>
          <w:sz w:val="28"/>
          <w:szCs w:val="28"/>
          <w:highlight w:val="none"/>
        </w:rPr>
        <w:t>六、其他补充事宜</w:t>
      </w:r>
      <w:bookmarkEnd w:id="27"/>
      <w:bookmarkEnd w:id="28"/>
      <w:bookmarkEnd w:id="29"/>
    </w:p>
    <w:p w14:paraId="63A6D8ED">
      <w:pPr>
        <w:spacing w:line="500" w:lineRule="exact"/>
        <w:ind w:firstLine="565" w:firstLineChars="202"/>
        <w:rPr>
          <w:rFonts w:ascii="仿宋" w:hAnsi="仿宋" w:eastAsia="仿宋" w:cs="宋体"/>
          <w:bCs/>
          <w:sz w:val="28"/>
          <w:szCs w:val="28"/>
          <w:highlight w:val="none"/>
        </w:rPr>
      </w:pPr>
      <w:r>
        <w:rPr>
          <w:rFonts w:hint="eastAsia" w:ascii="仿宋" w:hAnsi="仿宋" w:eastAsia="仿宋" w:cs="宋体"/>
          <w:sz w:val="28"/>
          <w:szCs w:val="28"/>
          <w:highlight w:val="none"/>
        </w:rPr>
        <w:t>1.</w:t>
      </w:r>
      <w:r>
        <w:rPr>
          <w:rFonts w:hint="eastAsia" w:ascii="仿宋" w:hAnsi="仿宋" w:eastAsia="仿宋" w:cs="宋体"/>
          <w:bCs/>
          <w:sz w:val="28"/>
          <w:szCs w:val="28"/>
          <w:highlight w:val="none"/>
        </w:rPr>
        <w:t>本项目采用电子化交易模式，</w:t>
      </w:r>
      <w:r>
        <w:rPr>
          <w:rFonts w:hint="eastAsia" w:ascii="仿宋" w:hAnsi="仿宋" w:eastAsia="仿宋"/>
          <w:sz w:val="28"/>
          <w:szCs w:val="28"/>
          <w:highlight w:val="none"/>
        </w:rPr>
        <w:t>具体详见《江苏省政府采购管理交易系统（苏采云）</w:t>
      </w:r>
      <w:r>
        <w:rPr>
          <w:rFonts w:hint="eastAsia" w:ascii="仿宋" w:hAnsi="仿宋" w:eastAsia="仿宋"/>
          <w:sz w:val="28"/>
          <w:szCs w:val="28"/>
          <w:highlight w:val="none"/>
          <w:lang w:eastAsia="zh-CN"/>
        </w:rPr>
        <w:t>响应供应商</w:t>
      </w:r>
      <w:r>
        <w:rPr>
          <w:rFonts w:hint="eastAsia" w:ascii="仿宋" w:hAnsi="仿宋" w:eastAsia="仿宋"/>
          <w:sz w:val="28"/>
          <w:szCs w:val="28"/>
          <w:highlight w:val="none"/>
        </w:rPr>
        <w:t>操作手册》，特别</w:t>
      </w:r>
      <w:r>
        <w:rPr>
          <w:rFonts w:hint="eastAsia" w:ascii="仿宋" w:hAnsi="仿宋" w:eastAsia="仿宋" w:cs="宋体"/>
          <w:bCs/>
          <w:sz w:val="28"/>
          <w:szCs w:val="28"/>
          <w:highlight w:val="none"/>
        </w:rPr>
        <w:t>注意以下事项：</w:t>
      </w:r>
    </w:p>
    <w:p w14:paraId="1CBB85AB">
      <w:pPr>
        <w:spacing w:line="500" w:lineRule="exact"/>
        <w:ind w:firstLine="560" w:firstLineChars="200"/>
        <w:rPr>
          <w:rFonts w:ascii="仿宋" w:hAnsi="仿宋" w:eastAsia="仿宋" w:cs="宋体"/>
          <w:bCs/>
          <w:sz w:val="28"/>
          <w:szCs w:val="28"/>
          <w:highlight w:val="none"/>
        </w:rPr>
      </w:pPr>
      <w:r>
        <w:rPr>
          <w:rFonts w:hint="eastAsia" w:ascii="仿宋" w:hAnsi="仿宋" w:eastAsia="仿宋" w:cs="宋体"/>
          <w:bCs/>
          <w:sz w:val="28"/>
          <w:szCs w:val="28"/>
          <w:highlight w:val="none"/>
        </w:rPr>
        <w:t>（1）“苏采云”系统的网址为：http://jszfcg.jsczt.cn/；</w:t>
      </w:r>
    </w:p>
    <w:p w14:paraId="7CA2B94D">
      <w:pPr>
        <w:spacing w:line="500" w:lineRule="exact"/>
        <w:ind w:firstLine="560" w:firstLineChars="200"/>
        <w:rPr>
          <w:rFonts w:ascii="仿宋" w:hAnsi="仿宋" w:eastAsia="仿宋" w:cs="宋体"/>
          <w:bCs/>
          <w:sz w:val="28"/>
          <w:szCs w:val="28"/>
          <w:highlight w:val="none"/>
        </w:rPr>
      </w:pPr>
      <w:r>
        <w:rPr>
          <w:rFonts w:hint="eastAsia" w:ascii="仿宋" w:hAnsi="仿宋" w:eastAsia="仿宋" w:cs="宋体"/>
          <w:bCs/>
          <w:sz w:val="28"/>
          <w:szCs w:val="28"/>
          <w:highlight w:val="none"/>
        </w:rPr>
        <w:t>（2）响应供应商需办理“CA 数字证书”的，可参阅“江苏省政府采购网/办事指南/资料下载”中有关资料。</w:t>
      </w:r>
    </w:p>
    <w:p w14:paraId="75E9C863">
      <w:pPr>
        <w:spacing w:line="500" w:lineRule="exact"/>
        <w:ind w:firstLine="560" w:firstLineChars="200"/>
        <w:outlineLvl w:val="9"/>
        <w:rPr>
          <w:rFonts w:ascii="仿宋" w:hAnsi="仿宋" w:eastAsia="仿宋"/>
          <w:sz w:val="28"/>
          <w:szCs w:val="28"/>
          <w:highlight w:val="none"/>
        </w:rPr>
      </w:pPr>
      <w:r>
        <w:rPr>
          <w:rFonts w:hint="eastAsia" w:ascii="仿宋" w:hAnsi="仿宋" w:eastAsia="仿宋" w:cs="仿宋"/>
          <w:sz w:val="28"/>
          <w:szCs w:val="28"/>
          <w:highlight w:val="none"/>
        </w:rPr>
        <w:t>（3）</w:t>
      </w:r>
      <w:r>
        <w:rPr>
          <w:rFonts w:ascii="仿宋" w:hAnsi="仿宋" w:eastAsia="仿宋"/>
          <w:sz w:val="28"/>
          <w:szCs w:val="28"/>
          <w:highlight w:val="none"/>
        </w:rPr>
        <w:t>使用谷歌浏览器。</w:t>
      </w:r>
    </w:p>
    <w:p w14:paraId="59AA333C">
      <w:pPr>
        <w:spacing w:line="500" w:lineRule="exact"/>
        <w:ind w:firstLine="560" w:firstLineChars="200"/>
        <w:rPr>
          <w:rFonts w:ascii="仿宋" w:hAnsi="仿宋" w:eastAsia="仿宋"/>
          <w:sz w:val="28"/>
          <w:szCs w:val="28"/>
          <w:highlight w:val="none"/>
        </w:rPr>
      </w:pPr>
      <w:r>
        <w:rPr>
          <w:rFonts w:hint="eastAsia" w:ascii="仿宋" w:hAnsi="仿宋" w:eastAsia="仿宋"/>
          <w:sz w:val="28"/>
          <w:szCs w:val="28"/>
          <w:highlight w:val="none"/>
        </w:rPr>
        <w:t>（4）</w:t>
      </w:r>
      <w:r>
        <w:rPr>
          <w:rFonts w:ascii="仿宋" w:hAnsi="仿宋" w:eastAsia="仿宋"/>
          <w:sz w:val="28"/>
          <w:szCs w:val="28"/>
          <w:highlight w:val="none"/>
        </w:rPr>
        <w:t>提前准备好麦克风、音响，摄像头，</w:t>
      </w:r>
      <w:r>
        <w:rPr>
          <w:rFonts w:hint="eastAsia" w:ascii="仿宋" w:hAnsi="仿宋" w:eastAsia="仿宋"/>
          <w:sz w:val="28"/>
          <w:szCs w:val="28"/>
          <w:highlight w:val="none"/>
        </w:rPr>
        <w:t>并</w:t>
      </w:r>
      <w:r>
        <w:rPr>
          <w:rFonts w:ascii="仿宋" w:hAnsi="仿宋" w:eastAsia="仿宋"/>
          <w:sz w:val="28"/>
          <w:szCs w:val="28"/>
          <w:highlight w:val="none"/>
        </w:rPr>
        <w:t>检查保证能够正常使用。</w:t>
      </w:r>
    </w:p>
    <w:p w14:paraId="151FC8CF">
      <w:pPr>
        <w:spacing w:line="500" w:lineRule="exact"/>
        <w:ind w:firstLine="560" w:firstLineChars="200"/>
        <w:outlineLvl w:val="9"/>
        <w:rPr>
          <w:rFonts w:ascii="仿宋" w:hAnsi="仿宋" w:eastAsia="仿宋" w:cs="宋体"/>
          <w:bCs/>
          <w:sz w:val="28"/>
          <w:szCs w:val="28"/>
          <w:highlight w:val="none"/>
        </w:rPr>
      </w:pPr>
      <w:r>
        <w:rPr>
          <w:rFonts w:hint="eastAsia" w:ascii="仿宋" w:hAnsi="仿宋" w:eastAsia="仿宋"/>
          <w:sz w:val="28"/>
          <w:szCs w:val="28"/>
          <w:highlight w:val="none"/>
        </w:rPr>
        <w:t>（5）</w:t>
      </w:r>
      <w:r>
        <w:rPr>
          <w:rFonts w:ascii="仿宋" w:hAnsi="仿宋" w:eastAsia="仿宋"/>
          <w:sz w:val="28"/>
          <w:szCs w:val="28"/>
          <w:highlight w:val="none"/>
        </w:rPr>
        <w:t>操作系统至少win7以上，建议使用win10操作系统。</w:t>
      </w:r>
    </w:p>
    <w:p w14:paraId="2E526251">
      <w:pPr>
        <w:spacing w:line="500" w:lineRule="exact"/>
        <w:ind w:firstLine="560" w:firstLineChars="200"/>
        <w:rPr>
          <w:rFonts w:ascii="仿宋" w:hAnsi="仿宋" w:eastAsia="仿宋"/>
          <w:b/>
          <w:color w:val="FF0000"/>
          <w:sz w:val="28"/>
          <w:szCs w:val="28"/>
          <w:highlight w:val="none"/>
        </w:rPr>
      </w:pPr>
      <w:r>
        <w:rPr>
          <w:rFonts w:hint="eastAsia" w:ascii="仿宋" w:hAnsi="仿宋" w:eastAsia="仿宋" w:cs="宋体"/>
          <w:bCs/>
          <w:sz w:val="28"/>
          <w:szCs w:val="28"/>
          <w:highlight w:val="none"/>
        </w:rPr>
        <w:t>（6）供应商应当通过“苏采云”系统提交电子响应文件，响应文件不得超过150M。</w:t>
      </w:r>
    </w:p>
    <w:p w14:paraId="0FA33DC9">
      <w:pPr>
        <w:spacing w:line="500" w:lineRule="exact"/>
        <w:ind w:firstLine="565" w:firstLineChars="202"/>
        <w:rPr>
          <w:rFonts w:hint="eastAsia" w:ascii="仿宋" w:hAnsi="仿宋" w:eastAsia="仿宋"/>
          <w:b/>
          <w:sz w:val="28"/>
          <w:szCs w:val="28"/>
          <w:highlight w:val="none"/>
          <w:lang w:eastAsia="zh-CN"/>
        </w:rPr>
      </w:pPr>
      <w:r>
        <w:rPr>
          <w:rFonts w:hint="eastAsia" w:ascii="仿宋" w:hAnsi="仿宋" w:eastAsia="仿宋" w:cs="宋体"/>
          <w:sz w:val="28"/>
          <w:szCs w:val="28"/>
          <w:highlight w:val="none"/>
        </w:rPr>
        <w:t>2. 磋商</w:t>
      </w:r>
      <w:r>
        <w:rPr>
          <w:rFonts w:ascii="仿宋" w:hAnsi="仿宋" w:eastAsia="仿宋" w:cs="宋体"/>
          <w:sz w:val="28"/>
          <w:szCs w:val="28"/>
          <w:highlight w:val="none"/>
        </w:rPr>
        <w:t>保证金</w:t>
      </w:r>
      <w:r>
        <w:rPr>
          <w:rFonts w:hint="eastAsia" w:ascii="仿宋" w:hAnsi="仿宋" w:eastAsia="仿宋" w:cs="宋体"/>
          <w:sz w:val="28"/>
          <w:szCs w:val="28"/>
          <w:highlight w:val="none"/>
        </w:rPr>
        <w:t>及履约保证金</w:t>
      </w:r>
      <w:r>
        <w:rPr>
          <w:rFonts w:ascii="仿宋" w:hAnsi="仿宋" w:eastAsia="仿宋" w:cs="宋体"/>
          <w:sz w:val="28"/>
          <w:szCs w:val="28"/>
          <w:highlight w:val="none"/>
        </w:rPr>
        <w:t>：免收</w:t>
      </w:r>
      <w:r>
        <w:rPr>
          <w:rFonts w:hint="eastAsia" w:ascii="仿宋" w:hAnsi="仿宋" w:eastAsia="仿宋" w:cs="宋体"/>
          <w:sz w:val="28"/>
          <w:szCs w:val="28"/>
          <w:highlight w:val="none"/>
          <w:lang w:eastAsia="zh-CN"/>
        </w:rPr>
        <w:t>。</w:t>
      </w:r>
    </w:p>
    <w:p w14:paraId="1147412C">
      <w:pPr>
        <w:pStyle w:val="10"/>
        <w:spacing w:after="0" w:line="500" w:lineRule="exact"/>
        <w:ind w:firstLine="560" w:firstLineChars="200"/>
        <w:outlineLvl w:val="1"/>
        <w:rPr>
          <w:rFonts w:ascii="黑体" w:hAnsi="黑体" w:eastAsia="黑体"/>
          <w:sz w:val="28"/>
          <w:szCs w:val="28"/>
          <w:highlight w:val="none"/>
        </w:rPr>
      </w:pPr>
      <w:bookmarkStart w:id="30" w:name="_Toc35393805"/>
      <w:bookmarkStart w:id="31" w:name="_Toc28359095"/>
      <w:bookmarkStart w:id="32" w:name="_Toc35393636"/>
      <w:bookmarkStart w:id="33" w:name="_Toc28359018"/>
      <w:bookmarkStart w:id="34" w:name="_Toc3413"/>
      <w:r>
        <w:rPr>
          <w:rFonts w:hint="eastAsia" w:ascii="黑体" w:hAnsi="黑体" w:eastAsia="黑体"/>
          <w:sz w:val="28"/>
          <w:szCs w:val="28"/>
          <w:highlight w:val="none"/>
        </w:rPr>
        <w:t>七、凡对本次采购提出询问，请按</w:t>
      </w:r>
      <w:r>
        <w:rPr>
          <w:rFonts w:ascii="黑体" w:hAnsi="黑体" w:eastAsia="黑体"/>
          <w:sz w:val="28"/>
          <w:szCs w:val="28"/>
          <w:highlight w:val="none"/>
        </w:rPr>
        <w:t>以下方式</w:t>
      </w:r>
      <w:r>
        <w:rPr>
          <w:rFonts w:hint="eastAsia" w:ascii="黑体" w:hAnsi="黑体" w:eastAsia="黑体"/>
          <w:sz w:val="28"/>
          <w:szCs w:val="28"/>
          <w:highlight w:val="none"/>
        </w:rPr>
        <w:t>联系。</w:t>
      </w:r>
      <w:bookmarkEnd w:id="30"/>
      <w:bookmarkEnd w:id="31"/>
      <w:bookmarkEnd w:id="32"/>
      <w:bookmarkEnd w:id="33"/>
      <w:bookmarkEnd w:id="34"/>
    </w:p>
    <w:p w14:paraId="3B2C3CB7">
      <w:pPr>
        <w:spacing w:line="500" w:lineRule="exact"/>
        <w:ind w:firstLine="540"/>
        <w:outlineLvl w:val="9"/>
        <w:rPr>
          <w:rFonts w:ascii="仿宋" w:hAnsi="仿宋" w:eastAsia="仿宋" w:cs="宋体"/>
          <w:sz w:val="28"/>
          <w:szCs w:val="28"/>
          <w:highlight w:val="none"/>
        </w:rPr>
      </w:pPr>
      <w:bookmarkStart w:id="35" w:name="_Toc28359019"/>
      <w:bookmarkStart w:id="36" w:name="_Toc35393637"/>
      <w:bookmarkStart w:id="37" w:name="_Toc35393806"/>
      <w:bookmarkStart w:id="38" w:name="_Toc28359096"/>
      <w:r>
        <w:rPr>
          <w:rFonts w:hint="eastAsia" w:ascii="仿宋" w:hAnsi="仿宋" w:eastAsia="仿宋" w:cs="宋体"/>
          <w:sz w:val="28"/>
          <w:szCs w:val="28"/>
          <w:highlight w:val="none"/>
        </w:rPr>
        <w:t>1. 采购人信息</w:t>
      </w:r>
      <w:bookmarkEnd w:id="35"/>
      <w:bookmarkEnd w:id="36"/>
      <w:bookmarkEnd w:id="37"/>
      <w:bookmarkEnd w:id="38"/>
    </w:p>
    <w:p w14:paraId="5456BFE5">
      <w:pPr>
        <w:spacing w:line="500" w:lineRule="exact"/>
        <w:ind w:firstLine="840" w:firstLineChars="300"/>
        <w:rPr>
          <w:rFonts w:hint="eastAsia" w:ascii="仿宋" w:hAnsi="仿宋" w:eastAsia="仿宋"/>
          <w:sz w:val="28"/>
          <w:szCs w:val="28"/>
          <w:highlight w:val="none"/>
        </w:rPr>
      </w:pPr>
      <w:r>
        <w:rPr>
          <w:rFonts w:hint="eastAsia" w:ascii="仿宋" w:hAnsi="仿宋" w:eastAsia="仿宋"/>
          <w:sz w:val="28"/>
          <w:szCs w:val="28"/>
          <w:highlight w:val="none"/>
        </w:rPr>
        <w:t>名    称：如皋市人民法院</w:t>
      </w:r>
    </w:p>
    <w:p w14:paraId="3EED4B47">
      <w:pPr>
        <w:spacing w:line="500" w:lineRule="exact"/>
        <w:ind w:firstLine="840" w:firstLineChars="300"/>
        <w:rPr>
          <w:rFonts w:hint="eastAsia" w:ascii="仿宋" w:hAnsi="仿宋" w:eastAsia="仿宋"/>
          <w:sz w:val="28"/>
          <w:szCs w:val="28"/>
          <w:highlight w:val="none"/>
        </w:rPr>
      </w:pPr>
      <w:r>
        <w:rPr>
          <w:rFonts w:hint="eastAsia" w:ascii="仿宋" w:hAnsi="仿宋" w:eastAsia="仿宋"/>
          <w:sz w:val="28"/>
          <w:szCs w:val="28"/>
          <w:highlight w:val="none"/>
        </w:rPr>
        <w:t>地    址：如皋市如城街道惠政路666号</w:t>
      </w:r>
    </w:p>
    <w:p w14:paraId="14D29665">
      <w:pPr>
        <w:spacing w:line="500" w:lineRule="exact"/>
        <w:ind w:firstLine="840" w:firstLineChars="300"/>
        <w:rPr>
          <w:rFonts w:hint="eastAsia" w:ascii="仿宋" w:hAnsi="仿宋" w:eastAsia="仿宋"/>
          <w:sz w:val="28"/>
          <w:szCs w:val="28"/>
          <w:highlight w:val="none"/>
        </w:rPr>
      </w:pPr>
      <w:r>
        <w:rPr>
          <w:rFonts w:hint="eastAsia" w:ascii="仿宋" w:hAnsi="仿宋" w:eastAsia="仿宋"/>
          <w:sz w:val="28"/>
          <w:szCs w:val="28"/>
          <w:highlight w:val="none"/>
        </w:rPr>
        <w:t>项目经办人姓名：王毅承</w:t>
      </w:r>
    </w:p>
    <w:p w14:paraId="5A0547F5">
      <w:pPr>
        <w:spacing w:line="500" w:lineRule="exact"/>
        <w:ind w:firstLine="840" w:firstLineChars="300"/>
        <w:rPr>
          <w:rFonts w:ascii="仿宋" w:hAnsi="仿宋" w:eastAsia="仿宋"/>
          <w:sz w:val="28"/>
          <w:szCs w:val="28"/>
          <w:highlight w:val="none"/>
        </w:rPr>
      </w:pPr>
      <w:r>
        <w:rPr>
          <w:rFonts w:hint="eastAsia" w:ascii="仿宋" w:hAnsi="仿宋" w:eastAsia="仿宋"/>
          <w:sz w:val="28"/>
          <w:szCs w:val="28"/>
          <w:highlight w:val="none"/>
        </w:rPr>
        <w:t xml:space="preserve">项目经办人联系方式：15062759588 </w:t>
      </w:r>
    </w:p>
    <w:p w14:paraId="214BF317">
      <w:pPr>
        <w:spacing w:line="500" w:lineRule="exact"/>
        <w:ind w:firstLine="540"/>
        <w:outlineLvl w:val="9"/>
        <w:rPr>
          <w:rFonts w:ascii="仿宋" w:hAnsi="仿宋" w:eastAsia="仿宋" w:cs="宋体"/>
          <w:sz w:val="28"/>
          <w:szCs w:val="28"/>
          <w:highlight w:val="none"/>
        </w:rPr>
      </w:pPr>
      <w:bookmarkStart w:id="39" w:name="_Toc35393638"/>
      <w:bookmarkStart w:id="40" w:name="_Toc35393807"/>
      <w:bookmarkStart w:id="41" w:name="_Toc28359097"/>
      <w:bookmarkStart w:id="42" w:name="_Toc28359020"/>
      <w:r>
        <w:rPr>
          <w:rFonts w:hint="eastAsia" w:ascii="仿宋" w:hAnsi="仿宋" w:eastAsia="仿宋" w:cs="宋体"/>
          <w:sz w:val="28"/>
          <w:szCs w:val="28"/>
          <w:highlight w:val="none"/>
        </w:rPr>
        <w:t>2. 采购代理机构信息（如有）</w:t>
      </w:r>
      <w:bookmarkEnd w:id="39"/>
      <w:bookmarkEnd w:id="40"/>
      <w:bookmarkEnd w:id="41"/>
      <w:bookmarkEnd w:id="42"/>
    </w:p>
    <w:p w14:paraId="50E786B8">
      <w:pPr>
        <w:spacing w:line="500" w:lineRule="exact"/>
        <w:ind w:firstLine="840" w:firstLineChars="300"/>
        <w:rPr>
          <w:rFonts w:ascii="仿宋" w:hAnsi="仿宋" w:eastAsia="仿宋"/>
          <w:sz w:val="28"/>
          <w:szCs w:val="28"/>
          <w:highlight w:val="none"/>
        </w:rPr>
      </w:pPr>
      <w:r>
        <w:rPr>
          <w:rFonts w:hint="eastAsia" w:ascii="仿宋" w:hAnsi="仿宋" w:eastAsia="仿宋"/>
          <w:sz w:val="28"/>
          <w:szCs w:val="28"/>
          <w:highlight w:val="none"/>
        </w:rPr>
        <w:t>名    称：南通泾天纬地项目管理有限公司</w:t>
      </w:r>
    </w:p>
    <w:p w14:paraId="741D282D">
      <w:pPr>
        <w:spacing w:line="500" w:lineRule="exact"/>
        <w:ind w:firstLine="840" w:firstLineChars="300"/>
        <w:rPr>
          <w:rFonts w:ascii="仿宋" w:hAnsi="仿宋" w:eastAsia="仿宋"/>
          <w:sz w:val="28"/>
          <w:szCs w:val="28"/>
          <w:highlight w:val="none"/>
        </w:rPr>
      </w:pPr>
      <w:r>
        <w:rPr>
          <w:rFonts w:hint="eastAsia" w:ascii="仿宋" w:hAnsi="仿宋" w:eastAsia="仿宋"/>
          <w:sz w:val="28"/>
          <w:szCs w:val="28"/>
          <w:highlight w:val="none"/>
        </w:rPr>
        <w:t>地　　址：如皋市如城街道惠政路269号纪庄大楼9层</w:t>
      </w:r>
    </w:p>
    <w:p w14:paraId="01A4197E">
      <w:pPr>
        <w:spacing w:line="500" w:lineRule="exact"/>
        <w:ind w:firstLine="840" w:firstLineChars="300"/>
        <w:rPr>
          <w:rFonts w:hint="eastAsia" w:ascii="仿宋" w:hAnsi="仿宋" w:eastAsia="仿宋"/>
          <w:sz w:val="28"/>
          <w:szCs w:val="28"/>
          <w:highlight w:val="none"/>
          <w:lang w:eastAsia="zh-CN"/>
        </w:rPr>
      </w:pPr>
      <w:r>
        <w:rPr>
          <w:rFonts w:hint="eastAsia" w:ascii="仿宋" w:hAnsi="仿宋" w:eastAsia="仿宋"/>
          <w:sz w:val="28"/>
          <w:szCs w:val="28"/>
          <w:highlight w:val="none"/>
        </w:rPr>
        <w:t>项目经办人姓名：</w:t>
      </w:r>
      <w:r>
        <w:rPr>
          <w:rFonts w:hint="eastAsia" w:ascii="仿宋" w:hAnsi="仿宋" w:eastAsia="仿宋"/>
          <w:sz w:val="28"/>
          <w:szCs w:val="28"/>
          <w:highlight w:val="none"/>
          <w:lang w:val="en-US" w:eastAsia="zh-CN"/>
        </w:rPr>
        <w:t xml:space="preserve">丁玉娇 </w:t>
      </w:r>
    </w:p>
    <w:p w14:paraId="4B75F433">
      <w:pPr>
        <w:spacing w:line="500" w:lineRule="exact"/>
        <w:ind w:firstLine="840" w:firstLineChars="300"/>
        <w:rPr>
          <w:rFonts w:ascii="仿宋" w:hAnsi="仿宋" w:eastAsia="仿宋"/>
          <w:sz w:val="28"/>
          <w:szCs w:val="28"/>
          <w:highlight w:val="none"/>
          <w:u w:val="single"/>
        </w:rPr>
      </w:pPr>
      <w:r>
        <w:rPr>
          <w:rFonts w:hint="eastAsia" w:ascii="仿宋" w:hAnsi="仿宋" w:eastAsia="仿宋"/>
          <w:sz w:val="28"/>
          <w:szCs w:val="28"/>
          <w:highlight w:val="none"/>
        </w:rPr>
        <w:t>项目经办人联系方式：051387610696</w:t>
      </w:r>
    </w:p>
    <w:p w14:paraId="106D430C">
      <w:pPr>
        <w:spacing w:line="500" w:lineRule="exact"/>
        <w:ind w:firstLine="840" w:firstLineChars="300"/>
        <w:rPr>
          <w:rFonts w:ascii="仿宋" w:hAnsi="仿宋" w:eastAsia="仿宋"/>
          <w:sz w:val="28"/>
          <w:szCs w:val="28"/>
          <w:highlight w:val="none"/>
          <w:u w:val="single"/>
        </w:rPr>
      </w:pPr>
    </w:p>
    <w:p w14:paraId="56EB45E5">
      <w:pPr>
        <w:adjustRightInd w:val="0"/>
        <w:snapToGrid w:val="0"/>
        <w:spacing w:line="500" w:lineRule="exact"/>
        <w:rPr>
          <w:rFonts w:ascii="仿宋" w:hAnsi="仿宋" w:eastAsia="仿宋"/>
          <w:b/>
          <w:sz w:val="28"/>
          <w:szCs w:val="28"/>
          <w:highlight w:val="none"/>
        </w:rPr>
      </w:pPr>
      <w:r>
        <w:rPr>
          <w:rFonts w:ascii="仿宋" w:hAnsi="仿宋" w:eastAsia="仿宋"/>
          <w:b/>
          <w:sz w:val="28"/>
          <w:szCs w:val="28"/>
          <w:highlight w:val="none"/>
        </w:rPr>
        <w:t>附件:</w:t>
      </w:r>
    </w:p>
    <w:p w14:paraId="0A125040">
      <w:pPr>
        <w:keepNext w:val="0"/>
        <w:keepLines w:val="0"/>
        <w:pageBreakBefore w:val="0"/>
        <w:widowControl w:val="0"/>
        <w:kinsoku/>
        <w:wordWrap/>
        <w:overflowPunct/>
        <w:topLinePunct w:val="0"/>
        <w:autoSpaceDE/>
        <w:autoSpaceDN/>
        <w:bidi w:val="0"/>
        <w:adjustRightInd w:val="0"/>
        <w:snapToGrid w:val="0"/>
        <w:spacing w:line="500" w:lineRule="exact"/>
        <w:ind w:firstLine="562" w:firstLineChars="200"/>
        <w:rPr>
          <w:rFonts w:hint="eastAsia" w:ascii="仿宋" w:hAnsi="仿宋" w:eastAsia="仿宋"/>
          <w:b/>
          <w:sz w:val="28"/>
          <w:szCs w:val="28"/>
          <w:highlight w:val="none"/>
          <w:lang w:eastAsia="zh-CN"/>
        </w:rPr>
      </w:pPr>
      <w:r>
        <w:rPr>
          <w:rFonts w:hint="eastAsia" w:ascii="仿宋" w:hAnsi="仿宋" w:eastAsia="仿宋"/>
          <w:b/>
          <w:sz w:val="28"/>
          <w:szCs w:val="28"/>
          <w:highlight w:val="none"/>
        </w:rPr>
        <w:t>1.</w:t>
      </w:r>
      <w:r>
        <w:rPr>
          <w:rFonts w:hint="eastAsia" w:ascii="仿宋" w:hAnsi="仿宋" w:eastAsia="仿宋"/>
          <w:b/>
          <w:sz w:val="28"/>
          <w:szCs w:val="28"/>
          <w:highlight w:val="none"/>
          <w:lang w:eastAsia="zh-CN"/>
        </w:rPr>
        <w:t>办理政采贷和履约保函（保险）告知函</w:t>
      </w:r>
    </w:p>
    <w:p w14:paraId="7BDC16FE">
      <w:pPr>
        <w:keepNext w:val="0"/>
        <w:keepLines w:val="0"/>
        <w:pageBreakBefore w:val="0"/>
        <w:widowControl w:val="0"/>
        <w:kinsoku/>
        <w:wordWrap/>
        <w:overflowPunct/>
        <w:topLinePunct w:val="0"/>
        <w:autoSpaceDE/>
        <w:autoSpaceDN/>
        <w:bidi w:val="0"/>
        <w:adjustRightInd w:val="0"/>
        <w:snapToGrid w:val="0"/>
        <w:spacing w:line="500" w:lineRule="exact"/>
        <w:ind w:firstLine="562" w:firstLineChars="200"/>
        <w:rPr>
          <w:rFonts w:ascii="仿宋" w:hAnsi="仿宋" w:eastAsia="仿宋"/>
          <w:b/>
          <w:sz w:val="28"/>
          <w:szCs w:val="28"/>
          <w:highlight w:val="none"/>
        </w:rPr>
      </w:pPr>
      <w:r>
        <w:rPr>
          <w:rFonts w:hint="eastAsia" w:ascii="仿宋" w:hAnsi="仿宋" w:eastAsia="仿宋"/>
          <w:b/>
          <w:sz w:val="28"/>
          <w:szCs w:val="28"/>
          <w:highlight w:val="none"/>
        </w:rPr>
        <w:t>2.磋商</w:t>
      </w:r>
      <w:r>
        <w:rPr>
          <w:rFonts w:ascii="仿宋" w:hAnsi="仿宋" w:eastAsia="仿宋"/>
          <w:b/>
          <w:sz w:val="28"/>
          <w:szCs w:val="28"/>
          <w:highlight w:val="none"/>
        </w:rPr>
        <w:t>文件</w:t>
      </w:r>
    </w:p>
    <w:p w14:paraId="7FF1B44E">
      <w:pPr>
        <w:pStyle w:val="38"/>
        <w:keepNext w:val="0"/>
        <w:keepLines w:val="0"/>
        <w:pageBreakBefore w:val="0"/>
        <w:widowControl w:val="0"/>
        <w:kinsoku/>
        <w:wordWrap/>
        <w:overflowPunct/>
        <w:topLinePunct w:val="0"/>
        <w:autoSpaceDE/>
        <w:autoSpaceDN/>
        <w:bidi w:val="0"/>
        <w:adjustRightInd w:val="0"/>
        <w:spacing w:before="0" w:after="0" w:line="500" w:lineRule="exact"/>
        <w:ind w:firstLine="562" w:firstLineChars="200"/>
        <w:rPr>
          <w:rFonts w:ascii="仿宋" w:hAnsi="仿宋" w:eastAsia="仿宋"/>
          <w:b/>
          <w:sz w:val="28"/>
          <w:szCs w:val="28"/>
          <w:highlight w:val="none"/>
        </w:rPr>
      </w:pPr>
      <w:r>
        <w:rPr>
          <w:rFonts w:hint="eastAsia" w:ascii="仿宋" w:hAnsi="仿宋" w:eastAsia="仿宋"/>
          <w:b/>
          <w:sz w:val="28"/>
          <w:szCs w:val="28"/>
          <w:highlight w:val="none"/>
        </w:rPr>
        <w:t>3.采购人</w:t>
      </w:r>
      <w:r>
        <w:rPr>
          <w:rFonts w:ascii="仿宋" w:hAnsi="仿宋" w:eastAsia="仿宋"/>
          <w:b/>
          <w:sz w:val="28"/>
          <w:szCs w:val="28"/>
          <w:highlight w:val="none"/>
        </w:rPr>
        <w:t>信用承诺</w:t>
      </w:r>
    </w:p>
    <w:p w14:paraId="7C75DDE4">
      <w:pPr>
        <w:pStyle w:val="38"/>
        <w:spacing w:line="240" w:lineRule="auto"/>
        <w:ind w:firstLine="0"/>
        <w:jc w:val="center"/>
        <w:outlineLvl w:val="0"/>
        <w:rPr>
          <w:rFonts w:ascii="方正小标宋简体" w:eastAsia="方正小标宋简体"/>
          <w:bCs/>
          <w:sz w:val="32"/>
          <w:szCs w:val="32"/>
          <w:highlight w:val="none"/>
        </w:rPr>
      </w:pPr>
      <w:r>
        <w:rPr>
          <w:rFonts w:ascii="仿宋" w:hAnsi="仿宋" w:eastAsia="仿宋"/>
          <w:b/>
          <w:sz w:val="28"/>
          <w:szCs w:val="28"/>
          <w:highlight w:val="none"/>
        </w:rPr>
        <w:br w:type="page"/>
      </w:r>
      <w:bookmarkStart w:id="43" w:name="_Toc26155"/>
      <w:r>
        <w:rPr>
          <w:rFonts w:hint="eastAsia" w:ascii="方正小标宋简体" w:eastAsia="方正小标宋简体"/>
          <w:bCs/>
          <w:sz w:val="32"/>
          <w:szCs w:val="32"/>
          <w:highlight w:val="none"/>
        </w:rPr>
        <w:t>第2章 磋商须知</w:t>
      </w:r>
      <w:bookmarkEnd w:id="43"/>
    </w:p>
    <w:p w14:paraId="37B26314">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outlineLvl w:val="1"/>
        <w:rPr>
          <w:rFonts w:ascii="黑体" w:hAnsi="黑体" w:eastAsia="黑体"/>
          <w:sz w:val="28"/>
          <w:szCs w:val="28"/>
          <w:highlight w:val="none"/>
        </w:rPr>
      </w:pPr>
      <w:bookmarkStart w:id="44" w:name="_Toc21031"/>
      <w:r>
        <w:rPr>
          <w:rFonts w:hint="eastAsia" w:ascii="黑体" w:hAnsi="黑体" w:eastAsia="黑体"/>
          <w:sz w:val="28"/>
          <w:szCs w:val="28"/>
          <w:highlight w:val="none"/>
        </w:rPr>
        <w:t>1. 参加磋商费用</w:t>
      </w:r>
      <w:bookmarkEnd w:id="44"/>
    </w:p>
    <w:p w14:paraId="75D2298F">
      <w:pPr>
        <w:keepNext w:val="0"/>
        <w:keepLines w:val="0"/>
        <w:pageBreakBefore w:val="0"/>
        <w:widowControl w:val="0"/>
        <w:tabs>
          <w:tab w:val="left" w:pos="900"/>
        </w:tabs>
        <w:kinsoku/>
        <w:wordWrap/>
        <w:overflowPunct/>
        <w:topLinePunct w:val="0"/>
        <w:autoSpaceDE/>
        <w:autoSpaceDN/>
        <w:bidi w:val="0"/>
        <w:adjustRightInd/>
        <w:snapToGrid/>
        <w:spacing w:line="500" w:lineRule="exact"/>
        <w:ind w:left="0" w:leftChars="0" w:firstLine="560" w:firstLineChars="200"/>
        <w:textAlignment w:val="auto"/>
        <w:rPr>
          <w:rFonts w:ascii="仿宋" w:hAnsi="仿宋" w:eastAsia="仿宋"/>
          <w:sz w:val="28"/>
          <w:szCs w:val="28"/>
          <w:highlight w:val="none"/>
        </w:rPr>
      </w:pPr>
      <w:r>
        <w:rPr>
          <w:rFonts w:hint="eastAsia" w:ascii="仿宋" w:hAnsi="仿宋" w:eastAsia="仿宋"/>
          <w:sz w:val="28"/>
          <w:szCs w:val="28"/>
          <w:highlight w:val="none"/>
        </w:rPr>
        <w:t>参加竞争性磋商活动的供应商，应自行承担所有与准备和参加竞争性磋商活动有关的费用，无论磋商过程中做法和结果如何，采购人或者代理机构在任何情况下均无义务和责任承担这些费用。</w:t>
      </w:r>
    </w:p>
    <w:p w14:paraId="18BC7EB7">
      <w:pPr>
        <w:keepNext w:val="0"/>
        <w:keepLines w:val="0"/>
        <w:pageBreakBefore w:val="0"/>
        <w:widowControl w:val="0"/>
        <w:tabs>
          <w:tab w:val="left" w:pos="900"/>
        </w:tabs>
        <w:kinsoku/>
        <w:wordWrap/>
        <w:overflowPunct/>
        <w:topLinePunct w:val="0"/>
        <w:autoSpaceDE/>
        <w:autoSpaceDN/>
        <w:bidi w:val="0"/>
        <w:adjustRightInd/>
        <w:snapToGrid/>
        <w:spacing w:line="500" w:lineRule="exact"/>
        <w:ind w:left="0" w:leftChars="0" w:firstLine="560" w:firstLineChars="200"/>
        <w:textAlignment w:val="auto"/>
        <w:outlineLvl w:val="1"/>
        <w:rPr>
          <w:rFonts w:ascii="黑体" w:hAnsi="黑体" w:eastAsia="黑体"/>
          <w:sz w:val="28"/>
          <w:szCs w:val="28"/>
          <w:highlight w:val="none"/>
        </w:rPr>
      </w:pPr>
      <w:bookmarkStart w:id="45" w:name="_Toc21608"/>
      <w:r>
        <w:rPr>
          <w:rFonts w:hint="eastAsia" w:ascii="黑体" w:hAnsi="黑体" w:eastAsia="黑体"/>
          <w:sz w:val="28"/>
          <w:szCs w:val="28"/>
          <w:highlight w:val="none"/>
        </w:rPr>
        <w:t>2. 磋商文件的约束力</w:t>
      </w:r>
      <w:bookmarkEnd w:id="45"/>
    </w:p>
    <w:p w14:paraId="1EB822D9">
      <w:pPr>
        <w:keepNext w:val="0"/>
        <w:keepLines w:val="0"/>
        <w:pageBreakBefore w:val="0"/>
        <w:widowControl w:val="0"/>
        <w:tabs>
          <w:tab w:val="left" w:pos="900"/>
        </w:tabs>
        <w:kinsoku/>
        <w:wordWrap/>
        <w:overflowPunct/>
        <w:topLinePunct w:val="0"/>
        <w:autoSpaceDE/>
        <w:autoSpaceDN/>
        <w:bidi w:val="0"/>
        <w:adjustRightInd/>
        <w:snapToGrid/>
        <w:spacing w:line="500" w:lineRule="exact"/>
        <w:ind w:left="0" w:leftChars="0" w:firstLine="560" w:firstLineChars="200"/>
        <w:textAlignment w:val="auto"/>
        <w:rPr>
          <w:rFonts w:ascii="仿宋" w:hAnsi="仿宋" w:eastAsia="仿宋"/>
          <w:sz w:val="28"/>
          <w:szCs w:val="28"/>
          <w:highlight w:val="none"/>
        </w:rPr>
      </w:pPr>
      <w:r>
        <w:rPr>
          <w:rFonts w:hint="eastAsia" w:ascii="仿宋" w:hAnsi="仿宋" w:eastAsia="仿宋"/>
          <w:sz w:val="28"/>
          <w:szCs w:val="28"/>
          <w:highlight w:val="none"/>
        </w:rPr>
        <w:t>2.1供应商一旦参加本项目磋商活动，即被认为接受了本磋商文件的规定和约束。本磋商文件由磋商公告、磋商须知、采购需求、合同文本、评审标准和评审方法、响应文件组成、以及</w:t>
      </w:r>
      <w:r>
        <w:rPr>
          <w:rFonts w:hint="eastAsia" w:ascii="仿宋" w:hAnsi="仿宋" w:eastAsia="仿宋"/>
          <w:bCs/>
          <w:sz w:val="28"/>
          <w:szCs w:val="28"/>
          <w:highlight w:val="none"/>
        </w:rPr>
        <w:t>“苏采云”系统相关要求</w:t>
      </w:r>
      <w:r>
        <w:rPr>
          <w:rFonts w:hint="eastAsia" w:ascii="仿宋" w:hAnsi="仿宋" w:eastAsia="仿宋"/>
          <w:sz w:val="28"/>
          <w:szCs w:val="28"/>
          <w:highlight w:val="none"/>
        </w:rPr>
        <w:t>等部分组成。</w:t>
      </w:r>
    </w:p>
    <w:p w14:paraId="4B328B6E">
      <w:pPr>
        <w:keepNext w:val="0"/>
        <w:keepLines w:val="0"/>
        <w:pageBreakBefore w:val="0"/>
        <w:widowControl w:val="0"/>
        <w:tabs>
          <w:tab w:val="left" w:pos="900"/>
        </w:tabs>
        <w:kinsoku/>
        <w:wordWrap/>
        <w:overflowPunct/>
        <w:topLinePunct w:val="0"/>
        <w:autoSpaceDE/>
        <w:autoSpaceDN/>
        <w:bidi w:val="0"/>
        <w:adjustRightInd/>
        <w:snapToGrid/>
        <w:spacing w:line="500" w:lineRule="exact"/>
        <w:ind w:left="0" w:leftChars="0" w:firstLine="560" w:firstLineChars="200"/>
        <w:textAlignment w:val="auto"/>
        <w:rPr>
          <w:rFonts w:ascii="仿宋" w:hAnsi="仿宋" w:eastAsia="仿宋"/>
          <w:sz w:val="28"/>
          <w:szCs w:val="28"/>
          <w:highlight w:val="none"/>
        </w:rPr>
      </w:pPr>
      <w:r>
        <w:rPr>
          <w:rFonts w:hint="eastAsia" w:ascii="仿宋" w:hAnsi="仿宋" w:eastAsia="仿宋"/>
          <w:sz w:val="28"/>
          <w:szCs w:val="28"/>
          <w:highlight w:val="none"/>
        </w:rPr>
        <w:t>2.2提交首次响应文件截止之日前，采购人、采购代理机构或者磋商小组可以对已发出的磋商文件进行必要的澄清或者修改，通过“苏采云”系统发布澄清公告或者修改的内容，并以所发布的本项目的“更正（澄清）公告”的形式通知所有获取采购文件的潜在供应商。敬请各潜在供应商关注本项目的“更正（澄清）公告”，并通过“苏采云”系统重新下载更正（澄清）后的采购文件（后缀名为“.kedt”），离线编制响应文件，否则，将自行承担相应的风险。</w:t>
      </w:r>
    </w:p>
    <w:p w14:paraId="0A4C81E7">
      <w:pPr>
        <w:keepNext w:val="0"/>
        <w:keepLines w:val="0"/>
        <w:pageBreakBefore w:val="0"/>
        <w:widowControl w:val="0"/>
        <w:tabs>
          <w:tab w:val="left" w:pos="900"/>
        </w:tabs>
        <w:kinsoku/>
        <w:wordWrap/>
        <w:overflowPunct/>
        <w:topLinePunct w:val="0"/>
        <w:autoSpaceDE/>
        <w:autoSpaceDN/>
        <w:bidi w:val="0"/>
        <w:adjustRightInd/>
        <w:snapToGrid/>
        <w:spacing w:line="500" w:lineRule="exact"/>
        <w:ind w:left="0" w:leftChars="0" w:firstLine="560" w:firstLineChars="200"/>
        <w:textAlignment w:val="auto"/>
        <w:rPr>
          <w:rFonts w:ascii="仿宋" w:hAnsi="仿宋" w:eastAsia="仿宋"/>
          <w:sz w:val="28"/>
          <w:szCs w:val="28"/>
          <w:highlight w:val="none"/>
        </w:rPr>
      </w:pPr>
      <w:r>
        <w:rPr>
          <w:rFonts w:hint="eastAsia" w:ascii="仿宋" w:hAnsi="仿宋" w:eastAsia="仿宋"/>
          <w:sz w:val="28"/>
          <w:szCs w:val="28"/>
          <w:highlight w:val="none"/>
        </w:rPr>
        <w:t>2.3 澄清或者修改的内容可能影响响应文件编制的，采购人、采购代理机构应当在提交首次响应文件截止时间至少5日前，以发布更正公告形式通知所有获取磋商文件的供应商；不足5日的，采购人、采购代理机构应当顺延提交首次响应文件截止时间。</w:t>
      </w:r>
    </w:p>
    <w:p w14:paraId="001FF299">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outlineLvl w:val="1"/>
        <w:rPr>
          <w:rFonts w:ascii="黑体" w:hAnsi="黑体" w:eastAsia="黑体"/>
          <w:sz w:val="28"/>
          <w:szCs w:val="28"/>
          <w:highlight w:val="none"/>
        </w:rPr>
      </w:pPr>
      <w:bookmarkStart w:id="46" w:name="_Toc15865"/>
      <w:r>
        <w:rPr>
          <w:rFonts w:hint="eastAsia" w:ascii="黑体" w:hAnsi="黑体" w:eastAsia="黑体"/>
          <w:sz w:val="28"/>
          <w:szCs w:val="28"/>
          <w:highlight w:val="none"/>
        </w:rPr>
        <w:t>3.响应文件编制</w:t>
      </w:r>
      <w:bookmarkEnd w:id="46"/>
    </w:p>
    <w:p w14:paraId="5B2D8D9D">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ascii="仿宋" w:hAnsi="仿宋" w:eastAsia="仿宋"/>
          <w:sz w:val="28"/>
          <w:szCs w:val="28"/>
          <w:highlight w:val="none"/>
        </w:rPr>
      </w:pPr>
      <w:r>
        <w:rPr>
          <w:rFonts w:hint="eastAsia" w:ascii="仿宋" w:hAnsi="仿宋" w:eastAsia="仿宋"/>
          <w:sz w:val="28"/>
          <w:szCs w:val="28"/>
          <w:highlight w:val="none"/>
        </w:rPr>
        <w:t>3.1 供应商应认真阅读竞争性磋商文件中所有的事项、格式、条款和规范等要求。按竞争性磋商文件要求和规定编制响应文件，并保证所提供的全部资料的真实性，以使其响应文件对磋商文件作出实质性响应，否则其风险由供应商自行承担</w:t>
      </w:r>
      <w:r>
        <w:rPr>
          <w:rFonts w:ascii="仿宋" w:hAnsi="仿宋" w:eastAsia="仿宋"/>
          <w:sz w:val="28"/>
          <w:szCs w:val="28"/>
          <w:highlight w:val="none"/>
        </w:rPr>
        <w:t>。</w:t>
      </w:r>
    </w:p>
    <w:p w14:paraId="59A4DF68">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ascii="仿宋" w:hAnsi="仿宋" w:eastAsia="仿宋"/>
          <w:sz w:val="28"/>
          <w:szCs w:val="28"/>
          <w:highlight w:val="none"/>
        </w:rPr>
      </w:pPr>
      <w:r>
        <w:rPr>
          <w:rFonts w:hint="eastAsia" w:ascii="仿宋" w:hAnsi="仿宋" w:eastAsia="仿宋"/>
          <w:sz w:val="28"/>
          <w:szCs w:val="28"/>
          <w:highlight w:val="none"/>
        </w:rPr>
        <w:t xml:space="preserve">3.2 </w:t>
      </w:r>
      <w:r>
        <w:rPr>
          <w:rFonts w:hint="eastAsia" w:ascii="仿宋" w:hAnsi="仿宋" w:eastAsia="仿宋"/>
          <w:bCs/>
          <w:sz w:val="28"/>
          <w:szCs w:val="28"/>
          <w:highlight w:val="none"/>
        </w:rPr>
        <w:t>除技术性能另有规定外，响应文件所使用的度量衡单位，均须采用国家法定计量单位</w:t>
      </w:r>
      <w:r>
        <w:rPr>
          <w:rFonts w:ascii="仿宋" w:hAnsi="仿宋" w:eastAsia="仿宋"/>
          <w:sz w:val="28"/>
          <w:szCs w:val="28"/>
          <w:highlight w:val="none"/>
        </w:rPr>
        <w:t>。</w:t>
      </w:r>
    </w:p>
    <w:p w14:paraId="11C10017">
      <w:pPr>
        <w:keepNext w:val="0"/>
        <w:keepLines w:val="0"/>
        <w:pageBreakBefore w:val="0"/>
        <w:widowControl w:val="0"/>
        <w:tabs>
          <w:tab w:val="left" w:pos="900"/>
        </w:tabs>
        <w:kinsoku/>
        <w:wordWrap/>
        <w:overflowPunct/>
        <w:topLinePunct w:val="0"/>
        <w:autoSpaceDE/>
        <w:autoSpaceDN/>
        <w:bidi w:val="0"/>
        <w:adjustRightInd/>
        <w:snapToGrid/>
        <w:spacing w:line="500" w:lineRule="exact"/>
        <w:ind w:left="0" w:leftChars="0" w:firstLine="560" w:firstLineChars="200"/>
        <w:textAlignment w:val="auto"/>
        <w:rPr>
          <w:rFonts w:ascii="仿宋" w:hAnsi="仿宋" w:eastAsia="仿宋"/>
          <w:sz w:val="28"/>
          <w:szCs w:val="28"/>
          <w:highlight w:val="none"/>
        </w:rPr>
      </w:pPr>
      <w:r>
        <w:rPr>
          <w:rFonts w:hint="eastAsia" w:ascii="仿宋" w:hAnsi="仿宋" w:eastAsia="仿宋"/>
          <w:bCs/>
          <w:sz w:val="28"/>
          <w:szCs w:val="28"/>
          <w:highlight w:val="none"/>
        </w:rPr>
        <w:t>3.3 供应商编写的响应文件应包括资格审查文件、商务技术文件、报价文件等部分，具体按照“第6章 响应文件组成”要求编写</w:t>
      </w:r>
      <w:r>
        <w:rPr>
          <w:rFonts w:ascii="仿宋" w:hAnsi="仿宋" w:eastAsia="仿宋"/>
          <w:sz w:val="28"/>
          <w:szCs w:val="28"/>
          <w:highlight w:val="none"/>
        </w:rPr>
        <w:t>。</w:t>
      </w:r>
    </w:p>
    <w:p w14:paraId="4CF8B1DE">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outlineLvl w:val="1"/>
        <w:rPr>
          <w:rFonts w:ascii="黑体" w:hAnsi="黑体" w:eastAsia="黑体"/>
          <w:sz w:val="28"/>
          <w:szCs w:val="28"/>
          <w:highlight w:val="none"/>
        </w:rPr>
      </w:pPr>
      <w:bookmarkStart w:id="47" w:name="_Toc10106"/>
      <w:r>
        <w:rPr>
          <w:rFonts w:hint="eastAsia" w:ascii="黑体" w:hAnsi="黑体" w:eastAsia="黑体"/>
          <w:sz w:val="28"/>
          <w:szCs w:val="28"/>
          <w:highlight w:val="none"/>
        </w:rPr>
        <w:t>4.响应文件提交、撤回和修改</w:t>
      </w:r>
      <w:bookmarkEnd w:id="47"/>
    </w:p>
    <w:p w14:paraId="5856CB4F">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ascii="仿宋" w:hAnsi="仿宋" w:eastAsia="仿宋"/>
          <w:bCs/>
          <w:sz w:val="28"/>
          <w:szCs w:val="28"/>
          <w:highlight w:val="none"/>
        </w:rPr>
      </w:pPr>
      <w:r>
        <w:rPr>
          <w:rFonts w:hint="eastAsia" w:ascii="仿宋" w:hAnsi="仿宋" w:eastAsia="仿宋"/>
          <w:sz w:val="28"/>
          <w:szCs w:val="28"/>
          <w:highlight w:val="none"/>
        </w:rPr>
        <w:t>4.1 供应商</w:t>
      </w:r>
      <w:r>
        <w:rPr>
          <w:rFonts w:hint="eastAsia" w:ascii="仿宋" w:hAnsi="仿宋" w:eastAsia="仿宋"/>
          <w:bCs/>
          <w:sz w:val="28"/>
          <w:szCs w:val="28"/>
          <w:highlight w:val="none"/>
        </w:rPr>
        <w:t>对CA证书妥善保管，如被他人盗用投标，因此带来的结果均由供应商自行承担。</w:t>
      </w:r>
    </w:p>
    <w:p w14:paraId="74EC6F56">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ascii="仿宋" w:hAnsi="仿宋" w:eastAsia="仿宋"/>
          <w:bCs/>
          <w:sz w:val="28"/>
          <w:szCs w:val="28"/>
          <w:highlight w:val="none"/>
        </w:rPr>
      </w:pPr>
      <w:r>
        <w:rPr>
          <w:rFonts w:hint="eastAsia" w:ascii="仿宋" w:hAnsi="仿宋" w:eastAsia="仿宋"/>
          <w:sz w:val="28"/>
          <w:szCs w:val="28"/>
          <w:highlight w:val="none"/>
        </w:rPr>
        <w:t xml:space="preserve">4.2 </w:t>
      </w:r>
      <w:r>
        <w:rPr>
          <w:rFonts w:hint="eastAsia" w:ascii="仿宋" w:hAnsi="仿宋" w:eastAsia="仿宋"/>
          <w:bCs/>
          <w:sz w:val="28"/>
          <w:szCs w:val="28"/>
          <w:highlight w:val="none"/>
        </w:rPr>
        <w:t>供应商应当按照采购文件和“苏采云”系统的要求编制并加密响应文件。</w:t>
      </w:r>
    </w:p>
    <w:p w14:paraId="4C9C82F4">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ascii="仿宋" w:hAnsi="仿宋" w:eastAsia="仿宋"/>
          <w:bCs/>
          <w:sz w:val="28"/>
          <w:szCs w:val="28"/>
          <w:highlight w:val="none"/>
        </w:rPr>
      </w:pPr>
      <w:r>
        <w:rPr>
          <w:rFonts w:hint="eastAsia" w:ascii="仿宋" w:hAnsi="仿宋" w:eastAsia="仿宋"/>
          <w:bCs/>
          <w:sz w:val="28"/>
          <w:szCs w:val="28"/>
          <w:highlight w:val="none"/>
        </w:rPr>
        <w:t>4.3 供应商应当对采购文件提出的实质性要求和条件作出实质性响应，并在电子投标系统逐条应答。</w:t>
      </w:r>
    </w:p>
    <w:p w14:paraId="643A6F50">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ascii="仿宋" w:hAnsi="仿宋" w:eastAsia="仿宋"/>
          <w:bCs/>
          <w:sz w:val="28"/>
          <w:szCs w:val="28"/>
          <w:highlight w:val="none"/>
        </w:rPr>
      </w:pPr>
      <w:r>
        <w:rPr>
          <w:rFonts w:hint="eastAsia" w:ascii="仿宋" w:hAnsi="仿宋" w:eastAsia="仿宋"/>
          <w:bCs/>
          <w:sz w:val="28"/>
          <w:szCs w:val="28"/>
          <w:highlight w:val="none"/>
        </w:rPr>
        <w:t>4.4 供应商应对要求提供的资格证明文件（如资质证书、资格证书）、技术资料（如白皮书、彩页、手册、检测报告等）扫描上传至投标系统。</w:t>
      </w:r>
    </w:p>
    <w:p w14:paraId="7E207C11">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ascii="仿宋" w:hAnsi="仿宋" w:eastAsia="仿宋"/>
          <w:sz w:val="28"/>
          <w:szCs w:val="28"/>
          <w:highlight w:val="none"/>
        </w:rPr>
      </w:pPr>
      <w:r>
        <w:rPr>
          <w:rFonts w:hint="eastAsia" w:ascii="仿宋" w:hAnsi="仿宋" w:eastAsia="仿宋"/>
          <w:bCs/>
          <w:sz w:val="28"/>
          <w:szCs w:val="28"/>
          <w:highlight w:val="none"/>
        </w:rPr>
        <w:t>4.5 供应商须通过“苏采云”系统提供的政府采购客户端工具（使用“CA数字证书”）加盖电子签章，并对电子响应文件加密。未按规定加密的响应文件，“苏采云”系统拒收并提示。</w:t>
      </w:r>
    </w:p>
    <w:p w14:paraId="1AF40833">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ascii="仿宋" w:hAnsi="仿宋" w:eastAsia="仿宋"/>
          <w:bCs/>
          <w:sz w:val="28"/>
          <w:szCs w:val="28"/>
          <w:highlight w:val="none"/>
        </w:rPr>
      </w:pPr>
      <w:r>
        <w:rPr>
          <w:rFonts w:hint="eastAsia" w:ascii="仿宋" w:hAnsi="仿宋" w:eastAsia="仿宋"/>
          <w:bCs/>
          <w:sz w:val="28"/>
          <w:szCs w:val="28"/>
          <w:highlight w:val="none"/>
        </w:rPr>
        <w:t>4.6 供应商应当在响应文件提交截止时间前，通过“苏采云”系统提交电子响应文件。逾期提交的响应文件，“苏采云”系统将自动拒收。供应商应充分考虑到网络环境、网络带宽等风险因素，如因供应商自身原因造成的电子响应文件上传不成功由供应商自行承担全部责任。</w:t>
      </w:r>
    </w:p>
    <w:p w14:paraId="7CCD6F8A">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ascii="仿宋" w:hAnsi="仿宋" w:eastAsia="仿宋"/>
          <w:bCs/>
          <w:sz w:val="28"/>
          <w:szCs w:val="28"/>
          <w:highlight w:val="none"/>
        </w:rPr>
      </w:pPr>
      <w:r>
        <w:rPr>
          <w:rFonts w:hint="eastAsia" w:ascii="仿宋" w:hAnsi="仿宋" w:eastAsia="仿宋"/>
          <w:bCs/>
          <w:sz w:val="28"/>
          <w:szCs w:val="28"/>
          <w:highlight w:val="none"/>
        </w:rPr>
        <w:t>4.7 供应商可在响应文件提交截止时间前，撤回其电子响应文件，具体操作方法见《</w:t>
      </w:r>
      <w:r>
        <w:rPr>
          <w:rFonts w:hint="eastAsia" w:ascii="仿宋" w:hAnsi="仿宋" w:eastAsia="仿宋"/>
          <w:sz w:val="28"/>
          <w:szCs w:val="28"/>
          <w:highlight w:val="none"/>
        </w:rPr>
        <w:t>江苏省政府采购管理交易系统（苏采云）</w:t>
      </w:r>
      <w:r>
        <w:rPr>
          <w:rFonts w:hint="eastAsia" w:ascii="仿宋" w:hAnsi="仿宋" w:eastAsia="仿宋"/>
          <w:sz w:val="28"/>
          <w:szCs w:val="28"/>
          <w:highlight w:val="none"/>
          <w:lang w:eastAsia="zh-CN"/>
        </w:rPr>
        <w:t>响应供应商</w:t>
      </w:r>
      <w:r>
        <w:rPr>
          <w:rFonts w:hint="eastAsia" w:ascii="仿宋" w:hAnsi="仿宋" w:eastAsia="仿宋"/>
          <w:sz w:val="28"/>
          <w:szCs w:val="28"/>
          <w:highlight w:val="none"/>
        </w:rPr>
        <w:t>操作手册</w:t>
      </w:r>
      <w:r>
        <w:rPr>
          <w:rFonts w:hint="eastAsia" w:ascii="仿宋" w:hAnsi="仿宋" w:eastAsia="仿宋"/>
          <w:bCs/>
          <w:sz w:val="28"/>
          <w:szCs w:val="28"/>
          <w:highlight w:val="none"/>
        </w:rPr>
        <w:t>》。供应商撤回电子响应文件的，则认为其不再参与本项目磋商活动。</w:t>
      </w:r>
    </w:p>
    <w:p w14:paraId="5D7E615F">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ascii="仿宋" w:hAnsi="仿宋" w:eastAsia="仿宋"/>
          <w:bCs/>
          <w:sz w:val="28"/>
          <w:szCs w:val="28"/>
          <w:highlight w:val="none"/>
        </w:rPr>
      </w:pPr>
      <w:r>
        <w:rPr>
          <w:rFonts w:hint="eastAsia" w:ascii="仿宋" w:hAnsi="仿宋" w:eastAsia="仿宋"/>
          <w:bCs/>
          <w:sz w:val="28"/>
          <w:szCs w:val="28"/>
          <w:highlight w:val="none"/>
        </w:rPr>
        <w:t>4.8供应商可在响应文件提交截止时间前，对其电子响应文件进行修改。在响应文件提交截止时间之后，供应商不得对其电子响应文件作任何修改。</w:t>
      </w:r>
    </w:p>
    <w:p w14:paraId="00650765">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ascii="仿宋" w:hAnsi="仿宋" w:eastAsia="仿宋"/>
          <w:bCs/>
          <w:sz w:val="28"/>
          <w:szCs w:val="28"/>
          <w:highlight w:val="none"/>
        </w:rPr>
      </w:pPr>
      <w:r>
        <w:rPr>
          <w:rFonts w:hint="eastAsia" w:ascii="仿宋" w:hAnsi="仿宋" w:eastAsia="仿宋"/>
          <w:bCs/>
          <w:sz w:val="28"/>
          <w:szCs w:val="28"/>
          <w:highlight w:val="none"/>
        </w:rPr>
        <w:t>4.9 采购代理机构可以通过修改磋商文件，酌情延长响应文件提交截止时间。</w:t>
      </w:r>
    </w:p>
    <w:p w14:paraId="3D7951D4">
      <w:pPr>
        <w:keepNext w:val="0"/>
        <w:keepLines w:val="0"/>
        <w:pageBreakBefore w:val="0"/>
        <w:widowControl w:val="0"/>
        <w:tabs>
          <w:tab w:val="left" w:pos="900"/>
        </w:tabs>
        <w:kinsoku/>
        <w:wordWrap/>
        <w:overflowPunct/>
        <w:topLinePunct w:val="0"/>
        <w:autoSpaceDE/>
        <w:autoSpaceDN/>
        <w:bidi w:val="0"/>
        <w:adjustRightInd/>
        <w:snapToGrid/>
        <w:spacing w:line="500" w:lineRule="exact"/>
        <w:ind w:left="0" w:leftChars="0" w:firstLine="560" w:firstLineChars="200"/>
        <w:textAlignment w:val="auto"/>
        <w:outlineLvl w:val="9"/>
        <w:rPr>
          <w:rFonts w:ascii="仿宋" w:hAnsi="仿宋" w:eastAsia="仿宋"/>
          <w:sz w:val="28"/>
          <w:szCs w:val="28"/>
          <w:highlight w:val="none"/>
        </w:rPr>
      </w:pPr>
      <w:r>
        <w:rPr>
          <w:rFonts w:hint="eastAsia" w:ascii="仿宋" w:hAnsi="仿宋" w:eastAsia="仿宋"/>
          <w:sz w:val="28"/>
          <w:szCs w:val="28"/>
          <w:highlight w:val="none"/>
        </w:rPr>
        <w:t>4.10 响应文件的有效期：从提交响应文件截止日起90天。</w:t>
      </w:r>
    </w:p>
    <w:p w14:paraId="24EFC885">
      <w:pPr>
        <w:keepNext w:val="0"/>
        <w:keepLines w:val="0"/>
        <w:pageBreakBefore w:val="0"/>
        <w:widowControl w:val="0"/>
        <w:tabs>
          <w:tab w:val="left" w:pos="900"/>
        </w:tabs>
        <w:kinsoku/>
        <w:wordWrap/>
        <w:overflowPunct/>
        <w:topLinePunct w:val="0"/>
        <w:autoSpaceDE/>
        <w:autoSpaceDN/>
        <w:bidi w:val="0"/>
        <w:adjustRightInd/>
        <w:snapToGrid/>
        <w:spacing w:line="500" w:lineRule="exact"/>
        <w:ind w:left="0" w:leftChars="0" w:firstLine="560" w:firstLineChars="200"/>
        <w:textAlignment w:val="auto"/>
        <w:outlineLvl w:val="1"/>
        <w:rPr>
          <w:rFonts w:ascii="仿宋" w:hAnsi="仿宋" w:eastAsia="仿宋"/>
          <w:sz w:val="28"/>
          <w:szCs w:val="28"/>
          <w:highlight w:val="none"/>
        </w:rPr>
      </w:pPr>
      <w:bookmarkStart w:id="48" w:name="_Toc21195"/>
      <w:r>
        <w:rPr>
          <w:rFonts w:hint="eastAsia" w:ascii="黑体" w:hAnsi="黑体" w:eastAsia="黑体"/>
          <w:sz w:val="28"/>
          <w:szCs w:val="28"/>
          <w:highlight w:val="none"/>
        </w:rPr>
        <w:t>5. 磋商</w:t>
      </w:r>
      <w:bookmarkEnd w:id="48"/>
    </w:p>
    <w:p w14:paraId="25524125">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ascii="仿宋" w:hAnsi="仿宋" w:eastAsia="仿宋"/>
          <w:sz w:val="28"/>
          <w:szCs w:val="28"/>
          <w:highlight w:val="none"/>
        </w:rPr>
      </w:pPr>
      <w:r>
        <w:rPr>
          <w:rFonts w:hint="eastAsia" w:ascii="仿宋" w:hAnsi="仿宋" w:eastAsia="仿宋"/>
          <w:sz w:val="28"/>
          <w:szCs w:val="28"/>
          <w:highlight w:val="none"/>
        </w:rPr>
        <w:t>5.1 采购人或者代理机构将在竞争性磋商公告中规定的时间和地点组织竞争性磋商活动。</w:t>
      </w:r>
    </w:p>
    <w:p w14:paraId="006911EA">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ascii="仿宋" w:hAnsi="仿宋" w:eastAsia="仿宋"/>
          <w:bCs/>
          <w:sz w:val="28"/>
          <w:szCs w:val="28"/>
          <w:highlight w:val="none"/>
        </w:rPr>
      </w:pPr>
      <w:r>
        <w:rPr>
          <w:rFonts w:hint="eastAsia" w:ascii="仿宋" w:hAnsi="仿宋" w:eastAsia="仿宋"/>
          <w:bCs/>
          <w:sz w:val="28"/>
          <w:szCs w:val="28"/>
          <w:highlight w:val="none"/>
        </w:rPr>
        <w:t>5.2竞争性磋商开始前，供应商使用CA数字证书登录“苏采云”系统，并根据开标会议区发出响应文件解密的指令，在30分钟之内使用CA数字证书解密各自响应文件。</w:t>
      </w:r>
    </w:p>
    <w:p w14:paraId="03D47B9A">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ascii="仿宋" w:hAnsi="仿宋" w:eastAsia="仿宋"/>
          <w:bCs/>
          <w:sz w:val="28"/>
          <w:szCs w:val="28"/>
          <w:highlight w:val="none"/>
        </w:rPr>
      </w:pPr>
      <w:r>
        <w:rPr>
          <w:rFonts w:hint="eastAsia" w:ascii="仿宋" w:hAnsi="仿宋" w:eastAsia="仿宋"/>
          <w:bCs/>
          <w:sz w:val="28"/>
          <w:szCs w:val="28"/>
          <w:highlight w:val="none"/>
        </w:rPr>
        <w:t>5.3响应供应商因网络与电源不稳定、未按操作手册要求配置软硬件、解密锁发生故障或用错、故意不在要求时限内完成解密等自身原因，导致响应文件在规定时间内未能解密、解密失败或解密超时，视为响应供应商撤销其响应文件，系统内响应文件将被退回。</w:t>
      </w:r>
    </w:p>
    <w:p w14:paraId="4956A367">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ascii="仿宋" w:hAnsi="仿宋" w:eastAsia="仿宋"/>
          <w:sz w:val="28"/>
          <w:szCs w:val="28"/>
          <w:highlight w:val="none"/>
        </w:rPr>
      </w:pPr>
      <w:r>
        <w:rPr>
          <w:rFonts w:hint="eastAsia" w:ascii="仿宋" w:hAnsi="仿宋" w:eastAsia="仿宋"/>
          <w:bCs/>
          <w:sz w:val="28"/>
          <w:szCs w:val="28"/>
          <w:highlight w:val="none"/>
        </w:rPr>
        <w:t>5.4因采购人原因或网上招投标平台发生故障，导致无法按时完成响应文件解密或评审工作无法进行的，可根据实际情况相应延迟解密时间或调整评审时间。</w:t>
      </w:r>
    </w:p>
    <w:p w14:paraId="09D8187C">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ascii="仿宋" w:hAnsi="仿宋" w:eastAsia="仿宋"/>
          <w:sz w:val="28"/>
          <w:szCs w:val="28"/>
          <w:highlight w:val="none"/>
        </w:rPr>
      </w:pPr>
      <w:r>
        <w:rPr>
          <w:rFonts w:hint="eastAsia" w:ascii="仿宋" w:hAnsi="仿宋" w:eastAsia="仿宋"/>
          <w:sz w:val="28"/>
          <w:szCs w:val="28"/>
          <w:highlight w:val="none"/>
        </w:rPr>
        <w:t>5.5 磋商小组由政府采购评审专家、采购人代表组成。评审专家不得以评审专家身份参加本部门或本单位采购项目的评审。达到公开招标限额标准的项目，磋商小组应当由</w:t>
      </w:r>
      <w:r>
        <w:rPr>
          <w:rFonts w:hint="eastAsia" w:ascii="仿宋" w:hAnsi="仿宋" w:eastAsia="仿宋"/>
          <w:sz w:val="28"/>
          <w:szCs w:val="28"/>
          <w:highlight w:val="none"/>
          <w:lang w:val="en-US" w:eastAsia="zh-CN"/>
        </w:rPr>
        <w:t>5</w:t>
      </w:r>
      <w:r>
        <w:rPr>
          <w:rFonts w:hint="eastAsia" w:ascii="仿宋" w:hAnsi="仿宋" w:eastAsia="仿宋"/>
          <w:sz w:val="28"/>
          <w:szCs w:val="28"/>
          <w:highlight w:val="none"/>
        </w:rPr>
        <w:t>人以上单数组成。</w:t>
      </w:r>
    </w:p>
    <w:p w14:paraId="209A8404">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ascii="仿宋" w:hAnsi="仿宋" w:eastAsia="仿宋"/>
          <w:sz w:val="28"/>
          <w:szCs w:val="28"/>
          <w:highlight w:val="none"/>
        </w:rPr>
      </w:pPr>
      <w:r>
        <w:rPr>
          <w:rFonts w:hint="eastAsia" w:ascii="仿宋" w:hAnsi="仿宋" w:eastAsia="仿宋"/>
          <w:sz w:val="28"/>
          <w:szCs w:val="28"/>
          <w:highlight w:val="none"/>
        </w:rPr>
        <w:t>5.6 磋商小组对响应文件的有效性、完整性和响应程度进行审查。磋商小组在审查分为资格审查、符合性审查和综合评审。响应供应商未通过资格审查、符合性审查的，告知其具体原因。</w:t>
      </w:r>
    </w:p>
    <w:p w14:paraId="447D3679">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ascii="仿宋" w:hAnsi="仿宋" w:eastAsia="仿宋"/>
          <w:sz w:val="28"/>
          <w:szCs w:val="28"/>
          <w:highlight w:val="none"/>
        </w:rPr>
      </w:pPr>
      <w:r>
        <w:rPr>
          <w:rFonts w:hint="eastAsia" w:ascii="仿宋" w:hAnsi="仿宋" w:eastAsia="仿宋"/>
          <w:sz w:val="28"/>
          <w:szCs w:val="28"/>
          <w:highlight w:val="none"/>
        </w:rPr>
        <w:t>5.7 磋商小组审查时，可以通过视频会议，要求供应商对响应文件中含义不明确、同类问题表述不一致或者有明显文字和计算错误的内容等作出必要的澄清、说明或者更正。</w:t>
      </w:r>
    </w:p>
    <w:p w14:paraId="75522354">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ascii="仿宋" w:hAnsi="仿宋" w:eastAsia="仿宋"/>
          <w:sz w:val="28"/>
          <w:szCs w:val="28"/>
          <w:highlight w:val="none"/>
        </w:rPr>
      </w:pPr>
      <w:r>
        <w:rPr>
          <w:rFonts w:hint="eastAsia" w:ascii="仿宋" w:hAnsi="仿宋" w:eastAsia="仿宋"/>
          <w:sz w:val="28"/>
          <w:szCs w:val="28"/>
          <w:highlight w:val="none"/>
        </w:rPr>
        <w:t xml:space="preserve">5.8 </w:t>
      </w:r>
      <w:r>
        <w:rPr>
          <w:rFonts w:hint="eastAsia" w:ascii="仿宋" w:hAnsi="仿宋" w:eastAsia="仿宋"/>
          <w:bCs/>
          <w:sz w:val="28"/>
          <w:szCs w:val="28"/>
          <w:highlight w:val="none"/>
        </w:rPr>
        <w:t>接到澄清要求的供应商，应在磋商小组规定的时间内做出澄清，澄清的内容作为响应文件的补充部分，</w:t>
      </w:r>
      <w:r>
        <w:rPr>
          <w:rFonts w:hint="eastAsia" w:ascii="仿宋" w:hAnsi="仿宋" w:eastAsia="仿宋"/>
          <w:sz w:val="28"/>
          <w:szCs w:val="28"/>
          <w:highlight w:val="none"/>
        </w:rPr>
        <w:t>但澄清、说明或者更正不得超出响应文件的范围或者改变响应文件的实质性内容。</w:t>
      </w:r>
    </w:p>
    <w:p w14:paraId="44FAF8FA">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ascii="仿宋" w:hAnsi="仿宋" w:eastAsia="仿宋"/>
          <w:sz w:val="28"/>
          <w:szCs w:val="28"/>
          <w:highlight w:val="none"/>
        </w:rPr>
      </w:pPr>
      <w:r>
        <w:rPr>
          <w:rFonts w:hint="eastAsia" w:ascii="仿宋" w:hAnsi="仿宋" w:eastAsia="仿宋"/>
          <w:sz w:val="28"/>
          <w:szCs w:val="28"/>
          <w:highlight w:val="none"/>
        </w:rPr>
        <w:t xml:space="preserve">5.9 </w:t>
      </w:r>
      <w:r>
        <w:rPr>
          <w:rFonts w:hint="eastAsia" w:ascii="仿宋" w:hAnsi="仿宋" w:eastAsia="仿宋"/>
          <w:bCs/>
          <w:sz w:val="28"/>
          <w:szCs w:val="28"/>
          <w:highlight w:val="none"/>
        </w:rPr>
        <w:t>供应商在评审全过程中应保持通讯畅通，并安排专人与采购人或采购代理机构及磋商小组联系</w:t>
      </w:r>
      <w:r>
        <w:rPr>
          <w:rFonts w:ascii="仿宋" w:hAnsi="仿宋" w:eastAsia="仿宋"/>
          <w:sz w:val="28"/>
          <w:szCs w:val="28"/>
          <w:highlight w:val="none"/>
        </w:rPr>
        <w:t>。</w:t>
      </w:r>
    </w:p>
    <w:p w14:paraId="3B784546">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ascii="仿宋" w:hAnsi="仿宋" w:eastAsia="仿宋"/>
          <w:sz w:val="28"/>
          <w:szCs w:val="28"/>
          <w:highlight w:val="none"/>
        </w:rPr>
      </w:pPr>
      <w:r>
        <w:rPr>
          <w:rFonts w:hint="eastAsia" w:ascii="仿宋" w:hAnsi="仿宋" w:eastAsia="仿宋"/>
          <w:sz w:val="28"/>
          <w:szCs w:val="28"/>
          <w:highlight w:val="none"/>
        </w:rPr>
        <w:t>5.10各响应供应商请关注开标大厅交流区，响应文件解密结束后，请勿离开开标大厅。在资格审查、符合性审查和综合评审结束后，根据采购人或采购代理机构通知，须在20分钟内填写并提交最后报价。未在规定时间内提交最后报价的，视为退出磋商。</w:t>
      </w:r>
    </w:p>
    <w:p w14:paraId="5F5D2201">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ascii="仿宋" w:hAnsi="仿宋" w:eastAsia="仿宋"/>
          <w:sz w:val="28"/>
          <w:szCs w:val="28"/>
          <w:highlight w:val="none"/>
        </w:rPr>
      </w:pPr>
      <w:r>
        <w:rPr>
          <w:rFonts w:hint="eastAsia" w:ascii="仿宋" w:hAnsi="仿宋" w:eastAsia="仿宋"/>
          <w:sz w:val="28"/>
          <w:szCs w:val="28"/>
          <w:highlight w:val="none"/>
        </w:rPr>
        <w:t>5.11在磋商过程中，磋商小组可以根据磋商文件和磋商情况实质性变动采购需求中的技术、服务要求以及合同草案条款。对磋商文件作出的实质性变动是磋商文件的有效组成部分，磋商小组及时以书面形式通知所有参加磋商的供应商。供应商应当按照磋商文件的变动情况和磋商小组的要求重新提交响应文件。</w:t>
      </w:r>
    </w:p>
    <w:p w14:paraId="473AF0D2">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ascii="仿宋" w:hAnsi="仿宋" w:eastAsia="仿宋"/>
          <w:sz w:val="28"/>
          <w:szCs w:val="28"/>
          <w:highlight w:val="none"/>
        </w:rPr>
      </w:pPr>
      <w:r>
        <w:rPr>
          <w:rFonts w:hint="eastAsia" w:ascii="仿宋" w:hAnsi="仿宋" w:eastAsia="仿宋"/>
          <w:sz w:val="28"/>
          <w:szCs w:val="28"/>
          <w:highlight w:val="none"/>
        </w:rPr>
        <w:t>5.12需经磋商由供应商提供最终设计方案或解决方案的，磋商结束后，磋商小组按照少数服从多数的原则投票推荐3家以上供应商的设计方案或者解决方案，并要求其在规定时间内提交最后报价。</w:t>
      </w:r>
    </w:p>
    <w:p w14:paraId="337988F7">
      <w:pPr>
        <w:keepNext w:val="0"/>
        <w:keepLines w:val="0"/>
        <w:pageBreakBefore w:val="0"/>
        <w:widowControl w:val="0"/>
        <w:kinsoku/>
        <w:wordWrap/>
        <w:overflowPunct/>
        <w:topLinePunct w:val="0"/>
        <w:autoSpaceDE/>
        <w:autoSpaceDN/>
        <w:bidi w:val="0"/>
        <w:adjustRightInd/>
        <w:snapToGrid/>
        <w:spacing w:line="500" w:lineRule="exact"/>
        <w:ind w:left="0" w:leftChars="0" w:firstLine="562" w:firstLineChars="200"/>
        <w:textAlignment w:val="auto"/>
        <w:rPr>
          <w:rFonts w:hint="eastAsia" w:ascii="仿宋" w:hAnsi="仿宋" w:eastAsia="仿宋"/>
          <w:b/>
          <w:sz w:val="28"/>
          <w:szCs w:val="28"/>
          <w:highlight w:val="none"/>
        </w:rPr>
      </w:pPr>
      <w:r>
        <w:rPr>
          <w:rFonts w:hint="eastAsia" w:ascii="仿宋" w:hAnsi="仿宋" w:eastAsia="仿宋"/>
          <w:b/>
          <w:sz w:val="28"/>
          <w:szCs w:val="28"/>
          <w:highlight w:val="none"/>
        </w:rPr>
        <w:t>5.13在通过资格审查、符合性审查的供应商中，有多家供应商提供相同品牌的产品或者核心产品的，按一家响应供应商计算，评审后得分最高的供应商获得</w:t>
      </w:r>
      <w:r>
        <w:rPr>
          <w:rFonts w:hint="eastAsia" w:ascii="仿宋" w:hAnsi="仿宋" w:eastAsia="仿宋"/>
          <w:b/>
          <w:sz w:val="28"/>
          <w:szCs w:val="28"/>
          <w:highlight w:val="none"/>
          <w:lang w:eastAsia="zh-CN"/>
        </w:rPr>
        <w:t>成交供应商</w:t>
      </w:r>
      <w:r>
        <w:rPr>
          <w:rFonts w:hint="eastAsia" w:ascii="仿宋" w:hAnsi="仿宋" w:eastAsia="仿宋"/>
          <w:b/>
          <w:sz w:val="28"/>
          <w:szCs w:val="28"/>
          <w:highlight w:val="none"/>
        </w:rPr>
        <w:t>推荐资格；评审得分相同的，报价最低的供应商获得</w:t>
      </w:r>
      <w:r>
        <w:rPr>
          <w:rFonts w:hint="eastAsia" w:ascii="仿宋" w:hAnsi="仿宋" w:eastAsia="仿宋"/>
          <w:b/>
          <w:sz w:val="28"/>
          <w:szCs w:val="28"/>
          <w:highlight w:val="none"/>
          <w:lang w:eastAsia="zh-CN"/>
        </w:rPr>
        <w:t>成交供应商</w:t>
      </w:r>
      <w:r>
        <w:rPr>
          <w:rFonts w:hint="eastAsia" w:ascii="仿宋" w:hAnsi="仿宋" w:eastAsia="仿宋"/>
          <w:b/>
          <w:sz w:val="28"/>
          <w:szCs w:val="28"/>
          <w:highlight w:val="none"/>
        </w:rPr>
        <w:t>推荐资格，报价相同的，采取随机抽取方式确定，其他同品牌供应商不得作为成交候选人。</w:t>
      </w:r>
    </w:p>
    <w:p w14:paraId="22EA57D0">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hint="eastAsia" w:ascii="仿宋" w:hAnsi="仿宋" w:eastAsia="仿宋"/>
          <w:sz w:val="28"/>
          <w:szCs w:val="28"/>
          <w:highlight w:val="none"/>
        </w:rPr>
      </w:pPr>
      <w:r>
        <w:rPr>
          <w:rFonts w:hint="eastAsia" w:ascii="仿宋" w:hAnsi="仿宋" w:eastAsia="仿宋"/>
          <w:sz w:val="28"/>
          <w:szCs w:val="28"/>
          <w:highlight w:val="none"/>
        </w:rPr>
        <w:t>5.14 有下列情形之一的，视为供应商串通，其响应无效：</w:t>
      </w:r>
    </w:p>
    <w:p w14:paraId="428A165B">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hint="eastAsia" w:ascii="仿宋" w:hAnsi="仿宋" w:eastAsia="仿宋"/>
          <w:sz w:val="28"/>
          <w:szCs w:val="28"/>
          <w:highlight w:val="none"/>
        </w:rPr>
      </w:pPr>
      <w:r>
        <w:rPr>
          <w:rFonts w:hint="eastAsia" w:ascii="仿宋" w:hAnsi="仿宋" w:eastAsia="仿宋"/>
          <w:sz w:val="28"/>
          <w:szCs w:val="28"/>
          <w:highlight w:val="none"/>
        </w:rPr>
        <w:t>5.14.1不同供应商的响应文件由同一单位或者个人编制；</w:t>
      </w:r>
    </w:p>
    <w:p w14:paraId="69A4D322">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hint="eastAsia" w:ascii="仿宋" w:hAnsi="仿宋" w:eastAsia="仿宋"/>
          <w:sz w:val="28"/>
          <w:szCs w:val="28"/>
          <w:highlight w:val="none"/>
        </w:rPr>
      </w:pPr>
      <w:r>
        <w:rPr>
          <w:rFonts w:hint="eastAsia" w:ascii="仿宋" w:hAnsi="仿宋" w:eastAsia="仿宋"/>
          <w:sz w:val="28"/>
          <w:szCs w:val="28"/>
          <w:highlight w:val="none"/>
        </w:rPr>
        <w:t>5.14.2不同供应商的电子响应文件由同一台电子设备编制、打包、加密或者上传；</w:t>
      </w:r>
    </w:p>
    <w:p w14:paraId="7CB1DC17">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hint="eastAsia" w:ascii="仿宋" w:hAnsi="仿宋" w:eastAsia="仿宋"/>
          <w:sz w:val="28"/>
          <w:szCs w:val="28"/>
          <w:highlight w:val="none"/>
        </w:rPr>
      </w:pPr>
      <w:r>
        <w:rPr>
          <w:rFonts w:hint="eastAsia" w:ascii="仿宋" w:hAnsi="仿宋" w:eastAsia="仿宋"/>
          <w:sz w:val="28"/>
          <w:szCs w:val="28"/>
          <w:highlight w:val="none"/>
        </w:rPr>
        <w:t>5.14.3 不同供应商的响应文件由同一供应商的电子设备打印、复印；</w:t>
      </w:r>
    </w:p>
    <w:p w14:paraId="48DB0C83">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hint="eastAsia" w:ascii="仿宋" w:hAnsi="仿宋" w:eastAsia="仿宋"/>
          <w:sz w:val="28"/>
          <w:szCs w:val="28"/>
          <w:highlight w:val="none"/>
        </w:rPr>
      </w:pPr>
      <w:r>
        <w:rPr>
          <w:rFonts w:hint="eastAsia" w:ascii="仿宋" w:hAnsi="仿宋" w:eastAsia="仿宋"/>
          <w:sz w:val="28"/>
          <w:szCs w:val="28"/>
          <w:highlight w:val="none"/>
        </w:rPr>
        <w:t>5.14.4不同供应商的响应报价用同一个预算编制软件密码锁制作或者出自同一供应商的电子文档；</w:t>
      </w:r>
    </w:p>
    <w:p w14:paraId="5C64821F">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hint="eastAsia" w:ascii="仿宋" w:hAnsi="仿宋" w:eastAsia="仿宋"/>
          <w:sz w:val="28"/>
          <w:szCs w:val="28"/>
          <w:highlight w:val="none"/>
        </w:rPr>
      </w:pPr>
      <w:r>
        <w:rPr>
          <w:rFonts w:hint="eastAsia" w:ascii="仿宋" w:hAnsi="仿宋" w:eastAsia="仿宋"/>
          <w:sz w:val="28"/>
          <w:szCs w:val="28"/>
          <w:highlight w:val="none"/>
        </w:rPr>
        <w:t>5.14.5不同供应商从同一个单位或者同一个自然人的互联网协议地址下载竞争性磋商文件、上传响应文件；</w:t>
      </w:r>
    </w:p>
    <w:p w14:paraId="5D0C2524">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hint="eastAsia" w:ascii="仿宋" w:hAnsi="仿宋" w:eastAsia="仿宋"/>
          <w:sz w:val="28"/>
          <w:szCs w:val="28"/>
          <w:highlight w:val="none"/>
        </w:rPr>
      </w:pPr>
      <w:r>
        <w:rPr>
          <w:rFonts w:hint="eastAsia" w:ascii="仿宋" w:hAnsi="仿宋" w:eastAsia="仿宋"/>
          <w:sz w:val="28"/>
          <w:szCs w:val="28"/>
          <w:highlight w:val="none"/>
        </w:rPr>
        <w:t>5.14.6 不同供应商的响应文件异常一致或者响应报价呈规律性差异；</w:t>
      </w:r>
    </w:p>
    <w:p w14:paraId="7CBE2F39">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hint="eastAsia" w:ascii="仿宋" w:hAnsi="仿宋" w:eastAsia="仿宋"/>
          <w:sz w:val="28"/>
          <w:szCs w:val="28"/>
          <w:highlight w:val="none"/>
        </w:rPr>
      </w:pPr>
      <w:r>
        <w:rPr>
          <w:rFonts w:hint="eastAsia" w:ascii="仿宋" w:hAnsi="仿宋" w:eastAsia="仿宋"/>
          <w:sz w:val="28"/>
          <w:szCs w:val="28"/>
          <w:highlight w:val="none"/>
        </w:rPr>
        <w:t>5.14.7 不同供应商委托同一单位或者个人办理磋商事宜；</w:t>
      </w:r>
    </w:p>
    <w:p w14:paraId="45F0F4F0">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hint="eastAsia" w:ascii="仿宋" w:hAnsi="仿宋" w:eastAsia="仿宋"/>
          <w:sz w:val="28"/>
          <w:szCs w:val="28"/>
          <w:highlight w:val="none"/>
        </w:rPr>
      </w:pPr>
      <w:r>
        <w:rPr>
          <w:rFonts w:hint="eastAsia" w:ascii="仿宋" w:hAnsi="仿宋" w:eastAsia="仿宋"/>
          <w:sz w:val="28"/>
          <w:szCs w:val="28"/>
          <w:highlight w:val="none"/>
        </w:rPr>
        <w:t>5.14.8不同供应商的响应文件载明的项目管理成员或者联系人员为同一人；</w:t>
      </w:r>
    </w:p>
    <w:p w14:paraId="1EDF6A39">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hint="eastAsia" w:ascii="仿宋" w:hAnsi="仿宋" w:eastAsia="仿宋"/>
          <w:sz w:val="28"/>
          <w:szCs w:val="28"/>
          <w:highlight w:val="none"/>
        </w:rPr>
      </w:pPr>
      <w:r>
        <w:rPr>
          <w:rFonts w:hint="eastAsia" w:ascii="仿宋" w:hAnsi="仿宋" w:eastAsia="仿宋"/>
          <w:sz w:val="28"/>
          <w:szCs w:val="28"/>
          <w:highlight w:val="none"/>
        </w:rPr>
        <w:t>5.14.9不同供应商的磋商保证金虽然经由供应商自己的基本账户转出，但所需资金来自同一单位或者个人的账户。</w:t>
      </w:r>
    </w:p>
    <w:p w14:paraId="73AB4C33">
      <w:pPr>
        <w:spacing w:line="500" w:lineRule="exact"/>
        <w:ind w:firstLine="560" w:firstLineChars="200"/>
        <w:rPr>
          <w:rFonts w:ascii="仿宋" w:hAnsi="仿宋" w:eastAsia="仿宋"/>
          <w:sz w:val="28"/>
          <w:szCs w:val="28"/>
          <w:highlight w:val="none"/>
        </w:rPr>
      </w:pPr>
      <w:r>
        <w:rPr>
          <w:rFonts w:hint="eastAsia" w:ascii="仿宋" w:hAnsi="仿宋" w:eastAsia="仿宋"/>
          <w:sz w:val="28"/>
          <w:szCs w:val="28"/>
          <w:highlight w:val="none"/>
        </w:rPr>
        <w:t xml:space="preserve">5.15出现下列情形之一的，磋商小组应当启动异常低价响应审查程序： </w:t>
      </w:r>
    </w:p>
    <w:p w14:paraId="68CFF33D">
      <w:pPr>
        <w:spacing w:line="500" w:lineRule="exact"/>
        <w:ind w:firstLine="560" w:firstLineChars="200"/>
        <w:rPr>
          <w:rFonts w:ascii="仿宋" w:hAnsi="仿宋" w:eastAsia="仿宋"/>
          <w:sz w:val="28"/>
          <w:szCs w:val="28"/>
          <w:highlight w:val="none"/>
        </w:rPr>
      </w:pPr>
      <w:r>
        <w:rPr>
          <w:rFonts w:hint="eastAsia" w:ascii="仿宋" w:hAnsi="仿宋" w:eastAsia="仿宋"/>
          <w:sz w:val="28"/>
          <w:szCs w:val="28"/>
          <w:highlight w:val="none"/>
        </w:rPr>
        <w:t>5.15.1.响应报价低于全部通过符合性审查供应商响应报价平均值50%的，即响应报价&lt;全部通过符合性审查供应商响应报价平均值×50%；</w:t>
      </w:r>
    </w:p>
    <w:p w14:paraId="5B001F64">
      <w:pPr>
        <w:spacing w:line="500" w:lineRule="exact"/>
        <w:ind w:firstLine="560" w:firstLineChars="200"/>
        <w:rPr>
          <w:rFonts w:ascii="仿宋" w:hAnsi="仿宋" w:eastAsia="仿宋"/>
          <w:sz w:val="28"/>
          <w:szCs w:val="28"/>
          <w:highlight w:val="none"/>
        </w:rPr>
      </w:pPr>
      <w:r>
        <w:rPr>
          <w:rFonts w:hint="eastAsia" w:ascii="仿宋" w:hAnsi="仿宋" w:eastAsia="仿宋"/>
          <w:sz w:val="28"/>
          <w:szCs w:val="28"/>
          <w:highlight w:val="none"/>
        </w:rPr>
        <w:t>5.15.2.响应报价低于通过符合性审查的次低报价供应商响应报价50%的，即响应报价&lt;通过符合性审查的次低报价供应商响应报价×50%；</w:t>
      </w:r>
    </w:p>
    <w:p w14:paraId="61F6C8CD">
      <w:pPr>
        <w:spacing w:line="500" w:lineRule="exact"/>
        <w:ind w:firstLine="560" w:firstLineChars="200"/>
        <w:rPr>
          <w:rFonts w:ascii="仿宋" w:hAnsi="仿宋" w:eastAsia="仿宋"/>
          <w:sz w:val="28"/>
          <w:szCs w:val="28"/>
          <w:highlight w:val="none"/>
        </w:rPr>
      </w:pPr>
      <w:r>
        <w:rPr>
          <w:rFonts w:hint="eastAsia" w:ascii="仿宋" w:hAnsi="仿宋" w:eastAsia="仿宋"/>
          <w:sz w:val="28"/>
          <w:szCs w:val="28"/>
          <w:highlight w:val="none"/>
        </w:rPr>
        <w:t>5.15.3.响应报价低于采购项目最高限价45%的，即响应报价&lt;采购项目最高限价×45%；</w:t>
      </w:r>
    </w:p>
    <w:p w14:paraId="216C50D0">
      <w:pPr>
        <w:spacing w:line="500" w:lineRule="exact"/>
        <w:ind w:firstLine="560" w:firstLineChars="200"/>
        <w:rPr>
          <w:rFonts w:ascii="仿宋" w:hAnsi="仿宋" w:eastAsia="仿宋"/>
          <w:sz w:val="28"/>
          <w:szCs w:val="28"/>
          <w:highlight w:val="none"/>
        </w:rPr>
      </w:pPr>
      <w:r>
        <w:rPr>
          <w:rFonts w:hint="eastAsia" w:ascii="仿宋" w:hAnsi="仿宋" w:eastAsia="仿宋"/>
          <w:sz w:val="28"/>
          <w:szCs w:val="28"/>
          <w:highlight w:val="none"/>
        </w:rPr>
        <w:t>5.15.4.磋商小组基于专业判断，认为供应商报价过低，有可能影响产品质量或者不能诚信履约的其他情形。</w:t>
      </w:r>
    </w:p>
    <w:p w14:paraId="2AC2E81A">
      <w:pPr>
        <w:spacing w:line="500" w:lineRule="exact"/>
        <w:ind w:firstLine="560" w:firstLineChars="200"/>
        <w:rPr>
          <w:rFonts w:ascii="仿宋" w:hAnsi="仿宋" w:eastAsia="仿宋"/>
          <w:sz w:val="28"/>
          <w:szCs w:val="28"/>
          <w:highlight w:val="none"/>
        </w:rPr>
      </w:pPr>
      <w:r>
        <w:rPr>
          <w:rFonts w:hint="eastAsia" w:ascii="仿宋" w:hAnsi="仿宋" w:eastAsia="仿宋"/>
          <w:sz w:val="28"/>
          <w:szCs w:val="28"/>
          <w:highlight w:val="none"/>
        </w:rPr>
        <w:t>磋商小组应当要求相关供应商在评审现场不少于30分钟时间内对响应价格作出解释，提供项目具体成本测算等与报价合理性相关的书面说明及必要的证明材料，包括但不限于原材料成本、人工成本、制造费用等。</w:t>
      </w:r>
    </w:p>
    <w:p w14:paraId="5E866F53">
      <w:pPr>
        <w:spacing w:line="500" w:lineRule="exact"/>
        <w:ind w:firstLine="560" w:firstLineChars="200"/>
        <w:rPr>
          <w:rFonts w:hint="eastAsia" w:ascii="仿宋" w:hAnsi="仿宋" w:eastAsia="仿宋"/>
          <w:sz w:val="28"/>
          <w:szCs w:val="28"/>
          <w:highlight w:val="none"/>
        </w:rPr>
      </w:pPr>
      <w:r>
        <w:rPr>
          <w:rFonts w:hint="eastAsia" w:ascii="仿宋" w:hAnsi="仿宋" w:eastAsia="仿宋"/>
          <w:sz w:val="28"/>
          <w:szCs w:val="28"/>
          <w:highlight w:val="none"/>
        </w:rPr>
        <w:t>磋商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p>
    <w:p w14:paraId="7FDCD465">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outlineLvl w:val="1"/>
        <w:rPr>
          <w:rFonts w:ascii="黑体" w:hAnsi="黑体" w:eastAsia="黑体"/>
          <w:bCs/>
          <w:sz w:val="28"/>
          <w:szCs w:val="28"/>
          <w:highlight w:val="none"/>
        </w:rPr>
      </w:pPr>
      <w:bookmarkStart w:id="49" w:name="_Toc18955"/>
      <w:r>
        <w:rPr>
          <w:rFonts w:hint="eastAsia" w:ascii="黑体" w:hAnsi="黑体" w:eastAsia="黑体"/>
          <w:bCs/>
          <w:sz w:val="28"/>
          <w:szCs w:val="28"/>
          <w:highlight w:val="none"/>
        </w:rPr>
        <w:t>6.成交和合同</w:t>
      </w:r>
      <w:bookmarkEnd w:id="49"/>
    </w:p>
    <w:p w14:paraId="14F98637">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ascii="仿宋" w:hAnsi="仿宋" w:eastAsia="仿宋"/>
          <w:sz w:val="28"/>
          <w:szCs w:val="28"/>
          <w:highlight w:val="none"/>
        </w:rPr>
      </w:pPr>
      <w:r>
        <w:rPr>
          <w:rFonts w:hint="eastAsia" w:ascii="仿宋" w:hAnsi="仿宋" w:eastAsia="仿宋"/>
          <w:sz w:val="28"/>
          <w:szCs w:val="28"/>
          <w:highlight w:val="none"/>
        </w:rPr>
        <w:t>6.1 磋商小组应当根据综合评分情况，按照评审得分由高到低顺序推荐3名以上成交候选供应商。对于市场竞争不充分的科研项目、需要扶持的科技成果转化项目以及政府购买服务项目，可以推荐2家成交候选供应商。评审得分相同的，按照最后报价由低到高的顺序推荐。评审得分且最后报价相同的，按照技术指标优劣顺序推荐。</w:t>
      </w:r>
    </w:p>
    <w:p w14:paraId="25C16665">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ascii="仿宋" w:hAnsi="仿宋" w:eastAsia="仿宋"/>
          <w:sz w:val="28"/>
          <w:szCs w:val="28"/>
          <w:highlight w:val="none"/>
        </w:rPr>
      </w:pPr>
      <w:r>
        <w:rPr>
          <w:rFonts w:hint="eastAsia" w:ascii="仿宋" w:hAnsi="仿宋" w:eastAsia="仿宋"/>
          <w:sz w:val="28"/>
          <w:szCs w:val="28"/>
          <w:highlight w:val="none"/>
        </w:rPr>
        <w:t>6.2 除资格性检查认定错误、分值汇总计算错误、分项评分超出评分标准范围、客观分评分不一致、或者经磋商小组一致认定评分畸高、畸低的情形外，采购人或者采购代理机构不得以任何理由组织重新评审。</w:t>
      </w:r>
    </w:p>
    <w:p w14:paraId="6E41F1F8">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ascii="仿宋" w:hAnsi="仿宋" w:eastAsia="仿宋"/>
          <w:sz w:val="28"/>
          <w:szCs w:val="28"/>
          <w:highlight w:val="none"/>
        </w:rPr>
      </w:pPr>
      <w:r>
        <w:rPr>
          <w:rFonts w:hint="eastAsia" w:ascii="仿宋" w:hAnsi="仿宋" w:eastAsia="仿宋"/>
          <w:sz w:val="28"/>
          <w:szCs w:val="28"/>
          <w:highlight w:val="none"/>
        </w:rPr>
        <w:t>6.3 采购人与成交供应商应当在成交通知书发出之日起30日内，按照采购文件确定的合同文本以及采购标的、规格型号、采购金额、采购数量、技术和服务要求等事项签订政府采购合同。</w:t>
      </w:r>
    </w:p>
    <w:p w14:paraId="41B4E069">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ascii="仿宋" w:hAnsi="仿宋" w:eastAsia="仿宋"/>
          <w:sz w:val="28"/>
          <w:szCs w:val="28"/>
          <w:highlight w:val="none"/>
        </w:rPr>
      </w:pPr>
      <w:r>
        <w:rPr>
          <w:rFonts w:hint="eastAsia" w:ascii="仿宋" w:hAnsi="仿宋" w:eastAsia="仿宋"/>
          <w:sz w:val="28"/>
          <w:szCs w:val="28"/>
          <w:highlight w:val="none"/>
        </w:rPr>
        <w:t>6.4 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p>
    <w:p w14:paraId="7F224654">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ascii="仿宋" w:hAnsi="仿宋" w:eastAsia="仿宋"/>
          <w:sz w:val="28"/>
          <w:szCs w:val="28"/>
          <w:highlight w:val="none"/>
        </w:rPr>
      </w:pPr>
      <w:r>
        <w:rPr>
          <w:rFonts w:hint="eastAsia" w:ascii="仿宋" w:hAnsi="仿宋" w:eastAsia="仿宋"/>
          <w:sz w:val="28"/>
          <w:szCs w:val="28"/>
          <w:highlight w:val="none"/>
        </w:rPr>
        <w:t>6.5 除不可抗力等因素外，成交通知书发出后，采购人改变成交结果，或者成交供应商拒绝签订政府采购合同的，应当承担相应的法律责任。拒绝签订政府采购合同的成交供应商不得参加对该项目重新开展的采购活动。</w:t>
      </w:r>
    </w:p>
    <w:p w14:paraId="25E8DB5F">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ascii="仿宋" w:hAnsi="仿宋" w:eastAsia="仿宋"/>
          <w:sz w:val="28"/>
          <w:szCs w:val="28"/>
          <w:highlight w:val="none"/>
        </w:rPr>
      </w:pPr>
      <w:r>
        <w:rPr>
          <w:rFonts w:hint="eastAsia" w:ascii="仿宋" w:hAnsi="仿宋" w:eastAsia="仿宋"/>
          <w:sz w:val="28"/>
          <w:szCs w:val="28"/>
          <w:highlight w:val="none"/>
        </w:rPr>
        <w:t>6.6采购人与成交供应商应当根据合同的约定依法履行合同义务。政府采购合同的履行、违约责任和解决争议的方法等适用《中华人民共和国民法典》。</w:t>
      </w:r>
    </w:p>
    <w:p w14:paraId="02C2867C">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outlineLvl w:val="1"/>
        <w:rPr>
          <w:rFonts w:ascii="黑体" w:hAnsi="黑体" w:eastAsia="黑体"/>
          <w:bCs/>
          <w:sz w:val="28"/>
          <w:szCs w:val="28"/>
          <w:highlight w:val="none"/>
        </w:rPr>
      </w:pPr>
      <w:bookmarkStart w:id="50" w:name="_Toc9890"/>
      <w:r>
        <w:rPr>
          <w:rFonts w:hint="eastAsia" w:ascii="黑体" w:hAnsi="黑体" w:eastAsia="黑体"/>
          <w:bCs/>
          <w:sz w:val="28"/>
          <w:szCs w:val="28"/>
          <w:highlight w:val="none"/>
        </w:rPr>
        <w:t>7.政府采购政策功能落实</w:t>
      </w:r>
      <w:bookmarkEnd w:id="50"/>
    </w:p>
    <w:p w14:paraId="552E906C">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outlineLvl w:val="9"/>
        <w:rPr>
          <w:rFonts w:ascii="仿宋" w:hAnsi="仿宋" w:eastAsia="仿宋"/>
          <w:sz w:val="28"/>
          <w:szCs w:val="28"/>
          <w:highlight w:val="none"/>
        </w:rPr>
      </w:pPr>
      <w:r>
        <w:rPr>
          <w:rFonts w:hint="eastAsia" w:ascii="仿宋" w:hAnsi="仿宋" w:eastAsia="仿宋"/>
          <w:sz w:val="28"/>
          <w:szCs w:val="28"/>
          <w:highlight w:val="none"/>
        </w:rPr>
        <w:t>7.1 对于非专门面向中小企业采购的项目，小微型企业享受价格扣除优惠。</w:t>
      </w:r>
    </w:p>
    <w:p w14:paraId="39F56A03">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outlineLvl w:val="9"/>
        <w:rPr>
          <w:rFonts w:ascii="仿宋" w:hAnsi="仿宋" w:eastAsia="仿宋"/>
          <w:sz w:val="28"/>
          <w:szCs w:val="28"/>
          <w:highlight w:val="none"/>
        </w:rPr>
      </w:pPr>
      <w:r>
        <w:rPr>
          <w:rFonts w:hint="eastAsia" w:ascii="仿宋" w:hAnsi="仿宋" w:eastAsia="仿宋"/>
          <w:sz w:val="28"/>
          <w:szCs w:val="28"/>
          <w:highlight w:val="none"/>
        </w:rPr>
        <w:t>7.1.1 货物类或者服务类采购项目，采购人、采购代理机构应当对符合《政府采购促进中小企业发展管理办法》（财库〔2020〕46号）规定的小微企业报价给予10%的扣除；工程类采购项目，给予3%的扣除，给予用扣除后的价格参加评审。</w:t>
      </w:r>
    </w:p>
    <w:p w14:paraId="40A72501">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outlineLvl w:val="9"/>
        <w:rPr>
          <w:rFonts w:ascii="仿宋" w:hAnsi="仿宋" w:eastAsia="仿宋"/>
          <w:sz w:val="28"/>
          <w:szCs w:val="28"/>
          <w:highlight w:val="none"/>
        </w:rPr>
      </w:pPr>
      <w:r>
        <w:rPr>
          <w:rFonts w:hint="eastAsia" w:ascii="仿宋" w:hAnsi="仿宋" w:eastAsia="仿宋"/>
          <w:sz w:val="28"/>
          <w:szCs w:val="28"/>
          <w:highlight w:val="none"/>
        </w:rPr>
        <w:t>7.1.2接受大中型企业与小微企业组成联合体或者允许大中型企业向一家或者多家小微企业分包的货物类或者服务类采购项目，对于联合协议或者分包意向协议约定小微企业的合同份额占到合同总金额 30%以上的，采购人、采购代理机构应当对联合体或者大中型企业的报价给予 4%的扣除；工程类采购项目，给予1%的扣除，用扣除后的价格参加评审。组成联合体或者接受分包的小微企业与联合体内其他企业、分包企业之间存在直接控股、管理关系的，不享受价格扣除优惠政策。</w:t>
      </w:r>
    </w:p>
    <w:p w14:paraId="1EB997CD">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outlineLvl w:val="9"/>
        <w:rPr>
          <w:rFonts w:ascii="仿宋" w:hAnsi="仿宋" w:eastAsia="仿宋"/>
          <w:sz w:val="28"/>
          <w:szCs w:val="28"/>
          <w:highlight w:val="none"/>
        </w:rPr>
      </w:pPr>
      <w:r>
        <w:rPr>
          <w:rFonts w:hint="eastAsia" w:ascii="仿宋" w:hAnsi="仿宋" w:eastAsia="仿宋"/>
          <w:sz w:val="28"/>
          <w:szCs w:val="28"/>
          <w:highlight w:val="none"/>
        </w:rPr>
        <w:t>7.1.3价格扣除比例或者价格分加分比例对小型企业和微型企业同等对待，不作区分。</w:t>
      </w:r>
    </w:p>
    <w:p w14:paraId="2B0D88B3">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outlineLvl w:val="9"/>
        <w:rPr>
          <w:rFonts w:ascii="仿宋" w:hAnsi="仿宋" w:eastAsia="仿宋"/>
          <w:sz w:val="28"/>
          <w:szCs w:val="28"/>
          <w:highlight w:val="none"/>
        </w:rPr>
      </w:pPr>
      <w:r>
        <w:rPr>
          <w:rFonts w:hint="eastAsia" w:ascii="仿宋" w:hAnsi="仿宋" w:eastAsia="仿宋"/>
          <w:sz w:val="28"/>
          <w:szCs w:val="28"/>
          <w:highlight w:val="none"/>
        </w:rPr>
        <w:t>7.1.4 在政府采购活动中，供应商提供的货物、工程或者服务符合下列情形的，享受价格扣除政策：</w:t>
      </w:r>
    </w:p>
    <w:p w14:paraId="2C900F9A">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outlineLvl w:val="9"/>
        <w:rPr>
          <w:rFonts w:ascii="仿宋" w:hAnsi="仿宋" w:eastAsia="仿宋"/>
          <w:sz w:val="28"/>
          <w:szCs w:val="28"/>
          <w:highlight w:val="none"/>
        </w:rPr>
      </w:pPr>
      <w:r>
        <w:rPr>
          <w:rFonts w:hint="eastAsia" w:ascii="仿宋" w:hAnsi="仿宋" w:eastAsia="仿宋"/>
          <w:sz w:val="28"/>
          <w:szCs w:val="28"/>
          <w:highlight w:val="none"/>
        </w:rPr>
        <w:t>7.1.4.1在货物采购项目中，货物由小微企业制造，即货物由小微企业生产且使用该小微企业商号或者注册商标；</w:t>
      </w:r>
    </w:p>
    <w:p w14:paraId="0642E67A">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outlineLvl w:val="9"/>
        <w:rPr>
          <w:rFonts w:ascii="仿宋" w:hAnsi="仿宋" w:eastAsia="仿宋"/>
          <w:sz w:val="28"/>
          <w:szCs w:val="28"/>
          <w:highlight w:val="none"/>
        </w:rPr>
      </w:pPr>
      <w:r>
        <w:rPr>
          <w:rFonts w:hint="eastAsia" w:ascii="仿宋" w:hAnsi="仿宋" w:eastAsia="仿宋"/>
          <w:sz w:val="28"/>
          <w:szCs w:val="28"/>
          <w:highlight w:val="none"/>
        </w:rPr>
        <w:t>7.1.4.2在工程采购项目中，工程由小微企业承建，即工程施工单位为小微企业；</w:t>
      </w:r>
    </w:p>
    <w:p w14:paraId="27ED8A73">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outlineLvl w:val="9"/>
        <w:rPr>
          <w:rFonts w:ascii="仿宋" w:hAnsi="仿宋" w:eastAsia="仿宋"/>
          <w:sz w:val="28"/>
          <w:szCs w:val="28"/>
          <w:highlight w:val="none"/>
        </w:rPr>
      </w:pPr>
      <w:r>
        <w:rPr>
          <w:rFonts w:hint="eastAsia" w:ascii="仿宋" w:hAnsi="仿宋" w:eastAsia="仿宋"/>
          <w:sz w:val="28"/>
          <w:szCs w:val="28"/>
          <w:highlight w:val="none"/>
        </w:rPr>
        <w:t>7.1.4.3在服务采购项目中，服务由小微企业承接，即提供服务的人员为小微企业依照《中华人民共和国劳动合同法》订立劳动合同的从业人员。</w:t>
      </w:r>
    </w:p>
    <w:p w14:paraId="0D6E3512">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outlineLvl w:val="9"/>
        <w:rPr>
          <w:rFonts w:ascii="仿宋" w:hAnsi="仿宋" w:eastAsia="仿宋"/>
          <w:sz w:val="28"/>
          <w:szCs w:val="28"/>
          <w:highlight w:val="none"/>
        </w:rPr>
      </w:pPr>
      <w:r>
        <w:rPr>
          <w:rFonts w:hint="eastAsia" w:ascii="仿宋" w:hAnsi="仿宋" w:eastAsia="仿宋"/>
          <w:sz w:val="28"/>
          <w:szCs w:val="28"/>
          <w:highlight w:val="none"/>
        </w:rPr>
        <w:t>7.1.4.4以联合体形式参加政府采购活动，联合体各方均为小微企业的，联合体视同小微企业。</w:t>
      </w:r>
    </w:p>
    <w:p w14:paraId="3E5643AB">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outlineLvl w:val="9"/>
        <w:rPr>
          <w:rFonts w:ascii="仿宋" w:hAnsi="仿宋" w:eastAsia="仿宋"/>
          <w:sz w:val="28"/>
          <w:szCs w:val="28"/>
          <w:highlight w:val="none"/>
        </w:rPr>
      </w:pPr>
      <w:r>
        <w:rPr>
          <w:rFonts w:hint="eastAsia" w:ascii="仿宋" w:hAnsi="仿宋" w:eastAsia="仿宋"/>
          <w:sz w:val="28"/>
          <w:szCs w:val="28"/>
          <w:highlight w:val="none"/>
        </w:rPr>
        <w:t>7.1.5 符合上述要求的企业，应当出具《中小企业声明函》，否则不得享受相关中小企业扶持政策。供应商提供声明函内容不实的，属于提供虚假材料谋取中标、成交，依照《中华人民共和国政府采购法》等国家有关规定追究相应责任。适用招标投标法的政府采购工程建设项目，响应供应商提供声明函内容不实的，属于弄虚作假骗取成交，依照《中华人民共和国招标投标法》等国家有关规定追究相应责任。</w:t>
      </w:r>
    </w:p>
    <w:p w14:paraId="6E114094">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outlineLvl w:val="9"/>
        <w:rPr>
          <w:rFonts w:ascii="仿宋" w:hAnsi="仿宋" w:eastAsia="仿宋"/>
          <w:sz w:val="28"/>
          <w:szCs w:val="28"/>
          <w:highlight w:val="none"/>
        </w:rPr>
      </w:pPr>
      <w:r>
        <w:rPr>
          <w:rFonts w:hint="eastAsia" w:ascii="仿宋" w:hAnsi="仿宋" w:eastAsia="仿宋"/>
          <w:sz w:val="28"/>
          <w:szCs w:val="28"/>
          <w:highlight w:val="none"/>
        </w:rPr>
        <w:t>7.1.6 下列情形不享受价格扣除政策：</w:t>
      </w:r>
    </w:p>
    <w:p w14:paraId="478CB649">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outlineLvl w:val="9"/>
        <w:rPr>
          <w:rFonts w:ascii="仿宋" w:hAnsi="仿宋" w:eastAsia="仿宋"/>
          <w:sz w:val="28"/>
          <w:szCs w:val="28"/>
          <w:highlight w:val="none"/>
        </w:rPr>
      </w:pPr>
      <w:r>
        <w:rPr>
          <w:rFonts w:hint="eastAsia" w:ascii="仿宋" w:hAnsi="仿宋" w:eastAsia="仿宋"/>
          <w:sz w:val="28"/>
          <w:szCs w:val="28"/>
          <w:highlight w:val="none"/>
        </w:rPr>
        <w:t>7.1.6.1在货物采购项目中，供应商提供的货物既有中小企业制造货物，也有大型企业制造货物的。</w:t>
      </w:r>
    </w:p>
    <w:p w14:paraId="55AA1A50">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outlineLvl w:val="9"/>
        <w:rPr>
          <w:rFonts w:ascii="仿宋" w:hAnsi="仿宋" w:eastAsia="仿宋"/>
          <w:sz w:val="28"/>
          <w:szCs w:val="28"/>
          <w:highlight w:val="none"/>
        </w:rPr>
      </w:pPr>
      <w:r>
        <w:rPr>
          <w:rFonts w:hint="eastAsia" w:ascii="仿宋" w:hAnsi="仿宋" w:eastAsia="仿宋"/>
          <w:sz w:val="28"/>
          <w:szCs w:val="28"/>
          <w:highlight w:val="none"/>
        </w:rPr>
        <w:t>7.1.6.2 响应供应商与大企业的负责人为同一人，或者与大企业存在直接控股、管理关系。</w:t>
      </w:r>
    </w:p>
    <w:p w14:paraId="4DFCA5B8">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outlineLvl w:val="9"/>
        <w:rPr>
          <w:rFonts w:ascii="仿宋" w:hAnsi="仿宋" w:eastAsia="仿宋"/>
          <w:sz w:val="28"/>
          <w:szCs w:val="28"/>
          <w:highlight w:val="none"/>
        </w:rPr>
      </w:pPr>
      <w:r>
        <w:rPr>
          <w:rFonts w:hint="eastAsia" w:ascii="仿宋" w:hAnsi="仿宋" w:eastAsia="仿宋"/>
          <w:sz w:val="28"/>
          <w:szCs w:val="28"/>
          <w:highlight w:val="none"/>
        </w:rPr>
        <w:t>7.1.7《中小企业划型标准规定》（工信部联企业〔2011〕300号）</w:t>
      </w:r>
    </w:p>
    <w:tbl>
      <w:tblPr>
        <w:tblStyle w:val="1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94"/>
        <w:gridCol w:w="1625"/>
        <w:gridCol w:w="767"/>
        <w:gridCol w:w="2055"/>
        <w:gridCol w:w="1765"/>
        <w:gridCol w:w="1164"/>
      </w:tblGrid>
      <w:tr w14:paraId="174C4B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blHeader/>
          <w:jc w:val="center"/>
        </w:trPr>
        <w:tc>
          <w:tcPr>
            <w:tcW w:w="1954" w:type="dxa"/>
            <w:vAlign w:val="center"/>
          </w:tcPr>
          <w:p w14:paraId="36BC119A">
            <w:pPr>
              <w:spacing w:line="500" w:lineRule="exact"/>
              <w:jc w:val="center"/>
              <w:outlineLvl w:val="9"/>
              <w:rPr>
                <w:rFonts w:ascii="仿宋" w:hAnsi="仿宋" w:eastAsia="仿宋"/>
                <w:b/>
                <w:highlight w:val="none"/>
              </w:rPr>
            </w:pPr>
            <w:r>
              <w:rPr>
                <w:rFonts w:ascii="仿宋" w:hAnsi="仿宋" w:eastAsia="仿宋"/>
                <w:b/>
                <w:highlight w:val="none"/>
              </w:rPr>
              <w:t>行业名称</w:t>
            </w:r>
          </w:p>
        </w:tc>
        <w:tc>
          <w:tcPr>
            <w:tcW w:w="1447" w:type="dxa"/>
            <w:vAlign w:val="center"/>
          </w:tcPr>
          <w:p w14:paraId="69D6D1D0">
            <w:pPr>
              <w:spacing w:line="500" w:lineRule="exact"/>
              <w:jc w:val="center"/>
              <w:outlineLvl w:val="9"/>
              <w:rPr>
                <w:rFonts w:ascii="仿宋" w:hAnsi="仿宋" w:eastAsia="仿宋"/>
                <w:b/>
                <w:highlight w:val="none"/>
              </w:rPr>
            </w:pPr>
            <w:r>
              <w:rPr>
                <w:rFonts w:ascii="仿宋" w:hAnsi="仿宋" w:eastAsia="仿宋"/>
                <w:b/>
                <w:highlight w:val="none"/>
              </w:rPr>
              <w:t>指标名称</w:t>
            </w:r>
          </w:p>
        </w:tc>
        <w:tc>
          <w:tcPr>
            <w:tcW w:w="683" w:type="dxa"/>
            <w:vAlign w:val="center"/>
          </w:tcPr>
          <w:p w14:paraId="5C1BCD84">
            <w:pPr>
              <w:spacing w:line="500" w:lineRule="exact"/>
              <w:jc w:val="center"/>
              <w:outlineLvl w:val="9"/>
              <w:rPr>
                <w:rFonts w:ascii="仿宋" w:hAnsi="仿宋" w:eastAsia="仿宋"/>
                <w:b/>
                <w:highlight w:val="none"/>
              </w:rPr>
            </w:pPr>
            <w:r>
              <w:rPr>
                <w:rFonts w:ascii="仿宋" w:hAnsi="仿宋" w:eastAsia="仿宋"/>
                <w:b/>
                <w:highlight w:val="none"/>
              </w:rPr>
              <w:t>计量</w:t>
            </w:r>
          </w:p>
          <w:p w14:paraId="2BCA5D3F">
            <w:pPr>
              <w:spacing w:line="500" w:lineRule="exact"/>
              <w:jc w:val="center"/>
              <w:outlineLvl w:val="9"/>
              <w:rPr>
                <w:rFonts w:ascii="仿宋" w:hAnsi="仿宋" w:eastAsia="仿宋"/>
                <w:b/>
                <w:highlight w:val="none"/>
              </w:rPr>
            </w:pPr>
            <w:r>
              <w:rPr>
                <w:rFonts w:ascii="仿宋" w:hAnsi="仿宋" w:eastAsia="仿宋"/>
                <w:b/>
                <w:highlight w:val="none"/>
              </w:rPr>
              <w:t>单位</w:t>
            </w:r>
          </w:p>
        </w:tc>
        <w:tc>
          <w:tcPr>
            <w:tcW w:w="1830" w:type="dxa"/>
            <w:vAlign w:val="center"/>
          </w:tcPr>
          <w:p w14:paraId="20AEFA2D">
            <w:pPr>
              <w:spacing w:line="500" w:lineRule="exact"/>
              <w:jc w:val="center"/>
              <w:outlineLvl w:val="9"/>
              <w:rPr>
                <w:rFonts w:ascii="仿宋" w:hAnsi="仿宋" w:eastAsia="仿宋"/>
                <w:b/>
                <w:highlight w:val="none"/>
              </w:rPr>
            </w:pPr>
            <w:r>
              <w:rPr>
                <w:rFonts w:ascii="仿宋" w:hAnsi="仿宋" w:eastAsia="仿宋"/>
                <w:b/>
                <w:highlight w:val="none"/>
              </w:rPr>
              <w:t>中型</w:t>
            </w:r>
          </w:p>
        </w:tc>
        <w:tc>
          <w:tcPr>
            <w:tcW w:w="1572" w:type="dxa"/>
            <w:vAlign w:val="center"/>
          </w:tcPr>
          <w:p w14:paraId="46C71323">
            <w:pPr>
              <w:spacing w:line="500" w:lineRule="exact"/>
              <w:jc w:val="center"/>
              <w:outlineLvl w:val="9"/>
              <w:rPr>
                <w:rFonts w:ascii="仿宋" w:hAnsi="仿宋" w:eastAsia="仿宋"/>
                <w:b/>
                <w:highlight w:val="none"/>
              </w:rPr>
            </w:pPr>
            <w:r>
              <w:rPr>
                <w:rFonts w:ascii="仿宋" w:hAnsi="仿宋" w:eastAsia="仿宋"/>
                <w:b/>
                <w:highlight w:val="none"/>
              </w:rPr>
              <w:t>小型</w:t>
            </w:r>
          </w:p>
        </w:tc>
        <w:tc>
          <w:tcPr>
            <w:tcW w:w="1036" w:type="dxa"/>
            <w:vAlign w:val="center"/>
          </w:tcPr>
          <w:p w14:paraId="26DA19D8">
            <w:pPr>
              <w:spacing w:line="500" w:lineRule="exact"/>
              <w:jc w:val="center"/>
              <w:outlineLvl w:val="9"/>
              <w:rPr>
                <w:rFonts w:ascii="仿宋" w:hAnsi="仿宋" w:eastAsia="仿宋"/>
                <w:b/>
                <w:highlight w:val="none"/>
              </w:rPr>
            </w:pPr>
            <w:r>
              <w:rPr>
                <w:rFonts w:ascii="仿宋" w:hAnsi="仿宋" w:eastAsia="仿宋"/>
                <w:b/>
                <w:highlight w:val="none"/>
              </w:rPr>
              <w:t>微型</w:t>
            </w:r>
          </w:p>
        </w:tc>
      </w:tr>
      <w:tr w14:paraId="0FE1FE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Align w:val="center"/>
          </w:tcPr>
          <w:p w14:paraId="3DB02CF6">
            <w:pPr>
              <w:spacing w:line="500" w:lineRule="exact"/>
              <w:jc w:val="center"/>
              <w:outlineLvl w:val="9"/>
              <w:rPr>
                <w:rFonts w:ascii="仿宋" w:hAnsi="仿宋" w:eastAsia="仿宋"/>
                <w:highlight w:val="none"/>
              </w:rPr>
            </w:pPr>
            <w:r>
              <w:rPr>
                <w:rFonts w:ascii="仿宋" w:hAnsi="仿宋" w:eastAsia="仿宋"/>
                <w:highlight w:val="none"/>
              </w:rPr>
              <w:t>农、林、牧、渔</w:t>
            </w:r>
          </w:p>
        </w:tc>
        <w:tc>
          <w:tcPr>
            <w:tcW w:w="1447" w:type="dxa"/>
            <w:vAlign w:val="center"/>
          </w:tcPr>
          <w:p w14:paraId="74098C88">
            <w:pPr>
              <w:spacing w:line="500" w:lineRule="exact"/>
              <w:jc w:val="center"/>
              <w:outlineLvl w:val="9"/>
              <w:rPr>
                <w:rFonts w:ascii="仿宋" w:hAnsi="仿宋" w:eastAsia="仿宋"/>
                <w:highlight w:val="none"/>
              </w:rPr>
            </w:pPr>
            <w:r>
              <w:rPr>
                <w:rFonts w:ascii="仿宋" w:hAnsi="仿宋" w:eastAsia="仿宋"/>
                <w:highlight w:val="none"/>
              </w:rPr>
              <w:t>营业收入（</w:t>
            </w:r>
            <w:r>
              <w:rPr>
                <w:rFonts w:hint="eastAsia" w:ascii="仿宋" w:hAnsi="仿宋" w:eastAsia="仿宋"/>
                <w:highlight w:val="none"/>
              </w:rPr>
              <w:t>Y）</w:t>
            </w:r>
          </w:p>
        </w:tc>
        <w:tc>
          <w:tcPr>
            <w:tcW w:w="683" w:type="dxa"/>
            <w:vAlign w:val="center"/>
          </w:tcPr>
          <w:p w14:paraId="3D864B16">
            <w:pPr>
              <w:spacing w:line="500" w:lineRule="exact"/>
              <w:jc w:val="center"/>
              <w:outlineLvl w:val="9"/>
              <w:rPr>
                <w:rFonts w:ascii="仿宋" w:hAnsi="仿宋" w:eastAsia="仿宋"/>
                <w:highlight w:val="none"/>
              </w:rPr>
            </w:pPr>
            <w:r>
              <w:rPr>
                <w:rFonts w:ascii="仿宋" w:hAnsi="仿宋" w:eastAsia="仿宋"/>
                <w:highlight w:val="none"/>
              </w:rPr>
              <w:t>万元</w:t>
            </w:r>
          </w:p>
        </w:tc>
        <w:tc>
          <w:tcPr>
            <w:tcW w:w="1830" w:type="dxa"/>
            <w:vAlign w:val="center"/>
          </w:tcPr>
          <w:p w14:paraId="2B558A01">
            <w:pPr>
              <w:spacing w:line="500" w:lineRule="exact"/>
              <w:jc w:val="center"/>
              <w:outlineLvl w:val="9"/>
              <w:rPr>
                <w:rFonts w:eastAsia="仿宋"/>
                <w:highlight w:val="none"/>
              </w:rPr>
            </w:pPr>
            <w:r>
              <w:rPr>
                <w:rFonts w:eastAsia="仿宋"/>
                <w:highlight w:val="none"/>
              </w:rPr>
              <w:t>500≤Y&lt;20000</w:t>
            </w:r>
          </w:p>
        </w:tc>
        <w:tc>
          <w:tcPr>
            <w:tcW w:w="1572" w:type="dxa"/>
            <w:vAlign w:val="center"/>
          </w:tcPr>
          <w:p w14:paraId="30439614">
            <w:pPr>
              <w:spacing w:line="500" w:lineRule="exact"/>
              <w:jc w:val="center"/>
              <w:outlineLvl w:val="9"/>
              <w:rPr>
                <w:rFonts w:eastAsia="仿宋"/>
                <w:highlight w:val="none"/>
              </w:rPr>
            </w:pPr>
            <w:r>
              <w:rPr>
                <w:rFonts w:eastAsia="仿宋"/>
                <w:highlight w:val="none"/>
              </w:rPr>
              <w:t>50≤Y&lt;500</w:t>
            </w:r>
          </w:p>
        </w:tc>
        <w:tc>
          <w:tcPr>
            <w:tcW w:w="1036" w:type="dxa"/>
            <w:vAlign w:val="center"/>
          </w:tcPr>
          <w:p w14:paraId="288A4570">
            <w:pPr>
              <w:spacing w:line="500" w:lineRule="exact"/>
              <w:jc w:val="center"/>
              <w:outlineLvl w:val="9"/>
              <w:rPr>
                <w:rFonts w:eastAsia="仿宋"/>
                <w:highlight w:val="none"/>
              </w:rPr>
            </w:pPr>
            <w:r>
              <w:rPr>
                <w:rFonts w:eastAsia="仿宋"/>
                <w:highlight w:val="none"/>
              </w:rPr>
              <w:t>Y&lt;50</w:t>
            </w:r>
          </w:p>
        </w:tc>
      </w:tr>
      <w:tr w14:paraId="4B9202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5B17E68C">
            <w:pPr>
              <w:spacing w:line="500" w:lineRule="exact"/>
              <w:jc w:val="center"/>
              <w:outlineLvl w:val="9"/>
              <w:rPr>
                <w:rFonts w:ascii="仿宋" w:hAnsi="仿宋" w:eastAsia="仿宋"/>
                <w:highlight w:val="none"/>
              </w:rPr>
            </w:pPr>
            <w:r>
              <w:rPr>
                <w:rFonts w:ascii="仿宋" w:hAnsi="仿宋" w:eastAsia="仿宋"/>
                <w:highlight w:val="none"/>
              </w:rPr>
              <w:t>工业</w:t>
            </w:r>
          </w:p>
        </w:tc>
        <w:tc>
          <w:tcPr>
            <w:tcW w:w="1447" w:type="dxa"/>
            <w:vAlign w:val="center"/>
          </w:tcPr>
          <w:p w14:paraId="76C3FB5F">
            <w:pPr>
              <w:spacing w:line="500" w:lineRule="exact"/>
              <w:jc w:val="center"/>
              <w:outlineLvl w:val="9"/>
              <w:rPr>
                <w:rFonts w:ascii="仿宋" w:hAnsi="仿宋" w:eastAsia="仿宋"/>
                <w:highlight w:val="none"/>
              </w:rPr>
            </w:pPr>
            <w:r>
              <w:rPr>
                <w:rFonts w:ascii="仿宋" w:hAnsi="仿宋" w:eastAsia="仿宋"/>
                <w:highlight w:val="none"/>
              </w:rPr>
              <w:t>从业人员（</w:t>
            </w:r>
            <w:r>
              <w:rPr>
                <w:rFonts w:hint="eastAsia" w:ascii="仿宋" w:hAnsi="仿宋" w:eastAsia="仿宋"/>
                <w:highlight w:val="none"/>
              </w:rPr>
              <w:t>X）</w:t>
            </w:r>
          </w:p>
        </w:tc>
        <w:tc>
          <w:tcPr>
            <w:tcW w:w="683" w:type="dxa"/>
            <w:vAlign w:val="center"/>
          </w:tcPr>
          <w:p w14:paraId="78CEDAA3">
            <w:pPr>
              <w:spacing w:line="500" w:lineRule="exact"/>
              <w:jc w:val="center"/>
              <w:outlineLvl w:val="9"/>
              <w:rPr>
                <w:rFonts w:ascii="仿宋" w:hAnsi="仿宋" w:eastAsia="仿宋"/>
                <w:highlight w:val="none"/>
              </w:rPr>
            </w:pPr>
            <w:r>
              <w:rPr>
                <w:rFonts w:ascii="仿宋" w:hAnsi="仿宋" w:eastAsia="仿宋"/>
                <w:highlight w:val="none"/>
              </w:rPr>
              <w:t>人</w:t>
            </w:r>
          </w:p>
        </w:tc>
        <w:tc>
          <w:tcPr>
            <w:tcW w:w="1830" w:type="dxa"/>
            <w:vAlign w:val="center"/>
          </w:tcPr>
          <w:p w14:paraId="7DCCE5DE">
            <w:pPr>
              <w:spacing w:line="500" w:lineRule="exact"/>
              <w:jc w:val="center"/>
              <w:outlineLvl w:val="9"/>
              <w:rPr>
                <w:rFonts w:eastAsia="仿宋"/>
                <w:highlight w:val="none"/>
              </w:rPr>
            </w:pPr>
            <w:r>
              <w:rPr>
                <w:rFonts w:eastAsia="仿宋"/>
                <w:highlight w:val="none"/>
              </w:rPr>
              <w:t>300≤X&lt;1000</w:t>
            </w:r>
          </w:p>
        </w:tc>
        <w:tc>
          <w:tcPr>
            <w:tcW w:w="1572" w:type="dxa"/>
            <w:vAlign w:val="center"/>
          </w:tcPr>
          <w:p w14:paraId="0C8DA01B">
            <w:pPr>
              <w:spacing w:line="500" w:lineRule="exact"/>
              <w:jc w:val="center"/>
              <w:outlineLvl w:val="9"/>
              <w:rPr>
                <w:rFonts w:eastAsia="仿宋"/>
                <w:highlight w:val="none"/>
              </w:rPr>
            </w:pPr>
            <w:r>
              <w:rPr>
                <w:rFonts w:eastAsia="仿宋"/>
                <w:highlight w:val="none"/>
              </w:rPr>
              <w:t>20≤X&lt;300</w:t>
            </w:r>
          </w:p>
        </w:tc>
        <w:tc>
          <w:tcPr>
            <w:tcW w:w="1036" w:type="dxa"/>
            <w:vAlign w:val="center"/>
          </w:tcPr>
          <w:p w14:paraId="5340B4AF">
            <w:pPr>
              <w:spacing w:line="500" w:lineRule="exact"/>
              <w:jc w:val="center"/>
              <w:outlineLvl w:val="9"/>
              <w:rPr>
                <w:rFonts w:eastAsia="仿宋"/>
                <w:highlight w:val="none"/>
              </w:rPr>
            </w:pPr>
            <w:r>
              <w:rPr>
                <w:rFonts w:eastAsia="仿宋"/>
                <w:highlight w:val="none"/>
              </w:rPr>
              <w:t>X&lt;20</w:t>
            </w:r>
          </w:p>
        </w:tc>
      </w:tr>
      <w:tr w14:paraId="24F14D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44F86575">
            <w:pPr>
              <w:spacing w:line="500" w:lineRule="exact"/>
              <w:jc w:val="center"/>
              <w:outlineLvl w:val="9"/>
              <w:rPr>
                <w:rFonts w:ascii="仿宋" w:hAnsi="仿宋" w:eastAsia="仿宋"/>
                <w:highlight w:val="none"/>
              </w:rPr>
            </w:pPr>
          </w:p>
        </w:tc>
        <w:tc>
          <w:tcPr>
            <w:tcW w:w="1447" w:type="dxa"/>
            <w:vAlign w:val="center"/>
          </w:tcPr>
          <w:p w14:paraId="63ACECB1">
            <w:pPr>
              <w:spacing w:line="500" w:lineRule="exact"/>
              <w:jc w:val="center"/>
              <w:outlineLvl w:val="9"/>
              <w:rPr>
                <w:rFonts w:ascii="仿宋" w:hAnsi="仿宋" w:eastAsia="仿宋"/>
                <w:highlight w:val="none"/>
              </w:rPr>
            </w:pPr>
            <w:r>
              <w:rPr>
                <w:rFonts w:ascii="仿宋" w:hAnsi="仿宋" w:eastAsia="仿宋"/>
                <w:highlight w:val="none"/>
              </w:rPr>
              <w:t>营业收入（</w:t>
            </w:r>
            <w:r>
              <w:rPr>
                <w:rFonts w:hint="eastAsia" w:ascii="仿宋" w:hAnsi="仿宋" w:eastAsia="仿宋"/>
                <w:highlight w:val="none"/>
              </w:rPr>
              <w:t>Y）</w:t>
            </w:r>
          </w:p>
        </w:tc>
        <w:tc>
          <w:tcPr>
            <w:tcW w:w="683" w:type="dxa"/>
            <w:vAlign w:val="center"/>
          </w:tcPr>
          <w:p w14:paraId="42F38ED6">
            <w:pPr>
              <w:spacing w:line="500" w:lineRule="exact"/>
              <w:jc w:val="center"/>
              <w:outlineLvl w:val="9"/>
              <w:rPr>
                <w:rFonts w:ascii="仿宋" w:hAnsi="仿宋" w:eastAsia="仿宋"/>
                <w:highlight w:val="none"/>
              </w:rPr>
            </w:pPr>
            <w:r>
              <w:rPr>
                <w:rFonts w:ascii="仿宋" w:hAnsi="仿宋" w:eastAsia="仿宋"/>
                <w:highlight w:val="none"/>
              </w:rPr>
              <w:t>万元</w:t>
            </w:r>
          </w:p>
        </w:tc>
        <w:tc>
          <w:tcPr>
            <w:tcW w:w="1830" w:type="dxa"/>
            <w:vAlign w:val="center"/>
          </w:tcPr>
          <w:p w14:paraId="4A0E0B7B">
            <w:pPr>
              <w:spacing w:line="500" w:lineRule="exact"/>
              <w:jc w:val="center"/>
              <w:outlineLvl w:val="9"/>
              <w:rPr>
                <w:rFonts w:eastAsia="仿宋"/>
                <w:highlight w:val="none"/>
              </w:rPr>
            </w:pPr>
            <w:r>
              <w:rPr>
                <w:rFonts w:eastAsia="仿宋"/>
                <w:highlight w:val="none"/>
              </w:rPr>
              <w:t>2000≤Y&lt;40000</w:t>
            </w:r>
          </w:p>
        </w:tc>
        <w:tc>
          <w:tcPr>
            <w:tcW w:w="1572" w:type="dxa"/>
            <w:vAlign w:val="center"/>
          </w:tcPr>
          <w:p w14:paraId="10DA0964">
            <w:pPr>
              <w:spacing w:line="500" w:lineRule="exact"/>
              <w:jc w:val="center"/>
              <w:outlineLvl w:val="9"/>
              <w:rPr>
                <w:rFonts w:eastAsia="仿宋"/>
                <w:highlight w:val="none"/>
              </w:rPr>
            </w:pPr>
            <w:r>
              <w:rPr>
                <w:rFonts w:eastAsia="仿宋"/>
                <w:highlight w:val="none"/>
              </w:rPr>
              <w:t>300≤Y&lt;2000</w:t>
            </w:r>
          </w:p>
        </w:tc>
        <w:tc>
          <w:tcPr>
            <w:tcW w:w="1036" w:type="dxa"/>
            <w:vAlign w:val="center"/>
          </w:tcPr>
          <w:p w14:paraId="08D559F0">
            <w:pPr>
              <w:spacing w:line="500" w:lineRule="exact"/>
              <w:jc w:val="center"/>
              <w:outlineLvl w:val="9"/>
              <w:rPr>
                <w:rFonts w:eastAsia="仿宋"/>
                <w:highlight w:val="none"/>
              </w:rPr>
            </w:pPr>
            <w:r>
              <w:rPr>
                <w:rFonts w:eastAsia="仿宋"/>
                <w:highlight w:val="none"/>
              </w:rPr>
              <w:t>Y&lt;300</w:t>
            </w:r>
          </w:p>
        </w:tc>
      </w:tr>
      <w:tr w14:paraId="5D7CD5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30C0773F">
            <w:pPr>
              <w:spacing w:line="500" w:lineRule="exact"/>
              <w:jc w:val="center"/>
              <w:outlineLvl w:val="9"/>
              <w:rPr>
                <w:rFonts w:ascii="仿宋" w:hAnsi="仿宋" w:eastAsia="仿宋"/>
                <w:highlight w:val="none"/>
              </w:rPr>
            </w:pPr>
            <w:r>
              <w:rPr>
                <w:rFonts w:ascii="仿宋" w:hAnsi="仿宋" w:eastAsia="仿宋"/>
                <w:highlight w:val="none"/>
              </w:rPr>
              <w:t>建筑业</w:t>
            </w:r>
          </w:p>
        </w:tc>
        <w:tc>
          <w:tcPr>
            <w:tcW w:w="1447" w:type="dxa"/>
            <w:vAlign w:val="center"/>
          </w:tcPr>
          <w:p w14:paraId="0D571DFE">
            <w:pPr>
              <w:spacing w:line="500" w:lineRule="exact"/>
              <w:jc w:val="center"/>
              <w:outlineLvl w:val="9"/>
              <w:rPr>
                <w:rFonts w:ascii="仿宋" w:hAnsi="仿宋" w:eastAsia="仿宋"/>
                <w:highlight w:val="none"/>
              </w:rPr>
            </w:pPr>
            <w:r>
              <w:rPr>
                <w:rFonts w:ascii="仿宋" w:hAnsi="仿宋" w:eastAsia="仿宋"/>
                <w:highlight w:val="none"/>
              </w:rPr>
              <w:t>营业收入（</w:t>
            </w:r>
            <w:r>
              <w:rPr>
                <w:rFonts w:hint="eastAsia" w:ascii="仿宋" w:hAnsi="仿宋" w:eastAsia="仿宋"/>
                <w:highlight w:val="none"/>
              </w:rPr>
              <w:t>Y）</w:t>
            </w:r>
          </w:p>
        </w:tc>
        <w:tc>
          <w:tcPr>
            <w:tcW w:w="683" w:type="dxa"/>
            <w:vAlign w:val="center"/>
          </w:tcPr>
          <w:p w14:paraId="4C37A6AB">
            <w:pPr>
              <w:spacing w:line="500" w:lineRule="exact"/>
              <w:jc w:val="center"/>
              <w:outlineLvl w:val="9"/>
              <w:rPr>
                <w:rFonts w:ascii="仿宋" w:hAnsi="仿宋" w:eastAsia="仿宋"/>
                <w:highlight w:val="none"/>
              </w:rPr>
            </w:pPr>
            <w:r>
              <w:rPr>
                <w:rFonts w:ascii="仿宋" w:hAnsi="仿宋" w:eastAsia="仿宋"/>
                <w:highlight w:val="none"/>
              </w:rPr>
              <w:t>万元</w:t>
            </w:r>
          </w:p>
        </w:tc>
        <w:tc>
          <w:tcPr>
            <w:tcW w:w="1830" w:type="dxa"/>
            <w:vAlign w:val="center"/>
          </w:tcPr>
          <w:p w14:paraId="79BE0384">
            <w:pPr>
              <w:spacing w:line="500" w:lineRule="exact"/>
              <w:jc w:val="center"/>
              <w:outlineLvl w:val="9"/>
              <w:rPr>
                <w:rFonts w:eastAsia="仿宋"/>
                <w:highlight w:val="none"/>
              </w:rPr>
            </w:pPr>
            <w:r>
              <w:rPr>
                <w:rFonts w:eastAsia="仿宋"/>
                <w:highlight w:val="none"/>
              </w:rPr>
              <w:t>6000≤Y&lt;80000</w:t>
            </w:r>
          </w:p>
        </w:tc>
        <w:tc>
          <w:tcPr>
            <w:tcW w:w="1572" w:type="dxa"/>
            <w:vAlign w:val="center"/>
          </w:tcPr>
          <w:p w14:paraId="4A30FE3C">
            <w:pPr>
              <w:spacing w:line="500" w:lineRule="exact"/>
              <w:jc w:val="center"/>
              <w:outlineLvl w:val="9"/>
              <w:rPr>
                <w:rFonts w:eastAsia="仿宋"/>
                <w:highlight w:val="none"/>
              </w:rPr>
            </w:pPr>
            <w:r>
              <w:rPr>
                <w:rFonts w:eastAsia="仿宋"/>
                <w:highlight w:val="none"/>
              </w:rPr>
              <w:t>300≤Y&lt;6000</w:t>
            </w:r>
          </w:p>
        </w:tc>
        <w:tc>
          <w:tcPr>
            <w:tcW w:w="1036" w:type="dxa"/>
            <w:vAlign w:val="center"/>
          </w:tcPr>
          <w:p w14:paraId="7464E02C">
            <w:pPr>
              <w:spacing w:line="500" w:lineRule="exact"/>
              <w:jc w:val="center"/>
              <w:outlineLvl w:val="9"/>
              <w:rPr>
                <w:rFonts w:eastAsia="仿宋"/>
                <w:highlight w:val="none"/>
              </w:rPr>
            </w:pPr>
            <w:r>
              <w:rPr>
                <w:rFonts w:eastAsia="仿宋"/>
                <w:highlight w:val="none"/>
              </w:rPr>
              <w:t>Y&lt;300</w:t>
            </w:r>
          </w:p>
        </w:tc>
      </w:tr>
      <w:tr w14:paraId="074957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2868CB65">
            <w:pPr>
              <w:spacing w:line="500" w:lineRule="exact"/>
              <w:jc w:val="center"/>
              <w:outlineLvl w:val="9"/>
              <w:rPr>
                <w:rFonts w:ascii="仿宋" w:hAnsi="仿宋" w:eastAsia="仿宋"/>
                <w:highlight w:val="none"/>
              </w:rPr>
            </w:pPr>
          </w:p>
        </w:tc>
        <w:tc>
          <w:tcPr>
            <w:tcW w:w="1447" w:type="dxa"/>
            <w:vAlign w:val="center"/>
          </w:tcPr>
          <w:p w14:paraId="1B373D1D">
            <w:pPr>
              <w:spacing w:line="500" w:lineRule="exact"/>
              <w:jc w:val="center"/>
              <w:outlineLvl w:val="9"/>
              <w:rPr>
                <w:rFonts w:ascii="仿宋" w:hAnsi="仿宋" w:eastAsia="仿宋"/>
                <w:highlight w:val="none"/>
              </w:rPr>
            </w:pPr>
            <w:r>
              <w:rPr>
                <w:rFonts w:hint="eastAsia" w:ascii="仿宋" w:hAnsi="仿宋" w:eastAsia="仿宋"/>
                <w:highlight w:val="none"/>
              </w:rPr>
              <w:t>资产</w:t>
            </w:r>
            <w:r>
              <w:rPr>
                <w:rFonts w:ascii="仿宋" w:hAnsi="仿宋" w:eastAsia="仿宋"/>
                <w:highlight w:val="none"/>
              </w:rPr>
              <w:t>总额（</w:t>
            </w:r>
            <w:r>
              <w:rPr>
                <w:rFonts w:hint="eastAsia" w:ascii="仿宋" w:hAnsi="仿宋" w:eastAsia="仿宋"/>
                <w:highlight w:val="none"/>
              </w:rPr>
              <w:t>Z）</w:t>
            </w:r>
          </w:p>
        </w:tc>
        <w:tc>
          <w:tcPr>
            <w:tcW w:w="683" w:type="dxa"/>
            <w:vAlign w:val="center"/>
          </w:tcPr>
          <w:p w14:paraId="0ABF6F1F">
            <w:pPr>
              <w:spacing w:line="500" w:lineRule="exact"/>
              <w:jc w:val="center"/>
              <w:outlineLvl w:val="9"/>
              <w:rPr>
                <w:rFonts w:ascii="仿宋" w:hAnsi="仿宋" w:eastAsia="仿宋"/>
                <w:highlight w:val="none"/>
              </w:rPr>
            </w:pPr>
            <w:r>
              <w:rPr>
                <w:rFonts w:ascii="仿宋" w:hAnsi="仿宋" w:eastAsia="仿宋"/>
                <w:highlight w:val="none"/>
              </w:rPr>
              <w:t>万元</w:t>
            </w:r>
          </w:p>
        </w:tc>
        <w:tc>
          <w:tcPr>
            <w:tcW w:w="1830" w:type="dxa"/>
            <w:vAlign w:val="center"/>
          </w:tcPr>
          <w:p w14:paraId="7242E088">
            <w:pPr>
              <w:spacing w:line="500" w:lineRule="exact"/>
              <w:jc w:val="center"/>
              <w:outlineLvl w:val="9"/>
              <w:rPr>
                <w:rFonts w:eastAsia="仿宋"/>
                <w:highlight w:val="none"/>
              </w:rPr>
            </w:pPr>
            <w:r>
              <w:rPr>
                <w:rFonts w:eastAsia="仿宋"/>
                <w:highlight w:val="none"/>
              </w:rPr>
              <w:t>5000≤Z &lt;80000</w:t>
            </w:r>
          </w:p>
        </w:tc>
        <w:tc>
          <w:tcPr>
            <w:tcW w:w="1572" w:type="dxa"/>
            <w:vAlign w:val="center"/>
          </w:tcPr>
          <w:p w14:paraId="00E1B840">
            <w:pPr>
              <w:spacing w:line="500" w:lineRule="exact"/>
              <w:jc w:val="center"/>
              <w:outlineLvl w:val="9"/>
              <w:rPr>
                <w:rFonts w:eastAsia="仿宋"/>
                <w:highlight w:val="none"/>
              </w:rPr>
            </w:pPr>
            <w:r>
              <w:rPr>
                <w:rFonts w:eastAsia="仿宋"/>
                <w:highlight w:val="none"/>
              </w:rPr>
              <w:t>300≤Z &lt;5000</w:t>
            </w:r>
          </w:p>
        </w:tc>
        <w:tc>
          <w:tcPr>
            <w:tcW w:w="1036" w:type="dxa"/>
            <w:vAlign w:val="center"/>
          </w:tcPr>
          <w:p w14:paraId="6CDCF485">
            <w:pPr>
              <w:spacing w:line="500" w:lineRule="exact"/>
              <w:jc w:val="center"/>
              <w:outlineLvl w:val="9"/>
              <w:rPr>
                <w:rFonts w:eastAsia="仿宋"/>
                <w:highlight w:val="none"/>
              </w:rPr>
            </w:pPr>
            <w:r>
              <w:rPr>
                <w:rFonts w:eastAsia="仿宋"/>
                <w:highlight w:val="none"/>
              </w:rPr>
              <w:t>Z&lt;300</w:t>
            </w:r>
          </w:p>
        </w:tc>
      </w:tr>
      <w:tr w14:paraId="211D22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05079C17">
            <w:pPr>
              <w:spacing w:line="500" w:lineRule="exact"/>
              <w:jc w:val="center"/>
              <w:outlineLvl w:val="9"/>
              <w:rPr>
                <w:rFonts w:ascii="仿宋" w:hAnsi="仿宋" w:eastAsia="仿宋"/>
                <w:highlight w:val="none"/>
              </w:rPr>
            </w:pPr>
            <w:r>
              <w:rPr>
                <w:rFonts w:ascii="仿宋" w:hAnsi="仿宋" w:eastAsia="仿宋"/>
                <w:highlight w:val="none"/>
              </w:rPr>
              <w:t>批发业</w:t>
            </w:r>
          </w:p>
        </w:tc>
        <w:tc>
          <w:tcPr>
            <w:tcW w:w="1447" w:type="dxa"/>
            <w:vAlign w:val="center"/>
          </w:tcPr>
          <w:p w14:paraId="60B05E65">
            <w:pPr>
              <w:spacing w:line="500" w:lineRule="exact"/>
              <w:jc w:val="center"/>
              <w:outlineLvl w:val="9"/>
              <w:rPr>
                <w:rFonts w:ascii="仿宋" w:hAnsi="仿宋" w:eastAsia="仿宋"/>
                <w:highlight w:val="none"/>
              </w:rPr>
            </w:pPr>
            <w:r>
              <w:rPr>
                <w:rFonts w:ascii="仿宋" w:hAnsi="仿宋" w:eastAsia="仿宋"/>
                <w:highlight w:val="none"/>
              </w:rPr>
              <w:t>从业人员（</w:t>
            </w:r>
            <w:r>
              <w:rPr>
                <w:rFonts w:hint="eastAsia" w:ascii="仿宋" w:hAnsi="仿宋" w:eastAsia="仿宋"/>
                <w:highlight w:val="none"/>
              </w:rPr>
              <w:t>X）</w:t>
            </w:r>
          </w:p>
        </w:tc>
        <w:tc>
          <w:tcPr>
            <w:tcW w:w="683" w:type="dxa"/>
            <w:vAlign w:val="center"/>
          </w:tcPr>
          <w:p w14:paraId="4335B087">
            <w:pPr>
              <w:spacing w:line="500" w:lineRule="exact"/>
              <w:jc w:val="center"/>
              <w:outlineLvl w:val="9"/>
              <w:rPr>
                <w:rFonts w:ascii="仿宋" w:hAnsi="仿宋" w:eastAsia="仿宋"/>
                <w:highlight w:val="none"/>
              </w:rPr>
            </w:pPr>
            <w:r>
              <w:rPr>
                <w:rFonts w:ascii="仿宋" w:hAnsi="仿宋" w:eastAsia="仿宋"/>
                <w:highlight w:val="none"/>
              </w:rPr>
              <w:t>人</w:t>
            </w:r>
          </w:p>
        </w:tc>
        <w:tc>
          <w:tcPr>
            <w:tcW w:w="1830" w:type="dxa"/>
            <w:vAlign w:val="center"/>
          </w:tcPr>
          <w:p w14:paraId="767D04EB">
            <w:pPr>
              <w:spacing w:line="500" w:lineRule="exact"/>
              <w:jc w:val="center"/>
              <w:outlineLvl w:val="9"/>
              <w:rPr>
                <w:rFonts w:eastAsia="仿宋"/>
                <w:highlight w:val="none"/>
              </w:rPr>
            </w:pPr>
            <w:r>
              <w:rPr>
                <w:rFonts w:eastAsia="仿宋"/>
                <w:highlight w:val="none"/>
              </w:rPr>
              <w:t>20≤X&lt;200</w:t>
            </w:r>
          </w:p>
        </w:tc>
        <w:tc>
          <w:tcPr>
            <w:tcW w:w="1572" w:type="dxa"/>
            <w:vAlign w:val="center"/>
          </w:tcPr>
          <w:p w14:paraId="1D8EDC12">
            <w:pPr>
              <w:spacing w:line="500" w:lineRule="exact"/>
              <w:jc w:val="center"/>
              <w:outlineLvl w:val="9"/>
              <w:rPr>
                <w:rFonts w:eastAsia="仿宋"/>
                <w:highlight w:val="none"/>
              </w:rPr>
            </w:pPr>
            <w:r>
              <w:rPr>
                <w:rFonts w:eastAsia="仿宋"/>
                <w:highlight w:val="none"/>
              </w:rPr>
              <w:t>5≤X&lt;20</w:t>
            </w:r>
          </w:p>
        </w:tc>
        <w:tc>
          <w:tcPr>
            <w:tcW w:w="1036" w:type="dxa"/>
            <w:vAlign w:val="center"/>
          </w:tcPr>
          <w:p w14:paraId="3BAB18E2">
            <w:pPr>
              <w:spacing w:line="500" w:lineRule="exact"/>
              <w:jc w:val="center"/>
              <w:outlineLvl w:val="9"/>
              <w:rPr>
                <w:rFonts w:eastAsia="仿宋"/>
                <w:highlight w:val="none"/>
              </w:rPr>
            </w:pPr>
            <w:r>
              <w:rPr>
                <w:rFonts w:eastAsia="仿宋"/>
                <w:highlight w:val="none"/>
              </w:rPr>
              <w:t>X&lt;5</w:t>
            </w:r>
          </w:p>
        </w:tc>
      </w:tr>
      <w:tr w14:paraId="66AF41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1A2FA9DE">
            <w:pPr>
              <w:spacing w:line="500" w:lineRule="exact"/>
              <w:jc w:val="center"/>
              <w:outlineLvl w:val="9"/>
              <w:rPr>
                <w:rFonts w:ascii="仿宋" w:hAnsi="仿宋" w:eastAsia="仿宋"/>
                <w:highlight w:val="none"/>
              </w:rPr>
            </w:pPr>
          </w:p>
        </w:tc>
        <w:tc>
          <w:tcPr>
            <w:tcW w:w="1447" w:type="dxa"/>
            <w:vAlign w:val="center"/>
          </w:tcPr>
          <w:p w14:paraId="4A5CD36D">
            <w:pPr>
              <w:spacing w:line="500" w:lineRule="exact"/>
              <w:jc w:val="center"/>
              <w:outlineLvl w:val="9"/>
              <w:rPr>
                <w:rFonts w:ascii="仿宋" w:hAnsi="仿宋" w:eastAsia="仿宋"/>
                <w:highlight w:val="none"/>
              </w:rPr>
            </w:pPr>
            <w:r>
              <w:rPr>
                <w:rFonts w:ascii="仿宋" w:hAnsi="仿宋" w:eastAsia="仿宋"/>
                <w:highlight w:val="none"/>
              </w:rPr>
              <w:t>营业收入（</w:t>
            </w:r>
            <w:r>
              <w:rPr>
                <w:rFonts w:hint="eastAsia" w:ascii="仿宋" w:hAnsi="仿宋" w:eastAsia="仿宋"/>
                <w:highlight w:val="none"/>
              </w:rPr>
              <w:t>Y）</w:t>
            </w:r>
          </w:p>
        </w:tc>
        <w:tc>
          <w:tcPr>
            <w:tcW w:w="683" w:type="dxa"/>
            <w:vAlign w:val="center"/>
          </w:tcPr>
          <w:p w14:paraId="2CF43BA2">
            <w:pPr>
              <w:spacing w:line="500" w:lineRule="exact"/>
              <w:jc w:val="center"/>
              <w:outlineLvl w:val="9"/>
              <w:rPr>
                <w:rFonts w:ascii="仿宋" w:hAnsi="仿宋" w:eastAsia="仿宋"/>
                <w:highlight w:val="none"/>
              </w:rPr>
            </w:pPr>
            <w:r>
              <w:rPr>
                <w:rFonts w:ascii="仿宋" w:hAnsi="仿宋" w:eastAsia="仿宋"/>
                <w:highlight w:val="none"/>
              </w:rPr>
              <w:t>万元</w:t>
            </w:r>
          </w:p>
        </w:tc>
        <w:tc>
          <w:tcPr>
            <w:tcW w:w="1830" w:type="dxa"/>
            <w:vAlign w:val="center"/>
          </w:tcPr>
          <w:p w14:paraId="6CF1D242">
            <w:pPr>
              <w:spacing w:line="500" w:lineRule="exact"/>
              <w:jc w:val="center"/>
              <w:outlineLvl w:val="9"/>
              <w:rPr>
                <w:rFonts w:eastAsia="仿宋"/>
                <w:highlight w:val="none"/>
              </w:rPr>
            </w:pPr>
            <w:r>
              <w:rPr>
                <w:rFonts w:eastAsia="仿宋"/>
                <w:highlight w:val="none"/>
              </w:rPr>
              <w:t>5000≤Y&lt;50000</w:t>
            </w:r>
          </w:p>
        </w:tc>
        <w:tc>
          <w:tcPr>
            <w:tcW w:w="1572" w:type="dxa"/>
            <w:vAlign w:val="center"/>
          </w:tcPr>
          <w:p w14:paraId="3B3562C6">
            <w:pPr>
              <w:spacing w:line="500" w:lineRule="exact"/>
              <w:jc w:val="center"/>
              <w:outlineLvl w:val="9"/>
              <w:rPr>
                <w:rFonts w:eastAsia="仿宋"/>
                <w:highlight w:val="none"/>
              </w:rPr>
            </w:pPr>
            <w:r>
              <w:rPr>
                <w:rFonts w:eastAsia="仿宋"/>
                <w:highlight w:val="none"/>
              </w:rPr>
              <w:t>1000≤Y&lt;5000</w:t>
            </w:r>
          </w:p>
        </w:tc>
        <w:tc>
          <w:tcPr>
            <w:tcW w:w="1036" w:type="dxa"/>
            <w:vAlign w:val="center"/>
          </w:tcPr>
          <w:p w14:paraId="7321CC96">
            <w:pPr>
              <w:spacing w:line="500" w:lineRule="exact"/>
              <w:jc w:val="center"/>
              <w:outlineLvl w:val="9"/>
              <w:rPr>
                <w:rFonts w:eastAsia="仿宋"/>
                <w:highlight w:val="none"/>
              </w:rPr>
            </w:pPr>
            <w:r>
              <w:rPr>
                <w:rFonts w:eastAsia="仿宋"/>
                <w:highlight w:val="none"/>
              </w:rPr>
              <w:t>Y&lt;1000</w:t>
            </w:r>
          </w:p>
        </w:tc>
      </w:tr>
      <w:tr w14:paraId="5E08FC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2A896FBB">
            <w:pPr>
              <w:spacing w:line="500" w:lineRule="exact"/>
              <w:jc w:val="center"/>
              <w:outlineLvl w:val="9"/>
              <w:rPr>
                <w:rFonts w:ascii="仿宋" w:hAnsi="仿宋" w:eastAsia="仿宋"/>
                <w:highlight w:val="none"/>
              </w:rPr>
            </w:pPr>
            <w:r>
              <w:rPr>
                <w:rFonts w:hint="eastAsia" w:ascii="仿宋" w:hAnsi="仿宋" w:eastAsia="仿宋"/>
                <w:highlight w:val="none"/>
              </w:rPr>
              <w:t>零售业</w:t>
            </w:r>
          </w:p>
        </w:tc>
        <w:tc>
          <w:tcPr>
            <w:tcW w:w="1447" w:type="dxa"/>
            <w:vAlign w:val="center"/>
          </w:tcPr>
          <w:p w14:paraId="24C2DE42">
            <w:pPr>
              <w:spacing w:line="500" w:lineRule="exact"/>
              <w:jc w:val="center"/>
              <w:outlineLvl w:val="9"/>
              <w:rPr>
                <w:rFonts w:ascii="仿宋" w:hAnsi="仿宋" w:eastAsia="仿宋"/>
                <w:highlight w:val="none"/>
              </w:rPr>
            </w:pPr>
            <w:r>
              <w:rPr>
                <w:rFonts w:ascii="仿宋" w:hAnsi="仿宋" w:eastAsia="仿宋"/>
                <w:highlight w:val="none"/>
              </w:rPr>
              <w:t>从业人员（</w:t>
            </w:r>
            <w:r>
              <w:rPr>
                <w:rFonts w:hint="eastAsia" w:ascii="仿宋" w:hAnsi="仿宋" w:eastAsia="仿宋"/>
                <w:highlight w:val="none"/>
              </w:rPr>
              <w:t>X）</w:t>
            </w:r>
          </w:p>
        </w:tc>
        <w:tc>
          <w:tcPr>
            <w:tcW w:w="683" w:type="dxa"/>
            <w:vAlign w:val="center"/>
          </w:tcPr>
          <w:p w14:paraId="7466A580">
            <w:pPr>
              <w:spacing w:line="500" w:lineRule="exact"/>
              <w:jc w:val="center"/>
              <w:outlineLvl w:val="9"/>
              <w:rPr>
                <w:rFonts w:ascii="仿宋" w:hAnsi="仿宋" w:eastAsia="仿宋"/>
                <w:highlight w:val="none"/>
              </w:rPr>
            </w:pPr>
            <w:r>
              <w:rPr>
                <w:rFonts w:ascii="仿宋" w:hAnsi="仿宋" w:eastAsia="仿宋"/>
                <w:highlight w:val="none"/>
              </w:rPr>
              <w:t>人</w:t>
            </w:r>
          </w:p>
        </w:tc>
        <w:tc>
          <w:tcPr>
            <w:tcW w:w="1830" w:type="dxa"/>
            <w:vAlign w:val="center"/>
          </w:tcPr>
          <w:p w14:paraId="52D2F451">
            <w:pPr>
              <w:spacing w:line="500" w:lineRule="exact"/>
              <w:jc w:val="center"/>
              <w:outlineLvl w:val="9"/>
              <w:rPr>
                <w:rFonts w:eastAsia="仿宋"/>
                <w:highlight w:val="none"/>
              </w:rPr>
            </w:pPr>
            <w:r>
              <w:rPr>
                <w:rFonts w:eastAsia="仿宋"/>
                <w:highlight w:val="none"/>
              </w:rPr>
              <w:t>50≤X&lt;300</w:t>
            </w:r>
          </w:p>
        </w:tc>
        <w:tc>
          <w:tcPr>
            <w:tcW w:w="1572" w:type="dxa"/>
            <w:vAlign w:val="center"/>
          </w:tcPr>
          <w:p w14:paraId="630E081B">
            <w:pPr>
              <w:spacing w:line="500" w:lineRule="exact"/>
              <w:jc w:val="center"/>
              <w:outlineLvl w:val="9"/>
              <w:rPr>
                <w:rFonts w:eastAsia="仿宋"/>
                <w:highlight w:val="none"/>
              </w:rPr>
            </w:pPr>
            <w:r>
              <w:rPr>
                <w:rFonts w:eastAsia="仿宋"/>
                <w:highlight w:val="none"/>
              </w:rPr>
              <w:t>10≤X&lt;50</w:t>
            </w:r>
          </w:p>
        </w:tc>
        <w:tc>
          <w:tcPr>
            <w:tcW w:w="1036" w:type="dxa"/>
            <w:vAlign w:val="center"/>
          </w:tcPr>
          <w:p w14:paraId="7474D1AB">
            <w:pPr>
              <w:spacing w:line="500" w:lineRule="exact"/>
              <w:jc w:val="center"/>
              <w:outlineLvl w:val="9"/>
              <w:rPr>
                <w:rFonts w:eastAsia="仿宋"/>
                <w:highlight w:val="none"/>
              </w:rPr>
            </w:pPr>
            <w:r>
              <w:rPr>
                <w:rFonts w:eastAsia="仿宋"/>
                <w:highlight w:val="none"/>
              </w:rPr>
              <w:t>X&lt;10</w:t>
            </w:r>
          </w:p>
        </w:tc>
      </w:tr>
      <w:tr w14:paraId="7FCEED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6416E198">
            <w:pPr>
              <w:spacing w:line="500" w:lineRule="exact"/>
              <w:jc w:val="center"/>
              <w:outlineLvl w:val="9"/>
              <w:rPr>
                <w:rFonts w:ascii="仿宋" w:hAnsi="仿宋" w:eastAsia="仿宋"/>
                <w:highlight w:val="none"/>
              </w:rPr>
            </w:pPr>
          </w:p>
        </w:tc>
        <w:tc>
          <w:tcPr>
            <w:tcW w:w="1447" w:type="dxa"/>
            <w:vAlign w:val="center"/>
          </w:tcPr>
          <w:p w14:paraId="5DE814D0">
            <w:pPr>
              <w:spacing w:line="500" w:lineRule="exact"/>
              <w:jc w:val="center"/>
              <w:outlineLvl w:val="9"/>
              <w:rPr>
                <w:rFonts w:ascii="仿宋" w:hAnsi="仿宋" w:eastAsia="仿宋"/>
                <w:highlight w:val="none"/>
              </w:rPr>
            </w:pPr>
            <w:r>
              <w:rPr>
                <w:rFonts w:ascii="仿宋" w:hAnsi="仿宋" w:eastAsia="仿宋"/>
                <w:highlight w:val="none"/>
              </w:rPr>
              <w:t>营业收入（</w:t>
            </w:r>
            <w:r>
              <w:rPr>
                <w:rFonts w:hint="eastAsia" w:ascii="仿宋" w:hAnsi="仿宋" w:eastAsia="仿宋"/>
                <w:highlight w:val="none"/>
              </w:rPr>
              <w:t>Y）</w:t>
            </w:r>
          </w:p>
        </w:tc>
        <w:tc>
          <w:tcPr>
            <w:tcW w:w="683" w:type="dxa"/>
            <w:vAlign w:val="center"/>
          </w:tcPr>
          <w:p w14:paraId="73ECD77C">
            <w:pPr>
              <w:spacing w:line="500" w:lineRule="exact"/>
              <w:jc w:val="center"/>
              <w:outlineLvl w:val="9"/>
              <w:rPr>
                <w:rFonts w:ascii="仿宋" w:hAnsi="仿宋" w:eastAsia="仿宋"/>
                <w:highlight w:val="none"/>
              </w:rPr>
            </w:pPr>
            <w:r>
              <w:rPr>
                <w:rFonts w:ascii="仿宋" w:hAnsi="仿宋" w:eastAsia="仿宋"/>
                <w:highlight w:val="none"/>
              </w:rPr>
              <w:t>万元</w:t>
            </w:r>
          </w:p>
        </w:tc>
        <w:tc>
          <w:tcPr>
            <w:tcW w:w="1830" w:type="dxa"/>
            <w:vAlign w:val="center"/>
          </w:tcPr>
          <w:p w14:paraId="118EEBE0">
            <w:pPr>
              <w:spacing w:line="500" w:lineRule="exact"/>
              <w:jc w:val="center"/>
              <w:outlineLvl w:val="9"/>
              <w:rPr>
                <w:rFonts w:eastAsia="仿宋"/>
                <w:highlight w:val="none"/>
              </w:rPr>
            </w:pPr>
            <w:r>
              <w:rPr>
                <w:rFonts w:eastAsia="仿宋"/>
                <w:highlight w:val="none"/>
              </w:rPr>
              <w:t>500≤Y&lt;20000</w:t>
            </w:r>
          </w:p>
        </w:tc>
        <w:tc>
          <w:tcPr>
            <w:tcW w:w="1572" w:type="dxa"/>
            <w:vAlign w:val="center"/>
          </w:tcPr>
          <w:p w14:paraId="6C6BF062">
            <w:pPr>
              <w:spacing w:line="500" w:lineRule="exact"/>
              <w:jc w:val="center"/>
              <w:outlineLvl w:val="9"/>
              <w:rPr>
                <w:rFonts w:eastAsia="仿宋"/>
                <w:highlight w:val="none"/>
              </w:rPr>
            </w:pPr>
            <w:r>
              <w:rPr>
                <w:rFonts w:eastAsia="仿宋"/>
                <w:highlight w:val="none"/>
              </w:rPr>
              <w:t>100≤Y&lt;500</w:t>
            </w:r>
          </w:p>
        </w:tc>
        <w:tc>
          <w:tcPr>
            <w:tcW w:w="1036" w:type="dxa"/>
            <w:vAlign w:val="center"/>
          </w:tcPr>
          <w:p w14:paraId="3E4F223C">
            <w:pPr>
              <w:spacing w:line="500" w:lineRule="exact"/>
              <w:jc w:val="center"/>
              <w:outlineLvl w:val="9"/>
              <w:rPr>
                <w:rFonts w:eastAsia="仿宋"/>
                <w:highlight w:val="none"/>
              </w:rPr>
            </w:pPr>
            <w:r>
              <w:rPr>
                <w:rFonts w:eastAsia="仿宋"/>
                <w:highlight w:val="none"/>
              </w:rPr>
              <w:t>Y&lt;100</w:t>
            </w:r>
          </w:p>
        </w:tc>
      </w:tr>
      <w:tr w14:paraId="4BA82F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00AB471B">
            <w:pPr>
              <w:spacing w:line="500" w:lineRule="exact"/>
              <w:jc w:val="center"/>
              <w:outlineLvl w:val="9"/>
              <w:rPr>
                <w:rFonts w:ascii="仿宋" w:hAnsi="仿宋" w:eastAsia="仿宋"/>
                <w:highlight w:val="none"/>
              </w:rPr>
            </w:pPr>
            <w:r>
              <w:rPr>
                <w:rFonts w:hint="eastAsia" w:ascii="仿宋" w:hAnsi="仿宋" w:eastAsia="仿宋"/>
                <w:highlight w:val="none"/>
              </w:rPr>
              <w:t>交通</w:t>
            </w:r>
            <w:r>
              <w:rPr>
                <w:rFonts w:ascii="仿宋" w:hAnsi="仿宋" w:eastAsia="仿宋"/>
                <w:highlight w:val="none"/>
              </w:rPr>
              <w:t>运输业</w:t>
            </w:r>
          </w:p>
        </w:tc>
        <w:tc>
          <w:tcPr>
            <w:tcW w:w="1447" w:type="dxa"/>
            <w:vAlign w:val="center"/>
          </w:tcPr>
          <w:p w14:paraId="3FF6976D">
            <w:pPr>
              <w:spacing w:line="500" w:lineRule="exact"/>
              <w:jc w:val="center"/>
              <w:outlineLvl w:val="9"/>
              <w:rPr>
                <w:rFonts w:ascii="仿宋" w:hAnsi="仿宋" w:eastAsia="仿宋"/>
                <w:highlight w:val="none"/>
              </w:rPr>
            </w:pPr>
            <w:r>
              <w:rPr>
                <w:rFonts w:ascii="仿宋" w:hAnsi="仿宋" w:eastAsia="仿宋"/>
                <w:highlight w:val="none"/>
              </w:rPr>
              <w:t>从业人员（</w:t>
            </w:r>
            <w:r>
              <w:rPr>
                <w:rFonts w:hint="eastAsia" w:ascii="仿宋" w:hAnsi="仿宋" w:eastAsia="仿宋"/>
                <w:highlight w:val="none"/>
              </w:rPr>
              <w:t>X）</w:t>
            </w:r>
          </w:p>
        </w:tc>
        <w:tc>
          <w:tcPr>
            <w:tcW w:w="683" w:type="dxa"/>
            <w:vAlign w:val="center"/>
          </w:tcPr>
          <w:p w14:paraId="48BA8D05">
            <w:pPr>
              <w:spacing w:line="500" w:lineRule="exact"/>
              <w:jc w:val="center"/>
              <w:outlineLvl w:val="9"/>
              <w:rPr>
                <w:rFonts w:ascii="仿宋" w:hAnsi="仿宋" w:eastAsia="仿宋"/>
                <w:highlight w:val="none"/>
              </w:rPr>
            </w:pPr>
            <w:r>
              <w:rPr>
                <w:rFonts w:ascii="仿宋" w:hAnsi="仿宋" w:eastAsia="仿宋"/>
                <w:highlight w:val="none"/>
              </w:rPr>
              <w:t>人</w:t>
            </w:r>
          </w:p>
        </w:tc>
        <w:tc>
          <w:tcPr>
            <w:tcW w:w="1830" w:type="dxa"/>
            <w:vAlign w:val="center"/>
          </w:tcPr>
          <w:p w14:paraId="6C3E1574">
            <w:pPr>
              <w:spacing w:line="500" w:lineRule="exact"/>
              <w:jc w:val="center"/>
              <w:outlineLvl w:val="9"/>
              <w:rPr>
                <w:rFonts w:eastAsia="仿宋"/>
                <w:highlight w:val="none"/>
              </w:rPr>
            </w:pPr>
            <w:r>
              <w:rPr>
                <w:rFonts w:eastAsia="仿宋"/>
                <w:highlight w:val="none"/>
              </w:rPr>
              <w:t>300≤X&lt;1000</w:t>
            </w:r>
          </w:p>
        </w:tc>
        <w:tc>
          <w:tcPr>
            <w:tcW w:w="1572" w:type="dxa"/>
            <w:vAlign w:val="center"/>
          </w:tcPr>
          <w:p w14:paraId="3639D414">
            <w:pPr>
              <w:spacing w:line="500" w:lineRule="exact"/>
              <w:jc w:val="center"/>
              <w:outlineLvl w:val="9"/>
              <w:rPr>
                <w:rFonts w:eastAsia="仿宋"/>
                <w:highlight w:val="none"/>
              </w:rPr>
            </w:pPr>
            <w:r>
              <w:rPr>
                <w:rFonts w:eastAsia="仿宋"/>
                <w:highlight w:val="none"/>
              </w:rPr>
              <w:t>20≤X&lt;300</w:t>
            </w:r>
          </w:p>
        </w:tc>
        <w:tc>
          <w:tcPr>
            <w:tcW w:w="1036" w:type="dxa"/>
            <w:vAlign w:val="center"/>
          </w:tcPr>
          <w:p w14:paraId="4264A026">
            <w:pPr>
              <w:spacing w:line="500" w:lineRule="exact"/>
              <w:jc w:val="center"/>
              <w:outlineLvl w:val="9"/>
              <w:rPr>
                <w:rFonts w:eastAsia="仿宋"/>
                <w:highlight w:val="none"/>
              </w:rPr>
            </w:pPr>
            <w:r>
              <w:rPr>
                <w:rFonts w:eastAsia="仿宋"/>
                <w:highlight w:val="none"/>
              </w:rPr>
              <w:t>X&lt;20</w:t>
            </w:r>
          </w:p>
        </w:tc>
      </w:tr>
      <w:tr w14:paraId="0B6875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2EE038AC">
            <w:pPr>
              <w:spacing w:line="500" w:lineRule="exact"/>
              <w:jc w:val="center"/>
              <w:outlineLvl w:val="9"/>
              <w:rPr>
                <w:rFonts w:ascii="仿宋" w:hAnsi="仿宋" w:eastAsia="仿宋"/>
                <w:highlight w:val="none"/>
              </w:rPr>
            </w:pPr>
          </w:p>
        </w:tc>
        <w:tc>
          <w:tcPr>
            <w:tcW w:w="1447" w:type="dxa"/>
            <w:vAlign w:val="center"/>
          </w:tcPr>
          <w:p w14:paraId="3E5B10E4">
            <w:pPr>
              <w:spacing w:line="500" w:lineRule="exact"/>
              <w:jc w:val="center"/>
              <w:outlineLvl w:val="9"/>
              <w:rPr>
                <w:rFonts w:ascii="仿宋" w:hAnsi="仿宋" w:eastAsia="仿宋"/>
                <w:highlight w:val="none"/>
              </w:rPr>
            </w:pPr>
            <w:r>
              <w:rPr>
                <w:rFonts w:ascii="仿宋" w:hAnsi="仿宋" w:eastAsia="仿宋"/>
                <w:highlight w:val="none"/>
              </w:rPr>
              <w:t>营业收入（</w:t>
            </w:r>
            <w:r>
              <w:rPr>
                <w:rFonts w:hint="eastAsia" w:ascii="仿宋" w:hAnsi="仿宋" w:eastAsia="仿宋"/>
                <w:highlight w:val="none"/>
              </w:rPr>
              <w:t>Y）</w:t>
            </w:r>
          </w:p>
        </w:tc>
        <w:tc>
          <w:tcPr>
            <w:tcW w:w="683" w:type="dxa"/>
            <w:vAlign w:val="center"/>
          </w:tcPr>
          <w:p w14:paraId="05355827">
            <w:pPr>
              <w:spacing w:line="500" w:lineRule="exact"/>
              <w:jc w:val="center"/>
              <w:outlineLvl w:val="9"/>
              <w:rPr>
                <w:rFonts w:ascii="仿宋" w:hAnsi="仿宋" w:eastAsia="仿宋"/>
                <w:highlight w:val="none"/>
              </w:rPr>
            </w:pPr>
            <w:r>
              <w:rPr>
                <w:rFonts w:ascii="仿宋" w:hAnsi="仿宋" w:eastAsia="仿宋"/>
                <w:highlight w:val="none"/>
              </w:rPr>
              <w:t>万元</w:t>
            </w:r>
          </w:p>
        </w:tc>
        <w:tc>
          <w:tcPr>
            <w:tcW w:w="1830" w:type="dxa"/>
            <w:vAlign w:val="center"/>
          </w:tcPr>
          <w:p w14:paraId="718B62FE">
            <w:pPr>
              <w:spacing w:line="500" w:lineRule="exact"/>
              <w:jc w:val="center"/>
              <w:outlineLvl w:val="9"/>
              <w:rPr>
                <w:rFonts w:eastAsia="仿宋"/>
                <w:highlight w:val="none"/>
              </w:rPr>
            </w:pPr>
            <w:r>
              <w:rPr>
                <w:rFonts w:eastAsia="仿宋"/>
                <w:highlight w:val="none"/>
              </w:rPr>
              <w:t>3000≤Y&lt;30000</w:t>
            </w:r>
          </w:p>
        </w:tc>
        <w:tc>
          <w:tcPr>
            <w:tcW w:w="1572" w:type="dxa"/>
            <w:vAlign w:val="center"/>
          </w:tcPr>
          <w:p w14:paraId="1427B218">
            <w:pPr>
              <w:spacing w:line="500" w:lineRule="exact"/>
              <w:jc w:val="center"/>
              <w:outlineLvl w:val="9"/>
              <w:rPr>
                <w:rFonts w:eastAsia="仿宋"/>
                <w:highlight w:val="none"/>
              </w:rPr>
            </w:pPr>
            <w:r>
              <w:rPr>
                <w:rFonts w:eastAsia="仿宋"/>
                <w:highlight w:val="none"/>
              </w:rPr>
              <w:t>200≤Y&lt;3000</w:t>
            </w:r>
          </w:p>
        </w:tc>
        <w:tc>
          <w:tcPr>
            <w:tcW w:w="1036" w:type="dxa"/>
            <w:vAlign w:val="center"/>
          </w:tcPr>
          <w:p w14:paraId="03DC16D0">
            <w:pPr>
              <w:spacing w:line="500" w:lineRule="exact"/>
              <w:jc w:val="center"/>
              <w:outlineLvl w:val="9"/>
              <w:rPr>
                <w:rFonts w:eastAsia="仿宋"/>
                <w:highlight w:val="none"/>
              </w:rPr>
            </w:pPr>
            <w:r>
              <w:rPr>
                <w:rFonts w:eastAsia="仿宋"/>
                <w:highlight w:val="none"/>
              </w:rPr>
              <w:t>Y&lt;200</w:t>
            </w:r>
          </w:p>
        </w:tc>
      </w:tr>
      <w:tr w14:paraId="5520B6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0FEFB7CE">
            <w:pPr>
              <w:spacing w:line="500" w:lineRule="exact"/>
              <w:jc w:val="center"/>
              <w:outlineLvl w:val="9"/>
              <w:rPr>
                <w:rFonts w:ascii="仿宋" w:hAnsi="仿宋" w:eastAsia="仿宋"/>
                <w:highlight w:val="none"/>
              </w:rPr>
            </w:pPr>
            <w:r>
              <w:rPr>
                <w:rFonts w:hint="eastAsia" w:ascii="仿宋" w:hAnsi="仿宋" w:eastAsia="仿宋"/>
                <w:highlight w:val="none"/>
              </w:rPr>
              <w:t>仓储</w:t>
            </w:r>
            <w:r>
              <w:rPr>
                <w:rFonts w:ascii="仿宋" w:hAnsi="仿宋" w:eastAsia="仿宋"/>
                <w:highlight w:val="none"/>
              </w:rPr>
              <w:t>业</w:t>
            </w:r>
          </w:p>
        </w:tc>
        <w:tc>
          <w:tcPr>
            <w:tcW w:w="1447" w:type="dxa"/>
            <w:vAlign w:val="center"/>
          </w:tcPr>
          <w:p w14:paraId="02495E67">
            <w:pPr>
              <w:spacing w:line="500" w:lineRule="exact"/>
              <w:jc w:val="center"/>
              <w:outlineLvl w:val="9"/>
              <w:rPr>
                <w:rFonts w:ascii="仿宋" w:hAnsi="仿宋" w:eastAsia="仿宋"/>
                <w:highlight w:val="none"/>
              </w:rPr>
            </w:pPr>
            <w:r>
              <w:rPr>
                <w:rFonts w:ascii="仿宋" w:hAnsi="仿宋" w:eastAsia="仿宋"/>
                <w:highlight w:val="none"/>
              </w:rPr>
              <w:t>从业人员（</w:t>
            </w:r>
            <w:r>
              <w:rPr>
                <w:rFonts w:hint="eastAsia" w:ascii="仿宋" w:hAnsi="仿宋" w:eastAsia="仿宋"/>
                <w:highlight w:val="none"/>
              </w:rPr>
              <w:t>X）</w:t>
            </w:r>
          </w:p>
        </w:tc>
        <w:tc>
          <w:tcPr>
            <w:tcW w:w="683" w:type="dxa"/>
            <w:vAlign w:val="center"/>
          </w:tcPr>
          <w:p w14:paraId="11E25D1F">
            <w:pPr>
              <w:spacing w:line="500" w:lineRule="exact"/>
              <w:jc w:val="center"/>
              <w:outlineLvl w:val="9"/>
              <w:rPr>
                <w:rFonts w:ascii="仿宋" w:hAnsi="仿宋" w:eastAsia="仿宋"/>
                <w:highlight w:val="none"/>
              </w:rPr>
            </w:pPr>
            <w:r>
              <w:rPr>
                <w:rFonts w:ascii="仿宋" w:hAnsi="仿宋" w:eastAsia="仿宋"/>
                <w:highlight w:val="none"/>
              </w:rPr>
              <w:t>人</w:t>
            </w:r>
          </w:p>
        </w:tc>
        <w:tc>
          <w:tcPr>
            <w:tcW w:w="1830" w:type="dxa"/>
            <w:vAlign w:val="center"/>
          </w:tcPr>
          <w:p w14:paraId="7F62BC8F">
            <w:pPr>
              <w:spacing w:line="500" w:lineRule="exact"/>
              <w:jc w:val="center"/>
              <w:outlineLvl w:val="9"/>
              <w:rPr>
                <w:rFonts w:eastAsia="仿宋"/>
                <w:highlight w:val="none"/>
              </w:rPr>
            </w:pPr>
            <w:r>
              <w:rPr>
                <w:rFonts w:eastAsia="仿宋"/>
                <w:highlight w:val="none"/>
              </w:rPr>
              <w:t>100≤X&lt;200</w:t>
            </w:r>
          </w:p>
        </w:tc>
        <w:tc>
          <w:tcPr>
            <w:tcW w:w="1572" w:type="dxa"/>
            <w:vAlign w:val="center"/>
          </w:tcPr>
          <w:p w14:paraId="63F2FE4C">
            <w:pPr>
              <w:spacing w:line="500" w:lineRule="exact"/>
              <w:jc w:val="center"/>
              <w:outlineLvl w:val="9"/>
              <w:rPr>
                <w:rFonts w:eastAsia="仿宋"/>
                <w:highlight w:val="none"/>
              </w:rPr>
            </w:pPr>
            <w:r>
              <w:rPr>
                <w:rFonts w:eastAsia="仿宋"/>
                <w:highlight w:val="none"/>
              </w:rPr>
              <w:t>20≤X&lt;100</w:t>
            </w:r>
          </w:p>
        </w:tc>
        <w:tc>
          <w:tcPr>
            <w:tcW w:w="1036" w:type="dxa"/>
            <w:vAlign w:val="center"/>
          </w:tcPr>
          <w:p w14:paraId="71A13131">
            <w:pPr>
              <w:spacing w:line="500" w:lineRule="exact"/>
              <w:jc w:val="center"/>
              <w:outlineLvl w:val="9"/>
              <w:rPr>
                <w:rFonts w:eastAsia="仿宋"/>
                <w:highlight w:val="none"/>
              </w:rPr>
            </w:pPr>
            <w:r>
              <w:rPr>
                <w:rFonts w:eastAsia="仿宋"/>
                <w:highlight w:val="none"/>
              </w:rPr>
              <w:t>X&lt;20</w:t>
            </w:r>
          </w:p>
        </w:tc>
      </w:tr>
      <w:tr w14:paraId="07D380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22EB887A">
            <w:pPr>
              <w:spacing w:line="500" w:lineRule="exact"/>
              <w:jc w:val="center"/>
              <w:outlineLvl w:val="9"/>
              <w:rPr>
                <w:rFonts w:ascii="仿宋" w:hAnsi="仿宋" w:eastAsia="仿宋"/>
                <w:highlight w:val="none"/>
              </w:rPr>
            </w:pPr>
          </w:p>
        </w:tc>
        <w:tc>
          <w:tcPr>
            <w:tcW w:w="1447" w:type="dxa"/>
            <w:vAlign w:val="center"/>
          </w:tcPr>
          <w:p w14:paraId="688D5F9C">
            <w:pPr>
              <w:spacing w:line="500" w:lineRule="exact"/>
              <w:jc w:val="center"/>
              <w:outlineLvl w:val="9"/>
              <w:rPr>
                <w:rFonts w:ascii="仿宋" w:hAnsi="仿宋" w:eastAsia="仿宋"/>
                <w:highlight w:val="none"/>
              </w:rPr>
            </w:pPr>
            <w:r>
              <w:rPr>
                <w:rFonts w:ascii="仿宋" w:hAnsi="仿宋" w:eastAsia="仿宋"/>
                <w:highlight w:val="none"/>
              </w:rPr>
              <w:t>营业收入（</w:t>
            </w:r>
            <w:r>
              <w:rPr>
                <w:rFonts w:hint="eastAsia" w:ascii="仿宋" w:hAnsi="仿宋" w:eastAsia="仿宋"/>
                <w:highlight w:val="none"/>
              </w:rPr>
              <w:t>Y）</w:t>
            </w:r>
          </w:p>
        </w:tc>
        <w:tc>
          <w:tcPr>
            <w:tcW w:w="683" w:type="dxa"/>
            <w:vAlign w:val="center"/>
          </w:tcPr>
          <w:p w14:paraId="106DAB31">
            <w:pPr>
              <w:spacing w:line="500" w:lineRule="exact"/>
              <w:jc w:val="center"/>
              <w:outlineLvl w:val="9"/>
              <w:rPr>
                <w:rFonts w:ascii="仿宋" w:hAnsi="仿宋" w:eastAsia="仿宋"/>
                <w:highlight w:val="none"/>
              </w:rPr>
            </w:pPr>
            <w:r>
              <w:rPr>
                <w:rFonts w:ascii="仿宋" w:hAnsi="仿宋" w:eastAsia="仿宋"/>
                <w:highlight w:val="none"/>
              </w:rPr>
              <w:t>万元</w:t>
            </w:r>
          </w:p>
        </w:tc>
        <w:tc>
          <w:tcPr>
            <w:tcW w:w="1830" w:type="dxa"/>
            <w:vAlign w:val="center"/>
          </w:tcPr>
          <w:p w14:paraId="0BBC2EE1">
            <w:pPr>
              <w:spacing w:line="500" w:lineRule="exact"/>
              <w:jc w:val="center"/>
              <w:outlineLvl w:val="9"/>
              <w:rPr>
                <w:rFonts w:eastAsia="仿宋"/>
                <w:highlight w:val="none"/>
              </w:rPr>
            </w:pPr>
            <w:r>
              <w:rPr>
                <w:rFonts w:eastAsia="仿宋"/>
                <w:highlight w:val="none"/>
              </w:rPr>
              <w:t>1000≤Y&lt;30000</w:t>
            </w:r>
          </w:p>
        </w:tc>
        <w:tc>
          <w:tcPr>
            <w:tcW w:w="1572" w:type="dxa"/>
            <w:vAlign w:val="center"/>
          </w:tcPr>
          <w:p w14:paraId="736D0F82">
            <w:pPr>
              <w:spacing w:line="500" w:lineRule="exact"/>
              <w:jc w:val="center"/>
              <w:outlineLvl w:val="9"/>
              <w:rPr>
                <w:rFonts w:eastAsia="仿宋"/>
                <w:highlight w:val="none"/>
              </w:rPr>
            </w:pPr>
            <w:r>
              <w:rPr>
                <w:rFonts w:eastAsia="仿宋"/>
                <w:highlight w:val="none"/>
              </w:rPr>
              <w:t>100≤Y&lt;1000</w:t>
            </w:r>
          </w:p>
        </w:tc>
        <w:tc>
          <w:tcPr>
            <w:tcW w:w="1036" w:type="dxa"/>
            <w:vAlign w:val="center"/>
          </w:tcPr>
          <w:p w14:paraId="17C2BB6C">
            <w:pPr>
              <w:spacing w:line="500" w:lineRule="exact"/>
              <w:jc w:val="center"/>
              <w:outlineLvl w:val="9"/>
              <w:rPr>
                <w:rFonts w:eastAsia="仿宋"/>
                <w:highlight w:val="none"/>
              </w:rPr>
            </w:pPr>
            <w:r>
              <w:rPr>
                <w:rFonts w:eastAsia="仿宋"/>
                <w:highlight w:val="none"/>
              </w:rPr>
              <w:t>Y&lt;100</w:t>
            </w:r>
          </w:p>
        </w:tc>
      </w:tr>
      <w:tr w14:paraId="4B8ABA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25DF1283">
            <w:pPr>
              <w:spacing w:line="500" w:lineRule="exact"/>
              <w:jc w:val="center"/>
              <w:outlineLvl w:val="9"/>
              <w:rPr>
                <w:rFonts w:ascii="仿宋" w:hAnsi="仿宋" w:eastAsia="仿宋"/>
                <w:highlight w:val="none"/>
              </w:rPr>
            </w:pPr>
            <w:r>
              <w:rPr>
                <w:rFonts w:hint="eastAsia" w:ascii="仿宋" w:hAnsi="仿宋" w:eastAsia="仿宋"/>
                <w:highlight w:val="none"/>
              </w:rPr>
              <w:t>邮</w:t>
            </w:r>
            <w:r>
              <w:rPr>
                <w:rFonts w:ascii="仿宋" w:hAnsi="仿宋" w:eastAsia="仿宋"/>
                <w:highlight w:val="none"/>
              </w:rPr>
              <w:t>政业</w:t>
            </w:r>
          </w:p>
        </w:tc>
        <w:tc>
          <w:tcPr>
            <w:tcW w:w="1447" w:type="dxa"/>
            <w:vAlign w:val="center"/>
          </w:tcPr>
          <w:p w14:paraId="0F5C0977">
            <w:pPr>
              <w:spacing w:line="500" w:lineRule="exact"/>
              <w:jc w:val="center"/>
              <w:outlineLvl w:val="9"/>
              <w:rPr>
                <w:rFonts w:ascii="仿宋" w:hAnsi="仿宋" w:eastAsia="仿宋"/>
                <w:highlight w:val="none"/>
              </w:rPr>
            </w:pPr>
            <w:r>
              <w:rPr>
                <w:rFonts w:ascii="仿宋" w:hAnsi="仿宋" w:eastAsia="仿宋"/>
                <w:highlight w:val="none"/>
              </w:rPr>
              <w:t>从业人员（</w:t>
            </w:r>
            <w:r>
              <w:rPr>
                <w:rFonts w:hint="eastAsia" w:ascii="仿宋" w:hAnsi="仿宋" w:eastAsia="仿宋"/>
                <w:highlight w:val="none"/>
              </w:rPr>
              <w:t>X）</w:t>
            </w:r>
          </w:p>
        </w:tc>
        <w:tc>
          <w:tcPr>
            <w:tcW w:w="683" w:type="dxa"/>
            <w:vAlign w:val="center"/>
          </w:tcPr>
          <w:p w14:paraId="5A10E5D9">
            <w:pPr>
              <w:spacing w:line="500" w:lineRule="exact"/>
              <w:jc w:val="center"/>
              <w:outlineLvl w:val="9"/>
              <w:rPr>
                <w:rFonts w:ascii="仿宋" w:hAnsi="仿宋" w:eastAsia="仿宋"/>
                <w:highlight w:val="none"/>
              </w:rPr>
            </w:pPr>
            <w:r>
              <w:rPr>
                <w:rFonts w:ascii="仿宋" w:hAnsi="仿宋" w:eastAsia="仿宋"/>
                <w:highlight w:val="none"/>
              </w:rPr>
              <w:t>人</w:t>
            </w:r>
          </w:p>
        </w:tc>
        <w:tc>
          <w:tcPr>
            <w:tcW w:w="1830" w:type="dxa"/>
            <w:vAlign w:val="center"/>
          </w:tcPr>
          <w:p w14:paraId="750436FD">
            <w:pPr>
              <w:spacing w:line="500" w:lineRule="exact"/>
              <w:jc w:val="center"/>
              <w:outlineLvl w:val="9"/>
              <w:rPr>
                <w:rFonts w:eastAsia="仿宋"/>
                <w:highlight w:val="none"/>
              </w:rPr>
            </w:pPr>
            <w:r>
              <w:rPr>
                <w:rFonts w:eastAsia="仿宋"/>
                <w:highlight w:val="none"/>
              </w:rPr>
              <w:t>300≤X&lt;1000</w:t>
            </w:r>
          </w:p>
        </w:tc>
        <w:tc>
          <w:tcPr>
            <w:tcW w:w="1572" w:type="dxa"/>
            <w:vAlign w:val="center"/>
          </w:tcPr>
          <w:p w14:paraId="7504AD04">
            <w:pPr>
              <w:spacing w:line="500" w:lineRule="exact"/>
              <w:jc w:val="center"/>
              <w:outlineLvl w:val="9"/>
              <w:rPr>
                <w:rFonts w:eastAsia="仿宋"/>
                <w:highlight w:val="none"/>
              </w:rPr>
            </w:pPr>
            <w:r>
              <w:rPr>
                <w:rFonts w:eastAsia="仿宋"/>
                <w:highlight w:val="none"/>
              </w:rPr>
              <w:t>20≤X&lt;300</w:t>
            </w:r>
          </w:p>
        </w:tc>
        <w:tc>
          <w:tcPr>
            <w:tcW w:w="1036" w:type="dxa"/>
            <w:vAlign w:val="center"/>
          </w:tcPr>
          <w:p w14:paraId="2F3A8587">
            <w:pPr>
              <w:spacing w:line="500" w:lineRule="exact"/>
              <w:jc w:val="center"/>
              <w:outlineLvl w:val="9"/>
              <w:rPr>
                <w:rFonts w:eastAsia="仿宋"/>
                <w:highlight w:val="none"/>
              </w:rPr>
            </w:pPr>
            <w:r>
              <w:rPr>
                <w:rFonts w:eastAsia="仿宋"/>
                <w:highlight w:val="none"/>
              </w:rPr>
              <w:t>X&lt;20</w:t>
            </w:r>
          </w:p>
        </w:tc>
      </w:tr>
      <w:tr w14:paraId="0DE129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541D1865">
            <w:pPr>
              <w:spacing w:line="500" w:lineRule="exact"/>
              <w:jc w:val="center"/>
              <w:outlineLvl w:val="9"/>
              <w:rPr>
                <w:rFonts w:ascii="仿宋" w:hAnsi="仿宋" w:eastAsia="仿宋"/>
                <w:highlight w:val="none"/>
              </w:rPr>
            </w:pPr>
          </w:p>
        </w:tc>
        <w:tc>
          <w:tcPr>
            <w:tcW w:w="1447" w:type="dxa"/>
            <w:vAlign w:val="center"/>
          </w:tcPr>
          <w:p w14:paraId="0BD6E7B3">
            <w:pPr>
              <w:spacing w:line="500" w:lineRule="exact"/>
              <w:jc w:val="center"/>
              <w:outlineLvl w:val="9"/>
              <w:rPr>
                <w:rFonts w:ascii="仿宋" w:hAnsi="仿宋" w:eastAsia="仿宋"/>
                <w:highlight w:val="none"/>
              </w:rPr>
            </w:pPr>
            <w:r>
              <w:rPr>
                <w:rFonts w:ascii="仿宋" w:hAnsi="仿宋" w:eastAsia="仿宋"/>
                <w:highlight w:val="none"/>
              </w:rPr>
              <w:t>营业收入（</w:t>
            </w:r>
            <w:r>
              <w:rPr>
                <w:rFonts w:hint="eastAsia" w:ascii="仿宋" w:hAnsi="仿宋" w:eastAsia="仿宋"/>
                <w:highlight w:val="none"/>
              </w:rPr>
              <w:t>Y）</w:t>
            </w:r>
          </w:p>
        </w:tc>
        <w:tc>
          <w:tcPr>
            <w:tcW w:w="683" w:type="dxa"/>
            <w:vAlign w:val="center"/>
          </w:tcPr>
          <w:p w14:paraId="352DA07F">
            <w:pPr>
              <w:spacing w:line="500" w:lineRule="exact"/>
              <w:jc w:val="center"/>
              <w:outlineLvl w:val="9"/>
              <w:rPr>
                <w:rFonts w:ascii="仿宋" w:hAnsi="仿宋" w:eastAsia="仿宋"/>
                <w:highlight w:val="none"/>
              </w:rPr>
            </w:pPr>
            <w:r>
              <w:rPr>
                <w:rFonts w:ascii="仿宋" w:hAnsi="仿宋" w:eastAsia="仿宋"/>
                <w:highlight w:val="none"/>
              </w:rPr>
              <w:t>万元</w:t>
            </w:r>
          </w:p>
        </w:tc>
        <w:tc>
          <w:tcPr>
            <w:tcW w:w="1830" w:type="dxa"/>
            <w:vAlign w:val="center"/>
          </w:tcPr>
          <w:p w14:paraId="74599D37">
            <w:pPr>
              <w:spacing w:line="500" w:lineRule="exact"/>
              <w:jc w:val="center"/>
              <w:outlineLvl w:val="9"/>
              <w:rPr>
                <w:rFonts w:eastAsia="仿宋"/>
                <w:highlight w:val="none"/>
              </w:rPr>
            </w:pPr>
            <w:r>
              <w:rPr>
                <w:rFonts w:eastAsia="仿宋"/>
                <w:highlight w:val="none"/>
              </w:rPr>
              <w:t>2000≤Y&lt;30000</w:t>
            </w:r>
          </w:p>
        </w:tc>
        <w:tc>
          <w:tcPr>
            <w:tcW w:w="1572" w:type="dxa"/>
            <w:vAlign w:val="center"/>
          </w:tcPr>
          <w:p w14:paraId="3E0D329B">
            <w:pPr>
              <w:spacing w:line="500" w:lineRule="exact"/>
              <w:jc w:val="center"/>
              <w:outlineLvl w:val="9"/>
              <w:rPr>
                <w:rFonts w:eastAsia="仿宋"/>
                <w:highlight w:val="none"/>
              </w:rPr>
            </w:pPr>
            <w:r>
              <w:rPr>
                <w:rFonts w:eastAsia="仿宋"/>
                <w:highlight w:val="none"/>
              </w:rPr>
              <w:t>100≤Y&lt;2000</w:t>
            </w:r>
          </w:p>
        </w:tc>
        <w:tc>
          <w:tcPr>
            <w:tcW w:w="1036" w:type="dxa"/>
            <w:vAlign w:val="center"/>
          </w:tcPr>
          <w:p w14:paraId="0BB708A2">
            <w:pPr>
              <w:spacing w:line="500" w:lineRule="exact"/>
              <w:jc w:val="center"/>
              <w:outlineLvl w:val="9"/>
              <w:rPr>
                <w:rFonts w:eastAsia="仿宋"/>
                <w:highlight w:val="none"/>
              </w:rPr>
            </w:pPr>
            <w:r>
              <w:rPr>
                <w:rFonts w:eastAsia="仿宋"/>
                <w:highlight w:val="none"/>
              </w:rPr>
              <w:t>Y&lt;100</w:t>
            </w:r>
          </w:p>
        </w:tc>
      </w:tr>
      <w:tr w14:paraId="3AF8E3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2CE30A8B">
            <w:pPr>
              <w:spacing w:line="500" w:lineRule="exact"/>
              <w:jc w:val="center"/>
              <w:outlineLvl w:val="9"/>
              <w:rPr>
                <w:rFonts w:ascii="仿宋" w:hAnsi="仿宋" w:eastAsia="仿宋"/>
                <w:highlight w:val="none"/>
              </w:rPr>
            </w:pPr>
            <w:r>
              <w:rPr>
                <w:rFonts w:hint="eastAsia" w:ascii="仿宋" w:hAnsi="仿宋" w:eastAsia="仿宋"/>
                <w:highlight w:val="none"/>
              </w:rPr>
              <w:t>住</w:t>
            </w:r>
            <w:r>
              <w:rPr>
                <w:rFonts w:ascii="仿宋" w:hAnsi="仿宋" w:eastAsia="仿宋"/>
                <w:highlight w:val="none"/>
              </w:rPr>
              <w:t>宿业</w:t>
            </w:r>
          </w:p>
        </w:tc>
        <w:tc>
          <w:tcPr>
            <w:tcW w:w="1447" w:type="dxa"/>
            <w:vAlign w:val="center"/>
          </w:tcPr>
          <w:p w14:paraId="6EAAEFBB">
            <w:pPr>
              <w:spacing w:line="500" w:lineRule="exact"/>
              <w:jc w:val="center"/>
              <w:outlineLvl w:val="9"/>
              <w:rPr>
                <w:rFonts w:ascii="仿宋" w:hAnsi="仿宋" w:eastAsia="仿宋"/>
                <w:highlight w:val="none"/>
              </w:rPr>
            </w:pPr>
            <w:r>
              <w:rPr>
                <w:rFonts w:ascii="仿宋" w:hAnsi="仿宋" w:eastAsia="仿宋"/>
                <w:highlight w:val="none"/>
              </w:rPr>
              <w:t>从业人员（</w:t>
            </w:r>
            <w:r>
              <w:rPr>
                <w:rFonts w:hint="eastAsia" w:ascii="仿宋" w:hAnsi="仿宋" w:eastAsia="仿宋"/>
                <w:highlight w:val="none"/>
              </w:rPr>
              <w:t>X）</w:t>
            </w:r>
          </w:p>
        </w:tc>
        <w:tc>
          <w:tcPr>
            <w:tcW w:w="683" w:type="dxa"/>
            <w:vAlign w:val="center"/>
          </w:tcPr>
          <w:p w14:paraId="4FFCFFCC">
            <w:pPr>
              <w:spacing w:line="500" w:lineRule="exact"/>
              <w:jc w:val="center"/>
              <w:outlineLvl w:val="9"/>
              <w:rPr>
                <w:rFonts w:ascii="仿宋" w:hAnsi="仿宋" w:eastAsia="仿宋"/>
                <w:highlight w:val="none"/>
              </w:rPr>
            </w:pPr>
            <w:r>
              <w:rPr>
                <w:rFonts w:ascii="仿宋" w:hAnsi="仿宋" w:eastAsia="仿宋"/>
                <w:highlight w:val="none"/>
              </w:rPr>
              <w:t>人</w:t>
            </w:r>
          </w:p>
        </w:tc>
        <w:tc>
          <w:tcPr>
            <w:tcW w:w="1830" w:type="dxa"/>
            <w:vAlign w:val="center"/>
          </w:tcPr>
          <w:p w14:paraId="793B49DD">
            <w:pPr>
              <w:spacing w:line="500" w:lineRule="exact"/>
              <w:jc w:val="center"/>
              <w:outlineLvl w:val="9"/>
              <w:rPr>
                <w:rFonts w:eastAsia="仿宋"/>
                <w:highlight w:val="none"/>
              </w:rPr>
            </w:pPr>
            <w:r>
              <w:rPr>
                <w:rFonts w:eastAsia="仿宋"/>
                <w:highlight w:val="none"/>
              </w:rPr>
              <w:t>100≤X&lt;300</w:t>
            </w:r>
          </w:p>
        </w:tc>
        <w:tc>
          <w:tcPr>
            <w:tcW w:w="1572" w:type="dxa"/>
            <w:vAlign w:val="center"/>
          </w:tcPr>
          <w:p w14:paraId="46AB90FF">
            <w:pPr>
              <w:spacing w:line="500" w:lineRule="exact"/>
              <w:jc w:val="center"/>
              <w:outlineLvl w:val="9"/>
              <w:rPr>
                <w:rFonts w:eastAsia="仿宋"/>
                <w:highlight w:val="none"/>
              </w:rPr>
            </w:pPr>
            <w:r>
              <w:rPr>
                <w:rFonts w:eastAsia="仿宋"/>
                <w:highlight w:val="none"/>
              </w:rPr>
              <w:t>10≤X&lt;100</w:t>
            </w:r>
          </w:p>
        </w:tc>
        <w:tc>
          <w:tcPr>
            <w:tcW w:w="1036" w:type="dxa"/>
            <w:vAlign w:val="center"/>
          </w:tcPr>
          <w:p w14:paraId="7FA4685D">
            <w:pPr>
              <w:spacing w:line="500" w:lineRule="exact"/>
              <w:jc w:val="center"/>
              <w:outlineLvl w:val="9"/>
              <w:rPr>
                <w:rFonts w:eastAsia="仿宋"/>
                <w:highlight w:val="none"/>
              </w:rPr>
            </w:pPr>
            <w:r>
              <w:rPr>
                <w:rFonts w:eastAsia="仿宋"/>
                <w:highlight w:val="none"/>
              </w:rPr>
              <w:t>X&lt;10</w:t>
            </w:r>
          </w:p>
        </w:tc>
      </w:tr>
      <w:tr w14:paraId="6BD939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3AD3F4F7">
            <w:pPr>
              <w:spacing w:line="500" w:lineRule="exact"/>
              <w:jc w:val="center"/>
              <w:outlineLvl w:val="9"/>
              <w:rPr>
                <w:rFonts w:ascii="仿宋" w:hAnsi="仿宋" w:eastAsia="仿宋"/>
                <w:highlight w:val="none"/>
              </w:rPr>
            </w:pPr>
          </w:p>
        </w:tc>
        <w:tc>
          <w:tcPr>
            <w:tcW w:w="1447" w:type="dxa"/>
            <w:vAlign w:val="center"/>
          </w:tcPr>
          <w:p w14:paraId="5B48B719">
            <w:pPr>
              <w:spacing w:line="500" w:lineRule="exact"/>
              <w:jc w:val="center"/>
              <w:outlineLvl w:val="9"/>
              <w:rPr>
                <w:rFonts w:ascii="仿宋" w:hAnsi="仿宋" w:eastAsia="仿宋"/>
                <w:highlight w:val="none"/>
              </w:rPr>
            </w:pPr>
            <w:r>
              <w:rPr>
                <w:rFonts w:ascii="仿宋" w:hAnsi="仿宋" w:eastAsia="仿宋"/>
                <w:highlight w:val="none"/>
              </w:rPr>
              <w:t>营业收入（</w:t>
            </w:r>
            <w:r>
              <w:rPr>
                <w:rFonts w:hint="eastAsia" w:ascii="仿宋" w:hAnsi="仿宋" w:eastAsia="仿宋"/>
                <w:highlight w:val="none"/>
              </w:rPr>
              <w:t>Y）</w:t>
            </w:r>
          </w:p>
        </w:tc>
        <w:tc>
          <w:tcPr>
            <w:tcW w:w="683" w:type="dxa"/>
            <w:vAlign w:val="center"/>
          </w:tcPr>
          <w:p w14:paraId="7AF10E8A">
            <w:pPr>
              <w:spacing w:line="500" w:lineRule="exact"/>
              <w:jc w:val="center"/>
              <w:outlineLvl w:val="9"/>
              <w:rPr>
                <w:rFonts w:ascii="仿宋" w:hAnsi="仿宋" w:eastAsia="仿宋"/>
                <w:highlight w:val="none"/>
              </w:rPr>
            </w:pPr>
            <w:r>
              <w:rPr>
                <w:rFonts w:ascii="仿宋" w:hAnsi="仿宋" w:eastAsia="仿宋"/>
                <w:highlight w:val="none"/>
              </w:rPr>
              <w:t>万元</w:t>
            </w:r>
          </w:p>
        </w:tc>
        <w:tc>
          <w:tcPr>
            <w:tcW w:w="1830" w:type="dxa"/>
            <w:vAlign w:val="center"/>
          </w:tcPr>
          <w:p w14:paraId="3617831B">
            <w:pPr>
              <w:spacing w:line="500" w:lineRule="exact"/>
              <w:jc w:val="center"/>
              <w:outlineLvl w:val="9"/>
              <w:rPr>
                <w:rFonts w:eastAsia="仿宋"/>
                <w:highlight w:val="none"/>
              </w:rPr>
            </w:pPr>
            <w:r>
              <w:rPr>
                <w:rFonts w:eastAsia="仿宋"/>
                <w:highlight w:val="none"/>
              </w:rPr>
              <w:t>2000≤Y&lt;10000</w:t>
            </w:r>
          </w:p>
        </w:tc>
        <w:tc>
          <w:tcPr>
            <w:tcW w:w="1572" w:type="dxa"/>
            <w:vAlign w:val="center"/>
          </w:tcPr>
          <w:p w14:paraId="6BC162B9">
            <w:pPr>
              <w:spacing w:line="500" w:lineRule="exact"/>
              <w:jc w:val="center"/>
              <w:outlineLvl w:val="9"/>
              <w:rPr>
                <w:rFonts w:eastAsia="仿宋"/>
                <w:highlight w:val="none"/>
              </w:rPr>
            </w:pPr>
            <w:r>
              <w:rPr>
                <w:rFonts w:eastAsia="仿宋"/>
                <w:highlight w:val="none"/>
              </w:rPr>
              <w:t>100≤Y&lt;2000</w:t>
            </w:r>
          </w:p>
        </w:tc>
        <w:tc>
          <w:tcPr>
            <w:tcW w:w="1036" w:type="dxa"/>
            <w:vAlign w:val="center"/>
          </w:tcPr>
          <w:p w14:paraId="665C0127">
            <w:pPr>
              <w:spacing w:line="500" w:lineRule="exact"/>
              <w:jc w:val="center"/>
              <w:outlineLvl w:val="9"/>
              <w:rPr>
                <w:rFonts w:eastAsia="仿宋"/>
                <w:highlight w:val="none"/>
              </w:rPr>
            </w:pPr>
            <w:r>
              <w:rPr>
                <w:rFonts w:eastAsia="仿宋"/>
                <w:highlight w:val="none"/>
              </w:rPr>
              <w:t>Y&lt;100</w:t>
            </w:r>
          </w:p>
        </w:tc>
      </w:tr>
      <w:tr w14:paraId="112CE1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17DFF23B">
            <w:pPr>
              <w:spacing w:line="500" w:lineRule="exact"/>
              <w:jc w:val="center"/>
              <w:outlineLvl w:val="9"/>
              <w:rPr>
                <w:rFonts w:ascii="仿宋" w:hAnsi="仿宋" w:eastAsia="仿宋"/>
                <w:highlight w:val="none"/>
              </w:rPr>
            </w:pPr>
            <w:r>
              <w:rPr>
                <w:rFonts w:hint="eastAsia" w:ascii="仿宋" w:hAnsi="仿宋" w:eastAsia="仿宋"/>
                <w:highlight w:val="none"/>
              </w:rPr>
              <w:t>餐饮</w:t>
            </w:r>
            <w:r>
              <w:rPr>
                <w:rFonts w:ascii="仿宋" w:hAnsi="仿宋" w:eastAsia="仿宋"/>
                <w:highlight w:val="none"/>
              </w:rPr>
              <w:t>业</w:t>
            </w:r>
          </w:p>
        </w:tc>
        <w:tc>
          <w:tcPr>
            <w:tcW w:w="1447" w:type="dxa"/>
            <w:vAlign w:val="center"/>
          </w:tcPr>
          <w:p w14:paraId="7BD93798">
            <w:pPr>
              <w:spacing w:line="500" w:lineRule="exact"/>
              <w:jc w:val="center"/>
              <w:outlineLvl w:val="9"/>
              <w:rPr>
                <w:rFonts w:ascii="仿宋" w:hAnsi="仿宋" w:eastAsia="仿宋"/>
                <w:highlight w:val="none"/>
              </w:rPr>
            </w:pPr>
            <w:r>
              <w:rPr>
                <w:rFonts w:ascii="仿宋" w:hAnsi="仿宋" w:eastAsia="仿宋"/>
                <w:highlight w:val="none"/>
              </w:rPr>
              <w:t>从业人员（</w:t>
            </w:r>
            <w:r>
              <w:rPr>
                <w:rFonts w:hint="eastAsia" w:ascii="仿宋" w:hAnsi="仿宋" w:eastAsia="仿宋"/>
                <w:highlight w:val="none"/>
              </w:rPr>
              <w:t>X）</w:t>
            </w:r>
          </w:p>
        </w:tc>
        <w:tc>
          <w:tcPr>
            <w:tcW w:w="683" w:type="dxa"/>
            <w:vAlign w:val="center"/>
          </w:tcPr>
          <w:p w14:paraId="47F65B3A">
            <w:pPr>
              <w:spacing w:line="500" w:lineRule="exact"/>
              <w:jc w:val="center"/>
              <w:outlineLvl w:val="9"/>
              <w:rPr>
                <w:rFonts w:ascii="仿宋" w:hAnsi="仿宋" w:eastAsia="仿宋"/>
                <w:highlight w:val="none"/>
              </w:rPr>
            </w:pPr>
            <w:r>
              <w:rPr>
                <w:rFonts w:ascii="仿宋" w:hAnsi="仿宋" w:eastAsia="仿宋"/>
                <w:highlight w:val="none"/>
              </w:rPr>
              <w:t>人</w:t>
            </w:r>
          </w:p>
        </w:tc>
        <w:tc>
          <w:tcPr>
            <w:tcW w:w="1830" w:type="dxa"/>
            <w:vAlign w:val="center"/>
          </w:tcPr>
          <w:p w14:paraId="6BFD228E">
            <w:pPr>
              <w:spacing w:line="500" w:lineRule="exact"/>
              <w:jc w:val="center"/>
              <w:outlineLvl w:val="9"/>
              <w:rPr>
                <w:rFonts w:eastAsia="仿宋"/>
                <w:highlight w:val="none"/>
              </w:rPr>
            </w:pPr>
            <w:r>
              <w:rPr>
                <w:rFonts w:eastAsia="仿宋"/>
                <w:highlight w:val="none"/>
              </w:rPr>
              <w:t>100≤X&lt;300</w:t>
            </w:r>
          </w:p>
        </w:tc>
        <w:tc>
          <w:tcPr>
            <w:tcW w:w="1572" w:type="dxa"/>
            <w:vAlign w:val="center"/>
          </w:tcPr>
          <w:p w14:paraId="491FB897">
            <w:pPr>
              <w:spacing w:line="500" w:lineRule="exact"/>
              <w:jc w:val="center"/>
              <w:outlineLvl w:val="9"/>
              <w:rPr>
                <w:rFonts w:eastAsia="仿宋"/>
                <w:highlight w:val="none"/>
              </w:rPr>
            </w:pPr>
            <w:r>
              <w:rPr>
                <w:rFonts w:eastAsia="仿宋"/>
                <w:highlight w:val="none"/>
              </w:rPr>
              <w:t>10≤X&lt;100</w:t>
            </w:r>
          </w:p>
        </w:tc>
        <w:tc>
          <w:tcPr>
            <w:tcW w:w="1036" w:type="dxa"/>
            <w:vAlign w:val="center"/>
          </w:tcPr>
          <w:p w14:paraId="2653471E">
            <w:pPr>
              <w:spacing w:line="500" w:lineRule="exact"/>
              <w:jc w:val="center"/>
              <w:outlineLvl w:val="9"/>
              <w:rPr>
                <w:rFonts w:eastAsia="仿宋"/>
                <w:highlight w:val="none"/>
              </w:rPr>
            </w:pPr>
            <w:r>
              <w:rPr>
                <w:rFonts w:eastAsia="仿宋"/>
                <w:highlight w:val="none"/>
              </w:rPr>
              <w:t>X&lt;10</w:t>
            </w:r>
          </w:p>
        </w:tc>
      </w:tr>
      <w:tr w14:paraId="1BF5DA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6E4F32EE">
            <w:pPr>
              <w:spacing w:line="500" w:lineRule="exact"/>
              <w:jc w:val="center"/>
              <w:outlineLvl w:val="9"/>
              <w:rPr>
                <w:rFonts w:ascii="仿宋" w:hAnsi="仿宋" w:eastAsia="仿宋"/>
                <w:highlight w:val="none"/>
              </w:rPr>
            </w:pPr>
          </w:p>
        </w:tc>
        <w:tc>
          <w:tcPr>
            <w:tcW w:w="1447" w:type="dxa"/>
            <w:vAlign w:val="center"/>
          </w:tcPr>
          <w:p w14:paraId="2ED366DB">
            <w:pPr>
              <w:spacing w:line="500" w:lineRule="exact"/>
              <w:jc w:val="center"/>
              <w:outlineLvl w:val="9"/>
              <w:rPr>
                <w:rFonts w:ascii="仿宋" w:hAnsi="仿宋" w:eastAsia="仿宋"/>
                <w:highlight w:val="none"/>
              </w:rPr>
            </w:pPr>
            <w:r>
              <w:rPr>
                <w:rFonts w:ascii="仿宋" w:hAnsi="仿宋" w:eastAsia="仿宋"/>
                <w:highlight w:val="none"/>
              </w:rPr>
              <w:t>营业收入（</w:t>
            </w:r>
            <w:r>
              <w:rPr>
                <w:rFonts w:hint="eastAsia" w:ascii="仿宋" w:hAnsi="仿宋" w:eastAsia="仿宋"/>
                <w:highlight w:val="none"/>
              </w:rPr>
              <w:t>Y）</w:t>
            </w:r>
          </w:p>
        </w:tc>
        <w:tc>
          <w:tcPr>
            <w:tcW w:w="683" w:type="dxa"/>
            <w:vAlign w:val="center"/>
          </w:tcPr>
          <w:p w14:paraId="604A235B">
            <w:pPr>
              <w:spacing w:line="500" w:lineRule="exact"/>
              <w:jc w:val="center"/>
              <w:outlineLvl w:val="9"/>
              <w:rPr>
                <w:rFonts w:ascii="仿宋" w:hAnsi="仿宋" w:eastAsia="仿宋"/>
                <w:highlight w:val="none"/>
              </w:rPr>
            </w:pPr>
            <w:r>
              <w:rPr>
                <w:rFonts w:ascii="仿宋" w:hAnsi="仿宋" w:eastAsia="仿宋"/>
                <w:highlight w:val="none"/>
              </w:rPr>
              <w:t>万元</w:t>
            </w:r>
          </w:p>
        </w:tc>
        <w:tc>
          <w:tcPr>
            <w:tcW w:w="1830" w:type="dxa"/>
            <w:vAlign w:val="center"/>
          </w:tcPr>
          <w:p w14:paraId="44B63229">
            <w:pPr>
              <w:spacing w:line="500" w:lineRule="exact"/>
              <w:jc w:val="center"/>
              <w:outlineLvl w:val="9"/>
              <w:rPr>
                <w:rFonts w:eastAsia="仿宋"/>
                <w:highlight w:val="none"/>
              </w:rPr>
            </w:pPr>
            <w:r>
              <w:rPr>
                <w:rFonts w:eastAsia="仿宋"/>
                <w:highlight w:val="none"/>
              </w:rPr>
              <w:t>2000≤Y&lt;10000</w:t>
            </w:r>
          </w:p>
        </w:tc>
        <w:tc>
          <w:tcPr>
            <w:tcW w:w="1572" w:type="dxa"/>
            <w:vAlign w:val="center"/>
          </w:tcPr>
          <w:p w14:paraId="6AB5D10B">
            <w:pPr>
              <w:spacing w:line="500" w:lineRule="exact"/>
              <w:jc w:val="center"/>
              <w:outlineLvl w:val="9"/>
              <w:rPr>
                <w:rFonts w:eastAsia="仿宋"/>
                <w:highlight w:val="none"/>
              </w:rPr>
            </w:pPr>
            <w:r>
              <w:rPr>
                <w:rFonts w:eastAsia="仿宋"/>
                <w:highlight w:val="none"/>
              </w:rPr>
              <w:t>100≤Y&lt;2000</w:t>
            </w:r>
          </w:p>
        </w:tc>
        <w:tc>
          <w:tcPr>
            <w:tcW w:w="1036" w:type="dxa"/>
            <w:vAlign w:val="center"/>
          </w:tcPr>
          <w:p w14:paraId="22982079">
            <w:pPr>
              <w:spacing w:line="500" w:lineRule="exact"/>
              <w:jc w:val="center"/>
              <w:outlineLvl w:val="9"/>
              <w:rPr>
                <w:rFonts w:eastAsia="仿宋"/>
                <w:highlight w:val="none"/>
              </w:rPr>
            </w:pPr>
            <w:r>
              <w:rPr>
                <w:rFonts w:eastAsia="仿宋"/>
                <w:highlight w:val="none"/>
              </w:rPr>
              <w:t>Y&lt;100</w:t>
            </w:r>
          </w:p>
        </w:tc>
      </w:tr>
      <w:tr w14:paraId="1BB6EB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0A4A997E">
            <w:pPr>
              <w:spacing w:line="500" w:lineRule="exact"/>
              <w:jc w:val="center"/>
              <w:outlineLvl w:val="9"/>
              <w:rPr>
                <w:rFonts w:ascii="仿宋" w:hAnsi="仿宋" w:eastAsia="仿宋"/>
                <w:highlight w:val="none"/>
              </w:rPr>
            </w:pPr>
            <w:r>
              <w:rPr>
                <w:rFonts w:hint="eastAsia" w:ascii="仿宋" w:hAnsi="仿宋" w:eastAsia="仿宋"/>
                <w:highlight w:val="none"/>
              </w:rPr>
              <w:t>信息</w:t>
            </w:r>
            <w:r>
              <w:rPr>
                <w:rFonts w:ascii="仿宋" w:hAnsi="仿宋" w:eastAsia="仿宋"/>
                <w:highlight w:val="none"/>
              </w:rPr>
              <w:t>传输业</w:t>
            </w:r>
          </w:p>
        </w:tc>
        <w:tc>
          <w:tcPr>
            <w:tcW w:w="1447" w:type="dxa"/>
            <w:vAlign w:val="center"/>
          </w:tcPr>
          <w:p w14:paraId="58AED93F">
            <w:pPr>
              <w:spacing w:line="500" w:lineRule="exact"/>
              <w:jc w:val="center"/>
              <w:outlineLvl w:val="9"/>
              <w:rPr>
                <w:rFonts w:ascii="仿宋" w:hAnsi="仿宋" w:eastAsia="仿宋"/>
                <w:highlight w:val="none"/>
              </w:rPr>
            </w:pPr>
            <w:r>
              <w:rPr>
                <w:rFonts w:ascii="仿宋" w:hAnsi="仿宋" w:eastAsia="仿宋"/>
                <w:highlight w:val="none"/>
              </w:rPr>
              <w:t>从业人员（</w:t>
            </w:r>
            <w:r>
              <w:rPr>
                <w:rFonts w:hint="eastAsia" w:ascii="仿宋" w:hAnsi="仿宋" w:eastAsia="仿宋"/>
                <w:highlight w:val="none"/>
              </w:rPr>
              <w:t>X）</w:t>
            </w:r>
          </w:p>
        </w:tc>
        <w:tc>
          <w:tcPr>
            <w:tcW w:w="683" w:type="dxa"/>
            <w:vAlign w:val="center"/>
          </w:tcPr>
          <w:p w14:paraId="66441C37">
            <w:pPr>
              <w:spacing w:line="500" w:lineRule="exact"/>
              <w:jc w:val="center"/>
              <w:outlineLvl w:val="9"/>
              <w:rPr>
                <w:rFonts w:ascii="仿宋" w:hAnsi="仿宋" w:eastAsia="仿宋"/>
                <w:highlight w:val="none"/>
              </w:rPr>
            </w:pPr>
            <w:r>
              <w:rPr>
                <w:rFonts w:ascii="仿宋" w:hAnsi="仿宋" w:eastAsia="仿宋"/>
                <w:highlight w:val="none"/>
              </w:rPr>
              <w:t>人</w:t>
            </w:r>
          </w:p>
        </w:tc>
        <w:tc>
          <w:tcPr>
            <w:tcW w:w="1830" w:type="dxa"/>
            <w:vAlign w:val="center"/>
          </w:tcPr>
          <w:p w14:paraId="4E1D51A8">
            <w:pPr>
              <w:spacing w:line="500" w:lineRule="exact"/>
              <w:jc w:val="center"/>
              <w:outlineLvl w:val="9"/>
              <w:rPr>
                <w:rFonts w:eastAsia="仿宋"/>
                <w:highlight w:val="none"/>
              </w:rPr>
            </w:pPr>
            <w:r>
              <w:rPr>
                <w:rFonts w:eastAsia="仿宋"/>
                <w:highlight w:val="none"/>
              </w:rPr>
              <w:t>100≤X&lt;2000</w:t>
            </w:r>
          </w:p>
        </w:tc>
        <w:tc>
          <w:tcPr>
            <w:tcW w:w="1572" w:type="dxa"/>
            <w:vAlign w:val="center"/>
          </w:tcPr>
          <w:p w14:paraId="41A62787">
            <w:pPr>
              <w:spacing w:line="500" w:lineRule="exact"/>
              <w:jc w:val="center"/>
              <w:outlineLvl w:val="9"/>
              <w:rPr>
                <w:rFonts w:eastAsia="仿宋"/>
                <w:highlight w:val="none"/>
              </w:rPr>
            </w:pPr>
            <w:r>
              <w:rPr>
                <w:rFonts w:eastAsia="仿宋"/>
                <w:highlight w:val="none"/>
              </w:rPr>
              <w:t>10≤X&lt;100</w:t>
            </w:r>
          </w:p>
        </w:tc>
        <w:tc>
          <w:tcPr>
            <w:tcW w:w="1036" w:type="dxa"/>
            <w:vAlign w:val="center"/>
          </w:tcPr>
          <w:p w14:paraId="5C454285">
            <w:pPr>
              <w:spacing w:line="500" w:lineRule="exact"/>
              <w:jc w:val="center"/>
              <w:outlineLvl w:val="9"/>
              <w:rPr>
                <w:rFonts w:eastAsia="仿宋"/>
                <w:highlight w:val="none"/>
              </w:rPr>
            </w:pPr>
            <w:r>
              <w:rPr>
                <w:rFonts w:eastAsia="仿宋"/>
                <w:highlight w:val="none"/>
              </w:rPr>
              <w:t>X&lt;10</w:t>
            </w:r>
          </w:p>
        </w:tc>
      </w:tr>
      <w:tr w14:paraId="1828AA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5D57AD5D">
            <w:pPr>
              <w:spacing w:line="500" w:lineRule="exact"/>
              <w:jc w:val="center"/>
              <w:outlineLvl w:val="9"/>
              <w:rPr>
                <w:rFonts w:ascii="仿宋" w:hAnsi="仿宋" w:eastAsia="仿宋"/>
                <w:highlight w:val="none"/>
              </w:rPr>
            </w:pPr>
          </w:p>
        </w:tc>
        <w:tc>
          <w:tcPr>
            <w:tcW w:w="1447" w:type="dxa"/>
            <w:vAlign w:val="center"/>
          </w:tcPr>
          <w:p w14:paraId="4B563233">
            <w:pPr>
              <w:spacing w:line="500" w:lineRule="exact"/>
              <w:jc w:val="center"/>
              <w:outlineLvl w:val="9"/>
              <w:rPr>
                <w:rFonts w:ascii="仿宋" w:hAnsi="仿宋" w:eastAsia="仿宋"/>
                <w:highlight w:val="none"/>
              </w:rPr>
            </w:pPr>
            <w:r>
              <w:rPr>
                <w:rFonts w:ascii="仿宋" w:hAnsi="仿宋" w:eastAsia="仿宋"/>
                <w:highlight w:val="none"/>
              </w:rPr>
              <w:t>营业收入（</w:t>
            </w:r>
            <w:r>
              <w:rPr>
                <w:rFonts w:hint="eastAsia" w:ascii="仿宋" w:hAnsi="仿宋" w:eastAsia="仿宋"/>
                <w:highlight w:val="none"/>
              </w:rPr>
              <w:t>Y）</w:t>
            </w:r>
          </w:p>
        </w:tc>
        <w:tc>
          <w:tcPr>
            <w:tcW w:w="683" w:type="dxa"/>
            <w:vAlign w:val="center"/>
          </w:tcPr>
          <w:p w14:paraId="6478E391">
            <w:pPr>
              <w:spacing w:line="500" w:lineRule="exact"/>
              <w:jc w:val="center"/>
              <w:outlineLvl w:val="9"/>
              <w:rPr>
                <w:rFonts w:ascii="仿宋" w:hAnsi="仿宋" w:eastAsia="仿宋"/>
                <w:highlight w:val="none"/>
              </w:rPr>
            </w:pPr>
            <w:r>
              <w:rPr>
                <w:rFonts w:ascii="仿宋" w:hAnsi="仿宋" w:eastAsia="仿宋"/>
                <w:highlight w:val="none"/>
              </w:rPr>
              <w:t>万元</w:t>
            </w:r>
          </w:p>
        </w:tc>
        <w:tc>
          <w:tcPr>
            <w:tcW w:w="1830" w:type="dxa"/>
            <w:vAlign w:val="center"/>
          </w:tcPr>
          <w:p w14:paraId="212437F8">
            <w:pPr>
              <w:spacing w:line="500" w:lineRule="exact"/>
              <w:jc w:val="center"/>
              <w:outlineLvl w:val="9"/>
              <w:rPr>
                <w:rFonts w:eastAsia="仿宋"/>
                <w:highlight w:val="none"/>
              </w:rPr>
            </w:pPr>
            <w:r>
              <w:rPr>
                <w:rFonts w:eastAsia="仿宋"/>
                <w:highlight w:val="none"/>
              </w:rPr>
              <w:t>1000≤Y&lt;100000</w:t>
            </w:r>
          </w:p>
        </w:tc>
        <w:tc>
          <w:tcPr>
            <w:tcW w:w="1572" w:type="dxa"/>
            <w:vAlign w:val="center"/>
          </w:tcPr>
          <w:p w14:paraId="6657508F">
            <w:pPr>
              <w:spacing w:line="500" w:lineRule="exact"/>
              <w:jc w:val="center"/>
              <w:outlineLvl w:val="9"/>
              <w:rPr>
                <w:rFonts w:eastAsia="仿宋"/>
                <w:highlight w:val="none"/>
              </w:rPr>
            </w:pPr>
            <w:r>
              <w:rPr>
                <w:rFonts w:eastAsia="仿宋"/>
                <w:highlight w:val="none"/>
              </w:rPr>
              <w:t>100≤Y&lt;1000</w:t>
            </w:r>
          </w:p>
        </w:tc>
        <w:tc>
          <w:tcPr>
            <w:tcW w:w="1036" w:type="dxa"/>
            <w:vAlign w:val="center"/>
          </w:tcPr>
          <w:p w14:paraId="184528D1">
            <w:pPr>
              <w:spacing w:line="500" w:lineRule="exact"/>
              <w:jc w:val="center"/>
              <w:outlineLvl w:val="9"/>
              <w:rPr>
                <w:rFonts w:eastAsia="仿宋"/>
                <w:highlight w:val="none"/>
              </w:rPr>
            </w:pPr>
            <w:r>
              <w:rPr>
                <w:rFonts w:eastAsia="仿宋"/>
                <w:highlight w:val="none"/>
              </w:rPr>
              <w:t>Y&lt;100</w:t>
            </w:r>
          </w:p>
        </w:tc>
      </w:tr>
      <w:tr w14:paraId="6CAA8B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00F09478">
            <w:pPr>
              <w:spacing w:line="500" w:lineRule="exact"/>
              <w:jc w:val="center"/>
              <w:outlineLvl w:val="9"/>
              <w:rPr>
                <w:rFonts w:ascii="仿宋" w:hAnsi="仿宋" w:eastAsia="仿宋"/>
                <w:highlight w:val="none"/>
              </w:rPr>
            </w:pPr>
            <w:r>
              <w:rPr>
                <w:rFonts w:hint="eastAsia" w:ascii="仿宋" w:hAnsi="仿宋" w:eastAsia="仿宋"/>
                <w:highlight w:val="none"/>
              </w:rPr>
              <w:t>软件</w:t>
            </w:r>
            <w:r>
              <w:rPr>
                <w:rFonts w:ascii="仿宋" w:hAnsi="仿宋" w:eastAsia="仿宋"/>
                <w:highlight w:val="none"/>
              </w:rPr>
              <w:t>和信息技术服务业</w:t>
            </w:r>
          </w:p>
        </w:tc>
        <w:tc>
          <w:tcPr>
            <w:tcW w:w="1447" w:type="dxa"/>
            <w:vAlign w:val="center"/>
          </w:tcPr>
          <w:p w14:paraId="043F543A">
            <w:pPr>
              <w:spacing w:line="500" w:lineRule="exact"/>
              <w:jc w:val="center"/>
              <w:outlineLvl w:val="9"/>
              <w:rPr>
                <w:rFonts w:ascii="仿宋" w:hAnsi="仿宋" w:eastAsia="仿宋"/>
                <w:highlight w:val="none"/>
              </w:rPr>
            </w:pPr>
            <w:r>
              <w:rPr>
                <w:rFonts w:ascii="仿宋" w:hAnsi="仿宋" w:eastAsia="仿宋"/>
                <w:highlight w:val="none"/>
              </w:rPr>
              <w:t>从业人员（</w:t>
            </w:r>
            <w:r>
              <w:rPr>
                <w:rFonts w:hint="eastAsia" w:ascii="仿宋" w:hAnsi="仿宋" w:eastAsia="仿宋"/>
                <w:highlight w:val="none"/>
              </w:rPr>
              <w:t>X）</w:t>
            </w:r>
          </w:p>
        </w:tc>
        <w:tc>
          <w:tcPr>
            <w:tcW w:w="683" w:type="dxa"/>
            <w:vAlign w:val="center"/>
          </w:tcPr>
          <w:p w14:paraId="07C4BE20">
            <w:pPr>
              <w:spacing w:line="500" w:lineRule="exact"/>
              <w:jc w:val="center"/>
              <w:outlineLvl w:val="9"/>
              <w:rPr>
                <w:rFonts w:ascii="仿宋" w:hAnsi="仿宋" w:eastAsia="仿宋"/>
                <w:highlight w:val="none"/>
              </w:rPr>
            </w:pPr>
            <w:r>
              <w:rPr>
                <w:rFonts w:ascii="仿宋" w:hAnsi="仿宋" w:eastAsia="仿宋"/>
                <w:highlight w:val="none"/>
              </w:rPr>
              <w:t>人</w:t>
            </w:r>
          </w:p>
        </w:tc>
        <w:tc>
          <w:tcPr>
            <w:tcW w:w="1830" w:type="dxa"/>
            <w:vAlign w:val="center"/>
          </w:tcPr>
          <w:p w14:paraId="12B8D555">
            <w:pPr>
              <w:spacing w:line="500" w:lineRule="exact"/>
              <w:jc w:val="center"/>
              <w:outlineLvl w:val="9"/>
              <w:rPr>
                <w:rFonts w:eastAsia="仿宋"/>
                <w:highlight w:val="none"/>
              </w:rPr>
            </w:pPr>
            <w:r>
              <w:rPr>
                <w:rFonts w:eastAsia="仿宋"/>
                <w:highlight w:val="none"/>
              </w:rPr>
              <w:t>100≤X&lt;300</w:t>
            </w:r>
          </w:p>
        </w:tc>
        <w:tc>
          <w:tcPr>
            <w:tcW w:w="1572" w:type="dxa"/>
            <w:vAlign w:val="center"/>
          </w:tcPr>
          <w:p w14:paraId="0E3A6665">
            <w:pPr>
              <w:spacing w:line="500" w:lineRule="exact"/>
              <w:jc w:val="center"/>
              <w:outlineLvl w:val="9"/>
              <w:rPr>
                <w:rFonts w:eastAsia="仿宋"/>
                <w:highlight w:val="none"/>
              </w:rPr>
            </w:pPr>
            <w:r>
              <w:rPr>
                <w:rFonts w:eastAsia="仿宋"/>
                <w:highlight w:val="none"/>
              </w:rPr>
              <w:t>10≤X&lt;100</w:t>
            </w:r>
          </w:p>
        </w:tc>
        <w:tc>
          <w:tcPr>
            <w:tcW w:w="1036" w:type="dxa"/>
            <w:vAlign w:val="center"/>
          </w:tcPr>
          <w:p w14:paraId="318322F1">
            <w:pPr>
              <w:spacing w:line="500" w:lineRule="exact"/>
              <w:jc w:val="center"/>
              <w:outlineLvl w:val="9"/>
              <w:rPr>
                <w:rFonts w:eastAsia="仿宋"/>
                <w:highlight w:val="none"/>
              </w:rPr>
            </w:pPr>
            <w:r>
              <w:rPr>
                <w:rFonts w:eastAsia="仿宋"/>
                <w:highlight w:val="none"/>
              </w:rPr>
              <w:t>X&lt;10</w:t>
            </w:r>
          </w:p>
        </w:tc>
      </w:tr>
      <w:tr w14:paraId="6E8B80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621ED5DC">
            <w:pPr>
              <w:spacing w:line="500" w:lineRule="exact"/>
              <w:jc w:val="center"/>
              <w:outlineLvl w:val="9"/>
              <w:rPr>
                <w:rFonts w:ascii="仿宋" w:hAnsi="仿宋" w:eastAsia="仿宋"/>
                <w:highlight w:val="none"/>
              </w:rPr>
            </w:pPr>
          </w:p>
        </w:tc>
        <w:tc>
          <w:tcPr>
            <w:tcW w:w="1447" w:type="dxa"/>
            <w:vAlign w:val="center"/>
          </w:tcPr>
          <w:p w14:paraId="48060780">
            <w:pPr>
              <w:spacing w:line="500" w:lineRule="exact"/>
              <w:jc w:val="center"/>
              <w:outlineLvl w:val="9"/>
              <w:rPr>
                <w:rFonts w:ascii="仿宋" w:hAnsi="仿宋" w:eastAsia="仿宋"/>
                <w:highlight w:val="none"/>
              </w:rPr>
            </w:pPr>
            <w:r>
              <w:rPr>
                <w:rFonts w:ascii="仿宋" w:hAnsi="仿宋" w:eastAsia="仿宋"/>
                <w:highlight w:val="none"/>
              </w:rPr>
              <w:t>营业收入（</w:t>
            </w:r>
            <w:r>
              <w:rPr>
                <w:rFonts w:hint="eastAsia" w:ascii="仿宋" w:hAnsi="仿宋" w:eastAsia="仿宋"/>
                <w:highlight w:val="none"/>
              </w:rPr>
              <w:t>Y）</w:t>
            </w:r>
          </w:p>
        </w:tc>
        <w:tc>
          <w:tcPr>
            <w:tcW w:w="683" w:type="dxa"/>
            <w:vAlign w:val="center"/>
          </w:tcPr>
          <w:p w14:paraId="03D220DA">
            <w:pPr>
              <w:spacing w:line="500" w:lineRule="exact"/>
              <w:jc w:val="center"/>
              <w:outlineLvl w:val="9"/>
              <w:rPr>
                <w:rFonts w:ascii="仿宋" w:hAnsi="仿宋" w:eastAsia="仿宋"/>
                <w:highlight w:val="none"/>
              </w:rPr>
            </w:pPr>
            <w:r>
              <w:rPr>
                <w:rFonts w:ascii="仿宋" w:hAnsi="仿宋" w:eastAsia="仿宋"/>
                <w:highlight w:val="none"/>
              </w:rPr>
              <w:t>万元</w:t>
            </w:r>
          </w:p>
        </w:tc>
        <w:tc>
          <w:tcPr>
            <w:tcW w:w="1830" w:type="dxa"/>
            <w:vAlign w:val="center"/>
          </w:tcPr>
          <w:p w14:paraId="5D8AD539">
            <w:pPr>
              <w:spacing w:line="500" w:lineRule="exact"/>
              <w:jc w:val="center"/>
              <w:outlineLvl w:val="9"/>
              <w:rPr>
                <w:rFonts w:eastAsia="仿宋"/>
                <w:highlight w:val="none"/>
              </w:rPr>
            </w:pPr>
            <w:r>
              <w:rPr>
                <w:rFonts w:eastAsia="仿宋"/>
                <w:highlight w:val="none"/>
              </w:rPr>
              <w:t>1000≤Y&lt;10000</w:t>
            </w:r>
          </w:p>
        </w:tc>
        <w:tc>
          <w:tcPr>
            <w:tcW w:w="1572" w:type="dxa"/>
            <w:vAlign w:val="center"/>
          </w:tcPr>
          <w:p w14:paraId="5CDCF638">
            <w:pPr>
              <w:spacing w:line="500" w:lineRule="exact"/>
              <w:jc w:val="center"/>
              <w:outlineLvl w:val="9"/>
              <w:rPr>
                <w:rFonts w:eastAsia="仿宋"/>
                <w:highlight w:val="none"/>
              </w:rPr>
            </w:pPr>
            <w:r>
              <w:rPr>
                <w:rFonts w:eastAsia="仿宋"/>
                <w:highlight w:val="none"/>
              </w:rPr>
              <w:t>50≤Y&lt;1000</w:t>
            </w:r>
          </w:p>
        </w:tc>
        <w:tc>
          <w:tcPr>
            <w:tcW w:w="1036" w:type="dxa"/>
            <w:vAlign w:val="center"/>
          </w:tcPr>
          <w:p w14:paraId="6358E72E">
            <w:pPr>
              <w:spacing w:line="500" w:lineRule="exact"/>
              <w:jc w:val="center"/>
              <w:outlineLvl w:val="9"/>
              <w:rPr>
                <w:rFonts w:eastAsia="仿宋"/>
                <w:highlight w:val="none"/>
              </w:rPr>
            </w:pPr>
            <w:r>
              <w:rPr>
                <w:rFonts w:eastAsia="仿宋"/>
                <w:highlight w:val="none"/>
              </w:rPr>
              <w:t>Y&lt;50</w:t>
            </w:r>
          </w:p>
        </w:tc>
      </w:tr>
      <w:tr w14:paraId="36751F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04AABC1B">
            <w:pPr>
              <w:spacing w:line="500" w:lineRule="exact"/>
              <w:jc w:val="center"/>
              <w:outlineLvl w:val="9"/>
              <w:rPr>
                <w:rFonts w:ascii="仿宋" w:hAnsi="仿宋" w:eastAsia="仿宋"/>
                <w:highlight w:val="none"/>
              </w:rPr>
            </w:pPr>
            <w:r>
              <w:rPr>
                <w:rFonts w:hint="eastAsia" w:ascii="仿宋" w:hAnsi="仿宋" w:eastAsia="仿宋"/>
                <w:highlight w:val="none"/>
              </w:rPr>
              <w:t>房</w:t>
            </w:r>
            <w:r>
              <w:rPr>
                <w:rFonts w:ascii="仿宋" w:hAnsi="仿宋" w:eastAsia="仿宋"/>
                <w:highlight w:val="none"/>
              </w:rPr>
              <w:t>地产开发经营</w:t>
            </w:r>
          </w:p>
        </w:tc>
        <w:tc>
          <w:tcPr>
            <w:tcW w:w="1447" w:type="dxa"/>
            <w:vAlign w:val="center"/>
          </w:tcPr>
          <w:p w14:paraId="3E41DAF9">
            <w:pPr>
              <w:spacing w:line="500" w:lineRule="exact"/>
              <w:jc w:val="center"/>
              <w:outlineLvl w:val="9"/>
              <w:rPr>
                <w:rFonts w:ascii="仿宋" w:hAnsi="仿宋" w:eastAsia="仿宋"/>
                <w:highlight w:val="none"/>
              </w:rPr>
            </w:pPr>
            <w:r>
              <w:rPr>
                <w:rFonts w:ascii="仿宋" w:hAnsi="仿宋" w:eastAsia="仿宋"/>
                <w:highlight w:val="none"/>
              </w:rPr>
              <w:t>营业收入（</w:t>
            </w:r>
            <w:r>
              <w:rPr>
                <w:rFonts w:hint="eastAsia" w:ascii="仿宋" w:hAnsi="仿宋" w:eastAsia="仿宋"/>
                <w:highlight w:val="none"/>
              </w:rPr>
              <w:t>Y）</w:t>
            </w:r>
          </w:p>
        </w:tc>
        <w:tc>
          <w:tcPr>
            <w:tcW w:w="683" w:type="dxa"/>
            <w:vAlign w:val="center"/>
          </w:tcPr>
          <w:p w14:paraId="4E6D06A6">
            <w:pPr>
              <w:spacing w:line="500" w:lineRule="exact"/>
              <w:jc w:val="center"/>
              <w:outlineLvl w:val="9"/>
              <w:rPr>
                <w:rFonts w:ascii="仿宋" w:hAnsi="仿宋" w:eastAsia="仿宋"/>
                <w:highlight w:val="none"/>
              </w:rPr>
            </w:pPr>
            <w:r>
              <w:rPr>
                <w:rFonts w:ascii="仿宋" w:hAnsi="仿宋" w:eastAsia="仿宋"/>
                <w:highlight w:val="none"/>
              </w:rPr>
              <w:t>万元</w:t>
            </w:r>
          </w:p>
        </w:tc>
        <w:tc>
          <w:tcPr>
            <w:tcW w:w="1830" w:type="dxa"/>
            <w:vAlign w:val="center"/>
          </w:tcPr>
          <w:p w14:paraId="087D8837">
            <w:pPr>
              <w:spacing w:line="500" w:lineRule="exact"/>
              <w:jc w:val="center"/>
              <w:outlineLvl w:val="9"/>
              <w:rPr>
                <w:rFonts w:eastAsia="仿宋"/>
                <w:highlight w:val="none"/>
              </w:rPr>
            </w:pPr>
            <w:r>
              <w:rPr>
                <w:rFonts w:eastAsia="仿宋"/>
                <w:highlight w:val="none"/>
              </w:rPr>
              <w:t>1000≤Y&lt;200000</w:t>
            </w:r>
          </w:p>
        </w:tc>
        <w:tc>
          <w:tcPr>
            <w:tcW w:w="1572" w:type="dxa"/>
            <w:vAlign w:val="center"/>
          </w:tcPr>
          <w:p w14:paraId="206AA61A">
            <w:pPr>
              <w:spacing w:line="500" w:lineRule="exact"/>
              <w:jc w:val="center"/>
              <w:outlineLvl w:val="9"/>
              <w:rPr>
                <w:rFonts w:eastAsia="仿宋"/>
                <w:highlight w:val="none"/>
              </w:rPr>
            </w:pPr>
            <w:r>
              <w:rPr>
                <w:rFonts w:eastAsia="仿宋"/>
                <w:highlight w:val="none"/>
              </w:rPr>
              <w:t>100≤Y&lt;1000</w:t>
            </w:r>
          </w:p>
        </w:tc>
        <w:tc>
          <w:tcPr>
            <w:tcW w:w="1036" w:type="dxa"/>
            <w:vAlign w:val="center"/>
          </w:tcPr>
          <w:p w14:paraId="47F247F0">
            <w:pPr>
              <w:spacing w:line="500" w:lineRule="exact"/>
              <w:jc w:val="center"/>
              <w:outlineLvl w:val="9"/>
              <w:rPr>
                <w:rFonts w:eastAsia="仿宋"/>
                <w:highlight w:val="none"/>
              </w:rPr>
            </w:pPr>
            <w:r>
              <w:rPr>
                <w:rFonts w:eastAsia="仿宋"/>
                <w:highlight w:val="none"/>
              </w:rPr>
              <w:t>Y&lt;100</w:t>
            </w:r>
          </w:p>
        </w:tc>
      </w:tr>
      <w:tr w14:paraId="20CF04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51BD557E">
            <w:pPr>
              <w:spacing w:line="500" w:lineRule="exact"/>
              <w:jc w:val="center"/>
              <w:outlineLvl w:val="9"/>
              <w:rPr>
                <w:rFonts w:ascii="仿宋" w:hAnsi="仿宋" w:eastAsia="仿宋"/>
                <w:highlight w:val="none"/>
              </w:rPr>
            </w:pPr>
          </w:p>
        </w:tc>
        <w:tc>
          <w:tcPr>
            <w:tcW w:w="1447" w:type="dxa"/>
            <w:vAlign w:val="center"/>
          </w:tcPr>
          <w:p w14:paraId="57698BEA">
            <w:pPr>
              <w:spacing w:line="500" w:lineRule="exact"/>
              <w:jc w:val="center"/>
              <w:outlineLvl w:val="9"/>
              <w:rPr>
                <w:rFonts w:ascii="仿宋" w:hAnsi="仿宋" w:eastAsia="仿宋"/>
                <w:highlight w:val="none"/>
              </w:rPr>
            </w:pPr>
            <w:r>
              <w:rPr>
                <w:rFonts w:hint="eastAsia" w:ascii="仿宋" w:hAnsi="仿宋" w:eastAsia="仿宋"/>
                <w:highlight w:val="none"/>
              </w:rPr>
              <w:t>资产</w:t>
            </w:r>
            <w:r>
              <w:rPr>
                <w:rFonts w:ascii="仿宋" w:hAnsi="仿宋" w:eastAsia="仿宋"/>
                <w:highlight w:val="none"/>
              </w:rPr>
              <w:t>总额（</w:t>
            </w:r>
            <w:r>
              <w:rPr>
                <w:rFonts w:hint="eastAsia" w:ascii="仿宋" w:hAnsi="仿宋" w:eastAsia="仿宋"/>
                <w:highlight w:val="none"/>
              </w:rPr>
              <w:t>Z）</w:t>
            </w:r>
          </w:p>
        </w:tc>
        <w:tc>
          <w:tcPr>
            <w:tcW w:w="683" w:type="dxa"/>
            <w:vAlign w:val="center"/>
          </w:tcPr>
          <w:p w14:paraId="301516CE">
            <w:pPr>
              <w:spacing w:line="500" w:lineRule="exact"/>
              <w:jc w:val="center"/>
              <w:outlineLvl w:val="9"/>
              <w:rPr>
                <w:rFonts w:ascii="仿宋" w:hAnsi="仿宋" w:eastAsia="仿宋"/>
                <w:highlight w:val="none"/>
              </w:rPr>
            </w:pPr>
            <w:r>
              <w:rPr>
                <w:rFonts w:ascii="仿宋" w:hAnsi="仿宋" w:eastAsia="仿宋"/>
                <w:highlight w:val="none"/>
              </w:rPr>
              <w:t>万元</w:t>
            </w:r>
          </w:p>
        </w:tc>
        <w:tc>
          <w:tcPr>
            <w:tcW w:w="1830" w:type="dxa"/>
            <w:vAlign w:val="center"/>
          </w:tcPr>
          <w:p w14:paraId="211627B7">
            <w:pPr>
              <w:spacing w:line="500" w:lineRule="exact"/>
              <w:jc w:val="center"/>
              <w:outlineLvl w:val="9"/>
              <w:rPr>
                <w:rFonts w:eastAsia="仿宋"/>
                <w:highlight w:val="none"/>
              </w:rPr>
            </w:pPr>
            <w:r>
              <w:rPr>
                <w:rFonts w:eastAsia="仿宋"/>
                <w:highlight w:val="none"/>
              </w:rPr>
              <w:t>5000≤Z &lt;10000</w:t>
            </w:r>
          </w:p>
        </w:tc>
        <w:tc>
          <w:tcPr>
            <w:tcW w:w="1572" w:type="dxa"/>
            <w:vAlign w:val="center"/>
          </w:tcPr>
          <w:p w14:paraId="335A80DB">
            <w:pPr>
              <w:spacing w:line="500" w:lineRule="exact"/>
              <w:jc w:val="center"/>
              <w:outlineLvl w:val="9"/>
              <w:rPr>
                <w:rFonts w:eastAsia="仿宋"/>
                <w:highlight w:val="none"/>
              </w:rPr>
            </w:pPr>
            <w:r>
              <w:rPr>
                <w:rFonts w:eastAsia="仿宋"/>
                <w:highlight w:val="none"/>
              </w:rPr>
              <w:t>2000≤Z &lt;5000</w:t>
            </w:r>
          </w:p>
        </w:tc>
        <w:tc>
          <w:tcPr>
            <w:tcW w:w="1036" w:type="dxa"/>
            <w:vAlign w:val="center"/>
          </w:tcPr>
          <w:p w14:paraId="4EFF7ACB">
            <w:pPr>
              <w:spacing w:line="500" w:lineRule="exact"/>
              <w:jc w:val="center"/>
              <w:outlineLvl w:val="9"/>
              <w:rPr>
                <w:rFonts w:eastAsia="仿宋"/>
                <w:highlight w:val="none"/>
              </w:rPr>
            </w:pPr>
            <w:r>
              <w:rPr>
                <w:rFonts w:eastAsia="仿宋"/>
                <w:highlight w:val="none"/>
              </w:rPr>
              <w:t>Z&lt;2000</w:t>
            </w:r>
          </w:p>
        </w:tc>
      </w:tr>
      <w:tr w14:paraId="5F7DED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5DAB68CB">
            <w:pPr>
              <w:spacing w:line="500" w:lineRule="exact"/>
              <w:jc w:val="center"/>
              <w:outlineLvl w:val="9"/>
              <w:rPr>
                <w:rFonts w:ascii="仿宋" w:hAnsi="仿宋" w:eastAsia="仿宋"/>
                <w:highlight w:val="none"/>
              </w:rPr>
            </w:pPr>
            <w:r>
              <w:rPr>
                <w:rFonts w:hint="eastAsia" w:ascii="仿宋" w:hAnsi="仿宋" w:eastAsia="仿宋"/>
                <w:highlight w:val="none"/>
              </w:rPr>
              <w:t>物业管理</w:t>
            </w:r>
          </w:p>
        </w:tc>
        <w:tc>
          <w:tcPr>
            <w:tcW w:w="1447" w:type="dxa"/>
            <w:vAlign w:val="center"/>
          </w:tcPr>
          <w:p w14:paraId="395BA1A7">
            <w:pPr>
              <w:spacing w:line="500" w:lineRule="exact"/>
              <w:jc w:val="center"/>
              <w:outlineLvl w:val="9"/>
              <w:rPr>
                <w:rFonts w:ascii="仿宋" w:hAnsi="仿宋" w:eastAsia="仿宋"/>
                <w:highlight w:val="none"/>
              </w:rPr>
            </w:pPr>
            <w:r>
              <w:rPr>
                <w:rFonts w:ascii="仿宋" w:hAnsi="仿宋" w:eastAsia="仿宋"/>
                <w:highlight w:val="none"/>
              </w:rPr>
              <w:t>从业人员（</w:t>
            </w:r>
            <w:r>
              <w:rPr>
                <w:rFonts w:hint="eastAsia" w:ascii="仿宋" w:hAnsi="仿宋" w:eastAsia="仿宋"/>
                <w:highlight w:val="none"/>
              </w:rPr>
              <w:t>X）</w:t>
            </w:r>
          </w:p>
        </w:tc>
        <w:tc>
          <w:tcPr>
            <w:tcW w:w="683" w:type="dxa"/>
            <w:vAlign w:val="center"/>
          </w:tcPr>
          <w:p w14:paraId="3B72F86F">
            <w:pPr>
              <w:spacing w:line="500" w:lineRule="exact"/>
              <w:jc w:val="center"/>
              <w:outlineLvl w:val="9"/>
              <w:rPr>
                <w:rFonts w:ascii="仿宋" w:hAnsi="仿宋" w:eastAsia="仿宋"/>
                <w:highlight w:val="none"/>
              </w:rPr>
            </w:pPr>
            <w:r>
              <w:rPr>
                <w:rFonts w:ascii="仿宋" w:hAnsi="仿宋" w:eastAsia="仿宋"/>
                <w:highlight w:val="none"/>
              </w:rPr>
              <w:t>人</w:t>
            </w:r>
          </w:p>
        </w:tc>
        <w:tc>
          <w:tcPr>
            <w:tcW w:w="1830" w:type="dxa"/>
            <w:vAlign w:val="center"/>
          </w:tcPr>
          <w:p w14:paraId="267F8390">
            <w:pPr>
              <w:spacing w:line="500" w:lineRule="exact"/>
              <w:jc w:val="center"/>
              <w:outlineLvl w:val="9"/>
              <w:rPr>
                <w:rFonts w:eastAsia="仿宋"/>
                <w:highlight w:val="none"/>
              </w:rPr>
            </w:pPr>
            <w:r>
              <w:rPr>
                <w:rFonts w:eastAsia="仿宋"/>
                <w:highlight w:val="none"/>
              </w:rPr>
              <w:t>300≤X&lt;1000</w:t>
            </w:r>
          </w:p>
        </w:tc>
        <w:tc>
          <w:tcPr>
            <w:tcW w:w="1572" w:type="dxa"/>
            <w:vAlign w:val="center"/>
          </w:tcPr>
          <w:p w14:paraId="6C602C74">
            <w:pPr>
              <w:spacing w:line="500" w:lineRule="exact"/>
              <w:jc w:val="center"/>
              <w:outlineLvl w:val="9"/>
              <w:rPr>
                <w:rFonts w:eastAsia="仿宋"/>
                <w:highlight w:val="none"/>
              </w:rPr>
            </w:pPr>
            <w:r>
              <w:rPr>
                <w:rFonts w:eastAsia="仿宋"/>
                <w:highlight w:val="none"/>
              </w:rPr>
              <w:t>100≤X&lt;300</w:t>
            </w:r>
          </w:p>
        </w:tc>
        <w:tc>
          <w:tcPr>
            <w:tcW w:w="1036" w:type="dxa"/>
            <w:vAlign w:val="center"/>
          </w:tcPr>
          <w:p w14:paraId="36F8AF5D">
            <w:pPr>
              <w:spacing w:line="500" w:lineRule="exact"/>
              <w:jc w:val="center"/>
              <w:outlineLvl w:val="9"/>
              <w:rPr>
                <w:rFonts w:eastAsia="仿宋"/>
                <w:highlight w:val="none"/>
              </w:rPr>
            </w:pPr>
            <w:r>
              <w:rPr>
                <w:rFonts w:eastAsia="仿宋"/>
                <w:highlight w:val="none"/>
              </w:rPr>
              <w:t>X&lt;100</w:t>
            </w:r>
          </w:p>
        </w:tc>
      </w:tr>
      <w:tr w14:paraId="25FF17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1A98457B">
            <w:pPr>
              <w:spacing w:line="500" w:lineRule="exact"/>
              <w:jc w:val="center"/>
              <w:outlineLvl w:val="9"/>
              <w:rPr>
                <w:rFonts w:ascii="仿宋" w:hAnsi="仿宋" w:eastAsia="仿宋"/>
                <w:highlight w:val="none"/>
              </w:rPr>
            </w:pPr>
          </w:p>
        </w:tc>
        <w:tc>
          <w:tcPr>
            <w:tcW w:w="1447" w:type="dxa"/>
            <w:vAlign w:val="center"/>
          </w:tcPr>
          <w:p w14:paraId="22BE6EDE">
            <w:pPr>
              <w:spacing w:line="500" w:lineRule="exact"/>
              <w:jc w:val="center"/>
              <w:outlineLvl w:val="9"/>
              <w:rPr>
                <w:rFonts w:ascii="仿宋" w:hAnsi="仿宋" w:eastAsia="仿宋"/>
                <w:highlight w:val="none"/>
              </w:rPr>
            </w:pPr>
            <w:r>
              <w:rPr>
                <w:rFonts w:ascii="仿宋" w:hAnsi="仿宋" w:eastAsia="仿宋"/>
                <w:highlight w:val="none"/>
              </w:rPr>
              <w:t>营业收入（</w:t>
            </w:r>
            <w:r>
              <w:rPr>
                <w:rFonts w:hint="eastAsia" w:ascii="仿宋" w:hAnsi="仿宋" w:eastAsia="仿宋"/>
                <w:highlight w:val="none"/>
              </w:rPr>
              <w:t>Y）</w:t>
            </w:r>
          </w:p>
        </w:tc>
        <w:tc>
          <w:tcPr>
            <w:tcW w:w="683" w:type="dxa"/>
            <w:vAlign w:val="center"/>
          </w:tcPr>
          <w:p w14:paraId="569E09D6">
            <w:pPr>
              <w:spacing w:line="500" w:lineRule="exact"/>
              <w:jc w:val="center"/>
              <w:outlineLvl w:val="9"/>
              <w:rPr>
                <w:rFonts w:ascii="仿宋" w:hAnsi="仿宋" w:eastAsia="仿宋"/>
                <w:highlight w:val="none"/>
              </w:rPr>
            </w:pPr>
            <w:r>
              <w:rPr>
                <w:rFonts w:ascii="仿宋" w:hAnsi="仿宋" w:eastAsia="仿宋"/>
                <w:highlight w:val="none"/>
              </w:rPr>
              <w:t>万元</w:t>
            </w:r>
          </w:p>
        </w:tc>
        <w:tc>
          <w:tcPr>
            <w:tcW w:w="1830" w:type="dxa"/>
            <w:vAlign w:val="center"/>
          </w:tcPr>
          <w:p w14:paraId="7511A8AB">
            <w:pPr>
              <w:spacing w:line="500" w:lineRule="exact"/>
              <w:jc w:val="center"/>
              <w:outlineLvl w:val="9"/>
              <w:rPr>
                <w:rFonts w:eastAsia="仿宋"/>
                <w:highlight w:val="none"/>
              </w:rPr>
            </w:pPr>
            <w:r>
              <w:rPr>
                <w:rFonts w:eastAsia="仿宋"/>
                <w:highlight w:val="none"/>
              </w:rPr>
              <w:t>1000≤Y&lt;5000</w:t>
            </w:r>
          </w:p>
        </w:tc>
        <w:tc>
          <w:tcPr>
            <w:tcW w:w="1572" w:type="dxa"/>
            <w:vAlign w:val="center"/>
          </w:tcPr>
          <w:p w14:paraId="6DB80F22">
            <w:pPr>
              <w:spacing w:line="500" w:lineRule="exact"/>
              <w:jc w:val="center"/>
              <w:outlineLvl w:val="9"/>
              <w:rPr>
                <w:rFonts w:eastAsia="仿宋"/>
                <w:highlight w:val="none"/>
              </w:rPr>
            </w:pPr>
            <w:r>
              <w:rPr>
                <w:rFonts w:eastAsia="仿宋"/>
                <w:highlight w:val="none"/>
              </w:rPr>
              <w:t>500≤Y&lt;1000</w:t>
            </w:r>
          </w:p>
        </w:tc>
        <w:tc>
          <w:tcPr>
            <w:tcW w:w="1036" w:type="dxa"/>
            <w:vAlign w:val="center"/>
          </w:tcPr>
          <w:p w14:paraId="2F47B2F8">
            <w:pPr>
              <w:spacing w:line="500" w:lineRule="exact"/>
              <w:jc w:val="center"/>
              <w:outlineLvl w:val="9"/>
              <w:rPr>
                <w:rFonts w:eastAsia="仿宋"/>
                <w:highlight w:val="none"/>
              </w:rPr>
            </w:pPr>
            <w:r>
              <w:rPr>
                <w:rFonts w:eastAsia="仿宋"/>
                <w:highlight w:val="none"/>
              </w:rPr>
              <w:t>Y&lt;500</w:t>
            </w:r>
          </w:p>
        </w:tc>
      </w:tr>
      <w:tr w14:paraId="3634C3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372EF13D">
            <w:pPr>
              <w:spacing w:line="500" w:lineRule="exact"/>
              <w:jc w:val="center"/>
              <w:outlineLvl w:val="9"/>
              <w:rPr>
                <w:rFonts w:ascii="仿宋" w:hAnsi="仿宋" w:eastAsia="仿宋"/>
                <w:highlight w:val="none"/>
              </w:rPr>
            </w:pPr>
            <w:r>
              <w:rPr>
                <w:rFonts w:hint="eastAsia" w:ascii="仿宋" w:hAnsi="仿宋" w:eastAsia="仿宋"/>
                <w:highlight w:val="none"/>
              </w:rPr>
              <w:t>租赁</w:t>
            </w:r>
            <w:r>
              <w:rPr>
                <w:rFonts w:ascii="仿宋" w:hAnsi="仿宋" w:eastAsia="仿宋"/>
                <w:highlight w:val="none"/>
              </w:rPr>
              <w:t>和商务服务业</w:t>
            </w:r>
          </w:p>
        </w:tc>
        <w:tc>
          <w:tcPr>
            <w:tcW w:w="1447" w:type="dxa"/>
            <w:vAlign w:val="center"/>
          </w:tcPr>
          <w:p w14:paraId="59ACB4E1">
            <w:pPr>
              <w:spacing w:line="500" w:lineRule="exact"/>
              <w:jc w:val="center"/>
              <w:outlineLvl w:val="9"/>
              <w:rPr>
                <w:rFonts w:ascii="仿宋" w:hAnsi="仿宋" w:eastAsia="仿宋"/>
                <w:highlight w:val="none"/>
              </w:rPr>
            </w:pPr>
            <w:r>
              <w:rPr>
                <w:rFonts w:ascii="仿宋" w:hAnsi="仿宋" w:eastAsia="仿宋"/>
                <w:highlight w:val="none"/>
              </w:rPr>
              <w:t>从业人员（</w:t>
            </w:r>
            <w:r>
              <w:rPr>
                <w:rFonts w:hint="eastAsia" w:ascii="仿宋" w:hAnsi="仿宋" w:eastAsia="仿宋"/>
                <w:highlight w:val="none"/>
              </w:rPr>
              <w:t>X）</w:t>
            </w:r>
          </w:p>
        </w:tc>
        <w:tc>
          <w:tcPr>
            <w:tcW w:w="683" w:type="dxa"/>
            <w:vAlign w:val="center"/>
          </w:tcPr>
          <w:p w14:paraId="4FD452A6">
            <w:pPr>
              <w:spacing w:line="500" w:lineRule="exact"/>
              <w:jc w:val="center"/>
              <w:outlineLvl w:val="9"/>
              <w:rPr>
                <w:rFonts w:ascii="仿宋" w:hAnsi="仿宋" w:eastAsia="仿宋"/>
                <w:highlight w:val="none"/>
              </w:rPr>
            </w:pPr>
            <w:r>
              <w:rPr>
                <w:rFonts w:ascii="仿宋" w:hAnsi="仿宋" w:eastAsia="仿宋"/>
                <w:highlight w:val="none"/>
              </w:rPr>
              <w:t>人</w:t>
            </w:r>
          </w:p>
        </w:tc>
        <w:tc>
          <w:tcPr>
            <w:tcW w:w="1830" w:type="dxa"/>
            <w:vAlign w:val="center"/>
          </w:tcPr>
          <w:p w14:paraId="7B6121D9">
            <w:pPr>
              <w:spacing w:line="500" w:lineRule="exact"/>
              <w:jc w:val="center"/>
              <w:outlineLvl w:val="9"/>
              <w:rPr>
                <w:rFonts w:eastAsia="仿宋"/>
                <w:highlight w:val="none"/>
              </w:rPr>
            </w:pPr>
            <w:r>
              <w:rPr>
                <w:rFonts w:eastAsia="仿宋"/>
                <w:highlight w:val="none"/>
              </w:rPr>
              <w:t>100≤X&lt;300</w:t>
            </w:r>
          </w:p>
        </w:tc>
        <w:tc>
          <w:tcPr>
            <w:tcW w:w="1572" w:type="dxa"/>
            <w:vAlign w:val="center"/>
          </w:tcPr>
          <w:p w14:paraId="4B6B620B">
            <w:pPr>
              <w:spacing w:line="500" w:lineRule="exact"/>
              <w:jc w:val="center"/>
              <w:outlineLvl w:val="9"/>
              <w:rPr>
                <w:rFonts w:eastAsia="仿宋"/>
                <w:highlight w:val="none"/>
              </w:rPr>
            </w:pPr>
            <w:r>
              <w:rPr>
                <w:rFonts w:eastAsia="仿宋"/>
                <w:highlight w:val="none"/>
              </w:rPr>
              <w:t>10≤X&lt;100</w:t>
            </w:r>
          </w:p>
        </w:tc>
        <w:tc>
          <w:tcPr>
            <w:tcW w:w="1036" w:type="dxa"/>
            <w:vAlign w:val="center"/>
          </w:tcPr>
          <w:p w14:paraId="7FD03BAE">
            <w:pPr>
              <w:spacing w:line="500" w:lineRule="exact"/>
              <w:jc w:val="center"/>
              <w:outlineLvl w:val="9"/>
              <w:rPr>
                <w:rFonts w:eastAsia="仿宋"/>
                <w:highlight w:val="none"/>
              </w:rPr>
            </w:pPr>
            <w:r>
              <w:rPr>
                <w:rFonts w:eastAsia="仿宋"/>
                <w:highlight w:val="none"/>
              </w:rPr>
              <w:t>X&lt;10</w:t>
            </w:r>
          </w:p>
        </w:tc>
      </w:tr>
      <w:tr w14:paraId="2A2540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034E0B05">
            <w:pPr>
              <w:spacing w:line="500" w:lineRule="exact"/>
              <w:jc w:val="center"/>
              <w:outlineLvl w:val="9"/>
              <w:rPr>
                <w:rFonts w:ascii="仿宋" w:hAnsi="仿宋" w:eastAsia="仿宋"/>
                <w:highlight w:val="none"/>
              </w:rPr>
            </w:pPr>
          </w:p>
        </w:tc>
        <w:tc>
          <w:tcPr>
            <w:tcW w:w="1447" w:type="dxa"/>
            <w:vAlign w:val="center"/>
          </w:tcPr>
          <w:p w14:paraId="2B7C4030">
            <w:pPr>
              <w:spacing w:line="500" w:lineRule="exact"/>
              <w:jc w:val="center"/>
              <w:outlineLvl w:val="9"/>
              <w:rPr>
                <w:rFonts w:ascii="仿宋" w:hAnsi="仿宋" w:eastAsia="仿宋"/>
                <w:highlight w:val="none"/>
              </w:rPr>
            </w:pPr>
            <w:r>
              <w:rPr>
                <w:rFonts w:hint="eastAsia" w:ascii="仿宋" w:hAnsi="仿宋" w:eastAsia="仿宋"/>
                <w:highlight w:val="none"/>
              </w:rPr>
              <w:t>资产</w:t>
            </w:r>
            <w:r>
              <w:rPr>
                <w:rFonts w:ascii="仿宋" w:hAnsi="仿宋" w:eastAsia="仿宋"/>
                <w:highlight w:val="none"/>
              </w:rPr>
              <w:t>总额（</w:t>
            </w:r>
            <w:r>
              <w:rPr>
                <w:rFonts w:hint="eastAsia" w:ascii="仿宋" w:hAnsi="仿宋" w:eastAsia="仿宋"/>
                <w:highlight w:val="none"/>
              </w:rPr>
              <w:t>Z）</w:t>
            </w:r>
          </w:p>
        </w:tc>
        <w:tc>
          <w:tcPr>
            <w:tcW w:w="683" w:type="dxa"/>
            <w:vAlign w:val="center"/>
          </w:tcPr>
          <w:p w14:paraId="18C02B5A">
            <w:pPr>
              <w:spacing w:line="500" w:lineRule="exact"/>
              <w:jc w:val="center"/>
              <w:outlineLvl w:val="9"/>
              <w:rPr>
                <w:rFonts w:ascii="仿宋" w:hAnsi="仿宋" w:eastAsia="仿宋"/>
                <w:highlight w:val="none"/>
              </w:rPr>
            </w:pPr>
            <w:r>
              <w:rPr>
                <w:rFonts w:ascii="仿宋" w:hAnsi="仿宋" w:eastAsia="仿宋"/>
                <w:highlight w:val="none"/>
              </w:rPr>
              <w:t>万元</w:t>
            </w:r>
          </w:p>
        </w:tc>
        <w:tc>
          <w:tcPr>
            <w:tcW w:w="1830" w:type="dxa"/>
            <w:vAlign w:val="center"/>
          </w:tcPr>
          <w:p w14:paraId="7E8866F6">
            <w:pPr>
              <w:spacing w:line="500" w:lineRule="exact"/>
              <w:jc w:val="center"/>
              <w:outlineLvl w:val="9"/>
              <w:rPr>
                <w:rFonts w:eastAsia="仿宋"/>
                <w:highlight w:val="none"/>
              </w:rPr>
            </w:pPr>
            <w:r>
              <w:rPr>
                <w:rFonts w:eastAsia="仿宋"/>
                <w:highlight w:val="none"/>
              </w:rPr>
              <w:t>8000≤Z &lt;120000</w:t>
            </w:r>
          </w:p>
        </w:tc>
        <w:tc>
          <w:tcPr>
            <w:tcW w:w="1572" w:type="dxa"/>
            <w:vAlign w:val="center"/>
          </w:tcPr>
          <w:p w14:paraId="0ED6B13C">
            <w:pPr>
              <w:spacing w:line="500" w:lineRule="exact"/>
              <w:jc w:val="center"/>
              <w:outlineLvl w:val="9"/>
              <w:rPr>
                <w:rFonts w:eastAsia="仿宋"/>
                <w:highlight w:val="none"/>
              </w:rPr>
            </w:pPr>
            <w:r>
              <w:rPr>
                <w:rFonts w:eastAsia="仿宋"/>
                <w:highlight w:val="none"/>
              </w:rPr>
              <w:t>100≤Z &lt;8000</w:t>
            </w:r>
          </w:p>
        </w:tc>
        <w:tc>
          <w:tcPr>
            <w:tcW w:w="1036" w:type="dxa"/>
            <w:vAlign w:val="center"/>
          </w:tcPr>
          <w:p w14:paraId="5D8B988C">
            <w:pPr>
              <w:spacing w:line="500" w:lineRule="exact"/>
              <w:jc w:val="center"/>
              <w:outlineLvl w:val="9"/>
              <w:rPr>
                <w:rFonts w:eastAsia="仿宋"/>
                <w:highlight w:val="none"/>
              </w:rPr>
            </w:pPr>
            <w:r>
              <w:rPr>
                <w:rFonts w:eastAsia="仿宋"/>
                <w:highlight w:val="none"/>
              </w:rPr>
              <w:t>Z&lt;100</w:t>
            </w:r>
          </w:p>
        </w:tc>
      </w:tr>
      <w:tr w14:paraId="1FD78E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Align w:val="center"/>
          </w:tcPr>
          <w:p w14:paraId="6D929D62">
            <w:pPr>
              <w:spacing w:line="500" w:lineRule="exact"/>
              <w:jc w:val="center"/>
              <w:outlineLvl w:val="9"/>
              <w:rPr>
                <w:rFonts w:ascii="仿宋" w:hAnsi="仿宋" w:eastAsia="仿宋"/>
                <w:highlight w:val="none"/>
              </w:rPr>
            </w:pPr>
            <w:r>
              <w:rPr>
                <w:rFonts w:hint="eastAsia" w:ascii="仿宋" w:hAnsi="仿宋" w:eastAsia="仿宋"/>
                <w:highlight w:val="none"/>
              </w:rPr>
              <w:t>其</w:t>
            </w:r>
            <w:r>
              <w:rPr>
                <w:rFonts w:ascii="仿宋" w:hAnsi="仿宋" w:eastAsia="仿宋"/>
                <w:highlight w:val="none"/>
              </w:rPr>
              <w:t>他未列明行业</w:t>
            </w:r>
          </w:p>
        </w:tc>
        <w:tc>
          <w:tcPr>
            <w:tcW w:w="1447" w:type="dxa"/>
            <w:vAlign w:val="center"/>
          </w:tcPr>
          <w:p w14:paraId="2AEA002C">
            <w:pPr>
              <w:spacing w:line="500" w:lineRule="exact"/>
              <w:jc w:val="center"/>
              <w:outlineLvl w:val="9"/>
              <w:rPr>
                <w:rFonts w:ascii="仿宋" w:hAnsi="仿宋" w:eastAsia="仿宋"/>
                <w:highlight w:val="none"/>
              </w:rPr>
            </w:pPr>
            <w:r>
              <w:rPr>
                <w:rFonts w:ascii="仿宋" w:hAnsi="仿宋" w:eastAsia="仿宋"/>
                <w:highlight w:val="none"/>
              </w:rPr>
              <w:t>从业人员（</w:t>
            </w:r>
            <w:r>
              <w:rPr>
                <w:rFonts w:hint="eastAsia" w:ascii="仿宋" w:hAnsi="仿宋" w:eastAsia="仿宋"/>
                <w:highlight w:val="none"/>
              </w:rPr>
              <w:t>X）</w:t>
            </w:r>
          </w:p>
        </w:tc>
        <w:tc>
          <w:tcPr>
            <w:tcW w:w="683" w:type="dxa"/>
            <w:vAlign w:val="center"/>
          </w:tcPr>
          <w:p w14:paraId="1CFABE47">
            <w:pPr>
              <w:spacing w:line="500" w:lineRule="exact"/>
              <w:jc w:val="center"/>
              <w:outlineLvl w:val="9"/>
              <w:rPr>
                <w:rFonts w:ascii="仿宋" w:hAnsi="仿宋" w:eastAsia="仿宋"/>
                <w:highlight w:val="none"/>
              </w:rPr>
            </w:pPr>
            <w:r>
              <w:rPr>
                <w:rFonts w:ascii="仿宋" w:hAnsi="仿宋" w:eastAsia="仿宋"/>
                <w:highlight w:val="none"/>
              </w:rPr>
              <w:t>人</w:t>
            </w:r>
          </w:p>
        </w:tc>
        <w:tc>
          <w:tcPr>
            <w:tcW w:w="1830" w:type="dxa"/>
            <w:vAlign w:val="center"/>
          </w:tcPr>
          <w:p w14:paraId="6FEE6F88">
            <w:pPr>
              <w:spacing w:line="500" w:lineRule="exact"/>
              <w:jc w:val="center"/>
              <w:outlineLvl w:val="9"/>
              <w:rPr>
                <w:rFonts w:eastAsia="仿宋"/>
                <w:highlight w:val="none"/>
              </w:rPr>
            </w:pPr>
            <w:r>
              <w:rPr>
                <w:rFonts w:eastAsia="仿宋"/>
                <w:highlight w:val="none"/>
              </w:rPr>
              <w:t>100≤X&lt;300</w:t>
            </w:r>
          </w:p>
        </w:tc>
        <w:tc>
          <w:tcPr>
            <w:tcW w:w="1572" w:type="dxa"/>
            <w:vAlign w:val="center"/>
          </w:tcPr>
          <w:p w14:paraId="388E5A03">
            <w:pPr>
              <w:spacing w:line="500" w:lineRule="exact"/>
              <w:jc w:val="center"/>
              <w:outlineLvl w:val="9"/>
              <w:rPr>
                <w:rFonts w:eastAsia="仿宋"/>
                <w:highlight w:val="none"/>
              </w:rPr>
            </w:pPr>
            <w:r>
              <w:rPr>
                <w:rFonts w:eastAsia="仿宋"/>
                <w:highlight w:val="none"/>
              </w:rPr>
              <w:t>10≤X&lt;100</w:t>
            </w:r>
          </w:p>
        </w:tc>
        <w:tc>
          <w:tcPr>
            <w:tcW w:w="1036" w:type="dxa"/>
            <w:vAlign w:val="center"/>
          </w:tcPr>
          <w:p w14:paraId="464650AC">
            <w:pPr>
              <w:spacing w:line="500" w:lineRule="exact"/>
              <w:jc w:val="center"/>
              <w:outlineLvl w:val="9"/>
              <w:rPr>
                <w:rFonts w:eastAsia="仿宋"/>
                <w:highlight w:val="none"/>
              </w:rPr>
            </w:pPr>
            <w:r>
              <w:rPr>
                <w:rFonts w:eastAsia="仿宋"/>
                <w:highlight w:val="none"/>
              </w:rPr>
              <w:t>X&lt;10</w:t>
            </w:r>
          </w:p>
        </w:tc>
      </w:tr>
    </w:tbl>
    <w:p w14:paraId="522214F3">
      <w:pPr>
        <w:keepNext w:val="0"/>
        <w:keepLines w:val="0"/>
        <w:pageBreakBefore w:val="0"/>
        <w:widowControl w:val="0"/>
        <w:kinsoku/>
        <w:wordWrap/>
        <w:overflowPunct/>
        <w:topLinePunct w:val="0"/>
        <w:autoSpaceDE/>
        <w:autoSpaceDN/>
        <w:bidi w:val="0"/>
        <w:adjustRightInd/>
        <w:spacing w:line="500" w:lineRule="exact"/>
        <w:ind w:firstLine="420" w:firstLineChars="200"/>
        <w:textAlignment w:val="auto"/>
        <w:outlineLvl w:val="9"/>
        <w:rPr>
          <w:rFonts w:ascii="仿宋" w:hAnsi="仿宋" w:eastAsia="仿宋"/>
          <w:sz w:val="28"/>
          <w:szCs w:val="28"/>
          <w:highlight w:val="none"/>
        </w:rPr>
      </w:pPr>
      <w:r>
        <w:rPr>
          <w:rFonts w:hint="eastAsia" w:ascii="仿宋" w:hAnsi="仿宋" w:eastAsia="仿宋"/>
          <w:highlight w:val="none"/>
        </w:rPr>
        <w:t>说明：大型、中型和小型企业须同时满足所列指标的下限，否则下划一档；微型企业只须满足所列指标中的一项即可。</w:t>
      </w:r>
    </w:p>
    <w:p w14:paraId="07D00C60">
      <w:pPr>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ascii="仿宋" w:hAnsi="仿宋" w:eastAsia="仿宋"/>
          <w:sz w:val="28"/>
          <w:szCs w:val="28"/>
          <w:highlight w:val="none"/>
        </w:rPr>
      </w:pPr>
      <w:r>
        <w:rPr>
          <w:rFonts w:hint="eastAsia" w:ascii="仿宋" w:hAnsi="仿宋" w:eastAsia="仿宋"/>
          <w:sz w:val="28"/>
          <w:szCs w:val="28"/>
          <w:highlight w:val="none"/>
        </w:rPr>
        <w:t>7.2 残疾人福利单位价格扣除</w:t>
      </w:r>
    </w:p>
    <w:p w14:paraId="7F44F334">
      <w:pPr>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ascii="仿宋" w:hAnsi="仿宋" w:eastAsia="仿宋"/>
          <w:sz w:val="28"/>
          <w:szCs w:val="28"/>
          <w:highlight w:val="none"/>
        </w:rPr>
      </w:pPr>
      <w:r>
        <w:rPr>
          <w:rFonts w:hint="eastAsia" w:ascii="仿宋" w:hAnsi="仿宋" w:eastAsia="仿宋"/>
          <w:sz w:val="28"/>
          <w:szCs w:val="28"/>
          <w:highlight w:val="none"/>
        </w:rPr>
        <w:t>7.2.1</w:t>
      </w:r>
      <w:r>
        <w:rPr>
          <w:rFonts w:ascii="仿宋" w:hAnsi="仿宋" w:eastAsia="仿宋"/>
          <w:sz w:val="28"/>
          <w:szCs w:val="28"/>
          <w:highlight w:val="none"/>
        </w:rPr>
        <w:t>享受政府采购支持政策的残疾人福利性单位应当同时满足以下条件：</w:t>
      </w:r>
    </w:p>
    <w:p w14:paraId="449FBF05">
      <w:pPr>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ascii="仿宋" w:hAnsi="仿宋" w:eastAsia="仿宋"/>
          <w:sz w:val="28"/>
          <w:szCs w:val="28"/>
          <w:highlight w:val="none"/>
        </w:rPr>
      </w:pPr>
      <w:r>
        <w:rPr>
          <w:rFonts w:hint="eastAsia" w:ascii="仿宋" w:hAnsi="仿宋" w:eastAsia="仿宋"/>
          <w:sz w:val="28"/>
          <w:szCs w:val="28"/>
          <w:highlight w:val="none"/>
        </w:rPr>
        <w:t xml:space="preserve">7.2.1.1 </w:t>
      </w:r>
      <w:r>
        <w:rPr>
          <w:rFonts w:ascii="仿宋" w:hAnsi="仿宋" w:eastAsia="仿宋"/>
          <w:sz w:val="28"/>
          <w:szCs w:val="28"/>
          <w:highlight w:val="none"/>
        </w:rPr>
        <w:t>安置的残疾人（指法定劳动年龄内，持有《中华人民共和国残疾人证》或者《中华人民共和国残疾军人证（1至8级）》的自然人，包括具有劳动条件和劳动意愿的精神残疾人）占本单位在职职工人数（指与残疾人福利性单位建立劳动关系并依法签订劳动合同或者服务协议的雇员人数）的比例不低于25%（含25%），并且安置的残疾人人数不少于10人（含10人）；</w:t>
      </w:r>
    </w:p>
    <w:p w14:paraId="0787BECB">
      <w:pPr>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ascii="仿宋" w:hAnsi="仿宋" w:eastAsia="仿宋"/>
          <w:sz w:val="28"/>
          <w:szCs w:val="28"/>
          <w:highlight w:val="none"/>
        </w:rPr>
      </w:pPr>
      <w:r>
        <w:rPr>
          <w:rFonts w:hint="eastAsia" w:ascii="仿宋" w:hAnsi="仿宋" w:eastAsia="仿宋"/>
          <w:sz w:val="28"/>
          <w:szCs w:val="28"/>
          <w:highlight w:val="none"/>
        </w:rPr>
        <w:t xml:space="preserve">7.2.1.2 </w:t>
      </w:r>
      <w:r>
        <w:rPr>
          <w:rFonts w:ascii="仿宋" w:hAnsi="仿宋" w:eastAsia="仿宋"/>
          <w:sz w:val="28"/>
          <w:szCs w:val="28"/>
          <w:highlight w:val="none"/>
        </w:rPr>
        <w:t>依法与安置的每位残疾人签订了一年以上（含一年）的劳动合同或服务协议；</w:t>
      </w:r>
    </w:p>
    <w:p w14:paraId="7516DFEC">
      <w:pPr>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ascii="仿宋" w:hAnsi="仿宋" w:eastAsia="仿宋"/>
          <w:sz w:val="28"/>
          <w:szCs w:val="28"/>
          <w:highlight w:val="none"/>
        </w:rPr>
      </w:pPr>
      <w:r>
        <w:rPr>
          <w:rFonts w:hint="eastAsia" w:ascii="仿宋" w:hAnsi="仿宋" w:eastAsia="仿宋"/>
          <w:sz w:val="28"/>
          <w:szCs w:val="28"/>
          <w:highlight w:val="none"/>
        </w:rPr>
        <w:t xml:space="preserve">7.2.1.3 </w:t>
      </w:r>
      <w:r>
        <w:rPr>
          <w:rFonts w:ascii="仿宋" w:hAnsi="仿宋" w:eastAsia="仿宋"/>
          <w:sz w:val="28"/>
          <w:szCs w:val="28"/>
          <w:highlight w:val="none"/>
        </w:rPr>
        <w:t>为安置的每位残疾人按月足额缴纳了基本养老保险、基本医疗保险、失业保险、工伤保险和生育保险等社会保险费；</w:t>
      </w:r>
    </w:p>
    <w:p w14:paraId="6E3C70ED">
      <w:pPr>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ascii="仿宋" w:hAnsi="仿宋" w:eastAsia="仿宋"/>
          <w:sz w:val="28"/>
          <w:szCs w:val="28"/>
          <w:highlight w:val="none"/>
        </w:rPr>
      </w:pPr>
      <w:r>
        <w:rPr>
          <w:rFonts w:hint="eastAsia" w:ascii="仿宋" w:hAnsi="仿宋" w:eastAsia="仿宋"/>
          <w:sz w:val="28"/>
          <w:szCs w:val="28"/>
          <w:highlight w:val="none"/>
        </w:rPr>
        <w:t xml:space="preserve">7.2.1.4 </w:t>
      </w:r>
      <w:r>
        <w:rPr>
          <w:rFonts w:ascii="仿宋" w:hAnsi="仿宋" w:eastAsia="仿宋"/>
          <w:sz w:val="28"/>
          <w:szCs w:val="28"/>
          <w:highlight w:val="none"/>
        </w:rPr>
        <w:t>通过银行等金融机构向安置的每位残疾人，按月支付了不低于单位所在区县适用的经省级人民政府批准的月最低工资标准的工资；</w:t>
      </w:r>
    </w:p>
    <w:p w14:paraId="357382C6">
      <w:pPr>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ascii="仿宋" w:hAnsi="仿宋" w:eastAsia="仿宋"/>
          <w:sz w:val="28"/>
          <w:szCs w:val="28"/>
          <w:highlight w:val="none"/>
        </w:rPr>
      </w:pPr>
      <w:r>
        <w:rPr>
          <w:rFonts w:hint="eastAsia" w:ascii="仿宋" w:hAnsi="仿宋" w:eastAsia="仿宋"/>
          <w:sz w:val="28"/>
          <w:szCs w:val="28"/>
          <w:highlight w:val="none"/>
        </w:rPr>
        <w:t xml:space="preserve">7.2.1.5 </w:t>
      </w:r>
      <w:r>
        <w:rPr>
          <w:rFonts w:ascii="仿宋" w:hAnsi="仿宋" w:eastAsia="仿宋"/>
          <w:sz w:val="28"/>
          <w:szCs w:val="28"/>
          <w:highlight w:val="none"/>
        </w:rPr>
        <w:t>提供本单位制造的货物、承担的工程或者服务（以下简称产品），或者提供其他残疾人福利性单位制造的货物（不包括使用非残疾人福利性单位注册商标的货物）。</w:t>
      </w:r>
    </w:p>
    <w:p w14:paraId="0948F4AD">
      <w:pPr>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ascii="仿宋" w:hAnsi="仿宋" w:eastAsia="仿宋"/>
          <w:sz w:val="28"/>
          <w:szCs w:val="28"/>
          <w:highlight w:val="none"/>
        </w:rPr>
      </w:pPr>
      <w:r>
        <w:rPr>
          <w:rFonts w:hint="eastAsia" w:ascii="仿宋" w:hAnsi="仿宋" w:eastAsia="仿宋"/>
          <w:sz w:val="28"/>
          <w:szCs w:val="28"/>
          <w:highlight w:val="none"/>
        </w:rPr>
        <w:t xml:space="preserve">7.2.2 </w:t>
      </w:r>
      <w:r>
        <w:rPr>
          <w:rFonts w:ascii="仿宋" w:hAnsi="仿宋" w:eastAsia="仿宋"/>
          <w:sz w:val="28"/>
          <w:szCs w:val="28"/>
          <w:highlight w:val="none"/>
        </w:rPr>
        <w:t>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p>
    <w:p w14:paraId="23774FA8">
      <w:pPr>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ascii="仿宋" w:hAnsi="仿宋" w:eastAsia="仿宋"/>
          <w:sz w:val="28"/>
          <w:szCs w:val="28"/>
          <w:highlight w:val="none"/>
        </w:rPr>
      </w:pPr>
      <w:r>
        <w:rPr>
          <w:rFonts w:hint="eastAsia" w:ascii="仿宋" w:hAnsi="仿宋" w:eastAsia="仿宋"/>
          <w:sz w:val="28"/>
          <w:szCs w:val="28"/>
          <w:highlight w:val="none"/>
        </w:rPr>
        <w:t>7.2.3 残疾人福利单位需按照采购文件的要求提供《残疾人福利性单位声明函》，否则不予享受。</w:t>
      </w:r>
    </w:p>
    <w:p w14:paraId="52680B77">
      <w:pPr>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ascii="仿宋" w:hAnsi="仿宋" w:eastAsia="仿宋"/>
          <w:sz w:val="28"/>
          <w:szCs w:val="28"/>
          <w:highlight w:val="none"/>
        </w:rPr>
      </w:pPr>
      <w:r>
        <w:rPr>
          <w:rFonts w:hint="eastAsia" w:ascii="仿宋" w:hAnsi="仿宋" w:eastAsia="仿宋"/>
          <w:sz w:val="28"/>
          <w:szCs w:val="28"/>
          <w:highlight w:val="none"/>
        </w:rPr>
        <w:t>7.2.4 残疾人福利单位属于小型、微型企业的，不重复享受政策。</w:t>
      </w:r>
    </w:p>
    <w:p w14:paraId="6BB60321">
      <w:pPr>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ascii="仿宋" w:hAnsi="仿宋" w:eastAsia="仿宋"/>
          <w:sz w:val="28"/>
          <w:szCs w:val="28"/>
          <w:highlight w:val="none"/>
        </w:rPr>
      </w:pPr>
      <w:r>
        <w:rPr>
          <w:rFonts w:hint="eastAsia" w:ascii="仿宋" w:hAnsi="仿宋" w:eastAsia="仿宋"/>
          <w:sz w:val="28"/>
          <w:szCs w:val="28"/>
          <w:highlight w:val="none"/>
        </w:rPr>
        <w:t>7.3 监狱和戒毒企业价格扣除</w:t>
      </w:r>
    </w:p>
    <w:p w14:paraId="18682EE0">
      <w:pPr>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ascii="仿宋" w:hAnsi="仿宋" w:eastAsia="仿宋"/>
          <w:sz w:val="28"/>
          <w:szCs w:val="28"/>
          <w:highlight w:val="none"/>
        </w:rPr>
      </w:pPr>
      <w:r>
        <w:rPr>
          <w:rFonts w:hint="eastAsia" w:ascii="仿宋" w:hAnsi="仿宋" w:eastAsia="仿宋"/>
          <w:sz w:val="28"/>
          <w:szCs w:val="28"/>
          <w:highlight w:val="none"/>
        </w:rPr>
        <w:t>7.3.1 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0D7D17C7">
      <w:pPr>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ascii="仿宋" w:hAnsi="仿宋" w:eastAsia="仿宋"/>
          <w:sz w:val="28"/>
          <w:szCs w:val="28"/>
          <w:highlight w:val="none"/>
        </w:rPr>
      </w:pPr>
      <w:r>
        <w:rPr>
          <w:rFonts w:hint="eastAsia" w:ascii="仿宋" w:hAnsi="仿宋" w:eastAsia="仿宋"/>
          <w:sz w:val="28"/>
          <w:szCs w:val="28"/>
          <w:highlight w:val="none"/>
        </w:rPr>
        <w:t>7.3.2 监狱企业参加政府采购活动时，应当提供由省级以上监狱管理局、戒毒管理局(含新疆生产建设兵团)出具的属于监狱企业的证明文件。</w:t>
      </w:r>
    </w:p>
    <w:p w14:paraId="396B4B79">
      <w:pPr>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ascii="仿宋" w:hAnsi="仿宋" w:eastAsia="仿宋"/>
          <w:sz w:val="28"/>
          <w:szCs w:val="28"/>
          <w:highlight w:val="none"/>
        </w:rPr>
      </w:pPr>
      <w:r>
        <w:rPr>
          <w:rFonts w:hint="eastAsia" w:ascii="仿宋" w:hAnsi="仿宋" w:eastAsia="仿宋"/>
          <w:sz w:val="28"/>
          <w:szCs w:val="28"/>
          <w:highlight w:val="none"/>
        </w:rPr>
        <w:t>7.3.3 在政府采购活动中，监狱企业视同小型、微型企业，享受预留份额、评审中价格扣除等政府采购促进中小企业发展的政府采购政策。</w:t>
      </w:r>
    </w:p>
    <w:p w14:paraId="55D2B369">
      <w:pPr>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ascii="仿宋" w:hAnsi="仿宋" w:eastAsia="仿宋"/>
          <w:sz w:val="28"/>
          <w:szCs w:val="28"/>
          <w:highlight w:val="none"/>
        </w:rPr>
      </w:pPr>
      <w:r>
        <w:rPr>
          <w:rFonts w:hint="eastAsia" w:ascii="仿宋" w:hAnsi="仿宋" w:eastAsia="仿宋"/>
          <w:sz w:val="28"/>
          <w:szCs w:val="28"/>
          <w:highlight w:val="none"/>
        </w:rPr>
        <w:t>7.3.4 监狱企业属于小型、微型企业的，不重复享受政策。</w:t>
      </w:r>
    </w:p>
    <w:p w14:paraId="17512CCB">
      <w:pPr>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ascii="仿宋" w:hAnsi="仿宋" w:eastAsia="仿宋"/>
          <w:sz w:val="28"/>
          <w:szCs w:val="28"/>
          <w:highlight w:val="none"/>
        </w:rPr>
      </w:pPr>
      <w:r>
        <w:rPr>
          <w:rFonts w:hint="eastAsia" w:ascii="仿宋" w:hAnsi="仿宋" w:eastAsia="仿宋"/>
          <w:sz w:val="28"/>
          <w:szCs w:val="28"/>
          <w:highlight w:val="none"/>
        </w:rPr>
        <w:t>7.4 根据《财政部、发展改革委关于印发节能产品政府采购品目清单的通知》（</w:t>
      </w:r>
      <w:r>
        <w:rPr>
          <w:rFonts w:hint="eastAsia" w:ascii="仿宋" w:hAnsi="仿宋" w:eastAsia="仿宋" w:cs="宋体"/>
          <w:color w:val="000000"/>
          <w:kern w:val="0"/>
          <w:sz w:val="26"/>
          <w:szCs w:val="26"/>
          <w:highlight w:val="none"/>
        </w:rPr>
        <w:t>财库〔2019〕19号</w:t>
      </w:r>
      <w:r>
        <w:rPr>
          <w:rFonts w:hint="eastAsia" w:ascii="仿宋" w:hAnsi="仿宋" w:eastAsia="仿宋"/>
          <w:sz w:val="28"/>
          <w:szCs w:val="28"/>
          <w:highlight w:val="none"/>
        </w:rPr>
        <w:t>）要求，下列产品实行强制采购或者优先采购：</w:t>
      </w:r>
    </w:p>
    <w:p w14:paraId="21DFEAFF">
      <w:pPr>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ascii="仿宋" w:hAnsi="仿宋" w:eastAsia="仿宋"/>
          <w:sz w:val="28"/>
          <w:szCs w:val="28"/>
          <w:highlight w:val="none"/>
        </w:rPr>
      </w:pPr>
      <w:r>
        <w:rPr>
          <w:rFonts w:hint="eastAsia" w:ascii="仿宋" w:hAnsi="仿宋" w:eastAsia="仿宋"/>
          <w:sz w:val="28"/>
          <w:szCs w:val="28"/>
          <w:highlight w:val="none"/>
        </w:rPr>
        <w:t>7.4.1 对于属于节能产品政府采购品目清单内的台式计算机、便携式计算机、平板式微型计算机、激光打印机、针式打印机、液晶显示器、投影仪、多功能一体机、冷水机组、水源热泵机组、溴化锂吸收式冷水机组、多联式空调、房间空气调节器、单元式空气调节机、机房空调、管型荧光灯镇流器、空调机、电热水器、普通照明用双端荧光灯、电视机、监视器、便器、水嘴器等产品，实行强制采购。</w:t>
      </w:r>
    </w:p>
    <w:p w14:paraId="461E74AD">
      <w:pPr>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ascii="仿宋" w:hAnsi="仿宋" w:eastAsia="仿宋"/>
          <w:sz w:val="28"/>
          <w:szCs w:val="28"/>
          <w:highlight w:val="none"/>
        </w:rPr>
      </w:pPr>
      <w:r>
        <w:rPr>
          <w:rFonts w:hint="eastAsia" w:ascii="仿宋" w:hAnsi="仿宋" w:eastAsia="仿宋"/>
          <w:sz w:val="28"/>
          <w:szCs w:val="28"/>
          <w:highlight w:val="none"/>
        </w:rPr>
        <w:t>7.4.2 对于属于节能产品政府采购品目清单内的喷墨打印机、扫描仪、离心泵、冷节塔、电机、配电变压器、电冰箱、洗衣机、燃气热水器、热泵热水器、太阳能热水系统、LED道路/隧道照明产品、LED筒灯、普通照明用非定向自镇流LED灯、商用燃气灶具等产品实行优先采购。</w:t>
      </w:r>
    </w:p>
    <w:p w14:paraId="79B97C7B">
      <w:pPr>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ascii="仿宋" w:hAnsi="仿宋" w:eastAsia="仿宋"/>
          <w:color w:val="auto"/>
          <w:sz w:val="28"/>
          <w:szCs w:val="28"/>
          <w:highlight w:val="none"/>
        </w:rPr>
      </w:pPr>
      <w:r>
        <w:rPr>
          <w:rFonts w:hint="eastAsia" w:ascii="仿宋" w:hAnsi="仿宋" w:eastAsia="仿宋"/>
          <w:sz w:val="28"/>
          <w:szCs w:val="28"/>
          <w:highlight w:val="none"/>
        </w:rPr>
        <w:t>7.5 根据《财政部、生态环境部关于印发环境标志产品政府采购品目清单的通知》（财库〔2019〕18号）要求，对于</w:t>
      </w:r>
      <w:r>
        <w:rPr>
          <w:highlight w:val="none"/>
        </w:rPr>
        <w:fldChar w:fldCharType="begin"/>
      </w:r>
      <w:r>
        <w:rPr>
          <w:highlight w:val="none"/>
        </w:rPr>
        <w:instrText xml:space="preserve"> HYPERLINK "http://gks.mof.gov.cn/zhengfucaigouguanli/201903/P020190329702478575295.pdf" </w:instrText>
      </w:r>
      <w:r>
        <w:rPr>
          <w:highlight w:val="none"/>
        </w:rPr>
        <w:fldChar w:fldCharType="separate"/>
      </w:r>
      <w:r>
        <w:rPr>
          <w:rFonts w:hint="eastAsia" w:ascii="仿宋" w:hAnsi="仿宋" w:eastAsia="仿宋"/>
          <w:sz w:val="28"/>
          <w:szCs w:val="28"/>
          <w:highlight w:val="none"/>
        </w:rPr>
        <w:t>环境标志产品政府采购品目清单</w:t>
      </w:r>
      <w:r>
        <w:rPr>
          <w:rFonts w:hint="eastAsia" w:ascii="仿宋" w:hAnsi="仿宋" w:eastAsia="仿宋"/>
          <w:sz w:val="28"/>
          <w:szCs w:val="28"/>
          <w:highlight w:val="none"/>
        </w:rPr>
        <w:fldChar w:fldCharType="end"/>
      </w:r>
      <w:r>
        <w:rPr>
          <w:rFonts w:ascii="仿宋" w:hAnsi="仿宋" w:eastAsia="仿宋"/>
          <w:sz w:val="28"/>
          <w:szCs w:val="28"/>
          <w:highlight w:val="none"/>
        </w:rPr>
        <w:t>内的</w:t>
      </w:r>
      <w:r>
        <w:rPr>
          <w:rFonts w:hint="eastAsia" w:ascii="仿宋" w:hAnsi="仿宋" w:eastAsia="仿宋"/>
          <w:sz w:val="28"/>
          <w:szCs w:val="28"/>
          <w:highlight w:val="none"/>
        </w:rPr>
        <w:t>计算机设备、打印设备、显示设备、扫描仪、投影仪、复印机、多功能一体机、速印机、载货汽车（含自卸汽车）、乘用车、小型客车、专用车辆、制冷空调设备、空调机、热水器、室内照明灯具、传真通信设备、电视设备、床类、台/桌类、椅凳类、沙发类、柜类、架类、屏风类、水池、便器、水嘴、组合家具、家用家具零配件、其他家具用具、棉、化纤纺织及印染原料、复印纸、</w:t>
      </w:r>
      <w:r>
        <w:rPr>
          <w:rFonts w:hint="eastAsia" w:ascii="仿宋" w:hAnsi="仿宋" w:eastAsia="仿宋"/>
          <w:color w:val="auto"/>
          <w:sz w:val="28"/>
          <w:szCs w:val="28"/>
          <w:highlight w:val="none"/>
        </w:rPr>
        <w:t>鼓粉盒、人造板、人造板表面装饰板、水泥、商品混凝土、纤维增强水泥制品、石膏板、轻质隔墙条板、建筑陶瓷制品、建筑防水卷材及制品、矿物绝热和吸声材料、矿物材料制品、功能性建筑涂料、其他非金属建筑材料、墙面涂料、防水涂料、门、门槛、窗、涂料、密封用填料及类似品、塑料制品等产品，实行优先或强制采购。</w:t>
      </w:r>
    </w:p>
    <w:p w14:paraId="5223CBD1">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7.6根据《国务院办公厅关于在政府采购中实施本国产品标准及相关政策的通知》（国办发〔2025〕34号）要求，落实对本国产品支持政策。</w:t>
      </w:r>
    </w:p>
    <w:p w14:paraId="3F9DA164">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7.6.1 政府采购活动中既有本国产品又有非本国产品参与竞争的，依法对本国产品给予价格评审优惠，对本国产品的报价给予20%的价格扣除，用扣除后的价格参与评审。</w:t>
      </w:r>
    </w:p>
    <w:p w14:paraId="324D6D5E">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7.6.2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16DA11CF">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7.6.3 本国产品应当符合以下条件：（1）产品应当在中国境内生产，即在中华人民共和国关境内实现从原材料、组件到产品的属性改变（经过制造、加工或者组装等工序，产生完全不同于原材料、组件的新产品，并具有新的名称和特征或用途）；（2）产品在中国境内生产的组件成本占比应当达到规定比例，组件成本按照《中国境内生产的组件成本核算基本规则》计算；（3）对特定产品，在符合本通知第一条第（1）项和第（2）项条件的基础上，应当符合财政部会同有关行业主管部门确定的其关键组件、关键工序在中国境内生产、完成等要求。</w:t>
      </w:r>
    </w:p>
    <w:p w14:paraId="06A66859">
      <w:pPr>
        <w:pStyle w:val="45"/>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hint="eastAsia" w:ascii="仿宋" w:hAnsi="仿宋" w:eastAsia="仿宋"/>
          <w:color w:val="auto"/>
          <w:sz w:val="28"/>
          <w:szCs w:val="28"/>
          <w:highlight w:val="none"/>
        </w:rPr>
      </w:pPr>
      <w:r>
        <w:rPr>
          <w:rFonts w:hint="eastAsia" w:ascii="仿宋" w:hAnsi="仿宋" w:eastAsia="仿宋"/>
          <w:color w:val="auto"/>
          <w:sz w:val="28"/>
          <w:szCs w:val="28"/>
          <w:highlight w:val="none"/>
        </w:rPr>
        <w:t>7.6.4供应商对其提供的产品出具《关于符合本国产品标准的声明函》或财政部会同有关部门规定的有关证明文件。</w:t>
      </w:r>
    </w:p>
    <w:p w14:paraId="39B6EED9">
      <w:pPr>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1"/>
        <w:rPr>
          <w:rFonts w:ascii="黑体" w:hAnsi="黑体" w:eastAsia="黑体"/>
          <w:bCs/>
          <w:color w:val="auto"/>
          <w:sz w:val="28"/>
          <w:szCs w:val="28"/>
          <w:highlight w:val="none"/>
        </w:rPr>
      </w:pPr>
      <w:bookmarkStart w:id="51" w:name="_Toc6"/>
      <w:r>
        <w:rPr>
          <w:rFonts w:hint="eastAsia" w:ascii="黑体" w:hAnsi="黑体" w:eastAsia="黑体"/>
          <w:bCs/>
          <w:color w:val="auto"/>
          <w:sz w:val="28"/>
          <w:szCs w:val="28"/>
          <w:highlight w:val="none"/>
        </w:rPr>
        <w:t>8.无效响应和磋商活动终止</w:t>
      </w:r>
      <w:bookmarkEnd w:id="51"/>
    </w:p>
    <w:p w14:paraId="70D41531">
      <w:pPr>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ascii="仿宋" w:hAnsi="仿宋" w:eastAsia="仿宋"/>
          <w:sz w:val="28"/>
          <w:szCs w:val="28"/>
          <w:highlight w:val="none"/>
        </w:rPr>
      </w:pPr>
      <w:r>
        <w:rPr>
          <w:rFonts w:hint="eastAsia" w:ascii="仿宋" w:hAnsi="仿宋" w:eastAsia="仿宋"/>
          <w:sz w:val="28"/>
          <w:szCs w:val="28"/>
          <w:highlight w:val="none"/>
        </w:rPr>
        <w:t>8.1 出现下列情形之一的，作无效响应处理。</w:t>
      </w:r>
      <w:r>
        <w:rPr>
          <w:rFonts w:hint="eastAsia" w:ascii="仿宋" w:hAnsi="仿宋" w:eastAsia="仿宋"/>
          <w:sz w:val="28"/>
          <w:szCs w:val="28"/>
          <w:highlight w:val="none"/>
        </w:rPr>
        <w:tab/>
      </w:r>
      <w:r>
        <w:rPr>
          <w:rFonts w:hint="eastAsia" w:ascii="仿宋" w:hAnsi="仿宋" w:eastAsia="仿宋"/>
          <w:sz w:val="28"/>
          <w:szCs w:val="28"/>
          <w:highlight w:val="none"/>
        </w:rPr>
        <w:tab/>
      </w:r>
    </w:p>
    <w:p w14:paraId="12D2F9FE">
      <w:pPr>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ascii="仿宋" w:hAnsi="仿宋" w:eastAsia="仿宋"/>
          <w:sz w:val="28"/>
          <w:szCs w:val="28"/>
          <w:highlight w:val="none"/>
        </w:rPr>
      </w:pPr>
      <w:r>
        <w:rPr>
          <w:rFonts w:hint="eastAsia" w:ascii="仿宋" w:hAnsi="仿宋" w:eastAsia="仿宋"/>
          <w:sz w:val="28"/>
          <w:szCs w:val="28"/>
          <w:highlight w:val="none"/>
        </w:rPr>
        <w:t>8.1.1 不具备竞争性磋商文件中规定的资格要求的。</w:t>
      </w:r>
    </w:p>
    <w:p w14:paraId="1E611730">
      <w:pPr>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ascii="仿宋" w:hAnsi="仿宋" w:eastAsia="仿宋"/>
          <w:sz w:val="28"/>
          <w:szCs w:val="28"/>
          <w:highlight w:val="none"/>
        </w:rPr>
      </w:pPr>
      <w:r>
        <w:rPr>
          <w:rFonts w:hint="eastAsia" w:ascii="仿宋" w:hAnsi="仿宋" w:eastAsia="仿宋"/>
          <w:sz w:val="28"/>
          <w:szCs w:val="28"/>
          <w:highlight w:val="none"/>
        </w:rPr>
        <w:t>8.1.2 最后报价超过了采购预算或最高限价的。</w:t>
      </w:r>
    </w:p>
    <w:p w14:paraId="358CD678">
      <w:pPr>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ascii="仿宋" w:hAnsi="仿宋" w:eastAsia="仿宋"/>
          <w:sz w:val="28"/>
          <w:szCs w:val="28"/>
          <w:highlight w:val="none"/>
        </w:rPr>
      </w:pPr>
      <w:r>
        <w:rPr>
          <w:rFonts w:hint="eastAsia" w:ascii="仿宋" w:hAnsi="仿宋" w:eastAsia="仿宋"/>
          <w:sz w:val="28"/>
          <w:szCs w:val="28"/>
          <w:highlight w:val="none"/>
        </w:rPr>
        <w:t>8.1.3 未通过符合性审查的。</w:t>
      </w:r>
    </w:p>
    <w:p w14:paraId="2D1A7668">
      <w:pPr>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ascii="仿宋" w:hAnsi="仿宋" w:eastAsia="仿宋"/>
          <w:sz w:val="28"/>
          <w:szCs w:val="28"/>
          <w:highlight w:val="none"/>
        </w:rPr>
      </w:pPr>
      <w:r>
        <w:rPr>
          <w:rFonts w:hint="eastAsia" w:ascii="仿宋" w:hAnsi="仿宋" w:eastAsia="仿宋"/>
          <w:sz w:val="28"/>
          <w:szCs w:val="28"/>
          <w:highlight w:val="none"/>
        </w:rPr>
        <w:t>8.1.4 不符合法律、法规和竞争性磋商文件中规定的其他实质性要求的。</w:t>
      </w:r>
    </w:p>
    <w:p w14:paraId="65011604">
      <w:pPr>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ascii="仿宋" w:hAnsi="仿宋" w:eastAsia="仿宋"/>
          <w:sz w:val="28"/>
          <w:szCs w:val="28"/>
          <w:highlight w:val="none"/>
        </w:rPr>
      </w:pPr>
      <w:r>
        <w:rPr>
          <w:rFonts w:hint="eastAsia" w:ascii="仿宋" w:hAnsi="仿宋" w:eastAsia="仿宋"/>
          <w:sz w:val="28"/>
          <w:szCs w:val="28"/>
          <w:highlight w:val="none"/>
        </w:rPr>
        <w:t>8.1.5 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p>
    <w:p w14:paraId="360D484B">
      <w:pPr>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ascii="仿宋" w:hAnsi="仿宋" w:eastAsia="仿宋"/>
          <w:sz w:val="28"/>
          <w:szCs w:val="28"/>
          <w:highlight w:val="none"/>
        </w:rPr>
      </w:pPr>
      <w:r>
        <w:rPr>
          <w:rFonts w:hint="eastAsia" w:ascii="仿宋" w:hAnsi="仿宋" w:eastAsia="仿宋"/>
          <w:sz w:val="28"/>
          <w:szCs w:val="28"/>
          <w:highlight w:val="none"/>
        </w:rPr>
        <w:t>8.1.6 响应文件含有采购人不能接受的附加条件的。</w:t>
      </w:r>
    </w:p>
    <w:p w14:paraId="28F296F6">
      <w:pPr>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ascii="仿宋" w:hAnsi="仿宋" w:eastAsia="仿宋"/>
          <w:sz w:val="28"/>
          <w:szCs w:val="28"/>
          <w:highlight w:val="none"/>
        </w:rPr>
      </w:pPr>
      <w:r>
        <w:rPr>
          <w:rFonts w:hint="eastAsia" w:ascii="仿宋" w:hAnsi="仿宋" w:eastAsia="仿宋"/>
          <w:sz w:val="28"/>
          <w:szCs w:val="28"/>
          <w:highlight w:val="none"/>
        </w:rPr>
        <w:t>8.1.7 本项目采购产品被财政部、国家发改委、生态环境部等列入“节能产品品目清单”、“环境标志产品品目清单”强制采购范围，而供应商的响应产品不在强制采购范围内的。</w:t>
      </w:r>
    </w:p>
    <w:p w14:paraId="2DDFDD5F">
      <w:pPr>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ascii="仿宋" w:hAnsi="仿宋" w:eastAsia="仿宋"/>
          <w:sz w:val="28"/>
          <w:szCs w:val="28"/>
          <w:highlight w:val="none"/>
        </w:rPr>
      </w:pPr>
      <w:r>
        <w:rPr>
          <w:rFonts w:hint="eastAsia" w:ascii="仿宋" w:hAnsi="仿宋" w:eastAsia="仿宋"/>
          <w:sz w:val="28"/>
          <w:szCs w:val="28"/>
          <w:highlight w:val="none"/>
        </w:rPr>
        <w:t>8.1.8 响应文件未按照磋商文件要求加盖电子签章。</w:t>
      </w:r>
    </w:p>
    <w:p w14:paraId="68CD402F">
      <w:pPr>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ascii="仿宋" w:hAnsi="仿宋" w:eastAsia="仿宋"/>
          <w:sz w:val="28"/>
          <w:szCs w:val="28"/>
          <w:highlight w:val="none"/>
        </w:rPr>
      </w:pPr>
      <w:r>
        <w:rPr>
          <w:rFonts w:hint="eastAsia" w:ascii="仿宋" w:hAnsi="仿宋" w:eastAsia="仿宋"/>
          <w:sz w:val="28"/>
          <w:szCs w:val="28"/>
          <w:highlight w:val="none"/>
        </w:rPr>
        <w:t>8.1.9 供应商在系统规定的时间内未成功解密电子响应文件的。</w:t>
      </w:r>
    </w:p>
    <w:p w14:paraId="43A7FEE9">
      <w:pPr>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ascii="仿宋" w:hAnsi="仿宋" w:eastAsia="仿宋"/>
          <w:sz w:val="28"/>
          <w:szCs w:val="28"/>
          <w:highlight w:val="none"/>
        </w:rPr>
      </w:pPr>
      <w:r>
        <w:rPr>
          <w:rFonts w:hint="eastAsia" w:ascii="仿宋" w:hAnsi="仿宋" w:eastAsia="仿宋"/>
          <w:sz w:val="28"/>
          <w:szCs w:val="28"/>
          <w:highlight w:val="none"/>
        </w:rPr>
        <w:t>8.1.10 未完整上传响应文件电子文档的,或上传的文件打不开的。</w:t>
      </w:r>
    </w:p>
    <w:p w14:paraId="6ABEDC42">
      <w:pPr>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ascii="仿宋" w:hAnsi="仿宋" w:eastAsia="仿宋"/>
          <w:sz w:val="28"/>
          <w:szCs w:val="28"/>
          <w:highlight w:val="none"/>
        </w:rPr>
      </w:pPr>
      <w:r>
        <w:rPr>
          <w:rFonts w:hint="eastAsia" w:ascii="仿宋" w:hAnsi="仿宋" w:eastAsia="仿宋"/>
          <w:sz w:val="28"/>
          <w:szCs w:val="28"/>
          <w:highlight w:val="none"/>
        </w:rPr>
        <w:t>8.1.11 不同的供应商响应文件制作机器码、文件创建标识码一致的。</w:t>
      </w:r>
    </w:p>
    <w:p w14:paraId="09777E62">
      <w:pPr>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ascii="仿宋" w:hAnsi="仿宋" w:eastAsia="仿宋"/>
          <w:sz w:val="28"/>
          <w:szCs w:val="28"/>
          <w:highlight w:val="none"/>
        </w:rPr>
      </w:pPr>
      <w:r>
        <w:rPr>
          <w:rFonts w:hint="eastAsia" w:ascii="仿宋" w:hAnsi="仿宋" w:eastAsia="仿宋"/>
          <w:sz w:val="28"/>
          <w:szCs w:val="28"/>
          <w:highlight w:val="none"/>
        </w:rPr>
        <w:t>8.1.12其他法律、法规及本磋商文件规定的属无效响应的情形。</w:t>
      </w:r>
    </w:p>
    <w:p w14:paraId="3D163B6A">
      <w:pPr>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ascii="仿宋" w:hAnsi="仿宋" w:eastAsia="仿宋"/>
          <w:sz w:val="28"/>
          <w:szCs w:val="28"/>
          <w:highlight w:val="none"/>
        </w:rPr>
      </w:pPr>
      <w:r>
        <w:rPr>
          <w:rFonts w:hint="eastAsia" w:ascii="仿宋" w:hAnsi="仿宋" w:eastAsia="仿宋"/>
          <w:sz w:val="28"/>
          <w:szCs w:val="28"/>
          <w:highlight w:val="none"/>
        </w:rPr>
        <w:t>8.2 出现下列情形之一的，本次竞争性磋商采购活动将被终止：</w:t>
      </w:r>
    </w:p>
    <w:p w14:paraId="00DA95FB">
      <w:pPr>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ascii="仿宋" w:hAnsi="仿宋" w:eastAsia="仿宋"/>
          <w:sz w:val="28"/>
          <w:szCs w:val="28"/>
          <w:highlight w:val="none"/>
        </w:rPr>
      </w:pPr>
      <w:r>
        <w:rPr>
          <w:rFonts w:hint="eastAsia" w:ascii="仿宋" w:hAnsi="仿宋" w:eastAsia="仿宋"/>
          <w:sz w:val="28"/>
          <w:szCs w:val="28"/>
          <w:highlight w:val="none"/>
        </w:rPr>
        <w:t xml:space="preserve">8.2.1 </w:t>
      </w:r>
      <w:r>
        <w:rPr>
          <w:rFonts w:ascii="仿宋" w:hAnsi="仿宋" w:eastAsia="仿宋"/>
          <w:sz w:val="28"/>
          <w:szCs w:val="28"/>
          <w:highlight w:val="none"/>
        </w:rPr>
        <w:t>因情况变化，不再符合规定的竞争性</w:t>
      </w:r>
      <w:r>
        <w:rPr>
          <w:rFonts w:hint="eastAsia" w:ascii="仿宋" w:hAnsi="仿宋" w:eastAsia="仿宋"/>
          <w:sz w:val="28"/>
          <w:szCs w:val="28"/>
          <w:highlight w:val="none"/>
        </w:rPr>
        <w:t>磋商</w:t>
      </w:r>
      <w:r>
        <w:rPr>
          <w:rFonts w:ascii="仿宋" w:hAnsi="仿宋" w:eastAsia="仿宋"/>
          <w:sz w:val="28"/>
          <w:szCs w:val="28"/>
          <w:highlight w:val="none"/>
        </w:rPr>
        <w:t>采购方式适用情形的；</w:t>
      </w:r>
    </w:p>
    <w:p w14:paraId="2715A91B">
      <w:pPr>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ascii="仿宋" w:hAnsi="仿宋" w:eastAsia="仿宋"/>
          <w:sz w:val="28"/>
          <w:szCs w:val="28"/>
          <w:highlight w:val="none"/>
        </w:rPr>
      </w:pPr>
      <w:r>
        <w:rPr>
          <w:rFonts w:hint="eastAsia" w:ascii="仿宋" w:hAnsi="仿宋" w:eastAsia="仿宋"/>
          <w:sz w:val="28"/>
          <w:szCs w:val="28"/>
          <w:highlight w:val="none"/>
        </w:rPr>
        <w:t xml:space="preserve">8.2.2 </w:t>
      </w:r>
      <w:r>
        <w:rPr>
          <w:rFonts w:ascii="仿宋" w:hAnsi="仿宋" w:eastAsia="仿宋"/>
          <w:sz w:val="28"/>
          <w:szCs w:val="28"/>
          <w:highlight w:val="none"/>
        </w:rPr>
        <w:t>出现影响采购公正的违法、违规行为的；</w:t>
      </w:r>
    </w:p>
    <w:p w14:paraId="2B3263B0">
      <w:pPr>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ascii="仿宋" w:hAnsi="仿宋" w:eastAsia="仿宋"/>
          <w:sz w:val="28"/>
          <w:szCs w:val="28"/>
          <w:highlight w:val="none"/>
        </w:rPr>
      </w:pPr>
      <w:r>
        <w:rPr>
          <w:rFonts w:hint="eastAsia" w:ascii="仿宋" w:hAnsi="仿宋" w:eastAsia="仿宋"/>
          <w:sz w:val="28"/>
          <w:szCs w:val="28"/>
          <w:highlight w:val="none"/>
        </w:rPr>
        <w:t>8.2.3 除了市场竞争不充分的科研项目、需要扶持的科技成果转化项目和政府购买服务项目之外，在采购过程中符合要求的供应商或者报价未超过采购预算的供应商不足3家的。</w:t>
      </w:r>
    </w:p>
    <w:p w14:paraId="5AC8F6AC">
      <w:pPr>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ascii="仿宋" w:hAnsi="仿宋" w:eastAsia="仿宋"/>
          <w:sz w:val="28"/>
          <w:szCs w:val="28"/>
          <w:highlight w:val="none"/>
        </w:rPr>
      </w:pPr>
      <w:r>
        <w:rPr>
          <w:rFonts w:hint="eastAsia" w:ascii="仿宋" w:hAnsi="仿宋" w:eastAsia="仿宋"/>
          <w:sz w:val="28"/>
          <w:szCs w:val="28"/>
          <w:highlight w:val="none"/>
        </w:rPr>
        <w:t>8.2.</w:t>
      </w:r>
      <w:r>
        <w:rPr>
          <w:rFonts w:hint="eastAsia" w:ascii="仿宋" w:hAnsi="仿宋" w:eastAsia="仿宋"/>
          <w:sz w:val="28"/>
          <w:szCs w:val="28"/>
          <w:highlight w:val="none"/>
          <w:lang w:val="en-US" w:eastAsia="zh-CN"/>
        </w:rPr>
        <w:t>4</w:t>
      </w:r>
      <w:r>
        <w:rPr>
          <w:rFonts w:hint="eastAsia" w:ascii="仿宋" w:hAnsi="仿宋" w:eastAsia="仿宋"/>
          <w:sz w:val="28"/>
          <w:szCs w:val="28"/>
          <w:highlight w:val="none"/>
        </w:rPr>
        <w:t xml:space="preserve"> 对于市场竞争不充分的科研项目、需要扶持的科技成果转化项目或者政府购买服务项目，提交最后报价的供应商不足2家。</w:t>
      </w:r>
    </w:p>
    <w:p w14:paraId="4B8B992F">
      <w:pPr>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ascii="仿宋" w:hAnsi="仿宋" w:eastAsia="仿宋"/>
          <w:sz w:val="28"/>
          <w:szCs w:val="28"/>
          <w:highlight w:val="none"/>
        </w:rPr>
      </w:pPr>
      <w:r>
        <w:rPr>
          <w:rFonts w:hint="eastAsia" w:ascii="仿宋" w:hAnsi="仿宋" w:eastAsia="仿宋"/>
          <w:sz w:val="28"/>
          <w:szCs w:val="28"/>
          <w:highlight w:val="none"/>
        </w:rPr>
        <w:t>8.2.</w:t>
      </w:r>
      <w:r>
        <w:rPr>
          <w:rFonts w:hint="eastAsia" w:ascii="仿宋" w:hAnsi="仿宋" w:eastAsia="仿宋"/>
          <w:sz w:val="28"/>
          <w:szCs w:val="28"/>
          <w:highlight w:val="none"/>
          <w:lang w:val="en-US" w:eastAsia="zh-CN"/>
        </w:rPr>
        <w:t>5</w:t>
      </w:r>
      <w:r>
        <w:rPr>
          <w:rFonts w:hint="eastAsia" w:ascii="仿宋" w:hAnsi="仿宋" w:eastAsia="仿宋"/>
          <w:sz w:val="28"/>
          <w:szCs w:val="28"/>
          <w:highlight w:val="none"/>
        </w:rPr>
        <w:t>因重大变故，采购任务取消的。</w:t>
      </w:r>
    </w:p>
    <w:p w14:paraId="1809BB58">
      <w:pPr>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1"/>
        <w:rPr>
          <w:rFonts w:ascii="黑体" w:hAnsi="黑体" w:eastAsia="黑体"/>
          <w:sz w:val="28"/>
          <w:szCs w:val="28"/>
          <w:highlight w:val="none"/>
        </w:rPr>
      </w:pPr>
      <w:bookmarkStart w:id="52" w:name="_Toc17362"/>
      <w:r>
        <w:rPr>
          <w:rFonts w:hint="eastAsia" w:ascii="黑体" w:hAnsi="黑体" w:eastAsia="黑体"/>
          <w:sz w:val="28"/>
          <w:szCs w:val="28"/>
          <w:highlight w:val="none"/>
        </w:rPr>
        <w:t>9. 询问、质疑和投诉</w:t>
      </w:r>
      <w:bookmarkEnd w:id="52"/>
    </w:p>
    <w:p w14:paraId="03A32809">
      <w:pPr>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rPr>
          <w:rFonts w:ascii="仿宋" w:hAnsi="仿宋" w:eastAsia="仿宋"/>
          <w:sz w:val="28"/>
          <w:szCs w:val="28"/>
          <w:highlight w:val="none"/>
        </w:rPr>
      </w:pPr>
      <w:r>
        <w:rPr>
          <w:rFonts w:hint="eastAsia" w:ascii="仿宋" w:hAnsi="仿宋" w:eastAsia="仿宋"/>
          <w:sz w:val="28"/>
          <w:szCs w:val="28"/>
          <w:highlight w:val="none"/>
        </w:rPr>
        <w:t>9.1 供应商对政府采购活动事项有疑问的，可以向采购人或者采购代理机构提出询问，采购人或者采购代理机构应当在3个工作日内作出答复。</w:t>
      </w:r>
    </w:p>
    <w:p w14:paraId="10907F85">
      <w:pPr>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rPr>
          <w:rFonts w:ascii="仿宋" w:hAnsi="仿宋" w:eastAsia="仿宋"/>
          <w:sz w:val="28"/>
          <w:szCs w:val="28"/>
          <w:highlight w:val="none"/>
        </w:rPr>
      </w:pPr>
      <w:r>
        <w:rPr>
          <w:rFonts w:hint="eastAsia" w:ascii="仿宋" w:hAnsi="仿宋" w:eastAsia="仿宋"/>
          <w:sz w:val="28"/>
          <w:szCs w:val="28"/>
          <w:highlight w:val="none"/>
        </w:rPr>
        <w:t>9.2 供应商认为采购文件、采购过程、中标或者成交结果使自己的权益受到损害的，可以在知道或者应知其权益受到损害之日起7个工作日内，以书面形式向采购人、采购代理机构提出质疑。</w:t>
      </w:r>
    </w:p>
    <w:p w14:paraId="6E6FDD32">
      <w:pPr>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rPr>
          <w:rFonts w:ascii="仿宋" w:hAnsi="仿宋" w:eastAsia="仿宋"/>
          <w:sz w:val="28"/>
          <w:szCs w:val="28"/>
          <w:highlight w:val="none"/>
        </w:rPr>
      </w:pPr>
      <w:r>
        <w:rPr>
          <w:rFonts w:hint="eastAsia" w:ascii="仿宋" w:hAnsi="仿宋" w:eastAsia="仿宋"/>
          <w:sz w:val="28"/>
          <w:szCs w:val="28"/>
          <w:highlight w:val="none"/>
        </w:rPr>
        <w:t>上述应知其权益受到损害之日，是指：</w:t>
      </w:r>
      <w:r>
        <w:rPr>
          <w:rFonts w:ascii="仿宋" w:hAnsi="仿宋" w:eastAsia="仿宋"/>
          <w:sz w:val="28"/>
          <w:szCs w:val="28"/>
          <w:highlight w:val="none"/>
        </w:rPr>
        <w:t>对可以质疑的</w:t>
      </w:r>
      <w:r>
        <w:rPr>
          <w:rFonts w:hint="eastAsia" w:ascii="仿宋" w:hAnsi="仿宋" w:eastAsia="仿宋"/>
          <w:sz w:val="28"/>
          <w:szCs w:val="28"/>
          <w:highlight w:val="none"/>
          <w:lang w:eastAsia="zh-CN"/>
        </w:rPr>
        <w:t>采购文件</w:t>
      </w:r>
      <w:r>
        <w:rPr>
          <w:rFonts w:ascii="仿宋" w:hAnsi="仿宋" w:eastAsia="仿宋"/>
          <w:sz w:val="28"/>
          <w:szCs w:val="28"/>
          <w:highlight w:val="none"/>
        </w:rPr>
        <w:t>提出质疑的，为收到</w:t>
      </w:r>
      <w:r>
        <w:rPr>
          <w:rFonts w:hint="eastAsia" w:ascii="仿宋" w:hAnsi="仿宋" w:eastAsia="仿宋"/>
          <w:sz w:val="28"/>
          <w:szCs w:val="28"/>
          <w:highlight w:val="none"/>
          <w:lang w:eastAsia="zh-CN"/>
        </w:rPr>
        <w:t>采购文件</w:t>
      </w:r>
      <w:r>
        <w:rPr>
          <w:rFonts w:ascii="仿宋" w:hAnsi="仿宋" w:eastAsia="仿宋"/>
          <w:sz w:val="28"/>
          <w:szCs w:val="28"/>
          <w:highlight w:val="none"/>
        </w:rPr>
        <w:t>之日或者</w:t>
      </w:r>
      <w:r>
        <w:rPr>
          <w:rFonts w:hint="eastAsia" w:ascii="仿宋" w:hAnsi="仿宋" w:eastAsia="仿宋"/>
          <w:sz w:val="28"/>
          <w:szCs w:val="28"/>
          <w:highlight w:val="none"/>
          <w:lang w:eastAsia="zh-CN"/>
        </w:rPr>
        <w:t>采购文件</w:t>
      </w:r>
      <w:r>
        <w:rPr>
          <w:rFonts w:ascii="仿宋" w:hAnsi="仿宋" w:eastAsia="仿宋"/>
          <w:sz w:val="28"/>
          <w:szCs w:val="28"/>
          <w:highlight w:val="none"/>
        </w:rPr>
        <w:t>公告期限届满之日；对采购过程提出质疑的，为各采购程序环节结束之日；对成交结果提出质疑的，为成交结果公告期限届满之日。</w:t>
      </w:r>
    </w:p>
    <w:p w14:paraId="56D03E9A">
      <w:pPr>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rPr>
          <w:rFonts w:ascii="仿宋" w:hAnsi="仿宋" w:eastAsia="仿宋"/>
          <w:color w:val="auto"/>
          <w:sz w:val="28"/>
          <w:szCs w:val="28"/>
          <w:highlight w:val="none"/>
        </w:rPr>
      </w:pPr>
      <w:r>
        <w:rPr>
          <w:rFonts w:hint="eastAsia" w:ascii="仿宋" w:hAnsi="仿宋" w:eastAsia="仿宋"/>
          <w:sz w:val="28"/>
          <w:szCs w:val="28"/>
          <w:highlight w:val="none"/>
        </w:rPr>
        <w:t>9.3 提出</w:t>
      </w:r>
      <w:r>
        <w:rPr>
          <w:rFonts w:hint="eastAsia" w:ascii="仿宋" w:hAnsi="仿宋" w:eastAsia="仿宋"/>
          <w:color w:val="auto"/>
          <w:sz w:val="28"/>
          <w:szCs w:val="28"/>
          <w:highlight w:val="none"/>
        </w:rPr>
        <w:t>质疑的供应商（以下简称质疑供应商）应当是参与所质疑项目采购活动的供应商。潜在供应商已依法获取其可质疑的采购文件的，可以对该文件提出质疑。项目设立、项目预算、采购方式、组织形式、进口产品核准、采购需求调查过程、专门面向中小企业采购、合同履约等不属于可质疑事项。</w:t>
      </w:r>
    </w:p>
    <w:p w14:paraId="4314858A">
      <w:pPr>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rPr>
          <w:rFonts w:ascii="仿宋" w:hAnsi="仿宋" w:eastAsia="仿宋"/>
          <w:sz w:val="28"/>
          <w:szCs w:val="28"/>
          <w:highlight w:val="none"/>
        </w:rPr>
      </w:pPr>
      <w:r>
        <w:rPr>
          <w:rFonts w:hint="eastAsia" w:ascii="仿宋" w:hAnsi="仿宋" w:eastAsia="仿宋"/>
          <w:color w:val="auto"/>
          <w:sz w:val="28"/>
          <w:szCs w:val="28"/>
          <w:highlight w:val="none"/>
        </w:rPr>
        <w:t>9.4 供应商提出质疑应当提</w:t>
      </w:r>
      <w:r>
        <w:rPr>
          <w:rFonts w:hint="eastAsia" w:ascii="仿宋" w:hAnsi="仿宋" w:eastAsia="仿宋"/>
          <w:sz w:val="28"/>
          <w:szCs w:val="28"/>
          <w:highlight w:val="none"/>
        </w:rPr>
        <w:t>交质疑函和必要的证明材料，质疑函内容详见第9.9条质疑函范本。供应商为自然人的，应当由本人签字；供应商为法人或者其他组织的，应当由法定代表人、主要负责人，或者其授权代表签字或者盖章，并加盖公章。</w:t>
      </w:r>
    </w:p>
    <w:p w14:paraId="724B2E00">
      <w:pPr>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rPr>
          <w:rFonts w:ascii="仿宋" w:hAnsi="仿宋" w:eastAsia="仿宋"/>
          <w:b/>
          <w:sz w:val="28"/>
          <w:szCs w:val="28"/>
          <w:highlight w:val="none"/>
        </w:rPr>
      </w:pPr>
      <w:r>
        <w:rPr>
          <w:rFonts w:hint="eastAsia" w:ascii="仿宋" w:hAnsi="仿宋" w:eastAsia="仿宋"/>
          <w:sz w:val="28"/>
          <w:szCs w:val="28"/>
          <w:highlight w:val="none"/>
        </w:rPr>
        <w:t xml:space="preserve">9.5 </w:t>
      </w:r>
      <w:r>
        <w:rPr>
          <w:rFonts w:hint="eastAsia" w:ascii="仿宋" w:hAnsi="仿宋" w:eastAsia="仿宋"/>
          <w:b/>
          <w:sz w:val="28"/>
          <w:szCs w:val="28"/>
          <w:highlight w:val="none"/>
        </w:rPr>
        <w:t>供应商须在法定质疑期内一次性提出针对同一采购程序环节的质疑。供应商提交的书面质疑材料应当包括下列内容：营业执照复印件（自然人除外）、授权委托书原件（如有代理人）、法人代表及代理人（如有代理人）身份证复印件、按照本</w:t>
      </w:r>
      <w:r>
        <w:rPr>
          <w:rFonts w:hint="eastAsia" w:ascii="仿宋" w:hAnsi="仿宋" w:eastAsia="仿宋"/>
          <w:b/>
          <w:sz w:val="28"/>
          <w:szCs w:val="28"/>
          <w:highlight w:val="none"/>
          <w:lang w:eastAsia="zh-CN"/>
        </w:rPr>
        <w:t>采购文件</w:t>
      </w:r>
      <w:r>
        <w:rPr>
          <w:rFonts w:hint="eastAsia" w:ascii="仿宋" w:hAnsi="仿宋" w:eastAsia="仿宋"/>
          <w:b/>
          <w:sz w:val="28"/>
          <w:szCs w:val="28"/>
          <w:highlight w:val="none"/>
        </w:rPr>
        <w:t>中《质疑函范本》要求填写的质疑函原件。</w:t>
      </w:r>
    </w:p>
    <w:p w14:paraId="3086180E">
      <w:pPr>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rPr>
          <w:rFonts w:ascii="仿宋" w:hAnsi="仿宋" w:eastAsia="仿宋"/>
          <w:b/>
          <w:sz w:val="28"/>
          <w:szCs w:val="28"/>
          <w:highlight w:val="none"/>
        </w:rPr>
      </w:pPr>
      <w:r>
        <w:rPr>
          <w:rFonts w:hint="eastAsia" w:ascii="仿宋" w:hAnsi="仿宋" w:eastAsia="仿宋"/>
          <w:sz w:val="28"/>
          <w:szCs w:val="28"/>
          <w:highlight w:val="none"/>
        </w:rPr>
        <w:t xml:space="preserve">9.6 </w:t>
      </w:r>
      <w:r>
        <w:rPr>
          <w:rFonts w:hint="eastAsia" w:ascii="仿宋" w:hAnsi="仿宋" w:eastAsia="仿宋"/>
          <w:b/>
          <w:sz w:val="28"/>
          <w:szCs w:val="28"/>
          <w:highlight w:val="none"/>
        </w:rPr>
        <w:t>书面质疑材料应当直接送达，由采购人或者采购代理机构项目经办人员签收。经采购人或者采购代理机构同意，可以采用电子方式送达质疑函。直接送达书面质疑材料有困难的，可以邮寄送达。邮寄送达的，以回执上注明的收件日期为送达日期。采购人或者采购代理机构项目经办人及联系方式</w:t>
      </w:r>
      <w:r>
        <w:rPr>
          <w:rFonts w:ascii="仿宋" w:hAnsi="仿宋" w:eastAsia="仿宋"/>
          <w:b/>
          <w:sz w:val="28"/>
          <w:szCs w:val="28"/>
          <w:highlight w:val="none"/>
        </w:rPr>
        <w:t>，见磋商文件第</w:t>
      </w:r>
      <w:r>
        <w:rPr>
          <w:rFonts w:hint="eastAsia" w:ascii="仿宋" w:hAnsi="仿宋" w:eastAsia="仿宋"/>
          <w:b/>
          <w:sz w:val="28"/>
          <w:szCs w:val="28"/>
          <w:highlight w:val="none"/>
        </w:rPr>
        <w:t>1</w:t>
      </w:r>
      <w:r>
        <w:rPr>
          <w:rFonts w:ascii="仿宋" w:hAnsi="仿宋" w:eastAsia="仿宋"/>
          <w:b/>
          <w:sz w:val="28"/>
          <w:szCs w:val="28"/>
          <w:highlight w:val="none"/>
        </w:rPr>
        <w:t>章。</w:t>
      </w:r>
    </w:p>
    <w:p w14:paraId="072245A1">
      <w:pPr>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ascii="仿宋" w:hAnsi="仿宋" w:eastAsia="仿宋"/>
          <w:sz w:val="28"/>
          <w:szCs w:val="28"/>
          <w:highlight w:val="none"/>
        </w:rPr>
      </w:pPr>
      <w:r>
        <w:rPr>
          <w:rFonts w:hint="eastAsia" w:ascii="仿宋" w:hAnsi="仿宋" w:eastAsia="仿宋"/>
          <w:sz w:val="28"/>
          <w:szCs w:val="28"/>
          <w:highlight w:val="none"/>
        </w:rPr>
        <w:t xml:space="preserve">9.7 </w:t>
      </w:r>
      <w:r>
        <w:rPr>
          <w:rFonts w:ascii="仿宋" w:hAnsi="仿宋" w:eastAsia="仿宋"/>
          <w:sz w:val="28"/>
          <w:szCs w:val="28"/>
          <w:highlight w:val="none"/>
        </w:rPr>
        <w:t>以下情形的质疑不予受理：</w:t>
      </w:r>
    </w:p>
    <w:p w14:paraId="60E791B5">
      <w:pPr>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ascii="仿宋" w:hAnsi="仿宋" w:eastAsia="仿宋"/>
          <w:sz w:val="28"/>
          <w:szCs w:val="28"/>
          <w:highlight w:val="none"/>
        </w:rPr>
      </w:pPr>
      <w:r>
        <w:rPr>
          <w:rFonts w:hint="eastAsia" w:ascii="仿宋" w:hAnsi="仿宋" w:eastAsia="仿宋"/>
          <w:sz w:val="28"/>
          <w:szCs w:val="28"/>
          <w:highlight w:val="none"/>
        </w:rPr>
        <w:t xml:space="preserve">9.7.1 </w:t>
      </w:r>
      <w:r>
        <w:rPr>
          <w:rFonts w:ascii="仿宋" w:hAnsi="仿宋" w:eastAsia="仿宋"/>
          <w:sz w:val="28"/>
          <w:szCs w:val="28"/>
          <w:highlight w:val="none"/>
        </w:rPr>
        <w:t>内容不符合《政府采购质疑和投诉办法》第十二条规定的质疑。</w:t>
      </w:r>
    </w:p>
    <w:p w14:paraId="0E665F71">
      <w:pPr>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ascii="仿宋" w:hAnsi="仿宋" w:eastAsia="仿宋"/>
          <w:sz w:val="28"/>
          <w:szCs w:val="28"/>
          <w:highlight w:val="none"/>
        </w:rPr>
      </w:pPr>
      <w:r>
        <w:rPr>
          <w:rFonts w:hint="eastAsia" w:ascii="仿宋" w:hAnsi="仿宋" w:eastAsia="仿宋"/>
          <w:sz w:val="28"/>
          <w:szCs w:val="28"/>
          <w:highlight w:val="none"/>
        </w:rPr>
        <w:t xml:space="preserve">9.7.2 </w:t>
      </w:r>
      <w:r>
        <w:rPr>
          <w:rFonts w:ascii="仿宋" w:hAnsi="仿宋" w:eastAsia="仿宋"/>
          <w:sz w:val="28"/>
          <w:szCs w:val="28"/>
          <w:highlight w:val="none"/>
        </w:rPr>
        <w:t>超出政府采购法定期限的质疑。</w:t>
      </w:r>
    </w:p>
    <w:p w14:paraId="6385F704">
      <w:pPr>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ascii="仿宋" w:hAnsi="仿宋" w:eastAsia="仿宋"/>
          <w:sz w:val="28"/>
          <w:szCs w:val="28"/>
          <w:highlight w:val="none"/>
        </w:rPr>
      </w:pPr>
      <w:r>
        <w:rPr>
          <w:rFonts w:hint="eastAsia" w:ascii="仿宋" w:hAnsi="仿宋" w:eastAsia="仿宋"/>
          <w:sz w:val="28"/>
          <w:szCs w:val="28"/>
          <w:highlight w:val="none"/>
        </w:rPr>
        <w:t>9.7.3</w:t>
      </w:r>
      <w:r>
        <w:rPr>
          <w:rFonts w:ascii="仿宋" w:hAnsi="仿宋" w:eastAsia="仿宋"/>
          <w:sz w:val="28"/>
          <w:szCs w:val="28"/>
          <w:highlight w:val="none"/>
        </w:rPr>
        <w:t>未参加磋商活动的供应商或在磋商活动中自身权益未受到损害的供应商所提出的质疑。</w:t>
      </w:r>
    </w:p>
    <w:p w14:paraId="519DD792">
      <w:pPr>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ascii="仿宋" w:hAnsi="仿宋" w:eastAsia="仿宋"/>
          <w:sz w:val="28"/>
          <w:szCs w:val="28"/>
          <w:highlight w:val="none"/>
        </w:rPr>
      </w:pPr>
      <w:r>
        <w:rPr>
          <w:rFonts w:hint="eastAsia" w:ascii="仿宋" w:hAnsi="仿宋" w:eastAsia="仿宋"/>
          <w:sz w:val="28"/>
          <w:szCs w:val="28"/>
          <w:highlight w:val="none"/>
        </w:rPr>
        <w:t xml:space="preserve">9.7.4 </w:t>
      </w:r>
      <w:r>
        <w:rPr>
          <w:rFonts w:ascii="仿宋" w:hAnsi="仿宋" w:eastAsia="仿宋"/>
          <w:sz w:val="28"/>
          <w:szCs w:val="28"/>
          <w:highlight w:val="none"/>
        </w:rPr>
        <w:t>供应商组成联合体参加磋商活动，联合体中任何一方或多方未按要求签字、盖章、加盖公章的质疑。</w:t>
      </w:r>
    </w:p>
    <w:p w14:paraId="0F2EBB4E">
      <w:pPr>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ascii="仿宋" w:hAnsi="仿宋" w:eastAsia="仿宋"/>
          <w:sz w:val="28"/>
          <w:szCs w:val="28"/>
          <w:highlight w:val="none"/>
        </w:rPr>
      </w:pPr>
      <w:r>
        <w:rPr>
          <w:rFonts w:hint="eastAsia" w:ascii="仿宋" w:hAnsi="仿宋" w:eastAsia="仿宋"/>
          <w:sz w:val="28"/>
          <w:szCs w:val="28"/>
          <w:highlight w:val="none"/>
        </w:rPr>
        <w:t xml:space="preserve">9.8 </w:t>
      </w:r>
      <w:r>
        <w:rPr>
          <w:rFonts w:ascii="仿宋" w:hAnsi="仿宋" w:eastAsia="仿宋"/>
          <w:sz w:val="28"/>
          <w:szCs w:val="28"/>
          <w:highlight w:val="none"/>
        </w:rPr>
        <w:t>供应商提出书面质疑必须有理、有据，不得捏造事实、提供虚假材料进行恶意质疑。否则，一经查实，</w:t>
      </w:r>
      <w:r>
        <w:rPr>
          <w:rFonts w:hint="eastAsia" w:ascii="仿宋" w:hAnsi="仿宋" w:eastAsia="仿宋"/>
          <w:sz w:val="28"/>
          <w:szCs w:val="28"/>
          <w:highlight w:val="none"/>
        </w:rPr>
        <w:t>采购代理机构</w:t>
      </w:r>
      <w:r>
        <w:rPr>
          <w:rFonts w:ascii="仿宋" w:hAnsi="仿宋" w:eastAsia="仿宋"/>
          <w:sz w:val="28"/>
          <w:szCs w:val="28"/>
          <w:highlight w:val="none"/>
        </w:rPr>
        <w:t>有权依据政府采购的有关规定，报请政府采购监管部门对该供应商进行相应的行政处罚和记录该供应商的失信信息。</w:t>
      </w:r>
    </w:p>
    <w:p w14:paraId="48F22B37">
      <w:pPr>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ascii="仿宋" w:hAnsi="仿宋" w:eastAsia="仿宋"/>
          <w:sz w:val="28"/>
          <w:szCs w:val="28"/>
          <w:highlight w:val="none"/>
        </w:rPr>
      </w:pPr>
      <w:r>
        <w:rPr>
          <w:rFonts w:hint="eastAsia" w:ascii="仿宋" w:hAnsi="仿宋" w:eastAsia="仿宋"/>
          <w:sz w:val="28"/>
          <w:szCs w:val="28"/>
          <w:highlight w:val="none"/>
        </w:rPr>
        <w:t>9.9 质疑函范本</w:t>
      </w:r>
    </w:p>
    <w:p w14:paraId="77F22D0E">
      <w:pPr>
        <w:jc w:val="center"/>
        <w:outlineLvl w:val="9"/>
        <w:rPr>
          <w:rFonts w:ascii="仿宋" w:hAnsi="仿宋" w:eastAsia="仿宋" w:cs="仿宋"/>
          <w:b/>
          <w:bCs/>
          <w:sz w:val="32"/>
          <w:szCs w:val="32"/>
          <w:highlight w:val="none"/>
        </w:rPr>
      </w:pPr>
      <w:r>
        <w:rPr>
          <w:rFonts w:hint="eastAsia" w:ascii="仿宋" w:hAnsi="仿宋" w:eastAsia="仿宋" w:cs="仿宋"/>
          <w:b/>
          <w:bCs/>
          <w:sz w:val="32"/>
          <w:szCs w:val="32"/>
          <w:highlight w:val="none"/>
        </w:rPr>
        <w:t>质疑函</w:t>
      </w:r>
    </w:p>
    <w:p w14:paraId="01233E21">
      <w:pPr>
        <w:adjustRightInd w:val="0"/>
        <w:snapToGrid w:val="0"/>
        <w:spacing w:beforeLines="100" w:line="360" w:lineRule="auto"/>
        <w:outlineLvl w:val="9"/>
        <w:rPr>
          <w:rFonts w:ascii="黑体" w:hAnsi="黑体" w:eastAsia="黑体" w:cs="仿宋"/>
          <w:bCs/>
          <w:sz w:val="28"/>
          <w:szCs w:val="28"/>
          <w:highlight w:val="none"/>
        </w:rPr>
      </w:pPr>
      <w:r>
        <w:rPr>
          <w:rFonts w:hint="eastAsia" w:ascii="黑体" w:hAnsi="黑体" w:eastAsia="黑体" w:cs="仿宋"/>
          <w:bCs/>
          <w:sz w:val="28"/>
          <w:szCs w:val="28"/>
          <w:highlight w:val="none"/>
        </w:rPr>
        <w:t>一、质疑供应商基本信息</w:t>
      </w:r>
    </w:p>
    <w:p w14:paraId="39E1227D">
      <w:pPr>
        <w:adjustRightInd w:val="0"/>
        <w:snapToGrid w:val="0"/>
        <w:spacing w:line="360" w:lineRule="auto"/>
        <w:outlineLvl w:val="9"/>
        <w:rPr>
          <w:rFonts w:ascii="仿宋" w:hAnsi="仿宋" w:eastAsia="仿宋" w:cs="仿宋"/>
          <w:sz w:val="28"/>
          <w:szCs w:val="28"/>
          <w:highlight w:val="none"/>
          <w:u w:val="dotted"/>
        </w:rPr>
      </w:pPr>
      <w:r>
        <w:rPr>
          <w:rFonts w:hint="eastAsia" w:ascii="仿宋" w:hAnsi="仿宋" w:eastAsia="仿宋" w:cs="仿宋"/>
          <w:sz w:val="28"/>
          <w:szCs w:val="28"/>
          <w:highlight w:val="none"/>
        </w:rPr>
        <w:t>质疑供应商：</w:t>
      </w:r>
    </w:p>
    <w:p w14:paraId="6850857F">
      <w:pPr>
        <w:adjustRightInd w:val="0"/>
        <w:snapToGrid w:val="0"/>
        <w:spacing w:line="360" w:lineRule="auto"/>
        <w:outlineLvl w:val="9"/>
        <w:rPr>
          <w:rFonts w:ascii="仿宋" w:hAnsi="仿宋" w:eastAsia="仿宋" w:cs="仿宋"/>
          <w:sz w:val="28"/>
          <w:szCs w:val="28"/>
          <w:highlight w:val="none"/>
        </w:rPr>
      </w:pPr>
      <w:r>
        <w:rPr>
          <w:rFonts w:hint="eastAsia" w:ascii="仿宋" w:hAnsi="仿宋" w:eastAsia="仿宋" w:cs="仿宋"/>
          <w:sz w:val="28"/>
          <w:szCs w:val="28"/>
          <w:highlight w:val="none"/>
        </w:rPr>
        <w:t>地址：邮编：</w:t>
      </w:r>
    </w:p>
    <w:p w14:paraId="6D85B1E3">
      <w:pPr>
        <w:adjustRightInd w:val="0"/>
        <w:snapToGrid w:val="0"/>
        <w:spacing w:line="360" w:lineRule="auto"/>
        <w:outlineLvl w:val="9"/>
        <w:rPr>
          <w:rFonts w:ascii="仿宋" w:hAnsi="仿宋" w:eastAsia="仿宋" w:cs="仿宋"/>
          <w:sz w:val="28"/>
          <w:szCs w:val="28"/>
          <w:highlight w:val="none"/>
        </w:rPr>
      </w:pPr>
      <w:r>
        <w:rPr>
          <w:rFonts w:hint="eastAsia" w:ascii="仿宋" w:hAnsi="仿宋" w:eastAsia="仿宋" w:cs="仿宋"/>
          <w:sz w:val="28"/>
          <w:szCs w:val="28"/>
          <w:highlight w:val="none"/>
        </w:rPr>
        <w:t>联系人：联系电话：</w:t>
      </w:r>
    </w:p>
    <w:p w14:paraId="42873FAE">
      <w:pPr>
        <w:adjustRightInd w:val="0"/>
        <w:snapToGrid w:val="0"/>
        <w:spacing w:line="360" w:lineRule="auto"/>
        <w:outlineLvl w:val="9"/>
        <w:rPr>
          <w:rFonts w:ascii="仿宋" w:hAnsi="仿宋" w:eastAsia="仿宋" w:cs="仿宋"/>
          <w:sz w:val="28"/>
          <w:szCs w:val="28"/>
          <w:highlight w:val="none"/>
          <w:u w:val="dotted"/>
        </w:rPr>
      </w:pPr>
      <w:r>
        <w:rPr>
          <w:rFonts w:hint="eastAsia" w:ascii="仿宋" w:hAnsi="仿宋" w:eastAsia="仿宋" w:cs="仿宋"/>
          <w:sz w:val="28"/>
          <w:szCs w:val="28"/>
          <w:highlight w:val="none"/>
        </w:rPr>
        <w:t>授权代表：联系电话：</w:t>
      </w:r>
    </w:p>
    <w:p w14:paraId="30F4E86E">
      <w:pPr>
        <w:adjustRightInd w:val="0"/>
        <w:snapToGrid w:val="0"/>
        <w:spacing w:line="360" w:lineRule="auto"/>
        <w:outlineLvl w:val="9"/>
        <w:rPr>
          <w:rFonts w:ascii="仿宋" w:hAnsi="仿宋" w:eastAsia="仿宋" w:cs="仿宋"/>
          <w:sz w:val="28"/>
          <w:szCs w:val="28"/>
          <w:highlight w:val="none"/>
        </w:rPr>
      </w:pPr>
      <w:r>
        <w:rPr>
          <w:rFonts w:hint="eastAsia" w:ascii="仿宋" w:hAnsi="仿宋" w:eastAsia="仿宋" w:cs="仿宋"/>
          <w:sz w:val="28"/>
          <w:szCs w:val="28"/>
          <w:highlight w:val="none"/>
        </w:rPr>
        <w:t>地址：邮编：</w:t>
      </w:r>
    </w:p>
    <w:p w14:paraId="0C3A5134">
      <w:pPr>
        <w:adjustRightInd w:val="0"/>
        <w:snapToGrid w:val="0"/>
        <w:spacing w:line="360" w:lineRule="auto"/>
        <w:outlineLvl w:val="9"/>
        <w:rPr>
          <w:rFonts w:ascii="黑体" w:hAnsi="黑体" w:eastAsia="黑体" w:cs="仿宋"/>
          <w:bCs/>
          <w:sz w:val="28"/>
          <w:szCs w:val="28"/>
          <w:highlight w:val="none"/>
        </w:rPr>
      </w:pPr>
      <w:r>
        <w:rPr>
          <w:rFonts w:hint="eastAsia" w:ascii="黑体" w:hAnsi="黑体" w:eastAsia="黑体" w:cs="仿宋"/>
          <w:bCs/>
          <w:sz w:val="28"/>
          <w:szCs w:val="28"/>
          <w:highlight w:val="none"/>
        </w:rPr>
        <w:t>二、质疑项目基本情况</w:t>
      </w:r>
    </w:p>
    <w:p w14:paraId="195E4D5B">
      <w:pPr>
        <w:adjustRightInd w:val="0"/>
        <w:snapToGrid w:val="0"/>
        <w:spacing w:line="360" w:lineRule="auto"/>
        <w:outlineLvl w:val="9"/>
        <w:rPr>
          <w:rFonts w:ascii="仿宋" w:hAnsi="仿宋" w:eastAsia="仿宋" w:cs="仿宋"/>
          <w:sz w:val="28"/>
          <w:szCs w:val="28"/>
          <w:highlight w:val="none"/>
        </w:rPr>
      </w:pPr>
      <w:r>
        <w:rPr>
          <w:rFonts w:hint="eastAsia" w:ascii="仿宋" w:hAnsi="仿宋" w:eastAsia="仿宋" w:cs="仿宋"/>
          <w:sz w:val="28"/>
          <w:szCs w:val="28"/>
          <w:highlight w:val="none"/>
        </w:rPr>
        <w:t>质疑项目的名称：</w:t>
      </w:r>
    </w:p>
    <w:p w14:paraId="11F5DFED">
      <w:pPr>
        <w:adjustRightInd w:val="0"/>
        <w:snapToGrid w:val="0"/>
        <w:spacing w:line="360" w:lineRule="auto"/>
        <w:outlineLvl w:val="9"/>
        <w:rPr>
          <w:rFonts w:ascii="仿宋" w:hAnsi="仿宋" w:eastAsia="仿宋" w:cs="仿宋"/>
          <w:sz w:val="28"/>
          <w:szCs w:val="28"/>
          <w:highlight w:val="none"/>
        </w:rPr>
      </w:pPr>
      <w:r>
        <w:rPr>
          <w:rFonts w:hint="eastAsia" w:ascii="仿宋" w:hAnsi="仿宋" w:eastAsia="仿宋" w:cs="仿宋"/>
          <w:sz w:val="28"/>
          <w:szCs w:val="28"/>
          <w:highlight w:val="none"/>
        </w:rPr>
        <w:t>质疑项目的编号：包号：</w:t>
      </w:r>
    </w:p>
    <w:p w14:paraId="385FD756">
      <w:pPr>
        <w:adjustRightInd w:val="0"/>
        <w:snapToGrid w:val="0"/>
        <w:spacing w:line="360" w:lineRule="auto"/>
        <w:outlineLvl w:val="9"/>
        <w:rPr>
          <w:rFonts w:ascii="仿宋" w:hAnsi="仿宋" w:eastAsia="仿宋" w:cs="仿宋"/>
          <w:sz w:val="28"/>
          <w:szCs w:val="28"/>
          <w:highlight w:val="none"/>
          <w:u w:val="dotted"/>
        </w:rPr>
      </w:pPr>
      <w:r>
        <w:rPr>
          <w:rFonts w:hint="eastAsia" w:ascii="仿宋" w:hAnsi="仿宋" w:eastAsia="仿宋" w:cs="仿宋"/>
          <w:sz w:val="28"/>
          <w:szCs w:val="28"/>
          <w:highlight w:val="none"/>
        </w:rPr>
        <w:t>采购人名称：</w:t>
      </w:r>
    </w:p>
    <w:p w14:paraId="551D8A36">
      <w:pPr>
        <w:adjustRightInd w:val="0"/>
        <w:snapToGrid w:val="0"/>
        <w:spacing w:line="360" w:lineRule="auto"/>
        <w:outlineLvl w:val="9"/>
        <w:rPr>
          <w:rFonts w:ascii="仿宋" w:hAnsi="仿宋" w:eastAsia="仿宋" w:cs="仿宋"/>
          <w:sz w:val="28"/>
          <w:szCs w:val="28"/>
          <w:highlight w:val="none"/>
        </w:rPr>
      </w:pPr>
      <w:r>
        <w:rPr>
          <w:rFonts w:hint="eastAsia" w:ascii="仿宋" w:hAnsi="仿宋" w:eastAsia="仿宋" w:cs="仿宋"/>
          <w:sz w:val="28"/>
          <w:szCs w:val="28"/>
          <w:highlight w:val="none"/>
        </w:rPr>
        <w:t>采购文件获取日期：</w:t>
      </w:r>
    </w:p>
    <w:p w14:paraId="3AFFB003">
      <w:pPr>
        <w:adjustRightInd w:val="0"/>
        <w:snapToGrid w:val="0"/>
        <w:spacing w:line="360" w:lineRule="auto"/>
        <w:outlineLvl w:val="9"/>
        <w:rPr>
          <w:rFonts w:ascii="黑体" w:hAnsi="黑体" w:eastAsia="黑体" w:cs="仿宋"/>
          <w:bCs/>
          <w:sz w:val="28"/>
          <w:szCs w:val="28"/>
          <w:highlight w:val="none"/>
        </w:rPr>
      </w:pPr>
      <w:r>
        <w:rPr>
          <w:rFonts w:hint="eastAsia" w:ascii="黑体" w:hAnsi="黑体" w:eastAsia="黑体" w:cs="仿宋"/>
          <w:bCs/>
          <w:sz w:val="28"/>
          <w:szCs w:val="28"/>
          <w:highlight w:val="none"/>
        </w:rPr>
        <w:t>三、质疑事项具体内容</w:t>
      </w:r>
    </w:p>
    <w:p w14:paraId="5DECEC9C">
      <w:pPr>
        <w:adjustRightInd w:val="0"/>
        <w:snapToGrid w:val="0"/>
        <w:spacing w:line="360" w:lineRule="auto"/>
        <w:outlineLvl w:val="9"/>
        <w:rPr>
          <w:rFonts w:ascii="仿宋" w:hAnsi="仿宋" w:eastAsia="仿宋" w:cs="仿宋"/>
          <w:sz w:val="28"/>
          <w:szCs w:val="28"/>
          <w:highlight w:val="none"/>
          <w:u w:val="dotted"/>
        </w:rPr>
      </w:pPr>
      <w:r>
        <w:rPr>
          <w:rFonts w:hint="eastAsia" w:ascii="仿宋" w:hAnsi="仿宋" w:eastAsia="仿宋" w:cs="仿宋"/>
          <w:sz w:val="28"/>
          <w:szCs w:val="28"/>
          <w:highlight w:val="none"/>
        </w:rPr>
        <w:t>质疑事项1：</w:t>
      </w:r>
    </w:p>
    <w:p w14:paraId="55AEFCF9">
      <w:pPr>
        <w:adjustRightInd w:val="0"/>
        <w:snapToGrid w:val="0"/>
        <w:spacing w:line="360" w:lineRule="auto"/>
        <w:outlineLvl w:val="9"/>
        <w:rPr>
          <w:rFonts w:ascii="仿宋" w:hAnsi="仿宋" w:eastAsia="仿宋" w:cs="仿宋"/>
          <w:sz w:val="28"/>
          <w:szCs w:val="28"/>
          <w:highlight w:val="none"/>
          <w:u w:val="dotted"/>
        </w:rPr>
      </w:pPr>
      <w:r>
        <w:rPr>
          <w:rFonts w:hint="eastAsia" w:ascii="仿宋" w:hAnsi="仿宋" w:eastAsia="仿宋" w:cs="仿宋"/>
          <w:sz w:val="28"/>
          <w:szCs w:val="28"/>
          <w:highlight w:val="none"/>
        </w:rPr>
        <w:t>事实依据：</w:t>
      </w:r>
    </w:p>
    <w:p w14:paraId="48F1A170">
      <w:pPr>
        <w:adjustRightInd w:val="0"/>
        <w:snapToGrid w:val="0"/>
        <w:spacing w:line="360" w:lineRule="auto"/>
        <w:outlineLvl w:val="9"/>
        <w:rPr>
          <w:rFonts w:ascii="仿宋" w:hAnsi="仿宋" w:eastAsia="仿宋" w:cs="仿宋"/>
          <w:sz w:val="28"/>
          <w:szCs w:val="28"/>
          <w:highlight w:val="none"/>
        </w:rPr>
      </w:pPr>
    </w:p>
    <w:p w14:paraId="6104CA54">
      <w:pPr>
        <w:adjustRightInd w:val="0"/>
        <w:snapToGrid w:val="0"/>
        <w:spacing w:line="360" w:lineRule="auto"/>
        <w:outlineLvl w:val="9"/>
        <w:rPr>
          <w:rFonts w:ascii="仿宋" w:hAnsi="仿宋" w:eastAsia="仿宋" w:cs="仿宋"/>
          <w:sz w:val="28"/>
          <w:szCs w:val="28"/>
          <w:highlight w:val="none"/>
          <w:u w:val="dotted"/>
        </w:rPr>
      </w:pPr>
      <w:r>
        <w:rPr>
          <w:rFonts w:hint="eastAsia" w:ascii="仿宋" w:hAnsi="仿宋" w:eastAsia="仿宋" w:cs="仿宋"/>
          <w:sz w:val="28"/>
          <w:szCs w:val="28"/>
          <w:highlight w:val="none"/>
        </w:rPr>
        <w:t>法律依据：</w:t>
      </w:r>
    </w:p>
    <w:p w14:paraId="4D288867">
      <w:pPr>
        <w:adjustRightInd w:val="0"/>
        <w:snapToGrid w:val="0"/>
        <w:spacing w:line="360" w:lineRule="auto"/>
        <w:outlineLvl w:val="9"/>
        <w:rPr>
          <w:rFonts w:ascii="仿宋" w:hAnsi="仿宋" w:eastAsia="仿宋" w:cs="仿宋"/>
          <w:sz w:val="28"/>
          <w:szCs w:val="28"/>
          <w:highlight w:val="none"/>
          <w:u w:val="dotted"/>
        </w:rPr>
      </w:pPr>
    </w:p>
    <w:p w14:paraId="1F2BB01D">
      <w:pPr>
        <w:adjustRightInd w:val="0"/>
        <w:snapToGrid w:val="0"/>
        <w:spacing w:line="360" w:lineRule="auto"/>
        <w:outlineLvl w:val="9"/>
        <w:rPr>
          <w:rFonts w:ascii="仿宋" w:hAnsi="仿宋" w:eastAsia="仿宋" w:cs="仿宋"/>
          <w:sz w:val="28"/>
          <w:szCs w:val="28"/>
          <w:highlight w:val="none"/>
          <w:u w:val="dotted"/>
        </w:rPr>
      </w:pPr>
      <w:r>
        <w:rPr>
          <w:rFonts w:hint="eastAsia" w:ascii="仿宋" w:hAnsi="仿宋" w:eastAsia="仿宋" w:cs="仿宋"/>
          <w:sz w:val="28"/>
          <w:szCs w:val="28"/>
          <w:highlight w:val="none"/>
        </w:rPr>
        <w:t>质疑事项2</w:t>
      </w:r>
    </w:p>
    <w:p w14:paraId="61144841">
      <w:pPr>
        <w:adjustRightInd w:val="0"/>
        <w:snapToGrid w:val="0"/>
        <w:spacing w:line="360" w:lineRule="auto"/>
        <w:outlineLvl w:val="9"/>
        <w:rPr>
          <w:rFonts w:ascii="仿宋" w:hAnsi="仿宋" w:eastAsia="仿宋" w:cs="仿宋"/>
          <w:sz w:val="28"/>
          <w:szCs w:val="28"/>
          <w:highlight w:val="none"/>
        </w:rPr>
      </w:pPr>
      <w:r>
        <w:rPr>
          <w:rFonts w:hint="eastAsia" w:ascii="仿宋" w:hAnsi="仿宋" w:eastAsia="仿宋" w:cs="仿宋"/>
          <w:sz w:val="28"/>
          <w:szCs w:val="28"/>
          <w:highlight w:val="none"/>
        </w:rPr>
        <w:t>……</w:t>
      </w:r>
    </w:p>
    <w:p w14:paraId="761F65D5">
      <w:pPr>
        <w:adjustRightInd w:val="0"/>
        <w:snapToGrid w:val="0"/>
        <w:spacing w:line="360" w:lineRule="auto"/>
        <w:outlineLvl w:val="9"/>
        <w:rPr>
          <w:rFonts w:ascii="黑体" w:hAnsi="黑体" w:eastAsia="黑体" w:cs="仿宋"/>
          <w:bCs/>
          <w:sz w:val="28"/>
          <w:szCs w:val="28"/>
          <w:highlight w:val="none"/>
        </w:rPr>
      </w:pPr>
      <w:r>
        <w:rPr>
          <w:rFonts w:hint="eastAsia" w:ascii="黑体" w:hAnsi="黑体" w:eastAsia="黑体" w:cs="仿宋"/>
          <w:bCs/>
          <w:sz w:val="28"/>
          <w:szCs w:val="28"/>
          <w:highlight w:val="none"/>
        </w:rPr>
        <w:t>四、与质疑事项相关的质疑请求</w:t>
      </w:r>
    </w:p>
    <w:p w14:paraId="01219ECF">
      <w:pPr>
        <w:adjustRightInd w:val="0"/>
        <w:snapToGrid w:val="0"/>
        <w:spacing w:line="360" w:lineRule="auto"/>
        <w:outlineLvl w:val="9"/>
        <w:rPr>
          <w:rFonts w:ascii="仿宋" w:hAnsi="仿宋" w:eastAsia="仿宋" w:cs="仿宋"/>
          <w:sz w:val="28"/>
          <w:szCs w:val="28"/>
          <w:highlight w:val="none"/>
          <w:u w:val="dotted"/>
        </w:rPr>
      </w:pPr>
      <w:r>
        <w:rPr>
          <w:rFonts w:hint="eastAsia" w:ascii="仿宋" w:hAnsi="仿宋" w:eastAsia="仿宋" w:cs="仿宋"/>
          <w:sz w:val="28"/>
          <w:szCs w:val="28"/>
          <w:highlight w:val="none"/>
        </w:rPr>
        <w:t>请求：</w:t>
      </w:r>
    </w:p>
    <w:p w14:paraId="01D0CB41">
      <w:pPr>
        <w:outlineLvl w:val="9"/>
        <w:rPr>
          <w:rFonts w:ascii="仿宋_GB2312" w:eastAsia="仿宋_GB2312"/>
          <w:sz w:val="28"/>
          <w:szCs w:val="28"/>
          <w:highlight w:val="none"/>
        </w:rPr>
      </w:pPr>
      <w:r>
        <w:rPr>
          <w:rFonts w:hint="eastAsia" w:ascii="仿宋_GB2312" w:eastAsia="仿宋_GB2312"/>
          <w:sz w:val="28"/>
          <w:szCs w:val="28"/>
          <w:highlight w:val="none"/>
        </w:rPr>
        <w:t xml:space="preserve">签字(签章)：              公章：                      </w:t>
      </w:r>
    </w:p>
    <w:p w14:paraId="6637043C">
      <w:pPr>
        <w:spacing w:line="500" w:lineRule="exact"/>
        <w:ind w:right="560" w:firstLine="560" w:firstLineChars="200"/>
        <w:outlineLvl w:val="9"/>
        <w:rPr>
          <w:rFonts w:ascii="仿宋" w:hAnsi="仿宋" w:eastAsia="仿宋"/>
          <w:sz w:val="28"/>
          <w:szCs w:val="28"/>
          <w:highlight w:val="none"/>
        </w:rPr>
      </w:pPr>
      <w:r>
        <w:rPr>
          <w:rFonts w:hint="eastAsia" w:ascii="仿宋_GB2312" w:eastAsia="仿宋_GB2312"/>
          <w:sz w:val="28"/>
          <w:szCs w:val="28"/>
          <w:highlight w:val="none"/>
        </w:rPr>
        <w:t>日期：</w:t>
      </w:r>
    </w:p>
    <w:p w14:paraId="67C19C64">
      <w:pPr>
        <w:spacing w:line="500" w:lineRule="exact"/>
        <w:ind w:firstLine="560" w:firstLineChars="200"/>
        <w:outlineLvl w:val="9"/>
        <w:rPr>
          <w:rFonts w:ascii="仿宋" w:hAnsi="仿宋" w:eastAsia="仿宋"/>
          <w:sz w:val="28"/>
          <w:szCs w:val="28"/>
          <w:highlight w:val="none"/>
        </w:rPr>
      </w:pPr>
      <w:r>
        <w:rPr>
          <w:rFonts w:hint="eastAsia" w:ascii="仿宋" w:hAnsi="仿宋" w:eastAsia="仿宋"/>
          <w:sz w:val="28"/>
          <w:szCs w:val="28"/>
          <w:highlight w:val="none"/>
        </w:rPr>
        <w:t>9.10 质疑供应商对采购人、采购代理机构的答复不满意，或者采购人、采购代理机构未在规定时间内作出答复的，可以在答复期满后15个工作日内向财政部门提起投诉。</w:t>
      </w:r>
    </w:p>
    <w:p w14:paraId="05B38A6B">
      <w:pPr>
        <w:spacing w:line="500" w:lineRule="exact"/>
        <w:ind w:firstLine="560" w:firstLineChars="200"/>
        <w:outlineLvl w:val="9"/>
        <w:rPr>
          <w:rFonts w:ascii="仿宋" w:hAnsi="仿宋" w:eastAsia="仿宋"/>
          <w:sz w:val="28"/>
          <w:szCs w:val="28"/>
          <w:highlight w:val="none"/>
        </w:rPr>
      </w:pPr>
      <w:r>
        <w:rPr>
          <w:rFonts w:hint="eastAsia" w:ascii="仿宋" w:hAnsi="仿宋" w:eastAsia="仿宋"/>
          <w:sz w:val="28"/>
          <w:szCs w:val="28"/>
          <w:highlight w:val="none"/>
        </w:rPr>
        <w:t>9.11 投诉人投诉时,应当提交投诉书和必要的证明材料，并按照被投诉采购人、采购代理机构（以下简称被投诉人）和与投诉事项有关的供应商数量提供投诉书的副本。</w:t>
      </w:r>
    </w:p>
    <w:p w14:paraId="4C58BC0A">
      <w:pPr>
        <w:spacing w:line="500" w:lineRule="exact"/>
        <w:ind w:firstLine="560" w:firstLineChars="200"/>
        <w:outlineLvl w:val="9"/>
        <w:rPr>
          <w:rFonts w:ascii="仿宋" w:hAnsi="仿宋" w:eastAsia="仿宋"/>
          <w:sz w:val="28"/>
          <w:szCs w:val="28"/>
          <w:highlight w:val="none"/>
        </w:rPr>
      </w:pPr>
      <w:r>
        <w:rPr>
          <w:rFonts w:hint="eastAsia" w:ascii="仿宋" w:hAnsi="仿宋" w:eastAsia="仿宋"/>
          <w:sz w:val="28"/>
          <w:szCs w:val="28"/>
          <w:highlight w:val="none"/>
        </w:rPr>
        <w:t xml:space="preserve">9.12 </w:t>
      </w:r>
      <w:r>
        <w:rPr>
          <w:rFonts w:ascii="仿宋" w:hAnsi="仿宋" w:eastAsia="仿宋"/>
          <w:sz w:val="28"/>
          <w:szCs w:val="28"/>
          <w:highlight w:val="none"/>
        </w:rPr>
        <w:t>投诉人投诉时,应当提交投诉书和必要的证明材料，并按照被投诉采购人、采购代理机构（以下简称被投诉人）和与投诉事项有关的供应商数量提供投诉书的副本。</w:t>
      </w:r>
      <w:r>
        <w:rPr>
          <w:rFonts w:hint="eastAsia" w:ascii="仿宋" w:hAnsi="仿宋" w:eastAsia="仿宋"/>
          <w:sz w:val="28"/>
          <w:szCs w:val="28"/>
          <w:highlight w:val="none"/>
        </w:rPr>
        <w:t>投诉人为自然人的，应当由本人签字；投诉人为法人或者其他组织的，应当由法定代表人、主要负责人，或者其授权代表签字或者盖章，并加盖公章。投诉书内容详见第9.14条投诉书范本。</w:t>
      </w:r>
    </w:p>
    <w:p w14:paraId="649828DF">
      <w:pPr>
        <w:spacing w:line="500" w:lineRule="exact"/>
        <w:ind w:firstLine="560" w:firstLineChars="200"/>
        <w:jc w:val="left"/>
        <w:outlineLvl w:val="9"/>
        <w:rPr>
          <w:rFonts w:ascii="仿宋" w:hAnsi="仿宋" w:eastAsia="仿宋"/>
          <w:sz w:val="28"/>
          <w:szCs w:val="28"/>
          <w:highlight w:val="none"/>
        </w:rPr>
      </w:pPr>
      <w:r>
        <w:rPr>
          <w:rFonts w:hint="eastAsia" w:ascii="仿宋" w:hAnsi="仿宋" w:eastAsia="仿宋"/>
          <w:sz w:val="28"/>
          <w:szCs w:val="28"/>
          <w:highlight w:val="none"/>
        </w:rPr>
        <w:t>9.13 投诉人应当将投诉书送达如皋市财政局政府采购管理科（</w:t>
      </w:r>
      <w:r>
        <w:rPr>
          <w:rFonts w:ascii="仿宋" w:hAnsi="仿宋" w:eastAsia="仿宋"/>
          <w:sz w:val="28"/>
          <w:szCs w:val="28"/>
          <w:highlight w:val="none"/>
        </w:rPr>
        <w:t>如皋市解放路199号，行政中心</w:t>
      </w:r>
      <w:r>
        <w:rPr>
          <w:rFonts w:hint="eastAsia" w:ascii="仿宋" w:hAnsi="仿宋" w:eastAsia="仿宋"/>
          <w:sz w:val="28"/>
          <w:szCs w:val="28"/>
          <w:highlight w:val="none"/>
        </w:rPr>
        <w:t>A座</w:t>
      </w:r>
      <w:r>
        <w:rPr>
          <w:rFonts w:hint="eastAsia" w:ascii="仿宋" w:hAnsi="仿宋" w:eastAsia="仿宋"/>
          <w:sz w:val="28"/>
          <w:szCs w:val="28"/>
          <w:highlight w:val="none"/>
          <w:lang w:eastAsia="zh-CN"/>
        </w:rPr>
        <w:t>710</w:t>
      </w:r>
      <w:r>
        <w:rPr>
          <w:rFonts w:hint="eastAsia" w:ascii="仿宋" w:hAnsi="仿宋" w:eastAsia="仿宋"/>
          <w:sz w:val="28"/>
          <w:szCs w:val="28"/>
          <w:highlight w:val="none"/>
        </w:rPr>
        <w:t>室，联系电话0513-87623860）。</w:t>
      </w:r>
    </w:p>
    <w:p w14:paraId="6F8554BF">
      <w:pPr>
        <w:spacing w:line="500" w:lineRule="exact"/>
        <w:ind w:firstLine="560" w:firstLineChars="200"/>
        <w:outlineLvl w:val="9"/>
        <w:rPr>
          <w:rFonts w:ascii="仿宋" w:hAnsi="仿宋" w:eastAsia="仿宋"/>
          <w:sz w:val="28"/>
          <w:szCs w:val="28"/>
          <w:highlight w:val="none"/>
        </w:rPr>
      </w:pPr>
      <w:r>
        <w:rPr>
          <w:rFonts w:hint="eastAsia" w:ascii="仿宋" w:hAnsi="仿宋" w:eastAsia="仿宋"/>
          <w:sz w:val="28"/>
          <w:szCs w:val="28"/>
          <w:highlight w:val="none"/>
        </w:rPr>
        <w:t>9.14 投诉书范本</w:t>
      </w:r>
    </w:p>
    <w:p w14:paraId="6D866DC7">
      <w:pPr>
        <w:jc w:val="center"/>
        <w:outlineLvl w:val="9"/>
        <w:rPr>
          <w:rFonts w:ascii="宋体" w:hAnsi="宋体"/>
          <w:b/>
          <w:sz w:val="32"/>
          <w:szCs w:val="32"/>
          <w:highlight w:val="none"/>
        </w:rPr>
      </w:pPr>
      <w:r>
        <w:rPr>
          <w:rFonts w:hint="eastAsia" w:ascii="宋体" w:hAnsi="宋体"/>
          <w:b/>
          <w:sz w:val="32"/>
          <w:szCs w:val="32"/>
          <w:highlight w:val="none"/>
        </w:rPr>
        <w:t>投诉书</w:t>
      </w:r>
    </w:p>
    <w:p w14:paraId="1CB001E9">
      <w:pPr>
        <w:outlineLvl w:val="9"/>
        <w:rPr>
          <w:rFonts w:ascii="黑体" w:hAnsi="黑体" w:eastAsia="黑体"/>
          <w:sz w:val="28"/>
          <w:szCs w:val="28"/>
          <w:highlight w:val="none"/>
        </w:rPr>
      </w:pPr>
      <w:r>
        <w:rPr>
          <w:rFonts w:hint="eastAsia" w:ascii="黑体" w:hAnsi="黑体" w:eastAsia="黑体"/>
          <w:sz w:val="28"/>
          <w:szCs w:val="28"/>
          <w:highlight w:val="none"/>
        </w:rPr>
        <w:t>一、投诉相关主体基本情况</w:t>
      </w:r>
    </w:p>
    <w:p w14:paraId="152FACD7">
      <w:pPr>
        <w:outlineLvl w:val="9"/>
        <w:rPr>
          <w:rFonts w:ascii="仿宋_GB2312" w:eastAsia="仿宋_GB2312"/>
          <w:sz w:val="28"/>
          <w:szCs w:val="28"/>
          <w:highlight w:val="none"/>
          <w:u w:val="dotted"/>
        </w:rPr>
      </w:pPr>
      <w:r>
        <w:rPr>
          <w:rFonts w:hint="eastAsia" w:ascii="仿宋_GB2312" w:eastAsia="仿宋_GB2312"/>
          <w:sz w:val="28"/>
          <w:szCs w:val="28"/>
          <w:highlight w:val="none"/>
        </w:rPr>
        <w:t>投诉人：</w:t>
      </w:r>
    </w:p>
    <w:p w14:paraId="064881EC">
      <w:pPr>
        <w:outlineLvl w:val="9"/>
        <w:rPr>
          <w:rFonts w:ascii="仿宋_GB2312" w:eastAsia="仿宋_GB2312"/>
          <w:sz w:val="28"/>
          <w:szCs w:val="28"/>
          <w:highlight w:val="none"/>
          <w:u w:val="single"/>
        </w:rPr>
      </w:pPr>
      <w:r>
        <w:rPr>
          <w:rFonts w:hint="eastAsia" w:ascii="仿宋_GB2312" w:eastAsia="仿宋_GB2312"/>
          <w:sz w:val="28"/>
          <w:szCs w:val="28"/>
          <w:highlight w:val="none"/>
        </w:rPr>
        <w:t>地     址：邮编：</w:t>
      </w:r>
    </w:p>
    <w:p w14:paraId="2BA7B9B8">
      <w:pPr>
        <w:tabs>
          <w:tab w:val="left" w:pos="6510"/>
        </w:tabs>
        <w:jc w:val="left"/>
        <w:outlineLvl w:val="9"/>
        <w:rPr>
          <w:rFonts w:ascii="仿宋_GB2312" w:eastAsia="仿宋_GB2312"/>
          <w:sz w:val="28"/>
          <w:szCs w:val="28"/>
          <w:highlight w:val="none"/>
        </w:rPr>
      </w:pPr>
      <w:r>
        <w:rPr>
          <w:rFonts w:hint="eastAsia" w:ascii="仿宋_GB2312" w:eastAsia="仿宋_GB2312"/>
          <w:sz w:val="28"/>
          <w:szCs w:val="28"/>
          <w:highlight w:val="none"/>
        </w:rPr>
        <w:t>法定代表人/主要负责人：联系电话：</w:t>
      </w:r>
    </w:p>
    <w:p w14:paraId="30954DFA">
      <w:pPr>
        <w:outlineLvl w:val="9"/>
        <w:rPr>
          <w:rFonts w:ascii="仿宋_GB2312" w:eastAsia="仿宋_GB2312"/>
          <w:sz w:val="28"/>
          <w:szCs w:val="28"/>
          <w:highlight w:val="none"/>
          <w:u w:val="dotted"/>
        </w:rPr>
      </w:pPr>
      <w:r>
        <w:rPr>
          <w:rFonts w:hint="eastAsia" w:ascii="仿宋_GB2312" w:eastAsia="仿宋_GB2312"/>
          <w:sz w:val="28"/>
          <w:szCs w:val="28"/>
          <w:highlight w:val="none"/>
        </w:rPr>
        <w:t>授权代表：联系电话：</w:t>
      </w:r>
    </w:p>
    <w:p w14:paraId="059FE4BF">
      <w:pPr>
        <w:outlineLvl w:val="9"/>
        <w:rPr>
          <w:rFonts w:ascii="仿宋_GB2312" w:eastAsia="仿宋_GB2312"/>
          <w:sz w:val="28"/>
          <w:szCs w:val="28"/>
          <w:highlight w:val="none"/>
          <w:u w:val="dotted"/>
        </w:rPr>
      </w:pPr>
      <w:r>
        <w:rPr>
          <w:rFonts w:hint="eastAsia" w:ascii="仿宋_GB2312" w:eastAsia="仿宋_GB2312"/>
          <w:sz w:val="28"/>
          <w:szCs w:val="28"/>
          <w:highlight w:val="none"/>
        </w:rPr>
        <w:t>地     址：邮编：</w:t>
      </w:r>
    </w:p>
    <w:p w14:paraId="4156F38B">
      <w:pPr>
        <w:outlineLvl w:val="9"/>
        <w:rPr>
          <w:rFonts w:ascii="仿宋_GB2312" w:eastAsia="仿宋_GB2312"/>
          <w:sz w:val="28"/>
          <w:szCs w:val="28"/>
          <w:highlight w:val="none"/>
          <w:u w:val="single"/>
        </w:rPr>
      </w:pPr>
      <w:r>
        <w:rPr>
          <w:rFonts w:hint="eastAsia" w:ascii="仿宋_GB2312" w:eastAsia="仿宋_GB2312"/>
          <w:sz w:val="28"/>
          <w:szCs w:val="28"/>
          <w:highlight w:val="none"/>
        </w:rPr>
        <w:t>被投诉人1：</w:t>
      </w:r>
    </w:p>
    <w:p w14:paraId="4315AD5E">
      <w:pPr>
        <w:outlineLvl w:val="9"/>
        <w:rPr>
          <w:rFonts w:ascii="仿宋_GB2312" w:eastAsia="仿宋_GB2312"/>
          <w:sz w:val="28"/>
          <w:szCs w:val="28"/>
          <w:highlight w:val="none"/>
          <w:u w:val="single"/>
        </w:rPr>
      </w:pPr>
      <w:r>
        <w:rPr>
          <w:rFonts w:hint="eastAsia" w:ascii="仿宋_GB2312" w:eastAsia="仿宋_GB2312"/>
          <w:sz w:val="28"/>
          <w:szCs w:val="28"/>
          <w:highlight w:val="none"/>
        </w:rPr>
        <w:t>地     址：邮编：</w:t>
      </w:r>
    </w:p>
    <w:p w14:paraId="69525D09">
      <w:pPr>
        <w:outlineLvl w:val="9"/>
        <w:rPr>
          <w:rFonts w:ascii="仿宋_GB2312" w:eastAsia="仿宋_GB2312"/>
          <w:sz w:val="28"/>
          <w:szCs w:val="28"/>
          <w:highlight w:val="none"/>
          <w:u w:val="single"/>
        </w:rPr>
      </w:pPr>
      <w:r>
        <w:rPr>
          <w:rFonts w:hint="eastAsia" w:ascii="仿宋_GB2312" w:eastAsia="仿宋_GB2312"/>
          <w:sz w:val="28"/>
          <w:szCs w:val="28"/>
          <w:highlight w:val="none"/>
        </w:rPr>
        <w:t>联系人：联系电话：</w:t>
      </w:r>
    </w:p>
    <w:p w14:paraId="25C023CD">
      <w:pPr>
        <w:outlineLvl w:val="9"/>
        <w:rPr>
          <w:rFonts w:ascii="仿宋_GB2312" w:eastAsia="仿宋_GB2312"/>
          <w:sz w:val="28"/>
          <w:szCs w:val="28"/>
          <w:highlight w:val="none"/>
        </w:rPr>
      </w:pPr>
      <w:r>
        <w:rPr>
          <w:rFonts w:hint="eastAsia" w:ascii="仿宋_GB2312" w:eastAsia="仿宋_GB2312"/>
          <w:sz w:val="28"/>
          <w:szCs w:val="28"/>
          <w:highlight w:val="none"/>
        </w:rPr>
        <w:t>被投诉人2</w:t>
      </w:r>
    </w:p>
    <w:p w14:paraId="6D4DAE90">
      <w:pPr>
        <w:outlineLvl w:val="9"/>
        <w:rPr>
          <w:rFonts w:ascii="仿宋_GB2312" w:eastAsia="仿宋_GB2312"/>
          <w:sz w:val="28"/>
          <w:szCs w:val="28"/>
          <w:highlight w:val="none"/>
          <w:u w:val="dotted"/>
        </w:rPr>
      </w:pPr>
      <w:r>
        <w:rPr>
          <w:rFonts w:hint="eastAsia" w:ascii="仿宋_GB2312" w:eastAsia="仿宋_GB2312"/>
          <w:sz w:val="28"/>
          <w:szCs w:val="28"/>
          <w:highlight w:val="none"/>
        </w:rPr>
        <w:t>……</w:t>
      </w:r>
    </w:p>
    <w:p w14:paraId="7B72A7D8">
      <w:pPr>
        <w:outlineLvl w:val="9"/>
        <w:rPr>
          <w:rFonts w:ascii="仿宋_GB2312" w:eastAsia="仿宋_GB2312"/>
          <w:sz w:val="28"/>
          <w:szCs w:val="28"/>
          <w:highlight w:val="none"/>
          <w:u w:val="single"/>
        </w:rPr>
      </w:pPr>
      <w:r>
        <w:rPr>
          <w:rFonts w:hint="eastAsia" w:ascii="仿宋_GB2312" w:eastAsia="仿宋_GB2312"/>
          <w:sz w:val="28"/>
          <w:szCs w:val="28"/>
          <w:highlight w:val="none"/>
        </w:rPr>
        <w:t>相关供应商：</w:t>
      </w:r>
    </w:p>
    <w:p w14:paraId="2F4C3E61">
      <w:pPr>
        <w:outlineLvl w:val="9"/>
        <w:rPr>
          <w:rFonts w:ascii="仿宋_GB2312" w:eastAsia="仿宋_GB2312"/>
          <w:sz w:val="28"/>
          <w:szCs w:val="28"/>
          <w:highlight w:val="none"/>
          <w:u w:val="single"/>
        </w:rPr>
      </w:pPr>
      <w:r>
        <w:rPr>
          <w:rFonts w:hint="eastAsia" w:ascii="仿宋_GB2312" w:eastAsia="仿宋_GB2312"/>
          <w:sz w:val="28"/>
          <w:szCs w:val="28"/>
          <w:highlight w:val="none"/>
        </w:rPr>
        <w:t>地     址：邮编：</w:t>
      </w:r>
    </w:p>
    <w:p w14:paraId="1D0086E5">
      <w:pPr>
        <w:outlineLvl w:val="9"/>
        <w:rPr>
          <w:rFonts w:ascii="仿宋_GB2312" w:eastAsia="仿宋_GB2312"/>
          <w:sz w:val="28"/>
          <w:szCs w:val="28"/>
          <w:highlight w:val="none"/>
          <w:u w:val="single"/>
        </w:rPr>
      </w:pPr>
      <w:r>
        <w:rPr>
          <w:rFonts w:hint="eastAsia" w:ascii="仿宋_GB2312" w:eastAsia="仿宋_GB2312"/>
          <w:sz w:val="28"/>
          <w:szCs w:val="28"/>
          <w:highlight w:val="none"/>
        </w:rPr>
        <w:t>联系人：联系电话：</w:t>
      </w:r>
    </w:p>
    <w:p w14:paraId="16C43CA3">
      <w:pPr>
        <w:outlineLvl w:val="9"/>
        <w:rPr>
          <w:rFonts w:ascii="黑体" w:hAnsi="黑体" w:eastAsia="黑体"/>
          <w:sz w:val="28"/>
          <w:szCs w:val="28"/>
          <w:highlight w:val="none"/>
        </w:rPr>
      </w:pPr>
      <w:r>
        <w:rPr>
          <w:rFonts w:hint="eastAsia" w:ascii="黑体" w:hAnsi="黑体" w:eastAsia="黑体"/>
          <w:sz w:val="28"/>
          <w:szCs w:val="28"/>
          <w:highlight w:val="none"/>
        </w:rPr>
        <w:t>二、投诉项目基本情况</w:t>
      </w:r>
    </w:p>
    <w:p w14:paraId="726D7E22">
      <w:pPr>
        <w:outlineLvl w:val="9"/>
        <w:rPr>
          <w:rFonts w:ascii="仿宋_GB2312" w:eastAsia="仿宋_GB2312"/>
          <w:sz w:val="28"/>
          <w:szCs w:val="28"/>
          <w:highlight w:val="none"/>
          <w:u w:val="dotted"/>
        </w:rPr>
      </w:pPr>
      <w:r>
        <w:rPr>
          <w:rFonts w:hint="eastAsia" w:ascii="仿宋_GB2312" w:eastAsia="仿宋_GB2312"/>
          <w:sz w:val="28"/>
          <w:szCs w:val="28"/>
          <w:highlight w:val="none"/>
        </w:rPr>
        <w:t>采购项目名称：</w:t>
      </w:r>
    </w:p>
    <w:p w14:paraId="7B5CF75B">
      <w:pPr>
        <w:outlineLvl w:val="9"/>
        <w:rPr>
          <w:rFonts w:ascii="仿宋_GB2312" w:eastAsia="仿宋_GB2312"/>
          <w:sz w:val="28"/>
          <w:szCs w:val="28"/>
          <w:highlight w:val="none"/>
          <w:u w:val="single"/>
        </w:rPr>
      </w:pPr>
      <w:r>
        <w:rPr>
          <w:rFonts w:hint="eastAsia" w:ascii="仿宋_GB2312" w:eastAsia="仿宋_GB2312"/>
          <w:sz w:val="28"/>
          <w:szCs w:val="28"/>
          <w:highlight w:val="none"/>
        </w:rPr>
        <w:t>采购项目编号：包号：</w:t>
      </w:r>
    </w:p>
    <w:p w14:paraId="0FCB1BDB">
      <w:pPr>
        <w:outlineLvl w:val="9"/>
        <w:rPr>
          <w:rFonts w:ascii="仿宋_GB2312" w:eastAsia="仿宋_GB2312"/>
          <w:sz w:val="28"/>
          <w:szCs w:val="28"/>
          <w:highlight w:val="none"/>
        </w:rPr>
      </w:pPr>
      <w:r>
        <w:rPr>
          <w:rFonts w:hint="eastAsia" w:ascii="仿宋_GB2312" w:eastAsia="仿宋_GB2312"/>
          <w:sz w:val="28"/>
          <w:szCs w:val="28"/>
          <w:highlight w:val="none"/>
        </w:rPr>
        <w:t>采购人名称：</w:t>
      </w:r>
    </w:p>
    <w:p w14:paraId="0EA72F31">
      <w:pPr>
        <w:outlineLvl w:val="9"/>
        <w:rPr>
          <w:rFonts w:ascii="仿宋_GB2312" w:eastAsia="仿宋_GB2312"/>
          <w:sz w:val="28"/>
          <w:szCs w:val="28"/>
          <w:highlight w:val="none"/>
          <w:u w:val="single"/>
        </w:rPr>
      </w:pPr>
      <w:r>
        <w:rPr>
          <w:rFonts w:hint="eastAsia" w:ascii="仿宋_GB2312" w:eastAsia="仿宋_GB2312"/>
          <w:sz w:val="28"/>
          <w:szCs w:val="28"/>
          <w:highlight w:val="none"/>
        </w:rPr>
        <w:t>代理机构名称：</w:t>
      </w:r>
    </w:p>
    <w:p w14:paraId="76854D6F">
      <w:pPr>
        <w:outlineLvl w:val="9"/>
        <w:rPr>
          <w:rFonts w:ascii="仿宋_GB2312" w:eastAsia="仿宋_GB2312"/>
          <w:sz w:val="28"/>
          <w:szCs w:val="28"/>
          <w:highlight w:val="none"/>
          <w:u w:val="dotted"/>
        </w:rPr>
      </w:pPr>
      <w:r>
        <w:rPr>
          <w:rFonts w:hint="eastAsia" w:ascii="仿宋_GB2312" w:eastAsia="仿宋_GB2312"/>
          <w:sz w:val="28"/>
          <w:szCs w:val="28"/>
          <w:highlight w:val="none"/>
        </w:rPr>
        <w:t>采购文件公告:</w:t>
      </w:r>
      <w:r>
        <w:rPr>
          <w:rFonts w:hint="eastAsia" w:ascii="仿宋_GB2312" w:eastAsia="仿宋_GB2312"/>
          <w:sz w:val="28"/>
          <w:szCs w:val="28"/>
          <w:highlight w:val="none"/>
          <w:u w:val="single"/>
        </w:rPr>
        <w:t xml:space="preserve">是/否 </w:t>
      </w:r>
      <w:r>
        <w:rPr>
          <w:rFonts w:hint="eastAsia" w:ascii="仿宋_GB2312" w:eastAsia="仿宋_GB2312"/>
          <w:sz w:val="28"/>
          <w:szCs w:val="28"/>
          <w:highlight w:val="none"/>
        </w:rPr>
        <w:t>公告期限：</w:t>
      </w:r>
    </w:p>
    <w:p w14:paraId="3A34632E">
      <w:pPr>
        <w:outlineLvl w:val="9"/>
        <w:rPr>
          <w:rFonts w:ascii="仿宋_GB2312" w:eastAsia="仿宋_GB2312"/>
          <w:sz w:val="28"/>
          <w:szCs w:val="28"/>
          <w:highlight w:val="none"/>
          <w:u w:val="single"/>
        </w:rPr>
      </w:pPr>
      <w:r>
        <w:rPr>
          <w:rFonts w:hint="eastAsia" w:ascii="仿宋_GB2312" w:eastAsia="仿宋_GB2312"/>
          <w:sz w:val="28"/>
          <w:szCs w:val="28"/>
          <w:highlight w:val="none"/>
        </w:rPr>
        <w:t>采购结果公告:</w:t>
      </w:r>
      <w:r>
        <w:rPr>
          <w:rFonts w:hint="eastAsia" w:ascii="仿宋_GB2312" w:eastAsia="仿宋_GB2312"/>
          <w:sz w:val="28"/>
          <w:szCs w:val="28"/>
          <w:highlight w:val="none"/>
          <w:u w:val="single"/>
        </w:rPr>
        <w:t xml:space="preserve">是/否 </w:t>
      </w:r>
      <w:r>
        <w:rPr>
          <w:rFonts w:hint="eastAsia" w:ascii="仿宋_GB2312" w:eastAsia="仿宋_GB2312"/>
          <w:sz w:val="28"/>
          <w:szCs w:val="28"/>
          <w:highlight w:val="none"/>
        </w:rPr>
        <w:t>公告期限：</w:t>
      </w:r>
    </w:p>
    <w:p w14:paraId="55E2D889">
      <w:pPr>
        <w:outlineLvl w:val="9"/>
        <w:rPr>
          <w:rFonts w:ascii="黑体" w:hAnsi="黑体" w:eastAsia="黑体"/>
          <w:sz w:val="28"/>
          <w:szCs w:val="28"/>
          <w:highlight w:val="none"/>
        </w:rPr>
      </w:pPr>
      <w:r>
        <w:rPr>
          <w:rFonts w:hint="eastAsia" w:ascii="黑体" w:hAnsi="黑体" w:eastAsia="黑体"/>
          <w:sz w:val="28"/>
          <w:szCs w:val="28"/>
          <w:highlight w:val="none"/>
        </w:rPr>
        <w:t>三、质疑基本情况</w:t>
      </w:r>
    </w:p>
    <w:p w14:paraId="235A6AC2">
      <w:pPr>
        <w:ind w:firstLine="560" w:firstLineChars="200"/>
        <w:outlineLvl w:val="9"/>
        <w:rPr>
          <w:rFonts w:ascii="仿宋_GB2312" w:eastAsia="仿宋_GB2312"/>
          <w:sz w:val="28"/>
          <w:szCs w:val="28"/>
          <w:highlight w:val="none"/>
          <w:u w:val="dotted"/>
        </w:rPr>
      </w:pPr>
      <w:r>
        <w:rPr>
          <w:rFonts w:hint="eastAsia" w:ascii="仿宋_GB2312" w:eastAsia="仿宋_GB2312"/>
          <w:sz w:val="28"/>
          <w:szCs w:val="28"/>
          <w:highlight w:val="none"/>
        </w:rPr>
        <w:t>投诉人于年月日,向提出质疑，质疑事项为：</w:t>
      </w:r>
    </w:p>
    <w:p w14:paraId="374CD7BE">
      <w:pPr>
        <w:outlineLvl w:val="9"/>
        <w:rPr>
          <w:rFonts w:ascii="仿宋_GB2312" w:eastAsia="仿宋_GB2312"/>
          <w:sz w:val="28"/>
          <w:szCs w:val="28"/>
          <w:highlight w:val="none"/>
          <w:u w:val="dotted"/>
        </w:rPr>
      </w:pPr>
    </w:p>
    <w:p w14:paraId="560F645C">
      <w:pPr>
        <w:ind w:firstLine="420" w:firstLineChars="150"/>
        <w:outlineLvl w:val="9"/>
        <w:rPr>
          <w:rFonts w:ascii="仿宋_GB2312" w:eastAsia="仿宋_GB2312"/>
          <w:sz w:val="28"/>
          <w:szCs w:val="28"/>
          <w:highlight w:val="none"/>
        </w:rPr>
      </w:pPr>
      <w:r>
        <w:rPr>
          <w:rFonts w:hint="eastAsia" w:ascii="仿宋_GB2312" w:eastAsia="仿宋_GB2312"/>
          <w:sz w:val="28"/>
          <w:szCs w:val="28"/>
          <w:highlight w:val="none"/>
          <w:u w:val="dotted"/>
        </w:rPr>
        <w:t>采购人/代理机构</w:t>
      </w:r>
      <w:r>
        <w:rPr>
          <w:rFonts w:hint="eastAsia" w:ascii="仿宋_GB2312" w:eastAsia="仿宋_GB2312"/>
          <w:sz w:val="28"/>
          <w:szCs w:val="28"/>
          <w:highlight w:val="none"/>
        </w:rPr>
        <w:t>于年月日,就质疑事项作出了答复/没有在法定期限内作出答复。</w:t>
      </w:r>
    </w:p>
    <w:p w14:paraId="0B532401">
      <w:pPr>
        <w:outlineLvl w:val="9"/>
        <w:rPr>
          <w:rFonts w:ascii="黑体" w:hAnsi="黑体" w:eastAsia="黑体"/>
          <w:sz w:val="28"/>
          <w:szCs w:val="28"/>
          <w:highlight w:val="none"/>
        </w:rPr>
      </w:pPr>
      <w:r>
        <w:rPr>
          <w:rFonts w:hint="eastAsia" w:ascii="黑体" w:hAnsi="黑体" w:eastAsia="黑体"/>
          <w:sz w:val="28"/>
          <w:szCs w:val="28"/>
          <w:highlight w:val="none"/>
        </w:rPr>
        <w:t>四、投诉事项具体内容</w:t>
      </w:r>
    </w:p>
    <w:p w14:paraId="32ABD5B4">
      <w:pPr>
        <w:outlineLvl w:val="9"/>
        <w:rPr>
          <w:rFonts w:ascii="仿宋_GB2312" w:eastAsia="仿宋_GB2312"/>
          <w:sz w:val="28"/>
          <w:szCs w:val="28"/>
          <w:highlight w:val="none"/>
          <w:u w:val="single"/>
        </w:rPr>
      </w:pPr>
      <w:r>
        <w:rPr>
          <w:rFonts w:hint="eastAsia" w:ascii="仿宋_GB2312" w:eastAsia="仿宋_GB2312"/>
          <w:sz w:val="28"/>
          <w:szCs w:val="28"/>
          <w:highlight w:val="none"/>
        </w:rPr>
        <w:t>投诉事项 1：</w:t>
      </w:r>
    </w:p>
    <w:p w14:paraId="44F25F70">
      <w:pPr>
        <w:outlineLvl w:val="9"/>
        <w:rPr>
          <w:rFonts w:ascii="仿宋_GB2312" w:eastAsia="仿宋_GB2312"/>
          <w:sz w:val="28"/>
          <w:szCs w:val="28"/>
          <w:highlight w:val="none"/>
        </w:rPr>
      </w:pPr>
      <w:r>
        <w:rPr>
          <w:rFonts w:hint="eastAsia" w:ascii="仿宋_GB2312" w:eastAsia="仿宋_GB2312"/>
          <w:sz w:val="28"/>
          <w:szCs w:val="28"/>
          <w:highlight w:val="none"/>
        </w:rPr>
        <w:t>事实依据：</w:t>
      </w:r>
    </w:p>
    <w:p w14:paraId="4C13DE6F">
      <w:pPr>
        <w:outlineLvl w:val="9"/>
        <w:rPr>
          <w:rFonts w:ascii="仿宋_GB2312" w:eastAsia="仿宋_GB2312"/>
          <w:sz w:val="28"/>
          <w:szCs w:val="28"/>
          <w:highlight w:val="none"/>
          <w:u w:val="dotted"/>
        </w:rPr>
      </w:pPr>
    </w:p>
    <w:p w14:paraId="68510E17">
      <w:pPr>
        <w:outlineLvl w:val="9"/>
        <w:rPr>
          <w:rFonts w:ascii="仿宋_GB2312" w:eastAsia="仿宋_GB2312"/>
          <w:sz w:val="28"/>
          <w:szCs w:val="28"/>
          <w:highlight w:val="none"/>
          <w:u w:val="single"/>
        </w:rPr>
      </w:pPr>
      <w:r>
        <w:rPr>
          <w:rFonts w:hint="eastAsia" w:ascii="仿宋_GB2312" w:eastAsia="仿宋_GB2312"/>
          <w:sz w:val="28"/>
          <w:szCs w:val="28"/>
          <w:highlight w:val="none"/>
        </w:rPr>
        <w:t>法律依据：</w:t>
      </w:r>
    </w:p>
    <w:p w14:paraId="5E734F72">
      <w:pPr>
        <w:outlineLvl w:val="9"/>
        <w:rPr>
          <w:rFonts w:ascii="仿宋_GB2312" w:eastAsia="仿宋_GB2312"/>
          <w:sz w:val="28"/>
          <w:szCs w:val="28"/>
          <w:highlight w:val="none"/>
          <w:u w:val="dotted"/>
        </w:rPr>
      </w:pPr>
    </w:p>
    <w:p w14:paraId="75B6EE24">
      <w:pPr>
        <w:outlineLvl w:val="9"/>
        <w:rPr>
          <w:rFonts w:ascii="仿宋_GB2312" w:eastAsia="仿宋_GB2312"/>
          <w:sz w:val="28"/>
          <w:szCs w:val="28"/>
          <w:highlight w:val="none"/>
        </w:rPr>
      </w:pPr>
      <w:r>
        <w:rPr>
          <w:rFonts w:hint="eastAsia" w:ascii="仿宋_GB2312" w:eastAsia="仿宋_GB2312"/>
          <w:sz w:val="28"/>
          <w:szCs w:val="28"/>
          <w:highlight w:val="none"/>
        </w:rPr>
        <w:t>投诉事项2</w:t>
      </w:r>
    </w:p>
    <w:p w14:paraId="330AC066">
      <w:pPr>
        <w:outlineLvl w:val="9"/>
        <w:rPr>
          <w:rFonts w:ascii="仿宋_GB2312" w:eastAsia="仿宋_GB2312"/>
          <w:sz w:val="28"/>
          <w:szCs w:val="28"/>
          <w:highlight w:val="none"/>
          <w:u w:val="dotted"/>
        </w:rPr>
      </w:pPr>
      <w:r>
        <w:rPr>
          <w:rFonts w:hint="eastAsia" w:ascii="仿宋_GB2312" w:eastAsia="仿宋_GB2312"/>
          <w:sz w:val="28"/>
          <w:szCs w:val="28"/>
          <w:highlight w:val="none"/>
        </w:rPr>
        <w:t>……</w:t>
      </w:r>
    </w:p>
    <w:p w14:paraId="77E98EFB">
      <w:pPr>
        <w:outlineLvl w:val="9"/>
        <w:rPr>
          <w:rFonts w:ascii="黑体" w:hAnsi="黑体" w:eastAsia="黑体"/>
          <w:sz w:val="28"/>
          <w:szCs w:val="28"/>
          <w:highlight w:val="none"/>
        </w:rPr>
      </w:pPr>
      <w:r>
        <w:rPr>
          <w:rFonts w:hint="eastAsia" w:ascii="黑体" w:hAnsi="黑体" w:eastAsia="黑体"/>
          <w:sz w:val="28"/>
          <w:szCs w:val="28"/>
          <w:highlight w:val="none"/>
        </w:rPr>
        <w:t>五、与投诉事项相关的投诉请求</w:t>
      </w:r>
    </w:p>
    <w:p w14:paraId="6A170411">
      <w:pPr>
        <w:outlineLvl w:val="9"/>
        <w:rPr>
          <w:rFonts w:ascii="仿宋_GB2312" w:eastAsia="仿宋_GB2312"/>
          <w:sz w:val="28"/>
          <w:szCs w:val="28"/>
          <w:highlight w:val="none"/>
        </w:rPr>
      </w:pPr>
      <w:r>
        <w:rPr>
          <w:rFonts w:hint="eastAsia" w:ascii="仿宋_GB2312" w:eastAsia="仿宋_GB2312"/>
          <w:sz w:val="28"/>
          <w:szCs w:val="28"/>
          <w:highlight w:val="none"/>
        </w:rPr>
        <w:t>请求：</w:t>
      </w:r>
    </w:p>
    <w:p w14:paraId="06406A34">
      <w:pPr>
        <w:outlineLvl w:val="9"/>
        <w:rPr>
          <w:rFonts w:ascii="仿宋_GB2312" w:eastAsia="仿宋_GB2312"/>
          <w:sz w:val="28"/>
          <w:szCs w:val="28"/>
          <w:highlight w:val="none"/>
          <w:u w:val="single"/>
        </w:rPr>
      </w:pPr>
    </w:p>
    <w:p w14:paraId="36ACC7E5">
      <w:pPr>
        <w:outlineLvl w:val="9"/>
        <w:rPr>
          <w:rFonts w:ascii="仿宋_GB2312" w:eastAsia="仿宋_GB2312"/>
          <w:sz w:val="28"/>
          <w:szCs w:val="28"/>
          <w:highlight w:val="none"/>
        </w:rPr>
      </w:pPr>
      <w:r>
        <w:rPr>
          <w:rFonts w:hint="eastAsia" w:ascii="仿宋_GB2312" w:eastAsia="仿宋_GB2312"/>
          <w:sz w:val="28"/>
          <w:szCs w:val="28"/>
          <w:highlight w:val="none"/>
        </w:rPr>
        <w:t xml:space="preserve">签字(签章)：                   公章：                      </w:t>
      </w:r>
    </w:p>
    <w:p w14:paraId="3EE627C4">
      <w:pPr>
        <w:spacing w:line="500" w:lineRule="exact"/>
        <w:ind w:firstLine="560" w:firstLineChars="200"/>
        <w:rPr>
          <w:rFonts w:ascii="仿宋" w:hAnsi="仿宋" w:eastAsia="仿宋"/>
          <w:sz w:val="28"/>
          <w:szCs w:val="28"/>
          <w:highlight w:val="none"/>
        </w:rPr>
      </w:pPr>
      <w:r>
        <w:rPr>
          <w:rFonts w:hint="eastAsia" w:ascii="仿宋_GB2312" w:eastAsia="仿宋_GB2312"/>
          <w:sz w:val="28"/>
          <w:szCs w:val="28"/>
          <w:highlight w:val="none"/>
        </w:rPr>
        <w:t xml:space="preserve">日期：    </w:t>
      </w:r>
    </w:p>
    <w:p w14:paraId="418B4BB5">
      <w:pPr>
        <w:spacing w:line="500" w:lineRule="exact"/>
        <w:ind w:firstLine="560" w:firstLineChars="200"/>
        <w:jc w:val="left"/>
        <w:outlineLvl w:val="1"/>
        <w:rPr>
          <w:rFonts w:ascii="仿宋" w:hAnsi="仿宋" w:eastAsia="仿宋"/>
          <w:sz w:val="28"/>
          <w:szCs w:val="28"/>
          <w:highlight w:val="none"/>
        </w:rPr>
      </w:pPr>
      <w:bookmarkStart w:id="53" w:name="_Toc28731"/>
      <w:r>
        <w:rPr>
          <w:rFonts w:hint="eastAsia" w:ascii="黑体" w:hAnsi="黑体" w:eastAsia="黑体"/>
          <w:sz w:val="28"/>
          <w:szCs w:val="28"/>
          <w:highlight w:val="none"/>
        </w:rPr>
        <w:t>10. 政府采购合同信用融资扶持政策</w:t>
      </w:r>
      <w:bookmarkEnd w:id="53"/>
    </w:p>
    <w:p w14:paraId="19550966">
      <w:pPr>
        <w:spacing w:line="500" w:lineRule="exact"/>
        <w:ind w:firstLine="560" w:firstLineChars="200"/>
        <w:jc w:val="left"/>
        <w:rPr>
          <w:rFonts w:ascii="仿宋" w:hAnsi="仿宋" w:eastAsia="仿宋"/>
          <w:sz w:val="28"/>
          <w:szCs w:val="28"/>
          <w:highlight w:val="none"/>
        </w:rPr>
      </w:pPr>
      <w:r>
        <w:rPr>
          <w:rFonts w:hint="eastAsia" w:ascii="仿宋" w:hAnsi="仿宋" w:eastAsia="仿宋"/>
          <w:sz w:val="28"/>
          <w:szCs w:val="28"/>
          <w:highlight w:val="none"/>
        </w:rPr>
        <w:t>10.1 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w:t>
      </w:r>
    </w:p>
    <w:p w14:paraId="3CEBE375">
      <w:pPr>
        <w:spacing w:line="500" w:lineRule="exact"/>
        <w:ind w:firstLine="560" w:firstLineChars="200"/>
        <w:jc w:val="left"/>
        <w:rPr>
          <w:rFonts w:ascii="仿宋" w:hAnsi="仿宋" w:eastAsia="仿宋"/>
          <w:sz w:val="28"/>
          <w:szCs w:val="28"/>
          <w:highlight w:val="none"/>
        </w:rPr>
      </w:pPr>
      <w:r>
        <w:rPr>
          <w:rFonts w:hint="eastAsia" w:ascii="仿宋" w:hAnsi="仿宋" w:eastAsia="仿宋"/>
          <w:sz w:val="28"/>
          <w:szCs w:val="28"/>
          <w:highlight w:val="none"/>
        </w:rPr>
        <w:t>10.2 成交供应商如需获得合同信用融资支持，可凭政府采购合同办理“政采贷”融资贷款，详情请见南通市政府采购网 “易企服”综合服务平台-金融产品全周期-贷款产品专栏。</w:t>
      </w:r>
    </w:p>
    <w:p w14:paraId="0E027E1E">
      <w:pPr>
        <w:spacing w:line="500" w:lineRule="exact"/>
        <w:ind w:firstLine="560" w:firstLineChars="200"/>
        <w:outlineLvl w:val="1"/>
        <w:rPr>
          <w:rFonts w:ascii="黑体" w:hAnsi="黑体" w:eastAsia="黑体"/>
          <w:sz w:val="28"/>
          <w:szCs w:val="28"/>
          <w:highlight w:val="none"/>
        </w:rPr>
      </w:pPr>
      <w:bookmarkStart w:id="54" w:name="_Toc3208"/>
      <w:r>
        <w:rPr>
          <w:rFonts w:hint="eastAsia" w:ascii="黑体" w:hAnsi="黑体" w:eastAsia="黑体"/>
          <w:sz w:val="28"/>
          <w:szCs w:val="28"/>
          <w:highlight w:val="none"/>
        </w:rPr>
        <w:t>11. 采购代理服务费</w:t>
      </w:r>
      <w:bookmarkEnd w:id="54"/>
    </w:p>
    <w:p w14:paraId="5DF97C58">
      <w:pPr>
        <w:spacing w:line="500" w:lineRule="exact"/>
        <w:ind w:firstLine="560" w:firstLineChars="200"/>
        <w:jc w:val="left"/>
        <w:rPr>
          <w:rFonts w:ascii="仿宋" w:hAnsi="仿宋" w:eastAsia="仿宋"/>
          <w:sz w:val="28"/>
          <w:szCs w:val="28"/>
          <w:highlight w:val="none"/>
        </w:rPr>
      </w:pPr>
      <w:r>
        <w:rPr>
          <w:rFonts w:hint="eastAsia" w:ascii="仿宋" w:hAnsi="仿宋" w:eastAsia="仿宋"/>
          <w:sz w:val="28"/>
          <w:szCs w:val="28"/>
          <w:highlight w:val="none"/>
        </w:rPr>
        <w:t>11.1采购代理服务费收取标准：采购代理服务费以成交价为基数，采用差额定率累进法（50万元（含）以下部分，费率为1.6%；50万元~ 400万元（含）部分，费率为1.5%；400万元~ 1000万元（含）部分,费率为1.1%；1000万元~ 5000万元（含）部分,费率为0.8%；5000万元~1亿元（含）部分,费率为0.25%；1亿元~10亿元（含）部分,费率为0.05%；10亿元~50亿元（含）部分,费率为0.01%；50亿元以上部分，费率为0.005%）分段计算后汇总，不足伍仟按伍仟元计取，由成交供应商承担。本项目预算中包含此费用，响应供应商在报价中需考虑此费用的代付，采购人不再另行支付。</w:t>
      </w:r>
    </w:p>
    <w:p w14:paraId="3EC19CC7">
      <w:pPr>
        <w:spacing w:line="500" w:lineRule="exact"/>
        <w:ind w:firstLine="560" w:firstLineChars="200"/>
        <w:jc w:val="left"/>
        <w:rPr>
          <w:rFonts w:ascii="仿宋" w:hAnsi="仿宋" w:eastAsia="仿宋"/>
          <w:sz w:val="28"/>
          <w:szCs w:val="28"/>
          <w:highlight w:val="none"/>
        </w:rPr>
      </w:pPr>
      <w:r>
        <w:rPr>
          <w:rFonts w:hint="eastAsia" w:ascii="仿宋" w:hAnsi="仿宋" w:eastAsia="仿宋"/>
          <w:sz w:val="28"/>
          <w:szCs w:val="28"/>
          <w:highlight w:val="none"/>
        </w:rPr>
        <w:t>11.2 采购代理服务费由成交供应商支付。成交供应商自成交结果公告发布之日起五个工作日内，向采购代理机构支付服务费。</w:t>
      </w:r>
    </w:p>
    <w:p w14:paraId="3A77DD8E">
      <w:pPr>
        <w:spacing w:line="500" w:lineRule="exact"/>
        <w:ind w:firstLine="560" w:firstLineChars="200"/>
        <w:jc w:val="left"/>
        <w:outlineLvl w:val="9"/>
        <w:rPr>
          <w:rFonts w:ascii="仿宋" w:hAnsi="仿宋" w:eastAsia="仿宋"/>
          <w:sz w:val="28"/>
          <w:szCs w:val="28"/>
          <w:highlight w:val="none"/>
        </w:rPr>
      </w:pPr>
      <w:r>
        <w:rPr>
          <w:rFonts w:hint="eastAsia" w:ascii="仿宋" w:hAnsi="仿宋" w:eastAsia="仿宋"/>
          <w:sz w:val="28"/>
          <w:szCs w:val="28"/>
          <w:highlight w:val="none"/>
        </w:rPr>
        <w:t>11.3 采购代理机构账户信息：</w:t>
      </w:r>
    </w:p>
    <w:p w14:paraId="29E498AA">
      <w:pPr>
        <w:spacing w:line="500" w:lineRule="exact"/>
        <w:ind w:firstLine="560" w:firstLineChars="200"/>
        <w:jc w:val="left"/>
        <w:outlineLvl w:val="9"/>
        <w:rPr>
          <w:rFonts w:ascii="仿宋" w:hAnsi="仿宋" w:eastAsia="仿宋"/>
          <w:sz w:val="28"/>
          <w:szCs w:val="28"/>
          <w:highlight w:val="none"/>
        </w:rPr>
      </w:pPr>
      <w:r>
        <w:rPr>
          <w:rFonts w:hint="eastAsia" w:ascii="仿宋" w:hAnsi="仿宋" w:eastAsia="仿宋"/>
          <w:sz w:val="28"/>
          <w:szCs w:val="28"/>
          <w:highlight w:val="none"/>
        </w:rPr>
        <w:t>11.3.1收款单位名称为：南通泾天纬地项目管理有限公司；</w:t>
      </w:r>
    </w:p>
    <w:p w14:paraId="2336BA33">
      <w:pPr>
        <w:spacing w:line="500" w:lineRule="exact"/>
        <w:ind w:firstLine="560" w:firstLineChars="200"/>
        <w:jc w:val="left"/>
        <w:outlineLvl w:val="9"/>
        <w:rPr>
          <w:rFonts w:ascii="仿宋" w:hAnsi="仿宋" w:eastAsia="仿宋"/>
          <w:sz w:val="28"/>
          <w:szCs w:val="28"/>
          <w:highlight w:val="none"/>
        </w:rPr>
      </w:pPr>
      <w:r>
        <w:rPr>
          <w:rFonts w:hint="eastAsia" w:ascii="仿宋" w:hAnsi="仿宋" w:eastAsia="仿宋"/>
          <w:sz w:val="28"/>
          <w:szCs w:val="28"/>
          <w:highlight w:val="none"/>
        </w:rPr>
        <w:t>11.3.2账户号码：32050164723600005459；</w:t>
      </w:r>
    </w:p>
    <w:p w14:paraId="231B2B1A">
      <w:pPr>
        <w:spacing w:line="500" w:lineRule="exact"/>
        <w:ind w:firstLine="560" w:firstLineChars="200"/>
        <w:jc w:val="left"/>
        <w:outlineLvl w:val="9"/>
        <w:rPr>
          <w:rFonts w:ascii="仿宋" w:hAnsi="仿宋" w:eastAsia="仿宋"/>
          <w:sz w:val="28"/>
          <w:szCs w:val="28"/>
          <w:highlight w:val="none"/>
        </w:rPr>
      </w:pPr>
      <w:r>
        <w:rPr>
          <w:rFonts w:hint="eastAsia" w:ascii="仿宋" w:hAnsi="仿宋" w:eastAsia="仿宋"/>
          <w:sz w:val="28"/>
          <w:szCs w:val="28"/>
          <w:highlight w:val="none"/>
        </w:rPr>
        <w:t>11.3.3开户行：建设银行如皋支行，行号：105306200016；</w:t>
      </w:r>
    </w:p>
    <w:bookmarkEnd w:id="6"/>
    <w:p w14:paraId="1D87E593">
      <w:pPr>
        <w:pStyle w:val="38"/>
        <w:spacing w:line="240" w:lineRule="auto"/>
        <w:ind w:firstLine="0"/>
        <w:jc w:val="center"/>
        <w:outlineLvl w:val="0"/>
        <w:rPr>
          <w:rFonts w:ascii="方正小标宋简体" w:eastAsia="方正小标宋简体"/>
          <w:bCs/>
          <w:sz w:val="32"/>
          <w:szCs w:val="32"/>
          <w:highlight w:val="none"/>
        </w:rPr>
      </w:pPr>
      <w:r>
        <w:rPr>
          <w:rFonts w:ascii="方正小标宋简体" w:eastAsia="方正小标宋简体"/>
          <w:bCs/>
          <w:sz w:val="32"/>
          <w:szCs w:val="32"/>
          <w:highlight w:val="none"/>
        </w:rPr>
        <w:br w:type="page"/>
      </w:r>
      <w:bookmarkStart w:id="55" w:name="_Toc30777"/>
      <w:r>
        <w:rPr>
          <w:rFonts w:hint="eastAsia" w:ascii="方正小标宋简体" w:eastAsia="方正小标宋简体"/>
          <w:bCs/>
          <w:sz w:val="32"/>
          <w:szCs w:val="32"/>
          <w:highlight w:val="none"/>
        </w:rPr>
        <w:t>第3章 采购需求</w:t>
      </w:r>
      <w:bookmarkEnd w:id="55"/>
    </w:p>
    <w:p w14:paraId="5184339C">
      <w:pPr>
        <w:spacing w:line="500" w:lineRule="exact"/>
        <w:ind w:firstLine="562" w:firstLineChars="200"/>
        <w:jc w:val="left"/>
        <w:rPr>
          <w:rFonts w:ascii="仿宋" w:hAnsi="仿宋" w:eastAsia="仿宋" w:cs="Times New Roman"/>
          <w:b/>
          <w:bCs/>
          <w:sz w:val="28"/>
          <w:szCs w:val="28"/>
          <w:highlight w:val="none"/>
        </w:rPr>
      </w:pPr>
      <w:r>
        <w:rPr>
          <w:rFonts w:ascii="仿宋" w:hAnsi="仿宋" w:eastAsia="仿宋" w:cs="Times New Roman"/>
          <w:b/>
          <w:bCs/>
          <w:sz w:val="28"/>
          <w:szCs w:val="28"/>
          <w:highlight w:val="none"/>
        </w:rPr>
        <w:t>供应商在制作</w:t>
      </w:r>
      <w:r>
        <w:rPr>
          <w:rFonts w:hint="eastAsia" w:ascii="仿宋" w:hAnsi="仿宋" w:eastAsia="仿宋" w:cs="Times New Roman"/>
          <w:b/>
          <w:bCs/>
          <w:sz w:val="28"/>
          <w:szCs w:val="28"/>
          <w:highlight w:val="none"/>
        </w:rPr>
        <w:t>响应</w:t>
      </w:r>
      <w:r>
        <w:rPr>
          <w:rFonts w:ascii="仿宋" w:hAnsi="仿宋" w:eastAsia="仿宋" w:cs="Times New Roman"/>
          <w:b/>
          <w:bCs/>
          <w:sz w:val="28"/>
          <w:szCs w:val="28"/>
          <w:highlight w:val="none"/>
        </w:rPr>
        <w:t>文件时仔细研究</w:t>
      </w:r>
      <w:r>
        <w:rPr>
          <w:rFonts w:hint="eastAsia" w:ascii="仿宋" w:hAnsi="仿宋" w:eastAsia="仿宋" w:cs="Times New Roman"/>
          <w:b/>
          <w:bCs/>
          <w:sz w:val="28"/>
          <w:szCs w:val="28"/>
          <w:highlight w:val="none"/>
        </w:rPr>
        <w:t>采购</w:t>
      </w:r>
      <w:r>
        <w:rPr>
          <w:rFonts w:ascii="仿宋" w:hAnsi="仿宋" w:eastAsia="仿宋" w:cs="Times New Roman"/>
          <w:b/>
          <w:bCs/>
          <w:sz w:val="28"/>
          <w:szCs w:val="28"/>
          <w:highlight w:val="none"/>
        </w:rPr>
        <w:t>需求说明。</w:t>
      </w:r>
      <w:r>
        <w:rPr>
          <w:rFonts w:hint="eastAsia" w:ascii="仿宋" w:hAnsi="仿宋" w:eastAsia="仿宋" w:cs="Times New Roman"/>
          <w:b/>
          <w:bCs/>
          <w:sz w:val="28"/>
          <w:szCs w:val="28"/>
          <w:highlight w:val="none"/>
        </w:rPr>
        <w:t>采购</w:t>
      </w:r>
      <w:r>
        <w:rPr>
          <w:rFonts w:ascii="仿宋" w:hAnsi="仿宋" w:eastAsia="仿宋" w:cs="Times New Roman"/>
          <w:b/>
          <w:bCs/>
          <w:sz w:val="28"/>
          <w:szCs w:val="28"/>
          <w:highlight w:val="none"/>
        </w:rPr>
        <w:t>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p>
    <w:p w14:paraId="5C2CF133">
      <w:pPr>
        <w:spacing w:line="500" w:lineRule="exact"/>
        <w:ind w:firstLine="562" w:firstLineChars="200"/>
        <w:jc w:val="left"/>
        <w:rPr>
          <w:rFonts w:ascii="仿宋" w:hAnsi="仿宋" w:eastAsia="仿宋" w:cs="Times New Roman"/>
          <w:b/>
          <w:bCs/>
          <w:sz w:val="28"/>
          <w:szCs w:val="28"/>
          <w:highlight w:val="none"/>
        </w:rPr>
      </w:pPr>
      <w:r>
        <w:rPr>
          <w:rFonts w:hint="eastAsia" w:ascii="仿宋" w:hAnsi="仿宋" w:eastAsia="仿宋" w:cs="Times New Roman"/>
          <w:b/>
          <w:bCs/>
          <w:sz w:val="28"/>
          <w:szCs w:val="28"/>
          <w:highlight w:val="none"/>
        </w:rPr>
        <w:t>供</w:t>
      </w:r>
      <w:r>
        <w:rPr>
          <w:rFonts w:ascii="仿宋" w:hAnsi="仿宋" w:eastAsia="仿宋" w:cs="Times New Roman"/>
          <w:b/>
          <w:bCs/>
          <w:sz w:val="28"/>
          <w:szCs w:val="28"/>
          <w:highlight w:val="none"/>
        </w:rPr>
        <w:t>应商不能简单照搬照抄</w:t>
      </w:r>
      <w:r>
        <w:rPr>
          <w:rFonts w:hint="eastAsia" w:ascii="仿宋" w:hAnsi="仿宋" w:eastAsia="仿宋" w:cs="Times New Roman"/>
          <w:b/>
          <w:bCs/>
          <w:sz w:val="28"/>
          <w:szCs w:val="28"/>
          <w:highlight w:val="none"/>
        </w:rPr>
        <w:t>磋商</w:t>
      </w:r>
      <w:r>
        <w:rPr>
          <w:rFonts w:ascii="仿宋" w:hAnsi="仿宋" w:eastAsia="仿宋" w:cs="Times New Roman"/>
          <w:b/>
          <w:bCs/>
          <w:sz w:val="28"/>
          <w:szCs w:val="28"/>
          <w:highlight w:val="none"/>
        </w:rPr>
        <w:t>文件项目需求说明中的技术、商务要求，必须作实事求是的响应。如响应供应商提供的货物和服务同</w:t>
      </w:r>
      <w:r>
        <w:rPr>
          <w:rFonts w:hint="eastAsia" w:ascii="仿宋" w:hAnsi="仿宋" w:eastAsia="仿宋" w:cs="Times New Roman"/>
          <w:b/>
          <w:bCs/>
          <w:sz w:val="28"/>
          <w:szCs w:val="28"/>
          <w:highlight w:val="none"/>
        </w:rPr>
        <w:t>采购人</w:t>
      </w:r>
      <w:r>
        <w:rPr>
          <w:rFonts w:ascii="仿宋" w:hAnsi="仿宋" w:eastAsia="仿宋" w:cs="Times New Roman"/>
          <w:b/>
          <w:bCs/>
          <w:sz w:val="28"/>
          <w:szCs w:val="28"/>
          <w:highlight w:val="none"/>
        </w:rPr>
        <w:t>提出的项目需求说明中的商务要求不同的，必须在《商务部分正负偏离表》上明示</w:t>
      </w:r>
      <w:r>
        <w:rPr>
          <w:rFonts w:hint="eastAsia" w:ascii="仿宋" w:hAnsi="仿宋" w:eastAsia="仿宋" w:cs="Times New Roman"/>
          <w:b/>
          <w:bCs/>
          <w:sz w:val="28"/>
          <w:szCs w:val="28"/>
          <w:highlight w:val="none"/>
        </w:rPr>
        <w:t>。</w:t>
      </w:r>
    </w:p>
    <w:p w14:paraId="59B30E88">
      <w:pPr>
        <w:spacing w:line="500" w:lineRule="exact"/>
        <w:ind w:firstLine="560" w:firstLineChars="200"/>
        <w:outlineLvl w:val="1"/>
        <w:rPr>
          <w:rFonts w:hint="eastAsia" w:ascii="黑体" w:hAnsi="黑体" w:eastAsia="黑体"/>
          <w:sz w:val="28"/>
          <w:szCs w:val="28"/>
          <w:highlight w:val="none"/>
        </w:rPr>
      </w:pPr>
      <w:bookmarkStart w:id="56" w:name="_Toc17352"/>
      <w:bookmarkStart w:id="57" w:name="_Toc5909"/>
      <w:bookmarkStart w:id="58" w:name="_Toc17807"/>
      <w:bookmarkStart w:id="59" w:name="_Toc32357"/>
      <w:r>
        <w:rPr>
          <w:rFonts w:hint="eastAsia" w:ascii="黑体" w:hAnsi="黑体" w:eastAsia="黑体"/>
          <w:sz w:val="28"/>
          <w:szCs w:val="28"/>
          <w:highlight w:val="none"/>
        </w:rPr>
        <w:t>一、项目简介</w:t>
      </w:r>
      <w:bookmarkEnd w:id="56"/>
      <w:bookmarkEnd w:id="57"/>
      <w:bookmarkEnd w:id="58"/>
      <w:bookmarkEnd w:id="59"/>
    </w:p>
    <w:p w14:paraId="5C190147">
      <w:pPr>
        <w:spacing w:line="50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如皋法院电子卷宗同步扫描及中间库服务项目，要求完成如皋法院约一个年度内的电子卷宗同步扫描及中间库卷宗扫描、挂接、排序、管理、打印页码、装订归档等服务。</w:t>
      </w:r>
    </w:p>
    <w:p w14:paraId="4D968582">
      <w:pPr>
        <w:spacing w:line="500" w:lineRule="exact"/>
        <w:ind w:firstLine="560" w:firstLineChars="200"/>
        <w:outlineLvl w:val="1"/>
        <w:rPr>
          <w:rFonts w:hint="eastAsia" w:ascii="黑体" w:hAnsi="黑体" w:eastAsia="黑体"/>
          <w:sz w:val="28"/>
          <w:szCs w:val="28"/>
          <w:highlight w:val="none"/>
        </w:rPr>
      </w:pPr>
      <w:bookmarkStart w:id="60" w:name="_Toc992"/>
      <w:bookmarkStart w:id="61" w:name="_Toc30800"/>
      <w:bookmarkStart w:id="62" w:name="_Toc30709"/>
      <w:bookmarkStart w:id="63" w:name="_Toc29133"/>
      <w:r>
        <w:rPr>
          <w:rFonts w:hint="eastAsia" w:ascii="黑体" w:hAnsi="黑体" w:eastAsia="黑体"/>
          <w:sz w:val="28"/>
          <w:szCs w:val="28"/>
          <w:highlight w:val="none"/>
        </w:rPr>
        <w:t>二、采购内容</w:t>
      </w:r>
      <w:bookmarkEnd w:id="60"/>
      <w:bookmarkEnd w:id="61"/>
      <w:bookmarkEnd w:id="62"/>
      <w:bookmarkEnd w:id="63"/>
    </w:p>
    <w:p w14:paraId="5094B474">
      <w:pPr>
        <w:spacing w:line="500" w:lineRule="exact"/>
        <w:ind w:firstLine="560" w:firstLineChars="200"/>
        <w:rPr>
          <w:rFonts w:hint="eastAsia" w:ascii="仿宋" w:hAnsi="仿宋" w:eastAsia="仿宋"/>
          <w:sz w:val="28"/>
          <w:szCs w:val="28"/>
          <w:highlight w:val="none"/>
        </w:rPr>
      </w:pPr>
      <w:r>
        <w:rPr>
          <w:rFonts w:hint="eastAsia" w:ascii="仿宋" w:hAnsi="仿宋" w:eastAsia="仿宋"/>
          <w:color w:val="auto"/>
          <w:sz w:val="28"/>
          <w:szCs w:val="28"/>
          <w:highlight w:val="none"/>
        </w:rPr>
        <w:t>本项目根据分工的不同，同时参考各家法院的相关模式以及</w:t>
      </w:r>
      <w:r>
        <w:rPr>
          <w:rFonts w:hint="eastAsia" w:ascii="仿宋" w:hAnsi="仿宋" w:eastAsia="仿宋"/>
          <w:color w:val="auto"/>
          <w:sz w:val="28"/>
          <w:szCs w:val="28"/>
          <w:highlight w:val="none"/>
          <w:lang w:val="en-US" w:eastAsia="zh-CN"/>
        </w:rPr>
        <w:t>如皋市人民法</w:t>
      </w:r>
      <w:r>
        <w:rPr>
          <w:rFonts w:hint="eastAsia" w:ascii="仿宋" w:hAnsi="仿宋" w:eastAsia="仿宋"/>
          <w:color w:val="auto"/>
          <w:sz w:val="28"/>
          <w:szCs w:val="28"/>
          <w:highlight w:val="none"/>
        </w:rPr>
        <w:t>院的工作量，需要至少12名全职集约化外包服务人员常驻法院集中办公，</w:t>
      </w:r>
      <w:r>
        <w:rPr>
          <w:rFonts w:hint="eastAsia" w:ascii="仿宋" w:hAnsi="仿宋" w:eastAsia="仿宋"/>
          <w:color w:val="auto"/>
          <w:sz w:val="28"/>
          <w:szCs w:val="28"/>
          <w:highlight w:val="none"/>
          <w:lang w:val="en-US" w:eastAsia="zh-CN"/>
        </w:rPr>
        <w:t>分为三个小组，分别为执行无纸化数字加工组、审理无纸化数字加工组、档案</w:t>
      </w:r>
      <w:r>
        <w:rPr>
          <w:rFonts w:hint="eastAsia" w:ascii="仿宋" w:hAnsi="仿宋" w:eastAsia="仿宋" w:cs="Times New Roman"/>
          <w:color w:val="auto"/>
          <w:sz w:val="28"/>
          <w:szCs w:val="28"/>
          <w:highlight w:val="none"/>
        </w:rPr>
        <w:t>数字化加工</w:t>
      </w:r>
      <w:r>
        <w:rPr>
          <w:rFonts w:hint="eastAsia" w:ascii="仿宋" w:hAnsi="仿宋" w:eastAsia="仿宋" w:cs="Times New Roman"/>
          <w:color w:val="auto"/>
          <w:sz w:val="28"/>
          <w:szCs w:val="28"/>
          <w:highlight w:val="none"/>
          <w:lang w:val="en-US" w:eastAsia="zh-CN"/>
        </w:rPr>
        <w:t>小组。</w:t>
      </w:r>
      <w:r>
        <w:rPr>
          <w:rFonts w:hint="eastAsia" w:ascii="仿宋" w:hAnsi="仿宋" w:eastAsia="仿宋"/>
          <w:color w:val="auto"/>
          <w:sz w:val="28"/>
          <w:szCs w:val="28"/>
          <w:highlight w:val="none"/>
        </w:rPr>
        <w:t>根据实际运行情况，可能需要临时免费加增服务人员，以满足院方的实际业务需求，请各</w:t>
      </w:r>
      <w:r>
        <w:rPr>
          <w:rFonts w:hint="eastAsia" w:ascii="仿宋" w:hAnsi="仿宋" w:eastAsia="仿宋"/>
          <w:color w:val="auto"/>
          <w:sz w:val="28"/>
          <w:szCs w:val="28"/>
          <w:highlight w:val="none"/>
          <w:lang w:val="en-US" w:eastAsia="zh-CN"/>
        </w:rPr>
        <w:t>响应</w:t>
      </w:r>
      <w:r>
        <w:rPr>
          <w:rFonts w:hint="eastAsia" w:ascii="仿宋" w:hAnsi="仿宋" w:eastAsia="仿宋"/>
          <w:color w:val="auto"/>
          <w:sz w:val="28"/>
          <w:szCs w:val="28"/>
          <w:highlight w:val="none"/>
        </w:rPr>
        <w:t>供应商在报价时充分考虑。</w:t>
      </w:r>
    </w:p>
    <w:p w14:paraId="7EBBA11F">
      <w:pPr>
        <w:spacing w:line="500" w:lineRule="exact"/>
        <w:ind w:firstLine="560" w:firstLineChars="200"/>
        <w:rPr>
          <w:rFonts w:hint="eastAsia" w:ascii="仿宋" w:hAnsi="仿宋" w:eastAsia="仿宋" w:cs="Times New Roman"/>
          <w:color w:val="auto"/>
          <w:sz w:val="28"/>
          <w:szCs w:val="28"/>
          <w:highlight w:val="none"/>
        </w:rPr>
      </w:pPr>
      <w:bookmarkStart w:id="64" w:name="_Toc10554"/>
      <w:r>
        <w:rPr>
          <w:rFonts w:hint="eastAsia" w:ascii="仿宋" w:hAnsi="仿宋" w:eastAsia="仿宋" w:cs="Times New Roman"/>
          <w:color w:val="auto"/>
          <w:sz w:val="28"/>
          <w:szCs w:val="28"/>
          <w:highlight w:val="none"/>
        </w:rPr>
        <w:t>1.如皋法院档案室</w:t>
      </w:r>
      <w:r>
        <w:rPr>
          <w:rFonts w:hint="eastAsia" w:ascii="仿宋" w:hAnsi="仿宋" w:eastAsia="仿宋" w:cs="Times New Roman"/>
          <w:color w:val="auto"/>
          <w:sz w:val="28"/>
          <w:szCs w:val="28"/>
          <w:highlight w:val="none"/>
          <w:lang w:val="en-US" w:eastAsia="zh-CN"/>
        </w:rPr>
        <w:t>约</w:t>
      </w:r>
      <w:r>
        <w:rPr>
          <w:rFonts w:hint="eastAsia" w:ascii="仿宋" w:hAnsi="仿宋" w:eastAsia="仿宋" w:cs="Times New Roman"/>
          <w:color w:val="auto"/>
          <w:sz w:val="28"/>
          <w:szCs w:val="28"/>
          <w:highlight w:val="none"/>
        </w:rPr>
        <w:t>一个年度内即时产生的所有归档档案数字化加工工作。要求在卷宗归档之日起 5 个工作日内完成加工，并将数字化成果挂接到法院档案管理信息系统中供查询使用，预计页数</w:t>
      </w:r>
      <w:r>
        <w:rPr>
          <w:rFonts w:hint="eastAsia" w:ascii="仿宋" w:hAnsi="仿宋" w:eastAsia="仿宋" w:cs="Times New Roman"/>
          <w:color w:val="auto"/>
          <w:sz w:val="28"/>
          <w:szCs w:val="28"/>
          <w:highlight w:val="none"/>
          <w:lang w:val="en-US" w:eastAsia="zh-CN"/>
        </w:rPr>
        <w:t>5</w:t>
      </w:r>
      <w:r>
        <w:rPr>
          <w:rFonts w:hint="eastAsia" w:ascii="仿宋" w:hAnsi="仿宋" w:eastAsia="仿宋" w:cs="Times New Roman"/>
          <w:color w:val="auto"/>
          <w:sz w:val="28"/>
          <w:szCs w:val="28"/>
          <w:highlight w:val="none"/>
        </w:rPr>
        <w:t>0万页。</w:t>
      </w:r>
    </w:p>
    <w:p w14:paraId="2B9EBF2F">
      <w:pPr>
        <w:spacing w:line="500" w:lineRule="exact"/>
        <w:ind w:firstLine="560" w:firstLineChars="200"/>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2.完成如皋法院</w:t>
      </w:r>
      <w:r>
        <w:rPr>
          <w:rFonts w:hint="eastAsia" w:ascii="仿宋" w:hAnsi="仿宋" w:eastAsia="仿宋" w:cs="Times New Roman"/>
          <w:color w:val="auto"/>
          <w:sz w:val="28"/>
          <w:szCs w:val="28"/>
          <w:highlight w:val="none"/>
          <w:lang w:val="en-US" w:eastAsia="zh-CN"/>
        </w:rPr>
        <w:t>约</w:t>
      </w:r>
      <w:r>
        <w:rPr>
          <w:rFonts w:hint="eastAsia" w:ascii="仿宋" w:hAnsi="仿宋" w:eastAsia="仿宋" w:cs="Times New Roman"/>
          <w:color w:val="auto"/>
          <w:sz w:val="28"/>
          <w:szCs w:val="28"/>
          <w:highlight w:val="none"/>
        </w:rPr>
        <w:t>一个年度内的电子卷宗同步扫描服务，预计页数</w:t>
      </w:r>
      <w:r>
        <w:rPr>
          <w:rFonts w:hint="eastAsia" w:ascii="仿宋" w:hAnsi="仿宋" w:eastAsia="仿宋" w:cs="Times New Roman"/>
          <w:color w:val="auto"/>
          <w:sz w:val="28"/>
          <w:szCs w:val="28"/>
          <w:highlight w:val="none"/>
          <w:lang w:val="en-US" w:eastAsia="zh-CN"/>
        </w:rPr>
        <w:t>190</w:t>
      </w:r>
      <w:r>
        <w:rPr>
          <w:rFonts w:hint="eastAsia" w:ascii="仿宋" w:hAnsi="仿宋" w:eastAsia="仿宋" w:cs="Times New Roman"/>
          <w:color w:val="auto"/>
          <w:sz w:val="28"/>
          <w:szCs w:val="28"/>
          <w:highlight w:val="none"/>
        </w:rPr>
        <w:t>万页。</w:t>
      </w:r>
    </w:p>
    <w:p w14:paraId="42DE0903">
      <w:pPr>
        <w:spacing w:line="500" w:lineRule="exact"/>
        <w:ind w:firstLine="560" w:firstLineChars="200"/>
        <w:rPr>
          <w:rFonts w:hint="eastAsia"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3.</w:t>
      </w:r>
      <w:r>
        <w:rPr>
          <w:rFonts w:hint="eastAsia" w:ascii="仿宋" w:hAnsi="仿宋" w:eastAsia="仿宋" w:cs="Times New Roman"/>
          <w:color w:val="auto"/>
          <w:sz w:val="28"/>
          <w:szCs w:val="28"/>
          <w:highlight w:val="none"/>
        </w:rPr>
        <w:t>完成如皋法院</w:t>
      </w:r>
      <w:r>
        <w:rPr>
          <w:rFonts w:hint="eastAsia" w:ascii="仿宋" w:hAnsi="仿宋" w:eastAsia="仿宋" w:cs="Times New Roman"/>
          <w:color w:val="auto"/>
          <w:sz w:val="28"/>
          <w:szCs w:val="28"/>
          <w:highlight w:val="none"/>
          <w:lang w:val="en-US" w:eastAsia="zh-CN"/>
        </w:rPr>
        <w:t>约</w:t>
      </w:r>
      <w:r>
        <w:rPr>
          <w:rFonts w:hint="eastAsia" w:ascii="仿宋" w:hAnsi="仿宋" w:eastAsia="仿宋" w:cs="Times New Roman"/>
          <w:color w:val="auto"/>
          <w:sz w:val="28"/>
          <w:szCs w:val="28"/>
          <w:highlight w:val="none"/>
        </w:rPr>
        <w:t>一个年度内的中间库归档服务，包括档案交接、入库、出库、敲页码、制封面、盖章、打孔、装订、排序、上架等服务，预</w:t>
      </w:r>
      <w:r>
        <w:rPr>
          <w:rFonts w:hint="eastAsia" w:ascii="仿宋" w:hAnsi="仿宋" w:eastAsia="仿宋" w:cs="Times New Roman"/>
          <w:color w:val="auto"/>
          <w:sz w:val="28"/>
          <w:szCs w:val="28"/>
          <w:highlight w:val="none"/>
          <w:lang w:val="en-US" w:eastAsia="zh-CN"/>
        </w:rPr>
        <w:t>计3.6</w:t>
      </w:r>
      <w:r>
        <w:rPr>
          <w:rFonts w:hint="eastAsia" w:ascii="仿宋" w:hAnsi="仿宋" w:eastAsia="仿宋" w:cs="Times New Roman"/>
          <w:color w:val="auto"/>
          <w:sz w:val="28"/>
          <w:szCs w:val="28"/>
          <w:highlight w:val="none"/>
        </w:rPr>
        <w:t>万册。</w:t>
      </w:r>
    </w:p>
    <w:p w14:paraId="6E128155">
      <w:pPr>
        <w:spacing w:line="500" w:lineRule="exact"/>
        <w:ind w:firstLine="560" w:firstLineChars="200"/>
        <w:outlineLvl w:val="1"/>
        <w:rPr>
          <w:rFonts w:ascii="黑体" w:hAnsi="黑体" w:eastAsia="黑体"/>
          <w:sz w:val="28"/>
          <w:szCs w:val="28"/>
          <w:highlight w:val="none"/>
        </w:rPr>
      </w:pPr>
      <w:bookmarkStart w:id="65" w:name="_Toc12094"/>
      <w:bookmarkStart w:id="66" w:name="_Toc27185"/>
      <w:r>
        <w:rPr>
          <w:rFonts w:hint="eastAsia" w:ascii="黑体" w:hAnsi="黑体" w:eastAsia="黑体"/>
          <w:sz w:val="28"/>
          <w:szCs w:val="28"/>
          <w:highlight w:val="none"/>
        </w:rPr>
        <w:t>三、服务要求</w:t>
      </w:r>
      <w:bookmarkEnd w:id="64"/>
      <w:bookmarkEnd w:id="65"/>
      <w:bookmarkEnd w:id="66"/>
    </w:p>
    <w:p w14:paraId="1722DA28">
      <w:pPr>
        <w:spacing w:line="500" w:lineRule="exact"/>
        <w:ind w:firstLine="560" w:firstLineChars="200"/>
        <w:rPr>
          <w:rFonts w:hint="eastAsia" w:ascii="仿宋" w:hAnsi="仿宋" w:eastAsia="仿宋"/>
          <w:sz w:val="28"/>
          <w:szCs w:val="28"/>
          <w:highlight w:val="none"/>
        </w:rPr>
      </w:pPr>
      <w:r>
        <w:rPr>
          <w:rFonts w:hint="eastAsia" w:ascii="仿宋" w:hAnsi="仿宋" w:eastAsia="仿宋"/>
          <w:sz w:val="28"/>
          <w:szCs w:val="28"/>
          <w:highlight w:val="none"/>
          <w:lang w:eastAsia="zh-CN"/>
        </w:rPr>
        <w:t>（</w:t>
      </w:r>
      <w:r>
        <w:rPr>
          <w:rFonts w:hint="eastAsia" w:ascii="仿宋" w:hAnsi="仿宋" w:eastAsia="仿宋"/>
          <w:sz w:val="28"/>
          <w:szCs w:val="28"/>
          <w:highlight w:val="none"/>
          <w:lang w:val="en-US" w:eastAsia="zh-CN"/>
        </w:rPr>
        <w:t>一</w:t>
      </w:r>
      <w:r>
        <w:rPr>
          <w:rFonts w:hint="eastAsia" w:ascii="仿宋" w:hAnsi="仿宋" w:eastAsia="仿宋"/>
          <w:sz w:val="28"/>
          <w:szCs w:val="28"/>
          <w:highlight w:val="none"/>
          <w:lang w:eastAsia="zh-CN"/>
        </w:rPr>
        <w:t>）成交供应商</w:t>
      </w:r>
      <w:r>
        <w:rPr>
          <w:rFonts w:hint="eastAsia" w:ascii="仿宋" w:hAnsi="仿宋" w:eastAsia="仿宋"/>
          <w:sz w:val="28"/>
          <w:szCs w:val="28"/>
          <w:highlight w:val="none"/>
        </w:rPr>
        <w:t>自带扫描设备。</w:t>
      </w:r>
    </w:p>
    <w:p w14:paraId="2AC437EB">
      <w:pPr>
        <w:spacing w:line="500" w:lineRule="exact"/>
        <w:ind w:firstLine="560" w:firstLineChars="200"/>
        <w:rPr>
          <w:rFonts w:hint="eastAsia" w:ascii="仿宋" w:hAnsi="仿宋" w:eastAsia="仿宋"/>
          <w:sz w:val="28"/>
          <w:szCs w:val="28"/>
          <w:highlight w:val="none"/>
        </w:rPr>
      </w:pPr>
      <w:r>
        <w:rPr>
          <w:rFonts w:hint="eastAsia" w:ascii="仿宋" w:hAnsi="仿宋" w:eastAsia="仿宋"/>
          <w:sz w:val="28"/>
          <w:szCs w:val="28"/>
          <w:highlight w:val="none"/>
          <w:lang w:eastAsia="zh-CN"/>
        </w:rPr>
        <w:t>（</w:t>
      </w:r>
      <w:r>
        <w:rPr>
          <w:rFonts w:hint="eastAsia" w:ascii="仿宋" w:hAnsi="仿宋" w:eastAsia="仿宋"/>
          <w:sz w:val="28"/>
          <w:szCs w:val="28"/>
          <w:highlight w:val="none"/>
          <w:lang w:val="en-US" w:eastAsia="zh-CN"/>
        </w:rPr>
        <w:t>二</w:t>
      </w:r>
      <w:r>
        <w:rPr>
          <w:rFonts w:hint="eastAsia" w:ascii="仿宋" w:hAnsi="仿宋" w:eastAsia="仿宋"/>
          <w:sz w:val="28"/>
          <w:szCs w:val="28"/>
          <w:highlight w:val="none"/>
          <w:lang w:eastAsia="zh-CN"/>
        </w:rPr>
        <w:t>）</w:t>
      </w:r>
      <w:r>
        <w:rPr>
          <w:rFonts w:hint="eastAsia" w:ascii="仿宋" w:hAnsi="仿宋" w:eastAsia="仿宋"/>
          <w:sz w:val="28"/>
          <w:szCs w:val="28"/>
          <w:highlight w:val="none"/>
        </w:rPr>
        <w:t>总则:遵守法院立案扫描和中间库管理规定。严格管理，明确责任，建立安全保密管理机制和质量管理机制，确保安全管理制度和质量管理制度落实到位，确保档案原件和数字化档案信息安全，确保各环节工作符合质量要求，建立完整规范的工作记录。</w:t>
      </w:r>
    </w:p>
    <w:p w14:paraId="2FC42E95">
      <w:pPr>
        <w:spacing w:line="500" w:lineRule="exact"/>
        <w:ind w:firstLine="560" w:firstLineChars="200"/>
        <w:rPr>
          <w:rFonts w:hint="eastAsia" w:ascii="仿宋" w:hAnsi="仿宋" w:eastAsia="仿宋"/>
          <w:sz w:val="28"/>
          <w:szCs w:val="28"/>
          <w:highlight w:val="none"/>
        </w:rPr>
      </w:pPr>
      <w:r>
        <w:rPr>
          <w:rFonts w:hint="eastAsia" w:ascii="仿宋" w:hAnsi="仿宋" w:eastAsia="仿宋"/>
          <w:sz w:val="28"/>
          <w:szCs w:val="28"/>
          <w:highlight w:val="none"/>
          <w:lang w:eastAsia="zh-CN"/>
        </w:rPr>
        <w:t>（</w:t>
      </w:r>
      <w:r>
        <w:rPr>
          <w:rFonts w:hint="eastAsia" w:ascii="仿宋" w:hAnsi="仿宋" w:eastAsia="仿宋"/>
          <w:sz w:val="28"/>
          <w:szCs w:val="28"/>
          <w:highlight w:val="none"/>
          <w:lang w:val="en-US" w:eastAsia="zh-CN"/>
        </w:rPr>
        <w:t>三</w:t>
      </w:r>
      <w:r>
        <w:rPr>
          <w:rFonts w:hint="eastAsia" w:ascii="仿宋" w:hAnsi="仿宋" w:eastAsia="仿宋"/>
          <w:sz w:val="28"/>
          <w:szCs w:val="28"/>
          <w:highlight w:val="none"/>
          <w:lang w:eastAsia="zh-CN"/>
        </w:rPr>
        <w:t>）</w:t>
      </w:r>
      <w:r>
        <w:rPr>
          <w:rFonts w:hint="eastAsia" w:ascii="仿宋" w:hAnsi="仿宋" w:eastAsia="仿宋"/>
          <w:sz w:val="28"/>
          <w:szCs w:val="28"/>
          <w:highlight w:val="none"/>
        </w:rPr>
        <w:t>卷宗材料接收：接收材料要认真核对，避免发生差错，并办理交接手续备查。</w:t>
      </w:r>
    </w:p>
    <w:p w14:paraId="68B636F9">
      <w:pPr>
        <w:spacing w:line="500" w:lineRule="exact"/>
        <w:ind w:firstLine="560" w:firstLineChars="200"/>
        <w:rPr>
          <w:rFonts w:hint="eastAsia" w:ascii="仿宋" w:hAnsi="仿宋" w:eastAsia="仿宋"/>
          <w:sz w:val="28"/>
          <w:szCs w:val="28"/>
          <w:highlight w:val="none"/>
        </w:rPr>
      </w:pPr>
      <w:r>
        <w:rPr>
          <w:rFonts w:hint="eastAsia" w:ascii="仿宋" w:hAnsi="仿宋" w:eastAsia="仿宋"/>
          <w:sz w:val="28"/>
          <w:szCs w:val="28"/>
          <w:highlight w:val="none"/>
          <w:lang w:eastAsia="zh-CN"/>
        </w:rPr>
        <w:t>（</w:t>
      </w:r>
      <w:r>
        <w:rPr>
          <w:rFonts w:hint="eastAsia" w:ascii="仿宋" w:hAnsi="仿宋" w:eastAsia="仿宋"/>
          <w:sz w:val="28"/>
          <w:szCs w:val="28"/>
          <w:highlight w:val="none"/>
          <w:lang w:val="en-US" w:eastAsia="zh-CN"/>
        </w:rPr>
        <w:t>四</w:t>
      </w:r>
      <w:r>
        <w:rPr>
          <w:rFonts w:hint="eastAsia" w:ascii="仿宋" w:hAnsi="仿宋" w:eastAsia="仿宋"/>
          <w:sz w:val="28"/>
          <w:szCs w:val="28"/>
          <w:highlight w:val="none"/>
          <w:lang w:eastAsia="zh-CN"/>
        </w:rPr>
        <w:t>）</w:t>
      </w:r>
      <w:r>
        <w:rPr>
          <w:rFonts w:hint="eastAsia" w:ascii="仿宋" w:hAnsi="仿宋" w:eastAsia="仿宋"/>
          <w:sz w:val="28"/>
          <w:szCs w:val="28"/>
          <w:highlight w:val="none"/>
        </w:rPr>
        <w:t>卷宗材料扫描:档案采用扫描方式，扫描影像保持原档方向。</w:t>
      </w:r>
    </w:p>
    <w:p w14:paraId="62D360CB">
      <w:pPr>
        <w:spacing w:line="500" w:lineRule="exact"/>
        <w:ind w:firstLine="560" w:firstLineChars="200"/>
        <w:rPr>
          <w:rFonts w:hint="eastAsia" w:ascii="仿宋" w:hAnsi="仿宋" w:eastAsia="仿宋"/>
          <w:sz w:val="28"/>
          <w:szCs w:val="28"/>
          <w:highlight w:val="none"/>
        </w:rPr>
      </w:pPr>
      <w:r>
        <w:rPr>
          <w:rFonts w:hint="eastAsia" w:ascii="仿宋" w:hAnsi="仿宋" w:eastAsia="仿宋"/>
          <w:sz w:val="28"/>
          <w:szCs w:val="28"/>
          <w:highlight w:val="none"/>
        </w:rPr>
        <w:t>纸质诉讼档案的数字化加工采用全彩色模式进行扫描,不经采购人同意不得以黑白二色方式扫描。在扫描过程中，应遵循以下几项标准:</w:t>
      </w:r>
    </w:p>
    <w:p w14:paraId="0F2339DB">
      <w:pPr>
        <w:spacing w:line="500" w:lineRule="exact"/>
        <w:ind w:firstLine="560" w:firstLineChars="200"/>
        <w:rPr>
          <w:rFonts w:hint="eastAsia" w:ascii="仿宋" w:hAnsi="仿宋" w:eastAsia="仿宋"/>
          <w:sz w:val="28"/>
          <w:szCs w:val="28"/>
          <w:highlight w:val="none"/>
        </w:rPr>
      </w:pPr>
      <w:r>
        <w:rPr>
          <w:rFonts w:hint="eastAsia" w:ascii="仿宋" w:hAnsi="仿宋" w:eastAsia="仿宋"/>
          <w:sz w:val="28"/>
          <w:szCs w:val="28"/>
          <w:highlight w:val="none"/>
        </w:rPr>
        <w:t>◆标准分辨率:300dpi;</w:t>
      </w:r>
    </w:p>
    <w:p w14:paraId="653D57CA">
      <w:pPr>
        <w:spacing w:line="500" w:lineRule="exact"/>
        <w:ind w:firstLine="560" w:firstLineChars="200"/>
        <w:rPr>
          <w:rFonts w:hint="eastAsia" w:ascii="仿宋" w:hAnsi="仿宋" w:eastAsia="仿宋"/>
          <w:sz w:val="28"/>
          <w:szCs w:val="28"/>
          <w:highlight w:val="none"/>
        </w:rPr>
      </w:pPr>
      <w:r>
        <w:rPr>
          <w:rFonts w:hint="eastAsia" w:ascii="仿宋" w:hAnsi="仿宋" w:eastAsia="仿宋"/>
          <w:sz w:val="28"/>
          <w:szCs w:val="28"/>
          <w:highlight w:val="none"/>
        </w:rPr>
        <w:t>◆标准文件格式:单页JPG;</w:t>
      </w:r>
    </w:p>
    <w:p w14:paraId="740E7F5F">
      <w:pPr>
        <w:spacing w:line="500" w:lineRule="exact"/>
        <w:ind w:firstLine="560" w:firstLineChars="200"/>
        <w:rPr>
          <w:rFonts w:hint="eastAsia" w:ascii="仿宋" w:hAnsi="仿宋" w:eastAsia="仿宋"/>
          <w:sz w:val="28"/>
          <w:szCs w:val="28"/>
          <w:highlight w:val="none"/>
        </w:rPr>
      </w:pPr>
      <w:r>
        <w:rPr>
          <w:rFonts w:hint="eastAsia" w:ascii="仿宋" w:hAnsi="仿宋" w:eastAsia="仿宋"/>
          <w:sz w:val="28"/>
          <w:szCs w:val="28"/>
          <w:highlight w:val="none"/>
        </w:rPr>
        <w:t>◆质量:在原件上没有明显质量问题时，所产生的影像文件不应产生黑边、模糊、偏斜等质量问题，对于影响图像质量的非原始性的黑线、黑点(如装订孔等)要进行修补。根据档案幅面的大小和纸张状况，选择相应扫描仪。其中大幅面档案需采用大幅面扫描仪，不可以采用小幅面扫描后的图像拼接方式处理;同页有两个以上文件，需分别扫描，并进行并页处理。</w:t>
      </w:r>
    </w:p>
    <w:p w14:paraId="4E60EA29">
      <w:pPr>
        <w:spacing w:line="500" w:lineRule="exact"/>
        <w:ind w:firstLine="560" w:firstLineChars="200"/>
        <w:rPr>
          <w:rFonts w:hint="eastAsia" w:ascii="仿宋" w:hAnsi="仿宋" w:eastAsia="仿宋"/>
          <w:sz w:val="28"/>
          <w:szCs w:val="28"/>
          <w:highlight w:val="none"/>
        </w:rPr>
      </w:pPr>
      <w:r>
        <w:rPr>
          <w:rFonts w:hint="eastAsia" w:ascii="仿宋" w:hAnsi="仿宋" w:eastAsia="仿宋"/>
          <w:sz w:val="28"/>
          <w:szCs w:val="28"/>
          <w:highlight w:val="none"/>
          <w:lang w:eastAsia="zh-CN"/>
        </w:rPr>
        <w:t>（</w:t>
      </w:r>
      <w:r>
        <w:rPr>
          <w:rFonts w:hint="eastAsia" w:ascii="仿宋" w:hAnsi="仿宋" w:eastAsia="仿宋"/>
          <w:sz w:val="28"/>
          <w:szCs w:val="28"/>
          <w:highlight w:val="none"/>
          <w:lang w:val="en-US" w:eastAsia="zh-CN"/>
        </w:rPr>
        <w:t>五</w:t>
      </w:r>
      <w:r>
        <w:rPr>
          <w:rFonts w:hint="eastAsia" w:ascii="仿宋" w:hAnsi="仿宋" w:eastAsia="仿宋"/>
          <w:sz w:val="28"/>
          <w:szCs w:val="28"/>
          <w:highlight w:val="none"/>
          <w:lang w:eastAsia="zh-CN"/>
        </w:rPr>
        <w:t>）</w:t>
      </w:r>
      <w:r>
        <w:rPr>
          <w:rFonts w:hint="eastAsia" w:ascii="仿宋" w:hAnsi="仿宋" w:eastAsia="仿宋"/>
          <w:sz w:val="28"/>
          <w:szCs w:val="28"/>
          <w:highlight w:val="none"/>
        </w:rPr>
        <w:t>卷宗材料挂接：扫描的材料要及时准确完整地挂接到对应的卷宗中，不得错挂、漏挂、重复挂。</w:t>
      </w:r>
    </w:p>
    <w:p w14:paraId="67C62604">
      <w:pPr>
        <w:spacing w:line="500" w:lineRule="exact"/>
        <w:ind w:firstLine="560" w:firstLineChars="200"/>
        <w:rPr>
          <w:rFonts w:hint="eastAsia" w:ascii="仿宋" w:hAnsi="仿宋" w:eastAsia="仿宋"/>
          <w:sz w:val="28"/>
          <w:szCs w:val="28"/>
          <w:highlight w:val="none"/>
        </w:rPr>
      </w:pPr>
      <w:r>
        <w:rPr>
          <w:rFonts w:hint="eastAsia" w:ascii="仿宋" w:hAnsi="仿宋" w:eastAsia="仿宋"/>
          <w:sz w:val="28"/>
          <w:szCs w:val="28"/>
          <w:highlight w:val="none"/>
        </w:rPr>
        <w:t>（六）卷宗材料排序：扫描挂接好的材料要分别按照各类案件卷宗装订归档的顺序要求进行排列，平时有材料需及时按照顺序放进卷宗。</w:t>
      </w:r>
    </w:p>
    <w:p w14:paraId="2EC2BBAB">
      <w:pPr>
        <w:spacing w:line="500" w:lineRule="exact"/>
        <w:ind w:firstLine="560" w:firstLineChars="200"/>
        <w:rPr>
          <w:rFonts w:hint="eastAsia" w:ascii="仿宋" w:hAnsi="仿宋" w:eastAsia="仿宋"/>
          <w:sz w:val="28"/>
          <w:szCs w:val="28"/>
          <w:highlight w:val="none"/>
        </w:rPr>
      </w:pPr>
      <w:r>
        <w:rPr>
          <w:rFonts w:hint="eastAsia" w:ascii="仿宋" w:hAnsi="仿宋" w:eastAsia="仿宋"/>
          <w:sz w:val="28"/>
          <w:szCs w:val="28"/>
          <w:highlight w:val="none"/>
        </w:rPr>
        <w:t>（七）卷宗材料管理：对未列入中间库管理的卷宗，属于立案阶段的卷宗，材料扫描挂接后及时放入云柜，供各业务部门领取；属于报结阶段的卷宗，材料扫描挂接后当即退业务部门，不能即时退回的，要办理好卷宗的交接手续，并在3个工作日内完成扫描挂接；对属于中间库管理的卷宗，要对各类卷宗进行编号，业务部门需要借阅时，要提供借阅服务，需要借出中间库使用的，要办理卷宗和相应材料的交接手续。</w:t>
      </w:r>
    </w:p>
    <w:p w14:paraId="791F8C01">
      <w:pPr>
        <w:spacing w:line="500" w:lineRule="exact"/>
        <w:ind w:firstLine="560" w:firstLineChars="200"/>
        <w:rPr>
          <w:rFonts w:hint="eastAsia" w:ascii="仿宋" w:hAnsi="仿宋" w:eastAsia="仿宋"/>
          <w:sz w:val="28"/>
          <w:szCs w:val="28"/>
          <w:highlight w:val="none"/>
        </w:rPr>
      </w:pPr>
      <w:r>
        <w:rPr>
          <w:rFonts w:hint="eastAsia" w:ascii="仿宋" w:hAnsi="仿宋" w:eastAsia="仿宋"/>
          <w:sz w:val="28"/>
          <w:szCs w:val="28"/>
          <w:highlight w:val="none"/>
        </w:rPr>
        <w:t>（八）卷宗材料装订：对已办结的卷宗，根据业务部门的通知，要分别按照审理、执行卷宗装订的要求，核对卷宗材料顺序、打印页码、装订完毕。</w:t>
      </w:r>
    </w:p>
    <w:p w14:paraId="7EEE3073">
      <w:pPr>
        <w:spacing w:line="500" w:lineRule="exact"/>
        <w:ind w:firstLine="560" w:firstLineChars="200"/>
        <w:rPr>
          <w:rFonts w:hint="eastAsia" w:ascii="仿宋" w:hAnsi="仿宋" w:eastAsia="仿宋"/>
          <w:sz w:val="28"/>
          <w:szCs w:val="28"/>
          <w:highlight w:val="none"/>
        </w:rPr>
      </w:pPr>
      <w:r>
        <w:rPr>
          <w:rFonts w:hint="eastAsia" w:ascii="仿宋" w:hAnsi="仿宋" w:eastAsia="仿宋"/>
          <w:sz w:val="28"/>
          <w:szCs w:val="28"/>
          <w:highlight w:val="none"/>
        </w:rPr>
        <w:t>（九）卷宗材料归档：装订完毕的卷宗，与相关业务部门共同归档，并办理归档交接清单。</w:t>
      </w:r>
    </w:p>
    <w:p w14:paraId="141E11EA">
      <w:pPr>
        <w:spacing w:line="500" w:lineRule="exact"/>
        <w:ind w:firstLine="560" w:firstLineChars="200"/>
        <w:rPr>
          <w:rFonts w:hint="eastAsia" w:ascii="仿宋" w:hAnsi="仿宋" w:eastAsia="仿宋"/>
          <w:sz w:val="28"/>
          <w:szCs w:val="28"/>
          <w:highlight w:val="none"/>
        </w:rPr>
      </w:pPr>
      <w:r>
        <w:rPr>
          <w:rFonts w:hint="eastAsia" w:ascii="仿宋" w:hAnsi="仿宋" w:eastAsia="仿宋"/>
          <w:sz w:val="28"/>
          <w:szCs w:val="28"/>
          <w:highlight w:val="none"/>
        </w:rPr>
        <w:t xml:space="preserve">(十)安全保密要求:严格遵守法院的有关保密规定，确保工作正常秩序和安全，确保档案信息安全,不得遗失、损坏卷宗。主要包含以下几个方面: </w:t>
      </w:r>
    </w:p>
    <w:p w14:paraId="5974976E">
      <w:pPr>
        <w:spacing w:line="500" w:lineRule="exact"/>
        <w:ind w:firstLine="560" w:firstLineChars="200"/>
        <w:rPr>
          <w:rFonts w:hint="eastAsia" w:ascii="仿宋" w:hAnsi="仿宋" w:eastAsia="仿宋"/>
          <w:sz w:val="28"/>
          <w:szCs w:val="28"/>
          <w:highlight w:val="none"/>
        </w:rPr>
      </w:pPr>
      <w:r>
        <w:rPr>
          <w:rFonts w:hint="eastAsia" w:ascii="仿宋" w:hAnsi="仿宋" w:eastAsia="仿宋"/>
          <w:sz w:val="28"/>
          <w:szCs w:val="28"/>
          <w:highlight w:val="none"/>
        </w:rPr>
        <w:t xml:space="preserve">1. 成交供应商须在合同中进行责任约定(保密安全协议另签)，成交供应商在工作期间必须遵守任务相关保密制度; </w:t>
      </w:r>
    </w:p>
    <w:p w14:paraId="5D290261">
      <w:pPr>
        <w:spacing w:line="500" w:lineRule="exact"/>
        <w:ind w:firstLine="560" w:firstLineChars="200"/>
        <w:rPr>
          <w:rFonts w:hint="eastAsia" w:ascii="仿宋" w:hAnsi="仿宋" w:eastAsia="仿宋"/>
          <w:sz w:val="28"/>
          <w:szCs w:val="28"/>
          <w:highlight w:val="none"/>
        </w:rPr>
      </w:pPr>
      <w:r>
        <w:rPr>
          <w:rFonts w:hint="eastAsia" w:ascii="仿宋" w:hAnsi="仿宋" w:eastAsia="仿宋"/>
          <w:sz w:val="28"/>
          <w:szCs w:val="28"/>
          <w:highlight w:val="none"/>
        </w:rPr>
        <w:t xml:space="preserve">2. 建立严格的保密制度,加强管理，杜绝工作人员对卷宗及卷宗信息的私自复制行为; </w:t>
      </w:r>
    </w:p>
    <w:p w14:paraId="0A0208BD">
      <w:pPr>
        <w:spacing w:line="500" w:lineRule="exact"/>
        <w:ind w:firstLine="560" w:firstLineChars="200"/>
        <w:rPr>
          <w:rFonts w:hint="eastAsia" w:ascii="仿宋" w:hAnsi="仿宋" w:eastAsia="仿宋"/>
          <w:sz w:val="28"/>
          <w:szCs w:val="28"/>
          <w:highlight w:val="none"/>
        </w:rPr>
      </w:pPr>
      <w:r>
        <w:rPr>
          <w:rFonts w:hint="eastAsia" w:ascii="仿宋" w:hAnsi="仿宋" w:eastAsia="仿宋"/>
          <w:sz w:val="28"/>
          <w:szCs w:val="28"/>
          <w:highlight w:val="none"/>
        </w:rPr>
        <w:t>3. 工作人员不得以任何形式将各项档案资料带出指定工作现场,不得以任何形式</w:t>
      </w:r>
      <w:r>
        <w:rPr>
          <w:rFonts w:hint="eastAsia" w:ascii="仿宋" w:hAnsi="仿宋" w:eastAsia="仿宋"/>
          <w:sz w:val="28"/>
          <w:szCs w:val="28"/>
          <w:highlight w:val="none"/>
          <w:lang w:eastAsia="zh-CN"/>
        </w:rPr>
        <w:t>进行泄漏</w:t>
      </w:r>
      <w:r>
        <w:rPr>
          <w:rFonts w:hint="eastAsia" w:ascii="仿宋" w:hAnsi="仿宋" w:eastAsia="仿宋"/>
          <w:sz w:val="28"/>
          <w:szCs w:val="28"/>
          <w:highlight w:val="none"/>
        </w:rPr>
        <w:t>、传播，不得无故查看及讨论档案内容；</w:t>
      </w:r>
    </w:p>
    <w:p w14:paraId="66C351C0">
      <w:pPr>
        <w:spacing w:line="500" w:lineRule="exact"/>
        <w:ind w:firstLine="560" w:firstLineChars="200"/>
        <w:rPr>
          <w:rFonts w:hint="eastAsia" w:ascii="仿宋" w:hAnsi="仿宋" w:eastAsia="仿宋"/>
          <w:sz w:val="28"/>
          <w:szCs w:val="28"/>
          <w:highlight w:val="none"/>
        </w:rPr>
      </w:pPr>
      <w:r>
        <w:rPr>
          <w:rFonts w:hint="eastAsia" w:ascii="仿宋" w:hAnsi="仿宋" w:eastAsia="仿宋"/>
          <w:sz w:val="28"/>
          <w:szCs w:val="28"/>
          <w:highlight w:val="none"/>
        </w:rPr>
        <w:t>4. 成交供应商在法院工作期间必须遵守采购人相关保密制度。</w:t>
      </w:r>
    </w:p>
    <w:p w14:paraId="345DEA33">
      <w:pPr>
        <w:spacing w:line="500" w:lineRule="exact"/>
        <w:ind w:firstLine="560" w:firstLineChars="200"/>
        <w:outlineLvl w:val="1"/>
        <w:rPr>
          <w:rFonts w:hint="eastAsia" w:ascii="黑体" w:hAnsi="黑体" w:eastAsia="黑体"/>
          <w:sz w:val="28"/>
          <w:szCs w:val="28"/>
          <w:highlight w:val="none"/>
          <w:lang w:val="en-US" w:eastAsia="zh-CN"/>
        </w:rPr>
      </w:pPr>
      <w:bookmarkStart w:id="67" w:name="_Toc24056"/>
      <w:bookmarkStart w:id="68" w:name="_Toc25620"/>
      <w:bookmarkStart w:id="69" w:name="_Toc11882"/>
      <w:r>
        <w:rPr>
          <w:rFonts w:hint="eastAsia" w:ascii="黑体" w:hAnsi="黑体" w:eastAsia="黑体"/>
          <w:sz w:val="28"/>
          <w:szCs w:val="28"/>
          <w:highlight w:val="none"/>
        </w:rPr>
        <w:t>四、</w:t>
      </w:r>
      <w:bookmarkEnd w:id="67"/>
      <w:bookmarkEnd w:id="68"/>
      <w:bookmarkStart w:id="70" w:name="_Toc16092"/>
      <w:bookmarkStart w:id="71" w:name="_Toc32261"/>
      <w:r>
        <w:rPr>
          <w:rFonts w:hint="eastAsia" w:ascii="黑体" w:hAnsi="黑体" w:eastAsia="黑体"/>
          <w:sz w:val="28"/>
          <w:szCs w:val="28"/>
          <w:highlight w:val="none"/>
          <w:lang w:val="en-US" w:eastAsia="zh-CN"/>
        </w:rPr>
        <w:t>服务标准</w:t>
      </w:r>
      <w:bookmarkEnd w:id="69"/>
      <w:bookmarkEnd w:id="70"/>
      <w:bookmarkEnd w:id="71"/>
    </w:p>
    <w:p w14:paraId="2C8B26AA">
      <w:pPr>
        <w:spacing w:line="500" w:lineRule="exact"/>
        <w:ind w:firstLine="560" w:firstLineChars="200"/>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纸质材料扫描要求供应商需根据电子卷宗随案同步生成服务的需求提供各岗位服务流程及标准。统一着正装，挂牌上岗.</w:t>
      </w:r>
    </w:p>
    <w:p w14:paraId="587DC1C1">
      <w:pPr>
        <w:spacing w:line="500" w:lineRule="exact"/>
        <w:ind w:firstLine="560" w:firstLineChars="200"/>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（一）材料电子化标准</w:t>
      </w:r>
    </w:p>
    <w:p w14:paraId="04AC93B0">
      <w:pPr>
        <w:spacing w:line="500" w:lineRule="exact"/>
        <w:ind w:firstLine="560" w:firstLineChars="200"/>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（1）</w:t>
      </w:r>
      <w:r>
        <w:rPr>
          <w:rFonts w:hint="eastAsia" w:ascii="仿宋" w:hAnsi="仿宋" w:eastAsia="仿宋" w:cs="Times New Roman"/>
          <w:color w:val="auto"/>
          <w:sz w:val="28"/>
          <w:szCs w:val="28"/>
          <w:highlight w:val="none"/>
          <w:lang w:eastAsia="zh-CN"/>
        </w:rPr>
        <w:t>扫描影像保持原档方向，全部纸质诉讼档案统一采用全彩色模式扫描，未经采购人书面同意，不得采用黑白二值、灰度模式扫描，标准分辨率：≥300DPI</w:t>
      </w:r>
      <w:r>
        <w:rPr>
          <w:rFonts w:hint="eastAsia" w:ascii="仿宋" w:hAnsi="仿宋" w:eastAsia="仿宋" w:cs="Times New Roman"/>
          <w:color w:val="auto"/>
          <w:sz w:val="28"/>
          <w:szCs w:val="28"/>
          <w:highlight w:val="none"/>
        </w:rPr>
        <w:t>。</w:t>
      </w:r>
    </w:p>
    <w:p w14:paraId="35A2DB89">
      <w:pPr>
        <w:spacing w:line="500" w:lineRule="exact"/>
        <w:ind w:firstLine="560" w:firstLineChars="200"/>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（2）标准文件格式：</w:t>
      </w:r>
      <w:r>
        <w:rPr>
          <w:rFonts w:hint="eastAsia" w:ascii="仿宋" w:hAnsi="仿宋" w:eastAsia="仿宋" w:cs="Times New Roman"/>
          <w:color w:val="auto"/>
          <w:sz w:val="28"/>
          <w:szCs w:val="28"/>
          <w:highlight w:val="none"/>
          <w:lang w:eastAsia="zh-CN"/>
        </w:rPr>
        <w:t>采用未加密的单页 JPG 格式，并且能永久留存。对外提供查询应用时，可以转存为 PDF 等其他格式</w:t>
      </w:r>
      <w:r>
        <w:rPr>
          <w:rFonts w:hint="eastAsia" w:ascii="仿宋" w:hAnsi="仿宋" w:eastAsia="仿宋" w:cs="Times New Roman"/>
          <w:color w:val="auto"/>
          <w:sz w:val="28"/>
          <w:szCs w:val="28"/>
          <w:highlight w:val="none"/>
        </w:rPr>
        <w:t>。</w:t>
      </w:r>
    </w:p>
    <w:p w14:paraId="23CED162">
      <w:pPr>
        <w:spacing w:line="500" w:lineRule="exact"/>
        <w:ind w:firstLine="560" w:firstLineChars="200"/>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（3）根据数据交换规则设置扫描影像的输出存放位置。</w:t>
      </w:r>
    </w:p>
    <w:p w14:paraId="2EAB6A3A">
      <w:pPr>
        <w:spacing w:line="500" w:lineRule="exact"/>
        <w:ind w:firstLine="560" w:firstLineChars="200"/>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（4）对于封面、内页、手写诉状或发票等各类不同材料，需用不同比例或是扫描方法进行扫描，确保与纸质诉讼档案规格保持一致。</w:t>
      </w:r>
    </w:p>
    <w:p w14:paraId="4B758D59">
      <w:pPr>
        <w:spacing w:line="500" w:lineRule="exact"/>
        <w:ind w:firstLine="560" w:firstLineChars="200"/>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（5）扫描的电子数据应与纸质材料页数相符，确保无重扫、漏扫、多扫，同时要确保图像清晰、完整。</w:t>
      </w:r>
    </w:p>
    <w:p w14:paraId="67BA2800">
      <w:pPr>
        <w:spacing w:line="500" w:lineRule="exact"/>
        <w:ind w:firstLine="560" w:firstLineChars="200"/>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（6）在保证影像质量的前提下，以尽量减少存储容量为准则。</w:t>
      </w:r>
    </w:p>
    <w:p w14:paraId="3B62AA56">
      <w:pPr>
        <w:spacing w:line="500" w:lineRule="exact"/>
        <w:ind w:firstLine="560" w:firstLineChars="200"/>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（7）纸质材料模糊不清的文件应在电子图片上备注“原件不清”字样，做相应提醒。</w:t>
      </w:r>
    </w:p>
    <w:p w14:paraId="50A4EEAE">
      <w:pPr>
        <w:spacing w:line="500" w:lineRule="exact"/>
        <w:ind w:firstLine="560" w:firstLineChars="200"/>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w:t>
      </w:r>
      <w:r>
        <w:rPr>
          <w:rFonts w:hint="eastAsia" w:ascii="仿宋" w:hAnsi="仿宋" w:eastAsia="仿宋" w:cs="Times New Roman"/>
          <w:color w:val="auto"/>
          <w:sz w:val="28"/>
          <w:szCs w:val="28"/>
          <w:highlight w:val="none"/>
          <w:lang w:val="en-US" w:eastAsia="zh-CN"/>
        </w:rPr>
        <w:t>8</w:t>
      </w:r>
      <w:r>
        <w:rPr>
          <w:rFonts w:hint="eastAsia" w:ascii="仿宋" w:hAnsi="仿宋" w:eastAsia="仿宋" w:cs="Times New Roman"/>
          <w:color w:val="auto"/>
          <w:sz w:val="28"/>
          <w:szCs w:val="28"/>
          <w:highlight w:val="none"/>
        </w:rPr>
        <w:t>）根据档案幅面的大小和纸张状况，选择相应扫描仪。其中大幅面档案需采用大幅面扫描仪，不可以采用小幅面扫描后的图像拼接方式处理；同页有两个以上文件，需分别扫描，并进行并页处理。</w:t>
      </w:r>
    </w:p>
    <w:p w14:paraId="5D87FD85">
      <w:pPr>
        <w:spacing w:line="500" w:lineRule="exact"/>
        <w:ind w:firstLine="560" w:firstLineChars="200"/>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w:t>
      </w:r>
      <w:r>
        <w:rPr>
          <w:rFonts w:hint="eastAsia" w:ascii="仿宋" w:hAnsi="仿宋" w:eastAsia="仿宋" w:cs="Times New Roman"/>
          <w:color w:val="auto"/>
          <w:sz w:val="28"/>
          <w:szCs w:val="28"/>
          <w:highlight w:val="none"/>
          <w:lang w:val="en-US" w:eastAsia="zh-CN"/>
        </w:rPr>
        <w:t>9</w:t>
      </w:r>
      <w:r>
        <w:rPr>
          <w:rFonts w:hint="eastAsia" w:ascii="仿宋" w:hAnsi="仿宋" w:eastAsia="仿宋" w:cs="Times New Roman"/>
          <w:color w:val="auto"/>
          <w:sz w:val="28"/>
          <w:szCs w:val="28"/>
          <w:highlight w:val="none"/>
        </w:rPr>
        <w:t>）在原件上没有明显质量问题时，所产生的影像文件不应产生黑边、模糊、偏斜等质量问题，对于影响图像质量的非原始性的黑线、黑点（如装订孔等）要进行修补。</w:t>
      </w:r>
    </w:p>
    <w:p w14:paraId="49CD2F8C">
      <w:pPr>
        <w:spacing w:line="500" w:lineRule="exact"/>
        <w:ind w:firstLine="560" w:firstLineChars="200"/>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（二）图像处理要求</w:t>
      </w:r>
    </w:p>
    <w:p w14:paraId="6CDA810B">
      <w:pPr>
        <w:spacing w:line="500" w:lineRule="exact"/>
        <w:ind w:firstLine="560" w:firstLineChars="200"/>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对扫描的影像文件进行处理，提高扫描文件的质量。具体要求如下：</w:t>
      </w:r>
    </w:p>
    <w:p w14:paraId="07214E6F">
      <w:pPr>
        <w:spacing w:line="500" w:lineRule="exact"/>
        <w:ind w:firstLine="560" w:firstLineChars="200"/>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（1）处理过程中应遵循在不影响可懂度的前提下展现档案原貌的原则。</w:t>
      </w:r>
    </w:p>
    <w:p w14:paraId="3B71D153">
      <w:pPr>
        <w:spacing w:line="500" w:lineRule="exact"/>
        <w:ind w:firstLine="560" w:firstLineChars="200"/>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2）应对扫描后的图像进行逐页纠偏、去污、图像拼接、裁边处理和排列顺序调整。对工程蓝图进行消蓝处理、对传真件、复印件、红兰章等进行特殊图像处理，图像偏度小于1度（以标题所在水平线为准），图像拼接处信息要完整，不能缺少遗漏任何信息内容。</w:t>
      </w:r>
    </w:p>
    <w:p w14:paraId="3B9B678A">
      <w:pPr>
        <w:spacing w:line="500" w:lineRule="exact"/>
        <w:ind w:firstLine="560" w:firstLineChars="200"/>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（3）在原件上没有明显质量问题时，所产生的影像文件不应产生黑边、模糊、偏斜等质量问题，对于影响图像质量的非原始性的杂质，如黑点（如装订孔等）、黑线、黑框、黑边等应进行去污、修补处理。</w:t>
      </w:r>
    </w:p>
    <w:p w14:paraId="7177101B">
      <w:pPr>
        <w:spacing w:line="500" w:lineRule="exact"/>
        <w:ind w:firstLine="560" w:firstLineChars="200"/>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（4）扫描影像的排列顺序与档案原件不一致时，应及时进行调整。</w:t>
      </w:r>
    </w:p>
    <w:p w14:paraId="0F4A9C64">
      <w:pPr>
        <w:spacing w:line="500" w:lineRule="exact"/>
        <w:ind w:firstLine="560" w:firstLineChars="200"/>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5）对偏斜的图像进行纠偏处理，要求偏斜度小于1度（以标题所在水平线为准）；对方向不正确的图像应进行旋转还原，以符合阅读习惯。对如下材料扫描后要特殊处理：各种结论和审批性材料（收件收据，存根，审批表等），各种文件中印章信息，例如：日期、单位印章，合同文件中的各类印章等；身份证等各类复印件；各种手写、复写的信息，如收据、发票，复写或手写的明细表；字体小且字迹较模糊的蓝图原件或图纸复印件；旧契证、契证照片等历史时期较长的复印资料；其它因纸张、字迹等因素不清晰的文件等。</w:t>
      </w:r>
    </w:p>
    <w:p w14:paraId="19BD5574">
      <w:pPr>
        <w:spacing w:line="500" w:lineRule="exact"/>
        <w:ind w:firstLine="560" w:firstLineChars="200"/>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（6）扫描页面内容居中显示，不可出现明显偏左或偏右的现象，正文内容、页眉、页脚反面印章、附件、手写注释等信息完整；图像内容与原件完全对应，不得出现内容残缺或将旁页信息扫如本页的现象。</w:t>
      </w:r>
    </w:p>
    <w:p w14:paraId="14A597BD">
      <w:pPr>
        <w:spacing w:line="500" w:lineRule="exact"/>
        <w:ind w:firstLine="560" w:firstLineChars="200"/>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（7）采用彩色模式扫描的图像应进行裁边处理，去除多余的白边，以减小图像文件的容量。</w:t>
      </w:r>
    </w:p>
    <w:p w14:paraId="76F7A687">
      <w:pPr>
        <w:spacing w:line="500" w:lineRule="exact"/>
        <w:ind w:firstLine="560" w:firstLineChars="200"/>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（8）扫描图像字迹清晰、颜色恰当，不宜过浅和过深；不得出现字迹笔画残缺或字迹笔画叠合而影响阅读的情况，</w:t>
      </w:r>
      <w:r>
        <w:rPr>
          <w:rFonts w:hint="eastAsia" w:ascii="仿宋" w:hAnsi="仿宋" w:eastAsia="仿宋" w:cs="Times New Roman"/>
          <w:color w:val="auto"/>
          <w:sz w:val="28"/>
          <w:szCs w:val="28"/>
          <w:highlight w:val="none"/>
          <w:lang w:eastAsia="zh-CN"/>
        </w:rPr>
        <w:t>即使原件存在锈斑变质</w:t>
      </w:r>
      <w:r>
        <w:rPr>
          <w:rFonts w:hint="eastAsia" w:ascii="仿宋" w:hAnsi="仿宋" w:eastAsia="仿宋" w:cs="Times New Roman"/>
          <w:color w:val="auto"/>
          <w:sz w:val="28"/>
          <w:szCs w:val="28"/>
          <w:highlight w:val="none"/>
        </w:rPr>
        <w:t>、颜色深浅不一致，应保证扫描图像可读。</w:t>
      </w:r>
    </w:p>
    <w:p w14:paraId="5A45CAFE">
      <w:pPr>
        <w:spacing w:line="500" w:lineRule="exact"/>
        <w:ind w:firstLine="560" w:firstLineChars="200"/>
        <w:outlineLvl w:val="1"/>
        <w:rPr>
          <w:rFonts w:hint="eastAsia" w:ascii="黑体" w:hAnsi="黑体" w:eastAsia="黑体" w:cs="Times New Roman"/>
          <w:sz w:val="28"/>
          <w:szCs w:val="28"/>
          <w:highlight w:val="none"/>
        </w:rPr>
      </w:pPr>
      <w:bookmarkStart w:id="72" w:name="_Toc8323"/>
      <w:bookmarkStart w:id="73" w:name="_Toc30423"/>
      <w:bookmarkStart w:id="74" w:name="_Toc11848"/>
      <w:r>
        <w:rPr>
          <w:rFonts w:hint="eastAsia" w:ascii="黑体" w:hAnsi="黑体" w:eastAsia="黑体" w:cs="Times New Roman"/>
          <w:sz w:val="28"/>
          <w:szCs w:val="28"/>
          <w:highlight w:val="none"/>
          <w:lang w:val="en-US" w:eastAsia="zh-CN"/>
        </w:rPr>
        <w:t>五、</w:t>
      </w:r>
      <w:r>
        <w:rPr>
          <w:rFonts w:hint="eastAsia" w:ascii="黑体" w:hAnsi="黑体" w:eastAsia="黑体" w:cs="Times New Roman"/>
          <w:sz w:val="28"/>
          <w:szCs w:val="28"/>
          <w:highlight w:val="none"/>
        </w:rPr>
        <w:t>人员配置要求</w:t>
      </w:r>
      <w:bookmarkEnd w:id="72"/>
      <w:bookmarkEnd w:id="73"/>
      <w:bookmarkEnd w:id="74"/>
    </w:p>
    <w:p w14:paraId="28578B92">
      <w:pPr>
        <w:spacing w:line="500" w:lineRule="exact"/>
        <w:ind w:firstLine="560" w:firstLineChars="200"/>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rPr>
        <w:t>（一）</w:t>
      </w:r>
      <w:r>
        <w:rPr>
          <w:rFonts w:hint="eastAsia" w:ascii="仿宋" w:hAnsi="仿宋" w:eastAsia="仿宋" w:cs="Times New Roman"/>
          <w:b/>
          <w:bCs/>
          <w:sz w:val="28"/>
          <w:szCs w:val="28"/>
          <w:highlight w:val="none"/>
        </w:rPr>
        <w:t>响应供应商投入本项目的人员不少于12人，且为响应供应商的正式员工。</w:t>
      </w:r>
      <w:r>
        <w:rPr>
          <w:rFonts w:hint="eastAsia" w:ascii="仿宋" w:hAnsi="仿宋" w:eastAsia="仿宋" w:cs="Times New Roman"/>
          <w:b/>
          <w:bCs/>
          <w:sz w:val="28"/>
          <w:szCs w:val="28"/>
          <w:highlight w:val="none"/>
          <w:lang w:val="en-US" w:eastAsia="zh-CN"/>
        </w:rPr>
        <w:t>响应文件中</w:t>
      </w:r>
      <w:r>
        <w:rPr>
          <w:rFonts w:hint="eastAsia" w:ascii="仿宋" w:hAnsi="仿宋" w:eastAsia="仿宋" w:cs="Times New Roman"/>
          <w:b/>
          <w:bCs/>
          <w:sz w:val="28"/>
          <w:szCs w:val="28"/>
          <w:highlight w:val="none"/>
        </w:rPr>
        <w:t>须提供人员简历表、有效身份证的复印件(正、反面)和响应文件提交截止日前近</w:t>
      </w:r>
      <w:r>
        <w:rPr>
          <w:rFonts w:hint="eastAsia" w:ascii="仿宋" w:hAnsi="仿宋" w:eastAsia="仿宋" w:cs="Times New Roman"/>
          <w:b/>
          <w:bCs/>
          <w:sz w:val="28"/>
          <w:szCs w:val="28"/>
          <w:highlight w:val="none"/>
          <w:lang w:val="en-US" w:eastAsia="zh-CN"/>
        </w:rPr>
        <w:t>1</w:t>
      </w:r>
      <w:r>
        <w:rPr>
          <w:rFonts w:hint="eastAsia" w:ascii="仿宋" w:hAnsi="仿宋" w:eastAsia="仿宋" w:cs="Times New Roman"/>
          <w:b/>
          <w:bCs/>
          <w:sz w:val="28"/>
          <w:szCs w:val="28"/>
          <w:highlight w:val="none"/>
        </w:rPr>
        <w:t>个月供应商为其缴纳的社保证明。响应文件提交截止日前</w:t>
      </w:r>
      <w:r>
        <w:rPr>
          <w:rFonts w:hint="eastAsia" w:ascii="仿宋" w:hAnsi="仿宋" w:eastAsia="仿宋" w:cs="Times New Roman"/>
          <w:b/>
          <w:bCs/>
          <w:sz w:val="28"/>
          <w:szCs w:val="28"/>
          <w:highlight w:val="none"/>
          <w:lang w:val="en-US" w:eastAsia="zh-CN"/>
        </w:rPr>
        <w:t>入职不足1个月人员须提供劳动合同。</w:t>
      </w:r>
      <w:r>
        <w:rPr>
          <w:rFonts w:hint="eastAsia" w:ascii="仿宋" w:hAnsi="仿宋" w:eastAsia="仿宋" w:cs="Times New Roman"/>
          <w:b/>
          <w:bCs/>
          <w:sz w:val="28"/>
          <w:szCs w:val="28"/>
          <w:highlight w:val="none"/>
        </w:rPr>
        <w:t>响应文件提交截止日前成立不足</w:t>
      </w:r>
      <w:r>
        <w:rPr>
          <w:rFonts w:hint="eastAsia" w:ascii="仿宋" w:hAnsi="仿宋" w:eastAsia="仿宋" w:cs="Times New Roman"/>
          <w:b/>
          <w:bCs/>
          <w:sz w:val="28"/>
          <w:szCs w:val="28"/>
          <w:highlight w:val="none"/>
          <w:lang w:val="en-US" w:eastAsia="zh-CN"/>
        </w:rPr>
        <w:t>3</w:t>
      </w:r>
      <w:r>
        <w:rPr>
          <w:rFonts w:hint="eastAsia" w:ascii="仿宋" w:hAnsi="仿宋" w:eastAsia="仿宋" w:cs="Times New Roman"/>
          <w:b/>
          <w:bCs/>
          <w:sz w:val="28"/>
          <w:szCs w:val="28"/>
          <w:highlight w:val="none"/>
        </w:rPr>
        <w:t>个月的新办企业只须提供社保缴纳名册（名册中包含投入本项目的人员）；新成立企业距响应文件提交截止日不足30日的，可不提供社保证明材料（以新办企业营业执照发放日期为准）</w:t>
      </w:r>
      <w:r>
        <w:rPr>
          <w:rFonts w:hint="eastAsia" w:ascii="仿宋" w:hAnsi="仿宋" w:eastAsia="仿宋" w:cs="Times New Roman"/>
          <w:b/>
          <w:bCs/>
          <w:sz w:val="28"/>
          <w:szCs w:val="28"/>
          <w:highlight w:val="none"/>
          <w:lang w:eastAsia="zh-CN"/>
        </w:rPr>
        <w:t>，</w:t>
      </w:r>
      <w:r>
        <w:rPr>
          <w:rFonts w:hint="eastAsia" w:ascii="仿宋" w:hAnsi="仿宋" w:eastAsia="仿宋" w:cs="Times New Roman"/>
          <w:b/>
          <w:bCs/>
          <w:sz w:val="28"/>
          <w:szCs w:val="28"/>
          <w:highlight w:val="none"/>
          <w:lang w:val="en-US" w:eastAsia="zh-CN"/>
        </w:rPr>
        <w:t>未提供视为无效响应</w:t>
      </w:r>
      <w:r>
        <w:rPr>
          <w:rFonts w:hint="eastAsia" w:ascii="仿宋" w:hAnsi="仿宋" w:eastAsia="仿宋" w:cs="Times New Roman"/>
          <w:b/>
          <w:bCs/>
          <w:sz w:val="28"/>
          <w:szCs w:val="28"/>
          <w:highlight w:val="none"/>
          <w:lang w:eastAsia="zh-CN"/>
        </w:rPr>
        <w:t>。</w:t>
      </w:r>
    </w:p>
    <w:p w14:paraId="30333F04">
      <w:pPr>
        <w:spacing w:line="500" w:lineRule="exact"/>
        <w:ind w:firstLine="560" w:firstLineChars="200"/>
        <w:rPr>
          <w:rFonts w:hint="eastAsia"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（二）</w:t>
      </w:r>
      <w:r>
        <w:rPr>
          <w:rFonts w:hint="eastAsia" w:ascii="仿宋" w:hAnsi="仿宋" w:eastAsia="仿宋" w:cs="Times New Roman"/>
          <w:color w:val="auto"/>
          <w:sz w:val="28"/>
          <w:szCs w:val="28"/>
          <w:highlight w:val="none"/>
          <w:lang w:eastAsia="zh-CN"/>
        </w:rPr>
        <w:t>成交供应商</w:t>
      </w:r>
      <w:r>
        <w:rPr>
          <w:rFonts w:hint="eastAsia" w:ascii="仿宋" w:hAnsi="仿宋" w:eastAsia="仿宋" w:cs="Times New Roman"/>
          <w:color w:val="auto"/>
          <w:sz w:val="28"/>
          <w:szCs w:val="28"/>
          <w:highlight w:val="none"/>
        </w:rPr>
        <w:t>驻场工作人员</w:t>
      </w:r>
      <w:r>
        <w:rPr>
          <w:rFonts w:hint="eastAsia" w:ascii="仿宋" w:hAnsi="仿宋" w:eastAsia="仿宋" w:cs="Times New Roman"/>
          <w:color w:val="auto"/>
          <w:sz w:val="28"/>
          <w:szCs w:val="28"/>
          <w:highlight w:val="none"/>
          <w:lang w:val="en-US" w:eastAsia="zh-CN"/>
        </w:rPr>
        <w:t>要求</w:t>
      </w:r>
    </w:p>
    <w:p w14:paraId="7A66E225">
      <w:pPr>
        <w:spacing w:line="500" w:lineRule="exact"/>
        <w:ind w:firstLine="560" w:firstLineChars="200"/>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rPr>
        <w:t>1.</w:t>
      </w:r>
      <w:r>
        <w:rPr>
          <w:rFonts w:hint="eastAsia" w:ascii="仿宋" w:hAnsi="仿宋" w:eastAsia="仿宋" w:cs="Times New Roman"/>
          <w:color w:val="auto"/>
          <w:sz w:val="28"/>
          <w:szCs w:val="28"/>
          <w:highlight w:val="none"/>
          <w:lang w:eastAsia="zh-CN"/>
        </w:rPr>
        <w:t>具备高中及以上学历（含中专）</w:t>
      </w:r>
      <w:r>
        <w:rPr>
          <w:rFonts w:hint="eastAsia" w:ascii="仿宋" w:hAnsi="仿宋" w:eastAsia="仿宋" w:cs="Times New Roman"/>
          <w:color w:val="auto"/>
          <w:sz w:val="28"/>
          <w:szCs w:val="28"/>
          <w:highlight w:val="none"/>
        </w:rPr>
        <w:t>，能够熟练操作使用计算机和扫描设备；</w:t>
      </w:r>
    </w:p>
    <w:p w14:paraId="214F8716">
      <w:pPr>
        <w:spacing w:line="500" w:lineRule="exact"/>
        <w:ind w:firstLine="560" w:firstLineChars="200"/>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rPr>
        <w:t>2.</w:t>
      </w:r>
      <w:r>
        <w:rPr>
          <w:rFonts w:hint="eastAsia" w:ascii="仿宋" w:hAnsi="仿宋" w:eastAsia="仿宋" w:cs="Times New Roman"/>
          <w:color w:val="auto"/>
          <w:sz w:val="28"/>
          <w:szCs w:val="28"/>
          <w:highlight w:val="none"/>
        </w:rPr>
        <w:t>通过培训能熟悉立案、审理、结案归档等流程，以及对案件相关材料的辨别整理工作；</w:t>
      </w:r>
    </w:p>
    <w:p w14:paraId="047C8161">
      <w:pPr>
        <w:spacing w:line="500" w:lineRule="exact"/>
        <w:ind w:firstLine="560" w:firstLineChars="200"/>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rPr>
        <w:t>3.</w:t>
      </w:r>
      <w:r>
        <w:rPr>
          <w:rFonts w:hint="eastAsia" w:ascii="仿宋" w:hAnsi="仿宋" w:eastAsia="仿宋" w:cs="Times New Roman"/>
          <w:color w:val="auto"/>
          <w:sz w:val="28"/>
          <w:szCs w:val="28"/>
          <w:highlight w:val="none"/>
        </w:rPr>
        <w:t>通过政治审查，本人及其直系亲属在本院无未结执行案件；</w:t>
      </w:r>
    </w:p>
    <w:p w14:paraId="08AE081B">
      <w:pPr>
        <w:spacing w:line="500" w:lineRule="exact"/>
        <w:ind w:firstLine="560" w:firstLineChars="200"/>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rPr>
        <w:t>4.</w:t>
      </w:r>
      <w:r>
        <w:rPr>
          <w:rFonts w:hint="eastAsia" w:ascii="仿宋" w:hAnsi="仿宋" w:eastAsia="仿宋" w:cs="Times New Roman"/>
          <w:color w:val="auto"/>
          <w:sz w:val="28"/>
          <w:szCs w:val="28"/>
          <w:highlight w:val="none"/>
        </w:rPr>
        <w:t>工作责任心强，服务热情周到，服从工作安排。</w:t>
      </w:r>
    </w:p>
    <w:p w14:paraId="44F746B4">
      <w:pPr>
        <w:spacing w:line="500" w:lineRule="exact"/>
        <w:ind w:firstLine="560" w:firstLineChars="200"/>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rPr>
        <w:t>5.</w:t>
      </w:r>
      <w:r>
        <w:rPr>
          <w:rFonts w:hint="eastAsia" w:ascii="仿宋" w:hAnsi="仿宋" w:eastAsia="仿宋" w:cs="Times New Roman"/>
          <w:color w:val="auto"/>
          <w:sz w:val="28"/>
          <w:szCs w:val="28"/>
          <w:highlight w:val="none"/>
        </w:rPr>
        <w:t>为保证工作质量和人员稳定性，供应商需为进场人员按月足额缴纳社保，并确保驻场服务人员在法院连续工作时间不能少于6个月。</w:t>
      </w:r>
    </w:p>
    <w:p w14:paraId="7D029717">
      <w:pPr>
        <w:spacing w:line="500" w:lineRule="exact"/>
        <w:ind w:firstLine="560" w:firstLineChars="200"/>
        <w:rPr>
          <w:rFonts w:hint="eastAsia"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三）成交供应商需明确一名驻场负责人，以及三个小组各一名组长。负责与采购人就进场人员管理等相关事宜进行沟通、联系。成交供应商进场工作人员需严格遵守采购人的日常管理要求，在采购人正常工作时间内严格上下班和考勤制度，严禁无故缺勤、迟到、早退，如成交供应商进场员工有特殊情况不能上班的，需提前经采购人书面批准，并且成交供应商需另行安排人员补充到相应岗位，不得影响采购人正常工作开展。每季度结算时，成交供应商可根据员工考勤记录(上班签到、下班签退）情况按实结算。成交供应商周六、周日实行弹性上班制度，如成交供应商不能及时完成卷宗扫描、挂接及中间库卷宗扫描、排序、管理、打印页码、装订归档等服务的，成交供应商需在周末或者平时工作日下班后安排人员加班。</w:t>
      </w:r>
    </w:p>
    <w:p w14:paraId="601741AC">
      <w:pPr>
        <w:spacing w:line="500" w:lineRule="exact"/>
        <w:ind w:firstLine="560" w:firstLineChars="200"/>
        <w:rPr>
          <w:rFonts w:hint="eastAsia"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四）原则上，未经法院允许,驻法院工作人员不得随意更换，确有特殊情况离开本院应提前1个月通知,替换人员与原工作人员交接时间不少于15天，新进人员须在10个工作日内完全掌握系统的使用和维护。如采购人提出服务人员不符合要求，服务公司必须在7日内更换维护人员,不得拒绝；</w:t>
      </w:r>
    </w:p>
    <w:p w14:paraId="4AB0A4A5">
      <w:pPr>
        <w:spacing w:line="500" w:lineRule="exact"/>
        <w:ind w:firstLine="560" w:firstLineChars="200"/>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rPr>
        <w:t>（五）对未按岗位职责要求进行服务的，采购人有权对服务公司进行处罚，处罚金额上限为服务费的10%。对发生事故并造成财产损失的，采购人有权要求赔偿。</w:t>
      </w:r>
    </w:p>
    <w:p w14:paraId="6DC94367">
      <w:pPr>
        <w:spacing w:line="500" w:lineRule="exact"/>
        <w:ind w:firstLine="560" w:firstLineChars="200"/>
        <w:outlineLvl w:val="1"/>
        <w:rPr>
          <w:rFonts w:hint="default" w:ascii="仿宋" w:hAnsi="仿宋" w:eastAsia="黑体" w:cs="Times New Roman"/>
          <w:color w:val="auto"/>
          <w:sz w:val="28"/>
          <w:szCs w:val="28"/>
          <w:highlight w:val="none"/>
          <w:lang w:val="en-US" w:eastAsia="zh-CN"/>
        </w:rPr>
      </w:pPr>
      <w:bookmarkStart w:id="75" w:name="_Toc24606"/>
      <w:bookmarkStart w:id="76" w:name="_Toc24846"/>
      <w:r>
        <w:rPr>
          <w:rFonts w:hint="eastAsia" w:ascii="黑体" w:hAnsi="黑体" w:eastAsia="黑体"/>
          <w:color w:val="auto"/>
          <w:sz w:val="28"/>
          <w:szCs w:val="28"/>
          <w:highlight w:val="none"/>
          <w:lang w:val="en-US" w:eastAsia="zh-CN"/>
        </w:rPr>
        <w:t>六</w:t>
      </w:r>
      <w:r>
        <w:rPr>
          <w:rFonts w:hint="eastAsia" w:ascii="黑体" w:hAnsi="黑体" w:eastAsia="黑体"/>
          <w:color w:val="auto"/>
          <w:sz w:val="28"/>
          <w:szCs w:val="28"/>
          <w:highlight w:val="none"/>
        </w:rPr>
        <w:t>、服务期限</w:t>
      </w:r>
      <w:r>
        <w:rPr>
          <w:rFonts w:hint="eastAsia" w:ascii="黑体" w:hAnsi="黑体" w:eastAsia="黑体"/>
          <w:color w:val="auto"/>
          <w:sz w:val="28"/>
          <w:szCs w:val="28"/>
          <w:highlight w:val="none"/>
          <w:lang w:val="en-US" w:eastAsia="zh-CN"/>
        </w:rPr>
        <w:t>和地点</w:t>
      </w:r>
      <w:bookmarkEnd w:id="75"/>
      <w:bookmarkEnd w:id="76"/>
    </w:p>
    <w:p w14:paraId="7E59280D">
      <w:pPr>
        <w:spacing w:line="500" w:lineRule="exact"/>
        <w:ind w:firstLine="560" w:firstLineChars="200"/>
        <w:outlineLvl w:val="9"/>
        <w:rPr>
          <w:rFonts w:hint="eastAsia" w:ascii="仿宋" w:hAnsi="仿宋" w:eastAsia="仿宋"/>
          <w:strike/>
          <w:dstrike w:val="0"/>
          <w:sz w:val="28"/>
          <w:szCs w:val="28"/>
          <w:highlight w:val="none"/>
          <w:lang w:val="en-US" w:eastAsia="zh-CN"/>
        </w:rPr>
      </w:pPr>
      <w:bookmarkStart w:id="77" w:name="_Toc13568"/>
      <w:r>
        <w:rPr>
          <w:rFonts w:hint="eastAsia" w:ascii="仿宋" w:hAnsi="仿宋" w:eastAsia="仿宋" w:cs="Times New Roman"/>
          <w:sz w:val="28"/>
          <w:szCs w:val="28"/>
          <w:highlight w:val="none"/>
        </w:rPr>
        <w:t>服务期限：</w:t>
      </w:r>
      <w:bookmarkEnd w:id="77"/>
      <w:r>
        <w:rPr>
          <w:rFonts w:hint="eastAsia" w:eastAsia="仿宋" w:cs="Times New Roman"/>
          <w:sz w:val="28"/>
          <w:szCs w:val="28"/>
          <w:highlight w:val="none"/>
          <w:lang w:eastAsia="zh-CN"/>
        </w:rPr>
        <w:t>自合同签订之日起一年，每年服务期届满前一个月进行验收考核，经验收合格，可以根据本项目服务要求进行续签，续签最多不超过两次；验收不合格，采购人有权单方终止履行并解除合同。</w:t>
      </w:r>
    </w:p>
    <w:p w14:paraId="0A4CBA32">
      <w:pPr>
        <w:spacing w:line="500" w:lineRule="exact"/>
        <w:ind w:firstLine="560" w:firstLineChars="200"/>
        <w:outlineLvl w:val="9"/>
        <w:rPr>
          <w:rFonts w:hint="eastAsia" w:ascii="仿宋" w:hAnsi="仿宋" w:eastAsia="仿宋"/>
          <w:sz w:val="28"/>
          <w:szCs w:val="28"/>
          <w:highlight w:val="none"/>
        </w:rPr>
      </w:pPr>
      <w:bookmarkStart w:id="78" w:name="_Toc13136"/>
      <w:r>
        <w:rPr>
          <w:rFonts w:hint="eastAsia" w:ascii="仿宋" w:hAnsi="仿宋" w:eastAsia="仿宋"/>
          <w:sz w:val="28"/>
          <w:szCs w:val="28"/>
          <w:highlight w:val="none"/>
        </w:rPr>
        <w:t>地点：</w:t>
      </w:r>
      <w:bookmarkEnd w:id="78"/>
      <w:r>
        <w:rPr>
          <w:rFonts w:hint="eastAsia" w:ascii="仿宋" w:hAnsi="仿宋" w:eastAsia="仿宋"/>
          <w:sz w:val="28"/>
          <w:szCs w:val="28"/>
          <w:highlight w:val="none"/>
        </w:rPr>
        <w:t>采购人指定地点</w:t>
      </w:r>
    </w:p>
    <w:p w14:paraId="654DF54C">
      <w:pPr>
        <w:spacing w:line="500" w:lineRule="exact"/>
        <w:ind w:firstLine="560" w:firstLineChars="200"/>
        <w:outlineLvl w:val="1"/>
        <w:rPr>
          <w:rFonts w:hint="eastAsia" w:ascii="黑体" w:hAnsi="黑体" w:eastAsia="黑体"/>
          <w:sz w:val="28"/>
          <w:szCs w:val="28"/>
          <w:highlight w:val="none"/>
        </w:rPr>
      </w:pPr>
      <w:bookmarkStart w:id="79" w:name="_Toc29187"/>
      <w:bookmarkStart w:id="80" w:name="_Toc15212"/>
      <w:bookmarkStart w:id="81" w:name="_Toc27097"/>
      <w:r>
        <w:rPr>
          <w:rFonts w:hint="eastAsia" w:ascii="黑体" w:hAnsi="黑体" w:eastAsia="黑体"/>
          <w:sz w:val="28"/>
          <w:szCs w:val="28"/>
          <w:highlight w:val="none"/>
          <w:lang w:val="en-US" w:eastAsia="zh-CN"/>
        </w:rPr>
        <w:t>七</w:t>
      </w:r>
      <w:r>
        <w:rPr>
          <w:rFonts w:hint="eastAsia" w:ascii="黑体" w:hAnsi="黑体" w:eastAsia="黑体"/>
          <w:sz w:val="28"/>
          <w:szCs w:val="28"/>
          <w:highlight w:val="none"/>
        </w:rPr>
        <w:t>、考核方案</w:t>
      </w:r>
      <w:bookmarkEnd w:id="79"/>
      <w:bookmarkEnd w:id="80"/>
      <w:bookmarkEnd w:id="81"/>
    </w:p>
    <w:p w14:paraId="3D378358">
      <w:pPr>
        <w:spacing w:line="500" w:lineRule="exact"/>
        <w:ind w:firstLine="560" w:firstLineChars="200"/>
        <w:outlineLvl w:val="9"/>
        <w:rPr>
          <w:rFonts w:hint="eastAsia" w:ascii="仿宋" w:hAnsi="仿宋" w:eastAsia="仿宋"/>
          <w:sz w:val="28"/>
          <w:szCs w:val="28"/>
          <w:highlight w:val="none"/>
        </w:rPr>
      </w:pPr>
      <w:r>
        <w:rPr>
          <w:rFonts w:hint="eastAsia" w:ascii="仿宋" w:hAnsi="仿宋" w:eastAsia="仿宋"/>
          <w:sz w:val="28"/>
          <w:szCs w:val="28"/>
          <w:highlight w:val="none"/>
        </w:rPr>
        <w:t>(</w:t>
      </w:r>
      <w:r>
        <w:rPr>
          <w:rFonts w:hint="eastAsia" w:ascii="仿宋" w:hAnsi="仿宋" w:eastAsia="仿宋"/>
          <w:sz w:val="28"/>
          <w:szCs w:val="28"/>
          <w:highlight w:val="none"/>
          <w:lang w:val="en-US" w:eastAsia="zh-CN"/>
        </w:rPr>
        <w:t>一</w:t>
      </w:r>
      <w:r>
        <w:rPr>
          <w:rFonts w:hint="eastAsia" w:ascii="仿宋" w:hAnsi="仿宋" w:eastAsia="仿宋"/>
          <w:sz w:val="28"/>
          <w:szCs w:val="28"/>
          <w:highlight w:val="none"/>
        </w:rPr>
        <w:t>)</w:t>
      </w:r>
      <w:r>
        <w:rPr>
          <w:rFonts w:hint="eastAsia" w:ascii="仿宋" w:hAnsi="仿宋" w:eastAsia="仿宋"/>
          <w:sz w:val="28"/>
          <w:szCs w:val="28"/>
          <w:highlight w:val="none"/>
          <w:lang w:eastAsia="zh-CN"/>
        </w:rPr>
        <w:t>成交供应商须按服务标准和服务要求提交严格的质量控制方案</w:t>
      </w:r>
      <w:r>
        <w:rPr>
          <w:rFonts w:hint="eastAsia" w:ascii="仿宋" w:hAnsi="仿宋" w:eastAsia="仿宋"/>
          <w:sz w:val="28"/>
          <w:szCs w:val="28"/>
          <w:highlight w:val="none"/>
        </w:rPr>
        <w:t>，其中内容包括质量控制目标、质量保障计划、质量控制流程、质量保障措施等。</w:t>
      </w:r>
    </w:p>
    <w:p w14:paraId="6EEEA6B3">
      <w:pPr>
        <w:spacing w:line="500" w:lineRule="exact"/>
        <w:ind w:firstLine="560" w:firstLineChars="200"/>
        <w:outlineLvl w:val="9"/>
        <w:rPr>
          <w:rFonts w:hint="eastAsia" w:ascii="仿宋" w:hAnsi="仿宋" w:eastAsia="仿宋"/>
          <w:sz w:val="28"/>
          <w:szCs w:val="28"/>
          <w:highlight w:val="none"/>
        </w:rPr>
      </w:pPr>
      <w:r>
        <w:rPr>
          <w:rFonts w:hint="eastAsia" w:ascii="仿宋" w:hAnsi="仿宋" w:eastAsia="仿宋"/>
          <w:sz w:val="28"/>
          <w:szCs w:val="28"/>
          <w:highlight w:val="none"/>
        </w:rPr>
        <w:t>(</w:t>
      </w:r>
      <w:r>
        <w:rPr>
          <w:rFonts w:hint="eastAsia" w:ascii="仿宋" w:hAnsi="仿宋" w:eastAsia="仿宋"/>
          <w:sz w:val="28"/>
          <w:szCs w:val="28"/>
          <w:highlight w:val="none"/>
          <w:lang w:val="en-US" w:eastAsia="zh-CN"/>
        </w:rPr>
        <w:t>二</w:t>
      </w:r>
      <w:r>
        <w:rPr>
          <w:rFonts w:hint="eastAsia" w:ascii="仿宋" w:hAnsi="仿宋" w:eastAsia="仿宋"/>
          <w:sz w:val="28"/>
          <w:szCs w:val="28"/>
          <w:highlight w:val="none"/>
        </w:rPr>
        <w:t>)在成交供应商对档案数字化加工完成后进行检查验收，如发现数量不足或有质量、技术等问题，成交供应商应负责根据合同及采购人的要求采取补足或更换等处理措施，并承担由此发生的一切损失和费用。</w:t>
      </w:r>
    </w:p>
    <w:p w14:paraId="5C9D0368">
      <w:pPr>
        <w:spacing w:line="500" w:lineRule="exact"/>
        <w:ind w:firstLine="560" w:firstLineChars="200"/>
        <w:outlineLvl w:val="9"/>
        <w:rPr>
          <w:rFonts w:hint="eastAsia" w:ascii="仿宋" w:hAnsi="仿宋" w:eastAsia="仿宋"/>
          <w:sz w:val="28"/>
          <w:szCs w:val="28"/>
          <w:highlight w:val="none"/>
        </w:rPr>
      </w:pPr>
      <w:r>
        <w:rPr>
          <w:rFonts w:hint="eastAsia" w:ascii="仿宋" w:hAnsi="仿宋" w:eastAsia="仿宋"/>
          <w:sz w:val="28"/>
          <w:szCs w:val="28"/>
          <w:highlight w:val="none"/>
        </w:rPr>
        <w:t>(</w:t>
      </w:r>
      <w:r>
        <w:rPr>
          <w:rFonts w:hint="eastAsia" w:ascii="仿宋" w:hAnsi="仿宋" w:eastAsia="仿宋"/>
          <w:sz w:val="28"/>
          <w:szCs w:val="28"/>
          <w:highlight w:val="none"/>
          <w:lang w:val="en-US" w:eastAsia="zh-CN"/>
        </w:rPr>
        <w:t>三</w:t>
      </w:r>
      <w:r>
        <w:rPr>
          <w:rFonts w:hint="eastAsia" w:ascii="仿宋" w:hAnsi="仿宋" w:eastAsia="仿宋"/>
          <w:sz w:val="28"/>
          <w:szCs w:val="28"/>
          <w:highlight w:val="none"/>
        </w:rPr>
        <w:t>)数字化加工质量抽检的各项指标合格率达到规定时,予以验收“通过”。验收“通过”的结论，必须经采购人分管领导审核、签字并加盖单位公章后方有效。</w:t>
      </w:r>
    </w:p>
    <w:p w14:paraId="404E5A21">
      <w:pPr>
        <w:spacing w:line="500" w:lineRule="exact"/>
        <w:ind w:firstLine="560" w:firstLineChars="200"/>
        <w:outlineLvl w:val="9"/>
        <w:rPr>
          <w:rFonts w:hint="eastAsia" w:ascii="仿宋" w:hAnsi="仿宋" w:eastAsia="仿宋"/>
          <w:sz w:val="28"/>
          <w:szCs w:val="28"/>
          <w:highlight w:val="none"/>
        </w:rPr>
      </w:pPr>
      <w:r>
        <w:rPr>
          <w:rFonts w:hint="eastAsia" w:ascii="仿宋" w:hAnsi="仿宋" w:eastAsia="仿宋"/>
          <w:sz w:val="28"/>
          <w:szCs w:val="28"/>
          <w:highlight w:val="none"/>
        </w:rPr>
        <w:t>(</w:t>
      </w:r>
      <w:r>
        <w:rPr>
          <w:rFonts w:hint="eastAsia" w:ascii="仿宋" w:hAnsi="仿宋" w:eastAsia="仿宋"/>
          <w:sz w:val="28"/>
          <w:szCs w:val="28"/>
          <w:highlight w:val="none"/>
          <w:lang w:val="en-US" w:eastAsia="zh-CN"/>
        </w:rPr>
        <w:t>四</w:t>
      </w:r>
      <w:r>
        <w:rPr>
          <w:rFonts w:hint="eastAsia" w:ascii="仿宋" w:hAnsi="仿宋" w:eastAsia="仿宋"/>
          <w:sz w:val="28"/>
          <w:szCs w:val="28"/>
          <w:highlight w:val="none"/>
        </w:rPr>
        <w:t>)每季度成交供应商完成的工作必须经采购人抽查，抽检比率为10%,成交供应商完成的案号、文档名、图像挂接、卷宗编号、卷宗数量、文件材料完整性的正确率要达到 100%,其他项目合格率达到 99%以上（含99%）方为验收通过。验收通过后，由成交供应商制作《卷宗扫描验收表》和《中间库工作验收表》一式两份，交采购人管理部门负责人和分管领导签字确认后与</w:t>
      </w:r>
      <w:r>
        <w:rPr>
          <w:rFonts w:hint="eastAsia" w:ascii="仿宋" w:hAnsi="仿宋" w:eastAsia="仿宋"/>
          <w:sz w:val="28"/>
          <w:szCs w:val="28"/>
          <w:highlight w:val="none"/>
          <w:lang w:eastAsia="zh-CN"/>
        </w:rPr>
        <w:t>采购人</w:t>
      </w:r>
      <w:r>
        <w:rPr>
          <w:rFonts w:hint="eastAsia" w:ascii="仿宋" w:hAnsi="仿宋" w:eastAsia="仿宋"/>
          <w:sz w:val="28"/>
          <w:szCs w:val="28"/>
          <w:highlight w:val="none"/>
        </w:rPr>
        <w:t>结算上一季度的服务费。</w:t>
      </w:r>
    </w:p>
    <w:p w14:paraId="2FFDAF80">
      <w:pPr>
        <w:spacing w:line="500" w:lineRule="exact"/>
        <w:ind w:firstLine="560" w:firstLineChars="200"/>
        <w:outlineLvl w:val="9"/>
        <w:rPr>
          <w:rFonts w:hint="eastAsia" w:ascii="仿宋" w:hAnsi="仿宋" w:eastAsia="仿宋"/>
          <w:sz w:val="28"/>
          <w:szCs w:val="28"/>
          <w:highlight w:val="none"/>
        </w:rPr>
      </w:pPr>
      <w:r>
        <w:rPr>
          <w:rFonts w:hint="eastAsia" w:ascii="仿宋" w:hAnsi="仿宋" w:eastAsia="仿宋"/>
          <w:sz w:val="28"/>
          <w:szCs w:val="28"/>
          <w:highlight w:val="none"/>
        </w:rPr>
        <w:t>(</w:t>
      </w:r>
      <w:r>
        <w:rPr>
          <w:rFonts w:hint="eastAsia" w:ascii="仿宋" w:hAnsi="仿宋" w:eastAsia="仿宋"/>
          <w:sz w:val="28"/>
          <w:szCs w:val="28"/>
          <w:highlight w:val="none"/>
          <w:lang w:val="en-US" w:eastAsia="zh-CN"/>
        </w:rPr>
        <w:t>五</w:t>
      </w:r>
      <w:r>
        <w:rPr>
          <w:rFonts w:hint="eastAsia" w:ascii="仿宋" w:hAnsi="仿宋" w:eastAsia="仿宋"/>
          <w:sz w:val="28"/>
          <w:szCs w:val="28"/>
          <w:highlight w:val="none"/>
        </w:rPr>
        <w:t>)成交供应商完成的工作经采购人检查后，如发现扫描图像不清楚、重复挂、卷宗材料顺序错误、装订不符要求、卷内文件颠倒等问题， 成交供应商应负责根据合同及采购人的要求采取修复、重作、完善等处理措施纠正到位，并承担由此发生的一切损失和费用。</w:t>
      </w:r>
    </w:p>
    <w:p w14:paraId="1BCA3757">
      <w:pPr>
        <w:spacing w:line="500" w:lineRule="exact"/>
        <w:ind w:firstLine="560" w:firstLineChars="200"/>
        <w:outlineLvl w:val="9"/>
        <w:rPr>
          <w:rFonts w:hint="eastAsia" w:ascii="仿宋" w:hAnsi="仿宋" w:eastAsia="仿宋"/>
          <w:sz w:val="28"/>
          <w:szCs w:val="28"/>
          <w:highlight w:val="none"/>
        </w:rPr>
      </w:pPr>
      <w:r>
        <w:rPr>
          <w:rFonts w:hint="eastAsia" w:ascii="仿宋" w:hAnsi="仿宋" w:eastAsia="仿宋"/>
          <w:sz w:val="28"/>
          <w:szCs w:val="28"/>
          <w:highlight w:val="none"/>
        </w:rPr>
        <w:t>(</w:t>
      </w:r>
      <w:r>
        <w:rPr>
          <w:rFonts w:hint="eastAsia" w:ascii="仿宋" w:hAnsi="仿宋" w:eastAsia="仿宋"/>
          <w:sz w:val="28"/>
          <w:szCs w:val="28"/>
          <w:highlight w:val="none"/>
          <w:lang w:val="en-US" w:eastAsia="zh-CN"/>
        </w:rPr>
        <w:t>六</w:t>
      </w:r>
      <w:r>
        <w:rPr>
          <w:rFonts w:hint="eastAsia" w:ascii="仿宋" w:hAnsi="仿宋" w:eastAsia="仿宋"/>
          <w:sz w:val="28"/>
          <w:szCs w:val="28"/>
          <w:highlight w:val="none"/>
        </w:rPr>
        <w:t>)档案实体验收必须逐卷清点,按档案数据、文件状况、卷内文件页数与顺序、装订要求等进行检查,如发现档案丢失、损坏、圈划或涂改等将追究法律责任;顺序错误、装订不符要求、卷内文件颠倒等作为差错， 将发回加工单位全面自检更正。</w:t>
      </w:r>
    </w:p>
    <w:p w14:paraId="6D81FC49">
      <w:pPr>
        <w:spacing w:line="500" w:lineRule="exact"/>
        <w:ind w:firstLine="560" w:firstLineChars="200"/>
        <w:outlineLvl w:val="9"/>
        <w:rPr>
          <w:rFonts w:hint="eastAsia" w:ascii="仿宋" w:hAnsi="仿宋" w:eastAsia="仿宋"/>
          <w:sz w:val="28"/>
          <w:szCs w:val="28"/>
          <w:highlight w:val="none"/>
        </w:rPr>
      </w:pPr>
      <w:r>
        <w:rPr>
          <w:rFonts w:hint="eastAsia" w:ascii="仿宋" w:hAnsi="仿宋" w:eastAsia="仿宋"/>
          <w:sz w:val="28"/>
          <w:szCs w:val="28"/>
          <w:highlight w:val="none"/>
        </w:rPr>
        <w:t>(</w:t>
      </w:r>
      <w:r>
        <w:rPr>
          <w:rFonts w:hint="eastAsia" w:ascii="仿宋" w:hAnsi="仿宋" w:eastAsia="仿宋"/>
          <w:sz w:val="28"/>
          <w:szCs w:val="28"/>
          <w:highlight w:val="none"/>
          <w:lang w:val="en-US" w:eastAsia="zh-CN"/>
        </w:rPr>
        <w:t>七</w:t>
      </w:r>
      <w:r>
        <w:rPr>
          <w:rFonts w:hint="eastAsia" w:ascii="仿宋" w:hAnsi="仿宋" w:eastAsia="仿宋"/>
          <w:sz w:val="28"/>
          <w:szCs w:val="28"/>
          <w:highlight w:val="none"/>
        </w:rPr>
        <w:t>)数据验收合格后，加工单位须提交数据备份一式两份移交给采购人。</w:t>
      </w:r>
    </w:p>
    <w:p w14:paraId="12975315">
      <w:pPr>
        <w:spacing w:line="500" w:lineRule="exact"/>
        <w:ind w:firstLine="560" w:firstLineChars="200"/>
        <w:outlineLvl w:val="9"/>
        <w:rPr>
          <w:rFonts w:hint="eastAsia" w:ascii="仿宋" w:hAnsi="仿宋" w:eastAsia="仿宋"/>
          <w:sz w:val="28"/>
          <w:szCs w:val="28"/>
          <w:highlight w:val="none"/>
        </w:rPr>
      </w:pPr>
      <w:r>
        <w:rPr>
          <w:rFonts w:hint="eastAsia" w:ascii="仿宋" w:hAnsi="仿宋" w:eastAsia="仿宋"/>
          <w:sz w:val="28"/>
          <w:szCs w:val="28"/>
          <w:highlight w:val="none"/>
        </w:rPr>
        <w:t>(</w:t>
      </w:r>
      <w:r>
        <w:rPr>
          <w:rFonts w:hint="eastAsia" w:ascii="仿宋" w:hAnsi="仿宋" w:eastAsia="仿宋"/>
          <w:sz w:val="28"/>
          <w:szCs w:val="28"/>
          <w:highlight w:val="none"/>
          <w:lang w:val="en-US" w:eastAsia="zh-CN"/>
        </w:rPr>
        <w:t>八</w:t>
      </w:r>
      <w:r>
        <w:rPr>
          <w:rFonts w:hint="eastAsia" w:ascii="仿宋" w:hAnsi="仿宋" w:eastAsia="仿宋"/>
          <w:sz w:val="28"/>
          <w:szCs w:val="28"/>
          <w:highlight w:val="none"/>
        </w:rPr>
        <w:t>)扫描仪等与工作相关的设备由成交供应商提供，在采购人指定场所完成相关工作。</w:t>
      </w:r>
    </w:p>
    <w:p w14:paraId="66ACFC70">
      <w:pPr>
        <w:spacing w:line="500" w:lineRule="exact"/>
        <w:ind w:firstLine="560" w:firstLineChars="200"/>
        <w:outlineLvl w:val="1"/>
        <w:rPr>
          <w:rFonts w:hint="eastAsia" w:ascii="黑体" w:hAnsi="黑体" w:eastAsia="黑体"/>
          <w:sz w:val="28"/>
          <w:szCs w:val="28"/>
          <w:highlight w:val="none"/>
        </w:rPr>
      </w:pPr>
      <w:bookmarkStart w:id="82" w:name="_Toc23229"/>
      <w:bookmarkStart w:id="83" w:name="_Toc870"/>
      <w:bookmarkStart w:id="84" w:name="_Toc3261"/>
      <w:bookmarkStart w:id="85" w:name="_Toc14428"/>
      <w:r>
        <w:rPr>
          <w:rFonts w:hint="eastAsia" w:ascii="黑体" w:hAnsi="黑体" w:eastAsia="黑体"/>
          <w:sz w:val="28"/>
          <w:szCs w:val="28"/>
          <w:highlight w:val="none"/>
          <w:lang w:val="en-US" w:eastAsia="zh-CN"/>
        </w:rPr>
        <w:t>八</w:t>
      </w:r>
      <w:r>
        <w:rPr>
          <w:rFonts w:hint="eastAsia" w:ascii="黑体" w:hAnsi="黑体" w:eastAsia="黑体"/>
          <w:sz w:val="28"/>
          <w:szCs w:val="28"/>
          <w:highlight w:val="none"/>
        </w:rPr>
        <w:t>、</w:t>
      </w:r>
      <w:bookmarkEnd w:id="82"/>
      <w:r>
        <w:rPr>
          <w:rFonts w:hint="eastAsia" w:ascii="黑体" w:hAnsi="黑体" w:eastAsia="黑体"/>
          <w:sz w:val="28"/>
          <w:szCs w:val="28"/>
          <w:highlight w:val="none"/>
        </w:rPr>
        <w:t>付款方式</w:t>
      </w:r>
      <w:bookmarkEnd w:id="83"/>
      <w:bookmarkEnd w:id="84"/>
      <w:bookmarkEnd w:id="85"/>
    </w:p>
    <w:p w14:paraId="7E5D10F4">
      <w:pPr>
        <w:spacing w:line="500" w:lineRule="exact"/>
        <w:ind w:firstLine="560" w:firstLineChars="200"/>
        <w:outlineLvl w:val="9"/>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每季度按合同单价及电子卷宗扫描实际工作量进行结算，每年度总服务金额不得超过本项目预算金额（120万），超过部分不予结算。在下季度第一个月10号前支付上季度服务费用。每次支付前，成交供应商均应出具在税务部门开具的正式税票。</w:t>
      </w:r>
    </w:p>
    <w:p w14:paraId="24905E73">
      <w:pPr>
        <w:spacing w:line="500" w:lineRule="exact"/>
        <w:ind w:firstLine="560" w:firstLineChars="200"/>
        <w:outlineLvl w:val="1"/>
        <w:rPr>
          <w:rFonts w:hint="eastAsia" w:ascii="仿宋" w:hAnsi="仿宋" w:eastAsia="仿宋"/>
          <w:sz w:val="28"/>
          <w:szCs w:val="28"/>
          <w:highlight w:val="none"/>
        </w:rPr>
      </w:pPr>
      <w:bookmarkStart w:id="86" w:name="_Toc420"/>
      <w:bookmarkStart w:id="87" w:name="_Toc19902"/>
      <w:bookmarkStart w:id="88" w:name="_Toc8545"/>
      <w:bookmarkStart w:id="89" w:name="_Toc4069"/>
      <w:r>
        <w:rPr>
          <w:rFonts w:hint="eastAsia" w:ascii="黑体" w:hAnsi="黑体" w:eastAsia="黑体"/>
          <w:sz w:val="28"/>
          <w:szCs w:val="28"/>
          <w:highlight w:val="none"/>
          <w:lang w:val="en-US" w:eastAsia="zh-CN"/>
        </w:rPr>
        <w:t>九</w:t>
      </w:r>
      <w:r>
        <w:rPr>
          <w:rFonts w:hint="eastAsia" w:ascii="黑体" w:hAnsi="黑体" w:eastAsia="黑体"/>
          <w:sz w:val="28"/>
          <w:szCs w:val="28"/>
          <w:highlight w:val="none"/>
        </w:rPr>
        <w:t>、</w:t>
      </w:r>
      <w:bookmarkEnd w:id="86"/>
      <w:bookmarkEnd w:id="87"/>
      <w:bookmarkEnd w:id="88"/>
      <w:bookmarkEnd w:id="89"/>
      <w:bookmarkStart w:id="90" w:name="_Toc16238"/>
      <w:bookmarkStart w:id="91" w:name="_Toc13367"/>
      <w:bookmarkStart w:id="92" w:name="_Toc20042"/>
      <w:bookmarkStart w:id="93" w:name="_Toc24448"/>
      <w:r>
        <w:rPr>
          <w:rFonts w:hint="eastAsia" w:ascii="黑体" w:hAnsi="黑体" w:eastAsia="黑体"/>
          <w:sz w:val="28"/>
          <w:szCs w:val="28"/>
          <w:highlight w:val="none"/>
        </w:rPr>
        <w:t>其他要求</w:t>
      </w:r>
      <w:bookmarkEnd w:id="90"/>
      <w:bookmarkEnd w:id="91"/>
      <w:bookmarkEnd w:id="92"/>
      <w:bookmarkEnd w:id="93"/>
    </w:p>
    <w:p w14:paraId="68ABBE6C">
      <w:pPr>
        <w:spacing w:line="500" w:lineRule="exact"/>
        <w:ind w:firstLine="560" w:firstLineChars="200"/>
        <w:outlineLvl w:val="9"/>
        <w:rPr>
          <w:rFonts w:hint="eastAsia" w:ascii="仿宋" w:hAnsi="仿宋" w:eastAsia="仿宋" w:cs="Times New Roman"/>
          <w:sz w:val="28"/>
          <w:szCs w:val="28"/>
          <w:highlight w:val="none"/>
          <w:lang w:eastAsia="zh-CN"/>
        </w:rPr>
      </w:pPr>
      <w:bookmarkStart w:id="94" w:name="_Toc8300"/>
      <w:r>
        <w:rPr>
          <w:rFonts w:hint="eastAsia" w:ascii="仿宋" w:hAnsi="仿宋" w:eastAsia="仿宋" w:cs="Times New Roman"/>
          <w:sz w:val="28"/>
          <w:szCs w:val="28"/>
          <w:highlight w:val="none"/>
          <w:lang w:eastAsia="zh-CN"/>
        </w:rPr>
        <w:t>（一）</w:t>
      </w:r>
      <w:r>
        <w:rPr>
          <w:rFonts w:hint="eastAsia" w:ascii="仿宋" w:hAnsi="仿宋" w:eastAsia="仿宋" w:cs="Times New Roman"/>
          <w:sz w:val="28"/>
          <w:szCs w:val="28"/>
          <w:highlight w:val="none"/>
          <w:lang w:val="en-US" w:eastAsia="zh-CN"/>
        </w:rPr>
        <w:t xml:space="preserve">响应供应商的响应报价应为完成本项目在服务期内完成服务内容所需要的一切费用，包括但不限于所有涉及的软、硬件成本、运输费、工具、通讯、服装、各种税费、人工、保险、劳保、维护、加班费、福利、利润、工商税金、管理费、安全管理、以及政策性文件规定及合同包含的所有风险、责任等项目相关一切费用。本项目所报单价一次性包定，不再追加，最终结算价按实际工作量*单价计算，最终结算金额每年不超过壹佰贰拾万元整，超过部分不予结算。请各响应供应商在报价时请充分考虑各种因素。 </w:t>
      </w:r>
    </w:p>
    <w:p w14:paraId="19B790D4">
      <w:pPr>
        <w:spacing w:line="500" w:lineRule="exact"/>
        <w:ind w:firstLine="560" w:firstLineChars="200"/>
        <w:outlineLvl w:val="9"/>
        <w:rPr>
          <w:rFonts w:hint="eastAsia" w:ascii="仿宋" w:hAnsi="仿宋" w:eastAsia="仿宋" w:cs="Times New Roman"/>
          <w:sz w:val="28"/>
          <w:szCs w:val="28"/>
          <w:highlight w:val="none"/>
          <w:lang w:eastAsia="zh-CN"/>
        </w:rPr>
      </w:pPr>
      <w:bookmarkStart w:id="95" w:name="_Toc26898"/>
      <w:bookmarkStart w:id="96" w:name="_Toc3578"/>
      <w:bookmarkStart w:id="97" w:name="_Toc12403"/>
      <w:r>
        <w:rPr>
          <w:rFonts w:hint="eastAsia" w:ascii="仿宋" w:hAnsi="仿宋" w:eastAsia="仿宋" w:cs="Times New Roman"/>
          <w:sz w:val="28"/>
          <w:szCs w:val="28"/>
          <w:highlight w:val="none"/>
          <w:lang w:eastAsia="zh-CN"/>
        </w:rPr>
        <w:t>（二）</w:t>
      </w:r>
      <w:bookmarkEnd w:id="94"/>
      <w:bookmarkEnd w:id="95"/>
      <w:bookmarkEnd w:id="96"/>
      <w:bookmarkEnd w:id="97"/>
      <w:r>
        <w:rPr>
          <w:rFonts w:hint="eastAsia" w:ascii="仿宋" w:hAnsi="仿宋" w:eastAsia="仿宋" w:cs="Times New Roman"/>
          <w:sz w:val="28"/>
          <w:szCs w:val="28"/>
          <w:highlight w:val="none"/>
          <w:lang w:val="en-US" w:eastAsia="zh-CN"/>
        </w:rPr>
        <w:t>成交供应商</w:t>
      </w:r>
      <w:r>
        <w:rPr>
          <w:rFonts w:hint="eastAsia" w:ascii="仿宋" w:hAnsi="仿宋" w:eastAsia="仿宋" w:cs="Times New Roman"/>
          <w:sz w:val="28"/>
          <w:szCs w:val="28"/>
          <w:highlight w:val="none"/>
          <w:lang w:eastAsia="zh-CN"/>
        </w:rPr>
        <w:t>须自项目整体验收合格之日起,提供一年的免费维护期服务。无论在维护期内还是维护期满后，负责对其实施的项目提供 24 小时不间断技术支持服务，提供电话传真电子邮件、现场指导等多种方式技术支持服务，全方位响应采购人需求。如需要现场服务的,供应商应保证正常工作期间在 2 小时内到达现场，并最迟在 24 小时内排除故障,24 小时内不能排除故障的，必须采取临时应急措施，以保证采购人的正常使用。</w:t>
      </w:r>
    </w:p>
    <w:p w14:paraId="7CE2C6C4">
      <w:pPr>
        <w:spacing w:line="500" w:lineRule="exact"/>
        <w:ind w:firstLine="560" w:firstLineChars="200"/>
        <w:outlineLvl w:val="9"/>
        <w:rPr>
          <w:rFonts w:hint="eastAsia" w:ascii="仿宋" w:hAnsi="仿宋" w:eastAsia="仿宋" w:cs="Times New Roman"/>
          <w:sz w:val="28"/>
          <w:szCs w:val="28"/>
          <w:highlight w:val="none"/>
          <w:lang w:eastAsia="zh-CN"/>
        </w:rPr>
      </w:pPr>
      <w:r>
        <w:rPr>
          <w:rFonts w:hint="eastAsia" w:ascii="仿宋" w:hAnsi="仿宋" w:eastAsia="仿宋" w:cs="Times New Roman"/>
          <w:sz w:val="28"/>
          <w:szCs w:val="28"/>
          <w:highlight w:val="none"/>
          <w:lang w:eastAsia="zh-CN"/>
        </w:rPr>
        <w:t>(</w:t>
      </w:r>
      <w:r>
        <w:rPr>
          <w:rFonts w:hint="eastAsia" w:ascii="仿宋" w:hAnsi="仿宋" w:eastAsia="仿宋" w:cs="Times New Roman"/>
          <w:sz w:val="28"/>
          <w:szCs w:val="28"/>
          <w:highlight w:val="none"/>
          <w:lang w:val="en-US" w:eastAsia="zh-CN"/>
        </w:rPr>
        <w:t>三</w:t>
      </w:r>
      <w:r>
        <w:rPr>
          <w:rFonts w:hint="eastAsia" w:ascii="仿宋" w:hAnsi="仿宋" w:eastAsia="仿宋" w:cs="Times New Roman"/>
          <w:sz w:val="28"/>
          <w:szCs w:val="28"/>
          <w:highlight w:val="none"/>
          <w:lang w:eastAsia="zh-CN"/>
        </w:rPr>
        <w:t>)维护期满后提供的技术支持和服务，只收取成本费。</w:t>
      </w:r>
    </w:p>
    <w:p w14:paraId="1BF8E35D">
      <w:pPr>
        <w:spacing w:line="500" w:lineRule="exact"/>
        <w:ind w:firstLine="560" w:firstLineChars="200"/>
        <w:outlineLvl w:val="9"/>
        <w:rPr>
          <w:rFonts w:hint="eastAsia" w:ascii="仿宋" w:hAnsi="仿宋" w:eastAsia="仿宋" w:cs="Times New Roman"/>
          <w:sz w:val="28"/>
          <w:szCs w:val="28"/>
          <w:highlight w:val="none"/>
          <w:lang w:eastAsia="zh-CN"/>
        </w:rPr>
      </w:pPr>
      <w:r>
        <w:rPr>
          <w:rFonts w:hint="eastAsia" w:ascii="仿宋" w:hAnsi="仿宋" w:eastAsia="仿宋" w:cs="Times New Roman"/>
          <w:sz w:val="28"/>
          <w:szCs w:val="28"/>
          <w:highlight w:val="none"/>
          <w:lang w:eastAsia="zh-CN"/>
        </w:rPr>
        <w:t>(</w:t>
      </w:r>
      <w:r>
        <w:rPr>
          <w:rFonts w:hint="eastAsia" w:ascii="仿宋" w:hAnsi="仿宋" w:eastAsia="仿宋" w:cs="Times New Roman"/>
          <w:sz w:val="28"/>
          <w:szCs w:val="28"/>
          <w:highlight w:val="none"/>
          <w:lang w:val="en-US" w:eastAsia="zh-CN"/>
        </w:rPr>
        <w:t>四</w:t>
      </w:r>
      <w:r>
        <w:rPr>
          <w:rFonts w:hint="eastAsia" w:ascii="仿宋" w:hAnsi="仿宋" w:eastAsia="仿宋" w:cs="Times New Roman"/>
          <w:sz w:val="28"/>
          <w:szCs w:val="28"/>
          <w:highlight w:val="none"/>
          <w:lang w:eastAsia="zh-CN"/>
        </w:rPr>
        <w:t>)无论在维护期内还是维护期满后，若发现</w:t>
      </w:r>
      <w:r>
        <w:rPr>
          <w:rFonts w:hint="eastAsia" w:ascii="仿宋" w:hAnsi="仿宋" w:eastAsia="仿宋" w:cs="Times New Roman"/>
          <w:sz w:val="28"/>
          <w:szCs w:val="28"/>
          <w:highlight w:val="none"/>
          <w:lang w:val="en-US" w:eastAsia="zh-CN"/>
        </w:rPr>
        <w:t>成交供应商</w:t>
      </w:r>
      <w:r>
        <w:rPr>
          <w:rFonts w:hint="eastAsia" w:ascii="仿宋" w:hAnsi="仿宋" w:eastAsia="仿宋" w:cs="Times New Roman"/>
          <w:sz w:val="28"/>
          <w:szCs w:val="28"/>
          <w:highlight w:val="none"/>
          <w:lang w:eastAsia="zh-CN"/>
        </w:rPr>
        <w:t>所扫的数据有漏扫、出错，供应商应永久及时、无偿负责修改、补扫、归档。</w:t>
      </w:r>
    </w:p>
    <w:p w14:paraId="5B6B62EF">
      <w:pPr>
        <w:spacing w:line="500" w:lineRule="exact"/>
        <w:ind w:firstLine="560" w:firstLineChars="200"/>
        <w:outlineLvl w:val="9"/>
        <w:rPr>
          <w:rFonts w:hint="eastAsia" w:ascii="仿宋" w:hAnsi="仿宋" w:eastAsia="仿宋" w:cs="Times New Roman"/>
          <w:sz w:val="28"/>
          <w:szCs w:val="28"/>
          <w:highlight w:val="none"/>
          <w:lang w:eastAsia="zh-CN"/>
        </w:rPr>
      </w:pPr>
      <w:r>
        <w:rPr>
          <w:rFonts w:hint="eastAsia" w:ascii="仿宋" w:hAnsi="仿宋" w:eastAsia="仿宋" w:cs="Times New Roman"/>
          <w:sz w:val="28"/>
          <w:szCs w:val="28"/>
          <w:highlight w:val="none"/>
          <w:lang w:eastAsia="zh-CN"/>
        </w:rPr>
        <w:t>（</w:t>
      </w:r>
      <w:r>
        <w:rPr>
          <w:rFonts w:hint="eastAsia" w:ascii="仿宋" w:hAnsi="仿宋" w:eastAsia="仿宋" w:cs="Times New Roman"/>
          <w:sz w:val="28"/>
          <w:szCs w:val="28"/>
          <w:highlight w:val="none"/>
          <w:lang w:val="en-US" w:eastAsia="zh-CN"/>
        </w:rPr>
        <w:t>五</w:t>
      </w:r>
      <w:r>
        <w:rPr>
          <w:rFonts w:hint="eastAsia" w:ascii="仿宋" w:hAnsi="仿宋" w:eastAsia="仿宋" w:cs="Times New Roman"/>
          <w:sz w:val="28"/>
          <w:szCs w:val="28"/>
          <w:highlight w:val="none"/>
          <w:lang w:eastAsia="zh-CN"/>
        </w:rPr>
        <w:t>）为更好的对驻场人员进行安全管理，保持人员稳定性，减少外出用餐泄密的风险，采购人在院本部机关食堂为驻场人员提供一次免费午餐（与法院干警同等标准）。</w:t>
      </w:r>
    </w:p>
    <w:p w14:paraId="5599A063">
      <w:pPr>
        <w:spacing w:line="500" w:lineRule="exact"/>
        <w:ind w:firstLine="560" w:firstLineChars="200"/>
        <w:outlineLvl w:val="9"/>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eastAsia="zh-CN"/>
        </w:rPr>
        <w:t>（</w:t>
      </w:r>
      <w:r>
        <w:rPr>
          <w:rFonts w:hint="eastAsia" w:ascii="仿宋" w:hAnsi="仿宋" w:eastAsia="仿宋" w:cs="Times New Roman"/>
          <w:sz w:val="28"/>
          <w:szCs w:val="28"/>
          <w:highlight w:val="none"/>
          <w:lang w:val="en-US" w:eastAsia="zh-CN"/>
        </w:rPr>
        <w:t>六</w:t>
      </w:r>
      <w:r>
        <w:rPr>
          <w:rFonts w:hint="eastAsia" w:ascii="仿宋" w:hAnsi="仿宋" w:eastAsia="仿宋" w:cs="Times New Roman"/>
          <w:sz w:val="28"/>
          <w:szCs w:val="28"/>
          <w:highlight w:val="none"/>
          <w:lang w:eastAsia="zh-CN"/>
        </w:rPr>
        <w:t>）</w:t>
      </w:r>
      <w:r>
        <w:rPr>
          <w:rFonts w:hint="eastAsia" w:ascii="仿宋" w:hAnsi="仿宋" w:eastAsia="仿宋" w:cs="Times New Roman"/>
          <w:sz w:val="28"/>
          <w:szCs w:val="28"/>
          <w:highlight w:val="none"/>
          <w:lang w:val="en-US" w:eastAsia="zh-CN"/>
        </w:rPr>
        <w:t>响应文件中应提供组织实施方案，包含但不限于以下内容</w:t>
      </w:r>
    </w:p>
    <w:p w14:paraId="32247D3C">
      <w:pPr>
        <w:spacing w:line="500" w:lineRule="exact"/>
        <w:ind w:firstLine="560" w:firstLineChars="200"/>
        <w:outlineLvl w:val="9"/>
        <w:rPr>
          <w:rFonts w:hint="eastAsia" w:ascii="仿宋" w:hAnsi="仿宋" w:eastAsia="仿宋" w:cs="Times New Roman"/>
          <w:sz w:val="28"/>
          <w:szCs w:val="28"/>
          <w:highlight w:val="none"/>
          <w:lang w:eastAsia="zh-CN"/>
        </w:rPr>
      </w:pPr>
      <w:r>
        <w:rPr>
          <w:rFonts w:hint="eastAsia" w:ascii="仿宋" w:hAnsi="仿宋" w:eastAsia="仿宋" w:cs="Times New Roman"/>
          <w:sz w:val="28"/>
          <w:szCs w:val="28"/>
          <w:highlight w:val="none"/>
          <w:lang w:val="en-US" w:eastAsia="zh-CN"/>
        </w:rPr>
        <w:t>1.</w:t>
      </w:r>
      <w:r>
        <w:rPr>
          <w:rFonts w:hint="eastAsia" w:ascii="仿宋" w:hAnsi="仿宋" w:eastAsia="仿宋" w:cs="Times New Roman"/>
          <w:sz w:val="28"/>
          <w:szCs w:val="28"/>
          <w:highlight w:val="none"/>
          <w:lang w:eastAsia="zh-CN"/>
        </w:rPr>
        <w:t>材料收转方案，包含但不限于①先扫描后立案流程设计②材料收转服务③材料登记与质检服务④材料分类及扫描规范⑤中间柜管理⑥卷宗管理软件方案。</w:t>
      </w:r>
    </w:p>
    <w:p w14:paraId="1CFB33B0">
      <w:pPr>
        <w:spacing w:line="500" w:lineRule="exact"/>
        <w:ind w:firstLine="560" w:firstLineChars="200"/>
        <w:outlineLvl w:val="9"/>
        <w:rPr>
          <w:rFonts w:hint="eastAsia" w:ascii="仿宋" w:hAnsi="仿宋" w:eastAsia="仿宋" w:cs="Times New Roman"/>
          <w:sz w:val="28"/>
          <w:szCs w:val="28"/>
          <w:highlight w:val="none"/>
          <w:lang w:eastAsia="zh-CN"/>
        </w:rPr>
      </w:pPr>
      <w:r>
        <w:rPr>
          <w:rFonts w:hint="eastAsia" w:ascii="仿宋" w:hAnsi="仿宋" w:eastAsia="仿宋" w:cs="Times New Roman"/>
          <w:sz w:val="28"/>
          <w:szCs w:val="28"/>
          <w:highlight w:val="none"/>
          <w:lang w:val="en-US" w:eastAsia="zh-CN"/>
        </w:rPr>
        <w:t>2.</w:t>
      </w:r>
      <w:r>
        <w:rPr>
          <w:rFonts w:hint="eastAsia" w:ascii="仿宋" w:hAnsi="仿宋" w:eastAsia="仿宋" w:cs="Times New Roman"/>
          <w:sz w:val="28"/>
          <w:szCs w:val="28"/>
          <w:highlight w:val="none"/>
          <w:lang w:eastAsia="zh-CN"/>
        </w:rPr>
        <w:t>档案管理方案，包括但不限于①档案提调、整理、录入服务②档案校对、质检服务③数据验收服务④数据备份服务⑤数据移交、档案归还服务⑥档案管理软件方案。</w:t>
      </w:r>
    </w:p>
    <w:p w14:paraId="0F25A532">
      <w:pPr>
        <w:spacing w:line="500" w:lineRule="exact"/>
        <w:ind w:firstLine="560" w:firstLineChars="200"/>
        <w:outlineLvl w:val="9"/>
        <w:rPr>
          <w:rFonts w:hint="eastAsia" w:ascii="仿宋" w:hAnsi="仿宋" w:eastAsia="仿宋" w:cs="Times New Roman"/>
          <w:sz w:val="28"/>
          <w:szCs w:val="28"/>
          <w:highlight w:val="none"/>
          <w:lang w:eastAsia="zh-CN"/>
        </w:rPr>
      </w:pPr>
      <w:r>
        <w:rPr>
          <w:rFonts w:hint="eastAsia" w:ascii="仿宋" w:hAnsi="仿宋" w:eastAsia="仿宋" w:cs="Times New Roman"/>
          <w:sz w:val="28"/>
          <w:szCs w:val="28"/>
          <w:highlight w:val="none"/>
          <w:lang w:val="en-US" w:eastAsia="zh-CN"/>
        </w:rPr>
        <w:t>3.</w:t>
      </w:r>
      <w:r>
        <w:rPr>
          <w:rFonts w:hint="eastAsia" w:ascii="仿宋" w:hAnsi="仿宋" w:eastAsia="仿宋" w:cs="Times New Roman"/>
          <w:sz w:val="28"/>
          <w:szCs w:val="28"/>
          <w:highlight w:val="none"/>
          <w:lang w:eastAsia="zh-CN"/>
        </w:rPr>
        <w:t>组织方案，包含但不限于①内部管理架构②管理规章制度。</w:t>
      </w:r>
    </w:p>
    <w:p w14:paraId="6A1CB3E2">
      <w:pPr>
        <w:spacing w:line="500" w:lineRule="exact"/>
        <w:ind w:firstLine="560" w:firstLineChars="200"/>
        <w:outlineLvl w:val="9"/>
        <w:rPr>
          <w:rFonts w:hint="eastAsia" w:ascii="仿宋" w:hAnsi="仿宋" w:eastAsia="仿宋" w:cs="Times New Roman"/>
          <w:sz w:val="28"/>
          <w:szCs w:val="28"/>
          <w:highlight w:val="none"/>
          <w:lang w:eastAsia="zh-CN"/>
        </w:rPr>
      </w:pPr>
      <w:r>
        <w:rPr>
          <w:rFonts w:hint="eastAsia" w:ascii="仿宋" w:hAnsi="仿宋" w:eastAsia="仿宋" w:cs="Times New Roman"/>
          <w:sz w:val="28"/>
          <w:szCs w:val="28"/>
          <w:highlight w:val="none"/>
          <w:lang w:val="en-US" w:eastAsia="zh-CN"/>
        </w:rPr>
        <w:t>4.</w:t>
      </w:r>
      <w:r>
        <w:rPr>
          <w:rFonts w:hint="eastAsia" w:ascii="仿宋" w:hAnsi="仿宋" w:eastAsia="仿宋" w:cs="Times New Roman"/>
          <w:sz w:val="28"/>
          <w:szCs w:val="28"/>
          <w:highlight w:val="none"/>
          <w:lang w:eastAsia="zh-CN"/>
        </w:rPr>
        <w:t>培训方案，包含但不限于①内部培训②法院培训。</w:t>
      </w:r>
    </w:p>
    <w:p w14:paraId="5B3585DE">
      <w:pPr>
        <w:spacing w:line="500" w:lineRule="exact"/>
        <w:ind w:firstLine="560" w:firstLineChars="200"/>
        <w:outlineLvl w:val="9"/>
        <w:rPr>
          <w:rFonts w:hint="eastAsia" w:ascii="仿宋" w:hAnsi="仿宋" w:eastAsia="仿宋" w:cs="Times New Roman"/>
          <w:sz w:val="28"/>
          <w:szCs w:val="28"/>
          <w:highlight w:val="none"/>
          <w:lang w:eastAsia="zh-CN"/>
        </w:rPr>
      </w:pPr>
      <w:r>
        <w:rPr>
          <w:rFonts w:hint="eastAsia" w:ascii="仿宋" w:hAnsi="仿宋" w:eastAsia="仿宋" w:cs="Times New Roman"/>
          <w:sz w:val="28"/>
          <w:szCs w:val="28"/>
          <w:highlight w:val="none"/>
          <w:lang w:val="en-US" w:eastAsia="zh-CN"/>
        </w:rPr>
        <w:t>5.</w:t>
      </w:r>
      <w:r>
        <w:rPr>
          <w:rFonts w:hint="eastAsia" w:ascii="仿宋" w:hAnsi="仿宋" w:eastAsia="仿宋" w:cs="Times New Roman"/>
          <w:sz w:val="28"/>
          <w:szCs w:val="28"/>
          <w:highlight w:val="none"/>
          <w:lang w:eastAsia="zh-CN"/>
        </w:rPr>
        <w:t>应急方案，包含但不限于①应急事项的处理流程②处理方法③日常预防机制。</w:t>
      </w:r>
    </w:p>
    <w:p w14:paraId="0E96AF29">
      <w:pPr>
        <w:widowControl/>
        <w:shd w:val="clear" w:color="auto" w:fill="FFFFFF"/>
        <w:snapToGrid w:val="0"/>
        <w:spacing w:line="500" w:lineRule="exact"/>
        <w:ind w:firstLine="560" w:firstLineChars="200"/>
        <w:contextualSpacing/>
        <w:rPr>
          <w:rFonts w:ascii="仿宋" w:hAnsi="仿宋" w:eastAsia="仿宋"/>
          <w:sz w:val="28"/>
          <w:szCs w:val="28"/>
          <w:highlight w:val="none"/>
        </w:rPr>
      </w:pPr>
      <w:r>
        <w:rPr>
          <w:rFonts w:hint="eastAsia" w:ascii="仿宋" w:hAnsi="仿宋" w:eastAsia="仿宋" w:cs="Times New Roman"/>
          <w:sz w:val="28"/>
          <w:szCs w:val="28"/>
          <w:highlight w:val="none"/>
          <w:lang w:val="en-US" w:eastAsia="zh-CN"/>
        </w:rPr>
        <w:t>6.</w:t>
      </w:r>
      <w:r>
        <w:rPr>
          <w:rFonts w:hint="eastAsia" w:ascii="仿宋" w:hAnsi="仿宋" w:eastAsia="仿宋" w:cs="Times New Roman"/>
          <w:sz w:val="28"/>
          <w:szCs w:val="28"/>
          <w:highlight w:val="none"/>
          <w:lang w:eastAsia="zh-CN"/>
        </w:rPr>
        <w:t>保密方案，包含但不限于①保密安全管理制度②保密安全管理规范③保密安全管理措施④保密安全承诺。每项内容均应包括人员安全管理、档案安全管理、数据安全管理、工作日志管理方面。</w:t>
      </w:r>
    </w:p>
    <w:p w14:paraId="2E9E64C6">
      <w:pPr>
        <w:widowControl/>
        <w:shd w:val="clear" w:color="auto" w:fill="FFFFFF"/>
        <w:snapToGrid w:val="0"/>
        <w:ind w:firstLine="560" w:firstLineChars="200"/>
        <w:contextualSpacing/>
        <w:rPr>
          <w:rFonts w:ascii="仿宋" w:hAnsi="仿宋" w:eastAsia="仿宋"/>
          <w:sz w:val="28"/>
          <w:szCs w:val="28"/>
          <w:highlight w:val="none"/>
          <w:u w:val="single"/>
        </w:rPr>
      </w:pPr>
    </w:p>
    <w:p w14:paraId="0E68F0EE">
      <w:pPr>
        <w:pStyle w:val="38"/>
        <w:spacing w:line="240" w:lineRule="auto"/>
        <w:ind w:firstLine="0"/>
        <w:jc w:val="center"/>
        <w:outlineLvl w:val="0"/>
        <w:rPr>
          <w:rFonts w:ascii="方正小标宋简体" w:eastAsia="方正小标宋简体"/>
          <w:bCs/>
          <w:sz w:val="32"/>
          <w:szCs w:val="32"/>
          <w:highlight w:val="none"/>
        </w:rPr>
      </w:pPr>
      <w:r>
        <w:rPr>
          <w:rFonts w:ascii="方正小标宋简体" w:eastAsia="方正小标宋简体"/>
          <w:bCs/>
          <w:sz w:val="32"/>
          <w:szCs w:val="32"/>
          <w:highlight w:val="none"/>
        </w:rPr>
        <w:br w:type="page"/>
      </w:r>
      <w:bookmarkStart w:id="98" w:name="_Toc28500"/>
      <w:r>
        <w:rPr>
          <w:rFonts w:hint="eastAsia" w:ascii="方正小标宋简体" w:eastAsia="方正小标宋简体"/>
          <w:bCs/>
          <w:sz w:val="32"/>
          <w:szCs w:val="32"/>
          <w:highlight w:val="none"/>
        </w:rPr>
        <w:t>第4章 合同文本</w:t>
      </w:r>
      <w:bookmarkEnd w:id="98"/>
    </w:p>
    <w:p w14:paraId="35FC0D43">
      <w:pPr>
        <w:widowControl/>
        <w:snapToGrid w:val="0"/>
        <w:spacing w:before="19"/>
        <w:jc w:val="center"/>
        <w:outlineLvl w:val="9"/>
        <w:rPr>
          <w:rFonts w:ascii="方正小标宋简体" w:eastAsia="方正小标宋简体"/>
          <w:sz w:val="32"/>
          <w:szCs w:val="32"/>
          <w:highlight w:val="none"/>
        </w:rPr>
      </w:pPr>
      <w:r>
        <w:rPr>
          <w:rFonts w:hint="eastAsia" w:ascii="方正小标宋简体" w:eastAsia="方正小标宋简体"/>
          <w:sz w:val="32"/>
          <w:szCs w:val="32"/>
          <w:highlight w:val="none"/>
        </w:rPr>
        <w:t>如皋市政府采购合同</w:t>
      </w:r>
    </w:p>
    <w:p w14:paraId="4155D9BB">
      <w:pPr>
        <w:ind w:firstLine="640" w:firstLineChars="200"/>
        <w:outlineLvl w:val="9"/>
        <w:rPr>
          <w:rFonts w:hint="eastAsia" w:ascii="仿宋" w:hAnsi="仿宋" w:eastAsia="仿宋"/>
          <w:sz w:val="32"/>
          <w:szCs w:val="32"/>
          <w:highlight w:val="none"/>
        </w:rPr>
      </w:pPr>
      <w:r>
        <w:rPr>
          <w:rFonts w:hint="eastAsia" w:ascii="仿宋" w:hAnsi="仿宋" w:eastAsia="仿宋"/>
          <w:sz w:val="32"/>
          <w:szCs w:val="32"/>
          <w:highlight w:val="none"/>
        </w:rPr>
        <w:t>项目名称：如皋法院无纸化数字加工服务</w:t>
      </w:r>
    </w:p>
    <w:p w14:paraId="742A8532">
      <w:pPr>
        <w:ind w:firstLine="640" w:firstLineChars="200"/>
        <w:outlineLvl w:val="9"/>
        <w:rPr>
          <w:rFonts w:hint="eastAsia" w:ascii="仿宋" w:hAnsi="仿宋" w:eastAsia="仿宋"/>
          <w:sz w:val="32"/>
          <w:szCs w:val="32"/>
          <w:highlight w:val="none"/>
          <w:lang w:eastAsia="zh-CN"/>
        </w:rPr>
      </w:pPr>
      <w:r>
        <w:rPr>
          <w:rFonts w:hint="eastAsia" w:ascii="仿宋" w:hAnsi="仿宋" w:eastAsia="仿宋"/>
          <w:sz w:val="32"/>
          <w:szCs w:val="32"/>
          <w:highlight w:val="none"/>
        </w:rPr>
        <w:t>项目编号：</w:t>
      </w:r>
      <w:r>
        <w:rPr>
          <w:rFonts w:hint="eastAsia" w:ascii="仿宋" w:hAnsi="仿宋" w:eastAsia="仿宋"/>
          <w:sz w:val="32"/>
          <w:szCs w:val="32"/>
          <w:highlight w:val="none"/>
          <w:lang w:eastAsia="zh-CN"/>
        </w:rPr>
        <w:t>JSZC-320682-NTJW-C2026-0039</w:t>
      </w:r>
    </w:p>
    <w:p w14:paraId="31429DDA">
      <w:pPr>
        <w:ind w:firstLine="640" w:firstLineChars="200"/>
        <w:outlineLvl w:val="9"/>
        <w:rPr>
          <w:rFonts w:hint="eastAsia" w:ascii="仿宋" w:hAnsi="仿宋" w:eastAsia="仿宋"/>
          <w:sz w:val="32"/>
          <w:szCs w:val="32"/>
          <w:highlight w:val="none"/>
          <w:u w:val="single"/>
          <w:lang w:val="en-US" w:eastAsia="zh-CN"/>
        </w:rPr>
      </w:pPr>
      <w:r>
        <w:rPr>
          <w:rFonts w:hint="eastAsia" w:ascii="仿宋" w:hAnsi="仿宋" w:eastAsia="仿宋"/>
          <w:sz w:val="32"/>
          <w:szCs w:val="32"/>
          <w:highlight w:val="none"/>
        </w:rPr>
        <w:t>甲方：</w:t>
      </w:r>
      <w:r>
        <w:rPr>
          <w:rFonts w:hint="eastAsia" w:ascii="仿宋" w:hAnsi="仿宋" w:eastAsia="仿宋"/>
          <w:sz w:val="32"/>
          <w:szCs w:val="32"/>
          <w:highlight w:val="none"/>
          <w:lang w:val="en-US" w:eastAsia="zh-CN"/>
        </w:rPr>
        <w:t>如皋市人民法院</w:t>
      </w:r>
    </w:p>
    <w:p w14:paraId="5DA3488C">
      <w:pPr>
        <w:ind w:firstLine="640" w:firstLineChars="200"/>
        <w:outlineLvl w:val="9"/>
        <w:rPr>
          <w:rFonts w:ascii="仿宋" w:hAnsi="仿宋" w:eastAsia="仿宋"/>
          <w:sz w:val="32"/>
          <w:szCs w:val="32"/>
          <w:highlight w:val="none"/>
        </w:rPr>
      </w:pPr>
      <w:r>
        <w:rPr>
          <w:rFonts w:hint="eastAsia" w:ascii="仿宋" w:hAnsi="仿宋" w:eastAsia="仿宋"/>
          <w:sz w:val="32"/>
          <w:szCs w:val="32"/>
          <w:highlight w:val="none"/>
        </w:rPr>
        <w:t>乙方：</w:t>
      </w:r>
    </w:p>
    <w:p w14:paraId="4A0AF83C">
      <w:pPr>
        <w:outlineLvl w:val="9"/>
        <w:rPr>
          <w:rFonts w:ascii="仿宋_GB2312" w:hAnsi="宋体" w:eastAsia="仿宋_GB2312"/>
          <w:sz w:val="32"/>
          <w:szCs w:val="32"/>
          <w:highlight w:val="none"/>
        </w:rPr>
      </w:pPr>
    </w:p>
    <w:p w14:paraId="4032662F">
      <w:pPr>
        <w:jc w:val="center"/>
        <w:outlineLvl w:val="9"/>
        <w:rPr>
          <w:rFonts w:ascii="仿宋" w:hAnsi="仿宋" w:eastAsia="仿宋"/>
          <w:sz w:val="32"/>
          <w:szCs w:val="32"/>
          <w:highlight w:val="none"/>
        </w:rPr>
      </w:pPr>
      <w:r>
        <w:rPr>
          <w:rFonts w:hint="eastAsia" w:ascii="仿宋" w:hAnsi="仿宋" w:eastAsia="仿宋"/>
          <w:sz w:val="32"/>
          <w:szCs w:val="32"/>
          <w:highlight w:val="none"/>
        </w:rPr>
        <w:t>签订时间：      年    月    日</w:t>
      </w:r>
    </w:p>
    <w:p w14:paraId="2CB835B4">
      <w:pPr>
        <w:ind w:firstLine="480" w:firstLineChars="200"/>
        <w:outlineLvl w:val="9"/>
        <w:rPr>
          <w:rFonts w:ascii="仿宋" w:hAnsi="仿宋" w:eastAsia="仿宋"/>
          <w:sz w:val="24"/>
          <w:highlight w:val="none"/>
        </w:rPr>
      </w:pPr>
      <w:r>
        <w:rPr>
          <w:rFonts w:hint="eastAsia" w:ascii="仿宋" w:hAnsi="仿宋" w:eastAsia="仿宋"/>
          <w:sz w:val="24"/>
          <w:highlight w:val="none"/>
        </w:rPr>
        <w:t>如皋法院无纸化数字加工服务项目委托</w:t>
      </w:r>
      <w:r>
        <w:rPr>
          <w:rFonts w:hint="eastAsia" w:ascii="仿宋" w:hAnsi="仿宋" w:eastAsia="仿宋"/>
          <w:sz w:val="24"/>
          <w:highlight w:val="none"/>
          <w:lang w:val="en-US" w:eastAsia="zh-CN"/>
        </w:rPr>
        <w:t>南通泾天纬地项目管理有限公司</w:t>
      </w:r>
      <w:r>
        <w:rPr>
          <w:rFonts w:hint="eastAsia" w:ascii="仿宋" w:hAnsi="仿宋" w:eastAsia="仿宋"/>
          <w:sz w:val="24"/>
          <w:highlight w:val="none"/>
        </w:rPr>
        <w:t>进行了政府采购。按照评委会评审推荐、甲方确定乙方为成交单位。现甲乙双方协商同意签订本合同。</w:t>
      </w:r>
    </w:p>
    <w:p w14:paraId="5CF298C2">
      <w:pPr>
        <w:numPr>
          <w:ilvl w:val="0"/>
          <w:numId w:val="1"/>
        </w:numPr>
        <w:tabs>
          <w:tab w:val="left" w:pos="0"/>
          <w:tab w:val="clear" w:pos="720"/>
        </w:tabs>
        <w:ind w:left="0" w:firstLine="482" w:firstLineChars="200"/>
        <w:outlineLvl w:val="9"/>
        <w:rPr>
          <w:rFonts w:ascii="仿宋" w:hAnsi="仿宋" w:eastAsia="仿宋"/>
          <w:b/>
          <w:sz w:val="24"/>
          <w:highlight w:val="none"/>
        </w:rPr>
      </w:pPr>
      <w:r>
        <w:rPr>
          <w:rFonts w:hint="eastAsia" w:ascii="仿宋" w:hAnsi="仿宋" w:eastAsia="仿宋"/>
          <w:b/>
          <w:sz w:val="24"/>
          <w:highlight w:val="none"/>
        </w:rPr>
        <w:t xml:space="preserve"> 合同文件</w:t>
      </w:r>
    </w:p>
    <w:p w14:paraId="4BB5FB34">
      <w:pPr>
        <w:ind w:firstLine="480" w:firstLineChars="200"/>
        <w:outlineLvl w:val="9"/>
        <w:rPr>
          <w:rFonts w:ascii="仿宋" w:hAnsi="仿宋" w:eastAsia="仿宋"/>
          <w:sz w:val="24"/>
          <w:highlight w:val="none"/>
        </w:rPr>
      </w:pPr>
      <w:r>
        <w:rPr>
          <w:rFonts w:ascii="仿宋" w:hAnsi="仿宋" w:eastAsia="仿宋"/>
          <w:sz w:val="24"/>
          <w:highlight w:val="none"/>
        </w:rPr>
        <w:t>下列与本次采购活动</w:t>
      </w:r>
      <w:r>
        <w:rPr>
          <w:rFonts w:hint="eastAsia" w:ascii="仿宋" w:hAnsi="仿宋" w:eastAsia="仿宋"/>
          <w:sz w:val="24"/>
          <w:highlight w:val="none"/>
        </w:rPr>
        <w:t>有关</w:t>
      </w:r>
      <w:r>
        <w:rPr>
          <w:rFonts w:ascii="仿宋" w:hAnsi="仿宋" w:eastAsia="仿宋"/>
          <w:sz w:val="24"/>
          <w:highlight w:val="none"/>
        </w:rPr>
        <w:t>的文件及附件是本合同不可分割的组成部分，与本合同具有同等法律效力，这些文件包括但不限于：</w:t>
      </w:r>
    </w:p>
    <w:p w14:paraId="42BD6C6F">
      <w:pPr>
        <w:ind w:firstLine="480" w:firstLineChars="200"/>
        <w:outlineLvl w:val="9"/>
        <w:rPr>
          <w:rFonts w:ascii="仿宋" w:hAnsi="仿宋" w:eastAsia="仿宋"/>
          <w:sz w:val="24"/>
          <w:highlight w:val="none"/>
        </w:rPr>
      </w:pPr>
      <w:r>
        <w:rPr>
          <w:rFonts w:hint="eastAsia" w:ascii="仿宋" w:hAnsi="仿宋" w:eastAsia="仿宋"/>
          <w:sz w:val="24"/>
          <w:highlight w:val="none"/>
        </w:rPr>
        <w:t>1.采购文件；</w:t>
      </w:r>
    </w:p>
    <w:p w14:paraId="1A26FE64">
      <w:pPr>
        <w:ind w:firstLine="480" w:firstLineChars="200"/>
        <w:outlineLvl w:val="9"/>
        <w:rPr>
          <w:rFonts w:ascii="仿宋" w:hAnsi="仿宋" w:eastAsia="仿宋"/>
          <w:sz w:val="24"/>
          <w:highlight w:val="none"/>
        </w:rPr>
      </w:pPr>
      <w:r>
        <w:rPr>
          <w:rFonts w:hint="eastAsia" w:ascii="仿宋" w:hAnsi="仿宋" w:eastAsia="仿宋"/>
          <w:sz w:val="24"/>
          <w:highlight w:val="none"/>
        </w:rPr>
        <w:t>2.竞争性磋商响应文件；</w:t>
      </w:r>
    </w:p>
    <w:p w14:paraId="19EAD139">
      <w:pPr>
        <w:ind w:firstLine="480" w:firstLineChars="200"/>
        <w:outlineLvl w:val="9"/>
        <w:rPr>
          <w:rFonts w:ascii="仿宋" w:hAnsi="仿宋" w:eastAsia="仿宋"/>
          <w:sz w:val="24"/>
          <w:highlight w:val="none"/>
        </w:rPr>
      </w:pPr>
      <w:r>
        <w:rPr>
          <w:rFonts w:hint="eastAsia" w:ascii="仿宋" w:hAnsi="仿宋" w:eastAsia="仿宋"/>
          <w:sz w:val="24"/>
          <w:highlight w:val="none"/>
        </w:rPr>
        <w:t>3.乙方在参加采购活动时的书面承诺；</w:t>
      </w:r>
    </w:p>
    <w:p w14:paraId="48EB6B46">
      <w:pPr>
        <w:ind w:firstLine="480" w:firstLineChars="200"/>
        <w:outlineLvl w:val="9"/>
        <w:rPr>
          <w:rFonts w:ascii="仿宋" w:hAnsi="仿宋" w:eastAsia="仿宋"/>
          <w:sz w:val="24"/>
          <w:highlight w:val="none"/>
        </w:rPr>
      </w:pPr>
      <w:r>
        <w:rPr>
          <w:rFonts w:hint="eastAsia" w:ascii="仿宋" w:hAnsi="仿宋" w:eastAsia="仿宋"/>
          <w:sz w:val="24"/>
          <w:highlight w:val="none"/>
        </w:rPr>
        <w:t>4.中标（成交）通知书；</w:t>
      </w:r>
    </w:p>
    <w:p w14:paraId="7701B4FB">
      <w:pPr>
        <w:ind w:firstLine="480" w:firstLineChars="200"/>
        <w:outlineLvl w:val="9"/>
        <w:rPr>
          <w:rFonts w:ascii="仿宋" w:hAnsi="仿宋" w:eastAsia="仿宋"/>
          <w:sz w:val="24"/>
          <w:highlight w:val="none"/>
        </w:rPr>
      </w:pPr>
      <w:r>
        <w:rPr>
          <w:rFonts w:hint="eastAsia" w:ascii="仿宋" w:hAnsi="仿宋" w:eastAsia="仿宋"/>
          <w:sz w:val="24"/>
          <w:highlight w:val="none"/>
        </w:rPr>
        <w:t>5.合同补充条款或说明；</w:t>
      </w:r>
    </w:p>
    <w:p w14:paraId="7572DE75">
      <w:pPr>
        <w:ind w:firstLine="480" w:firstLineChars="200"/>
        <w:outlineLvl w:val="9"/>
        <w:rPr>
          <w:rFonts w:ascii="仿宋" w:hAnsi="仿宋" w:eastAsia="仿宋"/>
          <w:sz w:val="24"/>
          <w:highlight w:val="none"/>
        </w:rPr>
      </w:pPr>
      <w:r>
        <w:rPr>
          <w:rFonts w:hint="eastAsia" w:ascii="仿宋" w:hAnsi="仿宋" w:eastAsia="仿宋"/>
          <w:sz w:val="24"/>
          <w:highlight w:val="none"/>
        </w:rPr>
        <w:t>6.保密协议或条款；</w:t>
      </w:r>
    </w:p>
    <w:p w14:paraId="420A2D60">
      <w:pPr>
        <w:ind w:firstLine="480" w:firstLineChars="200"/>
        <w:outlineLvl w:val="9"/>
        <w:rPr>
          <w:rFonts w:ascii="仿宋" w:hAnsi="仿宋" w:eastAsia="仿宋"/>
          <w:sz w:val="24"/>
          <w:highlight w:val="none"/>
        </w:rPr>
      </w:pPr>
      <w:r>
        <w:rPr>
          <w:rFonts w:hint="eastAsia" w:ascii="仿宋" w:hAnsi="仿宋" w:eastAsia="仿宋"/>
          <w:sz w:val="24"/>
          <w:highlight w:val="none"/>
        </w:rPr>
        <w:t>7.相关附件、图纸及电子版资料。</w:t>
      </w:r>
    </w:p>
    <w:p w14:paraId="7304CAA3">
      <w:pPr>
        <w:ind w:left="482"/>
        <w:outlineLvl w:val="9"/>
        <w:rPr>
          <w:rFonts w:ascii="仿宋" w:hAnsi="仿宋" w:eastAsia="仿宋"/>
          <w:b/>
          <w:sz w:val="24"/>
          <w:highlight w:val="none"/>
        </w:rPr>
      </w:pPr>
      <w:r>
        <w:rPr>
          <w:rFonts w:hint="eastAsia" w:ascii="仿宋" w:hAnsi="仿宋" w:eastAsia="仿宋"/>
          <w:b/>
          <w:sz w:val="24"/>
          <w:highlight w:val="none"/>
        </w:rPr>
        <w:t>第二条  合同内容</w:t>
      </w:r>
    </w:p>
    <w:p w14:paraId="5B4F16EB">
      <w:pPr>
        <w:ind w:firstLine="480" w:firstLineChars="200"/>
        <w:outlineLvl w:val="9"/>
        <w:rPr>
          <w:rFonts w:ascii="仿宋" w:hAnsi="仿宋" w:eastAsia="仿宋"/>
          <w:sz w:val="24"/>
          <w:highlight w:val="none"/>
        </w:rPr>
      </w:pPr>
      <w:r>
        <w:rPr>
          <w:rFonts w:hint="eastAsia" w:ascii="仿宋" w:hAnsi="仿宋" w:eastAsia="仿宋"/>
          <w:sz w:val="24"/>
          <w:highlight w:val="none"/>
        </w:rPr>
        <w:t xml:space="preserve">服务名称：详见合同附件中《服务一览表》  </w:t>
      </w:r>
    </w:p>
    <w:p w14:paraId="7178DA78">
      <w:pPr>
        <w:ind w:left="482"/>
        <w:outlineLvl w:val="9"/>
        <w:rPr>
          <w:rFonts w:ascii="仿宋" w:hAnsi="仿宋" w:eastAsia="仿宋"/>
          <w:b/>
          <w:sz w:val="24"/>
          <w:highlight w:val="none"/>
        </w:rPr>
      </w:pPr>
      <w:r>
        <w:rPr>
          <w:rFonts w:hint="eastAsia" w:ascii="仿宋" w:hAnsi="仿宋" w:eastAsia="仿宋"/>
          <w:b/>
          <w:sz w:val="24"/>
          <w:highlight w:val="none"/>
        </w:rPr>
        <w:t>第三条  合同金额</w:t>
      </w:r>
    </w:p>
    <w:p w14:paraId="5FB3B810">
      <w:pPr>
        <w:ind w:firstLine="480" w:firstLineChars="200"/>
        <w:outlineLvl w:val="9"/>
        <w:rPr>
          <w:rFonts w:ascii="仿宋" w:hAnsi="仿宋" w:eastAsia="仿宋"/>
          <w:sz w:val="24"/>
          <w:highlight w:val="none"/>
        </w:rPr>
      </w:pPr>
      <w:r>
        <w:rPr>
          <w:rFonts w:hint="eastAsia" w:ascii="仿宋" w:hAnsi="仿宋" w:eastAsia="仿宋"/>
          <w:sz w:val="24"/>
          <w:highlight w:val="none"/>
        </w:rPr>
        <w:t>分项价款在《服务一览表》中有明确规定。</w:t>
      </w:r>
    </w:p>
    <w:p w14:paraId="16A1134D">
      <w:pPr>
        <w:ind w:firstLine="480" w:firstLineChars="200"/>
        <w:outlineLvl w:val="9"/>
        <w:rPr>
          <w:rFonts w:ascii="仿宋" w:hAnsi="仿宋" w:eastAsia="仿宋"/>
          <w:sz w:val="24"/>
          <w:highlight w:val="none"/>
        </w:rPr>
      </w:pPr>
      <w:r>
        <w:rPr>
          <w:rFonts w:hint="eastAsia" w:ascii="仿宋" w:hAnsi="仿宋" w:eastAsia="仿宋"/>
          <w:sz w:val="24"/>
          <w:highlight w:val="none"/>
        </w:rPr>
        <w:t>本合同总价款包括为完成本项目在服务期内完成服务内容所需要的一切费用，包括但不限于所有涉及的软、硬件成本、运输费、工具、通讯、服装、各种税费、人工、保险、劳保、维护、加班费、福利、利润、工商税金、管理费、安全管理、以及政策性文件规定及合同包含的所有风险、责任等项目相关一切费用。</w:t>
      </w:r>
    </w:p>
    <w:p w14:paraId="45F0D280">
      <w:pPr>
        <w:ind w:firstLine="480" w:firstLineChars="200"/>
        <w:outlineLvl w:val="9"/>
        <w:rPr>
          <w:rFonts w:ascii="仿宋" w:hAnsi="仿宋" w:eastAsia="仿宋"/>
          <w:sz w:val="24"/>
          <w:highlight w:val="none"/>
        </w:rPr>
      </w:pPr>
      <w:r>
        <w:rPr>
          <w:rFonts w:hint="eastAsia" w:ascii="仿宋" w:hAnsi="仿宋" w:eastAsia="仿宋"/>
          <w:sz w:val="24"/>
          <w:highlight w:val="none"/>
        </w:rPr>
        <w:t>本合同执行期内</w:t>
      </w:r>
      <w:r>
        <w:rPr>
          <w:rFonts w:hint="eastAsia" w:ascii="仿宋" w:hAnsi="仿宋" w:eastAsia="仿宋"/>
          <w:sz w:val="24"/>
          <w:highlight w:val="none"/>
          <w:lang w:val="en-US" w:eastAsia="zh-CN"/>
        </w:rPr>
        <w:t>按实际工作量进行结算，</w:t>
      </w:r>
      <w:r>
        <w:rPr>
          <w:rFonts w:hint="eastAsia" w:ascii="仿宋" w:hAnsi="仿宋" w:eastAsia="仿宋"/>
          <w:sz w:val="24"/>
          <w:highlight w:val="none"/>
        </w:rPr>
        <w:t>因工作量变化而引起的服务费用的变动，</w:t>
      </w:r>
      <w:r>
        <w:rPr>
          <w:rFonts w:hint="eastAsia" w:ascii="仿宋" w:hAnsi="仿宋" w:eastAsia="仿宋"/>
          <w:sz w:val="24"/>
          <w:highlight w:val="none"/>
          <w:lang w:val="en-US" w:eastAsia="zh-CN"/>
        </w:rPr>
        <w:t>不得超过项目预算，超过部分不予结算。</w:t>
      </w:r>
    </w:p>
    <w:p w14:paraId="02EE7B4E">
      <w:pPr>
        <w:ind w:left="482"/>
        <w:outlineLvl w:val="9"/>
        <w:rPr>
          <w:rFonts w:ascii="仿宋" w:hAnsi="仿宋" w:eastAsia="仿宋"/>
          <w:b/>
          <w:sz w:val="24"/>
          <w:highlight w:val="none"/>
        </w:rPr>
      </w:pPr>
      <w:r>
        <w:rPr>
          <w:rFonts w:hint="eastAsia" w:ascii="仿宋" w:hAnsi="仿宋" w:eastAsia="仿宋"/>
          <w:b/>
          <w:sz w:val="24"/>
          <w:highlight w:val="none"/>
        </w:rPr>
        <w:t>第四条  权利义务和质量保证</w:t>
      </w:r>
    </w:p>
    <w:p w14:paraId="34C1057E">
      <w:pPr>
        <w:pStyle w:val="10"/>
        <w:tabs>
          <w:tab w:val="left" w:pos="0"/>
        </w:tabs>
        <w:spacing w:line="240" w:lineRule="auto"/>
        <w:ind w:firstLine="480" w:firstLineChars="200"/>
        <w:outlineLvl w:val="9"/>
        <w:rPr>
          <w:rFonts w:ascii="仿宋" w:hAnsi="仿宋" w:eastAsia="仿宋"/>
          <w:sz w:val="24"/>
          <w:szCs w:val="24"/>
          <w:highlight w:val="none"/>
        </w:rPr>
      </w:pPr>
      <w:r>
        <w:rPr>
          <w:rFonts w:hint="eastAsia" w:ascii="仿宋" w:hAnsi="仿宋" w:eastAsia="仿宋"/>
          <w:sz w:val="24"/>
          <w:szCs w:val="24"/>
          <w:highlight w:val="none"/>
        </w:rPr>
        <w:t>1.甲方保证服务期间，对乙方工作给予支持，提供水、电、场地等必须的基础工作条件。如乙方有需要，还要提供履行合同所必需的有关图纸、数据、资料等。没有甲方事先同意，乙方不得将甲方资料提供给与履行本合同无关的任何其他人。即使向履行本合同有关的人员提供，也应注意保密并限于履行合同的必需范围内。</w:t>
      </w:r>
    </w:p>
    <w:p w14:paraId="7061B14B">
      <w:pPr>
        <w:pStyle w:val="10"/>
        <w:spacing w:line="240" w:lineRule="auto"/>
        <w:ind w:firstLine="480" w:firstLineChars="200"/>
        <w:outlineLvl w:val="9"/>
        <w:rPr>
          <w:rFonts w:ascii="仿宋" w:hAnsi="仿宋" w:eastAsia="仿宋"/>
          <w:sz w:val="24"/>
          <w:szCs w:val="24"/>
          <w:highlight w:val="none"/>
        </w:rPr>
      </w:pPr>
      <w:r>
        <w:rPr>
          <w:rFonts w:hint="eastAsia" w:ascii="仿宋" w:hAnsi="仿宋" w:eastAsia="仿宋"/>
          <w:sz w:val="24"/>
          <w:szCs w:val="24"/>
          <w:highlight w:val="none"/>
        </w:rPr>
        <w:t>2.乙方保证所提供的服务或其任何一部分均不会侵犯任何第三方的专利权、商标权或著作权。</w:t>
      </w:r>
      <w:r>
        <w:rPr>
          <w:rFonts w:ascii="仿宋" w:hAnsi="仿宋" w:eastAsia="仿宋"/>
          <w:sz w:val="24"/>
          <w:szCs w:val="24"/>
          <w:highlight w:val="none"/>
        </w:rPr>
        <w:t>一旦出现侵权，</w:t>
      </w:r>
      <w:r>
        <w:rPr>
          <w:rFonts w:hint="eastAsia" w:ascii="仿宋" w:hAnsi="仿宋" w:eastAsia="仿宋"/>
          <w:sz w:val="24"/>
          <w:szCs w:val="24"/>
          <w:highlight w:val="none"/>
        </w:rPr>
        <w:t>索赔或诉讼</w:t>
      </w:r>
      <w:r>
        <w:rPr>
          <w:rFonts w:ascii="仿宋" w:hAnsi="仿宋" w:eastAsia="仿宋"/>
          <w:sz w:val="24"/>
          <w:szCs w:val="24"/>
          <w:highlight w:val="none"/>
        </w:rPr>
        <w:t>，乙方应承担全部责任。</w:t>
      </w:r>
      <w:r>
        <w:rPr>
          <w:rFonts w:hint="eastAsia" w:ascii="仿宋" w:hAnsi="仿宋" w:eastAsia="仿宋"/>
          <w:sz w:val="24"/>
          <w:szCs w:val="24"/>
          <w:highlight w:val="none"/>
        </w:rPr>
        <w:t>乙方保证服务不存在危及人身及财产安全的隐患，不存在违反国家法规、法令、法律以及行业规范所要求的有关安全条款，否则应承担全部法律责任。</w:t>
      </w:r>
    </w:p>
    <w:p w14:paraId="3471ECDE">
      <w:pPr>
        <w:ind w:left="482"/>
        <w:outlineLvl w:val="9"/>
        <w:rPr>
          <w:rFonts w:ascii="仿宋" w:hAnsi="仿宋" w:eastAsia="仿宋"/>
          <w:b/>
          <w:sz w:val="24"/>
          <w:highlight w:val="none"/>
        </w:rPr>
      </w:pPr>
      <w:r>
        <w:rPr>
          <w:rFonts w:hint="eastAsia" w:ascii="仿宋" w:hAnsi="仿宋" w:eastAsia="仿宋"/>
          <w:b/>
          <w:sz w:val="24"/>
          <w:highlight w:val="none"/>
        </w:rPr>
        <w:t>第五条  付款方式</w:t>
      </w:r>
    </w:p>
    <w:p w14:paraId="23B55B57">
      <w:pPr>
        <w:ind w:firstLine="480" w:firstLineChars="200"/>
        <w:outlineLvl w:val="9"/>
        <w:rPr>
          <w:rFonts w:ascii="仿宋" w:hAnsi="仿宋" w:eastAsia="仿宋"/>
          <w:sz w:val="24"/>
          <w:highlight w:val="none"/>
        </w:rPr>
      </w:pPr>
      <w:r>
        <w:rPr>
          <w:rFonts w:hint="eastAsia" w:ascii="仿宋" w:hAnsi="仿宋" w:eastAsia="仿宋"/>
          <w:sz w:val="24"/>
          <w:highlight w:val="none"/>
        </w:rPr>
        <w:t>1.本合同项下所有款项均以人民币支付。</w:t>
      </w:r>
    </w:p>
    <w:p w14:paraId="1F8F1980">
      <w:pPr>
        <w:ind w:firstLine="480" w:firstLineChars="200"/>
        <w:outlineLvl w:val="9"/>
        <w:rPr>
          <w:rFonts w:ascii="仿宋" w:hAnsi="仿宋" w:eastAsia="仿宋"/>
          <w:sz w:val="24"/>
          <w:highlight w:val="none"/>
        </w:rPr>
      </w:pPr>
      <w:r>
        <w:rPr>
          <w:rFonts w:hint="eastAsia" w:ascii="仿宋" w:hAnsi="仿宋" w:eastAsia="仿宋"/>
          <w:sz w:val="24"/>
          <w:highlight w:val="none"/>
        </w:rPr>
        <w:t>2.乙方向甲方提交下列文件材料，经甲方审核无误后支付采购资金：</w:t>
      </w:r>
    </w:p>
    <w:p w14:paraId="72FEC123">
      <w:pPr>
        <w:ind w:firstLine="480" w:firstLineChars="200"/>
        <w:outlineLvl w:val="9"/>
        <w:rPr>
          <w:rFonts w:ascii="仿宋" w:hAnsi="仿宋" w:eastAsia="仿宋"/>
          <w:sz w:val="24"/>
          <w:highlight w:val="none"/>
        </w:rPr>
      </w:pPr>
      <w:r>
        <w:rPr>
          <w:rFonts w:hint="eastAsia" w:ascii="仿宋" w:hAnsi="仿宋" w:eastAsia="仿宋"/>
          <w:sz w:val="24"/>
          <w:highlight w:val="none"/>
        </w:rPr>
        <w:t>（1）经甲方确认的发票；</w:t>
      </w:r>
    </w:p>
    <w:p w14:paraId="442F0292">
      <w:pPr>
        <w:ind w:firstLine="480" w:firstLineChars="200"/>
        <w:outlineLvl w:val="9"/>
        <w:rPr>
          <w:rFonts w:ascii="仿宋" w:hAnsi="仿宋" w:eastAsia="仿宋"/>
          <w:sz w:val="24"/>
          <w:highlight w:val="none"/>
        </w:rPr>
      </w:pPr>
      <w:r>
        <w:rPr>
          <w:rFonts w:hint="eastAsia" w:ascii="仿宋" w:hAnsi="仿宋" w:eastAsia="仿宋"/>
          <w:sz w:val="24"/>
          <w:highlight w:val="none"/>
        </w:rPr>
        <w:t>（2）经甲乙双方确认签订的《验收报告》（或按项目进度阶段性《验收报告》）；</w:t>
      </w:r>
    </w:p>
    <w:p w14:paraId="6BDF2C0B">
      <w:pPr>
        <w:ind w:firstLine="480" w:firstLineChars="200"/>
        <w:outlineLvl w:val="9"/>
        <w:rPr>
          <w:rFonts w:ascii="仿宋" w:hAnsi="仿宋" w:eastAsia="仿宋"/>
          <w:sz w:val="24"/>
          <w:highlight w:val="none"/>
        </w:rPr>
      </w:pPr>
      <w:r>
        <w:rPr>
          <w:rFonts w:hint="eastAsia" w:ascii="仿宋" w:hAnsi="仿宋" w:eastAsia="仿宋"/>
          <w:sz w:val="24"/>
          <w:highlight w:val="none"/>
        </w:rPr>
        <w:t>（3）其他材料。</w:t>
      </w:r>
    </w:p>
    <w:p w14:paraId="245F059A">
      <w:pPr>
        <w:ind w:firstLine="480" w:firstLineChars="200"/>
        <w:outlineLvl w:val="9"/>
        <w:rPr>
          <w:rFonts w:ascii="仿宋" w:hAnsi="仿宋" w:eastAsia="仿宋"/>
          <w:sz w:val="24"/>
          <w:highlight w:val="none"/>
        </w:rPr>
      </w:pPr>
      <w:r>
        <w:rPr>
          <w:rFonts w:hint="eastAsia" w:ascii="仿宋" w:hAnsi="仿宋" w:eastAsia="仿宋"/>
          <w:sz w:val="24"/>
          <w:highlight w:val="none"/>
        </w:rPr>
        <w:t>3.每季度按合同单价及电子卷宗扫描实际工作量进行结算，每年度总服务金额不得超过本项目预算金额（120万），超过部分不予结算。在下季度第一个月10号前支付上季度服务费用。每次支付前，</w:t>
      </w:r>
      <w:r>
        <w:rPr>
          <w:rFonts w:hint="eastAsia" w:ascii="仿宋" w:hAnsi="仿宋" w:eastAsia="仿宋"/>
          <w:sz w:val="24"/>
          <w:highlight w:val="none"/>
          <w:lang w:val="en-US" w:eastAsia="zh-CN"/>
        </w:rPr>
        <w:t>乙方</w:t>
      </w:r>
      <w:r>
        <w:rPr>
          <w:rFonts w:hint="eastAsia" w:ascii="仿宋" w:hAnsi="仿宋" w:eastAsia="仿宋"/>
          <w:sz w:val="24"/>
          <w:highlight w:val="none"/>
        </w:rPr>
        <w:t>均应出具在税务部门开具的正式税票。</w:t>
      </w:r>
    </w:p>
    <w:p w14:paraId="60D312B2">
      <w:pPr>
        <w:ind w:left="482"/>
        <w:outlineLvl w:val="9"/>
        <w:rPr>
          <w:rFonts w:ascii="仿宋" w:hAnsi="仿宋" w:eastAsia="仿宋"/>
          <w:b/>
          <w:sz w:val="24"/>
          <w:highlight w:val="none"/>
        </w:rPr>
      </w:pPr>
      <w:r>
        <w:rPr>
          <w:rFonts w:hint="eastAsia" w:ascii="仿宋" w:hAnsi="仿宋" w:eastAsia="仿宋"/>
          <w:b/>
          <w:sz w:val="24"/>
          <w:highlight w:val="none"/>
        </w:rPr>
        <w:t>第六条  验收</w:t>
      </w:r>
    </w:p>
    <w:p w14:paraId="599659E6">
      <w:pPr>
        <w:ind w:firstLine="480" w:firstLineChars="200"/>
        <w:outlineLvl w:val="9"/>
        <w:rPr>
          <w:rFonts w:ascii="仿宋" w:hAnsi="仿宋" w:eastAsia="仿宋"/>
          <w:sz w:val="24"/>
          <w:highlight w:val="none"/>
        </w:rPr>
      </w:pPr>
      <w:r>
        <w:rPr>
          <w:rFonts w:hint="eastAsia" w:ascii="仿宋" w:hAnsi="仿宋" w:eastAsia="仿宋"/>
          <w:sz w:val="24"/>
          <w:highlight w:val="none"/>
        </w:rPr>
        <w:t>1.服务期限：  至 。</w:t>
      </w:r>
    </w:p>
    <w:p w14:paraId="0CE70A33">
      <w:pPr>
        <w:ind w:firstLine="720" w:firstLineChars="300"/>
        <w:outlineLvl w:val="9"/>
        <w:rPr>
          <w:rFonts w:ascii="仿宋" w:hAnsi="仿宋" w:eastAsia="仿宋"/>
          <w:sz w:val="24"/>
          <w:highlight w:val="none"/>
        </w:rPr>
      </w:pPr>
      <w:r>
        <w:rPr>
          <w:rFonts w:hint="eastAsia" w:ascii="仿宋" w:hAnsi="仿宋" w:eastAsia="仿宋"/>
          <w:sz w:val="24"/>
          <w:highlight w:val="none"/>
        </w:rPr>
        <w:t>服务地点： 。</w:t>
      </w:r>
    </w:p>
    <w:p w14:paraId="325C78A1">
      <w:pPr>
        <w:ind w:firstLine="720" w:firstLineChars="300"/>
        <w:outlineLvl w:val="9"/>
        <w:rPr>
          <w:rFonts w:ascii="仿宋" w:hAnsi="仿宋" w:eastAsia="仿宋"/>
          <w:sz w:val="24"/>
          <w:highlight w:val="none"/>
          <w:u w:val="single"/>
        </w:rPr>
      </w:pPr>
      <w:r>
        <w:rPr>
          <w:rFonts w:hint="eastAsia" w:ascii="仿宋" w:hAnsi="仿宋" w:eastAsia="仿宋"/>
          <w:sz w:val="24"/>
          <w:highlight w:val="none"/>
        </w:rPr>
        <w:t>验收时间： 。</w:t>
      </w:r>
    </w:p>
    <w:p w14:paraId="5B15BA3C">
      <w:pPr>
        <w:ind w:firstLine="720" w:firstLineChars="300"/>
        <w:outlineLvl w:val="9"/>
        <w:rPr>
          <w:rFonts w:ascii="仿宋" w:hAnsi="仿宋" w:eastAsia="仿宋"/>
          <w:sz w:val="24"/>
          <w:highlight w:val="none"/>
        </w:rPr>
      </w:pPr>
      <w:r>
        <w:rPr>
          <w:rFonts w:hint="eastAsia" w:ascii="仿宋" w:hAnsi="仿宋" w:eastAsia="仿宋"/>
          <w:sz w:val="24"/>
          <w:highlight w:val="none"/>
        </w:rPr>
        <w:t>验收地点： 。</w:t>
      </w:r>
    </w:p>
    <w:p w14:paraId="712F1BD6">
      <w:pPr>
        <w:pStyle w:val="10"/>
        <w:tabs>
          <w:tab w:val="left" w:pos="0"/>
        </w:tabs>
        <w:spacing w:line="240" w:lineRule="auto"/>
        <w:ind w:firstLine="480" w:firstLineChars="200"/>
        <w:outlineLvl w:val="9"/>
        <w:rPr>
          <w:rFonts w:ascii="仿宋" w:hAnsi="仿宋" w:eastAsia="仿宋"/>
          <w:sz w:val="24"/>
          <w:szCs w:val="24"/>
          <w:highlight w:val="none"/>
        </w:rPr>
      </w:pPr>
      <w:r>
        <w:rPr>
          <w:rFonts w:hint="eastAsia" w:ascii="仿宋" w:hAnsi="仿宋" w:eastAsia="仿宋"/>
          <w:sz w:val="24"/>
          <w:szCs w:val="24"/>
          <w:highlight w:val="none"/>
        </w:rPr>
        <w:t>2. 乙方应对提供的服务成果作出全面自查和整理，并列出清单，作为甲方验收和使用的服务条件依据，清单应随提供的服务成果交给甲方。</w:t>
      </w:r>
    </w:p>
    <w:p w14:paraId="23691093">
      <w:pPr>
        <w:ind w:firstLine="480" w:firstLineChars="200"/>
        <w:outlineLvl w:val="9"/>
        <w:rPr>
          <w:rFonts w:ascii="仿宋" w:hAnsi="仿宋" w:eastAsia="仿宋"/>
          <w:sz w:val="24"/>
          <w:highlight w:val="none"/>
        </w:rPr>
      </w:pPr>
      <w:r>
        <w:rPr>
          <w:rFonts w:hint="eastAsia" w:ascii="仿宋" w:hAnsi="仿宋" w:eastAsia="仿宋"/>
          <w:sz w:val="24"/>
          <w:highlight w:val="none"/>
        </w:rPr>
        <w:t>3.验收时，甲乙双方必须同时在场，</w:t>
      </w:r>
      <w:r>
        <w:rPr>
          <w:rFonts w:ascii="仿宋" w:hAnsi="仿宋" w:eastAsia="仿宋"/>
          <w:sz w:val="24"/>
          <w:highlight w:val="none"/>
        </w:rPr>
        <w:t>乙方所</w:t>
      </w:r>
      <w:r>
        <w:rPr>
          <w:rFonts w:hint="eastAsia" w:ascii="仿宋" w:hAnsi="仿宋" w:eastAsia="仿宋"/>
          <w:sz w:val="24"/>
          <w:highlight w:val="none"/>
        </w:rPr>
        <w:t>提供</w:t>
      </w:r>
      <w:r>
        <w:rPr>
          <w:rFonts w:ascii="仿宋" w:hAnsi="仿宋" w:eastAsia="仿宋"/>
          <w:sz w:val="24"/>
          <w:highlight w:val="none"/>
        </w:rPr>
        <w:t>的</w:t>
      </w:r>
      <w:r>
        <w:rPr>
          <w:rFonts w:hint="eastAsia" w:ascii="仿宋" w:hAnsi="仿宋" w:eastAsia="仿宋"/>
          <w:sz w:val="24"/>
          <w:highlight w:val="none"/>
        </w:rPr>
        <w:t>服务</w:t>
      </w:r>
      <w:r>
        <w:rPr>
          <w:rFonts w:ascii="仿宋" w:hAnsi="仿宋" w:eastAsia="仿宋"/>
          <w:sz w:val="24"/>
          <w:highlight w:val="none"/>
        </w:rPr>
        <w:t>不符合合同</w:t>
      </w:r>
      <w:r>
        <w:rPr>
          <w:rFonts w:hint="eastAsia" w:ascii="仿宋" w:hAnsi="仿宋" w:eastAsia="仿宋"/>
          <w:sz w:val="24"/>
          <w:highlight w:val="none"/>
        </w:rPr>
        <w:t>内容</w:t>
      </w:r>
      <w:r>
        <w:rPr>
          <w:rFonts w:ascii="仿宋" w:hAnsi="仿宋" w:eastAsia="仿宋"/>
          <w:sz w:val="24"/>
          <w:highlight w:val="none"/>
        </w:rPr>
        <w:t>规定的，甲方有权</w:t>
      </w:r>
      <w:r>
        <w:rPr>
          <w:rFonts w:hint="eastAsia" w:ascii="仿宋" w:hAnsi="仿宋" w:eastAsia="仿宋"/>
          <w:sz w:val="24"/>
          <w:highlight w:val="none"/>
        </w:rPr>
        <w:t>拒绝验收。乙方应及时按本合同内容规定和甲方要求免费进行整改，直至验收合格，方视为乙方按本合同规定完成服务</w:t>
      </w:r>
      <w:r>
        <w:rPr>
          <w:rFonts w:ascii="仿宋" w:hAnsi="仿宋" w:eastAsia="仿宋"/>
          <w:sz w:val="24"/>
          <w:highlight w:val="none"/>
        </w:rPr>
        <w:t>。</w:t>
      </w:r>
      <w:r>
        <w:rPr>
          <w:rFonts w:hint="eastAsia" w:ascii="仿宋" w:hAnsi="仿宋" w:eastAsia="仿宋"/>
          <w:sz w:val="24"/>
          <w:highlight w:val="none"/>
        </w:rPr>
        <w:t>验收合格的，填写《履约验收报告》。在经过两次限期整改后，服务仍达不到合同文件规定内容的，甲方有权拒收，并可以解除合同；由此引起甲方损失及赔偿责任由乙方承担。</w:t>
      </w:r>
    </w:p>
    <w:p w14:paraId="648104B1">
      <w:pPr>
        <w:snapToGrid w:val="0"/>
        <w:ind w:firstLine="482"/>
        <w:textAlignment w:val="baseline"/>
        <w:outlineLvl w:val="9"/>
        <w:rPr>
          <w:rFonts w:ascii="仿宋" w:hAnsi="仿宋" w:eastAsia="仿宋"/>
          <w:sz w:val="24"/>
          <w:highlight w:val="none"/>
        </w:rPr>
      </w:pPr>
      <w:r>
        <w:rPr>
          <w:rFonts w:hint="eastAsia" w:ascii="仿宋" w:hAnsi="仿宋" w:eastAsia="仿宋"/>
          <w:sz w:val="24"/>
          <w:highlight w:val="none"/>
        </w:rPr>
        <w:t>4.甲方可以视项目规模或复杂情况聘请专业人员参与验收，</w:t>
      </w:r>
      <w:r>
        <w:rPr>
          <w:rFonts w:ascii="仿宋" w:hAnsi="仿宋" w:eastAsia="仿宋"/>
          <w:sz w:val="24"/>
          <w:highlight w:val="none"/>
        </w:rPr>
        <w:t>大型或复杂项目</w:t>
      </w:r>
      <w:r>
        <w:rPr>
          <w:rFonts w:hint="eastAsia" w:ascii="仿宋" w:hAnsi="仿宋" w:eastAsia="仿宋"/>
          <w:sz w:val="24"/>
          <w:highlight w:val="none"/>
        </w:rPr>
        <w:t>，以及涉及专业服务内容的应当</w:t>
      </w:r>
      <w:r>
        <w:rPr>
          <w:rFonts w:ascii="仿宋" w:hAnsi="仿宋" w:eastAsia="仿宋"/>
          <w:sz w:val="24"/>
          <w:highlight w:val="none"/>
        </w:rPr>
        <w:t>邀请国家认可的第三方质量检测机构参与验收。</w:t>
      </w:r>
    </w:p>
    <w:p w14:paraId="3EC57A03">
      <w:pPr>
        <w:snapToGrid w:val="0"/>
        <w:ind w:firstLine="482"/>
        <w:textAlignment w:val="baseline"/>
        <w:outlineLvl w:val="9"/>
        <w:rPr>
          <w:rFonts w:ascii="仿宋" w:hAnsi="仿宋" w:eastAsia="仿宋"/>
          <w:sz w:val="24"/>
          <w:highlight w:val="none"/>
        </w:rPr>
      </w:pPr>
      <w:r>
        <w:rPr>
          <w:rFonts w:hint="eastAsia" w:ascii="仿宋" w:hAnsi="仿宋" w:eastAsia="仿宋"/>
          <w:sz w:val="24"/>
          <w:highlight w:val="none"/>
        </w:rPr>
        <w:t>5.如项目实施情况需要分阶段验收，则根据实际情况分阶段出具《履约验收报告》。</w:t>
      </w:r>
    </w:p>
    <w:p w14:paraId="36CA833B">
      <w:pPr>
        <w:ind w:firstLine="480" w:firstLineChars="200"/>
        <w:outlineLvl w:val="9"/>
        <w:rPr>
          <w:rFonts w:ascii="仿宋" w:hAnsi="仿宋" w:eastAsia="仿宋"/>
          <w:sz w:val="24"/>
          <w:highlight w:val="none"/>
        </w:rPr>
      </w:pPr>
      <w:r>
        <w:rPr>
          <w:rFonts w:hint="eastAsia" w:ascii="仿宋" w:hAnsi="仿宋" w:eastAsia="仿宋"/>
          <w:sz w:val="24"/>
          <w:highlight w:val="none"/>
        </w:rPr>
        <w:t>6.如果合同双方对《履约验收报告》有分歧，双方须于出现分歧后天内给对方书面声明，以陈述己方的理由及要求，并附有关证据。分歧应通过协商解决。</w:t>
      </w:r>
    </w:p>
    <w:p w14:paraId="2D80BBB4">
      <w:pPr>
        <w:ind w:left="482"/>
        <w:outlineLvl w:val="9"/>
        <w:rPr>
          <w:rFonts w:ascii="仿宋" w:hAnsi="仿宋" w:eastAsia="仿宋"/>
          <w:b/>
          <w:sz w:val="24"/>
          <w:highlight w:val="none"/>
        </w:rPr>
      </w:pPr>
      <w:r>
        <w:rPr>
          <w:rFonts w:hint="eastAsia" w:ascii="仿宋" w:hAnsi="仿宋" w:eastAsia="仿宋"/>
          <w:b/>
          <w:sz w:val="24"/>
          <w:highlight w:val="none"/>
        </w:rPr>
        <w:t>第七条  项目管理服务</w:t>
      </w:r>
    </w:p>
    <w:p w14:paraId="1C1689A3">
      <w:pPr>
        <w:ind w:firstLine="480" w:firstLineChars="200"/>
        <w:outlineLvl w:val="9"/>
        <w:rPr>
          <w:rFonts w:ascii="仿宋" w:hAnsi="仿宋" w:eastAsia="仿宋"/>
          <w:sz w:val="24"/>
          <w:highlight w:val="none"/>
        </w:rPr>
      </w:pPr>
      <w:r>
        <w:rPr>
          <w:rFonts w:hint="eastAsia" w:ascii="仿宋" w:hAnsi="仿宋" w:eastAsia="仿宋"/>
          <w:sz w:val="24"/>
          <w:highlight w:val="none"/>
        </w:rPr>
        <w:t>乙方要指定不少于一人全权全程负责本项目服务的落实，包括服务的咨询、执行和后续工作。</w:t>
      </w:r>
    </w:p>
    <w:p w14:paraId="55439C75">
      <w:pPr>
        <w:snapToGrid w:val="0"/>
        <w:ind w:firstLine="481"/>
        <w:textAlignment w:val="baseline"/>
        <w:outlineLvl w:val="9"/>
        <w:rPr>
          <w:rFonts w:ascii="仿宋" w:hAnsi="仿宋" w:eastAsia="仿宋"/>
          <w:sz w:val="24"/>
          <w:highlight w:val="none"/>
        </w:rPr>
      </w:pPr>
      <w:r>
        <w:rPr>
          <w:rFonts w:hint="eastAsia" w:ascii="仿宋" w:hAnsi="仿宋" w:eastAsia="仿宋"/>
          <w:sz w:val="24"/>
          <w:highlight w:val="none"/>
          <w:lang w:eastAsia="zh-CN"/>
        </w:rPr>
        <w:t>驻场负责人</w:t>
      </w:r>
      <w:r>
        <w:rPr>
          <w:rFonts w:hint="eastAsia" w:ascii="仿宋" w:hAnsi="仿宋" w:eastAsia="仿宋"/>
          <w:sz w:val="24"/>
          <w:highlight w:val="none"/>
        </w:rPr>
        <w:t>姓名</w:t>
      </w:r>
      <w:r>
        <w:rPr>
          <w:rFonts w:ascii="仿宋" w:hAnsi="仿宋" w:eastAsia="仿宋"/>
          <w:sz w:val="24"/>
          <w:highlight w:val="none"/>
        </w:rPr>
        <w:t>：； 联系电话：。</w:t>
      </w:r>
    </w:p>
    <w:p w14:paraId="46BF5DCF">
      <w:pPr>
        <w:ind w:firstLine="472" w:firstLineChars="196"/>
        <w:outlineLvl w:val="9"/>
        <w:rPr>
          <w:rFonts w:ascii="仿宋" w:hAnsi="仿宋" w:eastAsia="仿宋"/>
          <w:b/>
          <w:sz w:val="24"/>
          <w:highlight w:val="none"/>
        </w:rPr>
      </w:pPr>
      <w:r>
        <w:rPr>
          <w:rFonts w:hint="eastAsia" w:ascii="仿宋" w:hAnsi="仿宋" w:eastAsia="仿宋"/>
          <w:b/>
          <w:sz w:val="24"/>
          <w:highlight w:val="none"/>
        </w:rPr>
        <w:t>第八条  售后服务</w:t>
      </w:r>
    </w:p>
    <w:p w14:paraId="41082E97">
      <w:pPr>
        <w:ind w:firstLine="480" w:firstLineChars="200"/>
        <w:outlineLvl w:val="9"/>
        <w:rPr>
          <w:rFonts w:ascii="仿宋" w:hAnsi="仿宋" w:eastAsia="仿宋"/>
          <w:sz w:val="24"/>
          <w:highlight w:val="none"/>
        </w:rPr>
      </w:pPr>
      <w:r>
        <w:rPr>
          <w:rFonts w:hint="eastAsia" w:ascii="仿宋" w:hAnsi="仿宋" w:eastAsia="仿宋"/>
          <w:sz w:val="24"/>
          <w:highlight w:val="none"/>
        </w:rPr>
        <w:t>1.乙方提供服务的质量保证期为自服务通过最终验收起个月。若国家有明确规定的质量保证期高于此质量保证期的，执行国家规定。</w:t>
      </w:r>
    </w:p>
    <w:p w14:paraId="7767C170">
      <w:pPr>
        <w:ind w:firstLine="480" w:firstLineChars="200"/>
        <w:outlineLvl w:val="9"/>
        <w:rPr>
          <w:rFonts w:ascii="仿宋" w:hAnsi="仿宋" w:eastAsia="仿宋"/>
          <w:sz w:val="24"/>
          <w:highlight w:val="none"/>
        </w:rPr>
      </w:pPr>
      <w:r>
        <w:rPr>
          <w:rFonts w:hint="eastAsia" w:ascii="仿宋" w:hAnsi="仿宋" w:eastAsia="仿宋"/>
          <w:sz w:val="24"/>
          <w:highlight w:val="none"/>
        </w:rPr>
        <w:t>2.服务期内，乙方应提供相关服务支持。对甲方所反映的任何服务问题在</w:t>
      </w:r>
      <w:r>
        <w:rPr>
          <w:rFonts w:hint="eastAsia" w:ascii="仿宋" w:hAnsi="仿宋" w:eastAsia="仿宋"/>
          <w:sz w:val="24"/>
          <w:highlight w:val="none"/>
          <w:u w:val="single"/>
        </w:rPr>
        <w:t>××</w:t>
      </w:r>
      <w:r>
        <w:rPr>
          <w:rFonts w:hint="eastAsia" w:ascii="仿宋" w:hAnsi="仿宋" w:eastAsia="仿宋"/>
          <w:sz w:val="24"/>
          <w:highlight w:val="none"/>
        </w:rPr>
        <w:t>日（小时）之内做出及时响应，在日（小时）之内赶到现场实地解决问题。若问题在工作日（小时）后仍无法解决，乙方应在日（小时）内免费提供服务的补偿、替换方案，直至服务恢复正常。</w:t>
      </w:r>
    </w:p>
    <w:p w14:paraId="055D24AD">
      <w:pPr>
        <w:ind w:firstLine="480" w:firstLineChars="200"/>
        <w:outlineLvl w:val="9"/>
        <w:rPr>
          <w:rFonts w:ascii="仿宋" w:hAnsi="仿宋" w:eastAsia="仿宋"/>
          <w:sz w:val="24"/>
          <w:highlight w:val="none"/>
        </w:rPr>
      </w:pPr>
      <w:r>
        <w:rPr>
          <w:rFonts w:hint="eastAsia" w:ascii="仿宋" w:hAnsi="仿宋" w:eastAsia="仿宋"/>
          <w:sz w:val="24"/>
          <w:highlight w:val="none"/>
        </w:rPr>
        <w:t>3.乙方必须遵守甲方的有关管理制度、操作规程。对于乙方违规操作造成甲方损失的，由乙方按照本合同第十二条的约定承担赔偿责任。</w:t>
      </w:r>
    </w:p>
    <w:p w14:paraId="02C375EA">
      <w:pPr>
        <w:ind w:left="482"/>
        <w:outlineLvl w:val="9"/>
        <w:rPr>
          <w:rFonts w:ascii="仿宋" w:hAnsi="仿宋" w:eastAsia="仿宋"/>
          <w:b/>
          <w:sz w:val="24"/>
          <w:highlight w:val="none"/>
        </w:rPr>
      </w:pPr>
      <w:r>
        <w:rPr>
          <w:rFonts w:hint="eastAsia" w:ascii="仿宋" w:hAnsi="仿宋" w:eastAsia="仿宋"/>
          <w:b/>
          <w:sz w:val="24"/>
          <w:highlight w:val="none"/>
        </w:rPr>
        <w:t>第九条  分包</w:t>
      </w:r>
    </w:p>
    <w:p w14:paraId="257664E7">
      <w:pPr>
        <w:ind w:firstLine="480" w:firstLineChars="200"/>
        <w:outlineLvl w:val="9"/>
        <w:rPr>
          <w:rFonts w:ascii="仿宋" w:hAnsi="仿宋" w:eastAsia="仿宋"/>
          <w:strike/>
          <w:sz w:val="24"/>
          <w:highlight w:val="none"/>
        </w:rPr>
      </w:pPr>
      <w:r>
        <w:rPr>
          <w:rFonts w:hint="eastAsia" w:ascii="仿宋" w:hAnsi="仿宋" w:eastAsia="仿宋"/>
          <w:sz w:val="24"/>
          <w:highlight w:val="none"/>
        </w:rPr>
        <w:t>除采购文件事先说明、且经甲方事先书面同意外，乙方不得分包、转包其应履行的合同义务。</w:t>
      </w:r>
    </w:p>
    <w:p w14:paraId="62E7C5D6">
      <w:pPr>
        <w:ind w:firstLine="482" w:firstLineChars="200"/>
        <w:outlineLvl w:val="9"/>
        <w:rPr>
          <w:rFonts w:ascii="仿宋" w:hAnsi="仿宋" w:eastAsia="仿宋"/>
          <w:b/>
          <w:sz w:val="24"/>
          <w:highlight w:val="none"/>
        </w:rPr>
      </w:pPr>
      <w:r>
        <w:rPr>
          <w:rFonts w:hint="eastAsia" w:ascii="仿宋" w:hAnsi="仿宋" w:eastAsia="仿宋"/>
          <w:b/>
          <w:sz w:val="24"/>
          <w:highlight w:val="none"/>
        </w:rPr>
        <w:t>第十条  合同的生效</w:t>
      </w:r>
    </w:p>
    <w:p w14:paraId="06A38BDB">
      <w:pPr>
        <w:ind w:firstLine="480" w:firstLineChars="200"/>
        <w:outlineLvl w:val="9"/>
        <w:rPr>
          <w:rFonts w:ascii="仿宋" w:hAnsi="仿宋" w:eastAsia="仿宋"/>
          <w:sz w:val="24"/>
          <w:highlight w:val="none"/>
        </w:rPr>
      </w:pPr>
      <w:r>
        <w:rPr>
          <w:rFonts w:hint="eastAsia" w:ascii="仿宋" w:hAnsi="仿宋" w:eastAsia="仿宋"/>
          <w:sz w:val="24"/>
          <w:highlight w:val="none"/>
        </w:rPr>
        <w:t>1.本合同经甲乙双方授权代表签字并加盖公章或合同专用章后生效。</w:t>
      </w:r>
    </w:p>
    <w:p w14:paraId="07CB9CE6">
      <w:pPr>
        <w:ind w:firstLine="480" w:firstLineChars="200"/>
        <w:outlineLvl w:val="9"/>
        <w:rPr>
          <w:rFonts w:ascii="仿宋" w:hAnsi="仿宋" w:eastAsia="仿宋"/>
          <w:sz w:val="24"/>
          <w:highlight w:val="none"/>
        </w:rPr>
      </w:pPr>
      <w:r>
        <w:rPr>
          <w:rFonts w:hint="eastAsia" w:ascii="仿宋" w:hAnsi="仿宋" w:eastAsia="仿宋"/>
          <w:sz w:val="24"/>
          <w:highlight w:val="none"/>
        </w:rPr>
        <w:t>2.生效后，除《政府采购法》第49条、第50条第二款规定的情形外，甲乙双方不得擅自变更、中止或终止合同。</w:t>
      </w:r>
    </w:p>
    <w:p w14:paraId="3BAB7206">
      <w:pPr>
        <w:ind w:left="482"/>
        <w:outlineLvl w:val="9"/>
        <w:rPr>
          <w:rFonts w:ascii="仿宋" w:hAnsi="仿宋" w:eastAsia="仿宋"/>
          <w:b/>
          <w:sz w:val="24"/>
          <w:highlight w:val="none"/>
        </w:rPr>
      </w:pPr>
      <w:r>
        <w:rPr>
          <w:rFonts w:hint="eastAsia" w:ascii="仿宋" w:hAnsi="仿宋" w:eastAsia="仿宋"/>
          <w:b/>
          <w:sz w:val="24"/>
          <w:highlight w:val="none"/>
        </w:rPr>
        <w:t>第十一条  违约责任</w:t>
      </w:r>
    </w:p>
    <w:p w14:paraId="14E60578">
      <w:pPr>
        <w:ind w:firstLine="480" w:firstLineChars="200"/>
        <w:outlineLvl w:val="9"/>
        <w:rPr>
          <w:rFonts w:ascii="仿宋" w:hAnsi="仿宋" w:eastAsia="仿宋"/>
          <w:sz w:val="24"/>
          <w:highlight w:val="none"/>
        </w:rPr>
      </w:pPr>
      <w:r>
        <w:rPr>
          <w:rFonts w:hint="eastAsia" w:ascii="仿宋" w:hAnsi="仿宋" w:eastAsia="仿宋"/>
          <w:sz w:val="24"/>
          <w:highlight w:val="none"/>
        </w:rPr>
        <w:t>1.</w:t>
      </w:r>
      <w:r>
        <w:rPr>
          <w:rFonts w:ascii="仿宋" w:hAnsi="仿宋" w:eastAsia="仿宋"/>
          <w:sz w:val="24"/>
          <w:highlight w:val="none"/>
        </w:rPr>
        <w:t>乙方所</w:t>
      </w:r>
      <w:r>
        <w:rPr>
          <w:rFonts w:hint="eastAsia" w:ascii="仿宋" w:hAnsi="仿宋" w:eastAsia="仿宋"/>
          <w:sz w:val="24"/>
          <w:highlight w:val="none"/>
        </w:rPr>
        <w:t>提供</w:t>
      </w:r>
      <w:r>
        <w:rPr>
          <w:rFonts w:ascii="仿宋" w:hAnsi="仿宋" w:eastAsia="仿宋"/>
          <w:sz w:val="24"/>
          <w:highlight w:val="none"/>
        </w:rPr>
        <w:t>的</w:t>
      </w:r>
      <w:r>
        <w:rPr>
          <w:rFonts w:hint="eastAsia" w:ascii="仿宋" w:hAnsi="仿宋" w:eastAsia="仿宋"/>
          <w:sz w:val="24"/>
          <w:highlight w:val="none"/>
        </w:rPr>
        <w:t>服务成果</w:t>
      </w:r>
      <w:r>
        <w:rPr>
          <w:rFonts w:ascii="仿宋" w:hAnsi="仿宋" w:eastAsia="仿宋"/>
          <w:sz w:val="24"/>
          <w:highlight w:val="none"/>
        </w:rPr>
        <w:t>不符合</w:t>
      </w:r>
      <w:r>
        <w:rPr>
          <w:rFonts w:hint="eastAsia" w:ascii="仿宋" w:hAnsi="仿宋" w:eastAsia="仿宋"/>
          <w:sz w:val="24"/>
          <w:highlight w:val="none"/>
        </w:rPr>
        <w:t>本</w:t>
      </w:r>
      <w:r>
        <w:rPr>
          <w:rFonts w:ascii="仿宋" w:hAnsi="仿宋" w:eastAsia="仿宋"/>
          <w:sz w:val="24"/>
          <w:highlight w:val="none"/>
        </w:rPr>
        <w:t>合同规定的，甲方有权拒收</w:t>
      </w:r>
      <w:r>
        <w:rPr>
          <w:rFonts w:hint="eastAsia" w:ascii="仿宋" w:hAnsi="仿宋" w:eastAsia="仿宋"/>
          <w:sz w:val="24"/>
          <w:highlight w:val="none"/>
        </w:rPr>
        <w:t>，乙方在得到甲方通知之日起个工作日内采取补救措施，逾期仍未采取有效措施的，乙方应向甲方支付合同总价％的违约金。</w:t>
      </w:r>
    </w:p>
    <w:p w14:paraId="2DADC746">
      <w:pPr>
        <w:ind w:firstLine="480" w:firstLineChars="200"/>
        <w:outlineLvl w:val="9"/>
        <w:rPr>
          <w:rFonts w:ascii="仿宋" w:hAnsi="仿宋" w:eastAsia="仿宋"/>
          <w:sz w:val="24"/>
          <w:highlight w:val="none"/>
        </w:rPr>
      </w:pPr>
      <w:r>
        <w:rPr>
          <w:rFonts w:hint="eastAsia" w:ascii="仿宋" w:hAnsi="仿宋" w:eastAsia="仿宋"/>
          <w:sz w:val="24"/>
          <w:highlight w:val="none"/>
        </w:rPr>
        <w:t>2.甲方无正当理由拒绝接收服务，甲方应向乙方偿付拒付服务费用 ％的违约金。</w:t>
      </w:r>
    </w:p>
    <w:p w14:paraId="4761C130">
      <w:pPr>
        <w:ind w:firstLine="480" w:firstLineChars="200"/>
        <w:outlineLvl w:val="9"/>
        <w:rPr>
          <w:rFonts w:ascii="仿宋" w:hAnsi="仿宋" w:eastAsia="仿宋"/>
          <w:sz w:val="24"/>
          <w:highlight w:val="none"/>
        </w:rPr>
      </w:pPr>
      <w:r>
        <w:rPr>
          <w:rFonts w:hint="eastAsia" w:ascii="仿宋" w:hAnsi="仿宋" w:eastAsia="仿宋"/>
          <w:sz w:val="24"/>
          <w:highlight w:val="none"/>
        </w:rPr>
        <w:t>3.</w:t>
      </w:r>
      <w:r>
        <w:rPr>
          <w:rFonts w:ascii="仿宋" w:hAnsi="仿宋" w:eastAsia="仿宋"/>
          <w:sz w:val="24"/>
          <w:highlight w:val="none"/>
        </w:rPr>
        <w:t>乙方无正当理由逾期</w:t>
      </w:r>
      <w:r>
        <w:rPr>
          <w:rFonts w:hint="eastAsia" w:ascii="仿宋" w:hAnsi="仿宋" w:eastAsia="仿宋"/>
          <w:sz w:val="24"/>
          <w:highlight w:val="none"/>
        </w:rPr>
        <w:t>提供服务</w:t>
      </w:r>
      <w:r>
        <w:rPr>
          <w:rFonts w:ascii="仿宋" w:hAnsi="仿宋" w:eastAsia="仿宋"/>
          <w:sz w:val="24"/>
          <w:highlight w:val="none"/>
        </w:rPr>
        <w:t>的，每逾期1天，乙方向甲方偿付</w:t>
      </w:r>
      <w:r>
        <w:rPr>
          <w:rFonts w:hint="eastAsia" w:ascii="仿宋" w:hAnsi="仿宋" w:eastAsia="仿宋"/>
          <w:sz w:val="24"/>
          <w:highlight w:val="none"/>
        </w:rPr>
        <w:t>合同</w:t>
      </w:r>
      <w:r>
        <w:rPr>
          <w:rFonts w:ascii="仿宋" w:hAnsi="仿宋" w:eastAsia="仿宋"/>
          <w:sz w:val="24"/>
          <w:highlight w:val="none"/>
        </w:rPr>
        <w:t>总额的‰的</w:t>
      </w:r>
      <w:r>
        <w:rPr>
          <w:rFonts w:hint="eastAsia" w:ascii="仿宋" w:hAnsi="仿宋" w:eastAsia="仿宋"/>
          <w:sz w:val="24"/>
          <w:highlight w:val="none"/>
        </w:rPr>
        <w:t>违约</w:t>
      </w:r>
      <w:r>
        <w:rPr>
          <w:rFonts w:ascii="仿宋" w:hAnsi="仿宋" w:eastAsia="仿宋"/>
          <w:sz w:val="24"/>
          <w:highlight w:val="none"/>
        </w:rPr>
        <w:t>金</w:t>
      </w:r>
      <w:r>
        <w:rPr>
          <w:rFonts w:hint="eastAsia" w:ascii="仿宋" w:hAnsi="仿宋" w:eastAsia="仿宋"/>
          <w:sz w:val="24"/>
          <w:highlight w:val="none"/>
        </w:rPr>
        <w:t>。如乙方逾期达天，甲方有权解除合同，甲方解除合同的通知自到达乙方时生效。在此情况下，乙方给甲方造成的实际损失高于违约金的，对高出违约金的部分乙方应予以赔偿。</w:t>
      </w:r>
    </w:p>
    <w:p w14:paraId="515C9822">
      <w:pPr>
        <w:ind w:firstLine="480" w:firstLineChars="200"/>
        <w:outlineLvl w:val="9"/>
        <w:rPr>
          <w:rFonts w:ascii="仿宋" w:hAnsi="仿宋" w:eastAsia="仿宋"/>
          <w:sz w:val="24"/>
          <w:highlight w:val="none"/>
        </w:rPr>
      </w:pPr>
      <w:r>
        <w:rPr>
          <w:rFonts w:hint="eastAsia" w:ascii="仿宋" w:hAnsi="仿宋" w:eastAsia="仿宋"/>
          <w:sz w:val="24"/>
          <w:highlight w:val="none"/>
        </w:rPr>
        <w:t>4.甲方未按合同规定的期限向乙方支付合同款的，每逾期1天甲方向乙方偿付欠款总额的‰违约金，但累计违约金总额不超过欠款总额的％。</w:t>
      </w:r>
    </w:p>
    <w:p w14:paraId="3CEEF83D">
      <w:pPr>
        <w:ind w:firstLine="480" w:firstLineChars="200"/>
        <w:outlineLvl w:val="9"/>
        <w:rPr>
          <w:rFonts w:ascii="仿宋" w:hAnsi="仿宋" w:eastAsia="仿宋"/>
          <w:sz w:val="24"/>
          <w:highlight w:val="none"/>
        </w:rPr>
      </w:pPr>
      <w:r>
        <w:rPr>
          <w:rFonts w:hint="eastAsia" w:ascii="仿宋" w:hAnsi="仿宋" w:eastAsia="仿宋"/>
          <w:sz w:val="24"/>
          <w:highlight w:val="none"/>
        </w:rPr>
        <w:t>5.其它未尽事宜，以《民法典》和《政府采购法》等有关法律法规规定为准，无相关规定的，双方协商解决。</w:t>
      </w:r>
    </w:p>
    <w:p w14:paraId="2FE36F7A">
      <w:pPr>
        <w:ind w:left="482"/>
        <w:outlineLvl w:val="9"/>
        <w:rPr>
          <w:rFonts w:ascii="仿宋" w:hAnsi="仿宋" w:eastAsia="仿宋"/>
          <w:b/>
          <w:sz w:val="24"/>
          <w:highlight w:val="none"/>
        </w:rPr>
      </w:pPr>
      <w:r>
        <w:rPr>
          <w:rFonts w:hint="eastAsia" w:ascii="仿宋" w:hAnsi="仿宋" w:eastAsia="仿宋"/>
          <w:b/>
          <w:sz w:val="24"/>
          <w:highlight w:val="none"/>
        </w:rPr>
        <w:t>第十</w:t>
      </w:r>
      <w:r>
        <w:rPr>
          <w:rFonts w:hint="eastAsia" w:ascii="仿宋" w:hAnsi="仿宋" w:eastAsia="仿宋"/>
          <w:b/>
          <w:sz w:val="24"/>
          <w:highlight w:val="none"/>
          <w:lang w:val="en-US" w:eastAsia="zh-CN"/>
        </w:rPr>
        <w:t>二</w:t>
      </w:r>
      <w:r>
        <w:rPr>
          <w:rFonts w:hint="eastAsia" w:ascii="仿宋" w:hAnsi="仿宋" w:eastAsia="仿宋"/>
          <w:b/>
          <w:sz w:val="24"/>
          <w:highlight w:val="none"/>
        </w:rPr>
        <w:t>条  不可抗力</w:t>
      </w:r>
    </w:p>
    <w:p w14:paraId="5925BDC9">
      <w:pPr>
        <w:ind w:firstLine="480" w:firstLineChars="200"/>
        <w:outlineLvl w:val="9"/>
        <w:rPr>
          <w:rFonts w:ascii="仿宋" w:hAnsi="仿宋" w:eastAsia="仿宋"/>
          <w:sz w:val="24"/>
          <w:highlight w:val="none"/>
        </w:rPr>
      </w:pPr>
      <w:r>
        <w:rPr>
          <w:rFonts w:hint="eastAsia" w:ascii="仿宋" w:hAnsi="仿宋" w:eastAsia="仿宋"/>
          <w:sz w:val="24"/>
          <w:highlight w:val="none"/>
        </w:rPr>
        <w:t>甲、乙方中任何一方，因不可抗力不能按时或完全履行合同的，应及时通知对方，并在个工作日内提供相应证明，结算服务费用。未履行的部分是否继续履行、如何履行等问题，可由双方初步协商，并向主管部门和政府采购管理部门报告。确定为不可抗力原因造成的损失，免予承担责任。</w:t>
      </w:r>
    </w:p>
    <w:p w14:paraId="24C3EB2D">
      <w:pPr>
        <w:ind w:left="482"/>
        <w:outlineLvl w:val="9"/>
        <w:rPr>
          <w:rFonts w:ascii="仿宋" w:hAnsi="仿宋" w:eastAsia="仿宋"/>
          <w:b/>
          <w:sz w:val="24"/>
          <w:highlight w:val="none"/>
        </w:rPr>
      </w:pPr>
      <w:r>
        <w:rPr>
          <w:rFonts w:hint="eastAsia" w:ascii="仿宋" w:hAnsi="仿宋" w:eastAsia="仿宋"/>
          <w:b/>
          <w:sz w:val="24"/>
          <w:highlight w:val="none"/>
        </w:rPr>
        <w:t>第十</w:t>
      </w:r>
      <w:r>
        <w:rPr>
          <w:rFonts w:hint="eastAsia" w:ascii="仿宋" w:hAnsi="仿宋" w:eastAsia="仿宋"/>
          <w:b/>
          <w:sz w:val="24"/>
          <w:highlight w:val="none"/>
          <w:lang w:val="en-US" w:eastAsia="zh-CN"/>
        </w:rPr>
        <w:t>三</w:t>
      </w:r>
      <w:r>
        <w:rPr>
          <w:rFonts w:hint="eastAsia" w:ascii="仿宋" w:hAnsi="仿宋" w:eastAsia="仿宋"/>
          <w:b/>
          <w:sz w:val="24"/>
          <w:highlight w:val="none"/>
        </w:rPr>
        <w:t>条  争议的解决方式</w:t>
      </w:r>
    </w:p>
    <w:p w14:paraId="5B42AB43">
      <w:pPr>
        <w:ind w:firstLine="480" w:firstLineChars="200"/>
        <w:outlineLvl w:val="9"/>
        <w:rPr>
          <w:rFonts w:ascii="仿宋" w:hAnsi="仿宋" w:eastAsia="仿宋"/>
          <w:sz w:val="24"/>
          <w:highlight w:val="none"/>
        </w:rPr>
      </w:pPr>
      <w:r>
        <w:rPr>
          <w:rFonts w:hint="eastAsia" w:ascii="仿宋" w:hAnsi="仿宋" w:eastAsia="仿宋"/>
          <w:sz w:val="24"/>
          <w:highlight w:val="none"/>
        </w:rPr>
        <w:t>1.因服务质量问题发生争议的，应当邀请国家认可的质量检测机构对服务进行鉴定。服务符合标准的，鉴定费由甲方承担；不符合质量标准的，鉴定费由乙方承担。</w:t>
      </w:r>
    </w:p>
    <w:p w14:paraId="507D30A1">
      <w:pPr>
        <w:ind w:firstLine="480" w:firstLineChars="200"/>
        <w:outlineLvl w:val="9"/>
        <w:rPr>
          <w:rFonts w:ascii="仿宋" w:hAnsi="仿宋" w:eastAsia="仿宋"/>
          <w:sz w:val="24"/>
          <w:highlight w:val="none"/>
        </w:rPr>
      </w:pPr>
      <w:r>
        <w:rPr>
          <w:rFonts w:hint="eastAsia" w:ascii="仿宋" w:hAnsi="仿宋" w:eastAsia="仿宋"/>
          <w:sz w:val="24"/>
          <w:highlight w:val="none"/>
        </w:rPr>
        <w:t>2.在解释或者执行本合同的过程中发生争议时，双方应通过协商方式解决。</w:t>
      </w:r>
    </w:p>
    <w:p w14:paraId="09992C81">
      <w:pPr>
        <w:ind w:firstLine="480" w:firstLineChars="200"/>
        <w:outlineLvl w:val="9"/>
        <w:rPr>
          <w:rFonts w:ascii="仿宋" w:hAnsi="仿宋" w:eastAsia="仿宋"/>
          <w:sz w:val="24"/>
          <w:highlight w:val="none"/>
        </w:rPr>
      </w:pPr>
      <w:r>
        <w:rPr>
          <w:rFonts w:hint="eastAsia" w:ascii="仿宋" w:hAnsi="仿宋" w:eastAsia="仿宋"/>
          <w:sz w:val="24"/>
          <w:highlight w:val="none"/>
        </w:rPr>
        <w:t>3.经协商不能解决的争议，双方可选择以下第种方式解决：</w:t>
      </w:r>
    </w:p>
    <w:p w14:paraId="300D03F9">
      <w:pPr>
        <w:ind w:firstLine="480" w:firstLineChars="200"/>
        <w:outlineLvl w:val="9"/>
        <w:rPr>
          <w:rFonts w:ascii="仿宋" w:hAnsi="仿宋" w:eastAsia="仿宋"/>
          <w:sz w:val="24"/>
          <w:highlight w:val="none"/>
        </w:rPr>
      </w:pPr>
      <w:r>
        <w:rPr>
          <w:rFonts w:hint="eastAsia" w:ascii="仿宋" w:hAnsi="仿宋" w:eastAsia="仿宋" w:cs="仿宋_GB2312"/>
          <w:sz w:val="24"/>
          <w:highlight w:val="none"/>
        </w:rPr>
        <w:t>①</w:t>
      </w:r>
      <w:r>
        <w:rPr>
          <w:rFonts w:hint="eastAsia" w:ascii="仿宋" w:hAnsi="仿宋" w:eastAsia="仿宋"/>
          <w:sz w:val="24"/>
          <w:highlight w:val="none"/>
        </w:rPr>
        <w:t>向南通市有管辖权的法院提起诉讼；</w:t>
      </w:r>
    </w:p>
    <w:p w14:paraId="27D6C980">
      <w:pPr>
        <w:ind w:firstLine="480" w:firstLineChars="200"/>
        <w:outlineLvl w:val="9"/>
        <w:rPr>
          <w:rFonts w:ascii="仿宋" w:hAnsi="仿宋" w:eastAsia="仿宋"/>
          <w:sz w:val="24"/>
          <w:highlight w:val="none"/>
        </w:rPr>
      </w:pPr>
      <w:r>
        <w:rPr>
          <w:rFonts w:hint="eastAsia" w:ascii="仿宋" w:hAnsi="仿宋" w:eastAsia="仿宋" w:cs="仿宋_GB2312"/>
          <w:sz w:val="24"/>
          <w:highlight w:val="none"/>
        </w:rPr>
        <w:t>②</w:t>
      </w:r>
      <w:r>
        <w:rPr>
          <w:rFonts w:hint="eastAsia" w:ascii="仿宋" w:hAnsi="仿宋" w:eastAsia="仿宋"/>
          <w:sz w:val="24"/>
          <w:highlight w:val="none"/>
        </w:rPr>
        <w:t>向南通市仲裁委员会提出仲裁。</w:t>
      </w:r>
    </w:p>
    <w:p w14:paraId="691BE35A">
      <w:pPr>
        <w:ind w:firstLine="480" w:firstLineChars="200"/>
        <w:outlineLvl w:val="9"/>
        <w:rPr>
          <w:rFonts w:ascii="仿宋" w:hAnsi="仿宋" w:eastAsia="仿宋"/>
          <w:sz w:val="24"/>
          <w:highlight w:val="none"/>
        </w:rPr>
      </w:pPr>
      <w:r>
        <w:rPr>
          <w:rFonts w:hint="eastAsia" w:ascii="仿宋" w:hAnsi="仿宋" w:eastAsia="仿宋"/>
          <w:sz w:val="24"/>
          <w:highlight w:val="none"/>
        </w:rPr>
        <w:t>4.在法院审理和仲裁期间，除有争议部分外，本合同其他部分可以履行的仍应按合同条款继续履行。</w:t>
      </w:r>
    </w:p>
    <w:p w14:paraId="2AF9356F">
      <w:pPr>
        <w:ind w:left="482"/>
        <w:outlineLvl w:val="9"/>
        <w:rPr>
          <w:rFonts w:ascii="仿宋" w:hAnsi="仿宋" w:eastAsia="仿宋"/>
          <w:b/>
          <w:sz w:val="24"/>
          <w:highlight w:val="none"/>
        </w:rPr>
      </w:pPr>
      <w:r>
        <w:rPr>
          <w:rFonts w:hint="eastAsia" w:ascii="仿宋" w:hAnsi="仿宋" w:eastAsia="仿宋"/>
          <w:b/>
          <w:sz w:val="24"/>
          <w:highlight w:val="none"/>
        </w:rPr>
        <w:t>第十</w:t>
      </w:r>
      <w:r>
        <w:rPr>
          <w:rFonts w:hint="eastAsia" w:ascii="仿宋" w:hAnsi="仿宋" w:eastAsia="仿宋"/>
          <w:b/>
          <w:sz w:val="24"/>
          <w:highlight w:val="none"/>
          <w:lang w:val="en-US" w:eastAsia="zh-CN"/>
        </w:rPr>
        <w:t>四</w:t>
      </w:r>
      <w:r>
        <w:rPr>
          <w:rFonts w:hint="eastAsia" w:ascii="仿宋" w:hAnsi="仿宋" w:eastAsia="仿宋"/>
          <w:b/>
          <w:sz w:val="24"/>
          <w:highlight w:val="none"/>
        </w:rPr>
        <w:t>条  其他</w:t>
      </w:r>
    </w:p>
    <w:p w14:paraId="25A7B1F6">
      <w:pPr>
        <w:ind w:firstLine="480" w:firstLineChars="200"/>
        <w:outlineLvl w:val="9"/>
        <w:rPr>
          <w:rFonts w:ascii="仿宋" w:hAnsi="仿宋" w:eastAsia="仿宋"/>
          <w:sz w:val="24"/>
          <w:highlight w:val="none"/>
        </w:rPr>
      </w:pPr>
      <w:r>
        <w:rPr>
          <w:rFonts w:hint="eastAsia" w:ascii="仿宋" w:hAnsi="仿宋" w:eastAsia="仿宋"/>
          <w:sz w:val="24"/>
          <w:highlight w:val="none"/>
        </w:rPr>
        <w:t>符合《政府采购法》第49条规定的，经双方协商，办理政府采购手续后，可签订补充合同，所签订的补充合同与本合同具有同等法律效力。</w:t>
      </w:r>
    </w:p>
    <w:p w14:paraId="7EC43C23">
      <w:pPr>
        <w:ind w:firstLine="480" w:firstLineChars="200"/>
        <w:outlineLvl w:val="9"/>
        <w:rPr>
          <w:rFonts w:ascii="仿宋" w:hAnsi="仿宋" w:eastAsia="仿宋"/>
          <w:sz w:val="24"/>
          <w:highlight w:val="none"/>
        </w:rPr>
      </w:pPr>
      <w:r>
        <w:rPr>
          <w:rFonts w:hint="eastAsia" w:ascii="仿宋" w:hAnsi="仿宋" w:eastAsia="仿宋"/>
          <w:sz w:val="24"/>
          <w:highlight w:val="none"/>
        </w:rPr>
        <w:t>本合同一式份，甲、乙双方各执份。</w:t>
      </w:r>
    </w:p>
    <w:p w14:paraId="1D0EBD2E">
      <w:pPr>
        <w:ind w:firstLine="480" w:firstLineChars="200"/>
        <w:outlineLvl w:val="9"/>
        <w:rPr>
          <w:rFonts w:ascii="仿宋" w:hAnsi="仿宋" w:eastAsia="仿宋"/>
          <w:sz w:val="24"/>
          <w:highlight w:val="none"/>
        </w:rPr>
      </w:pPr>
    </w:p>
    <w:tbl>
      <w:tblPr>
        <w:tblStyle w:val="19"/>
        <w:tblW w:w="0" w:type="auto"/>
        <w:tblInd w:w="0" w:type="dxa"/>
        <w:tblLayout w:type="autofit"/>
        <w:tblCellMar>
          <w:top w:w="0" w:type="dxa"/>
          <w:left w:w="108" w:type="dxa"/>
          <w:bottom w:w="0" w:type="dxa"/>
          <w:right w:w="108" w:type="dxa"/>
        </w:tblCellMar>
      </w:tblPr>
      <w:tblGrid>
        <w:gridCol w:w="4261"/>
        <w:gridCol w:w="4261"/>
      </w:tblGrid>
      <w:tr w14:paraId="2DA42662">
        <w:tblPrEx>
          <w:tblCellMar>
            <w:top w:w="0" w:type="dxa"/>
            <w:left w:w="108" w:type="dxa"/>
            <w:bottom w:w="0" w:type="dxa"/>
            <w:right w:w="108" w:type="dxa"/>
          </w:tblCellMar>
        </w:tblPrEx>
        <w:tc>
          <w:tcPr>
            <w:tcW w:w="4261" w:type="dxa"/>
          </w:tcPr>
          <w:p w14:paraId="56850E09">
            <w:pPr>
              <w:outlineLvl w:val="9"/>
              <w:rPr>
                <w:rFonts w:ascii="仿宋" w:hAnsi="仿宋" w:eastAsia="仿宋"/>
                <w:sz w:val="24"/>
                <w:highlight w:val="none"/>
              </w:rPr>
            </w:pPr>
            <w:r>
              <w:rPr>
                <w:rFonts w:hint="eastAsia" w:ascii="仿宋" w:hAnsi="仿宋" w:eastAsia="仿宋"/>
                <w:sz w:val="24"/>
                <w:highlight w:val="none"/>
              </w:rPr>
              <w:t>甲方（公章）：</w:t>
            </w:r>
          </w:p>
          <w:p w14:paraId="27E7A9D1">
            <w:pPr>
              <w:outlineLvl w:val="9"/>
              <w:rPr>
                <w:rFonts w:ascii="仿宋" w:hAnsi="仿宋" w:eastAsia="仿宋"/>
                <w:sz w:val="24"/>
                <w:highlight w:val="none"/>
              </w:rPr>
            </w:pPr>
            <w:r>
              <w:rPr>
                <w:rFonts w:hint="eastAsia" w:ascii="仿宋" w:hAnsi="仿宋" w:eastAsia="仿宋"/>
                <w:sz w:val="24"/>
                <w:highlight w:val="none"/>
              </w:rPr>
              <w:t>地址：</w:t>
            </w:r>
          </w:p>
          <w:p w14:paraId="1B28E8CE">
            <w:pPr>
              <w:outlineLvl w:val="9"/>
              <w:rPr>
                <w:rFonts w:ascii="仿宋" w:hAnsi="仿宋" w:eastAsia="仿宋"/>
                <w:sz w:val="24"/>
                <w:highlight w:val="none"/>
              </w:rPr>
            </w:pPr>
            <w:r>
              <w:rPr>
                <w:rFonts w:hint="eastAsia" w:ascii="仿宋" w:hAnsi="仿宋" w:eastAsia="仿宋"/>
                <w:sz w:val="24"/>
                <w:highlight w:val="none"/>
              </w:rPr>
              <w:t>法定代表人（授权人）：</w:t>
            </w:r>
          </w:p>
          <w:p w14:paraId="4BB4DCB6">
            <w:pPr>
              <w:outlineLvl w:val="9"/>
              <w:rPr>
                <w:rFonts w:ascii="仿宋" w:hAnsi="仿宋" w:eastAsia="仿宋"/>
                <w:sz w:val="24"/>
                <w:highlight w:val="none"/>
              </w:rPr>
            </w:pPr>
          </w:p>
          <w:p w14:paraId="2B50F2D2">
            <w:pPr>
              <w:outlineLvl w:val="9"/>
              <w:rPr>
                <w:rFonts w:ascii="仿宋" w:hAnsi="仿宋" w:eastAsia="仿宋"/>
                <w:sz w:val="24"/>
                <w:highlight w:val="none"/>
              </w:rPr>
            </w:pPr>
          </w:p>
          <w:p w14:paraId="3BC75A4F">
            <w:pPr>
              <w:jc w:val="right"/>
              <w:outlineLvl w:val="9"/>
              <w:rPr>
                <w:rFonts w:ascii="仿宋" w:hAnsi="仿宋" w:eastAsia="仿宋"/>
                <w:sz w:val="24"/>
                <w:highlight w:val="none"/>
              </w:rPr>
            </w:pPr>
            <w:r>
              <w:rPr>
                <w:rFonts w:hint="eastAsia" w:ascii="仿宋" w:hAnsi="仿宋" w:eastAsia="仿宋"/>
                <w:sz w:val="24"/>
                <w:highlight w:val="none"/>
              </w:rPr>
              <w:t>年  月  日</w:t>
            </w:r>
          </w:p>
        </w:tc>
        <w:tc>
          <w:tcPr>
            <w:tcW w:w="4261" w:type="dxa"/>
          </w:tcPr>
          <w:p w14:paraId="61B9303B">
            <w:pPr>
              <w:outlineLvl w:val="9"/>
              <w:rPr>
                <w:rFonts w:ascii="仿宋" w:hAnsi="仿宋" w:eastAsia="仿宋"/>
                <w:sz w:val="24"/>
                <w:highlight w:val="none"/>
              </w:rPr>
            </w:pPr>
            <w:r>
              <w:rPr>
                <w:rFonts w:hint="eastAsia" w:ascii="仿宋" w:hAnsi="仿宋" w:eastAsia="仿宋"/>
                <w:sz w:val="24"/>
                <w:highlight w:val="none"/>
              </w:rPr>
              <w:t>乙方（公章）：</w:t>
            </w:r>
          </w:p>
          <w:p w14:paraId="5904487B">
            <w:pPr>
              <w:outlineLvl w:val="9"/>
              <w:rPr>
                <w:rFonts w:ascii="仿宋" w:hAnsi="仿宋" w:eastAsia="仿宋"/>
                <w:sz w:val="24"/>
                <w:highlight w:val="none"/>
              </w:rPr>
            </w:pPr>
            <w:r>
              <w:rPr>
                <w:rFonts w:hint="eastAsia" w:ascii="仿宋" w:hAnsi="仿宋" w:eastAsia="仿宋"/>
                <w:sz w:val="24"/>
                <w:highlight w:val="none"/>
              </w:rPr>
              <w:t>地址：</w:t>
            </w:r>
          </w:p>
          <w:p w14:paraId="7E977AD0">
            <w:pPr>
              <w:outlineLvl w:val="9"/>
              <w:rPr>
                <w:rFonts w:ascii="仿宋" w:hAnsi="仿宋" w:eastAsia="仿宋"/>
                <w:sz w:val="24"/>
                <w:highlight w:val="none"/>
              </w:rPr>
            </w:pPr>
            <w:r>
              <w:rPr>
                <w:rFonts w:hint="eastAsia" w:ascii="仿宋" w:hAnsi="仿宋" w:eastAsia="仿宋"/>
                <w:sz w:val="24"/>
                <w:highlight w:val="none"/>
              </w:rPr>
              <w:t>法定代表人（授权人）：</w:t>
            </w:r>
          </w:p>
          <w:p w14:paraId="0F84B036">
            <w:pPr>
              <w:outlineLvl w:val="9"/>
              <w:rPr>
                <w:rFonts w:ascii="仿宋" w:hAnsi="仿宋" w:eastAsia="仿宋"/>
                <w:sz w:val="24"/>
                <w:highlight w:val="none"/>
              </w:rPr>
            </w:pPr>
            <w:r>
              <w:rPr>
                <w:rFonts w:hint="eastAsia" w:ascii="仿宋" w:hAnsi="仿宋" w:eastAsia="仿宋"/>
                <w:sz w:val="24"/>
                <w:highlight w:val="none"/>
              </w:rPr>
              <w:t>开户行：</w:t>
            </w:r>
          </w:p>
          <w:p w14:paraId="605CD3BB">
            <w:pPr>
              <w:outlineLvl w:val="9"/>
              <w:rPr>
                <w:rFonts w:ascii="仿宋" w:hAnsi="仿宋" w:eastAsia="仿宋"/>
                <w:sz w:val="24"/>
                <w:highlight w:val="none"/>
              </w:rPr>
            </w:pPr>
            <w:r>
              <w:rPr>
                <w:rFonts w:hint="eastAsia" w:ascii="仿宋" w:hAnsi="仿宋" w:eastAsia="仿宋"/>
                <w:sz w:val="24"/>
                <w:highlight w:val="none"/>
              </w:rPr>
              <w:t>银行账号：</w:t>
            </w:r>
          </w:p>
          <w:p w14:paraId="01E29E2E">
            <w:pPr>
              <w:jc w:val="right"/>
              <w:outlineLvl w:val="9"/>
              <w:rPr>
                <w:rFonts w:ascii="仿宋" w:hAnsi="仿宋" w:eastAsia="仿宋"/>
                <w:sz w:val="24"/>
                <w:highlight w:val="none"/>
              </w:rPr>
            </w:pPr>
            <w:r>
              <w:rPr>
                <w:rFonts w:hint="eastAsia" w:ascii="仿宋" w:hAnsi="仿宋" w:eastAsia="仿宋"/>
                <w:sz w:val="24"/>
                <w:highlight w:val="none"/>
              </w:rPr>
              <w:t xml:space="preserve">        年  月  日</w:t>
            </w:r>
          </w:p>
        </w:tc>
      </w:tr>
    </w:tbl>
    <w:p w14:paraId="01FDACB5">
      <w:pPr>
        <w:ind w:firstLine="480" w:firstLineChars="200"/>
        <w:outlineLvl w:val="9"/>
        <w:rPr>
          <w:rFonts w:ascii="仿宋_GB2312" w:hAnsi="宋体" w:eastAsia="仿宋_GB2312"/>
          <w:sz w:val="24"/>
          <w:highlight w:val="none"/>
        </w:rPr>
      </w:pPr>
    </w:p>
    <w:p w14:paraId="19FBAC3D">
      <w:pPr>
        <w:outlineLvl w:val="9"/>
        <w:rPr>
          <w:rFonts w:ascii="仿宋" w:hAnsi="仿宋" w:eastAsia="仿宋"/>
          <w:sz w:val="24"/>
          <w:highlight w:val="none"/>
        </w:rPr>
      </w:pPr>
      <w:r>
        <w:rPr>
          <w:rFonts w:hint="eastAsia" w:ascii="仿宋" w:hAnsi="仿宋" w:eastAsia="仿宋"/>
          <w:sz w:val="24"/>
          <w:highlight w:val="none"/>
        </w:rPr>
        <w:t>附件</w:t>
      </w:r>
    </w:p>
    <w:p w14:paraId="13BC7D21">
      <w:pPr>
        <w:jc w:val="center"/>
        <w:outlineLvl w:val="9"/>
        <w:rPr>
          <w:rFonts w:ascii="仿宋" w:hAnsi="仿宋" w:eastAsia="仿宋"/>
          <w:sz w:val="24"/>
          <w:highlight w:val="none"/>
        </w:rPr>
      </w:pPr>
      <w:r>
        <w:rPr>
          <w:rFonts w:hint="eastAsia" w:ascii="仿宋" w:hAnsi="仿宋" w:eastAsia="仿宋"/>
          <w:sz w:val="24"/>
          <w:highlight w:val="none"/>
        </w:rPr>
        <w:t>服务明细项目一览表</w:t>
      </w:r>
    </w:p>
    <w:tbl>
      <w:tblPr>
        <w:tblStyle w:val="19"/>
        <w:tblW w:w="440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6"/>
        <w:gridCol w:w="1942"/>
        <w:gridCol w:w="3274"/>
        <w:gridCol w:w="733"/>
        <w:gridCol w:w="1183"/>
        <w:gridCol w:w="838"/>
      </w:tblGrid>
      <w:tr w14:paraId="2EBD16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7" w:hRule="atLeast"/>
          <w:jc w:val="center"/>
        </w:trPr>
        <w:tc>
          <w:tcPr>
            <w:tcW w:w="466" w:type="dxa"/>
            <w:noWrap w:val="0"/>
            <w:vAlign w:val="center"/>
          </w:tcPr>
          <w:p w14:paraId="68313452">
            <w:pPr>
              <w:pStyle w:val="10"/>
              <w:snapToGrid w:val="0"/>
              <w:spacing w:after="0" w:line="240" w:lineRule="auto"/>
              <w:outlineLvl w:val="9"/>
              <w:rPr>
                <w:rFonts w:hint="eastAsia"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t>序号</w:t>
            </w:r>
          </w:p>
        </w:tc>
        <w:tc>
          <w:tcPr>
            <w:tcW w:w="1942" w:type="dxa"/>
            <w:noWrap w:val="0"/>
            <w:vAlign w:val="center"/>
          </w:tcPr>
          <w:p w14:paraId="7C6750B5">
            <w:pPr>
              <w:pStyle w:val="10"/>
              <w:snapToGrid w:val="0"/>
              <w:spacing w:after="0" w:line="240" w:lineRule="auto"/>
              <w:jc w:val="center"/>
              <w:outlineLvl w:val="9"/>
              <w:rPr>
                <w:rFonts w:hint="eastAsia"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t>服务名称</w:t>
            </w:r>
          </w:p>
        </w:tc>
        <w:tc>
          <w:tcPr>
            <w:tcW w:w="3274" w:type="dxa"/>
            <w:noWrap w:val="0"/>
            <w:vAlign w:val="center"/>
          </w:tcPr>
          <w:p w14:paraId="46E1470E">
            <w:pPr>
              <w:pStyle w:val="10"/>
              <w:snapToGrid w:val="0"/>
              <w:spacing w:after="0" w:line="240" w:lineRule="auto"/>
              <w:jc w:val="center"/>
              <w:outlineLvl w:val="9"/>
              <w:rPr>
                <w:rFonts w:hint="eastAsia"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t>服务内容</w:t>
            </w:r>
          </w:p>
        </w:tc>
        <w:tc>
          <w:tcPr>
            <w:tcW w:w="733" w:type="dxa"/>
            <w:noWrap w:val="0"/>
            <w:vAlign w:val="center"/>
          </w:tcPr>
          <w:p w14:paraId="5D53F10C">
            <w:pPr>
              <w:pStyle w:val="10"/>
              <w:snapToGrid w:val="0"/>
              <w:spacing w:after="0" w:line="240" w:lineRule="auto"/>
              <w:jc w:val="center"/>
              <w:outlineLvl w:val="9"/>
              <w:rPr>
                <w:rFonts w:hint="eastAsia"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t>计量单位</w:t>
            </w:r>
          </w:p>
        </w:tc>
        <w:tc>
          <w:tcPr>
            <w:tcW w:w="1183" w:type="dxa"/>
            <w:noWrap w:val="0"/>
            <w:vAlign w:val="center"/>
          </w:tcPr>
          <w:p w14:paraId="32D06D83">
            <w:pPr>
              <w:pStyle w:val="10"/>
              <w:snapToGrid w:val="0"/>
              <w:spacing w:after="0" w:line="240" w:lineRule="auto"/>
              <w:jc w:val="center"/>
              <w:outlineLvl w:val="9"/>
              <w:rPr>
                <w:rFonts w:hint="eastAsia"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t>单 价</w:t>
            </w:r>
          </w:p>
          <w:p w14:paraId="6A877F90">
            <w:pPr>
              <w:pStyle w:val="10"/>
              <w:snapToGrid w:val="0"/>
              <w:spacing w:after="0" w:line="240" w:lineRule="auto"/>
              <w:jc w:val="center"/>
              <w:outlineLvl w:val="9"/>
              <w:rPr>
                <w:rFonts w:hint="eastAsia"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t>（元）</w:t>
            </w:r>
          </w:p>
        </w:tc>
        <w:tc>
          <w:tcPr>
            <w:tcW w:w="838" w:type="dxa"/>
            <w:noWrap w:val="0"/>
            <w:vAlign w:val="center"/>
          </w:tcPr>
          <w:p w14:paraId="30D8E605">
            <w:pPr>
              <w:pStyle w:val="10"/>
              <w:snapToGrid w:val="0"/>
              <w:spacing w:after="0" w:line="240" w:lineRule="auto"/>
              <w:jc w:val="center"/>
              <w:outlineLvl w:val="9"/>
              <w:rPr>
                <w:rFonts w:hint="eastAsia"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t>备注</w:t>
            </w:r>
          </w:p>
        </w:tc>
      </w:tr>
      <w:tr w14:paraId="5BF7F7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9" w:hRule="atLeast"/>
          <w:jc w:val="center"/>
        </w:trPr>
        <w:tc>
          <w:tcPr>
            <w:tcW w:w="466" w:type="dxa"/>
            <w:noWrap w:val="0"/>
            <w:vAlign w:val="center"/>
          </w:tcPr>
          <w:p w14:paraId="7E6C5DD1">
            <w:pPr>
              <w:pStyle w:val="10"/>
              <w:snapToGrid w:val="0"/>
              <w:spacing w:after="0" w:line="240" w:lineRule="auto"/>
              <w:jc w:val="center"/>
              <w:outlineLvl w:val="9"/>
              <w:rPr>
                <w:rFonts w:hint="default"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t>1</w:t>
            </w:r>
          </w:p>
        </w:tc>
        <w:tc>
          <w:tcPr>
            <w:tcW w:w="1942" w:type="dxa"/>
            <w:noWrap w:val="0"/>
            <w:vAlign w:val="center"/>
          </w:tcPr>
          <w:p w14:paraId="4913B526">
            <w:pPr>
              <w:pStyle w:val="10"/>
              <w:snapToGrid w:val="0"/>
              <w:spacing w:after="0" w:line="240" w:lineRule="auto"/>
              <w:jc w:val="center"/>
              <w:outlineLvl w:val="9"/>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sz w:val="24"/>
                <w:szCs w:val="24"/>
                <w:highlight w:val="none"/>
                <w:lang w:val="en-US" w:eastAsia="zh-CN"/>
              </w:rPr>
              <w:t>如皋法院档案室一个年度内即时产生的所有归档档案数字化加工工作和完成如皋法院一个年度内的电子卷宗同步扫描服务</w:t>
            </w:r>
          </w:p>
        </w:tc>
        <w:tc>
          <w:tcPr>
            <w:tcW w:w="3274" w:type="dxa"/>
            <w:noWrap w:val="0"/>
            <w:vAlign w:val="center"/>
          </w:tcPr>
          <w:p w14:paraId="6E57D9EF">
            <w:pPr>
              <w:pStyle w:val="10"/>
              <w:snapToGrid w:val="0"/>
              <w:spacing w:after="0" w:line="240" w:lineRule="auto"/>
              <w:jc w:val="both"/>
              <w:outlineLvl w:val="9"/>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如皋法院档案室一个年度内即时产生的所有归档档案数字化加工工作要求在卷宗归档之日起 5 个工作日内完成加工，并将数字化成果挂接到法院档案管理信息系统中供查询使用，预计页数50万页。</w:t>
            </w:r>
          </w:p>
          <w:p w14:paraId="25BB8F31">
            <w:pPr>
              <w:pStyle w:val="10"/>
              <w:snapToGrid w:val="0"/>
              <w:spacing w:after="0" w:line="240" w:lineRule="auto"/>
              <w:jc w:val="both"/>
              <w:outlineLvl w:val="9"/>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sz w:val="24"/>
                <w:szCs w:val="24"/>
                <w:highlight w:val="none"/>
                <w:lang w:val="en-US" w:eastAsia="zh-CN"/>
              </w:rPr>
              <w:t>完成如皋法院一个年度内的电子卷宗同步扫描服务，预计页数190万页。</w:t>
            </w:r>
          </w:p>
        </w:tc>
        <w:tc>
          <w:tcPr>
            <w:tcW w:w="733" w:type="dxa"/>
            <w:noWrap w:val="0"/>
            <w:vAlign w:val="center"/>
          </w:tcPr>
          <w:p w14:paraId="71AD4EA7">
            <w:pPr>
              <w:pStyle w:val="10"/>
              <w:snapToGrid w:val="0"/>
              <w:spacing w:after="0" w:line="240" w:lineRule="auto"/>
              <w:jc w:val="center"/>
              <w:outlineLvl w:val="9"/>
              <w:rPr>
                <w:rFonts w:hint="eastAsia"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t>页</w:t>
            </w:r>
          </w:p>
        </w:tc>
        <w:tc>
          <w:tcPr>
            <w:tcW w:w="1183" w:type="dxa"/>
            <w:noWrap w:val="0"/>
            <w:vAlign w:val="center"/>
          </w:tcPr>
          <w:p w14:paraId="56DFC29A">
            <w:pPr>
              <w:pStyle w:val="10"/>
              <w:snapToGrid w:val="0"/>
              <w:spacing w:after="0" w:line="240" w:lineRule="auto"/>
              <w:jc w:val="center"/>
              <w:outlineLvl w:val="9"/>
              <w:rPr>
                <w:rFonts w:hint="eastAsia" w:ascii="仿宋" w:hAnsi="仿宋" w:eastAsia="仿宋"/>
                <w:color w:val="000000"/>
                <w:sz w:val="24"/>
                <w:szCs w:val="24"/>
                <w:highlight w:val="none"/>
                <w:lang w:val="en-US" w:eastAsia="zh-CN"/>
              </w:rPr>
            </w:pPr>
          </w:p>
        </w:tc>
        <w:tc>
          <w:tcPr>
            <w:tcW w:w="838" w:type="dxa"/>
            <w:noWrap w:val="0"/>
            <w:vAlign w:val="center"/>
          </w:tcPr>
          <w:p w14:paraId="4A4FABCF">
            <w:pPr>
              <w:pStyle w:val="10"/>
              <w:snapToGrid w:val="0"/>
              <w:spacing w:after="0" w:line="240" w:lineRule="auto"/>
              <w:jc w:val="center"/>
              <w:outlineLvl w:val="9"/>
              <w:rPr>
                <w:rFonts w:hint="eastAsia" w:ascii="仿宋" w:hAnsi="仿宋" w:eastAsia="仿宋"/>
                <w:color w:val="000000"/>
                <w:sz w:val="24"/>
                <w:szCs w:val="24"/>
                <w:highlight w:val="none"/>
                <w:lang w:val="en-US" w:eastAsia="zh-CN"/>
              </w:rPr>
            </w:pPr>
          </w:p>
        </w:tc>
      </w:tr>
      <w:tr w14:paraId="033EAA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1" w:hRule="atLeast"/>
          <w:jc w:val="center"/>
        </w:trPr>
        <w:tc>
          <w:tcPr>
            <w:tcW w:w="466" w:type="dxa"/>
            <w:noWrap w:val="0"/>
            <w:vAlign w:val="center"/>
          </w:tcPr>
          <w:p w14:paraId="6A4FEC25">
            <w:pPr>
              <w:pStyle w:val="10"/>
              <w:snapToGrid w:val="0"/>
              <w:spacing w:after="0" w:line="240" w:lineRule="auto"/>
              <w:jc w:val="center"/>
              <w:outlineLvl w:val="9"/>
              <w:rPr>
                <w:rFonts w:hint="default"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t>2</w:t>
            </w:r>
          </w:p>
        </w:tc>
        <w:tc>
          <w:tcPr>
            <w:tcW w:w="1942" w:type="dxa"/>
            <w:noWrap w:val="0"/>
            <w:vAlign w:val="center"/>
          </w:tcPr>
          <w:p w14:paraId="09E60AB0">
            <w:pPr>
              <w:pStyle w:val="10"/>
              <w:snapToGrid w:val="0"/>
              <w:spacing w:after="0" w:line="240" w:lineRule="auto"/>
              <w:jc w:val="center"/>
              <w:outlineLvl w:val="9"/>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sz w:val="24"/>
                <w:szCs w:val="24"/>
                <w:highlight w:val="none"/>
                <w:lang w:val="en-US" w:eastAsia="zh-CN"/>
              </w:rPr>
              <w:t>完成如皋法院一个年度内的中间库归档服务</w:t>
            </w:r>
          </w:p>
        </w:tc>
        <w:tc>
          <w:tcPr>
            <w:tcW w:w="3274" w:type="dxa"/>
            <w:noWrap w:val="0"/>
            <w:vAlign w:val="center"/>
          </w:tcPr>
          <w:p w14:paraId="0E9F4913">
            <w:pPr>
              <w:pStyle w:val="10"/>
              <w:snapToGrid w:val="0"/>
              <w:spacing w:after="0" w:line="240" w:lineRule="auto"/>
              <w:jc w:val="both"/>
              <w:outlineLvl w:val="9"/>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sz w:val="24"/>
                <w:szCs w:val="24"/>
                <w:highlight w:val="none"/>
                <w:lang w:val="en-US" w:eastAsia="zh-CN"/>
              </w:rPr>
              <w:t>包括档案交接、入库、出库、敲页码、制封面、盖章、打孔、装订、排序、上架等服务，预计3.6万册。</w:t>
            </w:r>
          </w:p>
        </w:tc>
        <w:tc>
          <w:tcPr>
            <w:tcW w:w="733" w:type="dxa"/>
            <w:noWrap w:val="0"/>
            <w:vAlign w:val="center"/>
          </w:tcPr>
          <w:p w14:paraId="1FE48884">
            <w:pPr>
              <w:pStyle w:val="10"/>
              <w:snapToGrid w:val="0"/>
              <w:spacing w:after="0" w:line="240" w:lineRule="auto"/>
              <w:jc w:val="center"/>
              <w:outlineLvl w:val="9"/>
              <w:rPr>
                <w:rFonts w:hint="eastAsia"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t>册</w:t>
            </w:r>
          </w:p>
        </w:tc>
        <w:tc>
          <w:tcPr>
            <w:tcW w:w="1183" w:type="dxa"/>
            <w:noWrap w:val="0"/>
            <w:vAlign w:val="center"/>
          </w:tcPr>
          <w:p w14:paraId="6F64C363">
            <w:pPr>
              <w:pStyle w:val="10"/>
              <w:snapToGrid w:val="0"/>
              <w:spacing w:after="0" w:line="240" w:lineRule="auto"/>
              <w:jc w:val="center"/>
              <w:outlineLvl w:val="9"/>
              <w:rPr>
                <w:rFonts w:hint="eastAsia" w:ascii="仿宋" w:hAnsi="仿宋" w:eastAsia="仿宋"/>
                <w:color w:val="000000"/>
                <w:sz w:val="24"/>
                <w:szCs w:val="24"/>
                <w:highlight w:val="none"/>
                <w:lang w:val="en-US" w:eastAsia="zh-CN"/>
              </w:rPr>
            </w:pPr>
          </w:p>
        </w:tc>
        <w:tc>
          <w:tcPr>
            <w:tcW w:w="838" w:type="dxa"/>
            <w:noWrap w:val="0"/>
            <w:vAlign w:val="center"/>
          </w:tcPr>
          <w:p w14:paraId="1E6BF3C7">
            <w:pPr>
              <w:pStyle w:val="10"/>
              <w:snapToGrid w:val="0"/>
              <w:spacing w:after="0" w:line="240" w:lineRule="auto"/>
              <w:jc w:val="center"/>
              <w:outlineLvl w:val="9"/>
              <w:rPr>
                <w:rFonts w:hint="eastAsia" w:ascii="仿宋" w:hAnsi="仿宋" w:eastAsia="仿宋"/>
                <w:color w:val="000000"/>
                <w:sz w:val="24"/>
                <w:szCs w:val="24"/>
                <w:highlight w:val="none"/>
                <w:lang w:val="en-US" w:eastAsia="zh-CN"/>
              </w:rPr>
            </w:pPr>
          </w:p>
        </w:tc>
      </w:tr>
    </w:tbl>
    <w:p w14:paraId="7C0B40A5">
      <w:pPr>
        <w:pStyle w:val="38"/>
        <w:spacing w:line="240" w:lineRule="auto"/>
        <w:ind w:firstLine="560" w:firstLineChars="200"/>
        <w:outlineLvl w:val="9"/>
        <w:rPr>
          <w:rFonts w:ascii="黑体" w:hAnsi="黑体" w:eastAsia="黑体"/>
          <w:kern w:val="2"/>
          <w:sz w:val="28"/>
          <w:szCs w:val="28"/>
          <w:highlight w:val="none"/>
        </w:rPr>
      </w:pPr>
    </w:p>
    <w:p w14:paraId="6147B3EA">
      <w:pPr>
        <w:pStyle w:val="38"/>
        <w:spacing w:line="240" w:lineRule="auto"/>
        <w:ind w:firstLine="0"/>
        <w:jc w:val="center"/>
        <w:outlineLvl w:val="0"/>
        <w:rPr>
          <w:b/>
          <w:highlight w:val="none"/>
        </w:rPr>
      </w:pPr>
      <w:r>
        <w:rPr>
          <w:rFonts w:ascii="黑体" w:hAnsi="黑体" w:eastAsia="黑体"/>
          <w:kern w:val="2"/>
          <w:sz w:val="28"/>
          <w:szCs w:val="28"/>
          <w:highlight w:val="none"/>
        </w:rPr>
        <w:br w:type="page"/>
      </w:r>
      <w:bookmarkStart w:id="99" w:name="_Toc30032"/>
      <w:r>
        <w:rPr>
          <w:rFonts w:hint="eastAsia" w:ascii="方正小标宋简体" w:eastAsia="方正小标宋简体"/>
          <w:bCs/>
          <w:sz w:val="32"/>
          <w:szCs w:val="32"/>
          <w:highlight w:val="none"/>
        </w:rPr>
        <w:t>第5章 评审标准和方法</w:t>
      </w:r>
      <w:bookmarkEnd w:id="99"/>
    </w:p>
    <w:p w14:paraId="0F6F61EE">
      <w:pPr>
        <w:spacing w:line="500" w:lineRule="exact"/>
        <w:ind w:firstLine="560" w:firstLineChars="200"/>
        <w:rPr>
          <w:rFonts w:ascii="仿宋" w:hAnsi="仿宋" w:eastAsia="仿宋"/>
          <w:sz w:val="28"/>
          <w:szCs w:val="28"/>
          <w:highlight w:val="none"/>
        </w:rPr>
      </w:pPr>
      <w:r>
        <w:rPr>
          <w:rFonts w:hint="eastAsia" w:ascii="仿宋" w:hAnsi="仿宋" w:eastAsia="仿宋"/>
          <w:sz w:val="28"/>
          <w:szCs w:val="28"/>
          <w:highlight w:val="none"/>
        </w:rPr>
        <w:t>1. 评审方法为综合评分法，即磋商响应文件能够最大限度的满足磋商文件规定的各项综合评价标准且经评审得分最高的供应商为成交候选人的评标方法。</w:t>
      </w:r>
    </w:p>
    <w:p w14:paraId="78169D83">
      <w:pPr>
        <w:spacing w:line="500" w:lineRule="exact"/>
        <w:ind w:firstLine="560" w:firstLineChars="200"/>
        <w:rPr>
          <w:rFonts w:ascii="仿宋" w:hAnsi="仿宋" w:eastAsia="仿宋"/>
          <w:sz w:val="28"/>
          <w:szCs w:val="28"/>
          <w:highlight w:val="none"/>
        </w:rPr>
      </w:pPr>
      <w:r>
        <w:rPr>
          <w:rFonts w:hint="eastAsia" w:ascii="仿宋" w:hAnsi="仿宋" w:eastAsia="仿宋"/>
          <w:sz w:val="28"/>
          <w:szCs w:val="28"/>
          <w:highlight w:val="none"/>
        </w:rPr>
        <w:t>磋商小组将对通过资格及符合性检查的各合格磋商人根据磋商响应文件和磋商货物的性能、价格、商务等因素进行评分，总分为100分(不含清单内产品加分)。磋商人的最终得分是所有评委给其的评分(不含报价得分)的算术平均值加价格分和清单内产品加分，分数计算取至小数点后2位。</w:t>
      </w:r>
    </w:p>
    <w:p w14:paraId="78DFB819">
      <w:pPr>
        <w:spacing w:line="500" w:lineRule="exact"/>
        <w:ind w:firstLine="560" w:firstLineChars="200"/>
        <w:rPr>
          <w:rFonts w:ascii="仿宋" w:hAnsi="仿宋" w:eastAsia="仿宋"/>
          <w:sz w:val="28"/>
          <w:szCs w:val="28"/>
          <w:highlight w:val="none"/>
        </w:rPr>
      </w:pPr>
      <w:r>
        <w:rPr>
          <w:rFonts w:hint="eastAsia" w:ascii="仿宋" w:hAnsi="仿宋" w:eastAsia="仿宋"/>
          <w:sz w:val="28"/>
          <w:szCs w:val="28"/>
          <w:highlight w:val="none"/>
        </w:rPr>
        <w:t>2. 评审因素：价格、材料收转方案</w:t>
      </w:r>
      <w:r>
        <w:rPr>
          <w:rFonts w:hint="eastAsia" w:ascii="仿宋" w:hAnsi="仿宋" w:eastAsia="仿宋"/>
          <w:sz w:val="28"/>
          <w:szCs w:val="28"/>
          <w:highlight w:val="none"/>
          <w:lang w:eastAsia="zh-CN"/>
        </w:rPr>
        <w:t>、</w:t>
      </w:r>
      <w:r>
        <w:rPr>
          <w:rFonts w:hint="eastAsia" w:ascii="仿宋" w:hAnsi="仿宋" w:eastAsia="仿宋"/>
          <w:sz w:val="28"/>
          <w:szCs w:val="28"/>
          <w:highlight w:val="none"/>
        </w:rPr>
        <w:t>档案管理方案</w:t>
      </w:r>
      <w:r>
        <w:rPr>
          <w:rFonts w:hint="eastAsia" w:ascii="仿宋" w:hAnsi="仿宋" w:eastAsia="仿宋"/>
          <w:sz w:val="28"/>
          <w:szCs w:val="28"/>
          <w:highlight w:val="none"/>
          <w:lang w:eastAsia="zh-CN"/>
        </w:rPr>
        <w:t>、</w:t>
      </w:r>
      <w:r>
        <w:rPr>
          <w:rFonts w:hint="eastAsia" w:ascii="仿宋" w:hAnsi="仿宋" w:eastAsia="仿宋"/>
          <w:sz w:val="28"/>
          <w:szCs w:val="28"/>
          <w:highlight w:val="none"/>
        </w:rPr>
        <w:t>组织方案</w:t>
      </w:r>
      <w:r>
        <w:rPr>
          <w:rFonts w:hint="eastAsia" w:ascii="仿宋" w:hAnsi="仿宋" w:eastAsia="仿宋"/>
          <w:sz w:val="28"/>
          <w:szCs w:val="28"/>
          <w:highlight w:val="none"/>
          <w:lang w:eastAsia="zh-CN"/>
        </w:rPr>
        <w:t>、</w:t>
      </w:r>
      <w:r>
        <w:rPr>
          <w:rFonts w:hint="eastAsia" w:ascii="仿宋" w:hAnsi="仿宋" w:eastAsia="仿宋"/>
          <w:sz w:val="28"/>
          <w:szCs w:val="28"/>
          <w:highlight w:val="none"/>
        </w:rPr>
        <w:t>培训方案</w:t>
      </w:r>
      <w:r>
        <w:rPr>
          <w:rFonts w:hint="eastAsia" w:ascii="仿宋" w:hAnsi="仿宋" w:eastAsia="仿宋"/>
          <w:sz w:val="28"/>
          <w:szCs w:val="28"/>
          <w:highlight w:val="none"/>
          <w:lang w:eastAsia="zh-CN"/>
        </w:rPr>
        <w:t>、</w:t>
      </w:r>
      <w:r>
        <w:rPr>
          <w:rFonts w:hint="eastAsia" w:ascii="仿宋" w:hAnsi="仿宋" w:eastAsia="仿宋"/>
          <w:sz w:val="28"/>
          <w:szCs w:val="28"/>
          <w:highlight w:val="none"/>
        </w:rPr>
        <w:t>应急方案</w:t>
      </w:r>
      <w:r>
        <w:rPr>
          <w:rFonts w:hint="eastAsia" w:ascii="仿宋" w:hAnsi="仿宋" w:eastAsia="仿宋"/>
          <w:sz w:val="28"/>
          <w:szCs w:val="28"/>
          <w:highlight w:val="none"/>
          <w:lang w:eastAsia="zh-CN"/>
        </w:rPr>
        <w:t>、</w:t>
      </w:r>
      <w:r>
        <w:rPr>
          <w:rFonts w:hint="eastAsia" w:ascii="仿宋" w:hAnsi="仿宋" w:eastAsia="仿宋"/>
          <w:sz w:val="28"/>
          <w:szCs w:val="28"/>
          <w:highlight w:val="none"/>
        </w:rPr>
        <w:t>保密方案</w:t>
      </w:r>
      <w:r>
        <w:rPr>
          <w:rFonts w:hint="eastAsia" w:ascii="仿宋" w:hAnsi="仿宋" w:eastAsia="仿宋"/>
          <w:sz w:val="28"/>
          <w:szCs w:val="28"/>
          <w:highlight w:val="none"/>
          <w:lang w:eastAsia="zh-CN"/>
        </w:rPr>
        <w:t>、驻场负责人、驻场人员、</w:t>
      </w:r>
      <w:r>
        <w:rPr>
          <w:rFonts w:hint="eastAsia" w:ascii="仿宋" w:hAnsi="仿宋" w:eastAsia="仿宋"/>
          <w:sz w:val="28"/>
          <w:szCs w:val="28"/>
          <w:highlight w:val="none"/>
        </w:rPr>
        <w:t>管理资质</w:t>
      </w:r>
      <w:r>
        <w:rPr>
          <w:rFonts w:hint="eastAsia" w:ascii="仿宋" w:hAnsi="仿宋" w:eastAsia="仿宋"/>
          <w:sz w:val="28"/>
          <w:szCs w:val="28"/>
          <w:highlight w:val="none"/>
          <w:lang w:eastAsia="zh-CN"/>
        </w:rPr>
        <w:t>、</w:t>
      </w:r>
      <w:r>
        <w:rPr>
          <w:rFonts w:hint="eastAsia" w:ascii="仿宋" w:hAnsi="仿宋" w:eastAsia="仿宋"/>
          <w:sz w:val="28"/>
          <w:szCs w:val="28"/>
          <w:highlight w:val="none"/>
        </w:rPr>
        <w:t>档案资质</w:t>
      </w:r>
      <w:r>
        <w:rPr>
          <w:rFonts w:hint="eastAsia" w:ascii="仿宋" w:hAnsi="仿宋" w:eastAsia="仿宋"/>
          <w:sz w:val="28"/>
          <w:szCs w:val="28"/>
          <w:highlight w:val="none"/>
          <w:lang w:eastAsia="zh-CN"/>
        </w:rPr>
        <w:t>、</w:t>
      </w:r>
      <w:r>
        <w:rPr>
          <w:rFonts w:hint="eastAsia" w:ascii="仿宋" w:hAnsi="仿宋" w:eastAsia="仿宋"/>
          <w:sz w:val="28"/>
          <w:szCs w:val="28"/>
          <w:highlight w:val="none"/>
        </w:rPr>
        <w:t>业绩情况，以及相应的比重或者权值等。</w:t>
      </w:r>
    </w:p>
    <w:p w14:paraId="05C496DB">
      <w:pPr>
        <w:spacing w:line="500" w:lineRule="exact"/>
        <w:ind w:firstLine="560" w:firstLineChars="200"/>
        <w:rPr>
          <w:rFonts w:ascii="仿宋" w:hAnsi="仿宋" w:eastAsia="仿宋"/>
          <w:sz w:val="28"/>
          <w:szCs w:val="28"/>
          <w:highlight w:val="none"/>
        </w:rPr>
      </w:pPr>
      <w:r>
        <w:rPr>
          <w:rFonts w:hint="eastAsia" w:ascii="仿宋" w:hAnsi="仿宋" w:eastAsia="仿宋"/>
          <w:sz w:val="28"/>
          <w:szCs w:val="28"/>
          <w:highlight w:val="none"/>
        </w:rPr>
        <w:t>3. 价格分应当采用低价优先法计算，即满足磋商文件要求且最后报价中最低报价为评审基准价，其价格分为满分。其他响应供应商的价格分统一按照下列公式计算：</w:t>
      </w:r>
    </w:p>
    <w:p w14:paraId="03E4F6F3">
      <w:pPr>
        <w:spacing w:line="500" w:lineRule="exact"/>
        <w:ind w:firstLine="560" w:firstLineChars="200"/>
        <w:rPr>
          <w:rFonts w:ascii="仿宋" w:hAnsi="仿宋" w:eastAsia="仿宋"/>
          <w:sz w:val="28"/>
          <w:szCs w:val="28"/>
          <w:highlight w:val="none"/>
        </w:rPr>
      </w:pPr>
      <w:r>
        <w:rPr>
          <w:rFonts w:hint="eastAsia" w:ascii="仿宋" w:hAnsi="仿宋" w:eastAsia="仿宋"/>
          <w:sz w:val="28"/>
          <w:szCs w:val="28"/>
          <w:highlight w:val="none"/>
        </w:rPr>
        <w:t>最后报价得分=(评审基准价／最后报价)×价格分分值</w:t>
      </w:r>
    </w:p>
    <w:p w14:paraId="2BF020DE">
      <w:pPr>
        <w:spacing w:line="500" w:lineRule="exact"/>
        <w:ind w:firstLine="560" w:firstLineChars="200"/>
        <w:rPr>
          <w:rFonts w:ascii="仿宋" w:hAnsi="仿宋" w:eastAsia="仿宋"/>
          <w:sz w:val="28"/>
          <w:szCs w:val="28"/>
          <w:highlight w:val="none"/>
        </w:rPr>
      </w:pPr>
      <w:r>
        <w:rPr>
          <w:rFonts w:hint="eastAsia" w:ascii="仿宋" w:hAnsi="仿宋" w:eastAsia="仿宋"/>
          <w:sz w:val="28"/>
          <w:szCs w:val="28"/>
          <w:highlight w:val="none"/>
        </w:rPr>
        <w:t>磋商过程中，不得去掉报价中的最高报价和最低报价。因落实政府采购政策进行价格调整的，以调整后的价格计算评审基准价和最后报价。</w:t>
      </w:r>
    </w:p>
    <w:p w14:paraId="3803B1A2">
      <w:pPr>
        <w:ind w:firstLine="560" w:firstLineChars="200"/>
        <w:outlineLvl w:val="9"/>
        <w:rPr>
          <w:rFonts w:hint="eastAsia" w:ascii="仿宋" w:hAnsi="仿宋" w:eastAsia="仿宋"/>
          <w:sz w:val="28"/>
          <w:szCs w:val="28"/>
          <w:highlight w:val="none"/>
          <w:lang w:eastAsia="zh-CN"/>
        </w:rPr>
      </w:pPr>
      <w:r>
        <w:rPr>
          <w:rFonts w:hint="eastAsia" w:ascii="仿宋" w:hAnsi="仿宋" w:eastAsia="仿宋"/>
          <w:sz w:val="28"/>
          <w:szCs w:val="28"/>
          <w:highlight w:val="none"/>
        </w:rPr>
        <w:t xml:space="preserve">4. </w:t>
      </w:r>
      <w:r>
        <w:rPr>
          <w:rFonts w:hint="eastAsia" w:ascii="仿宋" w:hAnsi="仿宋" w:eastAsia="仿宋"/>
          <w:sz w:val="28"/>
          <w:szCs w:val="28"/>
          <w:highlight w:val="none"/>
          <w:lang w:val="en-US" w:eastAsia="zh-CN"/>
        </w:rPr>
        <w:t>评分标准表</w:t>
      </w:r>
    </w:p>
    <w:tbl>
      <w:tblPr>
        <w:tblStyle w:val="19"/>
        <w:tblW w:w="4959"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838"/>
        <w:gridCol w:w="1176"/>
        <w:gridCol w:w="690"/>
        <w:gridCol w:w="6788"/>
      </w:tblGrid>
      <w:tr w14:paraId="0250B45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2" w:hRule="atLeast"/>
        </w:trPr>
        <w:tc>
          <w:tcPr>
            <w:tcW w:w="838" w:type="dxa"/>
            <w:vAlign w:val="center"/>
          </w:tcPr>
          <w:p w14:paraId="7582B1B7">
            <w:pPr>
              <w:adjustRightInd w:val="0"/>
              <w:snapToGrid w:val="0"/>
              <w:jc w:val="center"/>
              <w:rPr>
                <w:rFonts w:ascii="仿宋" w:hAnsi="仿宋" w:eastAsia="仿宋"/>
                <w:sz w:val="24"/>
                <w:highlight w:val="none"/>
              </w:rPr>
            </w:pPr>
            <w:r>
              <w:rPr>
                <w:rFonts w:hint="eastAsia" w:ascii="仿宋" w:hAnsi="仿宋" w:eastAsia="仿宋"/>
                <w:sz w:val="24"/>
                <w:highlight w:val="none"/>
              </w:rPr>
              <w:t>序号</w:t>
            </w:r>
          </w:p>
        </w:tc>
        <w:tc>
          <w:tcPr>
            <w:tcW w:w="1176" w:type="dxa"/>
            <w:vAlign w:val="center"/>
          </w:tcPr>
          <w:p w14:paraId="15B14FF2">
            <w:pPr>
              <w:adjustRightInd w:val="0"/>
              <w:snapToGrid w:val="0"/>
              <w:jc w:val="center"/>
              <w:rPr>
                <w:rFonts w:ascii="仿宋" w:hAnsi="仿宋" w:eastAsia="仿宋"/>
                <w:sz w:val="24"/>
                <w:highlight w:val="none"/>
              </w:rPr>
            </w:pPr>
            <w:r>
              <w:rPr>
                <w:rFonts w:hint="eastAsia" w:ascii="仿宋" w:hAnsi="仿宋" w:eastAsia="仿宋"/>
                <w:sz w:val="24"/>
                <w:highlight w:val="none"/>
              </w:rPr>
              <w:t>评审因素</w:t>
            </w:r>
          </w:p>
        </w:tc>
        <w:tc>
          <w:tcPr>
            <w:tcW w:w="690" w:type="dxa"/>
            <w:vAlign w:val="center"/>
          </w:tcPr>
          <w:p w14:paraId="13F2161D">
            <w:pPr>
              <w:adjustRightInd w:val="0"/>
              <w:snapToGrid w:val="0"/>
              <w:jc w:val="center"/>
              <w:rPr>
                <w:rFonts w:ascii="仿宋" w:hAnsi="仿宋" w:eastAsia="仿宋"/>
                <w:sz w:val="24"/>
                <w:highlight w:val="none"/>
              </w:rPr>
            </w:pPr>
            <w:r>
              <w:rPr>
                <w:rFonts w:hint="eastAsia" w:ascii="仿宋" w:hAnsi="仿宋" w:eastAsia="仿宋"/>
                <w:sz w:val="24"/>
                <w:highlight w:val="none"/>
              </w:rPr>
              <w:t>分值</w:t>
            </w:r>
          </w:p>
        </w:tc>
        <w:tc>
          <w:tcPr>
            <w:tcW w:w="6788" w:type="dxa"/>
            <w:vAlign w:val="center"/>
          </w:tcPr>
          <w:p w14:paraId="237C4C96">
            <w:pPr>
              <w:adjustRightInd w:val="0"/>
              <w:snapToGrid w:val="0"/>
              <w:jc w:val="center"/>
              <w:rPr>
                <w:rFonts w:ascii="仿宋" w:hAnsi="仿宋" w:eastAsia="仿宋"/>
                <w:sz w:val="24"/>
                <w:highlight w:val="none"/>
              </w:rPr>
            </w:pPr>
            <w:r>
              <w:rPr>
                <w:rFonts w:hint="eastAsia" w:ascii="仿宋" w:hAnsi="仿宋" w:eastAsia="仿宋"/>
                <w:sz w:val="24"/>
                <w:highlight w:val="none"/>
              </w:rPr>
              <w:t>评审要求或标准</w:t>
            </w:r>
          </w:p>
        </w:tc>
      </w:tr>
      <w:tr w14:paraId="2ACC934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838" w:type="dxa"/>
            <w:shd w:val="clear" w:color="auto" w:fill="auto"/>
            <w:vAlign w:val="center"/>
          </w:tcPr>
          <w:p w14:paraId="343033A1">
            <w:pPr>
              <w:pStyle w:val="46"/>
              <w:pageBreakBefore w:val="0"/>
              <w:widowControl w:val="0"/>
              <w:numPr>
                <w:ilvl w:val="0"/>
                <w:numId w:val="2"/>
              </w:numPr>
              <w:kinsoku/>
              <w:wordWrap/>
              <w:overflowPunct/>
              <w:topLinePunct w:val="0"/>
              <w:bidi w:val="0"/>
              <w:spacing w:line="240" w:lineRule="auto"/>
              <w:ind w:left="14" w:leftChars="0" w:right="-31" w:rightChars="-15" w:hanging="14" w:firstLineChars="0"/>
              <w:jc w:val="center"/>
              <w:textAlignment w:val="auto"/>
              <w:rPr>
                <w:rFonts w:hint="eastAsia" w:ascii="仿宋" w:hAnsi="仿宋" w:eastAsia="仿宋" w:cs="仿宋"/>
                <w:color w:val="000000"/>
                <w:kern w:val="2"/>
                <w:sz w:val="24"/>
                <w:szCs w:val="24"/>
                <w:highlight w:val="none"/>
                <w:lang w:val="zh-CN" w:eastAsia="zh-CN" w:bidi="zh-CN"/>
              </w:rPr>
            </w:pPr>
          </w:p>
        </w:tc>
        <w:tc>
          <w:tcPr>
            <w:tcW w:w="1176" w:type="dxa"/>
            <w:shd w:val="clear" w:color="auto" w:fill="auto"/>
            <w:vAlign w:val="center"/>
          </w:tcPr>
          <w:p w14:paraId="1E66F061">
            <w:pPr>
              <w:pageBreakBefore w:val="0"/>
              <w:widowControl w:val="0"/>
              <w:kinsoku/>
              <w:wordWrap/>
              <w:overflowPunct/>
              <w:topLinePunct w:val="0"/>
              <w:bidi w:val="0"/>
              <w:spacing w:line="240" w:lineRule="auto"/>
              <w:jc w:val="center"/>
              <w:textAlignment w:val="auto"/>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sz w:val="24"/>
                <w:szCs w:val="24"/>
                <w:highlight w:val="none"/>
                <w:lang w:val="en-US" w:eastAsia="zh-CN"/>
              </w:rPr>
              <w:t>材料收转方案</w:t>
            </w:r>
          </w:p>
        </w:tc>
        <w:tc>
          <w:tcPr>
            <w:tcW w:w="690" w:type="dxa"/>
            <w:shd w:val="clear" w:color="auto" w:fill="auto"/>
            <w:vAlign w:val="center"/>
          </w:tcPr>
          <w:p w14:paraId="56F8CD9A">
            <w:pPr>
              <w:pageBreakBefore w:val="0"/>
              <w:widowControl w:val="0"/>
              <w:kinsoku/>
              <w:wordWrap/>
              <w:overflowPunct/>
              <w:topLinePunct w:val="0"/>
              <w:bidi w:val="0"/>
              <w:spacing w:line="240" w:lineRule="auto"/>
              <w:jc w:val="center"/>
              <w:textAlignment w:val="auto"/>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sz w:val="24"/>
                <w:szCs w:val="24"/>
                <w:highlight w:val="none"/>
                <w:lang w:val="en-US" w:eastAsia="zh-CN"/>
              </w:rPr>
              <w:t>6</w:t>
            </w:r>
          </w:p>
        </w:tc>
        <w:tc>
          <w:tcPr>
            <w:tcW w:w="6788" w:type="dxa"/>
            <w:shd w:val="clear" w:color="auto" w:fill="auto"/>
            <w:vAlign w:val="center"/>
          </w:tcPr>
          <w:p w14:paraId="6A7F2067">
            <w:pPr>
              <w:keepNext w:val="0"/>
              <w:keepLines w:val="0"/>
              <w:pageBreakBefore w:val="0"/>
              <w:widowControl w:val="0"/>
              <w:kinsoku/>
              <w:wordWrap/>
              <w:overflowPunct/>
              <w:topLinePunct w:val="0"/>
              <w:autoSpaceDE/>
              <w:autoSpaceDN/>
              <w:bidi w:val="0"/>
              <w:adjustRightInd/>
              <w:snapToGrid/>
              <w:spacing w:line="240" w:lineRule="auto"/>
              <w:ind w:left="0" w:right="0" w:firstLine="480" w:firstLineChars="200"/>
              <w:jc w:val="left"/>
              <w:textAlignment w:val="auto"/>
              <w:rPr>
                <w:rFonts w:hint="eastAsia" w:ascii="仿宋" w:hAnsi="仿宋" w:eastAsia="仿宋" w:cs="仿宋"/>
                <w:b/>
                <w:bCs/>
                <w:color w:val="auto"/>
                <w:sz w:val="24"/>
                <w:highlight w:val="none"/>
              </w:rPr>
            </w:pPr>
            <w:r>
              <w:rPr>
                <w:rFonts w:hint="eastAsia" w:ascii="仿宋" w:hAnsi="仿宋" w:eastAsia="仿宋" w:cs="仿宋"/>
                <w:color w:val="000000"/>
                <w:kern w:val="2"/>
                <w:sz w:val="24"/>
                <w:szCs w:val="24"/>
                <w:highlight w:val="none"/>
                <w:lang w:val="en-US" w:eastAsia="zh-CN" w:bidi="ar-SA"/>
              </w:rPr>
              <w:t>根据响应供应商提供的</w:t>
            </w:r>
            <w:r>
              <w:rPr>
                <w:rFonts w:hint="eastAsia" w:ascii="仿宋" w:hAnsi="仿宋" w:eastAsia="仿宋" w:cs="仿宋"/>
                <w:color w:val="000000"/>
                <w:sz w:val="24"/>
                <w:szCs w:val="24"/>
                <w:highlight w:val="none"/>
                <w:lang w:val="en-US" w:eastAsia="zh-CN"/>
              </w:rPr>
              <w:t>材料收转方案</w:t>
            </w:r>
            <w:r>
              <w:rPr>
                <w:rFonts w:hint="eastAsia" w:ascii="仿宋" w:hAnsi="仿宋" w:eastAsia="仿宋" w:cs="仿宋"/>
                <w:color w:val="000000"/>
                <w:kern w:val="2"/>
                <w:sz w:val="24"/>
                <w:szCs w:val="24"/>
                <w:highlight w:val="none"/>
                <w:lang w:val="en-US" w:eastAsia="zh-CN" w:bidi="ar-SA"/>
              </w:rPr>
              <w:t>进行评审：包含但不限于①先扫描后立案流程设计②材料收转服务③材料登记与质检服务</w:t>
            </w:r>
            <w:r>
              <w:rPr>
                <w:rFonts w:hint="eastAsia" w:ascii="仿宋" w:hAnsi="仿宋" w:eastAsia="仿宋" w:cs="仿宋"/>
                <w:color w:val="000000"/>
                <w:kern w:val="2"/>
                <w:sz w:val="24"/>
                <w:szCs w:val="24"/>
                <w:highlight w:val="none"/>
                <w:lang w:val="zh-CN" w:eastAsia="zh-CN" w:bidi="ar-SA"/>
              </w:rPr>
              <w:t>④</w:t>
            </w:r>
            <w:r>
              <w:rPr>
                <w:rFonts w:hint="eastAsia" w:ascii="仿宋" w:hAnsi="仿宋" w:eastAsia="仿宋" w:cs="仿宋"/>
                <w:color w:val="000000"/>
                <w:kern w:val="2"/>
                <w:sz w:val="24"/>
                <w:szCs w:val="24"/>
                <w:highlight w:val="none"/>
                <w:lang w:val="en-US" w:eastAsia="zh-CN" w:bidi="ar-SA"/>
              </w:rPr>
              <w:t>材料分类及扫描规范⑤中间柜管理⑥卷宗管理软件方案。要求流程详细、具体，没有出现流程漏项，</w:t>
            </w:r>
            <w:r>
              <w:rPr>
                <w:rFonts w:hint="eastAsia" w:ascii="仿宋" w:hAnsi="仿宋" w:eastAsia="仿宋" w:cs="仿宋"/>
                <w:color w:val="000000"/>
                <w:sz w:val="24"/>
                <w:szCs w:val="24"/>
                <w:highlight w:val="none"/>
                <w:lang w:val="en-US" w:eastAsia="zh-CN"/>
              </w:rPr>
              <w:t>材料收转方案</w:t>
            </w:r>
            <w:r>
              <w:rPr>
                <w:rFonts w:hint="eastAsia" w:ascii="仿宋" w:hAnsi="仿宋" w:eastAsia="仿宋" w:cs="仿宋"/>
                <w:color w:val="000000"/>
                <w:kern w:val="2"/>
                <w:sz w:val="24"/>
                <w:szCs w:val="24"/>
                <w:highlight w:val="none"/>
                <w:lang w:val="en-US" w:eastAsia="zh-CN" w:bidi="ar-SA"/>
              </w:rPr>
              <w:t>内容具体且有针对性、可行性和合理性，</w:t>
            </w:r>
            <w:r>
              <w:rPr>
                <w:rFonts w:hint="eastAsia" w:ascii="仿宋" w:hAnsi="仿宋" w:eastAsia="仿宋" w:cs="仿宋"/>
                <w:b/>
                <w:bCs/>
                <w:color w:val="auto"/>
                <w:sz w:val="24"/>
                <w:highlight w:val="none"/>
              </w:rPr>
              <w:t>上述6个方面内容每缺少一项内容扣1分，每有一处需求分析内容存在缺陷或不足的扣0.5分，扣完为止。本项满分6分。</w:t>
            </w:r>
          </w:p>
          <w:p w14:paraId="356C8617">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482" w:firstLineChars="200"/>
              <w:jc w:val="left"/>
              <w:textAlignment w:val="auto"/>
              <w:rPr>
                <w:rFonts w:hint="eastAsia" w:ascii="仿宋" w:hAnsi="仿宋" w:eastAsia="仿宋" w:cs="仿宋"/>
                <w:color w:val="000000"/>
                <w:kern w:val="2"/>
                <w:sz w:val="24"/>
                <w:szCs w:val="24"/>
                <w:highlight w:val="none"/>
                <w:lang w:val="en-US" w:eastAsia="zh-CN" w:bidi="ar-SA"/>
              </w:rPr>
            </w:pPr>
            <w:r>
              <w:rPr>
                <w:rFonts w:hint="eastAsia" w:ascii="仿宋" w:hAnsi="仿宋" w:eastAsia="仿宋"/>
                <w:b/>
                <w:bCs/>
                <w:color w:val="auto"/>
                <w:sz w:val="24"/>
                <w:highlight w:val="none"/>
              </w:rPr>
              <w:t>注：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w:t>
            </w:r>
          </w:p>
        </w:tc>
      </w:tr>
      <w:tr w14:paraId="5905A9C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99" w:hRule="atLeast"/>
        </w:trPr>
        <w:tc>
          <w:tcPr>
            <w:tcW w:w="838" w:type="dxa"/>
            <w:shd w:val="clear" w:color="auto" w:fill="auto"/>
            <w:vAlign w:val="center"/>
          </w:tcPr>
          <w:p w14:paraId="42617D36">
            <w:pPr>
              <w:pStyle w:val="46"/>
              <w:pageBreakBefore w:val="0"/>
              <w:widowControl w:val="0"/>
              <w:numPr>
                <w:ilvl w:val="0"/>
                <w:numId w:val="2"/>
              </w:numPr>
              <w:kinsoku/>
              <w:wordWrap/>
              <w:overflowPunct/>
              <w:topLinePunct w:val="0"/>
              <w:bidi w:val="0"/>
              <w:spacing w:line="240" w:lineRule="auto"/>
              <w:ind w:left="14" w:leftChars="0" w:right="-31" w:rightChars="-15" w:hanging="14" w:firstLineChars="0"/>
              <w:jc w:val="center"/>
              <w:textAlignment w:val="auto"/>
              <w:rPr>
                <w:rFonts w:hint="eastAsia" w:ascii="仿宋" w:hAnsi="仿宋" w:eastAsia="仿宋" w:cs="仿宋"/>
                <w:color w:val="000000"/>
                <w:kern w:val="2"/>
                <w:sz w:val="24"/>
                <w:szCs w:val="24"/>
                <w:highlight w:val="none"/>
                <w:lang w:val="zh-CN" w:eastAsia="zh-CN" w:bidi="zh-CN"/>
              </w:rPr>
            </w:pPr>
          </w:p>
        </w:tc>
        <w:tc>
          <w:tcPr>
            <w:tcW w:w="1176" w:type="dxa"/>
            <w:shd w:val="clear" w:color="auto" w:fill="auto"/>
            <w:vAlign w:val="center"/>
          </w:tcPr>
          <w:p w14:paraId="24AF2533">
            <w:pPr>
              <w:pageBreakBefore w:val="0"/>
              <w:widowControl w:val="0"/>
              <w:kinsoku/>
              <w:wordWrap/>
              <w:overflowPunct/>
              <w:topLinePunct w:val="0"/>
              <w:bidi w:val="0"/>
              <w:spacing w:line="240" w:lineRule="auto"/>
              <w:jc w:val="center"/>
              <w:textAlignment w:val="auto"/>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sz w:val="24"/>
                <w:szCs w:val="24"/>
                <w:highlight w:val="none"/>
                <w:lang w:val="en-US" w:eastAsia="zh-CN"/>
              </w:rPr>
              <w:t>档案管理方案</w:t>
            </w:r>
          </w:p>
        </w:tc>
        <w:tc>
          <w:tcPr>
            <w:tcW w:w="690" w:type="dxa"/>
            <w:shd w:val="clear" w:color="auto" w:fill="auto"/>
            <w:vAlign w:val="center"/>
          </w:tcPr>
          <w:p w14:paraId="260FBCB6">
            <w:pPr>
              <w:pageBreakBefore w:val="0"/>
              <w:widowControl w:val="0"/>
              <w:kinsoku/>
              <w:wordWrap/>
              <w:overflowPunct/>
              <w:topLinePunct w:val="0"/>
              <w:bidi w:val="0"/>
              <w:spacing w:line="240" w:lineRule="auto"/>
              <w:jc w:val="center"/>
              <w:textAlignment w:val="auto"/>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sz w:val="24"/>
                <w:szCs w:val="24"/>
                <w:highlight w:val="none"/>
                <w:lang w:val="en-US" w:eastAsia="zh-CN"/>
              </w:rPr>
              <w:t>6</w:t>
            </w:r>
          </w:p>
        </w:tc>
        <w:tc>
          <w:tcPr>
            <w:tcW w:w="6788" w:type="dxa"/>
            <w:shd w:val="clear" w:color="auto" w:fill="auto"/>
            <w:vAlign w:val="center"/>
          </w:tcPr>
          <w:p w14:paraId="2F17F074">
            <w:pPr>
              <w:keepNext w:val="0"/>
              <w:keepLines w:val="0"/>
              <w:pageBreakBefore w:val="0"/>
              <w:widowControl w:val="0"/>
              <w:kinsoku/>
              <w:wordWrap/>
              <w:overflowPunct/>
              <w:topLinePunct w:val="0"/>
              <w:autoSpaceDE/>
              <w:autoSpaceDN/>
              <w:bidi w:val="0"/>
              <w:adjustRightInd/>
              <w:snapToGrid/>
              <w:spacing w:line="240" w:lineRule="auto"/>
              <w:ind w:left="0" w:right="0" w:firstLine="480" w:firstLineChars="200"/>
              <w:jc w:val="left"/>
              <w:textAlignment w:val="auto"/>
              <w:rPr>
                <w:rFonts w:hint="eastAsia" w:ascii="仿宋" w:hAnsi="仿宋" w:eastAsia="仿宋" w:cs="仿宋"/>
                <w:b/>
                <w:bCs/>
                <w:color w:val="auto"/>
                <w:sz w:val="24"/>
                <w:highlight w:val="none"/>
              </w:rPr>
            </w:pPr>
            <w:r>
              <w:rPr>
                <w:rFonts w:hint="eastAsia" w:ascii="仿宋" w:hAnsi="仿宋" w:eastAsia="仿宋" w:cs="仿宋"/>
                <w:color w:val="000000"/>
                <w:kern w:val="2"/>
                <w:sz w:val="24"/>
                <w:szCs w:val="24"/>
                <w:highlight w:val="none"/>
                <w:lang w:val="en-US" w:eastAsia="zh-CN" w:bidi="ar-SA"/>
              </w:rPr>
              <w:t>根据供应商提供的</w:t>
            </w:r>
            <w:r>
              <w:rPr>
                <w:rFonts w:hint="eastAsia" w:ascii="仿宋" w:hAnsi="仿宋" w:eastAsia="仿宋" w:cs="仿宋"/>
                <w:color w:val="000000"/>
                <w:sz w:val="24"/>
                <w:szCs w:val="24"/>
                <w:highlight w:val="none"/>
                <w:lang w:val="en-US" w:eastAsia="zh-CN"/>
              </w:rPr>
              <w:t>档案管理方案</w:t>
            </w:r>
            <w:r>
              <w:rPr>
                <w:rFonts w:hint="eastAsia" w:ascii="仿宋" w:hAnsi="仿宋" w:eastAsia="仿宋" w:cs="仿宋"/>
                <w:color w:val="000000"/>
                <w:kern w:val="2"/>
                <w:sz w:val="24"/>
                <w:szCs w:val="24"/>
                <w:highlight w:val="none"/>
                <w:lang w:val="en-US" w:eastAsia="zh-CN" w:bidi="ar-SA"/>
              </w:rPr>
              <w:t>进行评审</w:t>
            </w:r>
            <w:r>
              <w:rPr>
                <w:rFonts w:hint="eastAsia" w:ascii="仿宋" w:hAnsi="仿宋" w:eastAsia="仿宋" w:cs="仿宋"/>
                <w:color w:val="000000"/>
                <w:kern w:val="2"/>
                <w:sz w:val="24"/>
                <w:szCs w:val="24"/>
                <w:highlight w:val="none"/>
                <w:lang w:val="en-US" w:eastAsia="zh-CN" w:bidi="zh-CN"/>
              </w:rPr>
              <w:t>：包括但不限于①档案提调、整理、录入服务②档案校对、质检服务③数据验收服务</w:t>
            </w:r>
            <w:r>
              <w:rPr>
                <w:rFonts w:hint="eastAsia" w:ascii="仿宋" w:hAnsi="仿宋" w:eastAsia="仿宋" w:cs="仿宋"/>
                <w:color w:val="000000"/>
                <w:kern w:val="2"/>
                <w:sz w:val="24"/>
                <w:szCs w:val="24"/>
                <w:highlight w:val="none"/>
                <w:lang w:val="zh-CN" w:eastAsia="zh-CN" w:bidi="zh-CN"/>
              </w:rPr>
              <w:t>④</w:t>
            </w:r>
            <w:r>
              <w:rPr>
                <w:rFonts w:hint="eastAsia" w:ascii="仿宋" w:hAnsi="仿宋" w:eastAsia="仿宋" w:cs="仿宋"/>
                <w:color w:val="000000"/>
                <w:kern w:val="2"/>
                <w:sz w:val="24"/>
                <w:szCs w:val="24"/>
                <w:highlight w:val="none"/>
                <w:lang w:val="en-US" w:eastAsia="zh-CN" w:bidi="zh-CN"/>
              </w:rPr>
              <w:t>数据备份服务⑤数据移交、档案归还服务⑥档案管理软件方案。</w:t>
            </w:r>
            <w:r>
              <w:rPr>
                <w:rFonts w:hint="eastAsia" w:cs="仿宋"/>
                <w:color w:val="000000"/>
                <w:kern w:val="2"/>
                <w:sz w:val="24"/>
                <w:szCs w:val="24"/>
                <w:highlight w:val="none"/>
                <w:lang w:val="en-US" w:eastAsia="zh-CN" w:bidi="zh-CN"/>
              </w:rPr>
              <w:t>要求</w:t>
            </w:r>
            <w:r>
              <w:rPr>
                <w:rFonts w:hint="eastAsia" w:ascii="仿宋" w:hAnsi="仿宋" w:eastAsia="仿宋" w:cs="仿宋"/>
                <w:color w:val="000000"/>
                <w:kern w:val="2"/>
                <w:sz w:val="24"/>
                <w:szCs w:val="24"/>
                <w:highlight w:val="none"/>
                <w:lang w:val="en-US" w:eastAsia="zh-CN" w:bidi="ar-SA"/>
              </w:rPr>
              <w:t>流程详细、具体，没有出现流程漏项，</w:t>
            </w:r>
            <w:r>
              <w:rPr>
                <w:rFonts w:hint="eastAsia" w:ascii="仿宋" w:hAnsi="仿宋" w:eastAsia="仿宋" w:cs="仿宋"/>
                <w:color w:val="000000"/>
                <w:sz w:val="24"/>
                <w:szCs w:val="24"/>
                <w:highlight w:val="none"/>
                <w:lang w:val="en-US" w:eastAsia="zh-CN"/>
              </w:rPr>
              <w:t>档案管理方案</w:t>
            </w:r>
            <w:r>
              <w:rPr>
                <w:rFonts w:hint="eastAsia" w:ascii="仿宋" w:hAnsi="仿宋" w:eastAsia="仿宋" w:cs="仿宋"/>
                <w:color w:val="000000"/>
                <w:kern w:val="2"/>
                <w:sz w:val="24"/>
                <w:szCs w:val="24"/>
                <w:highlight w:val="none"/>
                <w:lang w:val="en-US" w:eastAsia="zh-CN" w:bidi="ar-SA"/>
              </w:rPr>
              <w:t>内容具体且有针对性、可行性和合理性，</w:t>
            </w:r>
            <w:r>
              <w:rPr>
                <w:rFonts w:hint="eastAsia" w:ascii="仿宋" w:hAnsi="仿宋" w:eastAsia="仿宋" w:cs="仿宋"/>
                <w:b/>
                <w:bCs/>
                <w:color w:val="auto"/>
                <w:sz w:val="24"/>
                <w:highlight w:val="none"/>
              </w:rPr>
              <w:t>上述6个方面内容每缺少一项内容扣1分，每有一处需求分析内容存在缺陷或不足的扣0.5分，扣完为止。本项满分6分。</w:t>
            </w:r>
          </w:p>
          <w:p w14:paraId="0BED61BD">
            <w:pPr>
              <w:pStyle w:val="47"/>
              <w:keepNext w:val="0"/>
              <w:keepLines w:val="0"/>
              <w:pageBreakBefore w:val="0"/>
              <w:widowControl w:val="0"/>
              <w:kinsoku/>
              <w:wordWrap/>
              <w:overflowPunct/>
              <w:topLinePunct w:val="0"/>
              <w:autoSpaceDE/>
              <w:autoSpaceDN/>
              <w:bidi w:val="0"/>
              <w:adjustRightInd/>
              <w:snapToGrid/>
              <w:spacing w:line="240" w:lineRule="auto"/>
              <w:ind w:left="0" w:right="0" w:firstLine="482" w:firstLineChars="200"/>
              <w:textAlignment w:val="auto"/>
              <w:rPr>
                <w:rFonts w:hint="eastAsia" w:ascii="仿宋" w:hAnsi="仿宋" w:eastAsia="仿宋" w:cs="仿宋"/>
                <w:color w:val="000000"/>
                <w:kern w:val="2"/>
                <w:sz w:val="24"/>
                <w:szCs w:val="24"/>
                <w:highlight w:val="none"/>
                <w:lang w:val="en-US" w:eastAsia="zh-CN" w:bidi="ar-SA"/>
              </w:rPr>
            </w:pPr>
            <w:r>
              <w:rPr>
                <w:rFonts w:hint="eastAsia" w:ascii="仿宋" w:hAnsi="仿宋" w:eastAsia="仿宋"/>
                <w:b/>
                <w:bCs/>
                <w:color w:val="auto"/>
                <w:sz w:val="24"/>
                <w:highlight w:val="none"/>
              </w:rPr>
              <w:t>注：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w:t>
            </w:r>
          </w:p>
        </w:tc>
      </w:tr>
      <w:tr w14:paraId="2C902B2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969" w:hRule="atLeast"/>
        </w:trPr>
        <w:tc>
          <w:tcPr>
            <w:tcW w:w="838" w:type="dxa"/>
            <w:shd w:val="clear" w:color="auto" w:fill="auto"/>
            <w:vAlign w:val="center"/>
          </w:tcPr>
          <w:p w14:paraId="7509A243">
            <w:pPr>
              <w:pStyle w:val="46"/>
              <w:pageBreakBefore w:val="0"/>
              <w:widowControl w:val="0"/>
              <w:kinsoku/>
              <w:wordWrap/>
              <w:overflowPunct/>
              <w:topLinePunct w:val="0"/>
              <w:bidi w:val="0"/>
              <w:spacing w:line="240" w:lineRule="auto"/>
              <w:ind w:left="4" w:leftChars="-5" w:right="-31" w:rightChars="-15" w:hanging="14" w:hangingChars="6"/>
              <w:jc w:val="center"/>
              <w:textAlignment w:val="auto"/>
              <w:rPr>
                <w:rFonts w:hint="eastAsia" w:ascii="仿宋" w:hAnsi="仿宋" w:eastAsia="仿宋" w:cs="仿宋"/>
                <w:color w:val="000000"/>
                <w:kern w:val="2"/>
                <w:sz w:val="24"/>
                <w:szCs w:val="24"/>
                <w:highlight w:val="none"/>
                <w:lang w:val="en-US" w:eastAsia="zh-CN" w:bidi="zh-CN"/>
              </w:rPr>
            </w:pPr>
            <w:r>
              <w:rPr>
                <w:rFonts w:hint="eastAsia" w:cs="仿宋"/>
                <w:color w:val="000000"/>
                <w:sz w:val="24"/>
                <w:szCs w:val="24"/>
                <w:highlight w:val="none"/>
                <w:lang w:val="en-US" w:eastAsia="zh-CN"/>
              </w:rPr>
              <w:t>3</w:t>
            </w:r>
          </w:p>
        </w:tc>
        <w:tc>
          <w:tcPr>
            <w:tcW w:w="1176" w:type="dxa"/>
            <w:shd w:val="clear" w:color="auto" w:fill="auto"/>
            <w:vAlign w:val="center"/>
          </w:tcPr>
          <w:p w14:paraId="42586D5D">
            <w:pPr>
              <w:pageBreakBefore w:val="0"/>
              <w:widowControl w:val="0"/>
              <w:kinsoku/>
              <w:wordWrap/>
              <w:overflowPunct/>
              <w:topLinePunct w:val="0"/>
              <w:bidi w:val="0"/>
              <w:spacing w:line="240" w:lineRule="auto"/>
              <w:jc w:val="center"/>
              <w:textAlignment w:val="auto"/>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sz w:val="24"/>
                <w:szCs w:val="24"/>
                <w:highlight w:val="none"/>
                <w:lang w:val="en-US" w:eastAsia="zh-CN"/>
              </w:rPr>
              <w:t>组织方案</w:t>
            </w:r>
          </w:p>
        </w:tc>
        <w:tc>
          <w:tcPr>
            <w:tcW w:w="690" w:type="dxa"/>
            <w:shd w:val="clear" w:color="auto" w:fill="auto"/>
            <w:vAlign w:val="center"/>
          </w:tcPr>
          <w:p w14:paraId="377F2C6A">
            <w:pPr>
              <w:pageBreakBefore w:val="0"/>
              <w:widowControl w:val="0"/>
              <w:kinsoku/>
              <w:wordWrap/>
              <w:overflowPunct/>
              <w:topLinePunct w:val="0"/>
              <w:bidi w:val="0"/>
              <w:spacing w:line="240" w:lineRule="auto"/>
              <w:jc w:val="center"/>
              <w:textAlignment w:val="auto"/>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sz w:val="24"/>
                <w:szCs w:val="24"/>
                <w:highlight w:val="none"/>
                <w:lang w:val="en-US" w:eastAsia="zh-CN"/>
              </w:rPr>
              <w:t>4</w:t>
            </w:r>
          </w:p>
        </w:tc>
        <w:tc>
          <w:tcPr>
            <w:tcW w:w="6788" w:type="dxa"/>
            <w:shd w:val="clear" w:color="auto" w:fill="auto"/>
            <w:vAlign w:val="center"/>
          </w:tcPr>
          <w:p w14:paraId="12A76109">
            <w:pPr>
              <w:keepNext w:val="0"/>
              <w:keepLines w:val="0"/>
              <w:pageBreakBefore w:val="0"/>
              <w:widowControl w:val="0"/>
              <w:kinsoku/>
              <w:wordWrap/>
              <w:overflowPunct/>
              <w:topLinePunct w:val="0"/>
              <w:autoSpaceDE/>
              <w:autoSpaceDN/>
              <w:bidi w:val="0"/>
              <w:adjustRightInd/>
              <w:snapToGrid/>
              <w:spacing w:line="240" w:lineRule="auto"/>
              <w:ind w:left="0" w:right="0" w:firstLine="480" w:firstLineChars="200"/>
              <w:jc w:val="left"/>
              <w:textAlignment w:val="auto"/>
              <w:rPr>
                <w:rFonts w:hint="eastAsia" w:ascii="仿宋" w:hAnsi="仿宋" w:eastAsia="仿宋" w:cs="仿宋"/>
                <w:b/>
                <w:bCs/>
                <w:color w:val="auto"/>
                <w:sz w:val="24"/>
                <w:highlight w:val="none"/>
              </w:rPr>
            </w:pPr>
            <w:r>
              <w:rPr>
                <w:rFonts w:hint="eastAsia" w:ascii="仿宋" w:hAnsi="仿宋" w:eastAsia="仿宋" w:cs="仿宋"/>
                <w:color w:val="000000"/>
                <w:kern w:val="2"/>
                <w:sz w:val="24"/>
                <w:szCs w:val="24"/>
                <w:highlight w:val="none"/>
                <w:lang w:val="en-US" w:eastAsia="zh-CN" w:bidi="ar-SA"/>
              </w:rPr>
              <w:t>根据响应供应商提供的项目组织方案进行评审：包含但不限于①内部管理架构②管理规章制度。要求流程详细、具体，没有出现流程漏项，组织方案内容具体且有针对性、可行性和合理性的，</w:t>
            </w:r>
            <w:r>
              <w:rPr>
                <w:rFonts w:hint="eastAsia" w:ascii="仿宋" w:hAnsi="仿宋" w:eastAsia="仿宋" w:cs="仿宋"/>
                <w:b/>
                <w:bCs/>
                <w:color w:val="auto"/>
                <w:sz w:val="24"/>
                <w:highlight w:val="none"/>
              </w:rPr>
              <w:t>上述</w:t>
            </w:r>
            <w:r>
              <w:rPr>
                <w:rFonts w:hint="eastAsia" w:ascii="仿宋" w:hAnsi="仿宋" w:eastAsia="仿宋" w:cs="仿宋"/>
                <w:b/>
                <w:bCs/>
                <w:color w:val="auto"/>
                <w:sz w:val="24"/>
                <w:highlight w:val="none"/>
                <w:lang w:val="en-US" w:eastAsia="zh-CN"/>
              </w:rPr>
              <w:t>2</w:t>
            </w:r>
            <w:r>
              <w:rPr>
                <w:rFonts w:hint="eastAsia" w:ascii="仿宋" w:hAnsi="仿宋" w:eastAsia="仿宋" w:cs="仿宋"/>
                <w:b/>
                <w:bCs/>
                <w:color w:val="auto"/>
                <w:sz w:val="24"/>
                <w:highlight w:val="none"/>
              </w:rPr>
              <w:t>个方面内容每缺少一项内容扣</w:t>
            </w:r>
            <w:r>
              <w:rPr>
                <w:rFonts w:hint="eastAsia" w:ascii="仿宋" w:hAnsi="仿宋" w:eastAsia="仿宋" w:cs="仿宋"/>
                <w:b/>
                <w:bCs/>
                <w:color w:val="auto"/>
                <w:sz w:val="24"/>
                <w:highlight w:val="none"/>
                <w:lang w:val="en-US" w:eastAsia="zh-CN"/>
              </w:rPr>
              <w:t>2</w:t>
            </w:r>
            <w:r>
              <w:rPr>
                <w:rFonts w:hint="eastAsia" w:ascii="仿宋" w:hAnsi="仿宋" w:eastAsia="仿宋" w:cs="仿宋"/>
                <w:b/>
                <w:bCs/>
                <w:color w:val="auto"/>
                <w:sz w:val="24"/>
                <w:highlight w:val="none"/>
              </w:rPr>
              <w:t>分，每有一处需求分析内容存在缺陷或不足的扣</w:t>
            </w:r>
            <w:r>
              <w:rPr>
                <w:rFonts w:hint="eastAsia" w:ascii="仿宋" w:hAnsi="仿宋" w:eastAsia="仿宋" w:cs="仿宋"/>
                <w:b/>
                <w:bCs/>
                <w:color w:val="auto"/>
                <w:sz w:val="24"/>
                <w:highlight w:val="none"/>
                <w:lang w:val="en-US" w:eastAsia="zh-CN"/>
              </w:rPr>
              <w:t>1</w:t>
            </w:r>
            <w:r>
              <w:rPr>
                <w:rFonts w:hint="eastAsia" w:ascii="仿宋" w:hAnsi="仿宋" w:eastAsia="仿宋" w:cs="仿宋"/>
                <w:b/>
                <w:bCs/>
                <w:color w:val="auto"/>
                <w:sz w:val="24"/>
                <w:highlight w:val="none"/>
              </w:rPr>
              <w:t>分，扣完为止。本项满分</w:t>
            </w:r>
            <w:r>
              <w:rPr>
                <w:rFonts w:hint="eastAsia" w:ascii="仿宋" w:hAnsi="仿宋" w:eastAsia="仿宋" w:cs="仿宋"/>
                <w:b/>
                <w:bCs/>
                <w:color w:val="auto"/>
                <w:sz w:val="24"/>
                <w:highlight w:val="none"/>
                <w:lang w:val="en-US" w:eastAsia="zh-CN"/>
              </w:rPr>
              <w:t>4</w:t>
            </w:r>
            <w:r>
              <w:rPr>
                <w:rFonts w:hint="eastAsia" w:ascii="仿宋" w:hAnsi="仿宋" w:eastAsia="仿宋" w:cs="仿宋"/>
                <w:b/>
                <w:bCs/>
                <w:color w:val="auto"/>
                <w:sz w:val="24"/>
                <w:highlight w:val="none"/>
              </w:rPr>
              <w:t>分。</w:t>
            </w:r>
          </w:p>
          <w:p w14:paraId="48D8FD7E">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482" w:firstLineChars="200"/>
              <w:jc w:val="left"/>
              <w:textAlignment w:val="auto"/>
              <w:rPr>
                <w:rFonts w:hint="eastAsia" w:ascii="仿宋" w:hAnsi="仿宋" w:eastAsia="仿宋" w:cs="仿宋"/>
                <w:color w:val="000000"/>
                <w:kern w:val="2"/>
                <w:sz w:val="24"/>
                <w:szCs w:val="24"/>
                <w:highlight w:val="none"/>
                <w:lang w:val="en-US" w:eastAsia="zh-CN" w:bidi="ar-SA"/>
              </w:rPr>
            </w:pPr>
            <w:r>
              <w:rPr>
                <w:rFonts w:hint="eastAsia" w:ascii="仿宋" w:hAnsi="仿宋" w:eastAsia="仿宋"/>
                <w:b/>
                <w:bCs/>
                <w:color w:val="auto"/>
                <w:sz w:val="24"/>
                <w:highlight w:val="none"/>
              </w:rPr>
              <w:t>注：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w:t>
            </w:r>
          </w:p>
        </w:tc>
      </w:tr>
      <w:tr w14:paraId="6736CF4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317" w:hRule="atLeast"/>
        </w:trPr>
        <w:tc>
          <w:tcPr>
            <w:tcW w:w="838" w:type="dxa"/>
            <w:shd w:val="clear" w:color="auto" w:fill="auto"/>
            <w:vAlign w:val="center"/>
          </w:tcPr>
          <w:p w14:paraId="5959F9E8">
            <w:pPr>
              <w:pStyle w:val="46"/>
              <w:pageBreakBefore w:val="0"/>
              <w:widowControl w:val="0"/>
              <w:kinsoku/>
              <w:wordWrap/>
              <w:overflowPunct/>
              <w:topLinePunct w:val="0"/>
              <w:bidi w:val="0"/>
              <w:spacing w:line="240" w:lineRule="auto"/>
              <w:ind w:left="4" w:leftChars="-5" w:right="-31" w:rightChars="-15" w:hanging="14" w:hangingChars="6"/>
              <w:jc w:val="center"/>
              <w:textAlignment w:val="auto"/>
              <w:rPr>
                <w:rFonts w:hint="eastAsia" w:ascii="仿宋" w:hAnsi="仿宋" w:eastAsia="仿宋" w:cs="仿宋"/>
                <w:color w:val="000000"/>
                <w:kern w:val="2"/>
                <w:sz w:val="24"/>
                <w:szCs w:val="24"/>
                <w:highlight w:val="none"/>
                <w:lang w:val="en-US" w:eastAsia="zh-CN" w:bidi="zh-CN"/>
              </w:rPr>
            </w:pPr>
            <w:r>
              <w:rPr>
                <w:rFonts w:hint="eastAsia" w:cs="仿宋"/>
                <w:color w:val="000000"/>
                <w:sz w:val="24"/>
                <w:szCs w:val="24"/>
                <w:highlight w:val="none"/>
                <w:lang w:val="en-US" w:eastAsia="zh-CN"/>
              </w:rPr>
              <w:t>4</w:t>
            </w:r>
          </w:p>
        </w:tc>
        <w:tc>
          <w:tcPr>
            <w:tcW w:w="1176" w:type="dxa"/>
            <w:shd w:val="clear" w:color="auto" w:fill="auto"/>
            <w:vAlign w:val="center"/>
          </w:tcPr>
          <w:p w14:paraId="1B71FAB9">
            <w:pPr>
              <w:pageBreakBefore w:val="0"/>
              <w:widowControl w:val="0"/>
              <w:kinsoku/>
              <w:wordWrap/>
              <w:overflowPunct/>
              <w:topLinePunct w:val="0"/>
              <w:bidi w:val="0"/>
              <w:spacing w:line="240" w:lineRule="auto"/>
              <w:jc w:val="center"/>
              <w:textAlignment w:val="auto"/>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sz w:val="24"/>
                <w:szCs w:val="24"/>
                <w:highlight w:val="none"/>
                <w:lang w:val="en-US" w:eastAsia="zh-CN"/>
              </w:rPr>
              <w:t>培训方案</w:t>
            </w:r>
          </w:p>
        </w:tc>
        <w:tc>
          <w:tcPr>
            <w:tcW w:w="690" w:type="dxa"/>
            <w:shd w:val="clear" w:color="auto" w:fill="auto"/>
            <w:vAlign w:val="center"/>
          </w:tcPr>
          <w:p w14:paraId="0A7BA5FF">
            <w:pPr>
              <w:pageBreakBefore w:val="0"/>
              <w:widowControl w:val="0"/>
              <w:kinsoku/>
              <w:wordWrap/>
              <w:overflowPunct/>
              <w:topLinePunct w:val="0"/>
              <w:bidi w:val="0"/>
              <w:spacing w:line="240" w:lineRule="auto"/>
              <w:jc w:val="center"/>
              <w:textAlignment w:val="auto"/>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sz w:val="24"/>
                <w:szCs w:val="24"/>
                <w:highlight w:val="none"/>
                <w:lang w:val="en-US" w:eastAsia="zh-CN"/>
              </w:rPr>
              <w:t>4</w:t>
            </w:r>
          </w:p>
        </w:tc>
        <w:tc>
          <w:tcPr>
            <w:tcW w:w="6788" w:type="dxa"/>
            <w:shd w:val="clear" w:color="auto" w:fill="auto"/>
            <w:vAlign w:val="center"/>
          </w:tcPr>
          <w:p w14:paraId="463E1662">
            <w:pPr>
              <w:keepNext w:val="0"/>
              <w:keepLines w:val="0"/>
              <w:pageBreakBefore w:val="0"/>
              <w:widowControl w:val="0"/>
              <w:kinsoku/>
              <w:wordWrap/>
              <w:overflowPunct/>
              <w:topLinePunct w:val="0"/>
              <w:autoSpaceDE/>
              <w:autoSpaceDN/>
              <w:bidi w:val="0"/>
              <w:adjustRightInd/>
              <w:snapToGrid/>
              <w:spacing w:line="240" w:lineRule="auto"/>
              <w:ind w:left="0" w:right="0" w:firstLine="480" w:firstLineChars="200"/>
              <w:jc w:val="left"/>
              <w:textAlignment w:val="auto"/>
              <w:rPr>
                <w:rFonts w:hint="eastAsia" w:ascii="仿宋" w:hAnsi="仿宋" w:eastAsia="仿宋" w:cs="仿宋"/>
                <w:b/>
                <w:bCs/>
                <w:color w:val="auto"/>
                <w:sz w:val="24"/>
                <w:highlight w:val="none"/>
              </w:rPr>
            </w:pPr>
            <w:r>
              <w:rPr>
                <w:rFonts w:hint="eastAsia" w:ascii="仿宋" w:hAnsi="仿宋" w:eastAsia="仿宋" w:cs="仿宋"/>
                <w:color w:val="000000"/>
                <w:kern w:val="2"/>
                <w:sz w:val="24"/>
                <w:szCs w:val="24"/>
                <w:highlight w:val="none"/>
                <w:lang w:val="en-US" w:eastAsia="zh-CN" w:bidi="ar-SA"/>
              </w:rPr>
              <w:t>根据响应供应商提供的培训方案进行评审：包含但不限于①内部培训②法院培训。要求流程详细、具体，没有出现流程漏项，培训方案内容具体且有针对性、可行性和合理性，</w:t>
            </w:r>
            <w:r>
              <w:rPr>
                <w:rFonts w:hint="eastAsia" w:ascii="仿宋" w:hAnsi="仿宋" w:eastAsia="仿宋" w:cs="仿宋"/>
                <w:b/>
                <w:bCs/>
                <w:color w:val="auto"/>
                <w:sz w:val="24"/>
                <w:highlight w:val="none"/>
              </w:rPr>
              <w:t>上述</w:t>
            </w:r>
            <w:r>
              <w:rPr>
                <w:rFonts w:hint="eastAsia" w:ascii="仿宋" w:hAnsi="仿宋" w:eastAsia="仿宋" w:cs="仿宋"/>
                <w:b/>
                <w:bCs/>
                <w:color w:val="auto"/>
                <w:sz w:val="24"/>
                <w:highlight w:val="none"/>
                <w:lang w:val="en-US" w:eastAsia="zh-CN"/>
              </w:rPr>
              <w:t>2</w:t>
            </w:r>
            <w:r>
              <w:rPr>
                <w:rFonts w:hint="eastAsia" w:ascii="仿宋" w:hAnsi="仿宋" w:eastAsia="仿宋" w:cs="仿宋"/>
                <w:b/>
                <w:bCs/>
                <w:color w:val="auto"/>
                <w:sz w:val="24"/>
                <w:highlight w:val="none"/>
              </w:rPr>
              <w:t>个方面内容每缺少一项内容扣</w:t>
            </w:r>
            <w:r>
              <w:rPr>
                <w:rFonts w:hint="eastAsia" w:ascii="仿宋" w:hAnsi="仿宋" w:eastAsia="仿宋" w:cs="仿宋"/>
                <w:b/>
                <w:bCs/>
                <w:color w:val="auto"/>
                <w:sz w:val="24"/>
                <w:highlight w:val="none"/>
                <w:lang w:val="en-US" w:eastAsia="zh-CN"/>
              </w:rPr>
              <w:t>2</w:t>
            </w:r>
            <w:r>
              <w:rPr>
                <w:rFonts w:hint="eastAsia" w:ascii="仿宋" w:hAnsi="仿宋" w:eastAsia="仿宋" w:cs="仿宋"/>
                <w:b/>
                <w:bCs/>
                <w:color w:val="auto"/>
                <w:sz w:val="24"/>
                <w:highlight w:val="none"/>
              </w:rPr>
              <w:t>分，每有一处需求分析内容存在缺陷或不足的扣</w:t>
            </w:r>
            <w:r>
              <w:rPr>
                <w:rFonts w:hint="eastAsia" w:ascii="仿宋" w:hAnsi="仿宋" w:eastAsia="仿宋" w:cs="仿宋"/>
                <w:b/>
                <w:bCs/>
                <w:color w:val="auto"/>
                <w:sz w:val="24"/>
                <w:highlight w:val="none"/>
                <w:lang w:val="en-US" w:eastAsia="zh-CN"/>
              </w:rPr>
              <w:t>1</w:t>
            </w:r>
            <w:r>
              <w:rPr>
                <w:rFonts w:hint="eastAsia" w:ascii="仿宋" w:hAnsi="仿宋" w:eastAsia="仿宋" w:cs="仿宋"/>
                <w:b/>
                <w:bCs/>
                <w:color w:val="auto"/>
                <w:sz w:val="24"/>
                <w:highlight w:val="none"/>
              </w:rPr>
              <w:t>分，扣完为止。本项满分</w:t>
            </w:r>
            <w:r>
              <w:rPr>
                <w:rFonts w:hint="eastAsia" w:ascii="仿宋" w:hAnsi="仿宋" w:eastAsia="仿宋" w:cs="仿宋"/>
                <w:b/>
                <w:bCs/>
                <w:color w:val="auto"/>
                <w:sz w:val="24"/>
                <w:highlight w:val="none"/>
                <w:lang w:val="en-US" w:eastAsia="zh-CN"/>
              </w:rPr>
              <w:t>4</w:t>
            </w:r>
            <w:r>
              <w:rPr>
                <w:rFonts w:hint="eastAsia" w:ascii="仿宋" w:hAnsi="仿宋" w:eastAsia="仿宋" w:cs="仿宋"/>
                <w:b/>
                <w:bCs/>
                <w:color w:val="auto"/>
                <w:sz w:val="24"/>
                <w:highlight w:val="none"/>
              </w:rPr>
              <w:t>分。</w:t>
            </w:r>
          </w:p>
          <w:p w14:paraId="7376F42D">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482" w:firstLineChars="200"/>
              <w:jc w:val="left"/>
              <w:textAlignment w:val="auto"/>
              <w:rPr>
                <w:rFonts w:hint="eastAsia" w:ascii="仿宋" w:hAnsi="仿宋" w:eastAsia="仿宋" w:cs="仿宋"/>
                <w:color w:val="000000"/>
                <w:kern w:val="2"/>
                <w:sz w:val="24"/>
                <w:szCs w:val="24"/>
                <w:highlight w:val="none"/>
                <w:lang w:val="en-US" w:eastAsia="zh-CN" w:bidi="ar-SA"/>
              </w:rPr>
            </w:pPr>
            <w:r>
              <w:rPr>
                <w:rFonts w:hint="eastAsia" w:ascii="仿宋" w:hAnsi="仿宋" w:eastAsia="仿宋"/>
                <w:b/>
                <w:bCs/>
                <w:color w:val="auto"/>
                <w:sz w:val="24"/>
                <w:highlight w:val="none"/>
              </w:rPr>
              <w:t>注：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w:t>
            </w:r>
          </w:p>
        </w:tc>
      </w:tr>
      <w:tr w14:paraId="2DAEF5E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481" w:hRule="atLeast"/>
        </w:trPr>
        <w:tc>
          <w:tcPr>
            <w:tcW w:w="838" w:type="dxa"/>
            <w:shd w:val="clear" w:color="auto" w:fill="auto"/>
            <w:vAlign w:val="center"/>
          </w:tcPr>
          <w:p w14:paraId="4FBA1575">
            <w:pPr>
              <w:pStyle w:val="46"/>
              <w:pageBreakBefore w:val="0"/>
              <w:widowControl w:val="0"/>
              <w:kinsoku/>
              <w:wordWrap/>
              <w:overflowPunct/>
              <w:topLinePunct w:val="0"/>
              <w:bidi w:val="0"/>
              <w:spacing w:line="240" w:lineRule="auto"/>
              <w:ind w:left="4" w:leftChars="-5" w:right="-31" w:rightChars="-15" w:hanging="14" w:hangingChars="6"/>
              <w:jc w:val="center"/>
              <w:textAlignment w:val="auto"/>
              <w:rPr>
                <w:rFonts w:hint="eastAsia" w:ascii="仿宋" w:hAnsi="仿宋" w:eastAsia="仿宋" w:cs="仿宋"/>
                <w:color w:val="000000"/>
                <w:kern w:val="2"/>
                <w:sz w:val="24"/>
                <w:szCs w:val="24"/>
                <w:highlight w:val="none"/>
                <w:lang w:val="en-US" w:eastAsia="zh-CN" w:bidi="zh-CN"/>
              </w:rPr>
            </w:pPr>
            <w:r>
              <w:rPr>
                <w:rFonts w:hint="eastAsia" w:cs="仿宋"/>
                <w:color w:val="000000"/>
                <w:sz w:val="24"/>
                <w:szCs w:val="24"/>
                <w:highlight w:val="none"/>
                <w:lang w:val="en-US" w:eastAsia="zh-CN"/>
              </w:rPr>
              <w:t>5</w:t>
            </w:r>
          </w:p>
        </w:tc>
        <w:tc>
          <w:tcPr>
            <w:tcW w:w="1176" w:type="dxa"/>
            <w:shd w:val="clear" w:color="auto" w:fill="auto"/>
            <w:vAlign w:val="center"/>
          </w:tcPr>
          <w:p w14:paraId="2CC4024B">
            <w:pPr>
              <w:pageBreakBefore w:val="0"/>
              <w:widowControl w:val="0"/>
              <w:kinsoku/>
              <w:wordWrap/>
              <w:overflowPunct/>
              <w:topLinePunct w:val="0"/>
              <w:bidi w:val="0"/>
              <w:spacing w:line="240" w:lineRule="auto"/>
              <w:jc w:val="center"/>
              <w:textAlignment w:val="auto"/>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sz w:val="24"/>
                <w:szCs w:val="24"/>
                <w:highlight w:val="none"/>
                <w:lang w:val="en-US" w:eastAsia="zh-CN"/>
              </w:rPr>
              <w:t>应急方案</w:t>
            </w:r>
          </w:p>
        </w:tc>
        <w:tc>
          <w:tcPr>
            <w:tcW w:w="690" w:type="dxa"/>
            <w:shd w:val="clear" w:color="auto" w:fill="auto"/>
            <w:vAlign w:val="center"/>
          </w:tcPr>
          <w:p w14:paraId="4C601E11">
            <w:pPr>
              <w:pageBreakBefore w:val="0"/>
              <w:widowControl w:val="0"/>
              <w:kinsoku/>
              <w:wordWrap/>
              <w:overflowPunct/>
              <w:topLinePunct w:val="0"/>
              <w:bidi w:val="0"/>
              <w:spacing w:line="240" w:lineRule="auto"/>
              <w:jc w:val="center"/>
              <w:textAlignment w:val="auto"/>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sz w:val="24"/>
                <w:szCs w:val="24"/>
                <w:highlight w:val="none"/>
                <w:lang w:val="en-US" w:eastAsia="zh-CN"/>
              </w:rPr>
              <w:t>6</w:t>
            </w:r>
          </w:p>
        </w:tc>
        <w:tc>
          <w:tcPr>
            <w:tcW w:w="6788" w:type="dxa"/>
            <w:shd w:val="clear" w:color="auto" w:fill="auto"/>
            <w:vAlign w:val="center"/>
          </w:tcPr>
          <w:p w14:paraId="2419F577">
            <w:pPr>
              <w:keepNext w:val="0"/>
              <w:keepLines w:val="0"/>
              <w:pageBreakBefore w:val="0"/>
              <w:widowControl w:val="0"/>
              <w:kinsoku/>
              <w:wordWrap/>
              <w:overflowPunct/>
              <w:topLinePunct w:val="0"/>
              <w:autoSpaceDE/>
              <w:autoSpaceDN/>
              <w:bidi w:val="0"/>
              <w:adjustRightInd/>
              <w:snapToGrid/>
              <w:spacing w:line="240" w:lineRule="auto"/>
              <w:ind w:left="0" w:right="0" w:firstLine="480" w:firstLineChars="200"/>
              <w:jc w:val="left"/>
              <w:textAlignment w:val="auto"/>
              <w:rPr>
                <w:rFonts w:hint="eastAsia" w:ascii="仿宋" w:hAnsi="仿宋" w:eastAsia="仿宋" w:cs="仿宋"/>
                <w:b/>
                <w:bCs/>
                <w:color w:val="auto"/>
                <w:sz w:val="24"/>
                <w:highlight w:val="none"/>
              </w:rPr>
            </w:pPr>
            <w:r>
              <w:rPr>
                <w:rFonts w:hint="eastAsia" w:ascii="仿宋" w:hAnsi="仿宋" w:eastAsia="仿宋" w:cs="仿宋"/>
                <w:color w:val="000000"/>
                <w:kern w:val="2"/>
                <w:sz w:val="24"/>
                <w:szCs w:val="24"/>
                <w:highlight w:val="none"/>
                <w:lang w:val="zh-CN" w:eastAsia="zh-CN" w:bidi="zh-CN"/>
              </w:rPr>
              <w:t>根据响应供应商提供的应急情况处理方案进行评审：包含但不限于①应急事项的处理流程②处理方法③日常预防机制。</w:t>
            </w:r>
            <w:r>
              <w:rPr>
                <w:rFonts w:hint="eastAsia" w:ascii="仿宋" w:hAnsi="仿宋" w:eastAsia="仿宋" w:cs="仿宋"/>
                <w:color w:val="000000"/>
                <w:kern w:val="2"/>
                <w:sz w:val="24"/>
                <w:szCs w:val="24"/>
                <w:highlight w:val="none"/>
                <w:lang w:val="en-US" w:eastAsia="zh-CN" w:bidi="ar-SA"/>
              </w:rPr>
              <w:t>要求</w:t>
            </w:r>
            <w:r>
              <w:rPr>
                <w:rFonts w:hint="eastAsia" w:ascii="仿宋" w:hAnsi="仿宋" w:eastAsia="仿宋" w:cs="仿宋"/>
                <w:color w:val="000000"/>
                <w:sz w:val="24"/>
                <w:szCs w:val="24"/>
                <w:highlight w:val="none"/>
                <w:lang w:val="en-US" w:eastAsia="zh-CN"/>
              </w:rPr>
              <w:t>流程详细、具体，没有出现流程漏项，</w:t>
            </w:r>
            <w:r>
              <w:rPr>
                <w:rFonts w:hint="eastAsia" w:ascii="仿宋" w:hAnsi="仿宋" w:eastAsia="仿宋" w:cs="仿宋"/>
                <w:color w:val="000000"/>
                <w:kern w:val="2"/>
                <w:sz w:val="24"/>
                <w:szCs w:val="24"/>
                <w:highlight w:val="none"/>
                <w:lang w:val="zh-CN" w:eastAsia="zh-CN" w:bidi="zh-CN"/>
              </w:rPr>
              <w:t>应急情况处理方案</w:t>
            </w:r>
            <w:r>
              <w:rPr>
                <w:rFonts w:hint="eastAsia" w:ascii="仿宋" w:hAnsi="仿宋" w:eastAsia="仿宋" w:cs="仿宋"/>
                <w:color w:val="000000"/>
                <w:sz w:val="24"/>
                <w:szCs w:val="24"/>
                <w:highlight w:val="none"/>
                <w:lang w:val="en-US" w:eastAsia="zh-CN"/>
              </w:rPr>
              <w:t>内容具体且有针对性、可行性和合理性</w:t>
            </w:r>
            <w:r>
              <w:rPr>
                <w:rFonts w:hint="eastAsia" w:ascii="仿宋" w:hAnsi="仿宋" w:eastAsia="仿宋" w:cs="仿宋"/>
                <w:color w:val="000000"/>
                <w:kern w:val="2"/>
                <w:sz w:val="24"/>
                <w:szCs w:val="24"/>
                <w:highlight w:val="none"/>
                <w:lang w:val="en-US" w:eastAsia="zh-CN" w:bidi="ar-SA"/>
              </w:rPr>
              <w:t>，</w:t>
            </w:r>
            <w:r>
              <w:rPr>
                <w:rFonts w:hint="eastAsia" w:ascii="仿宋" w:hAnsi="仿宋" w:eastAsia="仿宋" w:cs="仿宋"/>
                <w:b/>
                <w:bCs/>
                <w:color w:val="auto"/>
                <w:sz w:val="24"/>
                <w:highlight w:val="none"/>
              </w:rPr>
              <w:t>上述</w:t>
            </w:r>
            <w:r>
              <w:rPr>
                <w:rFonts w:hint="eastAsia" w:ascii="仿宋" w:hAnsi="仿宋" w:eastAsia="仿宋" w:cs="仿宋"/>
                <w:b/>
                <w:bCs/>
                <w:color w:val="auto"/>
                <w:sz w:val="24"/>
                <w:highlight w:val="none"/>
                <w:lang w:val="en-US" w:eastAsia="zh-CN"/>
              </w:rPr>
              <w:t>3</w:t>
            </w:r>
            <w:r>
              <w:rPr>
                <w:rFonts w:hint="eastAsia" w:ascii="仿宋" w:hAnsi="仿宋" w:eastAsia="仿宋" w:cs="仿宋"/>
                <w:b/>
                <w:bCs/>
                <w:color w:val="auto"/>
                <w:sz w:val="24"/>
                <w:highlight w:val="none"/>
              </w:rPr>
              <w:t>个方面内容每缺少一项内容扣</w:t>
            </w:r>
            <w:r>
              <w:rPr>
                <w:rFonts w:hint="eastAsia" w:ascii="仿宋" w:hAnsi="仿宋" w:eastAsia="仿宋" w:cs="仿宋"/>
                <w:b/>
                <w:bCs/>
                <w:color w:val="auto"/>
                <w:sz w:val="24"/>
                <w:highlight w:val="none"/>
                <w:lang w:val="en-US" w:eastAsia="zh-CN"/>
              </w:rPr>
              <w:t>2</w:t>
            </w:r>
            <w:r>
              <w:rPr>
                <w:rFonts w:hint="eastAsia" w:ascii="仿宋" w:hAnsi="仿宋" w:eastAsia="仿宋" w:cs="仿宋"/>
                <w:b/>
                <w:bCs/>
                <w:color w:val="auto"/>
                <w:sz w:val="24"/>
                <w:highlight w:val="none"/>
              </w:rPr>
              <w:t>分，每有一处需求分析内容存在缺陷或不足的扣</w:t>
            </w:r>
            <w:r>
              <w:rPr>
                <w:rFonts w:hint="eastAsia" w:ascii="仿宋" w:hAnsi="仿宋" w:eastAsia="仿宋" w:cs="仿宋"/>
                <w:b/>
                <w:bCs/>
                <w:color w:val="auto"/>
                <w:sz w:val="24"/>
                <w:highlight w:val="none"/>
                <w:lang w:val="en-US" w:eastAsia="zh-CN"/>
              </w:rPr>
              <w:t>1</w:t>
            </w:r>
            <w:r>
              <w:rPr>
                <w:rFonts w:hint="eastAsia" w:ascii="仿宋" w:hAnsi="仿宋" w:eastAsia="仿宋" w:cs="仿宋"/>
                <w:b/>
                <w:bCs/>
                <w:color w:val="auto"/>
                <w:sz w:val="24"/>
                <w:highlight w:val="none"/>
              </w:rPr>
              <w:t>分，扣完为止。本项满分</w:t>
            </w:r>
            <w:r>
              <w:rPr>
                <w:rFonts w:hint="eastAsia" w:ascii="仿宋" w:hAnsi="仿宋" w:eastAsia="仿宋" w:cs="仿宋"/>
                <w:b/>
                <w:bCs/>
                <w:color w:val="auto"/>
                <w:sz w:val="24"/>
                <w:highlight w:val="none"/>
                <w:lang w:val="en-US" w:eastAsia="zh-CN"/>
              </w:rPr>
              <w:t>6</w:t>
            </w:r>
            <w:r>
              <w:rPr>
                <w:rFonts w:hint="eastAsia" w:ascii="仿宋" w:hAnsi="仿宋" w:eastAsia="仿宋" w:cs="仿宋"/>
                <w:b/>
                <w:bCs/>
                <w:color w:val="auto"/>
                <w:sz w:val="24"/>
                <w:highlight w:val="none"/>
              </w:rPr>
              <w:t>分。</w:t>
            </w:r>
          </w:p>
          <w:p w14:paraId="6CC1A266">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482" w:firstLineChars="200"/>
              <w:jc w:val="left"/>
              <w:textAlignment w:val="auto"/>
              <w:rPr>
                <w:rFonts w:hint="eastAsia" w:ascii="仿宋" w:hAnsi="仿宋" w:eastAsia="仿宋" w:cs="仿宋"/>
                <w:color w:val="000000"/>
                <w:kern w:val="2"/>
                <w:sz w:val="24"/>
                <w:szCs w:val="24"/>
                <w:highlight w:val="none"/>
                <w:lang w:val="en-US" w:eastAsia="zh-CN" w:bidi="ar-SA"/>
              </w:rPr>
            </w:pPr>
            <w:r>
              <w:rPr>
                <w:rFonts w:hint="eastAsia" w:ascii="仿宋" w:hAnsi="仿宋" w:eastAsia="仿宋"/>
                <w:b/>
                <w:bCs/>
                <w:color w:val="auto"/>
                <w:sz w:val="24"/>
                <w:highlight w:val="none"/>
              </w:rPr>
              <w:t>注：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w:t>
            </w:r>
          </w:p>
        </w:tc>
      </w:tr>
      <w:tr w14:paraId="1BA1D40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972" w:hRule="atLeast"/>
        </w:trPr>
        <w:tc>
          <w:tcPr>
            <w:tcW w:w="838" w:type="dxa"/>
            <w:shd w:val="clear" w:color="auto" w:fill="auto"/>
            <w:vAlign w:val="center"/>
          </w:tcPr>
          <w:p w14:paraId="260815DB">
            <w:pPr>
              <w:pStyle w:val="46"/>
              <w:pageBreakBefore w:val="0"/>
              <w:widowControl w:val="0"/>
              <w:kinsoku/>
              <w:wordWrap/>
              <w:overflowPunct/>
              <w:topLinePunct w:val="0"/>
              <w:bidi w:val="0"/>
              <w:spacing w:line="240" w:lineRule="auto"/>
              <w:ind w:left="4" w:leftChars="-5" w:right="-31" w:rightChars="-15" w:hanging="14" w:hangingChars="6"/>
              <w:jc w:val="center"/>
              <w:textAlignment w:val="auto"/>
              <w:rPr>
                <w:rFonts w:hint="eastAsia" w:ascii="仿宋" w:hAnsi="仿宋" w:eastAsia="仿宋" w:cs="仿宋"/>
                <w:color w:val="000000"/>
                <w:kern w:val="2"/>
                <w:sz w:val="24"/>
                <w:szCs w:val="24"/>
                <w:highlight w:val="none"/>
                <w:lang w:val="en-US" w:eastAsia="zh-CN" w:bidi="zh-CN"/>
              </w:rPr>
            </w:pPr>
            <w:r>
              <w:rPr>
                <w:rFonts w:hint="eastAsia" w:cs="仿宋"/>
                <w:color w:val="000000"/>
                <w:sz w:val="24"/>
                <w:szCs w:val="24"/>
                <w:highlight w:val="none"/>
                <w:lang w:val="en-US" w:eastAsia="zh-CN"/>
              </w:rPr>
              <w:t>6</w:t>
            </w:r>
          </w:p>
        </w:tc>
        <w:tc>
          <w:tcPr>
            <w:tcW w:w="1176" w:type="dxa"/>
            <w:shd w:val="clear" w:color="auto" w:fill="auto"/>
            <w:vAlign w:val="center"/>
          </w:tcPr>
          <w:p w14:paraId="2F229A6F">
            <w:pPr>
              <w:pageBreakBefore w:val="0"/>
              <w:widowControl w:val="0"/>
              <w:kinsoku/>
              <w:wordWrap/>
              <w:overflowPunct/>
              <w:topLinePunct w:val="0"/>
              <w:bidi w:val="0"/>
              <w:spacing w:line="240" w:lineRule="auto"/>
              <w:jc w:val="center"/>
              <w:textAlignment w:val="auto"/>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sz w:val="24"/>
                <w:szCs w:val="24"/>
                <w:highlight w:val="none"/>
                <w:lang w:val="en-US" w:eastAsia="zh-CN"/>
              </w:rPr>
              <w:t>保密方案</w:t>
            </w:r>
          </w:p>
        </w:tc>
        <w:tc>
          <w:tcPr>
            <w:tcW w:w="690" w:type="dxa"/>
            <w:shd w:val="clear" w:color="auto" w:fill="auto"/>
            <w:vAlign w:val="center"/>
          </w:tcPr>
          <w:p w14:paraId="0425C4A2">
            <w:pPr>
              <w:pageBreakBefore w:val="0"/>
              <w:widowControl w:val="0"/>
              <w:kinsoku/>
              <w:wordWrap/>
              <w:overflowPunct/>
              <w:topLinePunct w:val="0"/>
              <w:bidi w:val="0"/>
              <w:spacing w:line="240" w:lineRule="auto"/>
              <w:jc w:val="center"/>
              <w:textAlignment w:val="auto"/>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sz w:val="24"/>
                <w:szCs w:val="24"/>
                <w:highlight w:val="none"/>
                <w:lang w:val="en-US" w:eastAsia="zh-CN"/>
              </w:rPr>
              <w:t>4</w:t>
            </w:r>
          </w:p>
        </w:tc>
        <w:tc>
          <w:tcPr>
            <w:tcW w:w="6788" w:type="dxa"/>
            <w:shd w:val="clear" w:color="auto" w:fill="auto"/>
            <w:vAlign w:val="center"/>
          </w:tcPr>
          <w:p w14:paraId="5133E188">
            <w:pPr>
              <w:keepNext w:val="0"/>
              <w:keepLines w:val="0"/>
              <w:pageBreakBefore w:val="0"/>
              <w:widowControl w:val="0"/>
              <w:kinsoku/>
              <w:wordWrap/>
              <w:overflowPunct/>
              <w:topLinePunct w:val="0"/>
              <w:autoSpaceDE/>
              <w:autoSpaceDN/>
              <w:bidi w:val="0"/>
              <w:adjustRightInd/>
              <w:snapToGrid/>
              <w:spacing w:line="240" w:lineRule="auto"/>
              <w:ind w:left="0" w:right="0" w:firstLine="480" w:firstLineChars="200"/>
              <w:jc w:val="left"/>
              <w:textAlignment w:val="auto"/>
              <w:rPr>
                <w:rFonts w:hint="eastAsia" w:ascii="仿宋" w:hAnsi="仿宋" w:eastAsia="仿宋" w:cs="仿宋"/>
                <w:b/>
                <w:bCs/>
                <w:color w:val="auto"/>
                <w:sz w:val="24"/>
                <w:highlight w:val="none"/>
              </w:rPr>
            </w:pPr>
            <w:r>
              <w:rPr>
                <w:rFonts w:hint="eastAsia" w:ascii="仿宋" w:hAnsi="仿宋" w:eastAsia="仿宋" w:cs="仿宋"/>
                <w:color w:val="000000"/>
                <w:kern w:val="2"/>
                <w:sz w:val="24"/>
                <w:szCs w:val="24"/>
                <w:highlight w:val="none"/>
                <w:lang w:val="zh-CN" w:eastAsia="zh-CN" w:bidi="zh-CN"/>
              </w:rPr>
              <w:t>根据响应供应商提供的安全保密方案进行评审：包含但不限于①保密安全管理制度②保密安全管理规范③保密安全管理措施④保密安全承诺。</w:t>
            </w:r>
            <w:r>
              <w:rPr>
                <w:rFonts w:hint="eastAsia" w:ascii="仿宋" w:hAnsi="仿宋" w:eastAsia="仿宋" w:cs="仿宋"/>
                <w:color w:val="000000"/>
                <w:kern w:val="2"/>
                <w:sz w:val="24"/>
                <w:szCs w:val="24"/>
                <w:highlight w:val="none"/>
                <w:lang w:val="en-US" w:eastAsia="zh-CN" w:bidi="zh-CN"/>
              </w:rPr>
              <w:t>每项内容均应包括</w:t>
            </w:r>
            <w:r>
              <w:rPr>
                <w:rFonts w:hint="eastAsia" w:ascii="仿宋" w:hAnsi="仿宋" w:eastAsia="仿宋" w:cs="仿宋"/>
                <w:color w:val="000000"/>
                <w:kern w:val="2"/>
                <w:sz w:val="24"/>
                <w:szCs w:val="24"/>
                <w:highlight w:val="none"/>
                <w:lang w:val="zh-CN" w:eastAsia="zh-CN" w:bidi="zh-CN"/>
              </w:rPr>
              <w:t>人员安全管理、</w:t>
            </w:r>
            <w:r>
              <w:rPr>
                <w:rFonts w:hint="eastAsia" w:ascii="仿宋" w:hAnsi="仿宋" w:eastAsia="仿宋" w:cs="仿宋"/>
                <w:color w:val="000000"/>
                <w:kern w:val="2"/>
                <w:sz w:val="24"/>
                <w:szCs w:val="24"/>
                <w:highlight w:val="none"/>
                <w:lang w:val="en-US" w:eastAsia="zh-CN" w:bidi="zh-CN"/>
              </w:rPr>
              <w:t>档案</w:t>
            </w:r>
            <w:r>
              <w:rPr>
                <w:rFonts w:hint="eastAsia" w:ascii="仿宋" w:hAnsi="仿宋" w:eastAsia="仿宋" w:cs="仿宋"/>
                <w:color w:val="000000"/>
                <w:kern w:val="2"/>
                <w:sz w:val="24"/>
                <w:szCs w:val="24"/>
                <w:highlight w:val="none"/>
                <w:lang w:val="zh-CN" w:eastAsia="zh-CN" w:bidi="zh-CN"/>
              </w:rPr>
              <w:t>安全管理、数据安全管理、工作日志管理</w:t>
            </w:r>
            <w:r>
              <w:rPr>
                <w:rFonts w:hint="eastAsia" w:ascii="仿宋" w:hAnsi="仿宋" w:eastAsia="仿宋" w:cs="仿宋"/>
                <w:color w:val="000000"/>
                <w:kern w:val="2"/>
                <w:sz w:val="24"/>
                <w:szCs w:val="24"/>
                <w:highlight w:val="none"/>
                <w:lang w:val="en-US" w:eastAsia="zh-CN" w:bidi="zh-CN"/>
              </w:rPr>
              <w:t>方面。</w:t>
            </w:r>
            <w:r>
              <w:rPr>
                <w:rFonts w:hint="eastAsia" w:ascii="仿宋" w:hAnsi="仿宋" w:eastAsia="仿宋" w:cs="仿宋"/>
                <w:b/>
                <w:bCs/>
                <w:color w:val="auto"/>
                <w:sz w:val="24"/>
                <w:highlight w:val="none"/>
              </w:rPr>
              <w:t>上述</w:t>
            </w:r>
            <w:r>
              <w:rPr>
                <w:rFonts w:hint="eastAsia" w:ascii="仿宋" w:hAnsi="仿宋" w:eastAsia="仿宋" w:cs="仿宋"/>
                <w:b/>
                <w:bCs/>
                <w:color w:val="auto"/>
                <w:sz w:val="24"/>
                <w:highlight w:val="none"/>
                <w:lang w:val="en-US" w:eastAsia="zh-CN"/>
              </w:rPr>
              <w:t>4</w:t>
            </w:r>
            <w:r>
              <w:rPr>
                <w:rFonts w:hint="eastAsia" w:ascii="仿宋" w:hAnsi="仿宋" w:eastAsia="仿宋" w:cs="仿宋"/>
                <w:b/>
                <w:bCs/>
                <w:color w:val="auto"/>
                <w:sz w:val="24"/>
                <w:highlight w:val="none"/>
              </w:rPr>
              <w:t>个方面内容每缺少一项内容扣</w:t>
            </w:r>
            <w:r>
              <w:rPr>
                <w:rFonts w:hint="eastAsia" w:ascii="仿宋" w:hAnsi="仿宋" w:eastAsia="仿宋" w:cs="仿宋"/>
                <w:b/>
                <w:bCs/>
                <w:color w:val="auto"/>
                <w:sz w:val="24"/>
                <w:highlight w:val="none"/>
                <w:lang w:val="en-US" w:eastAsia="zh-CN"/>
              </w:rPr>
              <w:t>1</w:t>
            </w:r>
            <w:r>
              <w:rPr>
                <w:rFonts w:hint="eastAsia" w:ascii="仿宋" w:hAnsi="仿宋" w:eastAsia="仿宋" w:cs="仿宋"/>
                <w:b/>
                <w:bCs/>
                <w:color w:val="auto"/>
                <w:sz w:val="24"/>
                <w:highlight w:val="none"/>
              </w:rPr>
              <w:t>分，每有一处需求分析内容存在缺陷或不足的扣</w:t>
            </w:r>
            <w:r>
              <w:rPr>
                <w:rFonts w:hint="eastAsia" w:ascii="仿宋" w:hAnsi="仿宋" w:eastAsia="仿宋" w:cs="仿宋"/>
                <w:b/>
                <w:bCs/>
                <w:color w:val="auto"/>
                <w:sz w:val="24"/>
                <w:highlight w:val="none"/>
                <w:lang w:val="en-US" w:eastAsia="zh-CN"/>
              </w:rPr>
              <w:t>0.5</w:t>
            </w:r>
            <w:r>
              <w:rPr>
                <w:rFonts w:hint="eastAsia" w:ascii="仿宋" w:hAnsi="仿宋" w:eastAsia="仿宋" w:cs="仿宋"/>
                <w:b/>
                <w:bCs/>
                <w:color w:val="auto"/>
                <w:sz w:val="24"/>
                <w:highlight w:val="none"/>
              </w:rPr>
              <w:t>分，扣完为止。本项满分</w:t>
            </w:r>
            <w:r>
              <w:rPr>
                <w:rFonts w:hint="eastAsia" w:ascii="仿宋" w:hAnsi="仿宋" w:eastAsia="仿宋" w:cs="仿宋"/>
                <w:b/>
                <w:bCs/>
                <w:color w:val="auto"/>
                <w:sz w:val="24"/>
                <w:highlight w:val="none"/>
                <w:lang w:val="en-US" w:eastAsia="zh-CN"/>
              </w:rPr>
              <w:t>4</w:t>
            </w:r>
            <w:r>
              <w:rPr>
                <w:rFonts w:hint="eastAsia" w:ascii="仿宋" w:hAnsi="仿宋" w:eastAsia="仿宋" w:cs="仿宋"/>
                <w:b/>
                <w:bCs/>
                <w:color w:val="auto"/>
                <w:sz w:val="24"/>
                <w:highlight w:val="none"/>
              </w:rPr>
              <w:t>分。</w:t>
            </w:r>
          </w:p>
          <w:p w14:paraId="3CF8CB19">
            <w:pPr>
              <w:keepNext w:val="0"/>
              <w:keepLines w:val="0"/>
              <w:pageBreakBefore w:val="0"/>
              <w:widowControl w:val="0"/>
              <w:kinsoku/>
              <w:wordWrap/>
              <w:overflowPunct/>
              <w:topLinePunct w:val="0"/>
              <w:autoSpaceDE/>
              <w:autoSpaceDN/>
              <w:bidi w:val="0"/>
              <w:adjustRightInd/>
              <w:snapToGrid/>
              <w:spacing w:line="240" w:lineRule="auto"/>
              <w:ind w:left="0" w:right="0" w:firstLine="482" w:firstLineChars="200"/>
              <w:jc w:val="left"/>
              <w:textAlignment w:val="auto"/>
              <w:rPr>
                <w:rFonts w:hint="eastAsia" w:ascii="仿宋" w:hAnsi="仿宋" w:eastAsia="仿宋" w:cs="仿宋"/>
                <w:b/>
                <w:bCs/>
                <w:color w:val="000000"/>
                <w:kern w:val="2"/>
                <w:sz w:val="24"/>
                <w:szCs w:val="24"/>
                <w:highlight w:val="none"/>
                <w:lang w:val="zh-CN" w:eastAsia="zh-CN" w:bidi="zh-CN"/>
              </w:rPr>
            </w:pPr>
            <w:r>
              <w:rPr>
                <w:rFonts w:hint="eastAsia" w:ascii="仿宋" w:hAnsi="仿宋" w:eastAsia="仿宋"/>
                <w:b/>
                <w:bCs/>
                <w:color w:val="auto"/>
                <w:sz w:val="24"/>
                <w:highlight w:val="none"/>
              </w:rPr>
              <w:t>注：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w:t>
            </w:r>
          </w:p>
        </w:tc>
      </w:tr>
      <w:tr w14:paraId="205FF9D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783" w:hRule="atLeast"/>
        </w:trPr>
        <w:tc>
          <w:tcPr>
            <w:tcW w:w="838" w:type="dxa"/>
            <w:shd w:val="clear" w:color="auto" w:fill="auto"/>
            <w:vAlign w:val="center"/>
          </w:tcPr>
          <w:p w14:paraId="1F389A1D">
            <w:pPr>
              <w:pStyle w:val="46"/>
              <w:pageBreakBefore w:val="0"/>
              <w:widowControl w:val="0"/>
              <w:numPr>
                <w:ilvl w:val="0"/>
                <w:numId w:val="0"/>
              </w:numPr>
              <w:kinsoku/>
              <w:wordWrap/>
              <w:overflowPunct/>
              <w:topLinePunct w:val="0"/>
              <w:bidi w:val="0"/>
              <w:spacing w:line="240" w:lineRule="auto"/>
              <w:ind w:left="-23" w:leftChars="-11" w:right="-31" w:rightChars="-15" w:firstLine="0" w:firstLineChars="0"/>
              <w:jc w:val="center"/>
              <w:textAlignment w:val="auto"/>
              <w:rPr>
                <w:rFonts w:hint="eastAsia" w:ascii="仿宋" w:hAnsi="仿宋" w:eastAsia="仿宋" w:cs="仿宋"/>
                <w:color w:val="000000"/>
                <w:kern w:val="2"/>
                <w:sz w:val="24"/>
                <w:szCs w:val="24"/>
                <w:highlight w:val="none"/>
                <w:lang w:val="en-US" w:eastAsia="zh-CN" w:bidi="zh-CN"/>
              </w:rPr>
            </w:pPr>
            <w:r>
              <w:rPr>
                <w:rFonts w:hint="eastAsia" w:cs="仿宋"/>
                <w:color w:val="000000"/>
                <w:sz w:val="24"/>
                <w:szCs w:val="24"/>
                <w:highlight w:val="none"/>
                <w:lang w:val="en-US" w:eastAsia="zh-CN"/>
              </w:rPr>
              <w:t>7</w:t>
            </w:r>
          </w:p>
        </w:tc>
        <w:tc>
          <w:tcPr>
            <w:tcW w:w="1176" w:type="dxa"/>
            <w:shd w:val="clear" w:color="auto" w:fill="auto"/>
            <w:vAlign w:val="center"/>
          </w:tcPr>
          <w:p w14:paraId="22BEA961">
            <w:pPr>
              <w:pageBreakBefore w:val="0"/>
              <w:widowControl w:val="0"/>
              <w:kinsoku/>
              <w:wordWrap/>
              <w:overflowPunct/>
              <w:topLinePunct w:val="0"/>
              <w:bidi w:val="0"/>
              <w:spacing w:line="240" w:lineRule="auto"/>
              <w:jc w:val="center"/>
              <w:textAlignment w:val="auto"/>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sz w:val="24"/>
                <w:szCs w:val="24"/>
                <w:highlight w:val="none"/>
                <w:lang w:eastAsia="zh-CN"/>
              </w:rPr>
              <w:t>驻场负责人</w:t>
            </w:r>
          </w:p>
        </w:tc>
        <w:tc>
          <w:tcPr>
            <w:tcW w:w="690" w:type="dxa"/>
            <w:shd w:val="clear" w:color="auto" w:fill="auto"/>
            <w:vAlign w:val="center"/>
          </w:tcPr>
          <w:p w14:paraId="69FA0FC2">
            <w:pPr>
              <w:pageBreakBefore w:val="0"/>
              <w:widowControl w:val="0"/>
              <w:kinsoku/>
              <w:wordWrap/>
              <w:overflowPunct/>
              <w:topLinePunct w:val="0"/>
              <w:bidi w:val="0"/>
              <w:spacing w:line="240" w:lineRule="auto"/>
              <w:jc w:val="center"/>
              <w:textAlignment w:val="auto"/>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sz w:val="24"/>
                <w:szCs w:val="24"/>
                <w:highlight w:val="none"/>
                <w:lang w:val="en-US" w:eastAsia="zh-CN"/>
              </w:rPr>
              <w:t>6</w:t>
            </w:r>
          </w:p>
        </w:tc>
        <w:tc>
          <w:tcPr>
            <w:tcW w:w="6788" w:type="dxa"/>
            <w:shd w:val="clear" w:color="auto" w:fill="auto"/>
            <w:vAlign w:val="center"/>
          </w:tcPr>
          <w:p w14:paraId="38361A20">
            <w:pPr>
              <w:keepNext w:val="0"/>
              <w:keepLines w:val="0"/>
              <w:pageBreakBefore w:val="0"/>
              <w:widowControl w:val="0"/>
              <w:kinsoku/>
              <w:wordWrap/>
              <w:overflowPunct/>
              <w:topLinePunct w:val="0"/>
              <w:autoSpaceDE/>
              <w:autoSpaceDN/>
              <w:bidi w:val="0"/>
              <w:adjustRightInd/>
              <w:snapToGrid/>
              <w:spacing w:line="240" w:lineRule="auto"/>
              <w:ind w:left="0" w:right="0" w:firstLine="480" w:firstLineChars="200"/>
              <w:jc w:val="both"/>
              <w:textAlignment w:val="auto"/>
              <w:rPr>
                <w:rFonts w:hint="eastAsia" w:ascii="仿宋" w:hAnsi="仿宋" w:eastAsia="仿宋" w:cs="仿宋"/>
                <w:color w:val="000000"/>
                <w:kern w:val="2"/>
                <w:sz w:val="24"/>
                <w:szCs w:val="24"/>
                <w:highlight w:val="none"/>
                <w:lang w:val="en-US" w:eastAsia="zh-CN" w:bidi="zh-CN"/>
              </w:rPr>
            </w:pPr>
            <w:r>
              <w:rPr>
                <w:rFonts w:hint="eastAsia" w:ascii="仿宋" w:hAnsi="仿宋" w:eastAsia="仿宋" w:cs="仿宋"/>
                <w:color w:val="000000"/>
                <w:kern w:val="2"/>
                <w:sz w:val="24"/>
                <w:szCs w:val="24"/>
                <w:highlight w:val="none"/>
                <w:lang w:val="zh-CN" w:eastAsia="zh-CN" w:bidi="zh-CN"/>
              </w:rPr>
              <w:t>驻场负责人具备高级档案管理师资格证书；市级及以上保密部门颁发的涉密信息系统安全保密管理员资格证书或省级及以上主管部门颁发的涉密信息系统“三员”资格证书</w:t>
            </w:r>
            <w:r>
              <w:rPr>
                <w:rFonts w:hint="eastAsia" w:ascii="仿宋" w:hAnsi="仿宋" w:eastAsia="仿宋" w:cs="仿宋"/>
                <w:color w:val="000000"/>
                <w:kern w:val="2"/>
                <w:sz w:val="24"/>
                <w:szCs w:val="24"/>
                <w:highlight w:val="none"/>
                <w:lang w:val="en-US" w:eastAsia="zh-CN" w:bidi="zh-CN"/>
              </w:rPr>
              <w:t>；</w:t>
            </w:r>
            <w:r>
              <w:rPr>
                <w:rFonts w:hint="eastAsia" w:ascii="仿宋" w:hAnsi="仿宋" w:eastAsia="仿宋" w:cs="仿宋"/>
                <w:color w:val="000000"/>
                <w:kern w:val="2"/>
                <w:sz w:val="24"/>
                <w:szCs w:val="24"/>
                <w:highlight w:val="none"/>
                <w:lang w:val="zh-CN" w:eastAsia="zh-CN" w:bidi="zh-CN"/>
              </w:rPr>
              <w:t>档案数字化加工</w:t>
            </w:r>
            <w:r>
              <w:rPr>
                <w:rFonts w:hint="eastAsia" w:ascii="仿宋" w:hAnsi="仿宋" w:eastAsia="仿宋" w:cs="仿宋"/>
                <w:color w:val="000000"/>
                <w:kern w:val="2"/>
                <w:sz w:val="24"/>
                <w:szCs w:val="24"/>
                <w:highlight w:val="none"/>
                <w:lang w:val="en-US" w:eastAsia="zh-CN" w:bidi="zh-CN"/>
              </w:rPr>
              <w:t>或电子卷宗随案同步生成</w:t>
            </w:r>
            <w:r>
              <w:rPr>
                <w:rFonts w:hint="eastAsia" w:ascii="仿宋" w:hAnsi="仿宋" w:eastAsia="仿宋" w:cs="仿宋"/>
                <w:color w:val="000000"/>
                <w:kern w:val="2"/>
                <w:sz w:val="24"/>
                <w:szCs w:val="24"/>
                <w:highlight w:val="none"/>
                <w:lang w:val="zh-CN" w:eastAsia="zh-CN" w:bidi="zh-CN"/>
              </w:rPr>
              <w:t>从业经历5年（含）以上的</w:t>
            </w:r>
            <w:r>
              <w:rPr>
                <w:rFonts w:hint="eastAsia" w:ascii="仿宋" w:hAnsi="仿宋" w:eastAsia="仿宋" w:cs="仿宋"/>
                <w:color w:val="000000"/>
                <w:kern w:val="2"/>
                <w:sz w:val="24"/>
                <w:szCs w:val="24"/>
                <w:highlight w:val="none"/>
                <w:lang w:val="en-US" w:eastAsia="zh-CN" w:bidi="zh-CN"/>
              </w:rPr>
              <w:t>工作</w:t>
            </w:r>
            <w:r>
              <w:rPr>
                <w:rFonts w:hint="eastAsia" w:ascii="仿宋" w:hAnsi="仿宋" w:eastAsia="仿宋" w:cs="仿宋"/>
                <w:color w:val="000000"/>
                <w:kern w:val="2"/>
                <w:sz w:val="24"/>
                <w:szCs w:val="24"/>
                <w:highlight w:val="none"/>
                <w:lang w:val="zh-CN" w:eastAsia="zh-CN" w:bidi="zh-CN"/>
              </w:rPr>
              <w:t>经验</w:t>
            </w:r>
            <w:r>
              <w:rPr>
                <w:rFonts w:hint="eastAsia" w:ascii="仿宋" w:hAnsi="仿宋" w:eastAsia="仿宋" w:cs="仿宋"/>
                <w:color w:val="000000"/>
                <w:kern w:val="2"/>
                <w:sz w:val="24"/>
                <w:szCs w:val="24"/>
                <w:highlight w:val="none"/>
                <w:lang w:val="en-US" w:eastAsia="zh-CN" w:bidi="zh-CN"/>
              </w:rPr>
              <w:t>，每满足1个得2分，</w:t>
            </w:r>
            <w:r>
              <w:rPr>
                <w:rFonts w:hint="eastAsia" w:ascii="仿宋" w:hAnsi="仿宋" w:eastAsia="仿宋" w:cs="仿宋"/>
                <w:color w:val="000000"/>
                <w:kern w:val="2"/>
                <w:sz w:val="24"/>
                <w:szCs w:val="24"/>
                <w:highlight w:val="none"/>
                <w:lang w:val="zh-CN" w:eastAsia="zh-CN" w:bidi="zh-CN"/>
              </w:rPr>
              <w:t>此项</w:t>
            </w:r>
            <w:r>
              <w:rPr>
                <w:rFonts w:hint="eastAsia" w:ascii="仿宋" w:hAnsi="仿宋" w:eastAsia="仿宋" w:cs="仿宋"/>
                <w:color w:val="000000"/>
                <w:kern w:val="2"/>
                <w:sz w:val="24"/>
                <w:szCs w:val="24"/>
                <w:highlight w:val="none"/>
                <w:lang w:val="en-US" w:eastAsia="zh-CN" w:bidi="zh-CN"/>
              </w:rPr>
              <w:t>最高得6分。</w:t>
            </w:r>
          </w:p>
          <w:p w14:paraId="6B6AEE57">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482" w:firstLineChars="200"/>
              <w:jc w:val="both"/>
              <w:textAlignment w:val="auto"/>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b/>
                <w:bCs/>
                <w:color w:val="000000"/>
                <w:kern w:val="2"/>
                <w:sz w:val="24"/>
                <w:szCs w:val="24"/>
                <w:highlight w:val="none"/>
                <w:lang w:val="en-US" w:eastAsia="zh-CN" w:bidi="zh-CN"/>
              </w:rPr>
              <w:t>注：证明5年（含）以上的纸质档案数字化加工或电子卷宗随案同步生成经验须提供明确载明该名人员为档案数字化加工或电子卷宗随案同步生成项目的项目负责人的合同以及社保证明等。响应供应商须在响应文件中提供资格证书复印件及响应文件提交截止日前近1个月供应商为其缴纳的社保证明；响应文件提交截止日前成立不足3个月的新办企业只须提供社保缴纳名册（名册中包含拟派驻场负责人）；新成立企业距响应文件提交截止日不足30日的，可不提供社保证明材料（以新办企业营业执照发放日期为准）。复印件加盖响应供应商公章，不提供或提供的资格证书不符合本评分项要求的不得分。</w:t>
            </w:r>
          </w:p>
        </w:tc>
      </w:tr>
      <w:tr w14:paraId="3B24482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75" w:hRule="atLeast"/>
        </w:trPr>
        <w:tc>
          <w:tcPr>
            <w:tcW w:w="0" w:type="auto"/>
            <w:shd w:val="clear" w:color="auto" w:fill="auto"/>
            <w:vAlign w:val="center"/>
          </w:tcPr>
          <w:p w14:paraId="3F6F17C3">
            <w:pPr>
              <w:pStyle w:val="46"/>
              <w:pageBreakBefore w:val="0"/>
              <w:widowControl w:val="0"/>
              <w:kinsoku/>
              <w:wordWrap/>
              <w:overflowPunct/>
              <w:topLinePunct w:val="0"/>
              <w:bidi w:val="0"/>
              <w:spacing w:line="240" w:lineRule="auto"/>
              <w:ind w:left="4" w:leftChars="-5" w:right="-31" w:rightChars="-15" w:hanging="14" w:hangingChars="6"/>
              <w:jc w:val="center"/>
              <w:textAlignment w:val="auto"/>
              <w:rPr>
                <w:rFonts w:hint="eastAsia" w:ascii="仿宋" w:hAnsi="仿宋" w:eastAsia="仿宋" w:cs="仿宋"/>
                <w:color w:val="000000"/>
                <w:kern w:val="2"/>
                <w:sz w:val="24"/>
                <w:szCs w:val="24"/>
                <w:highlight w:val="none"/>
                <w:lang w:val="en-US" w:eastAsia="zh-CN" w:bidi="zh-CN"/>
              </w:rPr>
            </w:pPr>
            <w:r>
              <w:rPr>
                <w:rFonts w:hint="eastAsia" w:cs="仿宋"/>
                <w:color w:val="000000"/>
                <w:sz w:val="24"/>
                <w:szCs w:val="24"/>
                <w:highlight w:val="none"/>
                <w:lang w:val="en-US" w:eastAsia="zh-CN"/>
              </w:rPr>
              <w:t>8</w:t>
            </w:r>
          </w:p>
        </w:tc>
        <w:tc>
          <w:tcPr>
            <w:tcW w:w="1176" w:type="dxa"/>
            <w:shd w:val="clear" w:color="auto" w:fill="auto"/>
            <w:vAlign w:val="center"/>
          </w:tcPr>
          <w:p w14:paraId="661868C4">
            <w:pPr>
              <w:pageBreakBefore w:val="0"/>
              <w:widowControl w:val="0"/>
              <w:kinsoku/>
              <w:wordWrap/>
              <w:overflowPunct/>
              <w:topLinePunct w:val="0"/>
              <w:bidi w:val="0"/>
              <w:spacing w:line="240" w:lineRule="auto"/>
              <w:jc w:val="center"/>
              <w:textAlignment w:val="auto"/>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sz w:val="24"/>
                <w:szCs w:val="24"/>
                <w:highlight w:val="none"/>
                <w:lang w:eastAsia="zh-CN"/>
              </w:rPr>
              <w:t>驻场人员</w:t>
            </w:r>
          </w:p>
        </w:tc>
        <w:tc>
          <w:tcPr>
            <w:tcW w:w="690" w:type="dxa"/>
            <w:shd w:val="clear" w:color="auto" w:fill="auto"/>
            <w:vAlign w:val="center"/>
          </w:tcPr>
          <w:p w14:paraId="0A8A0697">
            <w:pPr>
              <w:pageBreakBefore w:val="0"/>
              <w:widowControl w:val="0"/>
              <w:kinsoku/>
              <w:wordWrap/>
              <w:overflowPunct/>
              <w:topLinePunct w:val="0"/>
              <w:bidi w:val="0"/>
              <w:spacing w:line="240" w:lineRule="auto"/>
              <w:jc w:val="center"/>
              <w:textAlignment w:val="auto"/>
              <w:rPr>
                <w:rFonts w:hint="default" w:ascii="仿宋" w:hAnsi="仿宋" w:eastAsia="仿宋" w:cs="仿宋"/>
                <w:color w:val="000000"/>
                <w:kern w:val="2"/>
                <w:sz w:val="24"/>
                <w:szCs w:val="24"/>
                <w:highlight w:val="none"/>
                <w:lang w:val="en-US" w:eastAsia="zh-CN" w:bidi="ar-SA"/>
              </w:rPr>
            </w:pPr>
            <w:r>
              <w:rPr>
                <w:rFonts w:hint="eastAsia" w:ascii="仿宋" w:hAnsi="仿宋" w:eastAsia="仿宋" w:cs="仿宋"/>
                <w:color w:val="000000"/>
                <w:sz w:val="24"/>
                <w:szCs w:val="24"/>
                <w:highlight w:val="none"/>
                <w:lang w:val="en-US" w:eastAsia="zh-CN"/>
              </w:rPr>
              <w:t>18</w:t>
            </w:r>
          </w:p>
        </w:tc>
        <w:tc>
          <w:tcPr>
            <w:tcW w:w="6788" w:type="dxa"/>
            <w:shd w:val="clear" w:color="auto" w:fill="auto"/>
            <w:vAlign w:val="center"/>
          </w:tcPr>
          <w:p w14:paraId="609DC613">
            <w:pPr>
              <w:pStyle w:val="47"/>
              <w:keepNext w:val="0"/>
              <w:keepLines w:val="0"/>
              <w:pageBreakBefore w:val="0"/>
              <w:widowControl w:val="0"/>
              <w:kinsoku/>
              <w:wordWrap/>
              <w:overflowPunct/>
              <w:topLinePunct w:val="0"/>
              <w:autoSpaceDE/>
              <w:autoSpaceDN/>
              <w:bidi w:val="0"/>
              <w:adjustRightInd/>
              <w:snapToGrid/>
              <w:spacing w:line="240" w:lineRule="auto"/>
              <w:ind w:left="0" w:right="0" w:firstLine="480" w:firstLineChars="200"/>
              <w:jc w:val="both"/>
              <w:textAlignment w:val="auto"/>
              <w:rPr>
                <w:rFonts w:hint="eastAsia" w:ascii="仿宋" w:hAnsi="仿宋" w:eastAsia="仿宋" w:cs="仿宋"/>
                <w:color w:val="000000"/>
                <w:kern w:val="2"/>
                <w:sz w:val="24"/>
                <w:szCs w:val="24"/>
                <w:highlight w:val="none"/>
                <w:lang w:val="zh-CN" w:eastAsia="zh-CN" w:bidi="zh-CN"/>
              </w:rPr>
            </w:pPr>
            <w:r>
              <w:rPr>
                <w:rFonts w:hint="eastAsia" w:cs="仿宋"/>
                <w:color w:val="000000"/>
                <w:sz w:val="24"/>
                <w:szCs w:val="24"/>
                <w:highlight w:val="none"/>
                <w:lang w:val="en-US" w:eastAsia="zh-CN"/>
              </w:rPr>
              <w:t>响应</w:t>
            </w:r>
            <w:r>
              <w:rPr>
                <w:rFonts w:hint="eastAsia" w:ascii="仿宋" w:hAnsi="仿宋" w:eastAsia="仿宋" w:cs="仿宋"/>
                <w:color w:val="000000"/>
                <w:sz w:val="24"/>
                <w:szCs w:val="24"/>
                <w:highlight w:val="none"/>
                <w:lang w:val="en-US" w:eastAsia="zh-CN"/>
              </w:rPr>
              <w:t>供应商</w:t>
            </w:r>
            <w:r>
              <w:rPr>
                <w:rFonts w:hint="eastAsia" w:ascii="仿宋" w:hAnsi="仿宋" w:eastAsia="仿宋" w:cs="仿宋"/>
                <w:color w:val="000000"/>
                <w:sz w:val="24"/>
                <w:szCs w:val="24"/>
                <w:highlight w:val="none"/>
              </w:rPr>
              <w:t>拟投入</w:t>
            </w:r>
            <w:r>
              <w:rPr>
                <w:rFonts w:hint="eastAsia" w:cs="仿宋"/>
                <w:color w:val="000000"/>
                <w:sz w:val="24"/>
                <w:szCs w:val="24"/>
                <w:highlight w:val="none"/>
                <w:lang w:eastAsia="zh-CN"/>
              </w:rPr>
              <w:t>驻场人员（</w:t>
            </w:r>
            <w:r>
              <w:rPr>
                <w:rFonts w:hint="eastAsia" w:cs="仿宋"/>
                <w:color w:val="000000"/>
                <w:sz w:val="24"/>
                <w:szCs w:val="24"/>
                <w:highlight w:val="none"/>
                <w:lang w:val="en-US" w:eastAsia="zh-CN"/>
              </w:rPr>
              <w:t>不含驻场负责人</w:t>
            </w:r>
            <w:r>
              <w:rPr>
                <w:rFonts w:hint="eastAsia" w:cs="仿宋"/>
                <w:color w:val="000000"/>
                <w:sz w:val="24"/>
                <w:szCs w:val="24"/>
                <w:highlight w:val="none"/>
                <w:lang w:eastAsia="zh-CN"/>
              </w:rPr>
              <w:t>）</w:t>
            </w:r>
            <w:r>
              <w:rPr>
                <w:rFonts w:hint="eastAsia" w:ascii="仿宋" w:hAnsi="仿宋" w:eastAsia="仿宋" w:cs="仿宋"/>
                <w:color w:val="000000"/>
                <w:sz w:val="24"/>
                <w:szCs w:val="24"/>
                <w:highlight w:val="none"/>
              </w:rPr>
              <w:t>中</w:t>
            </w:r>
            <w:r>
              <w:rPr>
                <w:rFonts w:hint="eastAsia" w:cs="仿宋"/>
                <w:color w:val="000000"/>
                <w:sz w:val="24"/>
                <w:szCs w:val="24"/>
                <w:highlight w:val="none"/>
                <w:lang w:val="en-US" w:eastAsia="zh-CN"/>
              </w:rPr>
              <w:t>同时</w:t>
            </w:r>
            <w:r>
              <w:rPr>
                <w:rFonts w:hint="eastAsia" w:ascii="仿宋" w:hAnsi="仿宋" w:eastAsia="仿宋" w:cs="仿宋"/>
                <w:color w:val="000000"/>
                <w:sz w:val="24"/>
                <w:szCs w:val="24"/>
                <w:highlight w:val="none"/>
              </w:rPr>
              <w:t>具有有效的档案专业中</w:t>
            </w:r>
            <w:r>
              <w:rPr>
                <w:rFonts w:hint="eastAsia" w:ascii="仿宋" w:hAnsi="仿宋" w:eastAsia="仿宋" w:cs="仿宋"/>
                <w:color w:val="000000"/>
                <w:spacing w:val="-7"/>
                <w:sz w:val="24"/>
                <w:szCs w:val="24"/>
                <w:highlight w:val="none"/>
              </w:rPr>
              <w:t>级职称证书</w:t>
            </w:r>
            <w:r>
              <w:rPr>
                <w:rFonts w:hint="eastAsia" w:ascii="仿宋" w:hAnsi="仿宋" w:eastAsia="仿宋" w:cs="仿宋"/>
                <w:color w:val="000000"/>
                <w:kern w:val="2"/>
                <w:sz w:val="24"/>
                <w:szCs w:val="24"/>
                <w:highlight w:val="none"/>
                <w:lang w:val="zh-CN" w:eastAsia="zh-CN" w:bidi="zh-CN"/>
              </w:rPr>
              <w:t>和档案人员上岗资格证书，每有1人得</w:t>
            </w:r>
            <w:r>
              <w:rPr>
                <w:rFonts w:hint="eastAsia" w:ascii="仿宋" w:hAnsi="仿宋" w:eastAsia="仿宋" w:cs="仿宋"/>
                <w:color w:val="000000"/>
                <w:kern w:val="2"/>
                <w:sz w:val="24"/>
                <w:szCs w:val="24"/>
                <w:highlight w:val="none"/>
                <w:lang w:val="en-US" w:eastAsia="zh-CN" w:bidi="zh-CN"/>
              </w:rPr>
              <w:t>2</w:t>
            </w:r>
            <w:r>
              <w:rPr>
                <w:rFonts w:hint="eastAsia" w:ascii="仿宋" w:hAnsi="仿宋" w:eastAsia="仿宋" w:cs="仿宋"/>
                <w:color w:val="000000"/>
                <w:kern w:val="2"/>
                <w:sz w:val="24"/>
                <w:szCs w:val="24"/>
                <w:highlight w:val="none"/>
                <w:lang w:val="zh-CN" w:eastAsia="zh-CN" w:bidi="zh-CN"/>
              </w:rPr>
              <w:t>分</w:t>
            </w:r>
            <w:r>
              <w:rPr>
                <w:rFonts w:hint="eastAsia" w:cs="仿宋"/>
                <w:color w:val="000000"/>
                <w:kern w:val="2"/>
                <w:sz w:val="24"/>
                <w:szCs w:val="24"/>
                <w:highlight w:val="none"/>
                <w:lang w:val="zh-CN" w:eastAsia="zh-CN" w:bidi="zh-CN"/>
              </w:rPr>
              <w:t>；</w:t>
            </w:r>
            <w:r>
              <w:rPr>
                <w:rFonts w:hint="eastAsia" w:ascii="仿宋" w:hAnsi="仿宋" w:eastAsia="仿宋" w:cs="仿宋"/>
                <w:color w:val="000000"/>
                <w:kern w:val="2"/>
                <w:sz w:val="24"/>
                <w:szCs w:val="24"/>
                <w:highlight w:val="none"/>
                <w:lang w:val="zh-CN" w:eastAsia="zh-CN" w:bidi="zh-CN"/>
              </w:rPr>
              <w:t>具有有效的档案专业</w:t>
            </w:r>
            <w:r>
              <w:rPr>
                <w:rFonts w:hint="eastAsia" w:ascii="仿宋" w:hAnsi="仿宋" w:eastAsia="仿宋" w:cs="仿宋"/>
                <w:color w:val="000000"/>
                <w:kern w:val="2"/>
                <w:sz w:val="24"/>
                <w:szCs w:val="24"/>
                <w:highlight w:val="none"/>
                <w:lang w:val="en-US" w:eastAsia="zh-CN" w:bidi="zh-CN"/>
              </w:rPr>
              <w:t>初</w:t>
            </w:r>
            <w:r>
              <w:rPr>
                <w:rFonts w:hint="eastAsia" w:ascii="仿宋" w:hAnsi="仿宋" w:eastAsia="仿宋" w:cs="仿宋"/>
                <w:color w:val="000000"/>
                <w:kern w:val="2"/>
                <w:sz w:val="24"/>
                <w:szCs w:val="24"/>
                <w:highlight w:val="none"/>
                <w:lang w:val="zh-CN" w:eastAsia="zh-CN" w:bidi="zh-CN"/>
              </w:rPr>
              <w:t>级职称证书和档案人员上岗资格证书，每有1人得</w:t>
            </w:r>
            <w:r>
              <w:rPr>
                <w:rFonts w:hint="eastAsia" w:ascii="仿宋" w:hAnsi="仿宋" w:eastAsia="仿宋" w:cs="仿宋"/>
                <w:color w:val="000000"/>
                <w:kern w:val="2"/>
                <w:sz w:val="24"/>
                <w:szCs w:val="24"/>
                <w:highlight w:val="none"/>
                <w:lang w:val="en-US" w:eastAsia="zh-CN" w:bidi="zh-CN"/>
              </w:rPr>
              <w:t>1</w:t>
            </w:r>
            <w:r>
              <w:rPr>
                <w:rFonts w:hint="eastAsia" w:ascii="仿宋" w:hAnsi="仿宋" w:eastAsia="仿宋" w:cs="仿宋"/>
                <w:color w:val="000000"/>
                <w:kern w:val="2"/>
                <w:sz w:val="24"/>
                <w:szCs w:val="24"/>
                <w:highlight w:val="none"/>
                <w:lang w:val="zh-CN" w:eastAsia="zh-CN" w:bidi="zh-CN"/>
              </w:rPr>
              <w:t>分，此项</w:t>
            </w:r>
            <w:r>
              <w:rPr>
                <w:rFonts w:hint="eastAsia" w:cs="仿宋"/>
                <w:color w:val="000000"/>
                <w:kern w:val="2"/>
                <w:sz w:val="24"/>
                <w:szCs w:val="24"/>
                <w:highlight w:val="none"/>
                <w:lang w:val="zh-CN" w:eastAsia="zh-CN" w:bidi="zh-CN"/>
              </w:rPr>
              <w:t>最高</w:t>
            </w:r>
            <w:r>
              <w:rPr>
                <w:rFonts w:hint="eastAsia" w:cs="仿宋"/>
                <w:color w:val="000000"/>
                <w:kern w:val="2"/>
                <w:sz w:val="24"/>
                <w:szCs w:val="24"/>
                <w:highlight w:val="none"/>
                <w:lang w:val="en-US" w:eastAsia="zh-CN" w:bidi="zh-CN"/>
              </w:rPr>
              <w:t>12</w:t>
            </w:r>
            <w:r>
              <w:rPr>
                <w:rFonts w:hint="eastAsia" w:ascii="仿宋" w:hAnsi="仿宋" w:eastAsia="仿宋" w:cs="仿宋"/>
                <w:color w:val="000000"/>
                <w:kern w:val="2"/>
                <w:sz w:val="24"/>
                <w:szCs w:val="24"/>
                <w:highlight w:val="none"/>
                <w:lang w:val="zh-CN" w:eastAsia="zh-CN" w:bidi="zh-CN"/>
              </w:rPr>
              <w:t>分。</w:t>
            </w:r>
          </w:p>
          <w:p w14:paraId="00151CFC">
            <w:pPr>
              <w:pStyle w:val="47"/>
              <w:keepNext w:val="0"/>
              <w:keepLines w:val="0"/>
              <w:pageBreakBefore w:val="0"/>
              <w:widowControl w:val="0"/>
              <w:kinsoku/>
              <w:wordWrap/>
              <w:overflowPunct/>
              <w:topLinePunct w:val="0"/>
              <w:autoSpaceDE/>
              <w:autoSpaceDN/>
              <w:bidi w:val="0"/>
              <w:adjustRightInd/>
              <w:snapToGrid/>
              <w:spacing w:line="240" w:lineRule="auto"/>
              <w:ind w:left="0" w:right="0" w:firstLine="480" w:firstLineChars="200"/>
              <w:jc w:val="both"/>
              <w:textAlignment w:val="auto"/>
              <w:rPr>
                <w:rFonts w:hint="eastAsia" w:ascii="仿宋" w:hAnsi="仿宋" w:eastAsia="仿宋" w:cs="仿宋"/>
                <w:color w:val="000000"/>
                <w:kern w:val="2"/>
                <w:sz w:val="24"/>
                <w:szCs w:val="24"/>
                <w:highlight w:val="none"/>
                <w:lang w:val="zh-CN" w:eastAsia="zh-CN" w:bidi="zh-CN"/>
              </w:rPr>
            </w:pPr>
            <w:r>
              <w:rPr>
                <w:rFonts w:hint="eastAsia" w:cs="仿宋"/>
                <w:color w:val="000000"/>
                <w:sz w:val="24"/>
                <w:szCs w:val="24"/>
                <w:highlight w:val="none"/>
                <w:lang w:val="en-US" w:eastAsia="zh-CN"/>
              </w:rPr>
              <w:t>响应供应商拟投入驻场的执行无纸化数字加工组、审理无纸化数字加工组、档案数字化加工小组的3名组长具有市级及以上保密部门颁发的涉密信息系统安全保密管理员资格证书或省级及以上主管部门颁发的涉密信息系统“三员”资格证书，每有1人得2分，此项最高得6分。</w:t>
            </w:r>
          </w:p>
          <w:p w14:paraId="593F7F6A">
            <w:pPr>
              <w:pStyle w:val="47"/>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482" w:firstLineChars="200"/>
              <w:jc w:val="both"/>
              <w:textAlignment w:val="auto"/>
              <w:rPr>
                <w:rFonts w:hint="eastAsia" w:ascii="仿宋" w:hAnsi="仿宋" w:eastAsia="仿宋" w:cs="仿宋"/>
                <w:color w:val="000000"/>
                <w:kern w:val="2"/>
                <w:sz w:val="24"/>
                <w:szCs w:val="24"/>
                <w:highlight w:val="none"/>
                <w:lang w:val="zh-CN" w:eastAsia="zh-CN" w:bidi="zh-CN"/>
              </w:rPr>
            </w:pPr>
            <w:r>
              <w:rPr>
                <w:rFonts w:hint="eastAsia" w:cs="仿宋"/>
                <w:b/>
                <w:bCs/>
                <w:color w:val="000000"/>
                <w:sz w:val="24"/>
                <w:szCs w:val="24"/>
                <w:highlight w:val="none"/>
                <w:lang w:val="en-US" w:eastAsia="zh-CN"/>
              </w:rPr>
              <w:t>注</w:t>
            </w:r>
            <w:r>
              <w:rPr>
                <w:rFonts w:hint="eastAsia" w:ascii="仿宋" w:hAnsi="仿宋" w:eastAsia="仿宋" w:cs="仿宋"/>
                <w:b/>
                <w:bCs/>
                <w:color w:val="000000"/>
                <w:sz w:val="24"/>
                <w:szCs w:val="24"/>
                <w:highlight w:val="none"/>
                <w:lang w:val="en-US" w:eastAsia="zh-CN"/>
              </w:rPr>
              <w:t>：</w:t>
            </w:r>
            <w:r>
              <w:rPr>
                <w:rFonts w:hint="eastAsia" w:ascii="仿宋" w:hAnsi="仿宋" w:eastAsia="仿宋" w:cs="仿宋"/>
                <w:b/>
                <w:bCs/>
                <w:color w:val="000000"/>
                <w:kern w:val="2"/>
                <w:sz w:val="24"/>
                <w:szCs w:val="24"/>
                <w:highlight w:val="none"/>
                <w:lang w:val="en-US" w:eastAsia="zh-CN" w:bidi="zh-CN"/>
              </w:rPr>
              <w:t>响应供应商须在响应文件中</w:t>
            </w:r>
            <w:r>
              <w:rPr>
                <w:rFonts w:hint="eastAsia" w:ascii="仿宋" w:hAnsi="仿宋" w:eastAsia="仿宋" w:cs="仿宋"/>
                <w:b/>
                <w:bCs/>
                <w:color w:val="000000"/>
                <w:sz w:val="24"/>
                <w:szCs w:val="24"/>
                <w:highlight w:val="none"/>
                <w:lang w:val="en-US" w:eastAsia="zh-CN"/>
              </w:rPr>
              <w:t>提供资格证书复印件及</w:t>
            </w:r>
            <w:r>
              <w:rPr>
                <w:rFonts w:hint="eastAsia" w:ascii="仿宋" w:hAnsi="仿宋" w:eastAsia="仿宋" w:cs="仿宋"/>
                <w:b/>
                <w:bCs/>
                <w:color w:val="000000"/>
                <w:sz w:val="24"/>
                <w:szCs w:val="24"/>
                <w:highlight w:val="none"/>
              </w:rPr>
              <w:t>响应文件提交截止日前近</w:t>
            </w:r>
            <w:r>
              <w:rPr>
                <w:rFonts w:hint="eastAsia" w:cs="仿宋"/>
                <w:b/>
                <w:bCs/>
                <w:color w:val="000000"/>
                <w:sz w:val="24"/>
                <w:szCs w:val="24"/>
                <w:highlight w:val="none"/>
                <w:lang w:eastAsia="zh-CN"/>
              </w:rPr>
              <w:t>1个月</w:t>
            </w:r>
            <w:r>
              <w:rPr>
                <w:rFonts w:hint="eastAsia" w:ascii="仿宋" w:hAnsi="仿宋" w:eastAsia="仿宋" w:cs="仿宋"/>
                <w:b/>
                <w:bCs/>
                <w:color w:val="000000"/>
                <w:sz w:val="24"/>
                <w:szCs w:val="24"/>
                <w:highlight w:val="none"/>
              </w:rPr>
              <w:t>供应商为其缴纳的社保证明；响应文件提交截止日前成立不足3个月的新办企业只须提供社保缴纳名册（名册中包含拟投入</w:t>
            </w:r>
            <w:r>
              <w:rPr>
                <w:rFonts w:hint="eastAsia" w:cs="仿宋"/>
                <w:b/>
                <w:bCs/>
                <w:color w:val="000000"/>
                <w:sz w:val="24"/>
                <w:szCs w:val="24"/>
                <w:highlight w:val="none"/>
                <w:lang w:eastAsia="zh-CN"/>
              </w:rPr>
              <w:t>驻场人员</w:t>
            </w:r>
            <w:r>
              <w:rPr>
                <w:rFonts w:hint="eastAsia" w:ascii="仿宋" w:hAnsi="仿宋" w:eastAsia="仿宋" w:cs="仿宋"/>
                <w:b/>
                <w:bCs/>
                <w:color w:val="000000"/>
                <w:sz w:val="24"/>
                <w:szCs w:val="24"/>
                <w:highlight w:val="none"/>
              </w:rPr>
              <w:t>）；新成立企业距响应文件提交截止日不足30日的，可不提供社保证明材料（以新办企业营业执照发放日期为准）。</w:t>
            </w:r>
            <w:r>
              <w:rPr>
                <w:rFonts w:hint="eastAsia" w:ascii="仿宋" w:hAnsi="仿宋" w:eastAsia="仿宋" w:cs="仿宋"/>
                <w:b/>
                <w:bCs/>
                <w:color w:val="000000"/>
                <w:sz w:val="24"/>
                <w:szCs w:val="24"/>
                <w:highlight w:val="none"/>
                <w:lang w:val="en-US" w:eastAsia="zh-CN"/>
              </w:rPr>
              <w:t>复印件加盖</w:t>
            </w:r>
            <w:r>
              <w:rPr>
                <w:rFonts w:hint="eastAsia" w:cs="仿宋"/>
                <w:b/>
                <w:bCs/>
                <w:color w:val="000000"/>
                <w:sz w:val="24"/>
                <w:szCs w:val="24"/>
                <w:highlight w:val="none"/>
                <w:lang w:val="en-US" w:eastAsia="zh-CN"/>
              </w:rPr>
              <w:t>响应供应商</w:t>
            </w:r>
            <w:r>
              <w:rPr>
                <w:rFonts w:hint="eastAsia" w:ascii="仿宋" w:hAnsi="仿宋" w:eastAsia="仿宋" w:cs="仿宋"/>
                <w:b/>
                <w:bCs/>
                <w:color w:val="000000"/>
                <w:sz w:val="24"/>
                <w:szCs w:val="24"/>
                <w:highlight w:val="none"/>
                <w:lang w:val="en-US" w:eastAsia="zh-CN"/>
              </w:rPr>
              <w:t>公章，</w:t>
            </w:r>
            <w:r>
              <w:rPr>
                <w:rFonts w:hint="eastAsia" w:ascii="仿宋" w:hAnsi="仿宋" w:eastAsia="仿宋" w:cs="仿宋"/>
                <w:b/>
                <w:bCs/>
                <w:color w:val="000000"/>
                <w:sz w:val="24"/>
                <w:szCs w:val="24"/>
                <w:highlight w:val="none"/>
              </w:rPr>
              <w:t>不提供或提供的</w:t>
            </w:r>
            <w:r>
              <w:rPr>
                <w:rFonts w:hint="eastAsia" w:ascii="仿宋" w:hAnsi="仿宋" w:eastAsia="仿宋" w:cs="仿宋"/>
                <w:b/>
                <w:bCs/>
                <w:color w:val="000000"/>
                <w:sz w:val="24"/>
                <w:szCs w:val="24"/>
                <w:highlight w:val="none"/>
                <w:lang w:val="en-US" w:eastAsia="zh-CN"/>
              </w:rPr>
              <w:t>资格</w:t>
            </w:r>
            <w:r>
              <w:rPr>
                <w:rFonts w:hint="eastAsia" w:ascii="仿宋" w:hAnsi="仿宋" w:eastAsia="仿宋" w:cs="仿宋"/>
                <w:b/>
                <w:bCs/>
                <w:color w:val="000000"/>
                <w:sz w:val="24"/>
                <w:szCs w:val="24"/>
                <w:highlight w:val="none"/>
              </w:rPr>
              <w:t>证书不符合本评分项要求的不得分。</w:t>
            </w:r>
          </w:p>
        </w:tc>
      </w:tr>
      <w:tr w14:paraId="3C0AD3E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0" w:type="auto"/>
            <w:shd w:val="clear" w:color="auto" w:fill="auto"/>
            <w:vAlign w:val="center"/>
          </w:tcPr>
          <w:p w14:paraId="4E5F1F55">
            <w:pPr>
              <w:pStyle w:val="46"/>
              <w:pageBreakBefore w:val="0"/>
              <w:widowControl w:val="0"/>
              <w:kinsoku/>
              <w:wordWrap/>
              <w:overflowPunct/>
              <w:topLinePunct w:val="0"/>
              <w:bidi w:val="0"/>
              <w:spacing w:line="240" w:lineRule="auto"/>
              <w:ind w:left="4" w:leftChars="-5" w:right="-31" w:rightChars="-15" w:hanging="14" w:hangingChars="6"/>
              <w:jc w:val="center"/>
              <w:textAlignment w:val="auto"/>
              <w:rPr>
                <w:rFonts w:hint="eastAsia" w:ascii="仿宋" w:hAnsi="仿宋" w:eastAsia="仿宋" w:cs="仿宋"/>
                <w:color w:val="000000"/>
                <w:kern w:val="2"/>
                <w:sz w:val="24"/>
                <w:szCs w:val="24"/>
                <w:highlight w:val="none"/>
                <w:lang w:val="en-US" w:eastAsia="zh-CN" w:bidi="zh-CN"/>
              </w:rPr>
            </w:pPr>
            <w:r>
              <w:rPr>
                <w:rFonts w:hint="eastAsia" w:cs="仿宋"/>
                <w:color w:val="000000"/>
                <w:sz w:val="24"/>
                <w:szCs w:val="24"/>
                <w:highlight w:val="none"/>
                <w:lang w:val="en-US" w:eastAsia="zh-CN"/>
              </w:rPr>
              <w:t>9</w:t>
            </w:r>
          </w:p>
        </w:tc>
        <w:tc>
          <w:tcPr>
            <w:tcW w:w="1176" w:type="dxa"/>
            <w:shd w:val="clear" w:color="auto" w:fill="auto"/>
            <w:vAlign w:val="center"/>
          </w:tcPr>
          <w:p w14:paraId="670A9A4E">
            <w:pPr>
              <w:pageBreakBefore w:val="0"/>
              <w:widowControl w:val="0"/>
              <w:kinsoku/>
              <w:wordWrap/>
              <w:overflowPunct/>
              <w:topLinePunct w:val="0"/>
              <w:bidi w:val="0"/>
              <w:spacing w:line="240" w:lineRule="auto"/>
              <w:jc w:val="center"/>
              <w:textAlignment w:val="auto"/>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sz w:val="24"/>
                <w:szCs w:val="24"/>
                <w:highlight w:val="none"/>
                <w:lang w:val="en-US" w:eastAsia="zh-CN"/>
              </w:rPr>
              <w:t>管理资质</w:t>
            </w:r>
          </w:p>
        </w:tc>
        <w:tc>
          <w:tcPr>
            <w:tcW w:w="690" w:type="dxa"/>
            <w:shd w:val="clear" w:color="auto" w:fill="auto"/>
            <w:vAlign w:val="center"/>
          </w:tcPr>
          <w:p w14:paraId="616F0187">
            <w:pPr>
              <w:pageBreakBefore w:val="0"/>
              <w:widowControl w:val="0"/>
              <w:kinsoku/>
              <w:wordWrap/>
              <w:overflowPunct/>
              <w:topLinePunct w:val="0"/>
              <w:bidi w:val="0"/>
              <w:spacing w:line="240" w:lineRule="auto"/>
              <w:jc w:val="center"/>
              <w:textAlignment w:val="auto"/>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sz w:val="24"/>
                <w:szCs w:val="24"/>
                <w:highlight w:val="none"/>
                <w:lang w:val="en-US" w:eastAsia="zh-CN"/>
              </w:rPr>
              <w:t>4</w:t>
            </w:r>
          </w:p>
        </w:tc>
        <w:tc>
          <w:tcPr>
            <w:tcW w:w="6788" w:type="dxa"/>
            <w:shd w:val="clear" w:color="auto" w:fill="auto"/>
            <w:vAlign w:val="center"/>
          </w:tcPr>
          <w:p w14:paraId="3AED4D32">
            <w:pPr>
              <w:pStyle w:val="47"/>
              <w:keepNext w:val="0"/>
              <w:keepLines w:val="0"/>
              <w:pageBreakBefore w:val="0"/>
              <w:widowControl w:val="0"/>
              <w:kinsoku/>
              <w:wordWrap/>
              <w:overflowPunct/>
              <w:topLinePunct w:val="0"/>
              <w:autoSpaceDE/>
              <w:autoSpaceDN/>
              <w:bidi w:val="0"/>
              <w:adjustRightInd/>
              <w:snapToGrid/>
              <w:spacing w:line="240" w:lineRule="auto"/>
              <w:ind w:left="0" w:right="0" w:firstLine="480" w:firstLineChars="200"/>
              <w:textAlignment w:val="auto"/>
              <w:rPr>
                <w:rFonts w:hint="eastAsia" w:ascii="仿宋" w:hAnsi="仿宋" w:eastAsia="仿宋" w:cs="仿宋"/>
                <w:color w:val="000000"/>
                <w:sz w:val="24"/>
                <w:szCs w:val="24"/>
                <w:highlight w:val="none"/>
              </w:rPr>
            </w:pPr>
            <w:r>
              <w:rPr>
                <w:rFonts w:hint="eastAsia" w:cs="仿宋"/>
                <w:color w:val="000000"/>
                <w:sz w:val="24"/>
                <w:szCs w:val="24"/>
                <w:highlight w:val="none"/>
                <w:lang w:val="en-US" w:eastAsia="zh-CN"/>
              </w:rPr>
              <w:t>响应供应商提供“信息技术服务管理体系认证证书”、“信息安全管理体系认证证书”、“职业健康安全管理体系认证证书”、“质量管理体系认证证书”的，且每项认证证书须在有效期内，网络查询状态必须是合格状态。每提供1项认证证书的，得1分，最高得4分。</w:t>
            </w:r>
          </w:p>
          <w:p w14:paraId="41C2FB8F">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482" w:firstLineChars="200"/>
              <w:jc w:val="left"/>
              <w:textAlignment w:val="auto"/>
              <w:rPr>
                <w:rFonts w:hint="eastAsia" w:ascii="仿宋" w:hAnsi="仿宋" w:eastAsia="仿宋" w:cs="仿宋"/>
                <w:color w:val="000000"/>
                <w:kern w:val="2"/>
                <w:sz w:val="24"/>
                <w:szCs w:val="24"/>
                <w:highlight w:val="none"/>
                <w:lang w:val="zh-CN" w:eastAsia="zh-CN" w:bidi="ar-SA"/>
              </w:rPr>
            </w:pPr>
            <w:r>
              <w:rPr>
                <w:rFonts w:hint="eastAsia" w:ascii="仿宋" w:hAnsi="仿宋" w:eastAsia="仿宋" w:cs="仿宋"/>
                <w:b/>
                <w:color w:val="000000"/>
                <w:sz w:val="24"/>
                <w:szCs w:val="24"/>
                <w:highlight w:val="none"/>
              </w:rPr>
              <w:t>说明：</w:t>
            </w:r>
            <w:r>
              <w:rPr>
                <w:rFonts w:hint="eastAsia" w:ascii="仿宋" w:hAnsi="仿宋" w:eastAsia="仿宋" w:cs="仿宋"/>
                <w:b/>
                <w:bCs/>
                <w:color w:val="000000"/>
                <w:kern w:val="2"/>
                <w:sz w:val="24"/>
                <w:szCs w:val="24"/>
                <w:highlight w:val="none"/>
                <w:lang w:val="en-US" w:eastAsia="zh-CN" w:bidi="zh-CN"/>
              </w:rPr>
              <w:t>响应供应商须在响应文件中</w:t>
            </w:r>
            <w:r>
              <w:rPr>
                <w:rFonts w:hint="eastAsia" w:ascii="仿宋" w:hAnsi="仿宋" w:eastAsia="仿宋" w:cs="仿宋"/>
                <w:b/>
                <w:color w:val="000000"/>
                <w:sz w:val="24"/>
                <w:szCs w:val="24"/>
                <w:highlight w:val="none"/>
              </w:rPr>
              <w:t>提供认证证书复印件及“全国认证认可信息公共服务平台” 查询截图加盖响应供应商公章，不提供或提供的认证证书不符合本评分项要求的不得分。</w:t>
            </w:r>
          </w:p>
        </w:tc>
      </w:tr>
      <w:tr w14:paraId="2E62A3A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263" w:hRule="atLeast"/>
        </w:trPr>
        <w:tc>
          <w:tcPr>
            <w:tcW w:w="0" w:type="auto"/>
            <w:shd w:val="clear" w:color="auto" w:fill="auto"/>
            <w:vAlign w:val="center"/>
          </w:tcPr>
          <w:p w14:paraId="2FDC2202">
            <w:pPr>
              <w:pStyle w:val="46"/>
              <w:pageBreakBefore w:val="0"/>
              <w:widowControl w:val="0"/>
              <w:numPr>
                <w:ilvl w:val="0"/>
                <w:numId w:val="0"/>
              </w:numPr>
              <w:kinsoku/>
              <w:wordWrap/>
              <w:overflowPunct/>
              <w:topLinePunct w:val="0"/>
              <w:bidi w:val="0"/>
              <w:spacing w:line="240" w:lineRule="auto"/>
              <w:ind w:left="0" w:leftChars="0" w:right="-31" w:rightChars="-15" w:firstLine="0" w:firstLineChars="0"/>
              <w:jc w:val="center"/>
              <w:textAlignment w:val="auto"/>
              <w:rPr>
                <w:rFonts w:hint="default" w:ascii="仿宋" w:hAnsi="仿宋" w:eastAsia="仿宋" w:cs="仿宋"/>
                <w:color w:val="000000"/>
                <w:kern w:val="2"/>
                <w:sz w:val="24"/>
                <w:szCs w:val="24"/>
                <w:highlight w:val="none"/>
                <w:lang w:val="en-US" w:eastAsia="zh-CN" w:bidi="zh-CN"/>
              </w:rPr>
            </w:pPr>
            <w:r>
              <w:rPr>
                <w:rFonts w:hint="eastAsia" w:cs="仿宋"/>
                <w:color w:val="000000"/>
                <w:sz w:val="24"/>
                <w:szCs w:val="24"/>
                <w:highlight w:val="none"/>
                <w:lang w:val="en-US" w:eastAsia="zh-CN"/>
              </w:rPr>
              <w:t>10</w:t>
            </w:r>
          </w:p>
        </w:tc>
        <w:tc>
          <w:tcPr>
            <w:tcW w:w="1176" w:type="dxa"/>
            <w:shd w:val="clear" w:color="auto" w:fill="auto"/>
            <w:vAlign w:val="center"/>
          </w:tcPr>
          <w:p w14:paraId="470964AA">
            <w:pPr>
              <w:pageBreakBefore w:val="0"/>
              <w:widowControl w:val="0"/>
              <w:kinsoku/>
              <w:wordWrap/>
              <w:overflowPunct/>
              <w:topLinePunct w:val="0"/>
              <w:bidi w:val="0"/>
              <w:spacing w:line="240" w:lineRule="auto"/>
              <w:jc w:val="center"/>
              <w:textAlignment w:val="auto"/>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sz w:val="24"/>
                <w:szCs w:val="24"/>
                <w:highlight w:val="none"/>
                <w:lang w:val="en-US" w:eastAsia="zh-CN"/>
              </w:rPr>
              <w:t>档案资质</w:t>
            </w:r>
          </w:p>
        </w:tc>
        <w:tc>
          <w:tcPr>
            <w:tcW w:w="690" w:type="dxa"/>
            <w:shd w:val="clear" w:color="auto" w:fill="auto"/>
            <w:vAlign w:val="center"/>
          </w:tcPr>
          <w:p w14:paraId="488866FA">
            <w:pPr>
              <w:pageBreakBefore w:val="0"/>
              <w:widowControl w:val="0"/>
              <w:kinsoku/>
              <w:wordWrap/>
              <w:overflowPunct/>
              <w:topLinePunct w:val="0"/>
              <w:bidi w:val="0"/>
              <w:spacing w:line="240" w:lineRule="auto"/>
              <w:jc w:val="center"/>
              <w:textAlignment w:val="auto"/>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sz w:val="24"/>
                <w:szCs w:val="24"/>
                <w:highlight w:val="none"/>
                <w:lang w:val="en-US" w:eastAsia="zh-CN"/>
              </w:rPr>
              <w:t>4</w:t>
            </w:r>
          </w:p>
        </w:tc>
        <w:tc>
          <w:tcPr>
            <w:tcW w:w="6788" w:type="dxa"/>
            <w:shd w:val="clear" w:color="auto" w:fill="auto"/>
            <w:vAlign w:val="center"/>
          </w:tcPr>
          <w:p w14:paraId="40A121E5">
            <w:pPr>
              <w:pStyle w:val="47"/>
              <w:keepNext w:val="0"/>
              <w:keepLines w:val="0"/>
              <w:pageBreakBefore w:val="0"/>
              <w:widowControl w:val="0"/>
              <w:kinsoku/>
              <w:wordWrap/>
              <w:overflowPunct/>
              <w:topLinePunct w:val="0"/>
              <w:autoSpaceDE/>
              <w:autoSpaceDN/>
              <w:bidi w:val="0"/>
              <w:adjustRightInd/>
              <w:snapToGrid/>
              <w:spacing w:line="240" w:lineRule="auto"/>
              <w:ind w:left="0" w:right="0" w:firstLine="480" w:firstLineChars="200"/>
              <w:textAlignment w:val="auto"/>
              <w:rPr>
                <w:rFonts w:hint="eastAsia" w:cs="仿宋"/>
                <w:color w:val="000000"/>
                <w:kern w:val="2"/>
                <w:sz w:val="24"/>
                <w:szCs w:val="24"/>
                <w:highlight w:val="none"/>
                <w:lang w:val="en-US" w:eastAsia="zh-CN" w:bidi="zh-CN"/>
              </w:rPr>
            </w:pPr>
            <w:r>
              <w:rPr>
                <w:rFonts w:hint="eastAsia" w:cs="仿宋"/>
                <w:color w:val="000000"/>
                <w:sz w:val="24"/>
                <w:szCs w:val="24"/>
                <w:highlight w:val="none"/>
                <w:lang w:val="en-US" w:eastAsia="zh-CN"/>
              </w:rPr>
              <w:t>响应</w:t>
            </w:r>
            <w:r>
              <w:rPr>
                <w:rFonts w:hint="eastAsia" w:ascii="仿宋" w:hAnsi="仿宋" w:eastAsia="仿宋" w:cs="仿宋"/>
                <w:color w:val="000000"/>
                <w:sz w:val="24"/>
                <w:szCs w:val="24"/>
                <w:highlight w:val="none"/>
              </w:rPr>
              <w:t>供应商</w:t>
            </w:r>
            <w:r>
              <w:rPr>
                <w:rFonts w:hint="eastAsia" w:cs="仿宋"/>
                <w:color w:val="000000"/>
                <w:sz w:val="24"/>
                <w:szCs w:val="24"/>
                <w:highlight w:val="none"/>
                <w:lang w:val="en-US" w:eastAsia="zh-CN"/>
              </w:rPr>
              <w:t>具有市级及以上档案局颁发的档案中介机构备案的相关证书</w:t>
            </w:r>
            <w:r>
              <w:rPr>
                <w:rFonts w:hint="eastAsia" w:ascii="仿宋" w:hAnsi="仿宋" w:eastAsia="仿宋" w:cs="仿宋"/>
                <w:color w:val="000000"/>
                <w:kern w:val="2"/>
                <w:sz w:val="24"/>
                <w:szCs w:val="24"/>
                <w:highlight w:val="none"/>
                <w:lang w:val="en-US" w:eastAsia="zh-CN" w:bidi="zh-CN"/>
              </w:rPr>
              <w:t>得</w:t>
            </w:r>
            <w:r>
              <w:rPr>
                <w:rFonts w:hint="eastAsia" w:cs="仿宋"/>
                <w:color w:val="000000"/>
                <w:kern w:val="2"/>
                <w:sz w:val="24"/>
                <w:szCs w:val="24"/>
                <w:highlight w:val="none"/>
                <w:lang w:val="en-US" w:eastAsia="zh-CN" w:bidi="zh-CN"/>
              </w:rPr>
              <w:t>4</w:t>
            </w:r>
            <w:r>
              <w:rPr>
                <w:rFonts w:hint="eastAsia" w:ascii="仿宋" w:hAnsi="仿宋" w:eastAsia="仿宋" w:cs="仿宋"/>
                <w:color w:val="000000"/>
                <w:kern w:val="2"/>
                <w:sz w:val="24"/>
                <w:szCs w:val="24"/>
                <w:highlight w:val="none"/>
                <w:lang w:val="en-US" w:eastAsia="zh-CN" w:bidi="zh-CN"/>
              </w:rPr>
              <w:t>分</w:t>
            </w:r>
            <w:r>
              <w:rPr>
                <w:rFonts w:hint="eastAsia" w:cs="仿宋"/>
                <w:color w:val="000000"/>
                <w:kern w:val="2"/>
                <w:sz w:val="24"/>
                <w:szCs w:val="24"/>
                <w:highlight w:val="none"/>
                <w:lang w:val="en-US" w:eastAsia="zh-CN" w:bidi="zh-CN"/>
              </w:rPr>
              <w:t>。</w:t>
            </w:r>
          </w:p>
          <w:p w14:paraId="68F20368">
            <w:pPr>
              <w:pStyle w:val="47"/>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482" w:firstLineChars="200"/>
              <w:textAlignment w:val="auto"/>
              <w:rPr>
                <w:rFonts w:hint="eastAsia" w:ascii="仿宋" w:hAnsi="仿宋" w:eastAsia="仿宋" w:cs="仿宋"/>
                <w:color w:val="000000"/>
                <w:kern w:val="2"/>
                <w:sz w:val="24"/>
                <w:szCs w:val="24"/>
                <w:highlight w:val="none"/>
                <w:lang w:val="en-US" w:eastAsia="zh-CN" w:bidi="zh-CN"/>
              </w:rPr>
            </w:pPr>
            <w:r>
              <w:rPr>
                <w:rFonts w:hint="eastAsia" w:ascii="仿宋" w:hAnsi="仿宋" w:eastAsia="仿宋" w:cs="仿宋"/>
                <w:b/>
                <w:color w:val="000000"/>
                <w:sz w:val="24"/>
                <w:szCs w:val="24"/>
                <w:highlight w:val="none"/>
              </w:rPr>
              <w:t>说明：</w:t>
            </w:r>
            <w:r>
              <w:rPr>
                <w:rFonts w:hint="eastAsia" w:ascii="仿宋" w:hAnsi="仿宋" w:eastAsia="仿宋" w:cs="仿宋"/>
                <w:b/>
                <w:bCs/>
                <w:color w:val="000000"/>
                <w:kern w:val="2"/>
                <w:sz w:val="24"/>
                <w:szCs w:val="24"/>
                <w:highlight w:val="none"/>
                <w:lang w:val="en-US" w:eastAsia="zh-CN" w:bidi="zh-CN"/>
              </w:rPr>
              <w:t>响应供应商须在响应文件中</w:t>
            </w:r>
            <w:r>
              <w:rPr>
                <w:rFonts w:hint="eastAsia" w:ascii="仿宋" w:hAnsi="仿宋" w:eastAsia="仿宋" w:cs="仿宋"/>
                <w:b/>
                <w:color w:val="000000"/>
                <w:sz w:val="24"/>
                <w:szCs w:val="24"/>
                <w:highlight w:val="none"/>
              </w:rPr>
              <w:t>提供认证证书复印件加盖</w:t>
            </w:r>
            <w:r>
              <w:rPr>
                <w:rFonts w:hint="eastAsia" w:cs="仿宋"/>
                <w:b/>
                <w:color w:val="000000"/>
                <w:sz w:val="24"/>
                <w:szCs w:val="24"/>
                <w:highlight w:val="none"/>
                <w:lang w:eastAsia="zh-CN"/>
              </w:rPr>
              <w:t>响应供应商</w:t>
            </w:r>
            <w:r>
              <w:rPr>
                <w:rFonts w:hint="eastAsia" w:ascii="仿宋" w:hAnsi="仿宋" w:eastAsia="仿宋" w:cs="仿宋"/>
                <w:b/>
                <w:color w:val="000000"/>
                <w:sz w:val="24"/>
                <w:szCs w:val="24"/>
                <w:highlight w:val="none"/>
              </w:rPr>
              <w:t>公章，不提供或提供的认证证书不符合本评分项要求的不得分。</w:t>
            </w:r>
          </w:p>
        </w:tc>
      </w:tr>
      <w:tr w14:paraId="4CC790F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972" w:hRule="atLeast"/>
        </w:trPr>
        <w:tc>
          <w:tcPr>
            <w:tcW w:w="0" w:type="auto"/>
            <w:shd w:val="clear" w:color="auto" w:fill="auto"/>
            <w:vAlign w:val="center"/>
          </w:tcPr>
          <w:p w14:paraId="32024E27">
            <w:pPr>
              <w:pStyle w:val="46"/>
              <w:pageBreakBefore w:val="0"/>
              <w:widowControl w:val="0"/>
              <w:kinsoku/>
              <w:wordWrap/>
              <w:overflowPunct/>
              <w:topLinePunct w:val="0"/>
              <w:bidi w:val="0"/>
              <w:spacing w:line="240" w:lineRule="auto"/>
              <w:ind w:left="4" w:leftChars="-5" w:right="-31" w:rightChars="-15" w:hanging="14" w:hangingChars="6"/>
              <w:jc w:val="center"/>
              <w:textAlignment w:val="auto"/>
              <w:rPr>
                <w:rFonts w:hint="default" w:ascii="仿宋" w:hAnsi="仿宋" w:eastAsia="仿宋" w:cs="仿宋"/>
                <w:color w:val="000000"/>
                <w:kern w:val="2"/>
                <w:sz w:val="24"/>
                <w:szCs w:val="24"/>
                <w:highlight w:val="none"/>
                <w:lang w:val="en-US" w:eastAsia="zh-CN" w:bidi="zh-CN"/>
              </w:rPr>
            </w:pPr>
            <w:r>
              <w:rPr>
                <w:rFonts w:hint="eastAsia" w:cs="仿宋"/>
                <w:color w:val="000000"/>
                <w:sz w:val="24"/>
                <w:szCs w:val="24"/>
                <w:highlight w:val="none"/>
                <w:lang w:val="en-US" w:eastAsia="zh-CN"/>
              </w:rPr>
              <w:t>11</w:t>
            </w:r>
          </w:p>
        </w:tc>
        <w:tc>
          <w:tcPr>
            <w:tcW w:w="1176" w:type="dxa"/>
            <w:shd w:val="clear" w:color="auto" w:fill="auto"/>
            <w:vAlign w:val="center"/>
          </w:tcPr>
          <w:p w14:paraId="6A19CAC6">
            <w:pPr>
              <w:pageBreakBefore w:val="0"/>
              <w:widowControl w:val="0"/>
              <w:kinsoku/>
              <w:wordWrap/>
              <w:overflowPunct/>
              <w:topLinePunct w:val="0"/>
              <w:bidi w:val="0"/>
              <w:spacing w:line="240" w:lineRule="auto"/>
              <w:jc w:val="center"/>
              <w:textAlignment w:val="auto"/>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sz w:val="24"/>
                <w:szCs w:val="24"/>
                <w:highlight w:val="none"/>
                <w:lang w:val="en-US" w:eastAsia="zh-CN"/>
              </w:rPr>
              <w:t>业绩情况</w:t>
            </w:r>
          </w:p>
        </w:tc>
        <w:tc>
          <w:tcPr>
            <w:tcW w:w="690" w:type="dxa"/>
            <w:shd w:val="clear" w:color="auto" w:fill="auto"/>
            <w:vAlign w:val="center"/>
          </w:tcPr>
          <w:p w14:paraId="023C97BD">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rPr>
                <w:rFonts w:hint="eastAsia" w:ascii="仿宋" w:hAnsi="仿宋" w:eastAsia="仿宋" w:cs="仿宋"/>
                <w:color w:val="000000"/>
                <w:kern w:val="2"/>
                <w:sz w:val="24"/>
                <w:szCs w:val="24"/>
                <w:highlight w:val="none"/>
                <w:lang w:val="en-US" w:eastAsia="zh-CN" w:bidi="zh-CN"/>
              </w:rPr>
            </w:pPr>
            <w:r>
              <w:rPr>
                <w:rFonts w:hint="eastAsia" w:ascii="仿宋" w:hAnsi="仿宋" w:eastAsia="仿宋" w:cs="仿宋"/>
                <w:color w:val="000000"/>
                <w:kern w:val="2"/>
                <w:sz w:val="24"/>
                <w:szCs w:val="24"/>
                <w:highlight w:val="none"/>
                <w:lang w:val="en-US" w:eastAsia="zh-CN" w:bidi="zh-CN"/>
              </w:rPr>
              <w:t>8</w:t>
            </w:r>
          </w:p>
        </w:tc>
        <w:tc>
          <w:tcPr>
            <w:tcW w:w="6788" w:type="dxa"/>
            <w:shd w:val="clear" w:color="auto" w:fill="auto"/>
            <w:vAlign w:val="center"/>
          </w:tcPr>
          <w:p w14:paraId="0196ACB0">
            <w:pPr>
              <w:pStyle w:val="47"/>
              <w:keepNext w:val="0"/>
              <w:keepLines w:val="0"/>
              <w:pageBreakBefore w:val="0"/>
              <w:widowControl w:val="0"/>
              <w:kinsoku/>
              <w:wordWrap/>
              <w:overflowPunct/>
              <w:topLinePunct w:val="0"/>
              <w:autoSpaceDE/>
              <w:autoSpaceDN/>
              <w:bidi w:val="0"/>
              <w:adjustRightInd/>
              <w:snapToGrid/>
              <w:spacing w:line="240" w:lineRule="auto"/>
              <w:ind w:left="0" w:right="0" w:firstLine="480" w:firstLineChars="200"/>
              <w:jc w:val="both"/>
              <w:textAlignment w:val="auto"/>
              <w:rPr>
                <w:rFonts w:hint="eastAsia" w:cs="仿宋"/>
                <w:color w:val="000000"/>
                <w:sz w:val="24"/>
                <w:szCs w:val="24"/>
                <w:highlight w:val="none"/>
                <w:lang w:val="en-US" w:eastAsia="zh-CN"/>
              </w:rPr>
            </w:pPr>
            <w:r>
              <w:rPr>
                <w:rFonts w:hint="eastAsia" w:cs="仿宋"/>
                <w:color w:val="000000"/>
                <w:sz w:val="24"/>
                <w:szCs w:val="24"/>
                <w:highlight w:val="none"/>
                <w:lang w:val="en-US" w:eastAsia="zh-CN"/>
              </w:rPr>
              <w:t>供应商具有2023年1月1日以来（以合同签订时间为准）档案扫描服务业绩合同的，每一个得2分，本项最高得4分。</w:t>
            </w:r>
          </w:p>
          <w:p w14:paraId="43D5F125">
            <w:pPr>
              <w:pStyle w:val="47"/>
              <w:keepNext w:val="0"/>
              <w:keepLines w:val="0"/>
              <w:pageBreakBefore w:val="0"/>
              <w:widowControl w:val="0"/>
              <w:kinsoku/>
              <w:wordWrap/>
              <w:overflowPunct/>
              <w:topLinePunct w:val="0"/>
              <w:autoSpaceDE/>
              <w:autoSpaceDN/>
              <w:bidi w:val="0"/>
              <w:adjustRightInd/>
              <w:snapToGrid/>
              <w:spacing w:line="240" w:lineRule="auto"/>
              <w:ind w:left="0" w:right="0" w:firstLine="480" w:firstLineChars="200"/>
              <w:jc w:val="both"/>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供应商具有</w:t>
            </w:r>
            <w:r>
              <w:rPr>
                <w:rFonts w:hint="eastAsia" w:cs="仿宋"/>
                <w:color w:val="000000"/>
                <w:sz w:val="24"/>
                <w:szCs w:val="24"/>
                <w:highlight w:val="none"/>
                <w:lang w:val="en-US" w:eastAsia="zh-CN"/>
              </w:rPr>
              <w:t>2023年1月1日以来（</w:t>
            </w:r>
            <w:r>
              <w:rPr>
                <w:rFonts w:hint="eastAsia" w:ascii="仿宋" w:hAnsi="仿宋" w:eastAsia="仿宋" w:cs="仿宋"/>
                <w:color w:val="000000"/>
                <w:spacing w:val="-5"/>
                <w:sz w:val="24"/>
                <w:szCs w:val="24"/>
                <w:highlight w:val="none"/>
              </w:rPr>
              <w:t>以合同</w:t>
            </w:r>
            <w:r>
              <w:rPr>
                <w:rFonts w:hint="eastAsia" w:ascii="仿宋" w:hAnsi="仿宋" w:eastAsia="仿宋" w:cs="仿宋"/>
                <w:color w:val="000000"/>
                <w:sz w:val="24"/>
                <w:szCs w:val="24"/>
                <w:highlight w:val="none"/>
              </w:rPr>
              <w:t>签订时间为准</w:t>
            </w:r>
            <w:r>
              <w:rPr>
                <w:rFonts w:hint="eastAsia" w:cs="仿宋"/>
                <w:color w:val="000000"/>
                <w:sz w:val="24"/>
                <w:szCs w:val="24"/>
                <w:highlight w:val="none"/>
                <w:lang w:val="en-US" w:eastAsia="zh-CN"/>
              </w:rPr>
              <w:t>）电子卷宗随案同步生成服务业绩合同的，</w:t>
            </w:r>
            <w:r>
              <w:rPr>
                <w:rFonts w:hint="eastAsia" w:ascii="仿宋" w:hAnsi="仿宋" w:eastAsia="仿宋" w:cs="仿宋"/>
                <w:color w:val="000000"/>
                <w:sz w:val="24"/>
                <w:szCs w:val="24"/>
                <w:highlight w:val="none"/>
              </w:rPr>
              <w:t>每个得</w:t>
            </w:r>
            <w:r>
              <w:rPr>
                <w:rFonts w:hint="eastAsia" w:cs="仿宋"/>
                <w:color w:val="000000"/>
                <w:sz w:val="24"/>
                <w:szCs w:val="24"/>
                <w:highlight w:val="none"/>
                <w:lang w:val="en-US" w:eastAsia="zh-CN"/>
              </w:rPr>
              <w:t>2</w:t>
            </w:r>
            <w:r>
              <w:rPr>
                <w:rFonts w:hint="eastAsia" w:ascii="仿宋" w:hAnsi="仿宋" w:eastAsia="仿宋" w:cs="仿宋"/>
                <w:color w:val="000000"/>
                <w:sz w:val="24"/>
                <w:szCs w:val="24"/>
                <w:highlight w:val="none"/>
              </w:rPr>
              <w:t>分，最高得</w:t>
            </w:r>
            <w:r>
              <w:rPr>
                <w:rFonts w:hint="eastAsia" w:cs="仿宋"/>
                <w:color w:val="000000"/>
                <w:sz w:val="24"/>
                <w:szCs w:val="24"/>
                <w:highlight w:val="none"/>
                <w:lang w:val="en-US" w:eastAsia="zh-CN"/>
              </w:rPr>
              <w:t>4</w:t>
            </w:r>
            <w:r>
              <w:rPr>
                <w:rFonts w:hint="eastAsia" w:ascii="仿宋" w:hAnsi="仿宋" w:eastAsia="仿宋" w:cs="仿宋"/>
                <w:color w:val="000000"/>
                <w:sz w:val="24"/>
                <w:szCs w:val="24"/>
                <w:highlight w:val="none"/>
              </w:rPr>
              <w:t>分。</w:t>
            </w:r>
          </w:p>
          <w:p w14:paraId="011CB64A">
            <w:pPr>
              <w:pStyle w:val="47"/>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482" w:firstLineChars="200"/>
              <w:jc w:val="both"/>
              <w:textAlignment w:val="auto"/>
              <w:rPr>
                <w:rFonts w:hint="eastAsia" w:ascii="仿宋" w:hAnsi="仿宋" w:eastAsia="仿宋" w:cs="仿宋"/>
                <w:color w:val="000000"/>
                <w:kern w:val="2"/>
                <w:sz w:val="24"/>
                <w:szCs w:val="24"/>
                <w:highlight w:val="none"/>
                <w:lang w:val="en-US" w:eastAsia="zh-CN" w:bidi="zh-CN"/>
              </w:rPr>
            </w:pPr>
            <w:r>
              <w:rPr>
                <w:rFonts w:hint="eastAsia" w:ascii="仿宋" w:hAnsi="仿宋" w:eastAsia="仿宋" w:cs="仿宋"/>
                <w:b/>
                <w:bCs/>
                <w:sz w:val="24"/>
                <w:szCs w:val="24"/>
                <w:highlight w:val="none"/>
              </w:rPr>
              <w:t>说明：</w:t>
            </w:r>
            <w:r>
              <w:rPr>
                <w:rFonts w:hint="eastAsia" w:ascii="仿宋" w:hAnsi="仿宋" w:eastAsia="仿宋" w:cs="仿宋"/>
                <w:b/>
                <w:bCs/>
                <w:color w:val="000000"/>
                <w:kern w:val="2"/>
                <w:sz w:val="24"/>
                <w:szCs w:val="24"/>
                <w:highlight w:val="none"/>
                <w:lang w:val="en-US" w:eastAsia="zh-CN" w:bidi="zh-CN"/>
              </w:rPr>
              <w:t>响应供应商须在响应文件中</w:t>
            </w:r>
            <w:r>
              <w:rPr>
                <w:rFonts w:hint="eastAsia" w:ascii="仿宋" w:hAnsi="仿宋" w:eastAsia="仿宋" w:cs="仿宋"/>
                <w:b/>
                <w:bCs/>
                <w:sz w:val="24"/>
                <w:szCs w:val="24"/>
                <w:highlight w:val="none"/>
              </w:rPr>
              <w:t>提供以上相关业绩的合同复印件作为评审依据，同一相关证明材料中涉及多内容，按一个业绩计算，同时加盖</w:t>
            </w:r>
            <w:r>
              <w:rPr>
                <w:rFonts w:hint="eastAsia" w:cs="仿宋"/>
                <w:b/>
                <w:bCs/>
                <w:color w:val="000000"/>
                <w:sz w:val="24"/>
                <w:szCs w:val="24"/>
                <w:highlight w:val="none"/>
                <w:lang w:val="en-US" w:eastAsia="zh-CN"/>
              </w:rPr>
              <w:t>响应供应商</w:t>
            </w:r>
            <w:r>
              <w:rPr>
                <w:rFonts w:hint="eastAsia" w:ascii="仿宋" w:hAnsi="仿宋" w:eastAsia="仿宋" w:cs="仿宋"/>
                <w:b/>
                <w:bCs/>
                <w:sz w:val="24"/>
                <w:szCs w:val="24"/>
                <w:highlight w:val="none"/>
              </w:rPr>
              <w:t>公章。</w:t>
            </w:r>
          </w:p>
        </w:tc>
      </w:tr>
      <w:tr w14:paraId="178CA59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481" w:hRule="atLeast"/>
        </w:trPr>
        <w:tc>
          <w:tcPr>
            <w:tcW w:w="0" w:type="auto"/>
            <w:shd w:val="clear" w:color="auto" w:fill="auto"/>
            <w:vAlign w:val="center"/>
          </w:tcPr>
          <w:p w14:paraId="500CBBFC">
            <w:pPr>
              <w:pStyle w:val="46"/>
              <w:pageBreakBefore w:val="0"/>
              <w:widowControl w:val="0"/>
              <w:kinsoku/>
              <w:wordWrap/>
              <w:overflowPunct/>
              <w:topLinePunct w:val="0"/>
              <w:bidi w:val="0"/>
              <w:spacing w:line="240" w:lineRule="auto"/>
              <w:ind w:left="4" w:leftChars="-5" w:right="-31" w:rightChars="-15" w:hanging="14" w:hangingChars="6"/>
              <w:jc w:val="center"/>
              <w:textAlignment w:val="auto"/>
              <w:rPr>
                <w:rFonts w:hint="default" w:ascii="仿宋" w:hAnsi="仿宋" w:eastAsia="仿宋" w:cs="仿宋"/>
                <w:color w:val="000000"/>
                <w:kern w:val="2"/>
                <w:sz w:val="24"/>
                <w:szCs w:val="24"/>
                <w:highlight w:val="none"/>
                <w:lang w:val="en-US" w:eastAsia="zh-CN" w:bidi="zh-CN"/>
              </w:rPr>
            </w:pPr>
            <w:r>
              <w:rPr>
                <w:rFonts w:hint="eastAsia" w:cs="仿宋"/>
                <w:color w:val="000000"/>
                <w:sz w:val="24"/>
                <w:szCs w:val="24"/>
                <w:highlight w:val="none"/>
                <w:lang w:val="en-US" w:eastAsia="zh-CN"/>
              </w:rPr>
              <w:t>12</w:t>
            </w:r>
          </w:p>
        </w:tc>
        <w:tc>
          <w:tcPr>
            <w:tcW w:w="1176" w:type="dxa"/>
            <w:shd w:val="clear" w:color="auto" w:fill="auto"/>
            <w:vAlign w:val="center"/>
          </w:tcPr>
          <w:p w14:paraId="0856F9CE">
            <w:pPr>
              <w:pageBreakBefore w:val="0"/>
              <w:widowControl w:val="0"/>
              <w:kinsoku/>
              <w:wordWrap/>
              <w:overflowPunct/>
              <w:topLinePunct w:val="0"/>
              <w:bidi w:val="0"/>
              <w:spacing w:line="240" w:lineRule="auto"/>
              <w:jc w:val="center"/>
              <w:textAlignment w:val="auto"/>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sz w:val="24"/>
                <w:szCs w:val="24"/>
                <w:highlight w:val="none"/>
                <w:lang w:val="en-US" w:eastAsia="zh-CN"/>
              </w:rPr>
              <w:t>价格</w:t>
            </w:r>
          </w:p>
        </w:tc>
        <w:tc>
          <w:tcPr>
            <w:tcW w:w="690" w:type="dxa"/>
            <w:shd w:val="clear" w:color="auto" w:fill="auto"/>
            <w:vAlign w:val="center"/>
          </w:tcPr>
          <w:p w14:paraId="003F14AC">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rPr>
                <w:rFonts w:hint="eastAsia" w:ascii="仿宋" w:hAnsi="仿宋" w:eastAsia="仿宋" w:cs="仿宋"/>
                <w:color w:val="000000"/>
                <w:kern w:val="2"/>
                <w:sz w:val="24"/>
                <w:szCs w:val="24"/>
                <w:highlight w:val="none"/>
                <w:lang w:val="en-US" w:eastAsia="zh-CN" w:bidi="zh-CN"/>
              </w:rPr>
            </w:pPr>
            <w:r>
              <w:rPr>
                <w:rFonts w:hint="eastAsia" w:ascii="仿宋" w:hAnsi="仿宋" w:eastAsia="仿宋" w:cs="仿宋"/>
                <w:color w:val="000000"/>
                <w:kern w:val="2"/>
                <w:sz w:val="24"/>
                <w:szCs w:val="24"/>
                <w:highlight w:val="none"/>
                <w:lang w:val="en-US" w:eastAsia="zh-CN" w:bidi="zh-CN"/>
              </w:rPr>
              <w:t>30</w:t>
            </w:r>
          </w:p>
        </w:tc>
        <w:tc>
          <w:tcPr>
            <w:tcW w:w="6788" w:type="dxa"/>
            <w:shd w:val="clear" w:color="auto" w:fill="auto"/>
            <w:vAlign w:val="center"/>
          </w:tcPr>
          <w:p w14:paraId="3C0D0965">
            <w:pPr>
              <w:pStyle w:val="47"/>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480" w:firstLineChars="200"/>
              <w:jc w:val="both"/>
              <w:textAlignment w:val="auto"/>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价格分应当采用低价优先法计算，即满足磋商文件要求且最后报价中最低报价为评审基准价，其价格分为满分。其他响应供应商的价格分统一按照下列公式计算：</w:t>
            </w:r>
          </w:p>
          <w:p w14:paraId="51475EA7">
            <w:pPr>
              <w:pStyle w:val="47"/>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480" w:firstLineChars="200"/>
              <w:jc w:val="both"/>
              <w:textAlignment w:val="auto"/>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最后报价得分=(评审基准价／最后报价)×价格分分值</w:t>
            </w:r>
          </w:p>
          <w:p w14:paraId="69167B43">
            <w:pPr>
              <w:pStyle w:val="47"/>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480" w:firstLineChars="200"/>
              <w:jc w:val="both"/>
              <w:textAlignment w:val="auto"/>
              <w:rPr>
                <w:rFonts w:hint="eastAsia" w:ascii="仿宋" w:hAnsi="仿宋" w:eastAsia="仿宋" w:cs="仿宋"/>
                <w:b/>
                <w:bCs/>
                <w:kern w:val="2"/>
                <w:sz w:val="24"/>
                <w:szCs w:val="24"/>
                <w:highlight w:val="none"/>
                <w:lang w:val="zh-CN" w:eastAsia="zh-CN" w:bidi="zh-CN"/>
              </w:rPr>
            </w:pPr>
            <w:r>
              <w:rPr>
                <w:rFonts w:hint="eastAsia" w:ascii="仿宋" w:hAnsi="仿宋" w:eastAsia="仿宋" w:cs="仿宋"/>
                <w:b w:val="0"/>
                <w:bCs w:val="0"/>
                <w:sz w:val="24"/>
                <w:szCs w:val="24"/>
                <w:highlight w:val="none"/>
              </w:rPr>
              <w:t>磋商过程中，不得去掉报价中的最高报价和最低报价。因落实政府采购政策进行价格调整的，以调整后的价格计算评审基准价和最后报价。</w:t>
            </w:r>
          </w:p>
        </w:tc>
      </w:tr>
      <w:tr w14:paraId="77282C0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4" w:hRule="atLeast"/>
        </w:trPr>
        <w:tc>
          <w:tcPr>
            <w:tcW w:w="2014" w:type="dxa"/>
            <w:gridSpan w:val="2"/>
            <w:shd w:val="clear" w:color="auto" w:fill="auto"/>
            <w:vAlign w:val="center"/>
          </w:tcPr>
          <w:p w14:paraId="7B55CDFC">
            <w:pPr>
              <w:pageBreakBefore w:val="0"/>
              <w:widowControl w:val="0"/>
              <w:kinsoku/>
              <w:wordWrap/>
              <w:overflowPunct/>
              <w:topLinePunct w:val="0"/>
              <w:bidi w:val="0"/>
              <w:spacing w:line="240" w:lineRule="auto"/>
              <w:jc w:val="center"/>
              <w:textAlignment w:val="auto"/>
              <w:rPr>
                <w:rFonts w:hint="default"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合计</w:t>
            </w:r>
          </w:p>
        </w:tc>
        <w:tc>
          <w:tcPr>
            <w:tcW w:w="690" w:type="dxa"/>
            <w:shd w:val="clear" w:color="auto" w:fill="auto"/>
            <w:vAlign w:val="center"/>
          </w:tcPr>
          <w:p w14:paraId="4B2E1916">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rPr>
                <w:rFonts w:hint="default" w:ascii="仿宋" w:hAnsi="仿宋" w:eastAsia="仿宋" w:cs="仿宋"/>
                <w:color w:val="000000"/>
                <w:kern w:val="2"/>
                <w:sz w:val="24"/>
                <w:szCs w:val="24"/>
                <w:highlight w:val="none"/>
                <w:lang w:val="en-US" w:eastAsia="zh-CN" w:bidi="zh-CN"/>
              </w:rPr>
            </w:pPr>
            <w:r>
              <w:rPr>
                <w:rFonts w:hint="eastAsia" w:ascii="仿宋" w:hAnsi="仿宋" w:eastAsia="仿宋" w:cs="仿宋"/>
                <w:color w:val="000000"/>
                <w:kern w:val="2"/>
                <w:sz w:val="24"/>
                <w:szCs w:val="24"/>
                <w:highlight w:val="none"/>
                <w:lang w:val="en-US" w:eastAsia="zh-CN" w:bidi="zh-CN"/>
              </w:rPr>
              <w:t>100</w:t>
            </w:r>
          </w:p>
        </w:tc>
        <w:tc>
          <w:tcPr>
            <w:tcW w:w="6788" w:type="dxa"/>
            <w:shd w:val="clear" w:color="auto" w:fill="auto"/>
            <w:vAlign w:val="center"/>
          </w:tcPr>
          <w:p w14:paraId="00B5A692">
            <w:pPr>
              <w:pStyle w:val="47"/>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480" w:firstLineChars="200"/>
              <w:jc w:val="both"/>
              <w:textAlignment w:val="auto"/>
              <w:rPr>
                <w:rFonts w:hint="eastAsia" w:ascii="仿宋" w:hAnsi="仿宋" w:eastAsia="仿宋" w:cs="仿宋"/>
                <w:b w:val="0"/>
                <w:bCs w:val="0"/>
                <w:sz w:val="24"/>
                <w:szCs w:val="24"/>
                <w:highlight w:val="none"/>
              </w:rPr>
            </w:pPr>
          </w:p>
        </w:tc>
      </w:tr>
    </w:tbl>
    <w:p w14:paraId="68B1BAAB">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仿宋" w:hAnsi="仿宋" w:eastAsia="仿宋"/>
          <w:sz w:val="28"/>
          <w:szCs w:val="28"/>
          <w:highlight w:val="none"/>
        </w:rPr>
      </w:pPr>
      <w:r>
        <w:rPr>
          <w:rFonts w:hint="eastAsia" w:ascii="仿宋" w:hAnsi="仿宋" w:eastAsia="仿宋"/>
          <w:sz w:val="28"/>
          <w:szCs w:val="28"/>
          <w:highlight w:val="none"/>
        </w:rPr>
        <w:t>备注：</w:t>
      </w:r>
    </w:p>
    <w:p w14:paraId="31210AE0">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仿宋" w:hAnsi="仿宋" w:eastAsia="仿宋"/>
          <w:sz w:val="28"/>
          <w:szCs w:val="28"/>
          <w:highlight w:val="none"/>
        </w:rPr>
      </w:pPr>
      <w:r>
        <w:rPr>
          <w:rFonts w:hint="eastAsia" w:ascii="仿宋" w:hAnsi="仿宋" w:eastAsia="仿宋"/>
          <w:sz w:val="28"/>
          <w:szCs w:val="28"/>
          <w:highlight w:val="none"/>
        </w:rPr>
        <w:t>1.上述</w:t>
      </w:r>
      <w:r>
        <w:rPr>
          <w:rFonts w:hint="eastAsia" w:ascii="仿宋" w:hAnsi="仿宋" w:eastAsia="仿宋"/>
          <w:sz w:val="28"/>
          <w:szCs w:val="28"/>
          <w:highlight w:val="none"/>
          <w:lang w:eastAsia="zh-CN"/>
        </w:rPr>
        <w:t>响应文件</w:t>
      </w:r>
      <w:r>
        <w:rPr>
          <w:rFonts w:hint="eastAsia" w:ascii="仿宋" w:hAnsi="仿宋" w:eastAsia="仿宋"/>
          <w:sz w:val="28"/>
          <w:szCs w:val="28"/>
          <w:highlight w:val="none"/>
        </w:rPr>
        <w:t>中所提供的相关证书等证明材料如有有效期的均须在有效期内。</w:t>
      </w:r>
    </w:p>
    <w:p w14:paraId="3689F4DC">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仿宋" w:hAnsi="仿宋" w:eastAsia="仿宋"/>
          <w:sz w:val="28"/>
          <w:szCs w:val="28"/>
          <w:highlight w:val="none"/>
        </w:rPr>
      </w:pPr>
      <w:r>
        <w:rPr>
          <w:rFonts w:hint="eastAsia" w:ascii="仿宋" w:hAnsi="仿宋" w:eastAsia="仿宋"/>
          <w:sz w:val="28"/>
          <w:szCs w:val="28"/>
          <w:highlight w:val="none"/>
        </w:rPr>
        <w:t>2.上述</w:t>
      </w:r>
      <w:r>
        <w:rPr>
          <w:rFonts w:hint="eastAsia" w:ascii="仿宋" w:hAnsi="仿宋" w:eastAsia="仿宋"/>
          <w:sz w:val="28"/>
          <w:szCs w:val="28"/>
          <w:highlight w:val="none"/>
          <w:lang w:eastAsia="zh-CN"/>
        </w:rPr>
        <w:t>响应文件</w:t>
      </w:r>
      <w:r>
        <w:rPr>
          <w:rFonts w:hint="eastAsia" w:ascii="仿宋" w:hAnsi="仿宋" w:eastAsia="仿宋"/>
          <w:sz w:val="28"/>
          <w:szCs w:val="28"/>
          <w:highlight w:val="none"/>
        </w:rPr>
        <w:t>中所提供的相关合同业绩、获奖证书、获奖文件、证明及报告等必须与原件一致。</w:t>
      </w:r>
      <w:r>
        <w:rPr>
          <w:rFonts w:hint="eastAsia" w:ascii="仿宋" w:hAnsi="仿宋" w:eastAsia="仿宋"/>
          <w:sz w:val="28"/>
          <w:szCs w:val="28"/>
          <w:highlight w:val="none"/>
          <w:lang w:val="en-US" w:eastAsia="zh-CN"/>
        </w:rPr>
        <w:t>采购结束后，在确认采购结果之前，采购人将对成交供应商响应文件中所提供的证明文件进行核实，如发现不一致，若核验发现供应商提供虚假证明材料，将上报政府采购监管部门依法处理。</w:t>
      </w:r>
    </w:p>
    <w:p w14:paraId="62242CC2">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ascii="仿宋" w:hAnsi="仿宋" w:eastAsia="仿宋"/>
          <w:sz w:val="28"/>
          <w:szCs w:val="28"/>
          <w:highlight w:val="none"/>
        </w:rPr>
      </w:pPr>
      <w:r>
        <w:rPr>
          <w:rFonts w:hint="eastAsia" w:ascii="仿宋" w:hAnsi="仿宋" w:eastAsia="仿宋"/>
          <w:sz w:val="28"/>
          <w:szCs w:val="28"/>
          <w:highlight w:val="none"/>
        </w:rPr>
        <w:t>3.本项目商务技术评分标准中须提供的相关得分佐证材料较多，</w:t>
      </w:r>
      <w:r>
        <w:rPr>
          <w:rFonts w:hint="eastAsia" w:ascii="仿宋" w:hAnsi="仿宋" w:eastAsia="仿宋"/>
          <w:sz w:val="28"/>
          <w:szCs w:val="28"/>
          <w:highlight w:val="none"/>
          <w:lang w:eastAsia="zh-CN"/>
        </w:rPr>
        <w:t>响应供应商</w:t>
      </w:r>
      <w:r>
        <w:rPr>
          <w:rFonts w:hint="eastAsia" w:ascii="仿宋" w:hAnsi="仿宋" w:eastAsia="仿宋"/>
          <w:sz w:val="28"/>
          <w:szCs w:val="28"/>
          <w:highlight w:val="none"/>
        </w:rPr>
        <w:t>需有序放置于相应</w:t>
      </w:r>
      <w:r>
        <w:rPr>
          <w:rFonts w:hint="eastAsia" w:ascii="仿宋" w:hAnsi="仿宋" w:eastAsia="仿宋"/>
          <w:sz w:val="28"/>
          <w:szCs w:val="28"/>
          <w:highlight w:val="none"/>
          <w:lang w:eastAsia="zh-CN"/>
        </w:rPr>
        <w:t>响应文件</w:t>
      </w:r>
      <w:r>
        <w:rPr>
          <w:rFonts w:hint="eastAsia" w:ascii="仿宋" w:hAnsi="仿宋" w:eastAsia="仿宋"/>
          <w:sz w:val="28"/>
          <w:szCs w:val="28"/>
          <w:highlight w:val="none"/>
        </w:rPr>
        <w:t>中，并注明如评分点 1，评分点 2……，条理清晰，对重点部分着重标注标识，便于评委检索。若因错放，漏放造成的不得分情况由</w:t>
      </w:r>
      <w:r>
        <w:rPr>
          <w:rFonts w:hint="eastAsia" w:ascii="仿宋" w:hAnsi="仿宋" w:eastAsia="仿宋"/>
          <w:sz w:val="28"/>
          <w:szCs w:val="28"/>
          <w:highlight w:val="none"/>
          <w:lang w:eastAsia="zh-CN"/>
        </w:rPr>
        <w:t>响应供应商</w:t>
      </w:r>
      <w:r>
        <w:rPr>
          <w:rFonts w:hint="eastAsia" w:ascii="仿宋" w:hAnsi="仿宋" w:eastAsia="仿宋"/>
          <w:sz w:val="28"/>
          <w:szCs w:val="28"/>
          <w:highlight w:val="none"/>
        </w:rPr>
        <w:t>自行承担。</w:t>
      </w:r>
    </w:p>
    <w:p w14:paraId="421B8D11">
      <w:pPr>
        <w:pStyle w:val="38"/>
        <w:spacing w:line="240" w:lineRule="auto"/>
        <w:ind w:firstLine="0"/>
        <w:jc w:val="center"/>
        <w:outlineLvl w:val="0"/>
        <w:rPr>
          <w:rFonts w:ascii="方正小标宋简体" w:eastAsia="方正小标宋简体"/>
          <w:bCs/>
          <w:sz w:val="32"/>
          <w:szCs w:val="32"/>
          <w:highlight w:val="none"/>
        </w:rPr>
      </w:pPr>
      <w:r>
        <w:rPr>
          <w:rFonts w:ascii="方正小标宋简体" w:eastAsia="方正小标宋简体"/>
          <w:bCs/>
          <w:sz w:val="44"/>
          <w:szCs w:val="28"/>
          <w:highlight w:val="none"/>
        </w:rPr>
        <w:br w:type="page"/>
      </w:r>
      <w:bookmarkStart w:id="100" w:name="_Toc18129"/>
      <w:r>
        <w:rPr>
          <w:rFonts w:hint="eastAsia" w:ascii="方正小标宋简体" w:eastAsia="方正小标宋简体"/>
          <w:bCs/>
          <w:sz w:val="32"/>
          <w:szCs w:val="32"/>
          <w:highlight w:val="none"/>
        </w:rPr>
        <w:t>第6章 竞争性磋商响应文件组成</w:t>
      </w:r>
      <w:bookmarkEnd w:id="100"/>
    </w:p>
    <w:p w14:paraId="7D67B5E2">
      <w:pPr>
        <w:pStyle w:val="38"/>
        <w:spacing w:line="240" w:lineRule="auto"/>
        <w:ind w:firstLine="0"/>
        <w:jc w:val="center"/>
        <w:rPr>
          <w:rFonts w:ascii="方正小标宋简体" w:eastAsia="方正小标宋简体"/>
          <w:bCs/>
          <w:sz w:val="32"/>
          <w:szCs w:val="32"/>
          <w:highlight w:val="none"/>
        </w:rPr>
      </w:pPr>
    </w:p>
    <w:p w14:paraId="5D183501">
      <w:pPr>
        <w:ind w:firstLine="880" w:firstLineChars="200"/>
        <w:jc w:val="center"/>
        <w:outlineLvl w:val="9"/>
        <w:rPr>
          <w:rFonts w:ascii="方正小标宋简体" w:hAnsi="仿宋" w:eastAsia="方正小标宋简体"/>
          <w:sz w:val="44"/>
          <w:szCs w:val="44"/>
          <w:highlight w:val="none"/>
        </w:rPr>
      </w:pPr>
      <w:r>
        <w:rPr>
          <w:rFonts w:hint="eastAsia" w:ascii="方正小标宋简体" w:hAnsi="仿宋" w:eastAsia="方正小标宋简体"/>
          <w:sz w:val="44"/>
          <w:szCs w:val="44"/>
          <w:highlight w:val="none"/>
        </w:rPr>
        <w:t>如皋市政府采购竞争性磋商响应文件</w:t>
      </w:r>
    </w:p>
    <w:p w14:paraId="0E1124D7">
      <w:pPr>
        <w:ind w:firstLine="1434" w:firstLineChars="595"/>
        <w:rPr>
          <w:rFonts w:ascii="宋体" w:hAnsi="宋体"/>
          <w:b/>
          <w:sz w:val="24"/>
          <w:highlight w:val="none"/>
        </w:rPr>
      </w:pPr>
    </w:p>
    <w:p w14:paraId="232278E7">
      <w:pPr>
        <w:ind w:firstLine="2072" w:firstLineChars="645"/>
        <w:rPr>
          <w:rFonts w:ascii="宋体" w:hAnsi="宋体"/>
          <w:b/>
          <w:sz w:val="32"/>
          <w:szCs w:val="32"/>
          <w:highlight w:val="none"/>
        </w:rPr>
      </w:pPr>
    </w:p>
    <w:p w14:paraId="55333AF7">
      <w:pPr>
        <w:ind w:firstLine="2072" w:firstLineChars="645"/>
        <w:rPr>
          <w:rFonts w:hint="default" w:ascii="宋体" w:hAnsi="宋体" w:eastAsia="宋体"/>
          <w:b/>
          <w:sz w:val="32"/>
          <w:szCs w:val="32"/>
          <w:highlight w:val="none"/>
          <w:lang w:val="en-US" w:eastAsia="zh-CN"/>
        </w:rPr>
      </w:pPr>
      <w:r>
        <w:rPr>
          <w:rFonts w:hint="eastAsia" w:ascii="宋体" w:hAnsi="宋体"/>
          <w:b/>
          <w:sz w:val="32"/>
          <w:szCs w:val="32"/>
          <w:highlight w:val="none"/>
        </w:rPr>
        <w:t>项目名称：</w:t>
      </w:r>
      <w:r>
        <w:rPr>
          <w:rFonts w:hint="eastAsia" w:ascii="宋体" w:hAnsi="宋体"/>
          <w:b/>
          <w:sz w:val="32"/>
          <w:szCs w:val="32"/>
          <w:highlight w:val="none"/>
          <w:lang w:val="en-US" w:eastAsia="zh-CN"/>
        </w:rPr>
        <w:t>如皋法院无纸化数字加工服务</w:t>
      </w:r>
    </w:p>
    <w:p w14:paraId="10070CB5">
      <w:pPr>
        <w:ind w:firstLine="2072" w:firstLineChars="645"/>
        <w:rPr>
          <w:rFonts w:hint="default" w:ascii="宋体" w:hAnsi="宋体" w:eastAsia="宋体"/>
          <w:b/>
          <w:sz w:val="32"/>
          <w:szCs w:val="32"/>
          <w:highlight w:val="none"/>
          <w:u w:val="single"/>
          <w:lang w:val="en-US" w:eastAsia="zh-CN"/>
        </w:rPr>
      </w:pPr>
      <w:r>
        <w:rPr>
          <w:rFonts w:hint="eastAsia" w:ascii="宋体" w:hAnsi="宋体"/>
          <w:b/>
          <w:sz w:val="32"/>
          <w:szCs w:val="32"/>
          <w:highlight w:val="none"/>
        </w:rPr>
        <w:t>项目编号：</w:t>
      </w:r>
      <w:r>
        <w:rPr>
          <w:rFonts w:hint="eastAsia" w:ascii="宋体" w:hAnsi="宋体"/>
          <w:b/>
          <w:sz w:val="32"/>
          <w:szCs w:val="32"/>
          <w:highlight w:val="none"/>
          <w:lang w:val="en-US" w:eastAsia="zh-CN"/>
        </w:rPr>
        <w:t>JSZC-320682-NTJW-C2026-0039</w:t>
      </w:r>
    </w:p>
    <w:p w14:paraId="0DD084AD">
      <w:pPr>
        <w:jc w:val="center"/>
        <w:rPr>
          <w:rFonts w:ascii="宋体" w:hAnsi="宋体"/>
          <w:b/>
          <w:sz w:val="32"/>
          <w:szCs w:val="32"/>
          <w:highlight w:val="none"/>
          <w:u w:val="single"/>
        </w:rPr>
      </w:pPr>
    </w:p>
    <w:p w14:paraId="27EE8F79">
      <w:pPr>
        <w:jc w:val="center"/>
        <w:rPr>
          <w:rFonts w:ascii="宋体" w:hAnsi="宋体"/>
          <w:b/>
          <w:sz w:val="32"/>
          <w:szCs w:val="32"/>
          <w:highlight w:val="none"/>
          <w:u w:val="single"/>
        </w:rPr>
      </w:pPr>
    </w:p>
    <w:p w14:paraId="184D0AE8">
      <w:pPr>
        <w:jc w:val="center"/>
        <w:rPr>
          <w:rFonts w:ascii="宋体" w:hAnsi="宋体"/>
          <w:b/>
          <w:sz w:val="32"/>
          <w:szCs w:val="32"/>
          <w:highlight w:val="none"/>
          <w:u w:val="single"/>
        </w:rPr>
      </w:pPr>
    </w:p>
    <w:p w14:paraId="72B5772A">
      <w:pPr>
        <w:jc w:val="center"/>
        <w:rPr>
          <w:rFonts w:ascii="宋体" w:hAnsi="宋体"/>
          <w:b/>
          <w:sz w:val="32"/>
          <w:szCs w:val="32"/>
          <w:highlight w:val="none"/>
          <w:u w:val="single"/>
        </w:rPr>
      </w:pPr>
    </w:p>
    <w:p w14:paraId="1B6D33CD">
      <w:pPr>
        <w:jc w:val="both"/>
        <w:rPr>
          <w:rFonts w:ascii="宋体" w:hAnsi="宋体"/>
          <w:b/>
          <w:sz w:val="32"/>
          <w:szCs w:val="32"/>
          <w:highlight w:val="none"/>
          <w:u w:val="single"/>
        </w:rPr>
      </w:pPr>
    </w:p>
    <w:p w14:paraId="10039989">
      <w:pPr>
        <w:jc w:val="center"/>
        <w:rPr>
          <w:rFonts w:ascii="宋体" w:hAnsi="宋体"/>
          <w:b/>
          <w:sz w:val="32"/>
          <w:szCs w:val="32"/>
          <w:highlight w:val="none"/>
          <w:u w:val="single"/>
        </w:rPr>
      </w:pPr>
    </w:p>
    <w:p w14:paraId="3EFF2C8B">
      <w:pPr>
        <w:pStyle w:val="10"/>
        <w:spacing w:line="240" w:lineRule="auto"/>
        <w:rPr>
          <w:rFonts w:ascii="文鼎CS楷体" w:eastAsia="文鼎CS楷体"/>
          <w:b/>
          <w:bCs/>
          <w:sz w:val="32"/>
          <w:szCs w:val="32"/>
          <w:highlight w:val="none"/>
        </w:rPr>
      </w:pPr>
    </w:p>
    <w:p w14:paraId="3D1B94F4">
      <w:pPr>
        <w:pStyle w:val="10"/>
        <w:spacing w:line="240" w:lineRule="auto"/>
        <w:rPr>
          <w:rFonts w:ascii="文鼎CS楷体" w:eastAsia="文鼎CS楷体"/>
          <w:b/>
          <w:bCs/>
          <w:sz w:val="32"/>
          <w:szCs w:val="32"/>
          <w:highlight w:val="none"/>
        </w:rPr>
      </w:pPr>
    </w:p>
    <w:p w14:paraId="5B9BB536">
      <w:pPr>
        <w:rPr>
          <w:sz w:val="32"/>
          <w:szCs w:val="32"/>
          <w:highlight w:val="none"/>
          <w:u w:val="single"/>
        </w:rPr>
      </w:pPr>
      <w:r>
        <w:rPr>
          <w:rFonts w:hint="eastAsia"/>
          <w:b/>
          <w:sz w:val="32"/>
          <w:szCs w:val="32"/>
          <w:highlight w:val="none"/>
        </w:rPr>
        <w:t>供应商名称：</w:t>
      </w:r>
    </w:p>
    <w:p w14:paraId="4073343B">
      <w:pPr>
        <w:snapToGrid w:val="0"/>
        <w:rPr>
          <w:rFonts w:ascii="宋体" w:hAnsi="宋体"/>
          <w:b/>
          <w:color w:val="000000"/>
          <w:sz w:val="32"/>
          <w:szCs w:val="32"/>
          <w:highlight w:val="none"/>
        </w:rPr>
      </w:pPr>
      <w:r>
        <w:rPr>
          <w:rFonts w:hint="eastAsia" w:ascii="宋体" w:hAnsi="宋体"/>
          <w:b/>
          <w:color w:val="000000"/>
          <w:sz w:val="32"/>
          <w:szCs w:val="32"/>
          <w:highlight w:val="none"/>
        </w:rPr>
        <w:t xml:space="preserve">地址： </w:t>
      </w:r>
    </w:p>
    <w:p w14:paraId="27CB6251">
      <w:pPr>
        <w:snapToGrid w:val="0"/>
        <w:rPr>
          <w:rFonts w:ascii="宋体" w:hAnsi="宋体"/>
          <w:b/>
          <w:color w:val="000000"/>
          <w:sz w:val="32"/>
          <w:szCs w:val="32"/>
          <w:highlight w:val="none"/>
        </w:rPr>
      </w:pPr>
      <w:r>
        <w:rPr>
          <w:rFonts w:hint="eastAsia"/>
          <w:b/>
          <w:sz w:val="32"/>
          <w:szCs w:val="32"/>
          <w:highlight w:val="none"/>
        </w:rPr>
        <w:t>联系</w:t>
      </w:r>
      <w:r>
        <w:rPr>
          <w:rFonts w:hint="eastAsia" w:ascii="宋体" w:hAnsi="宋体"/>
          <w:b/>
          <w:color w:val="000000"/>
          <w:sz w:val="32"/>
          <w:szCs w:val="32"/>
          <w:highlight w:val="none"/>
        </w:rPr>
        <w:t xml:space="preserve">电话： </w:t>
      </w:r>
    </w:p>
    <w:p w14:paraId="69F0F35E">
      <w:pPr>
        <w:snapToGrid w:val="0"/>
        <w:jc w:val="center"/>
        <w:rPr>
          <w:rFonts w:ascii="宋体" w:hAnsi="宋体"/>
          <w:b/>
          <w:color w:val="000000"/>
          <w:sz w:val="32"/>
          <w:szCs w:val="32"/>
          <w:highlight w:val="none"/>
        </w:rPr>
      </w:pPr>
      <w:r>
        <w:rPr>
          <w:rFonts w:hint="eastAsia" w:ascii="宋体" w:hAnsi="宋体"/>
          <w:b/>
          <w:color w:val="000000"/>
          <w:sz w:val="32"/>
          <w:szCs w:val="32"/>
          <w:highlight w:val="none"/>
        </w:rPr>
        <w:t>年</w:t>
      </w:r>
      <w:r>
        <w:rPr>
          <w:rFonts w:hint="eastAsia" w:ascii="宋体" w:hAnsi="宋体"/>
          <w:b/>
          <w:color w:val="000000"/>
          <w:sz w:val="32"/>
          <w:szCs w:val="32"/>
          <w:highlight w:val="none"/>
          <w:u w:val="single"/>
        </w:rPr>
        <w:t xml:space="preserve">   </w:t>
      </w:r>
      <w:r>
        <w:rPr>
          <w:rFonts w:hint="eastAsia" w:ascii="宋体" w:hAnsi="宋体"/>
          <w:b/>
          <w:color w:val="000000"/>
          <w:sz w:val="32"/>
          <w:szCs w:val="32"/>
          <w:highlight w:val="none"/>
        </w:rPr>
        <w:t>月</w:t>
      </w:r>
      <w:r>
        <w:rPr>
          <w:rFonts w:hint="eastAsia" w:ascii="宋体" w:hAnsi="宋体"/>
          <w:b/>
          <w:color w:val="000000"/>
          <w:sz w:val="32"/>
          <w:szCs w:val="32"/>
          <w:highlight w:val="none"/>
          <w:u w:val="single"/>
        </w:rPr>
        <w:t xml:space="preserve">   </w:t>
      </w:r>
      <w:r>
        <w:rPr>
          <w:rFonts w:hint="eastAsia" w:ascii="宋体" w:hAnsi="宋体"/>
          <w:b/>
          <w:color w:val="000000"/>
          <w:sz w:val="32"/>
          <w:szCs w:val="32"/>
          <w:highlight w:val="none"/>
        </w:rPr>
        <w:t>日</w:t>
      </w:r>
    </w:p>
    <w:p w14:paraId="011C212A">
      <w:pPr>
        <w:ind w:firstLine="954" w:firstLineChars="396"/>
        <w:rPr>
          <w:rFonts w:ascii="宋体" w:hAnsi="宋体"/>
          <w:b/>
          <w:color w:val="000000"/>
          <w:sz w:val="24"/>
          <w:highlight w:val="none"/>
        </w:rPr>
      </w:pPr>
    </w:p>
    <w:p w14:paraId="412A2307">
      <w:pPr>
        <w:rPr>
          <w:rFonts w:hint="eastAsia" w:ascii="黑体" w:hAnsi="黑体" w:eastAsia="黑体"/>
          <w:sz w:val="28"/>
          <w:szCs w:val="28"/>
          <w:highlight w:val="none"/>
        </w:rPr>
      </w:pPr>
      <w:r>
        <w:rPr>
          <w:rFonts w:hint="eastAsia" w:ascii="黑体" w:hAnsi="黑体" w:eastAsia="黑体"/>
          <w:sz w:val="28"/>
          <w:szCs w:val="28"/>
          <w:highlight w:val="none"/>
        </w:rPr>
        <w:br w:type="page"/>
      </w:r>
    </w:p>
    <w:p w14:paraId="0E97E937">
      <w:pPr>
        <w:ind w:firstLine="560" w:firstLineChars="200"/>
        <w:outlineLvl w:val="1"/>
        <w:rPr>
          <w:rFonts w:ascii="仿宋" w:hAnsi="仿宋" w:eastAsia="仿宋"/>
          <w:sz w:val="28"/>
          <w:szCs w:val="28"/>
          <w:highlight w:val="none"/>
        </w:rPr>
      </w:pPr>
      <w:bookmarkStart w:id="101" w:name="_Toc19359"/>
      <w:r>
        <w:rPr>
          <w:rFonts w:hint="eastAsia" w:ascii="黑体" w:hAnsi="黑体" w:eastAsia="黑体"/>
          <w:sz w:val="28"/>
          <w:szCs w:val="28"/>
          <w:highlight w:val="none"/>
        </w:rPr>
        <w:t>一、资格证明文件</w:t>
      </w:r>
      <w:bookmarkEnd w:id="101"/>
    </w:p>
    <w:p w14:paraId="0043070C">
      <w:pPr>
        <w:ind w:firstLine="560" w:firstLineChars="200"/>
        <w:outlineLvl w:val="9"/>
        <w:rPr>
          <w:rFonts w:ascii="仿宋" w:hAnsi="仿宋" w:eastAsia="仿宋" w:cs="Arial"/>
          <w:sz w:val="28"/>
          <w:szCs w:val="28"/>
          <w:highlight w:val="none"/>
        </w:rPr>
      </w:pPr>
      <w:r>
        <w:rPr>
          <w:rFonts w:hint="eastAsia" w:ascii="仿宋" w:hAnsi="仿宋" w:eastAsia="仿宋"/>
          <w:sz w:val="28"/>
          <w:szCs w:val="28"/>
          <w:highlight w:val="none"/>
        </w:rPr>
        <w:t>（一）</w:t>
      </w:r>
      <w:r>
        <w:rPr>
          <w:rFonts w:hint="eastAsia" w:ascii="仿宋" w:hAnsi="仿宋" w:eastAsia="仿宋" w:cs="Arial"/>
          <w:sz w:val="28"/>
          <w:szCs w:val="28"/>
          <w:highlight w:val="none"/>
        </w:rPr>
        <w:t>法人或者其他组织的营业执照，自然人的身份证（复印件）。</w:t>
      </w:r>
    </w:p>
    <w:p w14:paraId="4383BCF9">
      <w:pPr>
        <w:spacing w:before="50" w:afterLines="50"/>
        <w:ind w:firstLine="560" w:firstLineChars="200"/>
        <w:jc w:val="left"/>
        <w:outlineLvl w:val="9"/>
        <w:rPr>
          <w:rFonts w:ascii="仿宋" w:hAnsi="仿宋" w:eastAsia="仿宋"/>
          <w:sz w:val="28"/>
          <w:szCs w:val="28"/>
          <w:highlight w:val="none"/>
        </w:rPr>
      </w:pPr>
      <w:r>
        <w:rPr>
          <w:rFonts w:hint="eastAsia" w:ascii="仿宋" w:hAnsi="仿宋" w:eastAsia="仿宋"/>
          <w:sz w:val="28"/>
          <w:szCs w:val="28"/>
          <w:highlight w:val="none"/>
        </w:rPr>
        <w:t>（二）参加本次政府采购活动前的会计报表</w:t>
      </w:r>
      <w:r>
        <w:rPr>
          <w:rFonts w:hint="eastAsia" w:ascii="仿宋" w:hAnsi="仿宋" w:eastAsia="仿宋" w:cs="Arial"/>
          <w:sz w:val="28"/>
          <w:szCs w:val="28"/>
          <w:highlight w:val="none"/>
        </w:rPr>
        <w:t>（复印件，成立不满一年不需提供）。</w:t>
      </w:r>
    </w:p>
    <w:p w14:paraId="4E343ADA">
      <w:pPr>
        <w:ind w:firstLine="560" w:firstLineChars="200"/>
        <w:outlineLvl w:val="9"/>
        <w:rPr>
          <w:rFonts w:ascii="仿宋" w:hAnsi="仿宋" w:eastAsia="仿宋" w:cs="Arial"/>
          <w:sz w:val="28"/>
          <w:szCs w:val="28"/>
          <w:highlight w:val="none"/>
        </w:rPr>
      </w:pPr>
      <w:r>
        <w:rPr>
          <w:rFonts w:hint="eastAsia" w:ascii="仿宋" w:hAnsi="仿宋" w:eastAsia="仿宋"/>
          <w:sz w:val="28"/>
          <w:szCs w:val="28"/>
          <w:highlight w:val="none"/>
        </w:rPr>
        <w:t>（三）参加本次政府采购活动前一年内至少一个月缴纳增值税、营业税或者企业所得税的凭据，以及缴纳社会保险的凭据（专用收据或者社会保险缴纳清单）</w:t>
      </w:r>
      <w:r>
        <w:rPr>
          <w:rFonts w:hint="eastAsia" w:ascii="仿宋" w:hAnsi="仿宋" w:eastAsia="仿宋" w:cs="Arial"/>
          <w:sz w:val="28"/>
          <w:szCs w:val="28"/>
          <w:highlight w:val="none"/>
        </w:rPr>
        <w:t>（复印件）。</w:t>
      </w:r>
    </w:p>
    <w:p w14:paraId="26993B92">
      <w:pPr>
        <w:spacing w:before="50" w:afterLines="50"/>
        <w:ind w:firstLine="560" w:firstLineChars="200"/>
        <w:jc w:val="left"/>
        <w:outlineLvl w:val="9"/>
        <w:rPr>
          <w:rFonts w:ascii="仿宋" w:hAnsi="仿宋" w:eastAsia="仿宋" w:cs="Arial"/>
          <w:sz w:val="28"/>
          <w:szCs w:val="28"/>
          <w:highlight w:val="none"/>
        </w:rPr>
      </w:pPr>
      <w:r>
        <w:rPr>
          <w:rFonts w:ascii="仿宋" w:hAnsi="仿宋" w:eastAsia="仿宋"/>
          <w:sz w:val="28"/>
          <w:szCs w:val="28"/>
          <w:highlight w:val="none"/>
        </w:rPr>
        <w:br w:type="page"/>
      </w:r>
      <w:r>
        <w:rPr>
          <w:rFonts w:hint="eastAsia" w:ascii="仿宋" w:hAnsi="仿宋" w:eastAsia="仿宋"/>
          <w:sz w:val="28"/>
          <w:szCs w:val="28"/>
          <w:highlight w:val="none"/>
        </w:rPr>
        <w:t>（四）根据项目需求提供履行合同</w:t>
      </w:r>
      <w:r>
        <w:rPr>
          <w:rFonts w:hint="eastAsia" w:ascii="仿宋" w:hAnsi="仿宋" w:eastAsia="仿宋" w:cs="Arial"/>
          <w:sz w:val="28"/>
          <w:szCs w:val="28"/>
          <w:highlight w:val="none"/>
        </w:rPr>
        <w:t>必需的设备和专业技术能力的声明及证明材料。</w:t>
      </w:r>
    </w:p>
    <w:p w14:paraId="7AED6603">
      <w:pPr>
        <w:jc w:val="center"/>
        <w:outlineLvl w:val="9"/>
        <w:rPr>
          <w:rFonts w:ascii="方正小标宋简体" w:hAnsi="仿宋" w:eastAsia="方正小标宋简体"/>
          <w:sz w:val="36"/>
          <w:szCs w:val="36"/>
          <w:highlight w:val="none"/>
        </w:rPr>
      </w:pPr>
      <w:r>
        <w:rPr>
          <w:rFonts w:hint="eastAsia" w:ascii="方正小标宋简体" w:hAnsi="仿宋" w:eastAsia="方正小标宋简体"/>
          <w:sz w:val="36"/>
          <w:szCs w:val="36"/>
          <w:highlight w:val="none"/>
        </w:rPr>
        <w:t>声  明</w:t>
      </w:r>
    </w:p>
    <w:p w14:paraId="5FB7779E">
      <w:pPr>
        <w:ind w:firstLine="560" w:firstLineChars="200"/>
        <w:outlineLvl w:val="9"/>
        <w:rPr>
          <w:rFonts w:ascii="仿宋" w:hAnsi="仿宋" w:eastAsia="仿宋"/>
          <w:sz w:val="28"/>
          <w:szCs w:val="28"/>
          <w:highlight w:val="none"/>
        </w:rPr>
      </w:pPr>
      <w:r>
        <w:rPr>
          <w:rFonts w:hint="eastAsia" w:ascii="仿宋" w:hAnsi="仿宋" w:eastAsia="仿宋"/>
          <w:sz w:val="28"/>
          <w:szCs w:val="28"/>
          <w:highlight w:val="none"/>
        </w:rPr>
        <w:t>我公司郑重声明：我公司具备履行本项采购合同所必需的设备和专业技术能力，为履行本项采购合同我公司具备如下主要设备和主要专业技术能力：</w:t>
      </w:r>
    </w:p>
    <w:p w14:paraId="2A19A6A8">
      <w:pPr>
        <w:ind w:firstLine="560" w:firstLineChars="200"/>
        <w:outlineLvl w:val="9"/>
        <w:rPr>
          <w:rFonts w:ascii="仿宋" w:hAnsi="仿宋" w:eastAsia="仿宋"/>
          <w:sz w:val="28"/>
          <w:szCs w:val="28"/>
          <w:highlight w:val="none"/>
        </w:rPr>
      </w:pPr>
      <w:r>
        <w:rPr>
          <w:rFonts w:hint="eastAsia" w:ascii="仿宋" w:hAnsi="仿宋" w:eastAsia="仿宋"/>
          <w:sz w:val="28"/>
          <w:szCs w:val="28"/>
          <w:highlight w:val="none"/>
        </w:rPr>
        <w:t>主要设备有：________。</w:t>
      </w:r>
    </w:p>
    <w:p w14:paraId="1815242E">
      <w:pPr>
        <w:ind w:firstLine="560" w:firstLineChars="200"/>
        <w:outlineLvl w:val="9"/>
        <w:rPr>
          <w:rFonts w:ascii="仿宋" w:hAnsi="仿宋" w:eastAsia="仿宋"/>
          <w:sz w:val="28"/>
          <w:szCs w:val="28"/>
          <w:highlight w:val="none"/>
        </w:rPr>
      </w:pPr>
      <w:r>
        <w:rPr>
          <w:rFonts w:hint="eastAsia" w:ascii="仿宋" w:hAnsi="仿宋" w:eastAsia="仿宋"/>
          <w:sz w:val="28"/>
          <w:szCs w:val="28"/>
          <w:highlight w:val="none"/>
        </w:rPr>
        <w:t>主要专业技术能力有：________。</w:t>
      </w:r>
    </w:p>
    <w:p w14:paraId="356934BB">
      <w:pPr>
        <w:ind w:firstLine="560" w:firstLineChars="200"/>
        <w:outlineLvl w:val="9"/>
        <w:rPr>
          <w:rFonts w:ascii="仿宋" w:hAnsi="仿宋" w:eastAsia="仿宋"/>
          <w:sz w:val="28"/>
          <w:szCs w:val="28"/>
          <w:highlight w:val="none"/>
        </w:rPr>
      </w:pPr>
    </w:p>
    <w:p w14:paraId="305F9660">
      <w:pPr>
        <w:ind w:firstLine="2520" w:firstLineChars="900"/>
        <w:outlineLvl w:val="9"/>
        <w:rPr>
          <w:rFonts w:ascii="仿宋" w:hAnsi="仿宋" w:eastAsia="仿宋"/>
          <w:sz w:val="28"/>
          <w:szCs w:val="28"/>
          <w:highlight w:val="none"/>
        </w:rPr>
      </w:pPr>
      <w:r>
        <w:rPr>
          <w:rFonts w:hint="eastAsia" w:ascii="仿宋" w:hAnsi="仿宋" w:eastAsia="仿宋"/>
          <w:sz w:val="28"/>
          <w:szCs w:val="28"/>
          <w:highlight w:val="none"/>
        </w:rPr>
        <w:t>供应商名称（公章）：</w:t>
      </w:r>
    </w:p>
    <w:p w14:paraId="1462257F">
      <w:pPr>
        <w:outlineLvl w:val="9"/>
        <w:rPr>
          <w:rFonts w:ascii="仿宋" w:hAnsi="仿宋" w:eastAsia="仿宋"/>
          <w:sz w:val="28"/>
          <w:szCs w:val="28"/>
          <w:highlight w:val="none"/>
        </w:rPr>
      </w:pPr>
      <w:r>
        <w:rPr>
          <w:rFonts w:hint="eastAsia" w:ascii="仿宋" w:hAnsi="仿宋" w:eastAsia="仿宋"/>
          <w:sz w:val="28"/>
          <w:szCs w:val="28"/>
          <w:highlight w:val="none"/>
        </w:rPr>
        <w:t xml:space="preserve">                       授权代表签字：_________________</w:t>
      </w:r>
    </w:p>
    <w:p w14:paraId="2D7389C1">
      <w:pPr>
        <w:spacing w:before="50" w:afterLines="50"/>
        <w:ind w:firstLine="560" w:firstLineChars="200"/>
        <w:jc w:val="left"/>
        <w:outlineLvl w:val="9"/>
        <w:rPr>
          <w:rFonts w:ascii="仿宋" w:hAnsi="仿宋" w:eastAsia="仿宋"/>
          <w:b/>
          <w:sz w:val="28"/>
          <w:szCs w:val="28"/>
          <w:highlight w:val="none"/>
        </w:rPr>
      </w:pPr>
      <w:r>
        <w:rPr>
          <w:rFonts w:hint="eastAsia" w:ascii="仿宋" w:hAnsi="仿宋" w:eastAsia="仿宋"/>
          <w:sz w:val="28"/>
          <w:szCs w:val="28"/>
          <w:highlight w:val="none"/>
        </w:rPr>
        <w:t xml:space="preserve">                           日期：______年 月日</w:t>
      </w:r>
    </w:p>
    <w:p w14:paraId="26CC7AE3">
      <w:pPr>
        <w:ind w:firstLine="560" w:firstLineChars="200"/>
        <w:outlineLvl w:val="9"/>
        <w:rPr>
          <w:rFonts w:ascii="仿宋" w:hAnsi="仿宋" w:eastAsia="仿宋" w:cs="Arial"/>
          <w:sz w:val="28"/>
          <w:szCs w:val="28"/>
          <w:highlight w:val="none"/>
        </w:rPr>
      </w:pPr>
      <w:r>
        <w:rPr>
          <w:rFonts w:ascii="仿宋" w:hAnsi="仿宋" w:eastAsia="仿宋"/>
          <w:sz w:val="28"/>
          <w:szCs w:val="28"/>
          <w:highlight w:val="none"/>
        </w:rPr>
        <w:br w:type="page"/>
      </w:r>
      <w:r>
        <w:rPr>
          <w:rFonts w:hint="eastAsia" w:ascii="仿宋" w:hAnsi="仿宋" w:eastAsia="仿宋"/>
          <w:sz w:val="28"/>
          <w:szCs w:val="28"/>
          <w:highlight w:val="none"/>
        </w:rPr>
        <w:t>（五）</w:t>
      </w:r>
      <w:r>
        <w:rPr>
          <w:rFonts w:hint="eastAsia" w:ascii="仿宋" w:hAnsi="仿宋" w:eastAsia="仿宋" w:cs="Arial"/>
          <w:sz w:val="28"/>
          <w:szCs w:val="28"/>
          <w:highlight w:val="none"/>
        </w:rPr>
        <w:t>参加本次政府采购活动前 3 年内在经营活动中没有重大违法记录的书面声明。</w:t>
      </w:r>
    </w:p>
    <w:p w14:paraId="127DCE6D">
      <w:pPr>
        <w:jc w:val="center"/>
        <w:outlineLvl w:val="9"/>
        <w:rPr>
          <w:rFonts w:ascii="方正小标宋简体" w:hAnsi="仿宋" w:eastAsia="方正小标宋简体"/>
          <w:sz w:val="36"/>
          <w:szCs w:val="36"/>
          <w:highlight w:val="none"/>
        </w:rPr>
      </w:pPr>
      <w:r>
        <w:rPr>
          <w:rFonts w:hint="eastAsia" w:ascii="方正小标宋简体" w:hAnsi="仿宋" w:eastAsia="方正小标宋简体"/>
          <w:sz w:val="36"/>
          <w:szCs w:val="36"/>
          <w:highlight w:val="none"/>
        </w:rPr>
        <w:t>声  明</w:t>
      </w:r>
    </w:p>
    <w:p w14:paraId="51C5C46F">
      <w:pPr>
        <w:ind w:firstLine="482"/>
        <w:outlineLvl w:val="9"/>
        <w:rPr>
          <w:rFonts w:ascii="仿宋" w:hAnsi="仿宋" w:eastAsia="仿宋"/>
          <w:sz w:val="28"/>
          <w:szCs w:val="28"/>
          <w:highlight w:val="none"/>
        </w:rPr>
      </w:pPr>
      <w:r>
        <w:rPr>
          <w:rFonts w:hint="eastAsia" w:ascii="仿宋" w:hAnsi="仿宋" w:eastAsia="仿宋"/>
          <w:sz w:val="28"/>
          <w:szCs w:val="28"/>
          <w:highlight w:val="none"/>
        </w:rPr>
        <w:t>我公司郑重声明：参加本次政府采购活动前 3 年内，我公司在经营活动中没有因违法经营受到刑事处罚或者责令停产停业、吊销许可证或者执照、较大数额罚款等行政处罚。</w:t>
      </w:r>
    </w:p>
    <w:p w14:paraId="048942B4">
      <w:pPr>
        <w:ind w:firstLine="482"/>
        <w:outlineLvl w:val="9"/>
        <w:rPr>
          <w:rFonts w:ascii="仿宋" w:hAnsi="仿宋" w:eastAsia="仿宋"/>
          <w:sz w:val="28"/>
          <w:szCs w:val="28"/>
          <w:highlight w:val="none"/>
        </w:rPr>
      </w:pPr>
      <w:r>
        <w:rPr>
          <w:rFonts w:hint="eastAsia" w:ascii="仿宋" w:hAnsi="仿宋" w:eastAsia="仿宋"/>
          <w:sz w:val="28"/>
          <w:szCs w:val="28"/>
          <w:highlight w:val="none"/>
        </w:rPr>
        <w:t>在响应文件提交截止时间前，没有被“信用中国”（</w:t>
      </w:r>
      <w:r>
        <w:rPr>
          <w:rFonts w:ascii="仿宋" w:hAnsi="仿宋" w:eastAsia="仿宋"/>
          <w:sz w:val="28"/>
          <w:szCs w:val="28"/>
          <w:highlight w:val="none"/>
        </w:rPr>
        <w:t>www.creditchina.gov.cn</w:t>
      </w:r>
      <w:r>
        <w:rPr>
          <w:rFonts w:hint="eastAsia" w:ascii="仿宋" w:hAnsi="仿宋" w:eastAsia="仿宋"/>
          <w:sz w:val="28"/>
          <w:szCs w:val="28"/>
          <w:highlight w:val="none"/>
        </w:rPr>
        <w:t>）、“中国政府采购网”（</w:t>
      </w:r>
      <w:r>
        <w:rPr>
          <w:rFonts w:ascii="仿宋" w:hAnsi="仿宋" w:eastAsia="仿宋"/>
          <w:sz w:val="28"/>
          <w:szCs w:val="28"/>
          <w:highlight w:val="none"/>
        </w:rPr>
        <w:t>www.ccgp.gov.cn</w:t>
      </w:r>
      <w:r>
        <w:rPr>
          <w:rFonts w:hint="eastAsia" w:ascii="仿宋" w:hAnsi="仿宋" w:eastAsia="仿宋"/>
          <w:sz w:val="28"/>
          <w:szCs w:val="28"/>
          <w:highlight w:val="none"/>
        </w:rPr>
        <w:t>）网站列入失信被执行人、重大税收违法案件当事人名单、政府采购严重违法失信行为记录名单。</w:t>
      </w:r>
    </w:p>
    <w:p w14:paraId="77832197">
      <w:pPr>
        <w:outlineLvl w:val="9"/>
        <w:rPr>
          <w:rFonts w:ascii="仿宋" w:hAnsi="仿宋" w:eastAsia="仿宋"/>
          <w:sz w:val="28"/>
          <w:szCs w:val="28"/>
          <w:highlight w:val="none"/>
        </w:rPr>
      </w:pPr>
      <w:r>
        <w:rPr>
          <w:rFonts w:hint="eastAsia" w:ascii="仿宋" w:hAnsi="仿宋" w:eastAsia="仿宋"/>
          <w:sz w:val="28"/>
          <w:szCs w:val="28"/>
          <w:highlight w:val="none"/>
        </w:rPr>
        <w:t xml:space="preserve">                       供应商名称（公章）：</w:t>
      </w:r>
    </w:p>
    <w:p w14:paraId="3C617367">
      <w:pPr>
        <w:outlineLvl w:val="9"/>
        <w:rPr>
          <w:rFonts w:ascii="仿宋" w:hAnsi="仿宋" w:eastAsia="仿宋"/>
          <w:sz w:val="28"/>
          <w:szCs w:val="28"/>
          <w:highlight w:val="none"/>
        </w:rPr>
      </w:pPr>
      <w:r>
        <w:rPr>
          <w:rFonts w:hint="eastAsia" w:ascii="仿宋" w:hAnsi="仿宋" w:eastAsia="仿宋"/>
          <w:sz w:val="28"/>
          <w:szCs w:val="28"/>
          <w:highlight w:val="none"/>
        </w:rPr>
        <w:t xml:space="preserve">                       授权代表签字：_________________</w:t>
      </w:r>
    </w:p>
    <w:p w14:paraId="2974A316">
      <w:pPr>
        <w:ind w:firstLine="560" w:firstLineChars="200"/>
        <w:outlineLvl w:val="9"/>
        <w:rPr>
          <w:rFonts w:ascii="仿宋" w:hAnsi="仿宋" w:eastAsia="仿宋" w:cs="Arial"/>
          <w:sz w:val="28"/>
          <w:szCs w:val="28"/>
          <w:highlight w:val="none"/>
        </w:rPr>
      </w:pPr>
      <w:r>
        <w:rPr>
          <w:rFonts w:hint="eastAsia" w:ascii="仿宋" w:hAnsi="仿宋" w:eastAsia="仿宋"/>
          <w:sz w:val="28"/>
          <w:szCs w:val="28"/>
          <w:highlight w:val="none"/>
        </w:rPr>
        <w:t xml:space="preserve">                           日期：______年 月日</w:t>
      </w:r>
    </w:p>
    <w:p w14:paraId="428414E4">
      <w:pPr>
        <w:rPr>
          <w:rFonts w:hint="eastAsia" w:ascii="仿宋" w:hAnsi="仿宋" w:eastAsia="仿宋"/>
          <w:sz w:val="28"/>
          <w:szCs w:val="28"/>
          <w:highlight w:val="none"/>
        </w:rPr>
      </w:pPr>
      <w:r>
        <w:rPr>
          <w:rFonts w:hint="eastAsia" w:ascii="仿宋" w:hAnsi="仿宋" w:eastAsia="仿宋"/>
          <w:sz w:val="28"/>
          <w:szCs w:val="28"/>
          <w:highlight w:val="none"/>
        </w:rPr>
        <w:br w:type="page"/>
      </w:r>
    </w:p>
    <w:p w14:paraId="4B7D6045">
      <w:pPr>
        <w:spacing w:before="50" w:afterLines="50"/>
        <w:ind w:firstLine="560" w:firstLineChars="200"/>
        <w:jc w:val="left"/>
        <w:outlineLvl w:val="9"/>
        <w:rPr>
          <w:rFonts w:ascii="仿宋" w:hAnsi="仿宋" w:eastAsia="仿宋"/>
          <w:sz w:val="28"/>
          <w:szCs w:val="28"/>
          <w:highlight w:val="none"/>
        </w:rPr>
      </w:pPr>
      <w:r>
        <w:rPr>
          <w:rFonts w:hint="eastAsia" w:ascii="仿宋" w:hAnsi="仿宋" w:eastAsia="仿宋"/>
          <w:sz w:val="28"/>
          <w:szCs w:val="28"/>
          <w:highlight w:val="none"/>
        </w:rPr>
        <w:t>（六）法定代表人身份证明及身份证复印件</w:t>
      </w:r>
    </w:p>
    <w:p w14:paraId="0F3AEB30">
      <w:pPr>
        <w:spacing w:before="50" w:after="156"/>
        <w:ind w:firstLine="562"/>
        <w:jc w:val="center"/>
        <w:rPr>
          <w:rFonts w:ascii="仿宋" w:hAnsi="仿宋" w:eastAsia="仿宋"/>
          <w:sz w:val="28"/>
          <w:szCs w:val="28"/>
          <w:highlight w:val="none"/>
        </w:rPr>
      </w:pPr>
      <w:r>
        <w:rPr>
          <w:rFonts w:hint="eastAsia" w:ascii="仿宋" w:hAnsi="仿宋" w:eastAsia="仿宋"/>
          <w:b/>
          <w:bCs/>
          <w:sz w:val="28"/>
          <w:szCs w:val="28"/>
          <w:highlight w:val="none"/>
        </w:rPr>
        <w:t>法定代表人身份证明</w:t>
      </w:r>
    </w:p>
    <w:p w14:paraId="6346A0BD">
      <w:pPr>
        <w:spacing w:before="50" w:after="156"/>
        <w:ind w:firstLine="560"/>
        <w:jc w:val="left"/>
        <w:rPr>
          <w:rFonts w:ascii="仿宋" w:hAnsi="仿宋" w:eastAsia="仿宋"/>
          <w:sz w:val="28"/>
          <w:szCs w:val="28"/>
          <w:highlight w:val="none"/>
        </w:rPr>
      </w:pPr>
      <w:r>
        <w:rPr>
          <w:rFonts w:hint="eastAsia" w:ascii="仿宋" w:hAnsi="仿宋" w:eastAsia="仿宋"/>
          <w:sz w:val="28"/>
          <w:szCs w:val="28"/>
          <w:highlight w:val="none"/>
        </w:rPr>
        <w:t xml:space="preserve">供应商名称： </w:t>
      </w:r>
    </w:p>
    <w:p w14:paraId="7A03C492">
      <w:pPr>
        <w:spacing w:before="50" w:after="156"/>
        <w:ind w:firstLine="560"/>
        <w:jc w:val="left"/>
        <w:rPr>
          <w:rFonts w:ascii="仿宋" w:hAnsi="仿宋" w:eastAsia="仿宋"/>
          <w:sz w:val="28"/>
          <w:szCs w:val="28"/>
          <w:highlight w:val="none"/>
        </w:rPr>
      </w:pPr>
      <w:r>
        <w:rPr>
          <w:rFonts w:hint="eastAsia" w:ascii="仿宋" w:hAnsi="仿宋" w:eastAsia="仿宋"/>
          <w:sz w:val="28"/>
          <w:szCs w:val="28"/>
          <w:highlight w:val="none"/>
        </w:rPr>
        <w:t xml:space="preserve">单位性质： </w:t>
      </w:r>
    </w:p>
    <w:p w14:paraId="2D12AABA">
      <w:pPr>
        <w:spacing w:before="50" w:after="156"/>
        <w:ind w:firstLine="560"/>
        <w:jc w:val="left"/>
        <w:rPr>
          <w:rFonts w:ascii="仿宋" w:hAnsi="仿宋" w:eastAsia="仿宋"/>
          <w:sz w:val="28"/>
          <w:szCs w:val="28"/>
          <w:highlight w:val="none"/>
        </w:rPr>
      </w:pPr>
      <w:r>
        <w:rPr>
          <w:rFonts w:hint="eastAsia" w:ascii="仿宋" w:hAnsi="仿宋" w:eastAsia="仿宋"/>
          <w:sz w:val="28"/>
          <w:szCs w:val="28"/>
          <w:highlight w:val="none"/>
        </w:rPr>
        <w:t>地址：</w:t>
      </w:r>
    </w:p>
    <w:p w14:paraId="0C897042">
      <w:pPr>
        <w:spacing w:before="50" w:after="156"/>
        <w:ind w:firstLine="560"/>
        <w:jc w:val="left"/>
        <w:rPr>
          <w:rFonts w:ascii="仿宋" w:hAnsi="仿宋" w:eastAsia="仿宋"/>
          <w:sz w:val="28"/>
          <w:szCs w:val="28"/>
          <w:highlight w:val="none"/>
        </w:rPr>
      </w:pPr>
      <w:r>
        <w:rPr>
          <w:rFonts w:hint="eastAsia" w:ascii="仿宋" w:hAnsi="仿宋" w:eastAsia="仿宋"/>
          <w:sz w:val="28"/>
          <w:szCs w:val="28"/>
          <w:highlight w:val="none"/>
        </w:rPr>
        <w:t xml:space="preserve">成立时间：年月日 </w:t>
      </w:r>
    </w:p>
    <w:p w14:paraId="37D54164">
      <w:pPr>
        <w:spacing w:before="50" w:after="156"/>
        <w:ind w:firstLine="560"/>
        <w:jc w:val="left"/>
        <w:rPr>
          <w:rFonts w:ascii="仿宋" w:hAnsi="仿宋" w:eastAsia="仿宋"/>
          <w:sz w:val="28"/>
          <w:szCs w:val="28"/>
          <w:highlight w:val="none"/>
        </w:rPr>
      </w:pPr>
      <w:r>
        <w:rPr>
          <w:rFonts w:hint="eastAsia" w:ascii="仿宋" w:hAnsi="仿宋" w:eastAsia="仿宋"/>
          <w:sz w:val="28"/>
          <w:szCs w:val="28"/>
          <w:highlight w:val="none"/>
        </w:rPr>
        <w:t>经营期限：</w:t>
      </w:r>
    </w:p>
    <w:p w14:paraId="24393821">
      <w:pPr>
        <w:spacing w:before="50" w:after="156"/>
        <w:ind w:firstLine="560"/>
        <w:jc w:val="left"/>
        <w:rPr>
          <w:rFonts w:ascii="仿宋" w:hAnsi="仿宋" w:eastAsia="仿宋"/>
          <w:sz w:val="28"/>
          <w:szCs w:val="28"/>
          <w:highlight w:val="none"/>
        </w:rPr>
      </w:pPr>
      <w:r>
        <w:rPr>
          <w:rFonts w:hint="eastAsia" w:ascii="仿宋" w:hAnsi="仿宋" w:eastAsia="仿宋"/>
          <w:sz w:val="28"/>
          <w:szCs w:val="28"/>
          <w:highlight w:val="none"/>
        </w:rPr>
        <w:t>姓名：</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性别： </w:t>
      </w:r>
    </w:p>
    <w:p w14:paraId="7FECE6E0">
      <w:pPr>
        <w:spacing w:before="50" w:after="156"/>
        <w:ind w:firstLine="560"/>
        <w:jc w:val="left"/>
        <w:rPr>
          <w:rFonts w:ascii="仿宋" w:hAnsi="仿宋" w:eastAsia="仿宋"/>
          <w:sz w:val="28"/>
          <w:szCs w:val="28"/>
          <w:highlight w:val="none"/>
        </w:rPr>
      </w:pPr>
      <w:r>
        <w:rPr>
          <w:rFonts w:hint="eastAsia" w:ascii="仿宋" w:hAnsi="仿宋" w:eastAsia="仿宋"/>
          <w:sz w:val="28"/>
          <w:szCs w:val="28"/>
          <w:highlight w:val="none"/>
        </w:rPr>
        <w:t>年龄：</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职务：</w:t>
      </w:r>
    </w:p>
    <w:p w14:paraId="51EED8E5">
      <w:pPr>
        <w:spacing w:before="50" w:after="156"/>
        <w:ind w:firstLine="560"/>
        <w:jc w:val="left"/>
        <w:rPr>
          <w:rFonts w:ascii="仿宋" w:hAnsi="仿宋" w:eastAsia="仿宋"/>
          <w:sz w:val="28"/>
          <w:szCs w:val="28"/>
          <w:highlight w:val="none"/>
        </w:rPr>
      </w:pPr>
      <w:r>
        <w:rPr>
          <w:rFonts w:hint="eastAsia" w:ascii="仿宋" w:hAnsi="仿宋" w:eastAsia="仿宋"/>
          <w:sz w:val="28"/>
          <w:szCs w:val="28"/>
          <w:highlight w:val="none"/>
        </w:rPr>
        <w:t xml:space="preserve">系（供应商名称）的法定代表人。 特此证明。 </w:t>
      </w:r>
    </w:p>
    <w:p w14:paraId="6A0CCBF4">
      <w:pPr>
        <w:spacing w:before="50" w:after="156"/>
        <w:ind w:firstLine="560"/>
        <w:jc w:val="left"/>
        <w:rPr>
          <w:rFonts w:ascii="仿宋" w:hAnsi="仿宋" w:eastAsia="仿宋"/>
          <w:sz w:val="28"/>
          <w:szCs w:val="28"/>
          <w:highlight w:val="none"/>
        </w:rPr>
      </w:pPr>
    </w:p>
    <w:p w14:paraId="5B543D07">
      <w:pPr>
        <w:spacing w:before="50" w:after="156"/>
        <w:ind w:firstLine="560"/>
        <w:jc w:val="left"/>
        <w:rPr>
          <w:rFonts w:ascii="仿宋" w:hAnsi="仿宋" w:eastAsia="仿宋"/>
          <w:sz w:val="28"/>
          <w:szCs w:val="28"/>
          <w:highlight w:val="none"/>
        </w:rPr>
      </w:pPr>
      <w:r>
        <w:rPr>
          <w:rFonts w:hint="eastAsia" w:ascii="仿宋" w:hAnsi="仿宋" w:eastAsia="仿宋"/>
          <w:sz w:val="28"/>
          <w:szCs w:val="28"/>
          <w:highlight w:val="none"/>
        </w:rPr>
        <w:t>法定代表人身份证</w:t>
      </w:r>
    </w:p>
    <w:p w14:paraId="478B4640">
      <w:pPr>
        <w:spacing w:before="50" w:after="156"/>
        <w:ind w:firstLine="560"/>
        <w:jc w:val="right"/>
        <w:rPr>
          <w:rFonts w:ascii="仿宋" w:hAnsi="仿宋" w:eastAsia="仿宋"/>
          <w:sz w:val="28"/>
          <w:szCs w:val="28"/>
          <w:highlight w:val="none"/>
        </w:rPr>
      </w:pPr>
    </w:p>
    <w:p w14:paraId="64955871">
      <w:pPr>
        <w:spacing w:before="50" w:after="156"/>
        <w:ind w:firstLine="560"/>
        <w:jc w:val="right"/>
        <w:rPr>
          <w:rFonts w:ascii="仿宋" w:hAnsi="仿宋" w:eastAsia="仿宋"/>
          <w:sz w:val="28"/>
          <w:szCs w:val="28"/>
          <w:highlight w:val="none"/>
        </w:rPr>
      </w:pPr>
      <w:r>
        <w:rPr>
          <w:rFonts w:hint="eastAsia" w:ascii="仿宋" w:hAnsi="仿宋" w:eastAsia="仿宋"/>
          <w:sz w:val="28"/>
          <w:szCs w:val="28"/>
          <w:highlight w:val="none"/>
        </w:rPr>
        <w:t xml:space="preserve"> 供应商名称（公章）：</w:t>
      </w:r>
    </w:p>
    <w:p w14:paraId="6CC1603B">
      <w:pPr>
        <w:widowControl/>
        <w:jc w:val="right"/>
        <w:outlineLvl w:val="9"/>
        <w:rPr>
          <w:rFonts w:ascii="仿宋" w:hAnsi="仿宋" w:eastAsia="仿宋"/>
          <w:sz w:val="28"/>
          <w:szCs w:val="28"/>
          <w:highlight w:val="none"/>
        </w:rPr>
      </w:pPr>
      <w:r>
        <w:rPr>
          <w:rFonts w:hint="eastAsia" w:ascii="仿宋" w:hAnsi="仿宋" w:eastAsia="仿宋"/>
          <w:sz w:val="28"/>
          <w:szCs w:val="28"/>
          <w:highlight w:val="none"/>
        </w:rPr>
        <w:t xml:space="preserve"> 日期：年 月日</w:t>
      </w:r>
      <w:r>
        <w:rPr>
          <w:rFonts w:ascii="仿宋" w:hAnsi="仿宋" w:eastAsia="仿宋"/>
          <w:sz w:val="28"/>
          <w:szCs w:val="28"/>
          <w:highlight w:val="none"/>
        </w:rPr>
        <w:br w:type="page"/>
      </w:r>
    </w:p>
    <w:p w14:paraId="54780214">
      <w:pPr>
        <w:spacing w:before="50" w:afterLines="50"/>
        <w:ind w:firstLine="560" w:firstLineChars="200"/>
        <w:jc w:val="left"/>
        <w:outlineLvl w:val="9"/>
        <w:rPr>
          <w:rFonts w:ascii="仿宋" w:hAnsi="仿宋" w:eastAsia="仿宋"/>
          <w:sz w:val="28"/>
          <w:szCs w:val="28"/>
          <w:highlight w:val="none"/>
        </w:rPr>
      </w:pPr>
      <w:r>
        <w:rPr>
          <w:rFonts w:hint="eastAsia" w:ascii="仿宋" w:hAnsi="仿宋" w:eastAsia="仿宋"/>
          <w:sz w:val="28"/>
          <w:szCs w:val="28"/>
          <w:highlight w:val="none"/>
        </w:rPr>
        <w:t>（</w:t>
      </w:r>
      <w:r>
        <w:rPr>
          <w:rFonts w:hint="eastAsia" w:ascii="仿宋" w:hAnsi="仿宋" w:eastAsia="仿宋"/>
          <w:sz w:val="28"/>
          <w:szCs w:val="28"/>
          <w:highlight w:val="none"/>
          <w:lang w:val="en-US" w:eastAsia="zh-CN"/>
        </w:rPr>
        <w:t>七</w:t>
      </w:r>
      <w:r>
        <w:rPr>
          <w:rFonts w:hint="eastAsia" w:ascii="仿宋" w:hAnsi="仿宋" w:eastAsia="仿宋"/>
          <w:sz w:val="28"/>
          <w:szCs w:val="28"/>
          <w:highlight w:val="none"/>
        </w:rPr>
        <w:t>）法定代表人</w:t>
      </w:r>
      <w:r>
        <w:rPr>
          <w:rFonts w:ascii="仿宋" w:hAnsi="仿宋" w:eastAsia="仿宋"/>
          <w:sz w:val="28"/>
          <w:szCs w:val="28"/>
          <w:highlight w:val="none"/>
        </w:rPr>
        <w:t>授权</w:t>
      </w:r>
      <w:r>
        <w:rPr>
          <w:rFonts w:hint="eastAsia" w:ascii="仿宋" w:hAnsi="仿宋" w:eastAsia="仿宋"/>
          <w:sz w:val="28"/>
          <w:szCs w:val="28"/>
          <w:highlight w:val="none"/>
        </w:rPr>
        <w:t>委托</w:t>
      </w:r>
      <w:r>
        <w:rPr>
          <w:rFonts w:ascii="仿宋" w:hAnsi="仿宋" w:eastAsia="仿宋"/>
          <w:sz w:val="28"/>
          <w:szCs w:val="28"/>
          <w:highlight w:val="none"/>
        </w:rPr>
        <w:t>书</w:t>
      </w:r>
      <w:r>
        <w:rPr>
          <w:rFonts w:hint="eastAsia" w:ascii="仿宋" w:hAnsi="仿宋" w:eastAsia="仿宋"/>
          <w:sz w:val="28"/>
          <w:szCs w:val="28"/>
          <w:highlight w:val="none"/>
        </w:rPr>
        <w:t>。</w:t>
      </w:r>
    </w:p>
    <w:p w14:paraId="69FE6DDE">
      <w:pPr>
        <w:jc w:val="center"/>
        <w:outlineLvl w:val="9"/>
        <w:rPr>
          <w:rFonts w:ascii="方正小标宋简体" w:eastAsia="方正小标宋简体"/>
          <w:i/>
          <w:sz w:val="36"/>
          <w:szCs w:val="36"/>
          <w:highlight w:val="none"/>
        </w:rPr>
      </w:pPr>
      <w:r>
        <w:rPr>
          <w:rFonts w:hint="eastAsia" w:ascii="方正小标宋简体" w:eastAsia="方正小标宋简体"/>
          <w:sz w:val="36"/>
          <w:szCs w:val="36"/>
          <w:highlight w:val="none"/>
        </w:rPr>
        <w:t>法定代表人授权委托书</w:t>
      </w:r>
    </w:p>
    <w:p w14:paraId="095878D8">
      <w:pPr>
        <w:pStyle w:val="40"/>
        <w:spacing w:line="500" w:lineRule="exact"/>
        <w:ind w:firstLine="480"/>
        <w:outlineLvl w:val="9"/>
        <w:rPr>
          <w:rFonts w:ascii="仿宋" w:hAnsi="仿宋" w:eastAsia="仿宋"/>
          <w:color w:val="auto"/>
          <w:sz w:val="28"/>
          <w:szCs w:val="28"/>
          <w:highlight w:val="none"/>
        </w:rPr>
      </w:pPr>
      <w:r>
        <w:rPr>
          <w:rFonts w:hint="eastAsia" w:ascii="仿宋" w:hAnsi="仿宋" w:eastAsia="仿宋"/>
          <w:color w:val="auto"/>
          <w:sz w:val="28"/>
          <w:szCs w:val="28"/>
          <w:highlight w:val="none"/>
        </w:rPr>
        <w:t>本授权书声明：</w:t>
      </w:r>
      <w:r>
        <w:rPr>
          <w:rFonts w:hint="eastAsia" w:ascii="仿宋" w:hAnsi="仿宋" w:eastAsia="仿宋"/>
          <w:color w:val="auto"/>
          <w:sz w:val="28"/>
          <w:szCs w:val="28"/>
          <w:highlight w:val="none"/>
          <w:u w:val="single"/>
        </w:rPr>
        <w:t>______      ____</w:t>
      </w:r>
      <w:r>
        <w:rPr>
          <w:rFonts w:hint="eastAsia" w:ascii="仿宋" w:hAnsi="仿宋" w:eastAsia="仿宋"/>
          <w:color w:val="auto"/>
          <w:sz w:val="28"/>
          <w:szCs w:val="28"/>
          <w:highlight w:val="none"/>
        </w:rPr>
        <w:t>__（供应商名称）授权________________（代理人的姓名）为我方就项目名称：</w:t>
      </w:r>
      <w:r>
        <w:rPr>
          <w:rFonts w:hint="eastAsia" w:ascii="仿宋" w:hAnsi="仿宋" w:eastAsia="仿宋"/>
          <w:color w:val="auto"/>
          <w:sz w:val="28"/>
          <w:szCs w:val="28"/>
          <w:highlight w:val="none"/>
          <w:lang w:val="en-US" w:eastAsia="zh-CN"/>
        </w:rPr>
        <w:t>如皋法院无纸化数字加工服务</w:t>
      </w:r>
      <w:r>
        <w:rPr>
          <w:rFonts w:hint="eastAsia" w:ascii="仿宋" w:hAnsi="仿宋" w:eastAsia="仿宋"/>
          <w:color w:val="auto"/>
          <w:sz w:val="28"/>
          <w:szCs w:val="28"/>
          <w:highlight w:val="none"/>
        </w:rPr>
        <w:t>项目编号:</w:t>
      </w:r>
      <w:r>
        <w:rPr>
          <w:rFonts w:hint="eastAsia" w:ascii="仿宋" w:hAnsi="仿宋" w:eastAsia="仿宋"/>
          <w:color w:val="auto"/>
          <w:sz w:val="28"/>
          <w:szCs w:val="28"/>
          <w:highlight w:val="none"/>
          <w:lang w:val="en-US" w:eastAsia="zh-CN"/>
        </w:rPr>
        <w:t>JSZC-320682-NTJW-C2026-0039</w:t>
      </w:r>
      <w:r>
        <w:rPr>
          <w:rFonts w:hint="eastAsia" w:ascii="仿宋" w:hAnsi="仿宋" w:eastAsia="仿宋"/>
          <w:color w:val="auto"/>
          <w:sz w:val="28"/>
          <w:szCs w:val="28"/>
          <w:highlight w:val="none"/>
        </w:rPr>
        <w:t>采购活动的合法代理人，以本公司名义全权处理一切与该项目采购有关的事务。</w:t>
      </w:r>
    </w:p>
    <w:p w14:paraId="281CBC6C">
      <w:pPr>
        <w:pStyle w:val="40"/>
        <w:spacing w:line="500" w:lineRule="exact"/>
        <w:ind w:firstLine="480"/>
        <w:outlineLvl w:val="9"/>
        <w:rPr>
          <w:rFonts w:ascii="仿宋" w:hAnsi="仿宋" w:eastAsia="仿宋"/>
          <w:color w:val="auto"/>
          <w:sz w:val="28"/>
          <w:szCs w:val="28"/>
          <w:highlight w:val="none"/>
        </w:rPr>
      </w:pPr>
      <w:r>
        <w:rPr>
          <w:rFonts w:hint="eastAsia" w:ascii="仿宋" w:hAnsi="仿宋" w:eastAsia="仿宋"/>
          <w:color w:val="auto"/>
          <w:sz w:val="28"/>
          <w:szCs w:val="28"/>
          <w:highlight w:val="none"/>
        </w:rPr>
        <w:t>本授权书于______年____月____日起生效，特此声明。</w:t>
      </w:r>
    </w:p>
    <w:p w14:paraId="3D391D0E">
      <w:pPr>
        <w:pStyle w:val="40"/>
        <w:spacing w:line="500" w:lineRule="exact"/>
        <w:ind w:firstLine="480"/>
        <w:outlineLvl w:val="9"/>
        <w:rPr>
          <w:rFonts w:ascii="仿宋" w:hAnsi="仿宋" w:eastAsia="仿宋"/>
          <w:color w:val="auto"/>
          <w:sz w:val="28"/>
          <w:szCs w:val="28"/>
          <w:highlight w:val="none"/>
        </w:rPr>
      </w:pPr>
    </w:p>
    <w:p w14:paraId="7FEDCD48">
      <w:pPr>
        <w:pStyle w:val="40"/>
        <w:spacing w:line="500" w:lineRule="exact"/>
        <w:ind w:firstLine="480"/>
        <w:outlineLvl w:val="9"/>
        <w:rPr>
          <w:rFonts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法定代表人（签字）： </w:t>
      </w:r>
    </w:p>
    <w:p w14:paraId="29AB496C">
      <w:pPr>
        <w:pStyle w:val="40"/>
        <w:spacing w:line="500" w:lineRule="exact"/>
        <w:ind w:firstLine="480"/>
        <w:outlineLvl w:val="9"/>
        <w:rPr>
          <w:rFonts w:ascii="仿宋" w:hAnsi="仿宋" w:eastAsia="仿宋"/>
          <w:color w:val="auto"/>
          <w:sz w:val="28"/>
          <w:szCs w:val="28"/>
          <w:highlight w:val="none"/>
        </w:rPr>
      </w:pPr>
      <w:r>
        <w:rPr>
          <w:rFonts w:hint="eastAsia" w:ascii="仿宋" w:hAnsi="仿宋" w:eastAsia="仿宋"/>
          <w:color w:val="auto"/>
          <w:sz w:val="28"/>
          <w:szCs w:val="28"/>
          <w:highlight w:val="none"/>
        </w:rPr>
        <w:t>身份证号码：</w:t>
      </w:r>
    </w:p>
    <w:p w14:paraId="65B181A0">
      <w:pPr>
        <w:pStyle w:val="40"/>
        <w:spacing w:line="500" w:lineRule="exact"/>
        <w:ind w:firstLine="232" w:firstLineChars="83"/>
        <w:outlineLvl w:val="9"/>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联系电话（手机）：</w:t>
      </w:r>
    </w:p>
    <w:p w14:paraId="69B0BE47">
      <w:pPr>
        <w:pStyle w:val="40"/>
        <w:spacing w:line="500" w:lineRule="exact"/>
        <w:ind w:firstLine="480"/>
        <w:outlineLvl w:val="9"/>
        <w:rPr>
          <w:rFonts w:ascii="仿宋" w:hAnsi="仿宋" w:eastAsia="仿宋"/>
          <w:color w:val="auto"/>
          <w:sz w:val="28"/>
          <w:szCs w:val="28"/>
          <w:highlight w:val="none"/>
        </w:rPr>
      </w:pPr>
    </w:p>
    <w:p w14:paraId="6489FEE2">
      <w:pPr>
        <w:pStyle w:val="40"/>
        <w:spacing w:line="500" w:lineRule="exact"/>
        <w:ind w:firstLine="480"/>
        <w:outlineLvl w:val="9"/>
        <w:rPr>
          <w:rFonts w:ascii="仿宋" w:hAnsi="仿宋" w:eastAsia="仿宋"/>
          <w:color w:val="auto"/>
          <w:sz w:val="28"/>
          <w:szCs w:val="28"/>
          <w:highlight w:val="none"/>
        </w:rPr>
      </w:pPr>
      <w:r>
        <w:rPr>
          <w:rFonts w:hint="eastAsia" w:ascii="仿宋" w:hAnsi="仿宋" w:eastAsia="仿宋"/>
          <w:color w:val="auto"/>
          <w:sz w:val="28"/>
          <w:szCs w:val="28"/>
          <w:highlight w:val="none"/>
        </w:rPr>
        <w:t>代理人姓名：</w:t>
      </w:r>
    </w:p>
    <w:p w14:paraId="4D1FD60D">
      <w:pPr>
        <w:pStyle w:val="40"/>
        <w:spacing w:line="500" w:lineRule="exact"/>
        <w:ind w:firstLine="480"/>
        <w:outlineLvl w:val="9"/>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身份证号码：                         </w:t>
      </w:r>
    </w:p>
    <w:p w14:paraId="0251ADCD">
      <w:pPr>
        <w:pStyle w:val="40"/>
        <w:spacing w:line="500" w:lineRule="exact"/>
        <w:ind w:firstLine="480"/>
        <w:outlineLvl w:val="9"/>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联系电话（手机）：                    </w:t>
      </w:r>
    </w:p>
    <w:p w14:paraId="39362C49">
      <w:pPr>
        <w:pStyle w:val="40"/>
        <w:spacing w:line="500" w:lineRule="exact"/>
        <w:ind w:firstLine="480"/>
        <w:outlineLvl w:val="9"/>
        <w:rPr>
          <w:rFonts w:ascii="仿宋" w:hAnsi="仿宋" w:eastAsia="仿宋"/>
          <w:color w:val="auto"/>
          <w:sz w:val="28"/>
          <w:szCs w:val="28"/>
          <w:highlight w:val="none"/>
        </w:rPr>
      </w:pPr>
    </w:p>
    <w:p w14:paraId="3A1F8C8D">
      <w:pPr>
        <w:pStyle w:val="40"/>
        <w:spacing w:line="500" w:lineRule="exact"/>
        <w:ind w:firstLine="1260" w:firstLineChars="450"/>
        <w:outlineLvl w:val="9"/>
        <w:rPr>
          <w:rFonts w:ascii="仿宋" w:hAnsi="仿宋" w:eastAsia="仿宋"/>
          <w:color w:val="auto"/>
          <w:sz w:val="28"/>
          <w:szCs w:val="28"/>
          <w:highlight w:val="none"/>
        </w:rPr>
      </w:pPr>
      <w:r>
        <w:rPr>
          <w:rFonts w:hint="eastAsia" w:ascii="仿宋" w:hAnsi="仿宋" w:eastAsia="仿宋"/>
          <w:color w:val="auto"/>
          <w:sz w:val="28"/>
          <w:szCs w:val="28"/>
          <w:highlight w:val="none"/>
        </w:rPr>
        <w:t>供应商名称（加盖公章）：</w:t>
      </w:r>
    </w:p>
    <w:p w14:paraId="7A9B3C77">
      <w:pPr>
        <w:pStyle w:val="40"/>
        <w:spacing w:line="500" w:lineRule="exact"/>
        <w:ind w:firstLine="6020" w:firstLineChars="2150"/>
        <w:outlineLvl w:val="9"/>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年   月   日</w:t>
      </w:r>
    </w:p>
    <w:p w14:paraId="2D162B23">
      <w:pPr>
        <w:pStyle w:val="40"/>
        <w:spacing w:line="500" w:lineRule="exact"/>
        <w:ind w:firstLine="480"/>
        <w:outlineLvl w:val="9"/>
        <w:rPr>
          <w:rFonts w:ascii="仿宋" w:hAnsi="仿宋" w:eastAsia="仿宋"/>
          <w:color w:val="auto"/>
          <w:sz w:val="28"/>
          <w:szCs w:val="28"/>
          <w:highlight w:val="none"/>
        </w:rPr>
      </w:pPr>
      <w:bookmarkStart w:id="102" w:name="_格式3__银行出具的资信证明"/>
      <w:bookmarkEnd w:id="102"/>
      <w:bookmarkStart w:id="103" w:name="_Hlt26955070"/>
      <w:bookmarkEnd w:id="103"/>
      <w:bookmarkStart w:id="104" w:name="_Hlt26671380"/>
      <w:bookmarkEnd w:id="104"/>
    </w:p>
    <w:p w14:paraId="2935C29C">
      <w:pPr>
        <w:pStyle w:val="6"/>
        <w:spacing w:line="500" w:lineRule="exact"/>
        <w:ind w:firstLine="560"/>
        <w:outlineLvl w:val="9"/>
        <w:rPr>
          <w:rFonts w:ascii="仿宋" w:hAnsi="仿宋" w:eastAsia="仿宋"/>
          <w:sz w:val="28"/>
          <w:szCs w:val="28"/>
          <w:highlight w:val="none"/>
        </w:rPr>
      </w:pPr>
      <w:r>
        <w:rPr>
          <w:rFonts w:hint="eastAsia" w:ascii="仿宋" w:hAnsi="仿宋" w:eastAsia="仿宋"/>
          <w:sz w:val="28"/>
          <w:szCs w:val="28"/>
          <w:highlight w:val="none"/>
        </w:rPr>
        <w:t>法定代表人身份证复印件</w:t>
      </w:r>
    </w:p>
    <w:p w14:paraId="6D38CA73">
      <w:pPr>
        <w:pStyle w:val="6"/>
        <w:spacing w:line="500" w:lineRule="exact"/>
        <w:ind w:firstLine="1400" w:firstLineChars="500"/>
        <w:outlineLvl w:val="9"/>
        <w:rPr>
          <w:rFonts w:ascii="仿宋" w:hAnsi="仿宋" w:eastAsia="仿宋"/>
          <w:sz w:val="28"/>
          <w:szCs w:val="28"/>
          <w:highlight w:val="none"/>
        </w:rPr>
      </w:pPr>
    </w:p>
    <w:p w14:paraId="0F3009AE">
      <w:pPr>
        <w:pStyle w:val="6"/>
        <w:spacing w:line="500" w:lineRule="exact"/>
        <w:ind w:firstLine="560"/>
        <w:outlineLvl w:val="9"/>
        <w:rPr>
          <w:rFonts w:ascii="仿宋" w:hAnsi="仿宋" w:eastAsia="仿宋"/>
          <w:sz w:val="28"/>
          <w:szCs w:val="28"/>
          <w:highlight w:val="none"/>
        </w:rPr>
      </w:pPr>
    </w:p>
    <w:p w14:paraId="022F0095">
      <w:pPr>
        <w:pStyle w:val="6"/>
        <w:spacing w:line="500" w:lineRule="exact"/>
        <w:ind w:firstLine="490" w:firstLineChars="175"/>
        <w:outlineLvl w:val="9"/>
        <w:rPr>
          <w:rFonts w:ascii="仿宋" w:hAnsi="仿宋" w:eastAsia="仿宋"/>
          <w:sz w:val="28"/>
          <w:szCs w:val="28"/>
          <w:highlight w:val="none"/>
        </w:rPr>
      </w:pPr>
      <w:r>
        <w:rPr>
          <w:rFonts w:hint="eastAsia" w:ascii="仿宋" w:hAnsi="仿宋" w:eastAsia="仿宋"/>
          <w:sz w:val="28"/>
          <w:szCs w:val="28"/>
          <w:highlight w:val="none"/>
        </w:rPr>
        <w:t>代理人身份证复印件</w:t>
      </w:r>
    </w:p>
    <w:p w14:paraId="76DE87D0">
      <w:pPr>
        <w:pStyle w:val="6"/>
        <w:ind w:firstLineChars="175"/>
        <w:outlineLvl w:val="9"/>
        <w:rPr>
          <w:rFonts w:ascii="宋体" w:hAnsi="宋体"/>
          <w:sz w:val="24"/>
          <w:highlight w:val="none"/>
        </w:rPr>
      </w:pPr>
    </w:p>
    <w:p w14:paraId="0C6CDA98">
      <w:pPr>
        <w:spacing w:before="50" w:afterLines="50"/>
        <w:ind w:firstLine="480" w:firstLineChars="200"/>
        <w:jc w:val="left"/>
        <w:outlineLvl w:val="9"/>
        <w:rPr>
          <w:rFonts w:ascii="仿宋" w:hAnsi="仿宋" w:eastAsia="仿宋"/>
          <w:sz w:val="24"/>
          <w:highlight w:val="none"/>
        </w:rPr>
      </w:pPr>
    </w:p>
    <w:p w14:paraId="039954A4">
      <w:pPr>
        <w:spacing w:before="50" w:afterLines="50"/>
        <w:ind w:firstLine="480"/>
        <w:jc w:val="left"/>
        <w:outlineLvl w:val="9"/>
        <w:rPr>
          <w:rFonts w:ascii="仿宋" w:hAnsi="仿宋" w:eastAsia="仿宋" w:cs="Arial"/>
          <w:sz w:val="28"/>
          <w:szCs w:val="28"/>
          <w:highlight w:val="none"/>
        </w:rPr>
      </w:pPr>
      <w:r>
        <w:rPr>
          <w:rFonts w:ascii="仿宋" w:hAnsi="仿宋" w:eastAsia="仿宋"/>
          <w:bCs/>
          <w:sz w:val="28"/>
          <w:szCs w:val="28"/>
          <w:highlight w:val="none"/>
        </w:rPr>
        <w:br w:type="page"/>
      </w:r>
      <w:r>
        <w:rPr>
          <w:rFonts w:hint="eastAsia" w:ascii="仿宋" w:hAnsi="仿宋" w:eastAsia="仿宋"/>
          <w:bCs/>
          <w:sz w:val="28"/>
          <w:szCs w:val="28"/>
          <w:highlight w:val="none"/>
        </w:rPr>
        <w:t>（</w:t>
      </w:r>
      <w:r>
        <w:rPr>
          <w:rFonts w:hint="eastAsia" w:ascii="仿宋" w:hAnsi="仿宋" w:eastAsia="仿宋"/>
          <w:bCs/>
          <w:sz w:val="28"/>
          <w:szCs w:val="28"/>
          <w:highlight w:val="none"/>
          <w:lang w:val="en-US" w:eastAsia="zh-CN"/>
        </w:rPr>
        <w:t>八</w:t>
      </w:r>
      <w:r>
        <w:rPr>
          <w:rFonts w:hint="eastAsia" w:ascii="仿宋" w:hAnsi="仿宋" w:eastAsia="仿宋"/>
          <w:bCs/>
          <w:sz w:val="28"/>
          <w:szCs w:val="28"/>
          <w:highlight w:val="none"/>
        </w:rPr>
        <w:t>）</w:t>
      </w:r>
      <w:r>
        <w:rPr>
          <w:rFonts w:hint="eastAsia" w:ascii="仿宋" w:hAnsi="仿宋" w:eastAsia="仿宋" w:cs="Arial"/>
          <w:sz w:val="28"/>
          <w:szCs w:val="28"/>
          <w:highlight w:val="none"/>
        </w:rPr>
        <w:t>磋商响应函</w:t>
      </w:r>
    </w:p>
    <w:p w14:paraId="60E01A15">
      <w:pPr>
        <w:spacing w:before="50" w:afterLines="50"/>
        <w:jc w:val="center"/>
        <w:outlineLvl w:val="9"/>
        <w:rPr>
          <w:rFonts w:ascii="方正小标宋简体" w:eastAsia="方正小标宋简体"/>
          <w:sz w:val="36"/>
          <w:szCs w:val="36"/>
          <w:highlight w:val="none"/>
        </w:rPr>
      </w:pPr>
      <w:r>
        <w:rPr>
          <w:rFonts w:hint="eastAsia" w:ascii="方正小标宋简体" w:eastAsia="方正小标宋简体"/>
          <w:sz w:val="36"/>
          <w:szCs w:val="36"/>
          <w:highlight w:val="none"/>
        </w:rPr>
        <w:t>竞争性磋商响应函</w:t>
      </w:r>
    </w:p>
    <w:p w14:paraId="54151789">
      <w:pPr>
        <w:pStyle w:val="40"/>
        <w:spacing w:line="500" w:lineRule="exact"/>
        <w:outlineLvl w:val="9"/>
        <w:rPr>
          <w:rFonts w:hint="default" w:ascii="仿宋" w:hAnsi="仿宋" w:eastAsia="仿宋"/>
          <w:i w:val="0"/>
          <w:iCs w:val="0"/>
          <w:color w:val="auto"/>
          <w:sz w:val="28"/>
          <w:szCs w:val="28"/>
          <w:highlight w:val="none"/>
          <w:lang w:val="en-US" w:eastAsia="zh-CN"/>
        </w:rPr>
      </w:pPr>
      <w:r>
        <w:rPr>
          <w:rFonts w:hint="eastAsia" w:ascii="仿宋" w:hAnsi="仿宋" w:eastAsia="仿宋"/>
          <w:i w:val="0"/>
          <w:iCs w:val="0"/>
          <w:color w:val="auto"/>
          <w:sz w:val="28"/>
          <w:szCs w:val="28"/>
          <w:highlight w:val="none"/>
        </w:rPr>
        <w:t>致：</w:t>
      </w:r>
      <w:r>
        <w:rPr>
          <w:rFonts w:hint="eastAsia" w:ascii="仿宋" w:hAnsi="仿宋" w:eastAsia="仿宋"/>
          <w:i w:val="0"/>
          <w:iCs w:val="0"/>
          <w:color w:val="auto"/>
          <w:sz w:val="28"/>
          <w:szCs w:val="28"/>
          <w:highlight w:val="none"/>
          <w:lang w:val="en-US" w:eastAsia="zh-CN"/>
        </w:rPr>
        <w:t>如皋市人民法院</w:t>
      </w:r>
    </w:p>
    <w:p w14:paraId="086EB726">
      <w:pPr>
        <w:pStyle w:val="40"/>
        <w:spacing w:line="500" w:lineRule="exact"/>
        <w:ind w:firstLine="560" w:firstLineChars="200"/>
        <w:outlineLvl w:val="9"/>
        <w:rPr>
          <w:rFonts w:ascii="仿宋" w:hAnsi="仿宋" w:eastAsia="仿宋"/>
          <w:color w:val="auto"/>
          <w:sz w:val="28"/>
          <w:szCs w:val="28"/>
          <w:highlight w:val="none"/>
        </w:rPr>
      </w:pPr>
      <w:r>
        <w:rPr>
          <w:rFonts w:hint="eastAsia" w:ascii="仿宋" w:hAnsi="仿宋" w:eastAsia="仿宋"/>
          <w:i w:val="0"/>
          <w:iCs w:val="0"/>
          <w:color w:val="auto"/>
          <w:sz w:val="28"/>
          <w:szCs w:val="28"/>
          <w:highlight w:val="none"/>
        </w:rPr>
        <w:t>根据贵方的</w:t>
      </w:r>
      <w:r>
        <w:rPr>
          <w:rFonts w:hint="eastAsia" w:ascii="仿宋" w:hAnsi="仿宋" w:eastAsia="仿宋"/>
          <w:i w:val="0"/>
          <w:iCs w:val="0"/>
          <w:color w:val="auto"/>
          <w:sz w:val="28"/>
          <w:szCs w:val="28"/>
          <w:highlight w:val="none"/>
          <w:u w:val="single"/>
          <w:lang w:val="en-US" w:eastAsia="zh-CN"/>
        </w:rPr>
        <w:t>如皋法院无纸化数字加工服务</w:t>
      </w:r>
      <w:r>
        <w:rPr>
          <w:rFonts w:hint="eastAsia" w:ascii="仿宋" w:hAnsi="仿宋" w:eastAsia="仿宋"/>
          <w:i w:val="0"/>
          <w:iCs w:val="0"/>
          <w:color w:val="auto"/>
          <w:sz w:val="28"/>
          <w:szCs w:val="28"/>
          <w:highlight w:val="none"/>
        </w:rPr>
        <w:t>（项目编号：</w:t>
      </w:r>
      <w:r>
        <w:rPr>
          <w:rFonts w:hint="eastAsia" w:ascii="仿宋" w:hAnsi="仿宋" w:eastAsia="仿宋"/>
          <w:i w:val="0"/>
          <w:iCs w:val="0"/>
          <w:color w:val="auto"/>
          <w:sz w:val="28"/>
          <w:szCs w:val="28"/>
          <w:highlight w:val="none"/>
          <w:lang w:val="en-US" w:eastAsia="zh-CN"/>
        </w:rPr>
        <w:t>JSZC-320682-NTJW-C2026-0039</w:t>
      </w:r>
      <w:r>
        <w:rPr>
          <w:rFonts w:hint="eastAsia" w:ascii="仿宋" w:hAnsi="仿宋" w:eastAsia="仿宋"/>
          <w:i w:val="0"/>
          <w:iCs w:val="0"/>
          <w:color w:val="auto"/>
          <w:sz w:val="28"/>
          <w:szCs w:val="28"/>
          <w:highlight w:val="none"/>
        </w:rPr>
        <w:t>）竞争性磋商文件，正式授权下述签字人_________ (姓名和职务)代表我方_____</w:t>
      </w:r>
      <w:r>
        <w:rPr>
          <w:rFonts w:hint="eastAsia" w:ascii="仿宋" w:hAnsi="仿宋" w:eastAsia="仿宋"/>
          <w:color w:val="auto"/>
          <w:sz w:val="28"/>
          <w:szCs w:val="28"/>
          <w:highlight w:val="none"/>
        </w:rPr>
        <w:t>_________（供应商的名称），全权处理本次项目磋商采购的有关事宜。</w:t>
      </w:r>
    </w:p>
    <w:p w14:paraId="4B3E357E">
      <w:pPr>
        <w:pStyle w:val="40"/>
        <w:spacing w:line="500" w:lineRule="exact"/>
        <w:ind w:firstLine="560" w:firstLineChars="200"/>
        <w:outlineLvl w:val="9"/>
        <w:rPr>
          <w:rFonts w:ascii="仿宋" w:hAnsi="仿宋" w:eastAsia="仿宋"/>
          <w:color w:val="auto"/>
          <w:sz w:val="28"/>
          <w:szCs w:val="28"/>
          <w:highlight w:val="none"/>
        </w:rPr>
      </w:pPr>
      <w:r>
        <w:rPr>
          <w:rFonts w:hint="eastAsia" w:ascii="仿宋" w:hAnsi="仿宋" w:eastAsia="仿宋"/>
          <w:color w:val="auto"/>
          <w:sz w:val="28"/>
          <w:szCs w:val="28"/>
          <w:highlight w:val="none"/>
        </w:rPr>
        <w:t>据此函，__________（签字人）兹宣布同意如下：</w:t>
      </w:r>
    </w:p>
    <w:p w14:paraId="57E945BB">
      <w:pPr>
        <w:pStyle w:val="40"/>
        <w:spacing w:line="500" w:lineRule="exact"/>
        <w:ind w:firstLine="560" w:firstLineChars="200"/>
        <w:outlineLvl w:val="9"/>
        <w:rPr>
          <w:rFonts w:ascii="仿宋" w:hAnsi="仿宋" w:eastAsia="仿宋"/>
          <w:color w:val="auto"/>
          <w:sz w:val="28"/>
          <w:szCs w:val="28"/>
          <w:highlight w:val="none"/>
        </w:rPr>
      </w:pPr>
      <w:r>
        <w:rPr>
          <w:rFonts w:hint="eastAsia" w:ascii="仿宋" w:hAnsi="仿宋" w:eastAsia="仿宋"/>
          <w:color w:val="auto"/>
          <w:sz w:val="28"/>
          <w:szCs w:val="28"/>
          <w:highlight w:val="none"/>
        </w:rPr>
        <w:t>1.按磋商文件规定的各项要求，向买方提供所需货物、服务。</w:t>
      </w:r>
    </w:p>
    <w:p w14:paraId="4FCC8284">
      <w:pPr>
        <w:pStyle w:val="40"/>
        <w:spacing w:line="500" w:lineRule="exact"/>
        <w:ind w:firstLine="560" w:firstLineChars="200"/>
        <w:outlineLvl w:val="9"/>
        <w:rPr>
          <w:rFonts w:ascii="仿宋" w:hAnsi="仿宋" w:eastAsia="仿宋"/>
          <w:color w:val="auto"/>
          <w:sz w:val="28"/>
          <w:szCs w:val="28"/>
          <w:highlight w:val="none"/>
        </w:rPr>
      </w:pPr>
      <w:r>
        <w:rPr>
          <w:rFonts w:hint="eastAsia" w:ascii="仿宋" w:hAnsi="仿宋" w:eastAsia="仿宋"/>
          <w:color w:val="auto"/>
          <w:sz w:val="28"/>
          <w:szCs w:val="28"/>
          <w:highlight w:val="none"/>
        </w:rPr>
        <w:t>2.我们已详细审核全部磋商文件及其有效补充文件，我们知道必须放弃提出含糊不清或误解问题的权利。</w:t>
      </w:r>
    </w:p>
    <w:p w14:paraId="48CE5E26">
      <w:pPr>
        <w:pStyle w:val="40"/>
        <w:spacing w:line="500" w:lineRule="exact"/>
        <w:ind w:firstLine="560" w:firstLineChars="200"/>
        <w:outlineLvl w:val="9"/>
        <w:rPr>
          <w:rFonts w:ascii="仿宋" w:hAnsi="仿宋" w:eastAsia="仿宋"/>
          <w:color w:val="auto"/>
          <w:sz w:val="28"/>
          <w:szCs w:val="28"/>
          <w:highlight w:val="none"/>
        </w:rPr>
      </w:pPr>
      <w:r>
        <w:rPr>
          <w:rFonts w:hint="eastAsia" w:ascii="仿宋" w:hAnsi="仿宋" w:eastAsia="仿宋"/>
          <w:color w:val="auto"/>
          <w:sz w:val="28"/>
          <w:szCs w:val="28"/>
          <w:highlight w:val="none"/>
        </w:rPr>
        <w:t>3.我们同意从规定的响应文件接收截止时间起遵循本响应文件，并在规定的磋商有效期期满之前均具有约束力。</w:t>
      </w:r>
    </w:p>
    <w:p w14:paraId="2F78D6DE">
      <w:pPr>
        <w:pStyle w:val="40"/>
        <w:spacing w:line="500" w:lineRule="exact"/>
        <w:ind w:firstLine="560" w:firstLineChars="200"/>
        <w:outlineLvl w:val="9"/>
        <w:rPr>
          <w:rFonts w:ascii="仿宋" w:hAnsi="仿宋" w:eastAsia="仿宋"/>
          <w:color w:val="auto"/>
          <w:sz w:val="28"/>
          <w:szCs w:val="28"/>
          <w:highlight w:val="none"/>
        </w:rPr>
      </w:pPr>
      <w:r>
        <w:rPr>
          <w:rFonts w:hint="eastAsia" w:ascii="仿宋" w:hAnsi="仿宋" w:eastAsia="仿宋"/>
          <w:color w:val="auto"/>
          <w:sz w:val="28"/>
          <w:szCs w:val="28"/>
          <w:highlight w:val="none"/>
        </w:rPr>
        <w:t>4.同意向贵方提供贵方可能另外要求的与竞争性磋商活动有关的任何证据或资料，并保证我方已提供和将要提供的文件是真实的、准确的。</w:t>
      </w:r>
    </w:p>
    <w:p w14:paraId="26906342">
      <w:pPr>
        <w:pStyle w:val="40"/>
        <w:spacing w:line="500" w:lineRule="exact"/>
        <w:ind w:firstLine="560" w:firstLineChars="200"/>
        <w:outlineLvl w:val="9"/>
        <w:rPr>
          <w:rFonts w:ascii="仿宋" w:hAnsi="仿宋" w:eastAsia="仿宋"/>
          <w:color w:val="auto"/>
          <w:sz w:val="28"/>
          <w:szCs w:val="28"/>
          <w:highlight w:val="none"/>
        </w:rPr>
      </w:pPr>
      <w:r>
        <w:rPr>
          <w:rFonts w:hint="eastAsia" w:ascii="仿宋" w:hAnsi="仿宋" w:eastAsia="仿宋"/>
          <w:color w:val="auto"/>
          <w:sz w:val="28"/>
          <w:szCs w:val="28"/>
          <w:highlight w:val="none"/>
        </w:rPr>
        <w:t>5.如果我方成交，我方将在法定期限内签订合同，否则将承担相应法律责任。</w:t>
      </w:r>
    </w:p>
    <w:p w14:paraId="62DEEE3F">
      <w:pPr>
        <w:pStyle w:val="40"/>
        <w:spacing w:line="500" w:lineRule="exact"/>
        <w:ind w:firstLine="560" w:firstLineChars="200"/>
        <w:outlineLvl w:val="9"/>
        <w:rPr>
          <w:rFonts w:ascii="仿宋" w:hAnsi="仿宋" w:eastAsia="仿宋"/>
          <w:color w:val="auto"/>
          <w:sz w:val="28"/>
          <w:szCs w:val="28"/>
          <w:highlight w:val="none"/>
        </w:rPr>
      </w:pPr>
      <w:r>
        <w:rPr>
          <w:rFonts w:hint="eastAsia" w:ascii="仿宋" w:hAnsi="仿宋" w:eastAsia="仿宋"/>
          <w:color w:val="auto"/>
          <w:sz w:val="28"/>
          <w:szCs w:val="28"/>
          <w:highlight w:val="none"/>
        </w:rPr>
        <w:t>6.我方将根据竞争性磋商文件的规定，严格履行合同的责任和义务，并保证在磋商文件规定的时间完成项目。</w:t>
      </w:r>
    </w:p>
    <w:p w14:paraId="7FE6A96C">
      <w:pPr>
        <w:pStyle w:val="40"/>
        <w:spacing w:line="500" w:lineRule="exact"/>
        <w:ind w:firstLine="560" w:firstLineChars="200"/>
        <w:outlineLvl w:val="9"/>
        <w:rPr>
          <w:rFonts w:ascii="仿宋" w:hAnsi="仿宋" w:eastAsia="仿宋"/>
          <w:color w:val="auto"/>
          <w:sz w:val="28"/>
          <w:szCs w:val="28"/>
          <w:highlight w:val="none"/>
        </w:rPr>
      </w:pPr>
      <w:r>
        <w:rPr>
          <w:rFonts w:hint="eastAsia" w:ascii="仿宋" w:hAnsi="仿宋" w:eastAsia="仿宋"/>
          <w:color w:val="auto"/>
          <w:sz w:val="28"/>
          <w:szCs w:val="28"/>
          <w:highlight w:val="none"/>
        </w:rPr>
        <w:t>7.遵守竞争性磋商文件中要求的收费项目和标准。</w:t>
      </w:r>
    </w:p>
    <w:p w14:paraId="7B95257C">
      <w:pPr>
        <w:pStyle w:val="40"/>
        <w:spacing w:line="500" w:lineRule="exact"/>
        <w:ind w:firstLine="560" w:firstLineChars="200"/>
        <w:outlineLvl w:val="9"/>
        <w:rPr>
          <w:rFonts w:ascii="仿宋" w:hAnsi="仿宋" w:eastAsia="仿宋"/>
          <w:color w:val="auto"/>
          <w:sz w:val="28"/>
          <w:szCs w:val="28"/>
          <w:highlight w:val="none"/>
        </w:rPr>
      </w:pPr>
      <w:r>
        <w:rPr>
          <w:rFonts w:hint="eastAsia" w:ascii="仿宋" w:hAnsi="仿宋" w:eastAsia="仿宋"/>
          <w:color w:val="auto"/>
          <w:sz w:val="28"/>
          <w:szCs w:val="28"/>
          <w:highlight w:val="none"/>
        </w:rPr>
        <w:t>8.与本次竞争性磋商活动有关的正式通讯地址为：</w:t>
      </w:r>
    </w:p>
    <w:p w14:paraId="6E705EDD">
      <w:pPr>
        <w:pStyle w:val="40"/>
        <w:spacing w:line="500" w:lineRule="exact"/>
        <w:outlineLvl w:val="9"/>
        <w:rPr>
          <w:rFonts w:ascii="仿宋" w:hAnsi="仿宋" w:eastAsia="仿宋"/>
          <w:color w:val="auto"/>
          <w:sz w:val="28"/>
          <w:szCs w:val="28"/>
          <w:highlight w:val="none"/>
        </w:rPr>
      </w:pPr>
      <w:r>
        <w:rPr>
          <w:rFonts w:hint="eastAsia" w:ascii="仿宋" w:hAnsi="仿宋" w:eastAsia="仿宋"/>
          <w:color w:val="auto"/>
          <w:sz w:val="28"/>
          <w:szCs w:val="28"/>
          <w:highlight w:val="none"/>
        </w:rPr>
        <w:t>地 址：                         邮 编：</w:t>
      </w:r>
    </w:p>
    <w:p w14:paraId="606D2837">
      <w:pPr>
        <w:pStyle w:val="40"/>
        <w:spacing w:line="500" w:lineRule="exact"/>
        <w:outlineLvl w:val="9"/>
        <w:rPr>
          <w:rFonts w:ascii="仿宋" w:hAnsi="仿宋" w:eastAsia="仿宋"/>
          <w:color w:val="auto"/>
          <w:sz w:val="28"/>
          <w:szCs w:val="28"/>
          <w:highlight w:val="none"/>
        </w:rPr>
      </w:pPr>
      <w:r>
        <w:rPr>
          <w:rFonts w:hint="eastAsia" w:ascii="仿宋" w:hAnsi="仿宋" w:eastAsia="仿宋"/>
          <w:color w:val="auto"/>
          <w:sz w:val="28"/>
          <w:szCs w:val="28"/>
          <w:highlight w:val="none"/>
        </w:rPr>
        <w:t>电 话：                         传 真：</w:t>
      </w:r>
    </w:p>
    <w:p w14:paraId="7120FE08">
      <w:pPr>
        <w:pStyle w:val="40"/>
        <w:spacing w:line="500" w:lineRule="exact"/>
        <w:outlineLvl w:val="9"/>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供应商开户行：                  账 户： </w:t>
      </w:r>
    </w:p>
    <w:p w14:paraId="3C48BC04">
      <w:pPr>
        <w:pStyle w:val="40"/>
        <w:spacing w:line="500" w:lineRule="exact"/>
        <w:outlineLvl w:val="9"/>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供应商名称（公章）：            </w:t>
      </w:r>
    </w:p>
    <w:p w14:paraId="243C271C">
      <w:pPr>
        <w:pStyle w:val="40"/>
        <w:spacing w:line="500" w:lineRule="exact"/>
        <w:outlineLvl w:val="9"/>
        <w:rPr>
          <w:rFonts w:ascii="仿宋" w:hAnsi="仿宋" w:eastAsia="仿宋"/>
          <w:color w:val="auto"/>
          <w:sz w:val="28"/>
          <w:szCs w:val="28"/>
          <w:highlight w:val="none"/>
        </w:rPr>
      </w:pPr>
      <w:r>
        <w:rPr>
          <w:rFonts w:hint="eastAsia" w:ascii="仿宋" w:hAnsi="仿宋" w:eastAsia="仿宋"/>
          <w:color w:val="auto"/>
          <w:sz w:val="28"/>
          <w:szCs w:val="28"/>
          <w:highlight w:val="none"/>
        </w:rPr>
        <w:t>日 期：________年____月____日</w:t>
      </w:r>
    </w:p>
    <w:p w14:paraId="42A52E22">
      <w:pPr>
        <w:ind w:firstLine="560" w:firstLineChars="200"/>
        <w:outlineLvl w:val="9"/>
        <w:rPr>
          <w:rFonts w:ascii="仿宋" w:hAnsi="仿宋" w:eastAsia="仿宋"/>
          <w:b/>
          <w:sz w:val="28"/>
          <w:szCs w:val="28"/>
          <w:highlight w:val="none"/>
        </w:rPr>
      </w:pPr>
      <w:r>
        <w:rPr>
          <w:rFonts w:ascii="仿宋" w:hAnsi="仿宋" w:eastAsia="仿宋"/>
          <w:bCs/>
          <w:sz w:val="28"/>
          <w:szCs w:val="28"/>
          <w:highlight w:val="none"/>
        </w:rPr>
        <w:br w:type="page"/>
      </w:r>
      <w:r>
        <w:rPr>
          <w:rFonts w:hint="eastAsia" w:ascii="仿宋" w:hAnsi="仿宋" w:eastAsia="仿宋"/>
          <w:b/>
          <w:sz w:val="28"/>
          <w:szCs w:val="28"/>
          <w:highlight w:val="none"/>
        </w:rPr>
        <w:t>注意：以上资格证明文件中要求加盖公章的，必须加盖公章；如供应商组成联合体参加磋商，则联合体各方均须加盖公章，否则视为无效磋商响应文件。</w:t>
      </w:r>
    </w:p>
    <w:p w14:paraId="68390802">
      <w:pPr>
        <w:ind w:firstLine="560" w:firstLineChars="200"/>
        <w:outlineLvl w:val="1"/>
        <w:rPr>
          <w:rFonts w:ascii="黑体" w:hAnsi="黑体" w:eastAsia="黑体"/>
          <w:bCs/>
          <w:sz w:val="28"/>
          <w:szCs w:val="28"/>
          <w:highlight w:val="none"/>
        </w:rPr>
      </w:pPr>
      <w:r>
        <w:rPr>
          <w:rFonts w:ascii="黑体" w:hAnsi="黑体" w:eastAsia="黑体"/>
          <w:sz w:val="28"/>
          <w:szCs w:val="28"/>
          <w:highlight w:val="none"/>
        </w:rPr>
        <w:br w:type="page"/>
      </w:r>
      <w:bookmarkStart w:id="105" w:name="_Toc9779"/>
      <w:r>
        <w:rPr>
          <w:rFonts w:hint="eastAsia" w:ascii="黑体" w:hAnsi="黑体" w:eastAsia="黑体"/>
          <w:sz w:val="28"/>
          <w:szCs w:val="28"/>
          <w:highlight w:val="none"/>
        </w:rPr>
        <w:t>二、商务技术文件</w:t>
      </w:r>
      <w:bookmarkEnd w:id="105"/>
    </w:p>
    <w:p w14:paraId="4F9596D0">
      <w:pPr>
        <w:ind w:firstLine="560" w:firstLineChars="200"/>
        <w:outlineLvl w:val="9"/>
        <w:rPr>
          <w:rFonts w:ascii="仿宋" w:hAnsi="仿宋" w:eastAsia="仿宋"/>
          <w:bCs/>
          <w:sz w:val="28"/>
          <w:szCs w:val="28"/>
          <w:highlight w:val="none"/>
        </w:rPr>
      </w:pPr>
      <w:r>
        <w:rPr>
          <w:rFonts w:hint="eastAsia" w:ascii="仿宋" w:hAnsi="仿宋" w:eastAsia="仿宋"/>
          <w:sz w:val="28"/>
          <w:szCs w:val="28"/>
          <w:highlight w:val="none"/>
        </w:rPr>
        <w:t>（一）</w:t>
      </w:r>
      <w:r>
        <w:rPr>
          <w:rFonts w:hint="eastAsia" w:ascii="仿宋" w:hAnsi="仿宋" w:eastAsia="仿宋"/>
          <w:bCs/>
          <w:sz w:val="28"/>
          <w:szCs w:val="28"/>
          <w:highlight w:val="none"/>
        </w:rPr>
        <w:t>符合服务要求的相关证明材料</w:t>
      </w:r>
    </w:p>
    <w:p w14:paraId="1784EC26">
      <w:pPr>
        <w:ind w:firstLine="562" w:firstLineChars="200"/>
        <w:outlineLvl w:val="9"/>
        <w:rPr>
          <w:rFonts w:hint="eastAsia" w:ascii="仿宋" w:hAnsi="仿宋" w:eastAsia="仿宋"/>
          <w:bCs/>
          <w:sz w:val="28"/>
          <w:szCs w:val="28"/>
          <w:highlight w:val="none"/>
        </w:rPr>
      </w:pPr>
      <w:r>
        <w:rPr>
          <w:rFonts w:hint="eastAsia" w:ascii="仿宋" w:hAnsi="仿宋" w:eastAsia="仿宋" w:cs="Times New Roman"/>
          <w:b/>
          <w:bCs/>
          <w:sz w:val="28"/>
          <w:szCs w:val="28"/>
          <w:highlight w:val="none"/>
        </w:rPr>
        <w:t>响应供应商投入本项目的人员不少于12人，且为响应供应商的正式员工。</w:t>
      </w:r>
      <w:r>
        <w:rPr>
          <w:rFonts w:hint="eastAsia" w:ascii="仿宋" w:hAnsi="仿宋" w:eastAsia="仿宋" w:cs="Times New Roman"/>
          <w:b/>
          <w:bCs/>
          <w:sz w:val="28"/>
          <w:szCs w:val="28"/>
          <w:highlight w:val="none"/>
          <w:lang w:val="en-US" w:eastAsia="zh-CN"/>
        </w:rPr>
        <w:t>响应文件中</w:t>
      </w:r>
      <w:r>
        <w:rPr>
          <w:rFonts w:hint="eastAsia" w:ascii="仿宋" w:hAnsi="仿宋" w:eastAsia="仿宋" w:cs="Times New Roman"/>
          <w:b/>
          <w:bCs/>
          <w:sz w:val="28"/>
          <w:szCs w:val="28"/>
          <w:highlight w:val="none"/>
        </w:rPr>
        <w:t>须提供人员简历表、有效身份证的复印件(正、反面)和响应文件提交截止日前近</w:t>
      </w:r>
      <w:r>
        <w:rPr>
          <w:rFonts w:hint="eastAsia" w:ascii="仿宋" w:hAnsi="仿宋" w:eastAsia="仿宋" w:cs="Times New Roman"/>
          <w:b/>
          <w:bCs/>
          <w:sz w:val="28"/>
          <w:szCs w:val="28"/>
          <w:highlight w:val="none"/>
          <w:lang w:val="en-US" w:eastAsia="zh-CN"/>
        </w:rPr>
        <w:t>1</w:t>
      </w:r>
      <w:r>
        <w:rPr>
          <w:rFonts w:hint="eastAsia" w:ascii="仿宋" w:hAnsi="仿宋" w:eastAsia="仿宋" w:cs="Times New Roman"/>
          <w:b/>
          <w:bCs/>
          <w:sz w:val="28"/>
          <w:szCs w:val="28"/>
          <w:highlight w:val="none"/>
        </w:rPr>
        <w:t>个月供应商为其缴纳的社保证明。响应文件提交截止日前</w:t>
      </w:r>
      <w:r>
        <w:rPr>
          <w:rFonts w:hint="eastAsia" w:ascii="仿宋" w:hAnsi="仿宋" w:eastAsia="仿宋" w:cs="Times New Roman"/>
          <w:b/>
          <w:bCs/>
          <w:sz w:val="28"/>
          <w:szCs w:val="28"/>
          <w:highlight w:val="none"/>
          <w:lang w:val="en-US" w:eastAsia="zh-CN"/>
        </w:rPr>
        <w:t>入职不足1个月人员须提供劳动合同。</w:t>
      </w:r>
      <w:r>
        <w:rPr>
          <w:rFonts w:hint="eastAsia" w:ascii="仿宋" w:hAnsi="仿宋" w:eastAsia="仿宋" w:cs="Times New Roman"/>
          <w:b/>
          <w:bCs/>
          <w:sz w:val="28"/>
          <w:szCs w:val="28"/>
          <w:highlight w:val="none"/>
        </w:rPr>
        <w:t>响应文件提交截止日前成立不足</w:t>
      </w:r>
      <w:r>
        <w:rPr>
          <w:rFonts w:hint="eastAsia" w:ascii="仿宋" w:hAnsi="仿宋" w:eastAsia="仿宋" w:cs="Times New Roman"/>
          <w:b/>
          <w:bCs/>
          <w:sz w:val="28"/>
          <w:szCs w:val="28"/>
          <w:highlight w:val="none"/>
          <w:lang w:val="en-US" w:eastAsia="zh-CN"/>
        </w:rPr>
        <w:t>3</w:t>
      </w:r>
      <w:r>
        <w:rPr>
          <w:rFonts w:hint="eastAsia" w:ascii="仿宋" w:hAnsi="仿宋" w:eastAsia="仿宋" w:cs="Times New Roman"/>
          <w:b/>
          <w:bCs/>
          <w:sz w:val="28"/>
          <w:szCs w:val="28"/>
          <w:highlight w:val="none"/>
        </w:rPr>
        <w:t>个月的新办企业只须提供社保缴纳名册（名册中包含投入本项目的人员）；新成立企业距响应文件提交截止日不足30日的，可不提供社保证明材料（以新办企业营业执照发放日期为准）</w:t>
      </w:r>
      <w:r>
        <w:rPr>
          <w:rFonts w:hint="eastAsia" w:ascii="仿宋" w:hAnsi="仿宋" w:eastAsia="仿宋" w:cs="Times New Roman"/>
          <w:b/>
          <w:bCs/>
          <w:sz w:val="28"/>
          <w:szCs w:val="28"/>
          <w:highlight w:val="none"/>
          <w:lang w:eastAsia="zh-CN"/>
        </w:rPr>
        <w:t>，</w:t>
      </w:r>
      <w:r>
        <w:rPr>
          <w:rFonts w:hint="eastAsia" w:ascii="仿宋" w:hAnsi="仿宋" w:eastAsia="仿宋" w:cs="Times New Roman"/>
          <w:b/>
          <w:bCs/>
          <w:sz w:val="28"/>
          <w:szCs w:val="28"/>
          <w:highlight w:val="none"/>
          <w:lang w:val="en-US" w:eastAsia="zh-CN"/>
        </w:rPr>
        <w:t>未提供视为无效响应</w:t>
      </w:r>
      <w:r>
        <w:rPr>
          <w:rFonts w:hint="eastAsia" w:ascii="仿宋" w:hAnsi="仿宋" w:eastAsia="仿宋" w:cs="Times New Roman"/>
          <w:b/>
          <w:bCs/>
          <w:sz w:val="28"/>
          <w:szCs w:val="28"/>
          <w:highlight w:val="none"/>
          <w:lang w:eastAsia="zh-CN"/>
        </w:rPr>
        <w:t>。</w:t>
      </w:r>
    </w:p>
    <w:p w14:paraId="0A0C952C">
      <w:pPr>
        <w:ind w:firstLine="560" w:firstLineChars="200"/>
        <w:outlineLvl w:val="9"/>
        <w:rPr>
          <w:rFonts w:ascii="仿宋" w:hAnsi="仿宋" w:eastAsia="仿宋"/>
          <w:bCs/>
          <w:sz w:val="28"/>
          <w:szCs w:val="28"/>
          <w:highlight w:val="none"/>
        </w:rPr>
      </w:pPr>
      <w:r>
        <w:rPr>
          <w:rFonts w:hint="eastAsia" w:ascii="仿宋" w:hAnsi="仿宋" w:eastAsia="仿宋"/>
          <w:bCs/>
          <w:sz w:val="28"/>
          <w:szCs w:val="28"/>
          <w:highlight w:val="none"/>
        </w:rPr>
        <w:t>（</w:t>
      </w:r>
      <w:r>
        <w:rPr>
          <w:rFonts w:hint="eastAsia" w:ascii="仿宋" w:hAnsi="仿宋" w:eastAsia="仿宋"/>
          <w:bCs/>
          <w:sz w:val="28"/>
          <w:szCs w:val="28"/>
          <w:highlight w:val="none"/>
          <w:lang w:val="en-US" w:eastAsia="zh-CN"/>
        </w:rPr>
        <w:t>二</w:t>
      </w:r>
      <w:r>
        <w:rPr>
          <w:rFonts w:hint="eastAsia" w:ascii="仿宋" w:hAnsi="仿宋" w:eastAsia="仿宋"/>
          <w:bCs/>
          <w:sz w:val="28"/>
          <w:szCs w:val="28"/>
          <w:highlight w:val="none"/>
        </w:rPr>
        <w:t>）商务部分正负偏离表</w:t>
      </w:r>
    </w:p>
    <w:p w14:paraId="5BD741FD">
      <w:pPr>
        <w:jc w:val="center"/>
        <w:outlineLvl w:val="9"/>
        <w:rPr>
          <w:rFonts w:ascii="方正小标宋简体" w:hAnsi="宋体" w:eastAsia="方正小标宋简体"/>
          <w:sz w:val="32"/>
          <w:szCs w:val="32"/>
          <w:highlight w:val="none"/>
        </w:rPr>
      </w:pPr>
      <w:r>
        <w:rPr>
          <w:rFonts w:hint="eastAsia" w:ascii="方正小标宋简体" w:hAnsi="宋体" w:eastAsia="方正小标宋简体"/>
          <w:sz w:val="32"/>
          <w:szCs w:val="32"/>
          <w:highlight w:val="none"/>
        </w:rPr>
        <w:t>商务部分正负偏离表</w:t>
      </w:r>
    </w:p>
    <w:tbl>
      <w:tblPr>
        <w:tblStyle w:val="19"/>
        <w:tblW w:w="5000"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689"/>
        <w:gridCol w:w="834"/>
        <w:gridCol w:w="3851"/>
        <w:gridCol w:w="1751"/>
        <w:gridCol w:w="1808"/>
        <w:gridCol w:w="637"/>
      </w:tblGrid>
      <w:tr w14:paraId="6196DD3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c>
          <w:tcPr>
            <w:tcW w:w="689" w:type="dxa"/>
            <w:tcBorders>
              <w:top w:val="single" w:color="auto" w:sz="4" w:space="0"/>
              <w:left w:val="single" w:color="auto" w:sz="4" w:space="0"/>
              <w:bottom w:val="single" w:color="auto" w:sz="4" w:space="0"/>
              <w:right w:val="single" w:color="auto" w:sz="4" w:space="0"/>
            </w:tcBorders>
            <w:vAlign w:val="center"/>
          </w:tcPr>
          <w:p w14:paraId="6BE4C6D0">
            <w:pPr>
              <w:keepNext w:val="0"/>
              <w:keepLines w:val="0"/>
              <w:pageBreakBefore w:val="0"/>
              <w:widowControl w:val="0"/>
              <w:kinsoku/>
              <w:wordWrap/>
              <w:overflowPunct/>
              <w:topLinePunct w:val="0"/>
              <w:autoSpaceDE/>
              <w:autoSpaceDN/>
              <w:bidi w:val="0"/>
              <w:adjustRightInd/>
              <w:snapToGrid w:val="0"/>
              <w:ind w:left="0"/>
              <w:jc w:val="center"/>
              <w:textAlignment w:val="auto"/>
              <w:outlineLvl w:val="9"/>
              <w:rPr>
                <w:rFonts w:ascii="仿宋" w:hAnsi="仿宋" w:eastAsia="仿宋"/>
                <w:sz w:val="24"/>
                <w:szCs w:val="24"/>
                <w:highlight w:val="none"/>
              </w:rPr>
            </w:pPr>
            <w:r>
              <w:rPr>
                <w:rFonts w:hint="eastAsia" w:ascii="仿宋" w:hAnsi="仿宋" w:eastAsia="仿宋"/>
                <w:sz w:val="24"/>
                <w:szCs w:val="24"/>
                <w:highlight w:val="none"/>
              </w:rPr>
              <w:t>序号</w:t>
            </w:r>
          </w:p>
        </w:tc>
        <w:tc>
          <w:tcPr>
            <w:tcW w:w="834" w:type="dxa"/>
            <w:tcBorders>
              <w:top w:val="single" w:color="auto" w:sz="4" w:space="0"/>
              <w:left w:val="single" w:color="auto" w:sz="4" w:space="0"/>
              <w:bottom w:val="single" w:color="auto" w:sz="4" w:space="0"/>
              <w:right w:val="single" w:color="auto" w:sz="4" w:space="0"/>
            </w:tcBorders>
            <w:vAlign w:val="center"/>
          </w:tcPr>
          <w:p w14:paraId="009F6847">
            <w:pPr>
              <w:keepNext w:val="0"/>
              <w:keepLines w:val="0"/>
              <w:pageBreakBefore w:val="0"/>
              <w:widowControl w:val="0"/>
              <w:kinsoku/>
              <w:wordWrap/>
              <w:overflowPunct/>
              <w:topLinePunct w:val="0"/>
              <w:autoSpaceDE/>
              <w:autoSpaceDN/>
              <w:bidi w:val="0"/>
              <w:adjustRightInd/>
              <w:snapToGrid w:val="0"/>
              <w:ind w:left="0"/>
              <w:jc w:val="center"/>
              <w:textAlignment w:val="auto"/>
              <w:outlineLvl w:val="9"/>
              <w:rPr>
                <w:rFonts w:ascii="仿宋" w:hAnsi="仿宋" w:eastAsia="仿宋"/>
                <w:sz w:val="24"/>
                <w:szCs w:val="24"/>
                <w:highlight w:val="none"/>
              </w:rPr>
            </w:pPr>
            <w:r>
              <w:rPr>
                <w:rFonts w:hint="eastAsia" w:ascii="仿宋" w:hAnsi="仿宋" w:eastAsia="仿宋"/>
                <w:sz w:val="24"/>
                <w:szCs w:val="24"/>
                <w:highlight w:val="none"/>
              </w:rPr>
              <w:t>商务条款</w:t>
            </w:r>
          </w:p>
        </w:tc>
        <w:tc>
          <w:tcPr>
            <w:tcW w:w="3851" w:type="dxa"/>
            <w:tcBorders>
              <w:top w:val="single" w:color="auto" w:sz="4" w:space="0"/>
              <w:left w:val="single" w:color="auto" w:sz="4" w:space="0"/>
              <w:bottom w:val="single" w:color="auto" w:sz="4" w:space="0"/>
              <w:right w:val="single" w:color="auto" w:sz="4" w:space="0"/>
            </w:tcBorders>
            <w:vAlign w:val="center"/>
          </w:tcPr>
          <w:p w14:paraId="6DA5A6B0">
            <w:pPr>
              <w:keepNext w:val="0"/>
              <w:keepLines w:val="0"/>
              <w:pageBreakBefore w:val="0"/>
              <w:widowControl w:val="0"/>
              <w:kinsoku/>
              <w:wordWrap/>
              <w:overflowPunct/>
              <w:topLinePunct w:val="0"/>
              <w:autoSpaceDE/>
              <w:autoSpaceDN/>
              <w:bidi w:val="0"/>
              <w:adjustRightInd/>
              <w:snapToGrid w:val="0"/>
              <w:ind w:left="0"/>
              <w:jc w:val="center"/>
              <w:textAlignment w:val="auto"/>
              <w:outlineLvl w:val="9"/>
              <w:rPr>
                <w:rFonts w:ascii="仿宋" w:hAnsi="仿宋" w:eastAsia="仿宋"/>
                <w:sz w:val="24"/>
                <w:szCs w:val="24"/>
                <w:highlight w:val="none"/>
              </w:rPr>
            </w:pPr>
            <w:r>
              <w:rPr>
                <w:rFonts w:hint="eastAsia" w:ascii="仿宋" w:hAnsi="仿宋" w:eastAsia="仿宋"/>
                <w:sz w:val="24"/>
                <w:szCs w:val="24"/>
                <w:highlight w:val="none"/>
              </w:rPr>
              <w:t>竞争性磋商文件要求</w:t>
            </w:r>
          </w:p>
        </w:tc>
        <w:tc>
          <w:tcPr>
            <w:tcW w:w="1751" w:type="dxa"/>
            <w:tcBorders>
              <w:top w:val="single" w:color="auto" w:sz="4" w:space="0"/>
              <w:left w:val="single" w:color="auto" w:sz="4" w:space="0"/>
              <w:bottom w:val="single" w:color="auto" w:sz="4" w:space="0"/>
              <w:right w:val="single" w:color="auto" w:sz="4" w:space="0"/>
            </w:tcBorders>
            <w:vAlign w:val="center"/>
          </w:tcPr>
          <w:p w14:paraId="2032D161">
            <w:pPr>
              <w:keepNext w:val="0"/>
              <w:keepLines w:val="0"/>
              <w:pageBreakBefore w:val="0"/>
              <w:widowControl w:val="0"/>
              <w:kinsoku/>
              <w:wordWrap/>
              <w:overflowPunct/>
              <w:topLinePunct w:val="0"/>
              <w:autoSpaceDE/>
              <w:autoSpaceDN/>
              <w:bidi w:val="0"/>
              <w:adjustRightInd/>
              <w:snapToGrid w:val="0"/>
              <w:ind w:left="0"/>
              <w:jc w:val="center"/>
              <w:textAlignment w:val="auto"/>
              <w:outlineLvl w:val="9"/>
              <w:rPr>
                <w:rFonts w:ascii="仿宋" w:hAnsi="仿宋" w:eastAsia="仿宋"/>
                <w:sz w:val="24"/>
                <w:szCs w:val="24"/>
                <w:highlight w:val="none"/>
              </w:rPr>
            </w:pPr>
            <w:r>
              <w:rPr>
                <w:rFonts w:hint="eastAsia" w:ascii="仿宋" w:hAnsi="仿宋" w:eastAsia="仿宋"/>
                <w:color w:val="000000"/>
                <w:sz w:val="24"/>
                <w:szCs w:val="24"/>
                <w:highlight w:val="none"/>
              </w:rPr>
              <w:t>供应商响应具体情况</w:t>
            </w:r>
          </w:p>
        </w:tc>
        <w:tc>
          <w:tcPr>
            <w:tcW w:w="1808" w:type="dxa"/>
            <w:tcBorders>
              <w:top w:val="single" w:color="auto" w:sz="4" w:space="0"/>
              <w:left w:val="single" w:color="auto" w:sz="4" w:space="0"/>
              <w:bottom w:val="single" w:color="auto" w:sz="4" w:space="0"/>
              <w:right w:val="single" w:color="auto" w:sz="4" w:space="0"/>
            </w:tcBorders>
            <w:vAlign w:val="center"/>
          </w:tcPr>
          <w:p w14:paraId="1DFF7628">
            <w:pPr>
              <w:keepNext w:val="0"/>
              <w:keepLines w:val="0"/>
              <w:pageBreakBefore w:val="0"/>
              <w:widowControl w:val="0"/>
              <w:kinsoku/>
              <w:wordWrap/>
              <w:overflowPunct/>
              <w:topLinePunct w:val="0"/>
              <w:autoSpaceDE/>
              <w:autoSpaceDN/>
              <w:bidi w:val="0"/>
              <w:adjustRightInd/>
              <w:ind w:left="0"/>
              <w:jc w:val="center"/>
              <w:textAlignment w:val="auto"/>
              <w:outlineLvl w:val="9"/>
              <w:rPr>
                <w:rFonts w:ascii="仿宋" w:hAnsi="仿宋" w:eastAsia="仿宋"/>
                <w:color w:val="000000"/>
                <w:sz w:val="24"/>
                <w:szCs w:val="24"/>
                <w:highlight w:val="none"/>
              </w:rPr>
            </w:pPr>
            <w:r>
              <w:rPr>
                <w:rFonts w:hint="eastAsia" w:ascii="仿宋" w:hAnsi="仿宋" w:eastAsia="仿宋"/>
                <w:color w:val="000000"/>
                <w:sz w:val="24"/>
                <w:szCs w:val="24"/>
                <w:highlight w:val="none"/>
              </w:rPr>
              <w:t>结论（正偏离、符合或负偏离）</w:t>
            </w:r>
          </w:p>
        </w:tc>
        <w:tc>
          <w:tcPr>
            <w:tcW w:w="637" w:type="dxa"/>
            <w:tcBorders>
              <w:top w:val="single" w:color="auto" w:sz="4" w:space="0"/>
              <w:left w:val="single" w:color="auto" w:sz="4" w:space="0"/>
              <w:bottom w:val="single" w:color="auto" w:sz="4" w:space="0"/>
              <w:right w:val="single" w:color="auto" w:sz="4" w:space="0"/>
            </w:tcBorders>
            <w:vAlign w:val="center"/>
          </w:tcPr>
          <w:p w14:paraId="7EC65C93">
            <w:pPr>
              <w:keepNext w:val="0"/>
              <w:keepLines w:val="0"/>
              <w:pageBreakBefore w:val="0"/>
              <w:widowControl w:val="0"/>
              <w:kinsoku/>
              <w:wordWrap/>
              <w:overflowPunct/>
              <w:topLinePunct w:val="0"/>
              <w:autoSpaceDE/>
              <w:autoSpaceDN/>
              <w:bidi w:val="0"/>
              <w:adjustRightInd/>
              <w:ind w:left="0"/>
              <w:jc w:val="center"/>
              <w:textAlignment w:val="auto"/>
              <w:outlineLvl w:val="9"/>
              <w:rPr>
                <w:rFonts w:ascii="仿宋" w:hAnsi="仿宋" w:eastAsia="仿宋"/>
                <w:color w:val="000000"/>
                <w:sz w:val="24"/>
                <w:szCs w:val="24"/>
                <w:highlight w:val="none"/>
              </w:rPr>
            </w:pPr>
            <w:r>
              <w:rPr>
                <w:rFonts w:hint="eastAsia" w:ascii="仿宋" w:hAnsi="仿宋" w:eastAsia="仿宋"/>
                <w:color w:val="000000"/>
                <w:sz w:val="24"/>
                <w:szCs w:val="24"/>
                <w:highlight w:val="none"/>
              </w:rPr>
              <w:t>备注</w:t>
            </w:r>
          </w:p>
        </w:tc>
      </w:tr>
      <w:tr w14:paraId="67ED3A2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tcBorders>
              <w:top w:val="single" w:color="auto" w:sz="4" w:space="0"/>
              <w:left w:val="single" w:color="auto" w:sz="4" w:space="0"/>
              <w:bottom w:val="single" w:color="auto" w:sz="4" w:space="0"/>
              <w:right w:val="single" w:color="auto" w:sz="4" w:space="0"/>
            </w:tcBorders>
            <w:vAlign w:val="center"/>
          </w:tcPr>
          <w:p w14:paraId="4F1A4E80">
            <w:pPr>
              <w:keepNext w:val="0"/>
              <w:keepLines w:val="0"/>
              <w:pageBreakBefore w:val="0"/>
              <w:widowControl w:val="0"/>
              <w:kinsoku/>
              <w:wordWrap/>
              <w:overflowPunct/>
              <w:topLinePunct w:val="0"/>
              <w:autoSpaceDE/>
              <w:autoSpaceDN/>
              <w:bidi w:val="0"/>
              <w:adjustRightInd/>
              <w:snapToGrid w:val="0"/>
              <w:ind w:left="0"/>
              <w:jc w:val="center"/>
              <w:textAlignment w:val="auto"/>
              <w:outlineLvl w:val="9"/>
              <w:rPr>
                <w:rFonts w:hint="default" w:ascii="仿宋" w:hAnsi="仿宋" w:eastAsia="仿宋"/>
                <w:sz w:val="24"/>
                <w:szCs w:val="24"/>
                <w:highlight w:val="none"/>
                <w:lang w:val="en-US" w:eastAsia="zh-CN"/>
              </w:rPr>
            </w:pPr>
            <w:r>
              <w:rPr>
                <w:rFonts w:hint="eastAsia" w:ascii="仿宋" w:hAnsi="仿宋" w:eastAsia="仿宋"/>
                <w:sz w:val="24"/>
                <w:szCs w:val="24"/>
                <w:highlight w:val="none"/>
                <w:lang w:val="en-US" w:eastAsia="zh-CN"/>
              </w:rPr>
              <w:t>1</w:t>
            </w:r>
          </w:p>
        </w:tc>
        <w:tc>
          <w:tcPr>
            <w:tcW w:w="834" w:type="dxa"/>
            <w:tcBorders>
              <w:top w:val="single" w:color="auto" w:sz="4" w:space="0"/>
              <w:left w:val="single" w:color="auto" w:sz="4" w:space="0"/>
              <w:bottom w:val="single" w:color="auto" w:sz="4" w:space="0"/>
              <w:right w:val="single" w:color="auto" w:sz="4" w:space="0"/>
            </w:tcBorders>
            <w:vAlign w:val="center"/>
          </w:tcPr>
          <w:p w14:paraId="2E24A19A">
            <w:pPr>
              <w:keepNext w:val="0"/>
              <w:keepLines w:val="0"/>
              <w:pageBreakBefore w:val="0"/>
              <w:widowControl w:val="0"/>
              <w:kinsoku/>
              <w:wordWrap/>
              <w:overflowPunct/>
              <w:topLinePunct w:val="0"/>
              <w:autoSpaceDE/>
              <w:autoSpaceDN/>
              <w:bidi w:val="0"/>
              <w:adjustRightInd/>
              <w:snapToGrid w:val="0"/>
              <w:ind w:left="0"/>
              <w:jc w:val="center"/>
              <w:textAlignment w:val="auto"/>
              <w:outlineLvl w:val="9"/>
              <w:rPr>
                <w:rFonts w:ascii="仿宋" w:hAnsi="仿宋" w:eastAsia="仿宋"/>
                <w:sz w:val="24"/>
                <w:szCs w:val="24"/>
                <w:highlight w:val="none"/>
              </w:rPr>
            </w:pPr>
            <w:r>
              <w:rPr>
                <w:rFonts w:hint="eastAsia" w:ascii="仿宋" w:hAnsi="仿宋" w:eastAsia="仿宋" w:cs="仿宋"/>
                <w:sz w:val="24"/>
                <w:szCs w:val="24"/>
                <w:highlight w:val="none"/>
              </w:rPr>
              <w:t>服务要求</w:t>
            </w:r>
          </w:p>
        </w:tc>
        <w:tc>
          <w:tcPr>
            <w:tcW w:w="3851" w:type="dxa"/>
            <w:tcBorders>
              <w:top w:val="single" w:color="auto" w:sz="4" w:space="0"/>
              <w:left w:val="single" w:color="auto" w:sz="4" w:space="0"/>
              <w:bottom w:val="single" w:color="auto" w:sz="4" w:space="0"/>
              <w:right w:val="single" w:color="auto" w:sz="4" w:space="0"/>
            </w:tcBorders>
            <w:vAlign w:val="center"/>
          </w:tcPr>
          <w:p w14:paraId="756EA30B">
            <w:pPr>
              <w:keepNext w:val="0"/>
              <w:keepLines w:val="0"/>
              <w:pageBreakBefore w:val="0"/>
              <w:widowControl w:val="0"/>
              <w:kinsoku/>
              <w:wordWrap/>
              <w:overflowPunct/>
              <w:topLinePunct w:val="0"/>
              <w:autoSpaceDE/>
              <w:autoSpaceDN/>
              <w:bidi w:val="0"/>
              <w:adjustRightInd/>
              <w:snapToGrid w:val="0"/>
              <w:ind w:left="0"/>
              <w:jc w:val="left"/>
              <w:textAlignment w:val="auto"/>
              <w:outlineLvl w:val="9"/>
              <w:rPr>
                <w:rFonts w:hint="eastAsia" w:ascii="仿宋" w:hAnsi="仿宋" w:eastAsia="仿宋"/>
                <w:sz w:val="24"/>
                <w:szCs w:val="24"/>
                <w:highlight w:val="none"/>
              </w:rPr>
            </w:pPr>
            <w:r>
              <w:rPr>
                <w:rFonts w:hint="eastAsia" w:ascii="仿宋" w:hAnsi="仿宋" w:eastAsia="仿宋"/>
                <w:sz w:val="24"/>
                <w:szCs w:val="24"/>
                <w:highlight w:val="none"/>
              </w:rPr>
              <w:t>（一）成交供应商自带扫描设备。</w:t>
            </w:r>
          </w:p>
          <w:p w14:paraId="2755CD7B">
            <w:pPr>
              <w:keepNext w:val="0"/>
              <w:keepLines w:val="0"/>
              <w:pageBreakBefore w:val="0"/>
              <w:widowControl w:val="0"/>
              <w:kinsoku/>
              <w:wordWrap/>
              <w:overflowPunct/>
              <w:topLinePunct w:val="0"/>
              <w:autoSpaceDE/>
              <w:autoSpaceDN/>
              <w:bidi w:val="0"/>
              <w:adjustRightInd/>
              <w:snapToGrid w:val="0"/>
              <w:ind w:left="0"/>
              <w:jc w:val="left"/>
              <w:textAlignment w:val="auto"/>
              <w:outlineLvl w:val="9"/>
              <w:rPr>
                <w:rFonts w:hint="eastAsia" w:ascii="仿宋" w:hAnsi="仿宋" w:eastAsia="仿宋"/>
                <w:sz w:val="24"/>
                <w:szCs w:val="24"/>
                <w:highlight w:val="none"/>
              </w:rPr>
            </w:pPr>
            <w:r>
              <w:rPr>
                <w:rFonts w:hint="eastAsia" w:ascii="仿宋" w:hAnsi="仿宋" w:eastAsia="仿宋"/>
                <w:sz w:val="24"/>
                <w:szCs w:val="24"/>
                <w:highlight w:val="none"/>
              </w:rPr>
              <w:t>（二）总则:遵守法院立案扫描和中间库管理规定。严格管理，明确责任，建立安全保密管理机制和质量管理机制，确保安全管理制度和质量管理制度落实到位，确保档案原件和数字化档案信息安全，确保各环节工作符合质量要求，建立完整规范的工作记录。</w:t>
            </w:r>
          </w:p>
          <w:p w14:paraId="413B4811">
            <w:pPr>
              <w:keepNext w:val="0"/>
              <w:keepLines w:val="0"/>
              <w:pageBreakBefore w:val="0"/>
              <w:widowControl w:val="0"/>
              <w:kinsoku/>
              <w:wordWrap/>
              <w:overflowPunct/>
              <w:topLinePunct w:val="0"/>
              <w:autoSpaceDE/>
              <w:autoSpaceDN/>
              <w:bidi w:val="0"/>
              <w:adjustRightInd/>
              <w:snapToGrid w:val="0"/>
              <w:ind w:left="0"/>
              <w:jc w:val="left"/>
              <w:textAlignment w:val="auto"/>
              <w:outlineLvl w:val="9"/>
              <w:rPr>
                <w:rFonts w:hint="eastAsia" w:ascii="仿宋" w:hAnsi="仿宋" w:eastAsia="仿宋"/>
                <w:sz w:val="24"/>
                <w:szCs w:val="24"/>
                <w:highlight w:val="none"/>
              </w:rPr>
            </w:pPr>
            <w:r>
              <w:rPr>
                <w:rFonts w:hint="eastAsia" w:ascii="仿宋" w:hAnsi="仿宋" w:eastAsia="仿宋"/>
                <w:sz w:val="24"/>
                <w:szCs w:val="24"/>
                <w:highlight w:val="none"/>
              </w:rPr>
              <w:t>（三）卷宗材料接收：接收材料要认真核对，避免发生差错，并办理交接手续备查。</w:t>
            </w:r>
          </w:p>
          <w:p w14:paraId="04F03528">
            <w:pPr>
              <w:keepNext w:val="0"/>
              <w:keepLines w:val="0"/>
              <w:pageBreakBefore w:val="0"/>
              <w:widowControl w:val="0"/>
              <w:kinsoku/>
              <w:wordWrap/>
              <w:overflowPunct/>
              <w:topLinePunct w:val="0"/>
              <w:autoSpaceDE/>
              <w:autoSpaceDN/>
              <w:bidi w:val="0"/>
              <w:adjustRightInd/>
              <w:snapToGrid w:val="0"/>
              <w:ind w:left="0"/>
              <w:jc w:val="left"/>
              <w:textAlignment w:val="auto"/>
              <w:outlineLvl w:val="9"/>
              <w:rPr>
                <w:rFonts w:hint="eastAsia" w:ascii="仿宋" w:hAnsi="仿宋" w:eastAsia="仿宋"/>
                <w:sz w:val="24"/>
                <w:szCs w:val="24"/>
                <w:highlight w:val="none"/>
              </w:rPr>
            </w:pPr>
            <w:r>
              <w:rPr>
                <w:rFonts w:hint="eastAsia" w:ascii="仿宋" w:hAnsi="仿宋" w:eastAsia="仿宋"/>
                <w:sz w:val="24"/>
                <w:szCs w:val="24"/>
                <w:highlight w:val="none"/>
              </w:rPr>
              <w:t>（四）卷宗材料扫描:档案采用扫描方式，扫描影像保持原档方向。</w:t>
            </w:r>
          </w:p>
          <w:p w14:paraId="3A057DB6">
            <w:pPr>
              <w:keepNext w:val="0"/>
              <w:keepLines w:val="0"/>
              <w:pageBreakBefore w:val="0"/>
              <w:widowControl w:val="0"/>
              <w:kinsoku/>
              <w:wordWrap/>
              <w:overflowPunct/>
              <w:topLinePunct w:val="0"/>
              <w:autoSpaceDE/>
              <w:autoSpaceDN/>
              <w:bidi w:val="0"/>
              <w:adjustRightInd/>
              <w:snapToGrid w:val="0"/>
              <w:ind w:left="0"/>
              <w:jc w:val="left"/>
              <w:textAlignment w:val="auto"/>
              <w:outlineLvl w:val="9"/>
              <w:rPr>
                <w:rFonts w:hint="eastAsia" w:ascii="仿宋" w:hAnsi="仿宋" w:eastAsia="仿宋"/>
                <w:sz w:val="24"/>
                <w:szCs w:val="24"/>
                <w:highlight w:val="none"/>
              </w:rPr>
            </w:pPr>
            <w:r>
              <w:rPr>
                <w:rFonts w:hint="eastAsia" w:ascii="仿宋" w:hAnsi="仿宋" w:eastAsia="仿宋"/>
                <w:sz w:val="24"/>
                <w:szCs w:val="24"/>
                <w:highlight w:val="none"/>
              </w:rPr>
              <w:t>纸质诉讼档案的数字化加工采用全彩色模式进行扫描,不经采购人同意不得以黑白二色方式扫描。在扫描过程中，应遵循以下几项标准:</w:t>
            </w:r>
          </w:p>
          <w:p w14:paraId="6BAA79FE">
            <w:pPr>
              <w:keepNext w:val="0"/>
              <w:keepLines w:val="0"/>
              <w:pageBreakBefore w:val="0"/>
              <w:widowControl w:val="0"/>
              <w:kinsoku/>
              <w:wordWrap/>
              <w:overflowPunct/>
              <w:topLinePunct w:val="0"/>
              <w:autoSpaceDE/>
              <w:autoSpaceDN/>
              <w:bidi w:val="0"/>
              <w:adjustRightInd/>
              <w:snapToGrid w:val="0"/>
              <w:ind w:left="0"/>
              <w:jc w:val="left"/>
              <w:textAlignment w:val="auto"/>
              <w:outlineLvl w:val="9"/>
              <w:rPr>
                <w:rFonts w:hint="eastAsia" w:ascii="仿宋" w:hAnsi="仿宋" w:eastAsia="仿宋"/>
                <w:sz w:val="24"/>
                <w:szCs w:val="24"/>
                <w:highlight w:val="none"/>
              </w:rPr>
            </w:pPr>
            <w:r>
              <w:rPr>
                <w:rFonts w:hint="eastAsia" w:ascii="仿宋" w:hAnsi="仿宋" w:eastAsia="仿宋"/>
                <w:sz w:val="24"/>
                <w:szCs w:val="24"/>
                <w:highlight w:val="none"/>
              </w:rPr>
              <w:t>◆标准分辨率:300dpi;</w:t>
            </w:r>
          </w:p>
          <w:p w14:paraId="530534DC">
            <w:pPr>
              <w:keepNext w:val="0"/>
              <w:keepLines w:val="0"/>
              <w:pageBreakBefore w:val="0"/>
              <w:widowControl w:val="0"/>
              <w:kinsoku/>
              <w:wordWrap/>
              <w:overflowPunct/>
              <w:topLinePunct w:val="0"/>
              <w:autoSpaceDE/>
              <w:autoSpaceDN/>
              <w:bidi w:val="0"/>
              <w:adjustRightInd/>
              <w:snapToGrid w:val="0"/>
              <w:ind w:left="0"/>
              <w:jc w:val="left"/>
              <w:textAlignment w:val="auto"/>
              <w:outlineLvl w:val="9"/>
              <w:rPr>
                <w:rFonts w:hint="eastAsia" w:ascii="仿宋" w:hAnsi="仿宋" w:eastAsia="仿宋"/>
                <w:sz w:val="24"/>
                <w:szCs w:val="24"/>
                <w:highlight w:val="none"/>
              </w:rPr>
            </w:pPr>
            <w:r>
              <w:rPr>
                <w:rFonts w:hint="eastAsia" w:ascii="仿宋" w:hAnsi="仿宋" w:eastAsia="仿宋"/>
                <w:sz w:val="24"/>
                <w:szCs w:val="24"/>
                <w:highlight w:val="none"/>
              </w:rPr>
              <w:t>◆标准文件格式:单页JPG;</w:t>
            </w:r>
          </w:p>
          <w:p w14:paraId="13B9DBE9">
            <w:pPr>
              <w:keepNext w:val="0"/>
              <w:keepLines w:val="0"/>
              <w:pageBreakBefore w:val="0"/>
              <w:widowControl w:val="0"/>
              <w:kinsoku/>
              <w:wordWrap/>
              <w:overflowPunct/>
              <w:topLinePunct w:val="0"/>
              <w:autoSpaceDE/>
              <w:autoSpaceDN/>
              <w:bidi w:val="0"/>
              <w:adjustRightInd/>
              <w:snapToGrid w:val="0"/>
              <w:ind w:left="0"/>
              <w:jc w:val="left"/>
              <w:textAlignment w:val="auto"/>
              <w:outlineLvl w:val="9"/>
              <w:rPr>
                <w:rFonts w:hint="eastAsia" w:ascii="仿宋" w:hAnsi="仿宋" w:eastAsia="仿宋"/>
                <w:sz w:val="24"/>
                <w:szCs w:val="24"/>
                <w:highlight w:val="none"/>
              </w:rPr>
            </w:pPr>
            <w:r>
              <w:rPr>
                <w:rFonts w:hint="eastAsia" w:ascii="仿宋" w:hAnsi="仿宋" w:eastAsia="仿宋"/>
                <w:sz w:val="24"/>
                <w:szCs w:val="24"/>
                <w:highlight w:val="none"/>
              </w:rPr>
              <w:t>◆质量:在原件上没有明显质量问题时，所产生的影像文件不应产生黑边、模糊、偏斜等质量问题，对于影响图像质量的非原始性的黑线、黑点(如装订孔等)要进行修补。根据档案幅面的大小和纸张状况，选择相应扫描仪。其中大幅面档案需采用大幅面扫描仪，不可以采用小幅面扫描后的图像拼接方式处理;同页有两个以上文件，需分别扫描，并进行并页处理。</w:t>
            </w:r>
          </w:p>
          <w:p w14:paraId="43F117A8">
            <w:pPr>
              <w:keepNext w:val="0"/>
              <w:keepLines w:val="0"/>
              <w:pageBreakBefore w:val="0"/>
              <w:widowControl w:val="0"/>
              <w:kinsoku/>
              <w:wordWrap/>
              <w:overflowPunct/>
              <w:topLinePunct w:val="0"/>
              <w:autoSpaceDE/>
              <w:autoSpaceDN/>
              <w:bidi w:val="0"/>
              <w:adjustRightInd/>
              <w:snapToGrid w:val="0"/>
              <w:ind w:left="0"/>
              <w:jc w:val="left"/>
              <w:textAlignment w:val="auto"/>
              <w:outlineLvl w:val="9"/>
              <w:rPr>
                <w:rFonts w:hint="eastAsia" w:ascii="仿宋" w:hAnsi="仿宋" w:eastAsia="仿宋"/>
                <w:sz w:val="24"/>
                <w:szCs w:val="24"/>
                <w:highlight w:val="none"/>
              </w:rPr>
            </w:pPr>
            <w:r>
              <w:rPr>
                <w:rFonts w:hint="eastAsia" w:ascii="仿宋" w:hAnsi="仿宋" w:eastAsia="仿宋"/>
                <w:sz w:val="24"/>
                <w:szCs w:val="24"/>
                <w:highlight w:val="none"/>
              </w:rPr>
              <w:t>（五）卷宗材料挂接：扫描的材料要及时准确完整地挂接到对应的卷宗中，不得错挂、漏挂、重复挂。</w:t>
            </w:r>
          </w:p>
          <w:p w14:paraId="69FAC6E2">
            <w:pPr>
              <w:keepNext w:val="0"/>
              <w:keepLines w:val="0"/>
              <w:pageBreakBefore w:val="0"/>
              <w:widowControl w:val="0"/>
              <w:kinsoku/>
              <w:wordWrap/>
              <w:overflowPunct/>
              <w:topLinePunct w:val="0"/>
              <w:autoSpaceDE/>
              <w:autoSpaceDN/>
              <w:bidi w:val="0"/>
              <w:adjustRightInd/>
              <w:snapToGrid w:val="0"/>
              <w:ind w:left="0"/>
              <w:jc w:val="left"/>
              <w:textAlignment w:val="auto"/>
              <w:outlineLvl w:val="9"/>
              <w:rPr>
                <w:rFonts w:hint="eastAsia" w:ascii="仿宋" w:hAnsi="仿宋" w:eastAsia="仿宋"/>
                <w:sz w:val="24"/>
                <w:szCs w:val="24"/>
                <w:highlight w:val="none"/>
              </w:rPr>
            </w:pPr>
            <w:r>
              <w:rPr>
                <w:rFonts w:hint="eastAsia" w:ascii="仿宋" w:hAnsi="仿宋" w:eastAsia="仿宋"/>
                <w:sz w:val="24"/>
                <w:szCs w:val="24"/>
                <w:highlight w:val="none"/>
              </w:rPr>
              <w:t>（六）卷宗材料排序：扫描挂接好的材料要分别按照各类案件卷宗装订归档的顺序要求进行排列，平时有材料需及时按照顺序放进卷宗。</w:t>
            </w:r>
          </w:p>
          <w:p w14:paraId="341034A7">
            <w:pPr>
              <w:keepNext w:val="0"/>
              <w:keepLines w:val="0"/>
              <w:pageBreakBefore w:val="0"/>
              <w:widowControl w:val="0"/>
              <w:kinsoku/>
              <w:wordWrap/>
              <w:overflowPunct/>
              <w:topLinePunct w:val="0"/>
              <w:autoSpaceDE/>
              <w:autoSpaceDN/>
              <w:bidi w:val="0"/>
              <w:adjustRightInd/>
              <w:snapToGrid w:val="0"/>
              <w:ind w:left="0"/>
              <w:jc w:val="left"/>
              <w:textAlignment w:val="auto"/>
              <w:outlineLvl w:val="9"/>
              <w:rPr>
                <w:rFonts w:hint="eastAsia" w:ascii="仿宋" w:hAnsi="仿宋" w:eastAsia="仿宋"/>
                <w:sz w:val="24"/>
                <w:szCs w:val="24"/>
                <w:highlight w:val="none"/>
              </w:rPr>
            </w:pPr>
            <w:r>
              <w:rPr>
                <w:rFonts w:hint="eastAsia" w:ascii="仿宋" w:hAnsi="仿宋" w:eastAsia="仿宋"/>
                <w:sz w:val="24"/>
                <w:szCs w:val="24"/>
                <w:highlight w:val="none"/>
              </w:rPr>
              <w:t>（七）卷宗材料管理：对未列入中间库管理的卷宗，属于立案阶段的卷宗，材料扫描挂接后及时放入云柜，供各业务部门领取；属于报结阶段的卷宗，材料扫描挂接后当即退业务部门，不能即时退回的，要办理好卷宗的交接手续，并在3个工作日内完成扫描挂接；对属于中间库管理的卷宗，要对各类卷宗进行编号，业务部门需要借阅时，要提供借阅服务，需要借出中间库使用的，要办理卷宗和相应材料的交接手续。</w:t>
            </w:r>
          </w:p>
          <w:p w14:paraId="6DDE20A3">
            <w:pPr>
              <w:keepNext w:val="0"/>
              <w:keepLines w:val="0"/>
              <w:pageBreakBefore w:val="0"/>
              <w:widowControl w:val="0"/>
              <w:kinsoku/>
              <w:wordWrap/>
              <w:overflowPunct/>
              <w:topLinePunct w:val="0"/>
              <w:autoSpaceDE/>
              <w:autoSpaceDN/>
              <w:bidi w:val="0"/>
              <w:adjustRightInd/>
              <w:snapToGrid w:val="0"/>
              <w:ind w:left="0"/>
              <w:jc w:val="left"/>
              <w:textAlignment w:val="auto"/>
              <w:outlineLvl w:val="9"/>
              <w:rPr>
                <w:rFonts w:hint="eastAsia" w:ascii="仿宋" w:hAnsi="仿宋" w:eastAsia="仿宋"/>
                <w:sz w:val="24"/>
                <w:szCs w:val="24"/>
                <w:highlight w:val="none"/>
              </w:rPr>
            </w:pPr>
            <w:r>
              <w:rPr>
                <w:rFonts w:hint="eastAsia" w:ascii="仿宋" w:hAnsi="仿宋" w:eastAsia="仿宋"/>
                <w:sz w:val="24"/>
                <w:szCs w:val="24"/>
                <w:highlight w:val="none"/>
              </w:rPr>
              <w:t>（八）卷宗材料装订：对已办结的卷宗，根据业务部门的通知，要分别按照审理、执行卷宗装订的要求，核对卷宗材料顺序、打印页码、装订完毕。</w:t>
            </w:r>
          </w:p>
          <w:p w14:paraId="221A5341">
            <w:pPr>
              <w:keepNext w:val="0"/>
              <w:keepLines w:val="0"/>
              <w:pageBreakBefore w:val="0"/>
              <w:widowControl w:val="0"/>
              <w:kinsoku/>
              <w:wordWrap/>
              <w:overflowPunct/>
              <w:topLinePunct w:val="0"/>
              <w:autoSpaceDE/>
              <w:autoSpaceDN/>
              <w:bidi w:val="0"/>
              <w:adjustRightInd/>
              <w:snapToGrid w:val="0"/>
              <w:ind w:left="0"/>
              <w:jc w:val="left"/>
              <w:textAlignment w:val="auto"/>
              <w:outlineLvl w:val="9"/>
              <w:rPr>
                <w:rFonts w:hint="eastAsia" w:ascii="仿宋" w:hAnsi="仿宋" w:eastAsia="仿宋"/>
                <w:sz w:val="24"/>
                <w:szCs w:val="24"/>
                <w:highlight w:val="none"/>
              </w:rPr>
            </w:pPr>
            <w:r>
              <w:rPr>
                <w:rFonts w:hint="eastAsia" w:ascii="仿宋" w:hAnsi="仿宋" w:eastAsia="仿宋"/>
                <w:sz w:val="24"/>
                <w:szCs w:val="24"/>
                <w:highlight w:val="none"/>
              </w:rPr>
              <w:t>（九）卷宗材料归档：装订完毕的卷宗，与相关业务部门共同归档，并办理归档交接清单。</w:t>
            </w:r>
          </w:p>
          <w:p w14:paraId="51098479">
            <w:pPr>
              <w:keepNext w:val="0"/>
              <w:keepLines w:val="0"/>
              <w:pageBreakBefore w:val="0"/>
              <w:widowControl w:val="0"/>
              <w:kinsoku/>
              <w:wordWrap/>
              <w:overflowPunct/>
              <w:topLinePunct w:val="0"/>
              <w:autoSpaceDE/>
              <w:autoSpaceDN/>
              <w:bidi w:val="0"/>
              <w:adjustRightInd/>
              <w:snapToGrid w:val="0"/>
              <w:ind w:left="0"/>
              <w:jc w:val="left"/>
              <w:textAlignment w:val="auto"/>
              <w:outlineLvl w:val="9"/>
              <w:rPr>
                <w:rFonts w:hint="eastAsia" w:ascii="仿宋" w:hAnsi="仿宋" w:eastAsia="仿宋"/>
                <w:sz w:val="24"/>
                <w:szCs w:val="24"/>
                <w:highlight w:val="none"/>
              </w:rPr>
            </w:pPr>
            <w:r>
              <w:rPr>
                <w:rFonts w:hint="eastAsia" w:ascii="仿宋" w:hAnsi="仿宋" w:eastAsia="仿宋"/>
                <w:sz w:val="24"/>
                <w:szCs w:val="24"/>
                <w:highlight w:val="none"/>
              </w:rPr>
              <w:t xml:space="preserve">(十)安全保密要求:严格遵守法院的有关保密规定，确保工作正常秩序和安全，确保档案信息安全,不得遗失、损坏卷宗。主要包含以下几个方面: </w:t>
            </w:r>
          </w:p>
          <w:p w14:paraId="5F94AF6C">
            <w:pPr>
              <w:keepNext w:val="0"/>
              <w:keepLines w:val="0"/>
              <w:pageBreakBefore w:val="0"/>
              <w:widowControl w:val="0"/>
              <w:kinsoku/>
              <w:wordWrap/>
              <w:overflowPunct/>
              <w:topLinePunct w:val="0"/>
              <w:autoSpaceDE/>
              <w:autoSpaceDN/>
              <w:bidi w:val="0"/>
              <w:adjustRightInd/>
              <w:snapToGrid w:val="0"/>
              <w:ind w:left="0"/>
              <w:jc w:val="left"/>
              <w:textAlignment w:val="auto"/>
              <w:outlineLvl w:val="9"/>
              <w:rPr>
                <w:rFonts w:hint="eastAsia" w:ascii="仿宋" w:hAnsi="仿宋" w:eastAsia="仿宋"/>
                <w:sz w:val="24"/>
                <w:szCs w:val="24"/>
                <w:highlight w:val="none"/>
              </w:rPr>
            </w:pPr>
            <w:r>
              <w:rPr>
                <w:rFonts w:hint="eastAsia" w:ascii="仿宋" w:hAnsi="仿宋" w:eastAsia="仿宋"/>
                <w:sz w:val="24"/>
                <w:szCs w:val="24"/>
                <w:highlight w:val="none"/>
              </w:rPr>
              <w:t xml:space="preserve">1. 成交供应商须在合同中进行责任约定(保密安全协议另签)，成交供应商在工作期间必须遵守任务相关保密制度; </w:t>
            </w:r>
          </w:p>
          <w:p w14:paraId="66A2E7C1">
            <w:pPr>
              <w:keepNext w:val="0"/>
              <w:keepLines w:val="0"/>
              <w:pageBreakBefore w:val="0"/>
              <w:widowControl w:val="0"/>
              <w:kinsoku/>
              <w:wordWrap/>
              <w:overflowPunct/>
              <w:topLinePunct w:val="0"/>
              <w:autoSpaceDE/>
              <w:autoSpaceDN/>
              <w:bidi w:val="0"/>
              <w:adjustRightInd/>
              <w:snapToGrid w:val="0"/>
              <w:ind w:left="0"/>
              <w:jc w:val="left"/>
              <w:textAlignment w:val="auto"/>
              <w:outlineLvl w:val="9"/>
              <w:rPr>
                <w:rFonts w:hint="eastAsia" w:ascii="仿宋" w:hAnsi="仿宋" w:eastAsia="仿宋"/>
                <w:sz w:val="24"/>
                <w:szCs w:val="24"/>
                <w:highlight w:val="none"/>
              </w:rPr>
            </w:pPr>
            <w:r>
              <w:rPr>
                <w:rFonts w:hint="eastAsia" w:ascii="仿宋" w:hAnsi="仿宋" w:eastAsia="仿宋"/>
                <w:sz w:val="24"/>
                <w:szCs w:val="24"/>
                <w:highlight w:val="none"/>
              </w:rPr>
              <w:t xml:space="preserve">2. 建立严格的保密制度,加强管理，杜绝工作人员对卷宗及卷宗信息的私自复制行为; </w:t>
            </w:r>
          </w:p>
          <w:p w14:paraId="1E3E3BA5">
            <w:pPr>
              <w:keepNext w:val="0"/>
              <w:keepLines w:val="0"/>
              <w:pageBreakBefore w:val="0"/>
              <w:widowControl w:val="0"/>
              <w:kinsoku/>
              <w:wordWrap/>
              <w:overflowPunct/>
              <w:topLinePunct w:val="0"/>
              <w:autoSpaceDE/>
              <w:autoSpaceDN/>
              <w:bidi w:val="0"/>
              <w:adjustRightInd/>
              <w:snapToGrid w:val="0"/>
              <w:ind w:left="0"/>
              <w:jc w:val="left"/>
              <w:textAlignment w:val="auto"/>
              <w:outlineLvl w:val="9"/>
              <w:rPr>
                <w:rFonts w:hint="eastAsia" w:ascii="仿宋" w:hAnsi="仿宋" w:eastAsia="仿宋"/>
                <w:sz w:val="24"/>
                <w:szCs w:val="24"/>
                <w:highlight w:val="none"/>
              </w:rPr>
            </w:pPr>
            <w:r>
              <w:rPr>
                <w:rFonts w:hint="eastAsia" w:ascii="仿宋" w:hAnsi="仿宋" w:eastAsia="仿宋"/>
                <w:sz w:val="24"/>
                <w:szCs w:val="24"/>
                <w:highlight w:val="none"/>
              </w:rPr>
              <w:t>3. 工作人员不得以任何形式将各项档案资料带出指定工作现场,不得以任何形式</w:t>
            </w:r>
            <w:r>
              <w:rPr>
                <w:rFonts w:hint="eastAsia" w:ascii="仿宋" w:hAnsi="仿宋" w:eastAsia="仿宋"/>
                <w:sz w:val="24"/>
                <w:szCs w:val="24"/>
                <w:highlight w:val="none"/>
                <w:lang w:eastAsia="zh-CN"/>
              </w:rPr>
              <w:t>进行泄漏</w:t>
            </w:r>
            <w:r>
              <w:rPr>
                <w:rFonts w:hint="eastAsia" w:ascii="仿宋" w:hAnsi="仿宋" w:eastAsia="仿宋"/>
                <w:sz w:val="24"/>
                <w:szCs w:val="24"/>
                <w:highlight w:val="none"/>
              </w:rPr>
              <w:t>、传播，不得无故查看及讨论档案内容；</w:t>
            </w:r>
          </w:p>
          <w:p w14:paraId="44A7E391">
            <w:pPr>
              <w:keepNext w:val="0"/>
              <w:keepLines w:val="0"/>
              <w:pageBreakBefore w:val="0"/>
              <w:widowControl w:val="0"/>
              <w:kinsoku/>
              <w:wordWrap/>
              <w:overflowPunct/>
              <w:topLinePunct w:val="0"/>
              <w:autoSpaceDE/>
              <w:autoSpaceDN/>
              <w:bidi w:val="0"/>
              <w:adjustRightInd/>
              <w:snapToGrid w:val="0"/>
              <w:ind w:left="0"/>
              <w:jc w:val="left"/>
              <w:textAlignment w:val="auto"/>
              <w:outlineLvl w:val="9"/>
              <w:rPr>
                <w:rFonts w:ascii="仿宋" w:hAnsi="仿宋" w:eastAsia="仿宋"/>
                <w:sz w:val="24"/>
                <w:szCs w:val="24"/>
                <w:highlight w:val="none"/>
              </w:rPr>
            </w:pPr>
            <w:r>
              <w:rPr>
                <w:rFonts w:hint="eastAsia" w:ascii="仿宋" w:hAnsi="仿宋" w:eastAsia="仿宋"/>
                <w:sz w:val="24"/>
                <w:szCs w:val="24"/>
                <w:highlight w:val="none"/>
              </w:rPr>
              <w:t>4. 成交供应商在法院工作期间必须遵守采购人相关保密制度。</w:t>
            </w:r>
          </w:p>
        </w:tc>
        <w:tc>
          <w:tcPr>
            <w:tcW w:w="1751" w:type="dxa"/>
            <w:tcBorders>
              <w:top w:val="single" w:color="auto" w:sz="4" w:space="0"/>
              <w:left w:val="single" w:color="auto" w:sz="4" w:space="0"/>
              <w:bottom w:val="single" w:color="auto" w:sz="4" w:space="0"/>
              <w:right w:val="single" w:color="auto" w:sz="4" w:space="0"/>
            </w:tcBorders>
            <w:vAlign w:val="center"/>
          </w:tcPr>
          <w:p w14:paraId="301AB5E1">
            <w:pPr>
              <w:keepNext w:val="0"/>
              <w:keepLines w:val="0"/>
              <w:pageBreakBefore w:val="0"/>
              <w:widowControl w:val="0"/>
              <w:kinsoku/>
              <w:wordWrap/>
              <w:overflowPunct/>
              <w:topLinePunct w:val="0"/>
              <w:autoSpaceDE/>
              <w:autoSpaceDN/>
              <w:bidi w:val="0"/>
              <w:adjustRightInd/>
              <w:snapToGrid w:val="0"/>
              <w:ind w:left="0"/>
              <w:jc w:val="center"/>
              <w:textAlignment w:val="auto"/>
              <w:outlineLvl w:val="9"/>
              <w:rPr>
                <w:rFonts w:ascii="仿宋" w:hAnsi="仿宋" w:eastAsia="仿宋"/>
                <w:sz w:val="24"/>
                <w:szCs w:val="24"/>
                <w:highlight w:val="none"/>
              </w:rPr>
            </w:pPr>
          </w:p>
        </w:tc>
        <w:tc>
          <w:tcPr>
            <w:tcW w:w="1808" w:type="dxa"/>
            <w:tcBorders>
              <w:top w:val="single" w:color="auto" w:sz="4" w:space="0"/>
              <w:left w:val="single" w:color="auto" w:sz="4" w:space="0"/>
              <w:bottom w:val="single" w:color="auto" w:sz="4" w:space="0"/>
              <w:right w:val="single" w:color="auto" w:sz="4" w:space="0"/>
            </w:tcBorders>
            <w:vAlign w:val="center"/>
          </w:tcPr>
          <w:p w14:paraId="751126A2">
            <w:pPr>
              <w:keepNext w:val="0"/>
              <w:keepLines w:val="0"/>
              <w:pageBreakBefore w:val="0"/>
              <w:widowControl w:val="0"/>
              <w:kinsoku/>
              <w:wordWrap/>
              <w:overflowPunct/>
              <w:topLinePunct w:val="0"/>
              <w:autoSpaceDE/>
              <w:autoSpaceDN/>
              <w:bidi w:val="0"/>
              <w:adjustRightInd/>
              <w:snapToGrid w:val="0"/>
              <w:ind w:left="0"/>
              <w:jc w:val="center"/>
              <w:textAlignment w:val="auto"/>
              <w:outlineLvl w:val="9"/>
              <w:rPr>
                <w:rFonts w:ascii="仿宋" w:hAnsi="仿宋" w:eastAsia="仿宋"/>
                <w:sz w:val="24"/>
                <w:szCs w:val="24"/>
                <w:highlight w:val="none"/>
              </w:rPr>
            </w:pPr>
          </w:p>
        </w:tc>
        <w:tc>
          <w:tcPr>
            <w:tcW w:w="637" w:type="dxa"/>
            <w:tcBorders>
              <w:top w:val="single" w:color="auto" w:sz="4" w:space="0"/>
              <w:left w:val="single" w:color="auto" w:sz="4" w:space="0"/>
              <w:bottom w:val="single" w:color="auto" w:sz="4" w:space="0"/>
              <w:right w:val="single" w:color="auto" w:sz="4" w:space="0"/>
            </w:tcBorders>
            <w:vAlign w:val="center"/>
          </w:tcPr>
          <w:p w14:paraId="4C097A17">
            <w:pPr>
              <w:keepNext w:val="0"/>
              <w:keepLines w:val="0"/>
              <w:pageBreakBefore w:val="0"/>
              <w:widowControl w:val="0"/>
              <w:kinsoku/>
              <w:wordWrap/>
              <w:overflowPunct/>
              <w:topLinePunct w:val="0"/>
              <w:autoSpaceDE/>
              <w:autoSpaceDN/>
              <w:bidi w:val="0"/>
              <w:adjustRightInd/>
              <w:snapToGrid w:val="0"/>
              <w:ind w:left="0"/>
              <w:jc w:val="center"/>
              <w:textAlignment w:val="auto"/>
              <w:outlineLvl w:val="9"/>
              <w:rPr>
                <w:rFonts w:ascii="仿宋" w:hAnsi="仿宋" w:eastAsia="仿宋"/>
                <w:sz w:val="24"/>
                <w:szCs w:val="24"/>
                <w:highlight w:val="none"/>
              </w:rPr>
            </w:pPr>
          </w:p>
        </w:tc>
      </w:tr>
      <w:tr w14:paraId="2FDC244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tcBorders>
              <w:top w:val="single" w:color="auto" w:sz="4" w:space="0"/>
              <w:left w:val="single" w:color="auto" w:sz="4" w:space="0"/>
              <w:bottom w:val="single" w:color="auto" w:sz="4" w:space="0"/>
              <w:right w:val="single" w:color="auto" w:sz="4" w:space="0"/>
            </w:tcBorders>
            <w:vAlign w:val="center"/>
          </w:tcPr>
          <w:p w14:paraId="1FF896DC">
            <w:pPr>
              <w:keepNext w:val="0"/>
              <w:keepLines w:val="0"/>
              <w:pageBreakBefore w:val="0"/>
              <w:widowControl w:val="0"/>
              <w:kinsoku/>
              <w:wordWrap/>
              <w:overflowPunct/>
              <w:topLinePunct w:val="0"/>
              <w:autoSpaceDE/>
              <w:autoSpaceDN/>
              <w:bidi w:val="0"/>
              <w:adjustRightInd/>
              <w:snapToGrid w:val="0"/>
              <w:ind w:left="0"/>
              <w:jc w:val="center"/>
              <w:textAlignment w:val="auto"/>
              <w:outlineLvl w:val="9"/>
              <w:rPr>
                <w:rFonts w:hint="eastAsia" w:ascii="仿宋" w:hAnsi="仿宋" w:eastAsia="仿宋"/>
                <w:sz w:val="24"/>
                <w:szCs w:val="24"/>
                <w:highlight w:val="none"/>
                <w:lang w:val="en-US" w:eastAsia="zh-CN"/>
              </w:rPr>
            </w:pPr>
            <w:r>
              <w:rPr>
                <w:rFonts w:hint="eastAsia" w:ascii="仿宋" w:hAnsi="仿宋" w:eastAsia="仿宋"/>
                <w:sz w:val="24"/>
                <w:szCs w:val="24"/>
                <w:highlight w:val="none"/>
                <w:lang w:val="en-US" w:eastAsia="zh-CN"/>
              </w:rPr>
              <w:t>2</w:t>
            </w:r>
          </w:p>
        </w:tc>
        <w:tc>
          <w:tcPr>
            <w:tcW w:w="834" w:type="dxa"/>
            <w:tcBorders>
              <w:top w:val="single" w:color="auto" w:sz="4" w:space="0"/>
              <w:left w:val="single" w:color="auto" w:sz="4" w:space="0"/>
              <w:bottom w:val="single" w:color="auto" w:sz="4" w:space="0"/>
              <w:right w:val="single" w:color="auto" w:sz="4" w:space="0"/>
            </w:tcBorders>
            <w:vAlign w:val="center"/>
          </w:tcPr>
          <w:p w14:paraId="01BE4B26">
            <w:pPr>
              <w:keepNext w:val="0"/>
              <w:keepLines w:val="0"/>
              <w:pageBreakBefore w:val="0"/>
              <w:widowControl w:val="0"/>
              <w:kinsoku/>
              <w:wordWrap/>
              <w:overflowPunct/>
              <w:topLinePunct w:val="0"/>
              <w:autoSpaceDE/>
              <w:autoSpaceDN/>
              <w:bidi w:val="0"/>
              <w:adjustRightInd/>
              <w:snapToGrid w:val="0"/>
              <w:ind w:left="0"/>
              <w:jc w:val="center"/>
              <w:textAlignment w:val="auto"/>
              <w:outlineLvl w:val="9"/>
              <w:rPr>
                <w:rFonts w:ascii="仿宋" w:hAnsi="仿宋" w:eastAsia="仿宋"/>
                <w:sz w:val="24"/>
                <w:szCs w:val="24"/>
                <w:highlight w:val="none"/>
              </w:rPr>
            </w:pPr>
            <w:r>
              <w:rPr>
                <w:rFonts w:hint="eastAsia" w:ascii="仿宋" w:hAnsi="仿宋" w:eastAsia="仿宋" w:cs="仿宋"/>
                <w:sz w:val="24"/>
                <w:szCs w:val="24"/>
                <w:highlight w:val="none"/>
                <w:lang w:val="en-US" w:eastAsia="zh-CN"/>
              </w:rPr>
              <w:t>服务标准</w:t>
            </w:r>
          </w:p>
        </w:tc>
        <w:tc>
          <w:tcPr>
            <w:tcW w:w="3851" w:type="dxa"/>
            <w:tcBorders>
              <w:top w:val="single" w:color="auto" w:sz="4" w:space="0"/>
              <w:left w:val="single" w:color="auto" w:sz="4" w:space="0"/>
              <w:bottom w:val="single" w:color="auto" w:sz="4" w:space="0"/>
              <w:right w:val="single" w:color="auto" w:sz="4" w:space="0"/>
            </w:tcBorders>
            <w:vAlign w:val="center"/>
          </w:tcPr>
          <w:p w14:paraId="25DB02B2">
            <w:pPr>
              <w:keepNext w:val="0"/>
              <w:keepLines w:val="0"/>
              <w:pageBreakBefore w:val="0"/>
              <w:widowControl w:val="0"/>
              <w:kinsoku/>
              <w:wordWrap/>
              <w:overflowPunct/>
              <w:topLinePunct w:val="0"/>
              <w:autoSpaceDE/>
              <w:autoSpaceDN/>
              <w:bidi w:val="0"/>
              <w:adjustRightInd/>
              <w:snapToGrid w:val="0"/>
              <w:ind w:left="0"/>
              <w:jc w:val="left"/>
              <w:textAlignment w:val="auto"/>
              <w:outlineLvl w:val="9"/>
              <w:rPr>
                <w:rFonts w:hint="eastAsia" w:ascii="仿宋" w:hAnsi="仿宋" w:eastAsia="仿宋"/>
                <w:sz w:val="24"/>
                <w:szCs w:val="24"/>
                <w:highlight w:val="none"/>
              </w:rPr>
            </w:pPr>
            <w:r>
              <w:rPr>
                <w:rFonts w:hint="eastAsia" w:ascii="仿宋" w:hAnsi="仿宋" w:eastAsia="仿宋"/>
                <w:sz w:val="24"/>
                <w:szCs w:val="24"/>
                <w:highlight w:val="none"/>
              </w:rPr>
              <w:t>纸质材料扫描要求供应商需根据电子卷宗随案同步生成服务的需求提供各岗位服务流程及标准。统一着正装，挂牌上岗.</w:t>
            </w:r>
          </w:p>
          <w:p w14:paraId="6022E24A">
            <w:pPr>
              <w:keepNext w:val="0"/>
              <w:keepLines w:val="0"/>
              <w:pageBreakBefore w:val="0"/>
              <w:widowControl w:val="0"/>
              <w:kinsoku/>
              <w:wordWrap/>
              <w:overflowPunct/>
              <w:topLinePunct w:val="0"/>
              <w:autoSpaceDE/>
              <w:autoSpaceDN/>
              <w:bidi w:val="0"/>
              <w:adjustRightInd/>
              <w:snapToGrid w:val="0"/>
              <w:ind w:left="0"/>
              <w:jc w:val="left"/>
              <w:textAlignment w:val="auto"/>
              <w:outlineLvl w:val="9"/>
              <w:rPr>
                <w:rFonts w:hint="eastAsia" w:ascii="仿宋" w:hAnsi="仿宋" w:eastAsia="仿宋"/>
                <w:sz w:val="24"/>
                <w:szCs w:val="24"/>
                <w:highlight w:val="none"/>
              </w:rPr>
            </w:pPr>
            <w:r>
              <w:rPr>
                <w:rFonts w:hint="eastAsia" w:ascii="仿宋" w:hAnsi="仿宋" w:eastAsia="仿宋"/>
                <w:sz w:val="24"/>
                <w:szCs w:val="24"/>
                <w:highlight w:val="none"/>
              </w:rPr>
              <w:t>（一）材料电子化标准</w:t>
            </w:r>
          </w:p>
          <w:p w14:paraId="283E184E">
            <w:pPr>
              <w:keepNext w:val="0"/>
              <w:keepLines w:val="0"/>
              <w:pageBreakBefore w:val="0"/>
              <w:widowControl w:val="0"/>
              <w:kinsoku/>
              <w:wordWrap/>
              <w:overflowPunct/>
              <w:topLinePunct w:val="0"/>
              <w:autoSpaceDE/>
              <w:autoSpaceDN/>
              <w:bidi w:val="0"/>
              <w:adjustRightInd/>
              <w:snapToGrid w:val="0"/>
              <w:ind w:left="0"/>
              <w:jc w:val="left"/>
              <w:textAlignment w:val="auto"/>
              <w:outlineLvl w:val="9"/>
              <w:rPr>
                <w:rFonts w:hint="eastAsia" w:ascii="仿宋" w:hAnsi="仿宋" w:eastAsia="仿宋"/>
                <w:sz w:val="24"/>
                <w:szCs w:val="24"/>
                <w:highlight w:val="none"/>
              </w:rPr>
            </w:pPr>
            <w:r>
              <w:rPr>
                <w:rFonts w:hint="eastAsia" w:ascii="仿宋" w:hAnsi="仿宋" w:eastAsia="仿宋"/>
                <w:sz w:val="24"/>
                <w:szCs w:val="24"/>
                <w:highlight w:val="none"/>
              </w:rPr>
              <w:t>（1）</w:t>
            </w:r>
            <w:r>
              <w:rPr>
                <w:rFonts w:hint="eastAsia" w:ascii="仿宋" w:hAnsi="仿宋" w:eastAsia="仿宋"/>
                <w:sz w:val="24"/>
                <w:szCs w:val="24"/>
                <w:highlight w:val="none"/>
                <w:lang w:eastAsia="zh-CN"/>
              </w:rPr>
              <w:t>扫描影像保持原档方向，全部纸质诉讼档案统一采用全彩色模式扫描，未经采购人书面同意，不得采用黑白二值、灰度模式扫描，标准分辨率：≥300DPI</w:t>
            </w:r>
            <w:r>
              <w:rPr>
                <w:rFonts w:hint="eastAsia" w:ascii="仿宋" w:hAnsi="仿宋" w:eastAsia="仿宋"/>
                <w:sz w:val="24"/>
                <w:szCs w:val="24"/>
                <w:highlight w:val="none"/>
              </w:rPr>
              <w:t>。</w:t>
            </w:r>
          </w:p>
          <w:p w14:paraId="655BFA06">
            <w:pPr>
              <w:keepNext w:val="0"/>
              <w:keepLines w:val="0"/>
              <w:pageBreakBefore w:val="0"/>
              <w:widowControl w:val="0"/>
              <w:kinsoku/>
              <w:wordWrap/>
              <w:overflowPunct/>
              <w:topLinePunct w:val="0"/>
              <w:autoSpaceDE/>
              <w:autoSpaceDN/>
              <w:bidi w:val="0"/>
              <w:adjustRightInd/>
              <w:snapToGrid w:val="0"/>
              <w:ind w:left="0"/>
              <w:jc w:val="left"/>
              <w:textAlignment w:val="auto"/>
              <w:outlineLvl w:val="9"/>
              <w:rPr>
                <w:rFonts w:hint="eastAsia" w:ascii="仿宋" w:hAnsi="仿宋" w:eastAsia="仿宋"/>
                <w:sz w:val="24"/>
                <w:szCs w:val="24"/>
                <w:highlight w:val="none"/>
              </w:rPr>
            </w:pPr>
            <w:r>
              <w:rPr>
                <w:rFonts w:hint="eastAsia" w:ascii="仿宋" w:hAnsi="仿宋" w:eastAsia="仿宋"/>
                <w:sz w:val="24"/>
                <w:szCs w:val="24"/>
                <w:highlight w:val="none"/>
              </w:rPr>
              <w:t>（2）标准文件格式：</w:t>
            </w:r>
            <w:r>
              <w:rPr>
                <w:rFonts w:hint="eastAsia" w:ascii="仿宋" w:hAnsi="仿宋" w:eastAsia="仿宋"/>
                <w:sz w:val="24"/>
                <w:szCs w:val="24"/>
                <w:highlight w:val="none"/>
                <w:lang w:eastAsia="zh-CN"/>
              </w:rPr>
              <w:t>采用未加密的单页 JPG 格式，并且能永久留存。对外提供查询应用时，可以转存为 PDF 等其他格式</w:t>
            </w:r>
            <w:r>
              <w:rPr>
                <w:rFonts w:hint="eastAsia" w:ascii="仿宋" w:hAnsi="仿宋" w:eastAsia="仿宋"/>
                <w:sz w:val="24"/>
                <w:szCs w:val="24"/>
                <w:highlight w:val="none"/>
              </w:rPr>
              <w:t>。</w:t>
            </w:r>
          </w:p>
          <w:p w14:paraId="7F5B5040">
            <w:pPr>
              <w:keepNext w:val="0"/>
              <w:keepLines w:val="0"/>
              <w:pageBreakBefore w:val="0"/>
              <w:widowControl w:val="0"/>
              <w:kinsoku/>
              <w:wordWrap/>
              <w:overflowPunct/>
              <w:topLinePunct w:val="0"/>
              <w:autoSpaceDE/>
              <w:autoSpaceDN/>
              <w:bidi w:val="0"/>
              <w:adjustRightInd/>
              <w:snapToGrid w:val="0"/>
              <w:ind w:left="0"/>
              <w:jc w:val="left"/>
              <w:textAlignment w:val="auto"/>
              <w:outlineLvl w:val="9"/>
              <w:rPr>
                <w:rFonts w:hint="eastAsia" w:ascii="仿宋" w:hAnsi="仿宋" w:eastAsia="仿宋"/>
                <w:sz w:val="24"/>
                <w:szCs w:val="24"/>
                <w:highlight w:val="none"/>
              </w:rPr>
            </w:pPr>
            <w:r>
              <w:rPr>
                <w:rFonts w:hint="eastAsia" w:ascii="仿宋" w:hAnsi="仿宋" w:eastAsia="仿宋"/>
                <w:sz w:val="24"/>
                <w:szCs w:val="24"/>
                <w:highlight w:val="none"/>
              </w:rPr>
              <w:t>（3）根据数据交换规则设置扫描影像的输出存放位置。</w:t>
            </w:r>
          </w:p>
          <w:p w14:paraId="36791AE8">
            <w:pPr>
              <w:keepNext w:val="0"/>
              <w:keepLines w:val="0"/>
              <w:pageBreakBefore w:val="0"/>
              <w:widowControl w:val="0"/>
              <w:kinsoku/>
              <w:wordWrap/>
              <w:overflowPunct/>
              <w:topLinePunct w:val="0"/>
              <w:autoSpaceDE/>
              <w:autoSpaceDN/>
              <w:bidi w:val="0"/>
              <w:adjustRightInd/>
              <w:snapToGrid w:val="0"/>
              <w:ind w:left="0"/>
              <w:jc w:val="left"/>
              <w:textAlignment w:val="auto"/>
              <w:outlineLvl w:val="9"/>
              <w:rPr>
                <w:rFonts w:hint="eastAsia" w:ascii="仿宋" w:hAnsi="仿宋" w:eastAsia="仿宋"/>
                <w:sz w:val="24"/>
                <w:szCs w:val="24"/>
                <w:highlight w:val="none"/>
              </w:rPr>
            </w:pPr>
            <w:r>
              <w:rPr>
                <w:rFonts w:hint="eastAsia" w:ascii="仿宋" w:hAnsi="仿宋" w:eastAsia="仿宋"/>
                <w:sz w:val="24"/>
                <w:szCs w:val="24"/>
                <w:highlight w:val="none"/>
              </w:rPr>
              <w:t>（4）对于封面、内页、手写诉状或发票等各类不同材料，需用不同比例或是扫描方法进行扫描，确保与纸质诉讼档案规格保持一致。</w:t>
            </w:r>
          </w:p>
          <w:p w14:paraId="7BC96050">
            <w:pPr>
              <w:keepNext w:val="0"/>
              <w:keepLines w:val="0"/>
              <w:pageBreakBefore w:val="0"/>
              <w:widowControl w:val="0"/>
              <w:kinsoku/>
              <w:wordWrap/>
              <w:overflowPunct/>
              <w:topLinePunct w:val="0"/>
              <w:autoSpaceDE/>
              <w:autoSpaceDN/>
              <w:bidi w:val="0"/>
              <w:adjustRightInd/>
              <w:snapToGrid w:val="0"/>
              <w:ind w:left="0"/>
              <w:jc w:val="left"/>
              <w:textAlignment w:val="auto"/>
              <w:outlineLvl w:val="9"/>
              <w:rPr>
                <w:rFonts w:hint="eastAsia" w:ascii="仿宋" w:hAnsi="仿宋" w:eastAsia="仿宋"/>
                <w:sz w:val="24"/>
                <w:szCs w:val="24"/>
                <w:highlight w:val="none"/>
              </w:rPr>
            </w:pPr>
            <w:r>
              <w:rPr>
                <w:rFonts w:hint="eastAsia" w:ascii="仿宋" w:hAnsi="仿宋" w:eastAsia="仿宋"/>
                <w:sz w:val="24"/>
                <w:szCs w:val="24"/>
                <w:highlight w:val="none"/>
              </w:rPr>
              <w:t>（5）扫描的电子数据应与纸质材料页数相符，确保无重扫、漏扫、多扫，同时要确保图像清晰、完整。</w:t>
            </w:r>
          </w:p>
          <w:p w14:paraId="736A1F78">
            <w:pPr>
              <w:keepNext w:val="0"/>
              <w:keepLines w:val="0"/>
              <w:pageBreakBefore w:val="0"/>
              <w:widowControl w:val="0"/>
              <w:kinsoku/>
              <w:wordWrap/>
              <w:overflowPunct/>
              <w:topLinePunct w:val="0"/>
              <w:autoSpaceDE/>
              <w:autoSpaceDN/>
              <w:bidi w:val="0"/>
              <w:adjustRightInd/>
              <w:snapToGrid w:val="0"/>
              <w:ind w:left="0"/>
              <w:jc w:val="left"/>
              <w:textAlignment w:val="auto"/>
              <w:outlineLvl w:val="9"/>
              <w:rPr>
                <w:rFonts w:hint="eastAsia" w:ascii="仿宋" w:hAnsi="仿宋" w:eastAsia="仿宋"/>
                <w:sz w:val="24"/>
                <w:szCs w:val="24"/>
                <w:highlight w:val="none"/>
              </w:rPr>
            </w:pPr>
            <w:r>
              <w:rPr>
                <w:rFonts w:hint="eastAsia" w:ascii="仿宋" w:hAnsi="仿宋" w:eastAsia="仿宋"/>
                <w:sz w:val="24"/>
                <w:szCs w:val="24"/>
                <w:highlight w:val="none"/>
              </w:rPr>
              <w:t>（6）在保证影像质量的前提下，以尽量减少存储容量为准则。</w:t>
            </w:r>
          </w:p>
          <w:p w14:paraId="4D447DC1">
            <w:pPr>
              <w:keepNext w:val="0"/>
              <w:keepLines w:val="0"/>
              <w:pageBreakBefore w:val="0"/>
              <w:widowControl w:val="0"/>
              <w:kinsoku/>
              <w:wordWrap/>
              <w:overflowPunct/>
              <w:topLinePunct w:val="0"/>
              <w:autoSpaceDE/>
              <w:autoSpaceDN/>
              <w:bidi w:val="0"/>
              <w:adjustRightInd/>
              <w:snapToGrid w:val="0"/>
              <w:ind w:left="0"/>
              <w:jc w:val="left"/>
              <w:textAlignment w:val="auto"/>
              <w:outlineLvl w:val="9"/>
              <w:rPr>
                <w:rFonts w:hint="eastAsia" w:ascii="仿宋" w:hAnsi="仿宋" w:eastAsia="仿宋"/>
                <w:sz w:val="24"/>
                <w:szCs w:val="24"/>
                <w:highlight w:val="none"/>
              </w:rPr>
            </w:pPr>
            <w:r>
              <w:rPr>
                <w:rFonts w:hint="eastAsia" w:ascii="仿宋" w:hAnsi="仿宋" w:eastAsia="仿宋"/>
                <w:sz w:val="24"/>
                <w:szCs w:val="24"/>
                <w:highlight w:val="none"/>
              </w:rPr>
              <w:t>（7）纸质材料模糊不清的文件应在电子图片上备注“原件不清”字样，做相应提醒。</w:t>
            </w:r>
          </w:p>
          <w:p w14:paraId="01D4135E">
            <w:pPr>
              <w:keepNext w:val="0"/>
              <w:keepLines w:val="0"/>
              <w:pageBreakBefore w:val="0"/>
              <w:widowControl w:val="0"/>
              <w:kinsoku/>
              <w:wordWrap/>
              <w:overflowPunct/>
              <w:topLinePunct w:val="0"/>
              <w:autoSpaceDE/>
              <w:autoSpaceDN/>
              <w:bidi w:val="0"/>
              <w:adjustRightInd/>
              <w:snapToGrid w:val="0"/>
              <w:ind w:left="0"/>
              <w:jc w:val="left"/>
              <w:textAlignment w:val="auto"/>
              <w:outlineLvl w:val="9"/>
              <w:rPr>
                <w:rFonts w:hint="eastAsia" w:ascii="仿宋" w:hAnsi="仿宋" w:eastAsia="仿宋"/>
                <w:sz w:val="24"/>
                <w:szCs w:val="24"/>
                <w:highlight w:val="none"/>
              </w:rPr>
            </w:pPr>
            <w:r>
              <w:rPr>
                <w:rFonts w:hint="eastAsia" w:ascii="仿宋" w:hAnsi="仿宋" w:eastAsia="仿宋"/>
                <w:sz w:val="24"/>
                <w:szCs w:val="24"/>
                <w:highlight w:val="none"/>
              </w:rPr>
              <w:t>（</w:t>
            </w:r>
            <w:r>
              <w:rPr>
                <w:rFonts w:hint="eastAsia" w:ascii="仿宋" w:hAnsi="仿宋" w:eastAsia="仿宋"/>
                <w:sz w:val="24"/>
                <w:szCs w:val="24"/>
                <w:highlight w:val="none"/>
                <w:lang w:val="en-US" w:eastAsia="zh-CN"/>
              </w:rPr>
              <w:t>8</w:t>
            </w:r>
            <w:r>
              <w:rPr>
                <w:rFonts w:hint="eastAsia" w:ascii="仿宋" w:hAnsi="仿宋" w:eastAsia="仿宋"/>
                <w:sz w:val="24"/>
                <w:szCs w:val="24"/>
                <w:highlight w:val="none"/>
              </w:rPr>
              <w:t>）根据档案幅面的大小和纸张状况，选择相应扫描仪。其中大幅面档案需采用大幅面扫描仪，不可以采用小幅面扫描后的图像拼接方式处理；同页有两个以上文件，需分别扫描，并进行并页处理。</w:t>
            </w:r>
          </w:p>
          <w:p w14:paraId="2E5E6621">
            <w:pPr>
              <w:keepNext w:val="0"/>
              <w:keepLines w:val="0"/>
              <w:pageBreakBefore w:val="0"/>
              <w:widowControl w:val="0"/>
              <w:kinsoku/>
              <w:wordWrap/>
              <w:overflowPunct/>
              <w:topLinePunct w:val="0"/>
              <w:autoSpaceDE/>
              <w:autoSpaceDN/>
              <w:bidi w:val="0"/>
              <w:adjustRightInd/>
              <w:snapToGrid w:val="0"/>
              <w:ind w:left="0"/>
              <w:jc w:val="left"/>
              <w:textAlignment w:val="auto"/>
              <w:outlineLvl w:val="9"/>
              <w:rPr>
                <w:rFonts w:hint="eastAsia" w:ascii="仿宋" w:hAnsi="仿宋" w:eastAsia="仿宋"/>
                <w:sz w:val="24"/>
                <w:szCs w:val="24"/>
                <w:highlight w:val="none"/>
              </w:rPr>
            </w:pPr>
            <w:r>
              <w:rPr>
                <w:rFonts w:hint="eastAsia" w:ascii="仿宋" w:hAnsi="仿宋" w:eastAsia="仿宋"/>
                <w:sz w:val="24"/>
                <w:szCs w:val="24"/>
                <w:highlight w:val="none"/>
              </w:rPr>
              <w:t>（</w:t>
            </w:r>
            <w:r>
              <w:rPr>
                <w:rFonts w:hint="eastAsia" w:ascii="仿宋" w:hAnsi="仿宋" w:eastAsia="仿宋"/>
                <w:sz w:val="24"/>
                <w:szCs w:val="24"/>
                <w:highlight w:val="none"/>
                <w:lang w:val="en-US" w:eastAsia="zh-CN"/>
              </w:rPr>
              <w:t>9</w:t>
            </w:r>
            <w:r>
              <w:rPr>
                <w:rFonts w:hint="eastAsia" w:ascii="仿宋" w:hAnsi="仿宋" w:eastAsia="仿宋"/>
                <w:sz w:val="24"/>
                <w:szCs w:val="24"/>
                <w:highlight w:val="none"/>
              </w:rPr>
              <w:t>）在原件上没有明显质量问题时，所产生的影像文件不应产生黑边、模糊、偏斜等质量问题，对于影响图像质量的非原始性的黑线、黑点（如装订孔等）要进行修补。</w:t>
            </w:r>
          </w:p>
          <w:p w14:paraId="0DA723C9">
            <w:pPr>
              <w:keepNext w:val="0"/>
              <w:keepLines w:val="0"/>
              <w:pageBreakBefore w:val="0"/>
              <w:widowControl w:val="0"/>
              <w:kinsoku/>
              <w:wordWrap/>
              <w:overflowPunct/>
              <w:topLinePunct w:val="0"/>
              <w:autoSpaceDE/>
              <w:autoSpaceDN/>
              <w:bidi w:val="0"/>
              <w:adjustRightInd/>
              <w:snapToGrid w:val="0"/>
              <w:ind w:left="0"/>
              <w:jc w:val="left"/>
              <w:textAlignment w:val="auto"/>
              <w:outlineLvl w:val="9"/>
              <w:rPr>
                <w:rFonts w:hint="eastAsia" w:ascii="仿宋" w:hAnsi="仿宋" w:eastAsia="仿宋"/>
                <w:sz w:val="24"/>
                <w:szCs w:val="24"/>
                <w:highlight w:val="none"/>
              </w:rPr>
            </w:pPr>
            <w:r>
              <w:rPr>
                <w:rFonts w:hint="eastAsia" w:ascii="仿宋" w:hAnsi="仿宋" w:eastAsia="仿宋"/>
                <w:sz w:val="24"/>
                <w:szCs w:val="24"/>
                <w:highlight w:val="none"/>
              </w:rPr>
              <w:t>（二）图像处理要求</w:t>
            </w:r>
          </w:p>
          <w:p w14:paraId="672A6B80">
            <w:pPr>
              <w:keepNext w:val="0"/>
              <w:keepLines w:val="0"/>
              <w:pageBreakBefore w:val="0"/>
              <w:widowControl w:val="0"/>
              <w:kinsoku/>
              <w:wordWrap/>
              <w:overflowPunct/>
              <w:topLinePunct w:val="0"/>
              <w:autoSpaceDE/>
              <w:autoSpaceDN/>
              <w:bidi w:val="0"/>
              <w:adjustRightInd/>
              <w:snapToGrid w:val="0"/>
              <w:ind w:left="0"/>
              <w:jc w:val="left"/>
              <w:textAlignment w:val="auto"/>
              <w:outlineLvl w:val="9"/>
              <w:rPr>
                <w:rFonts w:hint="eastAsia" w:ascii="仿宋" w:hAnsi="仿宋" w:eastAsia="仿宋"/>
                <w:sz w:val="24"/>
                <w:szCs w:val="24"/>
                <w:highlight w:val="none"/>
              </w:rPr>
            </w:pPr>
            <w:r>
              <w:rPr>
                <w:rFonts w:hint="eastAsia" w:ascii="仿宋" w:hAnsi="仿宋" w:eastAsia="仿宋"/>
                <w:sz w:val="24"/>
                <w:szCs w:val="24"/>
                <w:highlight w:val="none"/>
              </w:rPr>
              <w:t>对扫描的影像文件进行处理，提高扫描文件的质量。具体要求如下：</w:t>
            </w:r>
          </w:p>
          <w:p w14:paraId="5EA5A8C8">
            <w:pPr>
              <w:keepNext w:val="0"/>
              <w:keepLines w:val="0"/>
              <w:pageBreakBefore w:val="0"/>
              <w:widowControl w:val="0"/>
              <w:kinsoku/>
              <w:wordWrap/>
              <w:overflowPunct/>
              <w:topLinePunct w:val="0"/>
              <w:autoSpaceDE/>
              <w:autoSpaceDN/>
              <w:bidi w:val="0"/>
              <w:adjustRightInd/>
              <w:snapToGrid w:val="0"/>
              <w:ind w:left="0"/>
              <w:jc w:val="left"/>
              <w:textAlignment w:val="auto"/>
              <w:outlineLvl w:val="9"/>
              <w:rPr>
                <w:rFonts w:hint="eastAsia" w:ascii="仿宋" w:hAnsi="仿宋" w:eastAsia="仿宋"/>
                <w:sz w:val="24"/>
                <w:szCs w:val="24"/>
                <w:highlight w:val="none"/>
              </w:rPr>
            </w:pPr>
            <w:r>
              <w:rPr>
                <w:rFonts w:hint="eastAsia" w:ascii="仿宋" w:hAnsi="仿宋" w:eastAsia="仿宋"/>
                <w:sz w:val="24"/>
                <w:szCs w:val="24"/>
                <w:highlight w:val="none"/>
              </w:rPr>
              <w:t>（1）处理过程中应遵循在不影响可懂度的前提下展现档案原貌的原则。</w:t>
            </w:r>
          </w:p>
          <w:p w14:paraId="4DB260A7">
            <w:pPr>
              <w:keepNext w:val="0"/>
              <w:keepLines w:val="0"/>
              <w:pageBreakBefore w:val="0"/>
              <w:widowControl w:val="0"/>
              <w:kinsoku/>
              <w:wordWrap/>
              <w:overflowPunct/>
              <w:topLinePunct w:val="0"/>
              <w:autoSpaceDE/>
              <w:autoSpaceDN/>
              <w:bidi w:val="0"/>
              <w:adjustRightInd/>
              <w:snapToGrid w:val="0"/>
              <w:ind w:left="0"/>
              <w:jc w:val="left"/>
              <w:textAlignment w:val="auto"/>
              <w:outlineLvl w:val="9"/>
              <w:rPr>
                <w:rFonts w:hint="eastAsia" w:ascii="仿宋" w:hAnsi="仿宋" w:eastAsia="仿宋"/>
                <w:sz w:val="24"/>
                <w:szCs w:val="24"/>
                <w:highlight w:val="none"/>
              </w:rPr>
            </w:pPr>
            <w:r>
              <w:rPr>
                <w:rFonts w:hint="eastAsia" w:ascii="仿宋" w:hAnsi="仿宋" w:eastAsia="仿宋"/>
                <w:sz w:val="24"/>
                <w:szCs w:val="24"/>
                <w:highlight w:val="none"/>
              </w:rPr>
              <w:t>（2）应对扫描后的图像进行逐页纠偏、去污、图像拼接、裁边处理和排列顺序调整。对工程蓝图进行消蓝处理、对传真件、复印件、红兰章等进行特殊图像处理，图像偏度小于1度（以标题所在水平线为准），图像拼接处信息要完整，不能缺少遗漏任何信息内容。</w:t>
            </w:r>
          </w:p>
          <w:p w14:paraId="0607E474">
            <w:pPr>
              <w:keepNext w:val="0"/>
              <w:keepLines w:val="0"/>
              <w:pageBreakBefore w:val="0"/>
              <w:widowControl w:val="0"/>
              <w:kinsoku/>
              <w:wordWrap/>
              <w:overflowPunct/>
              <w:topLinePunct w:val="0"/>
              <w:autoSpaceDE/>
              <w:autoSpaceDN/>
              <w:bidi w:val="0"/>
              <w:adjustRightInd/>
              <w:snapToGrid w:val="0"/>
              <w:ind w:left="0"/>
              <w:jc w:val="left"/>
              <w:textAlignment w:val="auto"/>
              <w:outlineLvl w:val="9"/>
              <w:rPr>
                <w:rFonts w:hint="eastAsia" w:ascii="仿宋" w:hAnsi="仿宋" w:eastAsia="仿宋"/>
                <w:sz w:val="24"/>
                <w:szCs w:val="24"/>
                <w:highlight w:val="none"/>
              </w:rPr>
            </w:pPr>
            <w:r>
              <w:rPr>
                <w:rFonts w:hint="eastAsia" w:ascii="仿宋" w:hAnsi="仿宋" w:eastAsia="仿宋"/>
                <w:sz w:val="24"/>
                <w:szCs w:val="24"/>
                <w:highlight w:val="none"/>
              </w:rPr>
              <w:t>（3）在原件上没有明显质量问题时，所产生的影像文件不应产生黑边、模糊、偏斜等质量问题，对于影响图像质量的非原始性的杂质，如黑点（如装订孔等）、黑线、黑框、黑边等应进行去污、修补处理。</w:t>
            </w:r>
          </w:p>
          <w:p w14:paraId="2DA40A73">
            <w:pPr>
              <w:keepNext w:val="0"/>
              <w:keepLines w:val="0"/>
              <w:pageBreakBefore w:val="0"/>
              <w:widowControl w:val="0"/>
              <w:kinsoku/>
              <w:wordWrap/>
              <w:overflowPunct/>
              <w:topLinePunct w:val="0"/>
              <w:autoSpaceDE/>
              <w:autoSpaceDN/>
              <w:bidi w:val="0"/>
              <w:adjustRightInd/>
              <w:snapToGrid w:val="0"/>
              <w:ind w:left="0"/>
              <w:jc w:val="left"/>
              <w:textAlignment w:val="auto"/>
              <w:outlineLvl w:val="9"/>
              <w:rPr>
                <w:rFonts w:hint="eastAsia" w:ascii="仿宋" w:hAnsi="仿宋" w:eastAsia="仿宋"/>
                <w:sz w:val="24"/>
                <w:szCs w:val="24"/>
                <w:highlight w:val="none"/>
              </w:rPr>
            </w:pPr>
            <w:r>
              <w:rPr>
                <w:rFonts w:hint="eastAsia" w:ascii="仿宋" w:hAnsi="仿宋" w:eastAsia="仿宋"/>
                <w:sz w:val="24"/>
                <w:szCs w:val="24"/>
                <w:highlight w:val="none"/>
              </w:rPr>
              <w:t>（4）扫描影像的排列顺序与档案原件不一致时，应及时进行调整。</w:t>
            </w:r>
          </w:p>
          <w:p w14:paraId="2BB3E79A">
            <w:pPr>
              <w:keepNext w:val="0"/>
              <w:keepLines w:val="0"/>
              <w:pageBreakBefore w:val="0"/>
              <w:widowControl w:val="0"/>
              <w:kinsoku/>
              <w:wordWrap/>
              <w:overflowPunct/>
              <w:topLinePunct w:val="0"/>
              <w:autoSpaceDE/>
              <w:autoSpaceDN/>
              <w:bidi w:val="0"/>
              <w:adjustRightInd/>
              <w:snapToGrid w:val="0"/>
              <w:ind w:left="0"/>
              <w:jc w:val="left"/>
              <w:textAlignment w:val="auto"/>
              <w:outlineLvl w:val="9"/>
              <w:rPr>
                <w:rFonts w:hint="eastAsia" w:ascii="仿宋" w:hAnsi="仿宋" w:eastAsia="仿宋"/>
                <w:sz w:val="24"/>
                <w:szCs w:val="24"/>
                <w:highlight w:val="none"/>
              </w:rPr>
            </w:pPr>
            <w:r>
              <w:rPr>
                <w:rFonts w:hint="eastAsia" w:ascii="仿宋" w:hAnsi="仿宋" w:eastAsia="仿宋"/>
                <w:sz w:val="24"/>
                <w:szCs w:val="24"/>
                <w:highlight w:val="none"/>
              </w:rPr>
              <w:t>（5）对偏斜的图像进行纠偏处理，要求偏斜度小于1度（以标题所在水平线为准）；对方向不正确的图像应进行旋转还原，以符合阅读习惯。对如下材料扫描后要特殊处理：各种结论和审批性材料（收件收据，存根，审批表等），各种文件中印章信息，例如：日期、单位印章，合同文件中的各类印章等；身份证等各类复印件；各种手写、复写的信息，如收据、发票，复写或手写的明细表；字体小且字迹较模糊的蓝图原件或图纸复印件；旧契证、契证照片等历史时期较长的复印资料；其它因纸张、字迹等因素不清晰的文件等。</w:t>
            </w:r>
          </w:p>
          <w:p w14:paraId="363321B3">
            <w:pPr>
              <w:keepNext w:val="0"/>
              <w:keepLines w:val="0"/>
              <w:pageBreakBefore w:val="0"/>
              <w:widowControl w:val="0"/>
              <w:kinsoku/>
              <w:wordWrap/>
              <w:overflowPunct/>
              <w:topLinePunct w:val="0"/>
              <w:autoSpaceDE/>
              <w:autoSpaceDN/>
              <w:bidi w:val="0"/>
              <w:adjustRightInd/>
              <w:snapToGrid w:val="0"/>
              <w:ind w:left="0"/>
              <w:jc w:val="left"/>
              <w:textAlignment w:val="auto"/>
              <w:outlineLvl w:val="9"/>
              <w:rPr>
                <w:rFonts w:hint="eastAsia" w:ascii="仿宋" w:hAnsi="仿宋" w:eastAsia="仿宋"/>
                <w:sz w:val="24"/>
                <w:szCs w:val="24"/>
                <w:highlight w:val="none"/>
              </w:rPr>
            </w:pPr>
            <w:r>
              <w:rPr>
                <w:rFonts w:hint="eastAsia" w:ascii="仿宋" w:hAnsi="仿宋" w:eastAsia="仿宋"/>
                <w:sz w:val="24"/>
                <w:szCs w:val="24"/>
                <w:highlight w:val="none"/>
              </w:rPr>
              <w:t>（6）扫描页面内容居中显示，不可出现明显偏左或偏右的现象，正文内容、页眉、页脚反面印章、附件、手写注释等信息完整；图像内容与原件完全对应，不得出现内容残缺或将旁页信息扫如本页的现象。</w:t>
            </w:r>
          </w:p>
          <w:p w14:paraId="75B25E17">
            <w:pPr>
              <w:keepNext w:val="0"/>
              <w:keepLines w:val="0"/>
              <w:pageBreakBefore w:val="0"/>
              <w:widowControl w:val="0"/>
              <w:kinsoku/>
              <w:wordWrap/>
              <w:overflowPunct/>
              <w:topLinePunct w:val="0"/>
              <w:autoSpaceDE/>
              <w:autoSpaceDN/>
              <w:bidi w:val="0"/>
              <w:adjustRightInd/>
              <w:snapToGrid w:val="0"/>
              <w:ind w:left="0"/>
              <w:jc w:val="left"/>
              <w:textAlignment w:val="auto"/>
              <w:outlineLvl w:val="9"/>
              <w:rPr>
                <w:rFonts w:hint="eastAsia" w:ascii="仿宋" w:hAnsi="仿宋" w:eastAsia="仿宋"/>
                <w:sz w:val="24"/>
                <w:szCs w:val="24"/>
                <w:highlight w:val="none"/>
              </w:rPr>
            </w:pPr>
            <w:r>
              <w:rPr>
                <w:rFonts w:hint="eastAsia" w:ascii="仿宋" w:hAnsi="仿宋" w:eastAsia="仿宋"/>
                <w:sz w:val="24"/>
                <w:szCs w:val="24"/>
                <w:highlight w:val="none"/>
              </w:rPr>
              <w:t>（7）采用彩色模式扫描的图像应进行裁边处理，去除多余的白边，以减小图像文件的容量。</w:t>
            </w:r>
          </w:p>
          <w:p w14:paraId="5DA51CDC">
            <w:pPr>
              <w:keepNext w:val="0"/>
              <w:keepLines w:val="0"/>
              <w:pageBreakBefore w:val="0"/>
              <w:widowControl w:val="0"/>
              <w:kinsoku/>
              <w:wordWrap/>
              <w:overflowPunct/>
              <w:topLinePunct w:val="0"/>
              <w:autoSpaceDE/>
              <w:autoSpaceDN/>
              <w:bidi w:val="0"/>
              <w:adjustRightInd/>
              <w:snapToGrid w:val="0"/>
              <w:ind w:left="0"/>
              <w:jc w:val="left"/>
              <w:textAlignment w:val="auto"/>
              <w:outlineLvl w:val="9"/>
              <w:rPr>
                <w:rFonts w:ascii="仿宋" w:hAnsi="仿宋" w:eastAsia="仿宋"/>
                <w:sz w:val="24"/>
                <w:szCs w:val="24"/>
                <w:highlight w:val="none"/>
              </w:rPr>
            </w:pPr>
            <w:r>
              <w:rPr>
                <w:rFonts w:hint="eastAsia" w:ascii="仿宋" w:hAnsi="仿宋" w:eastAsia="仿宋"/>
                <w:sz w:val="24"/>
                <w:szCs w:val="24"/>
                <w:highlight w:val="none"/>
              </w:rPr>
              <w:t>（8）扫描图像字迹清晰、颜色恰当，不宜过浅和过深；不得出现字迹笔画残缺或字迹笔画叠合而影响阅读的情况，</w:t>
            </w:r>
            <w:r>
              <w:rPr>
                <w:rFonts w:hint="eastAsia" w:ascii="仿宋" w:hAnsi="仿宋" w:eastAsia="仿宋"/>
                <w:sz w:val="24"/>
                <w:szCs w:val="24"/>
                <w:highlight w:val="none"/>
                <w:lang w:eastAsia="zh-CN"/>
              </w:rPr>
              <w:t>即使原件存在锈斑变质</w:t>
            </w:r>
            <w:r>
              <w:rPr>
                <w:rFonts w:hint="eastAsia" w:ascii="仿宋" w:hAnsi="仿宋" w:eastAsia="仿宋"/>
                <w:sz w:val="24"/>
                <w:szCs w:val="24"/>
                <w:highlight w:val="none"/>
              </w:rPr>
              <w:t>、颜色深浅不一致，应保证扫描图像可读。</w:t>
            </w:r>
          </w:p>
        </w:tc>
        <w:tc>
          <w:tcPr>
            <w:tcW w:w="1751" w:type="dxa"/>
            <w:tcBorders>
              <w:top w:val="single" w:color="auto" w:sz="4" w:space="0"/>
              <w:left w:val="single" w:color="auto" w:sz="4" w:space="0"/>
              <w:bottom w:val="single" w:color="auto" w:sz="4" w:space="0"/>
              <w:right w:val="single" w:color="auto" w:sz="4" w:space="0"/>
            </w:tcBorders>
            <w:vAlign w:val="center"/>
          </w:tcPr>
          <w:p w14:paraId="75592CC6">
            <w:pPr>
              <w:keepNext w:val="0"/>
              <w:keepLines w:val="0"/>
              <w:pageBreakBefore w:val="0"/>
              <w:widowControl w:val="0"/>
              <w:kinsoku/>
              <w:wordWrap/>
              <w:overflowPunct/>
              <w:topLinePunct w:val="0"/>
              <w:autoSpaceDE/>
              <w:autoSpaceDN/>
              <w:bidi w:val="0"/>
              <w:adjustRightInd/>
              <w:snapToGrid w:val="0"/>
              <w:ind w:left="0"/>
              <w:jc w:val="center"/>
              <w:textAlignment w:val="auto"/>
              <w:outlineLvl w:val="9"/>
              <w:rPr>
                <w:rFonts w:ascii="仿宋" w:hAnsi="仿宋" w:eastAsia="仿宋"/>
                <w:sz w:val="24"/>
                <w:szCs w:val="24"/>
                <w:highlight w:val="none"/>
              </w:rPr>
            </w:pPr>
          </w:p>
        </w:tc>
        <w:tc>
          <w:tcPr>
            <w:tcW w:w="1808" w:type="dxa"/>
            <w:tcBorders>
              <w:top w:val="single" w:color="auto" w:sz="4" w:space="0"/>
              <w:left w:val="single" w:color="auto" w:sz="4" w:space="0"/>
              <w:bottom w:val="single" w:color="auto" w:sz="4" w:space="0"/>
              <w:right w:val="single" w:color="auto" w:sz="4" w:space="0"/>
            </w:tcBorders>
            <w:vAlign w:val="center"/>
          </w:tcPr>
          <w:p w14:paraId="0D9BDC66">
            <w:pPr>
              <w:keepNext w:val="0"/>
              <w:keepLines w:val="0"/>
              <w:pageBreakBefore w:val="0"/>
              <w:widowControl w:val="0"/>
              <w:kinsoku/>
              <w:wordWrap/>
              <w:overflowPunct/>
              <w:topLinePunct w:val="0"/>
              <w:autoSpaceDE/>
              <w:autoSpaceDN/>
              <w:bidi w:val="0"/>
              <w:adjustRightInd/>
              <w:snapToGrid w:val="0"/>
              <w:ind w:left="0"/>
              <w:jc w:val="center"/>
              <w:textAlignment w:val="auto"/>
              <w:outlineLvl w:val="9"/>
              <w:rPr>
                <w:rFonts w:ascii="仿宋" w:hAnsi="仿宋" w:eastAsia="仿宋"/>
                <w:sz w:val="24"/>
                <w:szCs w:val="24"/>
                <w:highlight w:val="none"/>
              </w:rPr>
            </w:pPr>
          </w:p>
        </w:tc>
        <w:tc>
          <w:tcPr>
            <w:tcW w:w="637" w:type="dxa"/>
            <w:tcBorders>
              <w:top w:val="single" w:color="auto" w:sz="4" w:space="0"/>
              <w:left w:val="single" w:color="auto" w:sz="4" w:space="0"/>
              <w:bottom w:val="single" w:color="auto" w:sz="4" w:space="0"/>
              <w:right w:val="single" w:color="auto" w:sz="4" w:space="0"/>
            </w:tcBorders>
            <w:vAlign w:val="center"/>
          </w:tcPr>
          <w:p w14:paraId="5056E243">
            <w:pPr>
              <w:keepNext w:val="0"/>
              <w:keepLines w:val="0"/>
              <w:pageBreakBefore w:val="0"/>
              <w:widowControl w:val="0"/>
              <w:kinsoku/>
              <w:wordWrap/>
              <w:overflowPunct/>
              <w:topLinePunct w:val="0"/>
              <w:autoSpaceDE/>
              <w:autoSpaceDN/>
              <w:bidi w:val="0"/>
              <w:adjustRightInd/>
              <w:snapToGrid w:val="0"/>
              <w:ind w:left="0"/>
              <w:jc w:val="center"/>
              <w:textAlignment w:val="auto"/>
              <w:outlineLvl w:val="9"/>
              <w:rPr>
                <w:rFonts w:ascii="仿宋" w:hAnsi="仿宋" w:eastAsia="仿宋"/>
                <w:sz w:val="24"/>
                <w:szCs w:val="24"/>
                <w:highlight w:val="none"/>
              </w:rPr>
            </w:pPr>
          </w:p>
        </w:tc>
      </w:tr>
      <w:tr w14:paraId="17C1C81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tcBorders>
              <w:top w:val="single" w:color="auto" w:sz="4" w:space="0"/>
              <w:left w:val="single" w:color="auto" w:sz="4" w:space="0"/>
              <w:bottom w:val="single" w:color="auto" w:sz="4" w:space="0"/>
              <w:right w:val="single" w:color="auto" w:sz="4" w:space="0"/>
            </w:tcBorders>
            <w:vAlign w:val="center"/>
          </w:tcPr>
          <w:p w14:paraId="75CAC703">
            <w:pPr>
              <w:keepNext w:val="0"/>
              <w:keepLines w:val="0"/>
              <w:pageBreakBefore w:val="0"/>
              <w:widowControl w:val="0"/>
              <w:kinsoku/>
              <w:wordWrap/>
              <w:overflowPunct/>
              <w:topLinePunct w:val="0"/>
              <w:autoSpaceDE/>
              <w:autoSpaceDN/>
              <w:bidi w:val="0"/>
              <w:adjustRightInd/>
              <w:snapToGrid w:val="0"/>
              <w:ind w:left="0"/>
              <w:jc w:val="center"/>
              <w:textAlignment w:val="auto"/>
              <w:outlineLvl w:val="9"/>
              <w:rPr>
                <w:rFonts w:hint="eastAsia" w:ascii="仿宋" w:hAnsi="仿宋" w:eastAsia="仿宋"/>
                <w:sz w:val="24"/>
                <w:szCs w:val="24"/>
                <w:highlight w:val="none"/>
                <w:lang w:val="en-US" w:eastAsia="zh-CN"/>
              </w:rPr>
            </w:pPr>
            <w:r>
              <w:rPr>
                <w:rFonts w:hint="eastAsia" w:ascii="仿宋" w:hAnsi="仿宋" w:eastAsia="仿宋"/>
                <w:sz w:val="24"/>
                <w:szCs w:val="24"/>
                <w:highlight w:val="none"/>
                <w:lang w:val="en-US" w:eastAsia="zh-CN"/>
              </w:rPr>
              <w:t>3</w:t>
            </w:r>
          </w:p>
        </w:tc>
        <w:tc>
          <w:tcPr>
            <w:tcW w:w="834" w:type="dxa"/>
            <w:tcBorders>
              <w:top w:val="single" w:color="auto" w:sz="4" w:space="0"/>
              <w:left w:val="single" w:color="auto" w:sz="4" w:space="0"/>
              <w:bottom w:val="single" w:color="auto" w:sz="4" w:space="0"/>
              <w:right w:val="single" w:color="auto" w:sz="4" w:space="0"/>
            </w:tcBorders>
            <w:vAlign w:val="center"/>
          </w:tcPr>
          <w:p w14:paraId="6132C403">
            <w:pPr>
              <w:keepNext w:val="0"/>
              <w:keepLines w:val="0"/>
              <w:pageBreakBefore w:val="0"/>
              <w:widowControl w:val="0"/>
              <w:kinsoku/>
              <w:wordWrap/>
              <w:overflowPunct/>
              <w:topLinePunct w:val="0"/>
              <w:autoSpaceDE/>
              <w:autoSpaceDN/>
              <w:bidi w:val="0"/>
              <w:adjustRightInd/>
              <w:snapToGrid w:val="0"/>
              <w:ind w:left="0"/>
              <w:jc w:val="center"/>
              <w:textAlignment w:val="auto"/>
              <w:outlineLvl w:val="9"/>
              <w:rPr>
                <w:rFonts w:ascii="仿宋" w:hAnsi="仿宋" w:eastAsia="仿宋"/>
                <w:sz w:val="24"/>
                <w:szCs w:val="24"/>
                <w:highlight w:val="none"/>
              </w:rPr>
            </w:pPr>
            <w:r>
              <w:rPr>
                <w:rFonts w:hint="eastAsia" w:ascii="仿宋" w:hAnsi="仿宋" w:eastAsia="仿宋" w:cs="仿宋"/>
                <w:sz w:val="24"/>
                <w:szCs w:val="24"/>
                <w:highlight w:val="none"/>
              </w:rPr>
              <w:t>人员配置要求</w:t>
            </w:r>
          </w:p>
        </w:tc>
        <w:tc>
          <w:tcPr>
            <w:tcW w:w="3851" w:type="dxa"/>
            <w:tcBorders>
              <w:top w:val="single" w:color="auto" w:sz="4" w:space="0"/>
              <w:left w:val="single" w:color="auto" w:sz="4" w:space="0"/>
              <w:bottom w:val="single" w:color="auto" w:sz="4" w:space="0"/>
              <w:right w:val="single" w:color="auto" w:sz="4" w:space="0"/>
            </w:tcBorders>
            <w:vAlign w:val="center"/>
          </w:tcPr>
          <w:p w14:paraId="67B9EA1E">
            <w:pPr>
              <w:keepNext w:val="0"/>
              <w:keepLines w:val="0"/>
              <w:pageBreakBefore w:val="0"/>
              <w:widowControl w:val="0"/>
              <w:kinsoku/>
              <w:wordWrap/>
              <w:overflowPunct/>
              <w:topLinePunct w:val="0"/>
              <w:autoSpaceDE/>
              <w:autoSpaceDN/>
              <w:bidi w:val="0"/>
              <w:adjustRightInd/>
              <w:snapToGrid w:val="0"/>
              <w:ind w:left="0"/>
              <w:jc w:val="left"/>
              <w:textAlignment w:val="auto"/>
              <w:outlineLvl w:val="9"/>
              <w:rPr>
                <w:rFonts w:hint="eastAsia" w:ascii="仿宋" w:hAnsi="仿宋" w:eastAsia="仿宋"/>
                <w:sz w:val="24"/>
                <w:szCs w:val="24"/>
                <w:highlight w:val="none"/>
              </w:rPr>
            </w:pPr>
            <w:r>
              <w:rPr>
                <w:rFonts w:hint="eastAsia" w:ascii="仿宋" w:hAnsi="仿宋" w:eastAsia="仿宋"/>
                <w:sz w:val="24"/>
                <w:szCs w:val="24"/>
                <w:highlight w:val="none"/>
              </w:rPr>
              <w:t>（一）响应供应商投入本项目的人员不少于12人，且为响应供应商的正式员工。响应文件中须提供人员简历表、有效身份证的复印件(正、反面)和响应文件提交截止日前近1个月供应商为其缴纳的社保证明。响应文件提交截止日前入职不足1个月人员须提供</w:t>
            </w:r>
            <w:r>
              <w:rPr>
                <w:rFonts w:hint="eastAsia" w:ascii="仿宋" w:hAnsi="仿宋" w:eastAsia="仿宋"/>
                <w:sz w:val="24"/>
                <w:szCs w:val="24"/>
                <w:highlight w:val="none"/>
                <w:lang w:eastAsia="zh-CN"/>
              </w:rPr>
              <w:t>劳动合同</w:t>
            </w:r>
            <w:r>
              <w:rPr>
                <w:rFonts w:hint="eastAsia" w:ascii="仿宋" w:hAnsi="仿宋" w:eastAsia="仿宋"/>
                <w:sz w:val="24"/>
                <w:szCs w:val="24"/>
                <w:highlight w:val="none"/>
              </w:rPr>
              <w:t>。响应文件提交截止日前成立不足3个月的新办企业只须提供社保缴纳名册（名册中包含投入本项目的人员）；新成立企业距响应文件提交截止日不足30日的，可不提供社保证明材料（以新办企业营业执照发放日期为准），未提供视为无效响应。</w:t>
            </w:r>
          </w:p>
          <w:p w14:paraId="1E8DA64F">
            <w:pPr>
              <w:keepNext w:val="0"/>
              <w:keepLines w:val="0"/>
              <w:pageBreakBefore w:val="0"/>
              <w:widowControl w:val="0"/>
              <w:kinsoku/>
              <w:wordWrap/>
              <w:overflowPunct/>
              <w:topLinePunct w:val="0"/>
              <w:autoSpaceDE/>
              <w:autoSpaceDN/>
              <w:bidi w:val="0"/>
              <w:adjustRightInd/>
              <w:snapToGrid w:val="0"/>
              <w:ind w:left="0"/>
              <w:jc w:val="left"/>
              <w:textAlignment w:val="auto"/>
              <w:outlineLvl w:val="9"/>
              <w:rPr>
                <w:rFonts w:hint="eastAsia" w:ascii="仿宋" w:hAnsi="仿宋" w:eastAsia="仿宋"/>
                <w:sz w:val="24"/>
                <w:szCs w:val="24"/>
                <w:highlight w:val="none"/>
              </w:rPr>
            </w:pPr>
            <w:r>
              <w:rPr>
                <w:rFonts w:hint="eastAsia" w:ascii="仿宋" w:hAnsi="仿宋" w:eastAsia="仿宋"/>
                <w:sz w:val="24"/>
                <w:szCs w:val="24"/>
                <w:highlight w:val="none"/>
              </w:rPr>
              <w:t>（二）成交供应商驻场工作人员要求</w:t>
            </w:r>
          </w:p>
          <w:p w14:paraId="5138B98E">
            <w:pPr>
              <w:keepNext w:val="0"/>
              <w:keepLines w:val="0"/>
              <w:pageBreakBefore w:val="0"/>
              <w:widowControl w:val="0"/>
              <w:kinsoku/>
              <w:wordWrap/>
              <w:overflowPunct/>
              <w:topLinePunct w:val="0"/>
              <w:autoSpaceDE/>
              <w:autoSpaceDN/>
              <w:bidi w:val="0"/>
              <w:adjustRightInd/>
              <w:snapToGrid w:val="0"/>
              <w:ind w:left="0"/>
              <w:jc w:val="left"/>
              <w:textAlignment w:val="auto"/>
              <w:outlineLvl w:val="9"/>
              <w:rPr>
                <w:rFonts w:hint="eastAsia" w:ascii="仿宋" w:hAnsi="仿宋" w:eastAsia="仿宋"/>
                <w:sz w:val="24"/>
                <w:szCs w:val="24"/>
                <w:highlight w:val="none"/>
              </w:rPr>
            </w:pPr>
            <w:r>
              <w:rPr>
                <w:rFonts w:hint="eastAsia" w:ascii="仿宋" w:hAnsi="仿宋" w:eastAsia="仿宋"/>
                <w:sz w:val="24"/>
                <w:szCs w:val="24"/>
                <w:highlight w:val="none"/>
              </w:rPr>
              <w:t>1.</w:t>
            </w:r>
            <w:r>
              <w:rPr>
                <w:rFonts w:hint="eastAsia" w:ascii="仿宋" w:hAnsi="仿宋" w:eastAsia="仿宋"/>
                <w:sz w:val="24"/>
                <w:szCs w:val="24"/>
                <w:highlight w:val="none"/>
                <w:lang w:eastAsia="zh-CN"/>
              </w:rPr>
              <w:t>具备高中及以上学历（含中专）</w:t>
            </w:r>
            <w:r>
              <w:rPr>
                <w:rFonts w:hint="eastAsia" w:ascii="仿宋" w:hAnsi="仿宋" w:eastAsia="仿宋"/>
                <w:sz w:val="24"/>
                <w:szCs w:val="24"/>
                <w:highlight w:val="none"/>
              </w:rPr>
              <w:t>，能够熟练操作使用计算机和扫描设备；</w:t>
            </w:r>
          </w:p>
          <w:p w14:paraId="09523320">
            <w:pPr>
              <w:keepNext w:val="0"/>
              <w:keepLines w:val="0"/>
              <w:pageBreakBefore w:val="0"/>
              <w:widowControl w:val="0"/>
              <w:kinsoku/>
              <w:wordWrap/>
              <w:overflowPunct/>
              <w:topLinePunct w:val="0"/>
              <w:autoSpaceDE/>
              <w:autoSpaceDN/>
              <w:bidi w:val="0"/>
              <w:adjustRightInd/>
              <w:snapToGrid w:val="0"/>
              <w:ind w:left="0"/>
              <w:jc w:val="left"/>
              <w:textAlignment w:val="auto"/>
              <w:outlineLvl w:val="9"/>
              <w:rPr>
                <w:rFonts w:hint="eastAsia" w:ascii="仿宋" w:hAnsi="仿宋" w:eastAsia="仿宋"/>
                <w:sz w:val="24"/>
                <w:szCs w:val="24"/>
                <w:highlight w:val="none"/>
              </w:rPr>
            </w:pPr>
            <w:r>
              <w:rPr>
                <w:rFonts w:hint="eastAsia" w:ascii="仿宋" w:hAnsi="仿宋" w:eastAsia="仿宋"/>
                <w:sz w:val="24"/>
                <w:szCs w:val="24"/>
                <w:highlight w:val="none"/>
              </w:rPr>
              <w:t>2.通过培训能熟悉立案、审理、结案归档等流程，以及对案件相关材料的辨别整理工作；</w:t>
            </w:r>
          </w:p>
          <w:p w14:paraId="421991E6">
            <w:pPr>
              <w:keepNext w:val="0"/>
              <w:keepLines w:val="0"/>
              <w:pageBreakBefore w:val="0"/>
              <w:widowControl w:val="0"/>
              <w:kinsoku/>
              <w:wordWrap/>
              <w:overflowPunct/>
              <w:topLinePunct w:val="0"/>
              <w:autoSpaceDE/>
              <w:autoSpaceDN/>
              <w:bidi w:val="0"/>
              <w:adjustRightInd/>
              <w:snapToGrid w:val="0"/>
              <w:ind w:left="0"/>
              <w:jc w:val="left"/>
              <w:textAlignment w:val="auto"/>
              <w:outlineLvl w:val="9"/>
              <w:rPr>
                <w:rFonts w:hint="eastAsia" w:ascii="仿宋" w:hAnsi="仿宋" w:eastAsia="仿宋"/>
                <w:sz w:val="24"/>
                <w:szCs w:val="24"/>
                <w:highlight w:val="none"/>
              </w:rPr>
            </w:pPr>
            <w:r>
              <w:rPr>
                <w:rFonts w:hint="eastAsia" w:ascii="仿宋" w:hAnsi="仿宋" w:eastAsia="仿宋"/>
                <w:sz w:val="24"/>
                <w:szCs w:val="24"/>
                <w:highlight w:val="none"/>
              </w:rPr>
              <w:t>3.通过政治审查，本人及其直系亲属在本院无未结执行案件；</w:t>
            </w:r>
          </w:p>
          <w:p w14:paraId="3F7E6159">
            <w:pPr>
              <w:keepNext w:val="0"/>
              <w:keepLines w:val="0"/>
              <w:pageBreakBefore w:val="0"/>
              <w:widowControl w:val="0"/>
              <w:kinsoku/>
              <w:wordWrap/>
              <w:overflowPunct/>
              <w:topLinePunct w:val="0"/>
              <w:autoSpaceDE/>
              <w:autoSpaceDN/>
              <w:bidi w:val="0"/>
              <w:adjustRightInd/>
              <w:snapToGrid w:val="0"/>
              <w:ind w:left="0"/>
              <w:jc w:val="left"/>
              <w:textAlignment w:val="auto"/>
              <w:outlineLvl w:val="9"/>
              <w:rPr>
                <w:rFonts w:hint="eastAsia" w:ascii="仿宋" w:hAnsi="仿宋" w:eastAsia="仿宋"/>
                <w:sz w:val="24"/>
                <w:szCs w:val="24"/>
                <w:highlight w:val="none"/>
              </w:rPr>
            </w:pPr>
            <w:r>
              <w:rPr>
                <w:rFonts w:hint="eastAsia" w:ascii="仿宋" w:hAnsi="仿宋" w:eastAsia="仿宋"/>
                <w:sz w:val="24"/>
                <w:szCs w:val="24"/>
                <w:highlight w:val="none"/>
              </w:rPr>
              <w:t>4.工作责任心强，服务热情周到，服从工作安排。</w:t>
            </w:r>
          </w:p>
          <w:p w14:paraId="111EF6AF">
            <w:pPr>
              <w:keepNext w:val="0"/>
              <w:keepLines w:val="0"/>
              <w:pageBreakBefore w:val="0"/>
              <w:widowControl w:val="0"/>
              <w:kinsoku/>
              <w:wordWrap/>
              <w:overflowPunct/>
              <w:topLinePunct w:val="0"/>
              <w:autoSpaceDE/>
              <w:autoSpaceDN/>
              <w:bidi w:val="0"/>
              <w:adjustRightInd/>
              <w:snapToGrid w:val="0"/>
              <w:ind w:left="0"/>
              <w:jc w:val="left"/>
              <w:textAlignment w:val="auto"/>
              <w:outlineLvl w:val="9"/>
              <w:rPr>
                <w:rFonts w:hint="eastAsia" w:ascii="仿宋" w:hAnsi="仿宋" w:eastAsia="仿宋"/>
                <w:sz w:val="24"/>
                <w:szCs w:val="24"/>
                <w:highlight w:val="none"/>
              </w:rPr>
            </w:pPr>
            <w:r>
              <w:rPr>
                <w:rFonts w:hint="eastAsia" w:ascii="仿宋" w:hAnsi="仿宋" w:eastAsia="仿宋"/>
                <w:sz w:val="24"/>
                <w:szCs w:val="24"/>
                <w:highlight w:val="none"/>
              </w:rPr>
              <w:t>5.为保证工作质量和人员稳定性，供应商需为进场人员按月足额缴纳社保，并确保驻场服务人员在法院连续工作时间不能少于6个月。</w:t>
            </w:r>
          </w:p>
          <w:p w14:paraId="631ECE31">
            <w:pPr>
              <w:keepNext w:val="0"/>
              <w:keepLines w:val="0"/>
              <w:pageBreakBefore w:val="0"/>
              <w:widowControl w:val="0"/>
              <w:kinsoku/>
              <w:wordWrap/>
              <w:overflowPunct/>
              <w:topLinePunct w:val="0"/>
              <w:autoSpaceDE/>
              <w:autoSpaceDN/>
              <w:bidi w:val="0"/>
              <w:adjustRightInd/>
              <w:snapToGrid w:val="0"/>
              <w:ind w:left="0"/>
              <w:jc w:val="left"/>
              <w:textAlignment w:val="auto"/>
              <w:outlineLvl w:val="9"/>
              <w:rPr>
                <w:rFonts w:hint="eastAsia" w:ascii="仿宋" w:hAnsi="仿宋" w:eastAsia="仿宋"/>
                <w:sz w:val="24"/>
                <w:szCs w:val="24"/>
                <w:highlight w:val="none"/>
              </w:rPr>
            </w:pPr>
            <w:r>
              <w:rPr>
                <w:rFonts w:hint="eastAsia" w:ascii="仿宋" w:hAnsi="仿宋" w:eastAsia="仿宋"/>
                <w:sz w:val="24"/>
                <w:szCs w:val="24"/>
                <w:highlight w:val="none"/>
              </w:rPr>
              <w:t>（三）成交供应商需明确一名</w:t>
            </w:r>
            <w:r>
              <w:rPr>
                <w:rFonts w:hint="eastAsia" w:ascii="仿宋" w:hAnsi="仿宋" w:eastAsia="仿宋"/>
                <w:sz w:val="24"/>
                <w:szCs w:val="24"/>
                <w:highlight w:val="none"/>
                <w:lang w:eastAsia="zh-CN"/>
              </w:rPr>
              <w:t>驻场负责人</w:t>
            </w:r>
            <w:r>
              <w:rPr>
                <w:rFonts w:hint="eastAsia" w:ascii="仿宋" w:hAnsi="仿宋" w:eastAsia="仿宋"/>
                <w:sz w:val="24"/>
                <w:szCs w:val="24"/>
                <w:highlight w:val="none"/>
              </w:rPr>
              <w:t>，以及三个小组各一名组长，负责与采购人就进场人员管理等相关事宜进行沟通、联系。成交供应商进场工作人员需严格遵守采购人的日常管理要求，在采购人正常工作时间内严格上下班和考勤制度，严禁无故缺勤、迟到、早退，如成交供应商进场员工有特殊情况不能上班的，需提前经采购人书面批准，并且成交供应商需另行安排人员补充到相应岗位，不得影响采购人正常工作开展。每季度结算时，成交供应商可根据员工考勤记录(上班签到、下班签退）情况按实结算。成交供应商周六、周日实行弹性上班制度，如成交供应商不能及时完成卷宗扫描、挂接及中间库卷宗扫描、排序、管理、打印页码、装订归档等服务的，成交供应商需在周末或者平时工作日下班后安排人员加班。</w:t>
            </w:r>
          </w:p>
          <w:p w14:paraId="7732D60F">
            <w:pPr>
              <w:keepNext w:val="0"/>
              <w:keepLines w:val="0"/>
              <w:pageBreakBefore w:val="0"/>
              <w:widowControl w:val="0"/>
              <w:kinsoku/>
              <w:wordWrap/>
              <w:overflowPunct/>
              <w:topLinePunct w:val="0"/>
              <w:autoSpaceDE/>
              <w:autoSpaceDN/>
              <w:bidi w:val="0"/>
              <w:adjustRightInd/>
              <w:snapToGrid w:val="0"/>
              <w:ind w:left="0"/>
              <w:jc w:val="left"/>
              <w:textAlignment w:val="auto"/>
              <w:outlineLvl w:val="9"/>
              <w:rPr>
                <w:rFonts w:hint="eastAsia" w:ascii="仿宋" w:hAnsi="仿宋" w:eastAsia="仿宋"/>
                <w:sz w:val="24"/>
                <w:szCs w:val="24"/>
                <w:highlight w:val="none"/>
              </w:rPr>
            </w:pPr>
            <w:r>
              <w:rPr>
                <w:rFonts w:hint="eastAsia" w:ascii="仿宋" w:hAnsi="仿宋" w:eastAsia="仿宋"/>
                <w:sz w:val="24"/>
                <w:szCs w:val="24"/>
                <w:highlight w:val="none"/>
              </w:rPr>
              <w:t>（四）原则上，未经法院允许,驻法院工作人员不得随意更换，确有特殊情况离开本院应提前1个月通知,替换人员与原工作人员交接时间不少于15天，新进人员须在10个工作日内完全掌握系统的使用和维护。如采购人提出服务人员不符合要求，服务公司必须在7日内更换维护人员,不得拒绝；</w:t>
            </w:r>
          </w:p>
          <w:p w14:paraId="6298235A">
            <w:pPr>
              <w:keepNext w:val="0"/>
              <w:keepLines w:val="0"/>
              <w:pageBreakBefore w:val="0"/>
              <w:widowControl w:val="0"/>
              <w:kinsoku/>
              <w:wordWrap/>
              <w:overflowPunct/>
              <w:topLinePunct w:val="0"/>
              <w:autoSpaceDE/>
              <w:autoSpaceDN/>
              <w:bidi w:val="0"/>
              <w:adjustRightInd/>
              <w:snapToGrid w:val="0"/>
              <w:ind w:left="0"/>
              <w:jc w:val="left"/>
              <w:textAlignment w:val="auto"/>
              <w:outlineLvl w:val="9"/>
              <w:rPr>
                <w:rFonts w:ascii="仿宋" w:hAnsi="仿宋" w:eastAsia="仿宋"/>
                <w:sz w:val="24"/>
                <w:szCs w:val="24"/>
                <w:highlight w:val="none"/>
              </w:rPr>
            </w:pPr>
            <w:r>
              <w:rPr>
                <w:rFonts w:hint="eastAsia" w:ascii="仿宋" w:hAnsi="仿宋" w:eastAsia="仿宋"/>
                <w:sz w:val="24"/>
                <w:szCs w:val="24"/>
                <w:highlight w:val="none"/>
              </w:rPr>
              <w:t>（五）对未按岗位职责要求进行服务的，采购人有权对服务公司进行处罚，处罚金额上限为服务费的10%。对发生事故并造成财产损失的，采购人有权要求赔偿。</w:t>
            </w:r>
          </w:p>
        </w:tc>
        <w:tc>
          <w:tcPr>
            <w:tcW w:w="1751" w:type="dxa"/>
            <w:tcBorders>
              <w:top w:val="single" w:color="auto" w:sz="4" w:space="0"/>
              <w:left w:val="single" w:color="auto" w:sz="4" w:space="0"/>
              <w:bottom w:val="single" w:color="auto" w:sz="4" w:space="0"/>
              <w:right w:val="single" w:color="auto" w:sz="4" w:space="0"/>
            </w:tcBorders>
            <w:vAlign w:val="center"/>
          </w:tcPr>
          <w:p w14:paraId="708450D9">
            <w:pPr>
              <w:keepNext w:val="0"/>
              <w:keepLines w:val="0"/>
              <w:pageBreakBefore w:val="0"/>
              <w:widowControl w:val="0"/>
              <w:kinsoku/>
              <w:wordWrap/>
              <w:overflowPunct/>
              <w:topLinePunct w:val="0"/>
              <w:autoSpaceDE/>
              <w:autoSpaceDN/>
              <w:bidi w:val="0"/>
              <w:adjustRightInd/>
              <w:snapToGrid w:val="0"/>
              <w:ind w:left="0"/>
              <w:jc w:val="center"/>
              <w:textAlignment w:val="auto"/>
              <w:outlineLvl w:val="9"/>
              <w:rPr>
                <w:rFonts w:ascii="仿宋" w:hAnsi="仿宋" w:eastAsia="仿宋"/>
                <w:sz w:val="24"/>
                <w:szCs w:val="24"/>
                <w:highlight w:val="none"/>
              </w:rPr>
            </w:pPr>
          </w:p>
        </w:tc>
        <w:tc>
          <w:tcPr>
            <w:tcW w:w="1808" w:type="dxa"/>
            <w:tcBorders>
              <w:top w:val="single" w:color="auto" w:sz="4" w:space="0"/>
              <w:left w:val="single" w:color="auto" w:sz="4" w:space="0"/>
              <w:bottom w:val="single" w:color="auto" w:sz="4" w:space="0"/>
              <w:right w:val="single" w:color="auto" w:sz="4" w:space="0"/>
            </w:tcBorders>
            <w:vAlign w:val="center"/>
          </w:tcPr>
          <w:p w14:paraId="630FAC1D">
            <w:pPr>
              <w:keepNext w:val="0"/>
              <w:keepLines w:val="0"/>
              <w:pageBreakBefore w:val="0"/>
              <w:widowControl w:val="0"/>
              <w:kinsoku/>
              <w:wordWrap/>
              <w:overflowPunct/>
              <w:topLinePunct w:val="0"/>
              <w:autoSpaceDE/>
              <w:autoSpaceDN/>
              <w:bidi w:val="0"/>
              <w:adjustRightInd/>
              <w:snapToGrid w:val="0"/>
              <w:ind w:left="0"/>
              <w:jc w:val="center"/>
              <w:textAlignment w:val="auto"/>
              <w:outlineLvl w:val="9"/>
              <w:rPr>
                <w:rFonts w:ascii="仿宋" w:hAnsi="仿宋" w:eastAsia="仿宋"/>
                <w:sz w:val="24"/>
                <w:szCs w:val="24"/>
                <w:highlight w:val="none"/>
              </w:rPr>
            </w:pPr>
          </w:p>
        </w:tc>
        <w:tc>
          <w:tcPr>
            <w:tcW w:w="637" w:type="dxa"/>
            <w:tcBorders>
              <w:top w:val="single" w:color="auto" w:sz="4" w:space="0"/>
              <w:left w:val="single" w:color="auto" w:sz="4" w:space="0"/>
              <w:bottom w:val="single" w:color="auto" w:sz="4" w:space="0"/>
              <w:right w:val="single" w:color="auto" w:sz="4" w:space="0"/>
            </w:tcBorders>
            <w:vAlign w:val="center"/>
          </w:tcPr>
          <w:p w14:paraId="28493BC8">
            <w:pPr>
              <w:keepNext w:val="0"/>
              <w:keepLines w:val="0"/>
              <w:pageBreakBefore w:val="0"/>
              <w:widowControl w:val="0"/>
              <w:kinsoku/>
              <w:wordWrap/>
              <w:overflowPunct/>
              <w:topLinePunct w:val="0"/>
              <w:autoSpaceDE/>
              <w:autoSpaceDN/>
              <w:bidi w:val="0"/>
              <w:adjustRightInd/>
              <w:snapToGrid w:val="0"/>
              <w:ind w:left="0"/>
              <w:jc w:val="center"/>
              <w:textAlignment w:val="auto"/>
              <w:outlineLvl w:val="9"/>
              <w:rPr>
                <w:rFonts w:ascii="仿宋" w:hAnsi="仿宋" w:eastAsia="仿宋"/>
                <w:sz w:val="24"/>
                <w:szCs w:val="24"/>
                <w:highlight w:val="none"/>
              </w:rPr>
            </w:pPr>
          </w:p>
        </w:tc>
      </w:tr>
      <w:tr w14:paraId="2E6B3DA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tcBorders>
              <w:top w:val="single" w:color="auto" w:sz="4" w:space="0"/>
              <w:left w:val="single" w:color="auto" w:sz="4" w:space="0"/>
              <w:bottom w:val="single" w:color="auto" w:sz="4" w:space="0"/>
              <w:right w:val="single" w:color="auto" w:sz="4" w:space="0"/>
            </w:tcBorders>
            <w:vAlign w:val="center"/>
          </w:tcPr>
          <w:p w14:paraId="2FA17CB5">
            <w:pPr>
              <w:keepNext w:val="0"/>
              <w:keepLines w:val="0"/>
              <w:pageBreakBefore w:val="0"/>
              <w:widowControl w:val="0"/>
              <w:kinsoku/>
              <w:wordWrap/>
              <w:overflowPunct/>
              <w:topLinePunct w:val="0"/>
              <w:autoSpaceDE/>
              <w:autoSpaceDN/>
              <w:bidi w:val="0"/>
              <w:adjustRightInd/>
              <w:snapToGrid w:val="0"/>
              <w:ind w:left="0"/>
              <w:jc w:val="center"/>
              <w:textAlignment w:val="auto"/>
              <w:outlineLvl w:val="9"/>
              <w:rPr>
                <w:rFonts w:hint="eastAsia" w:ascii="仿宋" w:hAnsi="仿宋" w:eastAsia="仿宋"/>
                <w:sz w:val="24"/>
                <w:szCs w:val="24"/>
                <w:highlight w:val="none"/>
                <w:lang w:val="en-US" w:eastAsia="zh-CN"/>
              </w:rPr>
            </w:pPr>
            <w:r>
              <w:rPr>
                <w:rFonts w:hint="eastAsia" w:ascii="仿宋" w:hAnsi="仿宋" w:eastAsia="仿宋"/>
                <w:sz w:val="24"/>
                <w:szCs w:val="24"/>
                <w:highlight w:val="none"/>
                <w:lang w:val="en-US" w:eastAsia="zh-CN"/>
              </w:rPr>
              <w:t>4</w:t>
            </w:r>
          </w:p>
        </w:tc>
        <w:tc>
          <w:tcPr>
            <w:tcW w:w="834" w:type="dxa"/>
            <w:tcBorders>
              <w:top w:val="single" w:color="auto" w:sz="4" w:space="0"/>
              <w:left w:val="single" w:color="auto" w:sz="4" w:space="0"/>
              <w:bottom w:val="single" w:color="auto" w:sz="4" w:space="0"/>
              <w:right w:val="single" w:color="auto" w:sz="4" w:space="0"/>
            </w:tcBorders>
            <w:vAlign w:val="center"/>
          </w:tcPr>
          <w:p w14:paraId="35670324">
            <w:pPr>
              <w:keepNext w:val="0"/>
              <w:keepLines w:val="0"/>
              <w:pageBreakBefore w:val="0"/>
              <w:widowControl w:val="0"/>
              <w:kinsoku/>
              <w:wordWrap/>
              <w:overflowPunct/>
              <w:topLinePunct w:val="0"/>
              <w:autoSpaceDE/>
              <w:autoSpaceDN/>
              <w:bidi w:val="0"/>
              <w:adjustRightInd/>
              <w:snapToGrid w:val="0"/>
              <w:ind w:left="0"/>
              <w:jc w:val="center"/>
              <w:textAlignment w:val="auto"/>
              <w:outlineLvl w:val="9"/>
              <w:rPr>
                <w:rFonts w:ascii="仿宋" w:hAnsi="仿宋" w:eastAsia="仿宋"/>
                <w:sz w:val="24"/>
                <w:szCs w:val="24"/>
                <w:highlight w:val="none"/>
              </w:rPr>
            </w:pPr>
            <w:r>
              <w:rPr>
                <w:rFonts w:hint="eastAsia" w:ascii="仿宋" w:hAnsi="仿宋" w:eastAsia="仿宋"/>
                <w:sz w:val="24"/>
                <w:szCs w:val="24"/>
                <w:highlight w:val="none"/>
              </w:rPr>
              <w:t>服务期限</w:t>
            </w:r>
          </w:p>
        </w:tc>
        <w:tc>
          <w:tcPr>
            <w:tcW w:w="3851" w:type="dxa"/>
            <w:tcBorders>
              <w:top w:val="single" w:color="auto" w:sz="4" w:space="0"/>
              <w:left w:val="single" w:color="auto" w:sz="4" w:space="0"/>
              <w:bottom w:val="single" w:color="auto" w:sz="4" w:space="0"/>
              <w:right w:val="single" w:color="auto" w:sz="4" w:space="0"/>
            </w:tcBorders>
            <w:vAlign w:val="center"/>
          </w:tcPr>
          <w:p w14:paraId="696F4197">
            <w:pPr>
              <w:keepNext w:val="0"/>
              <w:keepLines w:val="0"/>
              <w:pageBreakBefore w:val="0"/>
              <w:widowControl w:val="0"/>
              <w:kinsoku/>
              <w:wordWrap/>
              <w:overflowPunct/>
              <w:topLinePunct w:val="0"/>
              <w:autoSpaceDE/>
              <w:autoSpaceDN/>
              <w:bidi w:val="0"/>
              <w:adjustRightInd/>
              <w:snapToGrid w:val="0"/>
              <w:ind w:left="0"/>
              <w:jc w:val="left"/>
              <w:textAlignment w:val="auto"/>
              <w:outlineLvl w:val="9"/>
              <w:rPr>
                <w:rFonts w:hint="eastAsia" w:ascii="仿宋" w:hAnsi="仿宋" w:eastAsia="仿宋"/>
                <w:sz w:val="24"/>
                <w:szCs w:val="24"/>
                <w:highlight w:val="none"/>
                <w:lang w:eastAsia="zh-CN"/>
              </w:rPr>
            </w:pPr>
            <w:r>
              <w:rPr>
                <w:rFonts w:hint="eastAsia" w:ascii="仿宋" w:hAnsi="仿宋" w:eastAsia="仿宋" w:cs="仿宋"/>
                <w:sz w:val="24"/>
                <w:szCs w:val="24"/>
                <w:highlight w:val="none"/>
                <w:lang w:eastAsia="zh-CN"/>
              </w:rPr>
              <w:t>自合同签订之日起一年，每年服务期届满前一个月进行验收考核，经验收合格，可以根据本项目服务要求进行续签，续签最多不超过两次；验收不合格，采购人有权单方终止履行并解除合同。</w:t>
            </w:r>
          </w:p>
        </w:tc>
        <w:tc>
          <w:tcPr>
            <w:tcW w:w="1751" w:type="dxa"/>
            <w:tcBorders>
              <w:top w:val="single" w:color="auto" w:sz="4" w:space="0"/>
              <w:left w:val="single" w:color="auto" w:sz="4" w:space="0"/>
              <w:bottom w:val="single" w:color="auto" w:sz="4" w:space="0"/>
              <w:right w:val="single" w:color="auto" w:sz="4" w:space="0"/>
            </w:tcBorders>
            <w:vAlign w:val="center"/>
          </w:tcPr>
          <w:p w14:paraId="2A7561D0">
            <w:pPr>
              <w:keepNext w:val="0"/>
              <w:keepLines w:val="0"/>
              <w:pageBreakBefore w:val="0"/>
              <w:widowControl w:val="0"/>
              <w:kinsoku/>
              <w:wordWrap/>
              <w:overflowPunct/>
              <w:topLinePunct w:val="0"/>
              <w:autoSpaceDE/>
              <w:autoSpaceDN/>
              <w:bidi w:val="0"/>
              <w:adjustRightInd/>
              <w:snapToGrid w:val="0"/>
              <w:ind w:left="0"/>
              <w:jc w:val="center"/>
              <w:textAlignment w:val="auto"/>
              <w:outlineLvl w:val="9"/>
              <w:rPr>
                <w:rFonts w:ascii="仿宋" w:hAnsi="仿宋" w:eastAsia="仿宋"/>
                <w:sz w:val="24"/>
                <w:szCs w:val="24"/>
                <w:highlight w:val="none"/>
              </w:rPr>
            </w:pPr>
          </w:p>
        </w:tc>
        <w:tc>
          <w:tcPr>
            <w:tcW w:w="1808" w:type="dxa"/>
            <w:tcBorders>
              <w:top w:val="single" w:color="auto" w:sz="4" w:space="0"/>
              <w:left w:val="single" w:color="auto" w:sz="4" w:space="0"/>
              <w:bottom w:val="single" w:color="auto" w:sz="4" w:space="0"/>
              <w:right w:val="single" w:color="auto" w:sz="4" w:space="0"/>
            </w:tcBorders>
            <w:vAlign w:val="center"/>
          </w:tcPr>
          <w:p w14:paraId="2E624F61">
            <w:pPr>
              <w:keepNext w:val="0"/>
              <w:keepLines w:val="0"/>
              <w:pageBreakBefore w:val="0"/>
              <w:widowControl w:val="0"/>
              <w:kinsoku/>
              <w:wordWrap/>
              <w:overflowPunct/>
              <w:topLinePunct w:val="0"/>
              <w:autoSpaceDE/>
              <w:autoSpaceDN/>
              <w:bidi w:val="0"/>
              <w:adjustRightInd/>
              <w:snapToGrid w:val="0"/>
              <w:ind w:left="0"/>
              <w:jc w:val="center"/>
              <w:textAlignment w:val="auto"/>
              <w:outlineLvl w:val="9"/>
              <w:rPr>
                <w:rFonts w:ascii="仿宋" w:hAnsi="仿宋" w:eastAsia="仿宋"/>
                <w:sz w:val="24"/>
                <w:szCs w:val="24"/>
                <w:highlight w:val="none"/>
              </w:rPr>
            </w:pPr>
          </w:p>
        </w:tc>
        <w:tc>
          <w:tcPr>
            <w:tcW w:w="637" w:type="dxa"/>
            <w:tcBorders>
              <w:top w:val="single" w:color="auto" w:sz="4" w:space="0"/>
              <w:left w:val="single" w:color="auto" w:sz="4" w:space="0"/>
              <w:bottom w:val="single" w:color="auto" w:sz="4" w:space="0"/>
              <w:right w:val="single" w:color="auto" w:sz="4" w:space="0"/>
            </w:tcBorders>
            <w:vAlign w:val="center"/>
          </w:tcPr>
          <w:p w14:paraId="0899B82C">
            <w:pPr>
              <w:keepNext w:val="0"/>
              <w:keepLines w:val="0"/>
              <w:pageBreakBefore w:val="0"/>
              <w:widowControl w:val="0"/>
              <w:kinsoku/>
              <w:wordWrap/>
              <w:overflowPunct/>
              <w:topLinePunct w:val="0"/>
              <w:autoSpaceDE/>
              <w:autoSpaceDN/>
              <w:bidi w:val="0"/>
              <w:adjustRightInd/>
              <w:snapToGrid w:val="0"/>
              <w:ind w:left="0"/>
              <w:jc w:val="center"/>
              <w:textAlignment w:val="auto"/>
              <w:outlineLvl w:val="9"/>
              <w:rPr>
                <w:rFonts w:ascii="仿宋" w:hAnsi="仿宋" w:eastAsia="仿宋"/>
                <w:sz w:val="24"/>
                <w:szCs w:val="24"/>
                <w:highlight w:val="none"/>
              </w:rPr>
            </w:pPr>
          </w:p>
        </w:tc>
      </w:tr>
      <w:tr w14:paraId="2469057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tcBorders>
              <w:top w:val="single" w:color="auto" w:sz="4" w:space="0"/>
              <w:left w:val="single" w:color="auto" w:sz="4" w:space="0"/>
              <w:bottom w:val="single" w:color="auto" w:sz="4" w:space="0"/>
              <w:right w:val="single" w:color="auto" w:sz="4" w:space="0"/>
            </w:tcBorders>
            <w:vAlign w:val="center"/>
          </w:tcPr>
          <w:p w14:paraId="3656C6F8">
            <w:pPr>
              <w:keepNext w:val="0"/>
              <w:keepLines w:val="0"/>
              <w:pageBreakBefore w:val="0"/>
              <w:widowControl w:val="0"/>
              <w:kinsoku/>
              <w:wordWrap/>
              <w:overflowPunct/>
              <w:topLinePunct w:val="0"/>
              <w:autoSpaceDE/>
              <w:autoSpaceDN/>
              <w:bidi w:val="0"/>
              <w:adjustRightInd/>
              <w:snapToGrid w:val="0"/>
              <w:ind w:left="0"/>
              <w:jc w:val="center"/>
              <w:textAlignment w:val="auto"/>
              <w:outlineLvl w:val="9"/>
              <w:rPr>
                <w:rFonts w:hint="eastAsia" w:ascii="仿宋" w:hAnsi="仿宋" w:eastAsia="仿宋"/>
                <w:sz w:val="24"/>
                <w:szCs w:val="24"/>
                <w:highlight w:val="none"/>
                <w:lang w:val="en-US" w:eastAsia="zh-CN"/>
              </w:rPr>
            </w:pPr>
            <w:r>
              <w:rPr>
                <w:rFonts w:hint="eastAsia" w:ascii="仿宋" w:hAnsi="仿宋" w:eastAsia="仿宋"/>
                <w:sz w:val="24"/>
                <w:szCs w:val="24"/>
                <w:highlight w:val="none"/>
                <w:lang w:val="en-US" w:eastAsia="zh-CN"/>
              </w:rPr>
              <w:t>5</w:t>
            </w:r>
          </w:p>
        </w:tc>
        <w:tc>
          <w:tcPr>
            <w:tcW w:w="834" w:type="dxa"/>
            <w:tcBorders>
              <w:top w:val="single" w:color="auto" w:sz="4" w:space="0"/>
              <w:left w:val="single" w:color="auto" w:sz="4" w:space="0"/>
              <w:bottom w:val="single" w:color="auto" w:sz="4" w:space="0"/>
              <w:right w:val="single" w:color="auto" w:sz="4" w:space="0"/>
            </w:tcBorders>
            <w:vAlign w:val="center"/>
          </w:tcPr>
          <w:p w14:paraId="3AAD2634">
            <w:pPr>
              <w:keepNext w:val="0"/>
              <w:keepLines w:val="0"/>
              <w:pageBreakBefore w:val="0"/>
              <w:widowControl w:val="0"/>
              <w:kinsoku/>
              <w:wordWrap/>
              <w:overflowPunct/>
              <w:topLinePunct w:val="0"/>
              <w:autoSpaceDE/>
              <w:autoSpaceDN/>
              <w:bidi w:val="0"/>
              <w:adjustRightInd/>
              <w:snapToGrid w:val="0"/>
              <w:ind w:left="0"/>
              <w:jc w:val="center"/>
              <w:textAlignment w:val="auto"/>
              <w:outlineLvl w:val="9"/>
              <w:rPr>
                <w:rFonts w:ascii="仿宋" w:hAnsi="仿宋" w:eastAsia="仿宋"/>
                <w:sz w:val="24"/>
                <w:szCs w:val="24"/>
                <w:highlight w:val="none"/>
              </w:rPr>
            </w:pPr>
            <w:r>
              <w:rPr>
                <w:rFonts w:hint="eastAsia" w:ascii="仿宋" w:hAnsi="仿宋" w:eastAsia="仿宋" w:cs="仿宋"/>
                <w:sz w:val="24"/>
                <w:szCs w:val="24"/>
                <w:highlight w:val="none"/>
              </w:rPr>
              <w:t>地点</w:t>
            </w:r>
          </w:p>
        </w:tc>
        <w:tc>
          <w:tcPr>
            <w:tcW w:w="3851" w:type="dxa"/>
            <w:tcBorders>
              <w:top w:val="single" w:color="auto" w:sz="4" w:space="0"/>
              <w:left w:val="single" w:color="auto" w:sz="4" w:space="0"/>
              <w:bottom w:val="single" w:color="auto" w:sz="4" w:space="0"/>
              <w:right w:val="single" w:color="auto" w:sz="4" w:space="0"/>
            </w:tcBorders>
            <w:vAlign w:val="center"/>
          </w:tcPr>
          <w:p w14:paraId="17B0E481">
            <w:pPr>
              <w:keepNext w:val="0"/>
              <w:keepLines w:val="0"/>
              <w:pageBreakBefore w:val="0"/>
              <w:widowControl w:val="0"/>
              <w:kinsoku/>
              <w:wordWrap/>
              <w:overflowPunct/>
              <w:topLinePunct w:val="0"/>
              <w:autoSpaceDE/>
              <w:autoSpaceDN/>
              <w:bidi w:val="0"/>
              <w:adjustRightInd/>
              <w:snapToGrid w:val="0"/>
              <w:ind w:left="0"/>
              <w:jc w:val="left"/>
              <w:textAlignment w:val="auto"/>
              <w:outlineLvl w:val="9"/>
              <w:rPr>
                <w:rFonts w:ascii="仿宋" w:hAnsi="仿宋" w:eastAsia="仿宋"/>
                <w:sz w:val="24"/>
                <w:szCs w:val="24"/>
                <w:highlight w:val="none"/>
              </w:rPr>
            </w:pPr>
            <w:r>
              <w:rPr>
                <w:rFonts w:hint="eastAsia" w:ascii="仿宋" w:hAnsi="仿宋" w:eastAsia="仿宋" w:cs="仿宋"/>
                <w:sz w:val="24"/>
                <w:szCs w:val="24"/>
                <w:highlight w:val="none"/>
              </w:rPr>
              <w:t>采购人指定地点</w:t>
            </w:r>
          </w:p>
        </w:tc>
        <w:tc>
          <w:tcPr>
            <w:tcW w:w="1751" w:type="dxa"/>
            <w:tcBorders>
              <w:top w:val="single" w:color="auto" w:sz="4" w:space="0"/>
              <w:left w:val="single" w:color="auto" w:sz="4" w:space="0"/>
              <w:bottom w:val="single" w:color="auto" w:sz="4" w:space="0"/>
              <w:right w:val="single" w:color="auto" w:sz="4" w:space="0"/>
            </w:tcBorders>
            <w:vAlign w:val="center"/>
          </w:tcPr>
          <w:p w14:paraId="6851A8A0">
            <w:pPr>
              <w:keepNext w:val="0"/>
              <w:keepLines w:val="0"/>
              <w:pageBreakBefore w:val="0"/>
              <w:widowControl w:val="0"/>
              <w:kinsoku/>
              <w:wordWrap/>
              <w:overflowPunct/>
              <w:topLinePunct w:val="0"/>
              <w:autoSpaceDE/>
              <w:autoSpaceDN/>
              <w:bidi w:val="0"/>
              <w:adjustRightInd/>
              <w:snapToGrid w:val="0"/>
              <w:ind w:left="0"/>
              <w:jc w:val="center"/>
              <w:textAlignment w:val="auto"/>
              <w:outlineLvl w:val="9"/>
              <w:rPr>
                <w:rFonts w:ascii="仿宋" w:hAnsi="仿宋" w:eastAsia="仿宋"/>
                <w:sz w:val="24"/>
                <w:szCs w:val="24"/>
                <w:highlight w:val="none"/>
              </w:rPr>
            </w:pPr>
          </w:p>
        </w:tc>
        <w:tc>
          <w:tcPr>
            <w:tcW w:w="1808" w:type="dxa"/>
            <w:tcBorders>
              <w:top w:val="single" w:color="auto" w:sz="4" w:space="0"/>
              <w:left w:val="single" w:color="auto" w:sz="4" w:space="0"/>
              <w:bottom w:val="single" w:color="auto" w:sz="4" w:space="0"/>
              <w:right w:val="single" w:color="auto" w:sz="4" w:space="0"/>
            </w:tcBorders>
            <w:vAlign w:val="center"/>
          </w:tcPr>
          <w:p w14:paraId="57B729CF">
            <w:pPr>
              <w:keepNext w:val="0"/>
              <w:keepLines w:val="0"/>
              <w:pageBreakBefore w:val="0"/>
              <w:widowControl w:val="0"/>
              <w:kinsoku/>
              <w:wordWrap/>
              <w:overflowPunct/>
              <w:topLinePunct w:val="0"/>
              <w:autoSpaceDE/>
              <w:autoSpaceDN/>
              <w:bidi w:val="0"/>
              <w:adjustRightInd/>
              <w:snapToGrid w:val="0"/>
              <w:ind w:left="0"/>
              <w:jc w:val="center"/>
              <w:textAlignment w:val="auto"/>
              <w:outlineLvl w:val="9"/>
              <w:rPr>
                <w:rFonts w:ascii="仿宋" w:hAnsi="仿宋" w:eastAsia="仿宋"/>
                <w:sz w:val="24"/>
                <w:szCs w:val="24"/>
                <w:highlight w:val="none"/>
              </w:rPr>
            </w:pPr>
          </w:p>
        </w:tc>
        <w:tc>
          <w:tcPr>
            <w:tcW w:w="637" w:type="dxa"/>
            <w:tcBorders>
              <w:top w:val="single" w:color="auto" w:sz="4" w:space="0"/>
              <w:left w:val="single" w:color="auto" w:sz="4" w:space="0"/>
              <w:bottom w:val="single" w:color="auto" w:sz="4" w:space="0"/>
              <w:right w:val="single" w:color="auto" w:sz="4" w:space="0"/>
            </w:tcBorders>
            <w:vAlign w:val="center"/>
          </w:tcPr>
          <w:p w14:paraId="3A2888EA">
            <w:pPr>
              <w:keepNext w:val="0"/>
              <w:keepLines w:val="0"/>
              <w:pageBreakBefore w:val="0"/>
              <w:widowControl w:val="0"/>
              <w:kinsoku/>
              <w:wordWrap/>
              <w:overflowPunct/>
              <w:topLinePunct w:val="0"/>
              <w:autoSpaceDE/>
              <w:autoSpaceDN/>
              <w:bidi w:val="0"/>
              <w:adjustRightInd/>
              <w:snapToGrid w:val="0"/>
              <w:ind w:left="0"/>
              <w:jc w:val="center"/>
              <w:textAlignment w:val="auto"/>
              <w:outlineLvl w:val="9"/>
              <w:rPr>
                <w:rFonts w:ascii="仿宋" w:hAnsi="仿宋" w:eastAsia="仿宋"/>
                <w:sz w:val="24"/>
                <w:szCs w:val="24"/>
                <w:highlight w:val="none"/>
              </w:rPr>
            </w:pPr>
          </w:p>
        </w:tc>
      </w:tr>
      <w:tr w14:paraId="0CF8EC6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tcBorders>
              <w:top w:val="single" w:color="auto" w:sz="4" w:space="0"/>
              <w:left w:val="single" w:color="auto" w:sz="4" w:space="0"/>
              <w:bottom w:val="single" w:color="auto" w:sz="4" w:space="0"/>
              <w:right w:val="single" w:color="auto" w:sz="4" w:space="0"/>
            </w:tcBorders>
            <w:vAlign w:val="center"/>
          </w:tcPr>
          <w:p w14:paraId="591B8A24">
            <w:pPr>
              <w:keepNext w:val="0"/>
              <w:keepLines w:val="0"/>
              <w:pageBreakBefore w:val="0"/>
              <w:widowControl w:val="0"/>
              <w:kinsoku/>
              <w:wordWrap/>
              <w:overflowPunct/>
              <w:topLinePunct w:val="0"/>
              <w:autoSpaceDE/>
              <w:autoSpaceDN/>
              <w:bidi w:val="0"/>
              <w:adjustRightInd/>
              <w:snapToGrid w:val="0"/>
              <w:ind w:left="0"/>
              <w:jc w:val="center"/>
              <w:textAlignment w:val="auto"/>
              <w:outlineLvl w:val="9"/>
              <w:rPr>
                <w:rFonts w:hint="default" w:ascii="仿宋" w:hAnsi="仿宋" w:eastAsia="仿宋"/>
                <w:sz w:val="24"/>
                <w:szCs w:val="24"/>
                <w:highlight w:val="none"/>
                <w:lang w:val="en-US" w:eastAsia="zh-CN"/>
              </w:rPr>
            </w:pPr>
            <w:r>
              <w:rPr>
                <w:rFonts w:hint="eastAsia" w:ascii="仿宋" w:hAnsi="仿宋" w:eastAsia="仿宋"/>
                <w:sz w:val="24"/>
                <w:szCs w:val="24"/>
                <w:highlight w:val="none"/>
                <w:lang w:val="en-US" w:eastAsia="zh-CN"/>
              </w:rPr>
              <w:t>6</w:t>
            </w:r>
          </w:p>
        </w:tc>
        <w:tc>
          <w:tcPr>
            <w:tcW w:w="834" w:type="dxa"/>
            <w:tcBorders>
              <w:top w:val="single" w:color="auto" w:sz="4" w:space="0"/>
              <w:left w:val="single" w:color="auto" w:sz="4" w:space="0"/>
              <w:bottom w:val="single" w:color="auto" w:sz="4" w:space="0"/>
              <w:right w:val="single" w:color="auto" w:sz="4" w:space="0"/>
            </w:tcBorders>
            <w:vAlign w:val="center"/>
          </w:tcPr>
          <w:p w14:paraId="3175C7A5">
            <w:pPr>
              <w:keepNext w:val="0"/>
              <w:keepLines w:val="0"/>
              <w:pageBreakBefore w:val="0"/>
              <w:widowControl w:val="0"/>
              <w:kinsoku/>
              <w:wordWrap/>
              <w:overflowPunct/>
              <w:topLinePunct w:val="0"/>
              <w:autoSpaceDE/>
              <w:autoSpaceDN/>
              <w:bidi w:val="0"/>
              <w:adjustRightInd/>
              <w:snapToGrid w:val="0"/>
              <w:ind w:left="0"/>
              <w:jc w:val="center"/>
              <w:textAlignment w:val="auto"/>
              <w:outlineLvl w:val="9"/>
              <w:rPr>
                <w:rFonts w:ascii="仿宋" w:hAnsi="仿宋" w:eastAsia="仿宋"/>
                <w:sz w:val="24"/>
                <w:szCs w:val="24"/>
                <w:highlight w:val="none"/>
              </w:rPr>
            </w:pPr>
            <w:r>
              <w:rPr>
                <w:rFonts w:hint="eastAsia" w:ascii="仿宋" w:hAnsi="仿宋" w:eastAsia="仿宋" w:cs="仿宋"/>
                <w:sz w:val="24"/>
                <w:szCs w:val="24"/>
                <w:highlight w:val="none"/>
              </w:rPr>
              <w:t>考核方案</w:t>
            </w:r>
          </w:p>
        </w:tc>
        <w:tc>
          <w:tcPr>
            <w:tcW w:w="3851" w:type="dxa"/>
            <w:tcBorders>
              <w:top w:val="single" w:color="auto" w:sz="4" w:space="0"/>
              <w:left w:val="single" w:color="auto" w:sz="4" w:space="0"/>
              <w:bottom w:val="single" w:color="auto" w:sz="4" w:space="0"/>
              <w:right w:val="single" w:color="auto" w:sz="4" w:space="0"/>
            </w:tcBorders>
            <w:vAlign w:val="center"/>
          </w:tcPr>
          <w:p w14:paraId="5DADE4EA">
            <w:pPr>
              <w:keepNext w:val="0"/>
              <w:keepLines w:val="0"/>
              <w:pageBreakBefore w:val="0"/>
              <w:widowControl w:val="0"/>
              <w:kinsoku/>
              <w:wordWrap/>
              <w:overflowPunct/>
              <w:topLinePunct w:val="0"/>
              <w:autoSpaceDE/>
              <w:autoSpaceDN/>
              <w:bidi w:val="0"/>
              <w:adjustRightInd/>
              <w:snapToGrid w:val="0"/>
              <w:ind w:left="0"/>
              <w:jc w:val="left"/>
              <w:textAlignment w:val="auto"/>
              <w:outlineLvl w:val="9"/>
              <w:rPr>
                <w:rFonts w:hint="eastAsia" w:ascii="仿宋" w:hAnsi="仿宋" w:eastAsia="仿宋"/>
                <w:sz w:val="24"/>
                <w:szCs w:val="24"/>
                <w:highlight w:val="none"/>
              </w:rPr>
            </w:pPr>
            <w:r>
              <w:rPr>
                <w:rFonts w:hint="eastAsia" w:ascii="仿宋" w:hAnsi="仿宋" w:eastAsia="仿宋"/>
                <w:sz w:val="24"/>
                <w:szCs w:val="24"/>
                <w:highlight w:val="none"/>
              </w:rPr>
              <w:t>(一)</w:t>
            </w:r>
            <w:r>
              <w:rPr>
                <w:rFonts w:hint="eastAsia" w:ascii="仿宋" w:hAnsi="仿宋" w:eastAsia="仿宋"/>
                <w:sz w:val="24"/>
                <w:szCs w:val="24"/>
                <w:highlight w:val="none"/>
                <w:lang w:eastAsia="zh-CN"/>
              </w:rPr>
              <w:t>成交供应商须按服务标准和服务要求提交严格的质量控制方案</w:t>
            </w:r>
            <w:r>
              <w:rPr>
                <w:rFonts w:hint="eastAsia" w:ascii="仿宋" w:hAnsi="仿宋" w:eastAsia="仿宋"/>
                <w:sz w:val="24"/>
                <w:szCs w:val="24"/>
                <w:highlight w:val="none"/>
              </w:rPr>
              <w:t>，其中内容包括质量控制目标、质量保障计划、质量控制流程、质量保障措施等。</w:t>
            </w:r>
          </w:p>
          <w:p w14:paraId="36839D18">
            <w:pPr>
              <w:keepNext w:val="0"/>
              <w:keepLines w:val="0"/>
              <w:pageBreakBefore w:val="0"/>
              <w:widowControl w:val="0"/>
              <w:kinsoku/>
              <w:wordWrap/>
              <w:overflowPunct/>
              <w:topLinePunct w:val="0"/>
              <w:autoSpaceDE/>
              <w:autoSpaceDN/>
              <w:bidi w:val="0"/>
              <w:adjustRightInd/>
              <w:snapToGrid w:val="0"/>
              <w:ind w:left="0"/>
              <w:jc w:val="left"/>
              <w:textAlignment w:val="auto"/>
              <w:outlineLvl w:val="9"/>
              <w:rPr>
                <w:rFonts w:hint="eastAsia" w:ascii="仿宋" w:hAnsi="仿宋" w:eastAsia="仿宋"/>
                <w:sz w:val="24"/>
                <w:szCs w:val="24"/>
                <w:highlight w:val="none"/>
              </w:rPr>
            </w:pPr>
            <w:r>
              <w:rPr>
                <w:rFonts w:hint="eastAsia" w:ascii="仿宋" w:hAnsi="仿宋" w:eastAsia="仿宋"/>
                <w:sz w:val="24"/>
                <w:szCs w:val="24"/>
                <w:highlight w:val="none"/>
              </w:rPr>
              <w:t>(二)在成交供应商对档案数字化加工完成后进行检查验收，如发现数量不足或有质量、技术等问题，成交供应商应负责根据合同及采购人的要求采取补足或更换等处理措施，并承担由此发生的一切损失和费用。</w:t>
            </w:r>
          </w:p>
          <w:p w14:paraId="1829FBEA">
            <w:pPr>
              <w:keepNext w:val="0"/>
              <w:keepLines w:val="0"/>
              <w:pageBreakBefore w:val="0"/>
              <w:widowControl w:val="0"/>
              <w:kinsoku/>
              <w:wordWrap/>
              <w:overflowPunct/>
              <w:topLinePunct w:val="0"/>
              <w:autoSpaceDE/>
              <w:autoSpaceDN/>
              <w:bidi w:val="0"/>
              <w:adjustRightInd/>
              <w:snapToGrid w:val="0"/>
              <w:ind w:left="0"/>
              <w:jc w:val="left"/>
              <w:textAlignment w:val="auto"/>
              <w:outlineLvl w:val="9"/>
              <w:rPr>
                <w:rFonts w:hint="eastAsia" w:ascii="仿宋" w:hAnsi="仿宋" w:eastAsia="仿宋"/>
                <w:sz w:val="24"/>
                <w:szCs w:val="24"/>
                <w:highlight w:val="none"/>
              </w:rPr>
            </w:pPr>
            <w:r>
              <w:rPr>
                <w:rFonts w:hint="eastAsia" w:ascii="仿宋" w:hAnsi="仿宋" w:eastAsia="仿宋"/>
                <w:sz w:val="24"/>
                <w:szCs w:val="24"/>
                <w:highlight w:val="none"/>
              </w:rPr>
              <w:t>(三)数字化加工质量抽检的各项指标合格率达到规定时,予以验收“通过”。验收“通过”的结论，必须经采购人分管领导审核、签字并加盖单位公章后方有效。</w:t>
            </w:r>
          </w:p>
          <w:p w14:paraId="6EDC84D7">
            <w:pPr>
              <w:keepNext w:val="0"/>
              <w:keepLines w:val="0"/>
              <w:pageBreakBefore w:val="0"/>
              <w:widowControl w:val="0"/>
              <w:kinsoku/>
              <w:wordWrap/>
              <w:overflowPunct/>
              <w:topLinePunct w:val="0"/>
              <w:autoSpaceDE/>
              <w:autoSpaceDN/>
              <w:bidi w:val="0"/>
              <w:adjustRightInd/>
              <w:snapToGrid w:val="0"/>
              <w:ind w:left="0"/>
              <w:jc w:val="left"/>
              <w:textAlignment w:val="auto"/>
              <w:outlineLvl w:val="9"/>
              <w:rPr>
                <w:rFonts w:hint="eastAsia" w:ascii="仿宋" w:hAnsi="仿宋" w:eastAsia="仿宋"/>
                <w:sz w:val="24"/>
                <w:szCs w:val="24"/>
                <w:highlight w:val="none"/>
              </w:rPr>
            </w:pPr>
            <w:r>
              <w:rPr>
                <w:rFonts w:hint="eastAsia" w:ascii="仿宋" w:hAnsi="仿宋" w:eastAsia="仿宋"/>
                <w:sz w:val="24"/>
                <w:szCs w:val="24"/>
                <w:highlight w:val="none"/>
              </w:rPr>
              <w:t>(四)每季度成交供应商完成的工作必须经采购人抽查，抽检比率为10%,成交供应商完成的案号、文档名、图像挂接、卷宗编号、卷宗数量、文件材料完整性的正确率要达到 100%,其他项目合格率达到 99%以上（含99%）方为验收通过。验收通过后，由成交供应商制作《卷宗扫描验收表》和《中间库工作验收表》一式两份，交采购人管理部门负责人和分管领导签字确认后与采购人结算上一季度的服务费。</w:t>
            </w:r>
          </w:p>
          <w:p w14:paraId="783CCDC3">
            <w:pPr>
              <w:keepNext w:val="0"/>
              <w:keepLines w:val="0"/>
              <w:pageBreakBefore w:val="0"/>
              <w:widowControl w:val="0"/>
              <w:kinsoku/>
              <w:wordWrap/>
              <w:overflowPunct/>
              <w:topLinePunct w:val="0"/>
              <w:autoSpaceDE/>
              <w:autoSpaceDN/>
              <w:bidi w:val="0"/>
              <w:adjustRightInd/>
              <w:snapToGrid w:val="0"/>
              <w:ind w:left="0"/>
              <w:jc w:val="left"/>
              <w:textAlignment w:val="auto"/>
              <w:outlineLvl w:val="9"/>
              <w:rPr>
                <w:rFonts w:hint="eastAsia" w:ascii="仿宋" w:hAnsi="仿宋" w:eastAsia="仿宋"/>
                <w:sz w:val="24"/>
                <w:szCs w:val="24"/>
                <w:highlight w:val="none"/>
              </w:rPr>
            </w:pPr>
            <w:r>
              <w:rPr>
                <w:rFonts w:hint="eastAsia" w:ascii="仿宋" w:hAnsi="仿宋" w:eastAsia="仿宋"/>
                <w:sz w:val="24"/>
                <w:szCs w:val="24"/>
                <w:highlight w:val="none"/>
              </w:rPr>
              <w:t>(五)成交供应商完成的工作经采购人检查后，如发现扫描图像不清楚、重复挂、卷宗材料顺序错误、装订不符要求、卷内文件颠倒等问题， 成交供应商应负责根据合同及采购人的要求采取修复、重作、完善等处理措施纠正到位，并承担由此发生的一切损失和费用。</w:t>
            </w:r>
          </w:p>
          <w:p w14:paraId="18891D31">
            <w:pPr>
              <w:keepNext w:val="0"/>
              <w:keepLines w:val="0"/>
              <w:pageBreakBefore w:val="0"/>
              <w:widowControl w:val="0"/>
              <w:kinsoku/>
              <w:wordWrap/>
              <w:overflowPunct/>
              <w:topLinePunct w:val="0"/>
              <w:autoSpaceDE/>
              <w:autoSpaceDN/>
              <w:bidi w:val="0"/>
              <w:adjustRightInd/>
              <w:snapToGrid w:val="0"/>
              <w:ind w:left="0"/>
              <w:jc w:val="left"/>
              <w:textAlignment w:val="auto"/>
              <w:outlineLvl w:val="9"/>
              <w:rPr>
                <w:rFonts w:hint="eastAsia" w:ascii="仿宋" w:hAnsi="仿宋" w:eastAsia="仿宋"/>
                <w:sz w:val="24"/>
                <w:szCs w:val="24"/>
                <w:highlight w:val="none"/>
              </w:rPr>
            </w:pPr>
            <w:r>
              <w:rPr>
                <w:rFonts w:hint="eastAsia" w:ascii="仿宋" w:hAnsi="仿宋" w:eastAsia="仿宋"/>
                <w:sz w:val="24"/>
                <w:szCs w:val="24"/>
                <w:highlight w:val="none"/>
              </w:rPr>
              <w:t>(六)档案实体验收必须逐卷清点,按档案数据、文件状况、卷内文件页数与顺序、装订要求等进行检查,如发现档案丢失、损坏、圈划或涂改等将追究法律责任;顺序错误、装订不符要求、卷内文件颠倒等作为差错， 将发回加工单位全面自检更正。</w:t>
            </w:r>
          </w:p>
          <w:p w14:paraId="4F0475B5">
            <w:pPr>
              <w:keepNext w:val="0"/>
              <w:keepLines w:val="0"/>
              <w:pageBreakBefore w:val="0"/>
              <w:widowControl w:val="0"/>
              <w:kinsoku/>
              <w:wordWrap/>
              <w:overflowPunct/>
              <w:topLinePunct w:val="0"/>
              <w:autoSpaceDE/>
              <w:autoSpaceDN/>
              <w:bidi w:val="0"/>
              <w:adjustRightInd/>
              <w:snapToGrid w:val="0"/>
              <w:ind w:left="0"/>
              <w:jc w:val="left"/>
              <w:textAlignment w:val="auto"/>
              <w:outlineLvl w:val="9"/>
              <w:rPr>
                <w:rFonts w:hint="eastAsia" w:ascii="仿宋" w:hAnsi="仿宋" w:eastAsia="仿宋"/>
                <w:sz w:val="24"/>
                <w:szCs w:val="24"/>
                <w:highlight w:val="none"/>
              </w:rPr>
            </w:pPr>
            <w:r>
              <w:rPr>
                <w:rFonts w:hint="eastAsia" w:ascii="仿宋" w:hAnsi="仿宋" w:eastAsia="仿宋"/>
                <w:sz w:val="24"/>
                <w:szCs w:val="24"/>
                <w:highlight w:val="none"/>
              </w:rPr>
              <w:t>(七)数据验收合格后，加工单位须提交数据备份一式两份移交给采购人。</w:t>
            </w:r>
          </w:p>
          <w:p w14:paraId="394C9074">
            <w:pPr>
              <w:keepNext w:val="0"/>
              <w:keepLines w:val="0"/>
              <w:pageBreakBefore w:val="0"/>
              <w:widowControl w:val="0"/>
              <w:kinsoku/>
              <w:wordWrap/>
              <w:overflowPunct/>
              <w:topLinePunct w:val="0"/>
              <w:autoSpaceDE/>
              <w:autoSpaceDN/>
              <w:bidi w:val="0"/>
              <w:adjustRightInd/>
              <w:snapToGrid w:val="0"/>
              <w:ind w:left="0"/>
              <w:jc w:val="left"/>
              <w:textAlignment w:val="auto"/>
              <w:outlineLvl w:val="9"/>
              <w:rPr>
                <w:rFonts w:ascii="仿宋" w:hAnsi="仿宋" w:eastAsia="仿宋"/>
                <w:sz w:val="24"/>
                <w:szCs w:val="24"/>
                <w:highlight w:val="none"/>
              </w:rPr>
            </w:pPr>
            <w:r>
              <w:rPr>
                <w:rFonts w:hint="eastAsia" w:ascii="仿宋" w:hAnsi="仿宋" w:eastAsia="仿宋"/>
                <w:sz w:val="24"/>
                <w:szCs w:val="24"/>
                <w:highlight w:val="none"/>
              </w:rPr>
              <w:t>(八)扫描仪等与工作相关的设备由成交供应商提供，在采购人指定场所完成相关工作。</w:t>
            </w:r>
          </w:p>
        </w:tc>
        <w:tc>
          <w:tcPr>
            <w:tcW w:w="1751" w:type="dxa"/>
            <w:tcBorders>
              <w:top w:val="single" w:color="auto" w:sz="4" w:space="0"/>
              <w:left w:val="single" w:color="auto" w:sz="4" w:space="0"/>
              <w:bottom w:val="single" w:color="auto" w:sz="4" w:space="0"/>
              <w:right w:val="single" w:color="auto" w:sz="4" w:space="0"/>
            </w:tcBorders>
            <w:vAlign w:val="center"/>
          </w:tcPr>
          <w:p w14:paraId="2075403A">
            <w:pPr>
              <w:keepNext w:val="0"/>
              <w:keepLines w:val="0"/>
              <w:pageBreakBefore w:val="0"/>
              <w:widowControl w:val="0"/>
              <w:kinsoku/>
              <w:wordWrap/>
              <w:overflowPunct/>
              <w:topLinePunct w:val="0"/>
              <w:autoSpaceDE/>
              <w:autoSpaceDN/>
              <w:bidi w:val="0"/>
              <w:adjustRightInd/>
              <w:snapToGrid w:val="0"/>
              <w:ind w:left="0"/>
              <w:jc w:val="center"/>
              <w:textAlignment w:val="auto"/>
              <w:outlineLvl w:val="9"/>
              <w:rPr>
                <w:rFonts w:ascii="仿宋" w:hAnsi="仿宋" w:eastAsia="仿宋"/>
                <w:sz w:val="24"/>
                <w:szCs w:val="24"/>
                <w:highlight w:val="none"/>
              </w:rPr>
            </w:pPr>
          </w:p>
        </w:tc>
        <w:tc>
          <w:tcPr>
            <w:tcW w:w="1808" w:type="dxa"/>
            <w:tcBorders>
              <w:top w:val="single" w:color="auto" w:sz="4" w:space="0"/>
              <w:left w:val="single" w:color="auto" w:sz="4" w:space="0"/>
              <w:bottom w:val="single" w:color="auto" w:sz="4" w:space="0"/>
              <w:right w:val="single" w:color="auto" w:sz="4" w:space="0"/>
            </w:tcBorders>
            <w:vAlign w:val="center"/>
          </w:tcPr>
          <w:p w14:paraId="0369EED9">
            <w:pPr>
              <w:keepNext w:val="0"/>
              <w:keepLines w:val="0"/>
              <w:pageBreakBefore w:val="0"/>
              <w:widowControl w:val="0"/>
              <w:kinsoku/>
              <w:wordWrap/>
              <w:overflowPunct/>
              <w:topLinePunct w:val="0"/>
              <w:autoSpaceDE/>
              <w:autoSpaceDN/>
              <w:bidi w:val="0"/>
              <w:adjustRightInd/>
              <w:snapToGrid w:val="0"/>
              <w:ind w:left="0"/>
              <w:jc w:val="center"/>
              <w:textAlignment w:val="auto"/>
              <w:outlineLvl w:val="9"/>
              <w:rPr>
                <w:rFonts w:ascii="仿宋" w:hAnsi="仿宋" w:eastAsia="仿宋"/>
                <w:sz w:val="24"/>
                <w:szCs w:val="24"/>
                <w:highlight w:val="none"/>
              </w:rPr>
            </w:pPr>
          </w:p>
        </w:tc>
        <w:tc>
          <w:tcPr>
            <w:tcW w:w="637" w:type="dxa"/>
            <w:tcBorders>
              <w:top w:val="single" w:color="auto" w:sz="4" w:space="0"/>
              <w:left w:val="single" w:color="auto" w:sz="4" w:space="0"/>
              <w:bottom w:val="single" w:color="auto" w:sz="4" w:space="0"/>
              <w:right w:val="single" w:color="auto" w:sz="4" w:space="0"/>
            </w:tcBorders>
            <w:vAlign w:val="center"/>
          </w:tcPr>
          <w:p w14:paraId="7D644E9A">
            <w:pPr>
              <w:keepNext w:val="0"/>
              <w:keepLines w:val="0"/>
              <w:pageBreakBefore w:val="0"/>
              <w:widowControl w:val="0"/>
              <w:kinsoku/>
              <w:wordWrap/>
              <w:overflowPunct/>
              <w:topLinePunct w:val="0"/>
              <w:autoSpaceDE/>
              <w:autoSpaceDN/>
              <w:bidi w:val="0"/>
              <w:adjustRightInd/>
              <w:snapToGrid w:val="0"/>
              <w:ind w:left="0"/>
              <w:jc w:val="center"/>
              <w:textAlignment w:val="auto"/>
              <w:outlineLvl w:val="9"/>
              <w:rPr>
                <w:rFonts w:ascii="仿宋" w:hAnsi="仿宋" w:eastAsia="仿宋"/>
                <w:sz w:val="24"/>
                <w:szCs w:val="24"/>
                <w:highlight w:val="none"/>
              </w:rPr>
            </w:pPr>
          </w:p>
        </w:tc>
      </w:tr>
      <w:tr w14:paraId="6553EA9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tcBorders>
              <w:top w:val="single" w:color="auto" w:sz="4" w:space="0"/>
              <w:left w:val="single" w:color="auto" w:sz="4" w:space="0"/>
              <w:bottom w:val="single" w:color="auto" w:sz="4" w:space="0"/>
              <w:right w:val="single" w:color="auto" w:sz="4" w:space="0"/>
            </w:tcBorders>
            <w:vAlign w:val="center"/>
          </w:tcPr>
          <w:p w14:paraId="2ED976AD">
            <w:pPr>
              <w:keepNext w:val="0"/>
              <w:keepLines w:val="0"/>
              <w:pageBreakBefore w:val="0"/>
              <w:widowControl w:val="0"/>
              <w:kinsoku/>
              <w:wordWrap/>
              <w:overflowPunct/>
              <w:topLinePunct w:val="0"/>
              <w:autoSpaceDE/>
              <w:autoSpaceDN/>
              <w:bidi w:val="0"/>
              <w:adjustRightInd/>
              <w:snapToGrid w:val="0"/>
              <w:ind w:left="0"/>
              <w:jc w:val="center"/>
              <w:textAlignment w:val="auto"/>
              <w:outlineLvl w:val="9"/>
              <w:rPr>
                <w:rFonts w:hint="default" w:ascii="仿宋" w:hAnsi="仿宋" w:eastAsia="仿宋"/>
                <w:sz w:val="24"/>
                <w:szCs w:val="24"/>
                <w:highlight w:val="none"/>
                <w:lang w:val="en-US" w:eastAsia="zh-CN"/>
              </w:rPr>
            </w:pPr>
            <w:r>
              <w:rPr>
                <w:rFonts w:hint="eastAsia" w:ascii="仿宋" w:hAnsi="仿宋" w:eastAsia="仿宋"/>
                <w:sz w:val="24"/>
                <w:szCs w:val="24"/>
                <w:highlight w:val="none"/>
                <w:lang w:val="en-US" w:eastAsia="zh-CN"/>
              </w:rPr>
              <w:t>7</w:t>
            </w:r>
          </w:p>
        </w:tc>
        <w:tc>
          <w:tcPr>
            <w:tcW w:w="834" w:type="dxa"/>
            <w:tcBorders>
              <w:top w:val="single" w:color="auto" w:sz="4" w:space="0"/>
              <w:left w:val="single" w:color="auto" w:sz="4" w:space="0"/>
              <w:bottom w:val="single" w:color="auto" w:sz="4" w:space="0"/>
              <w:right w:val="single" w:color="auto" w:sz="4" w:space="0"/>
            </w:tcBorders>
            <w:vAlign w:val="center"/>
          </w:tcPr>
          <w:p w14:paraId="4B6D0191">
            <w:pPr>
              <w:keepNext w:val="0"/>
              <w:keepLines w:val="0"/>
              <w:pageBreakBefore w:val="0"/>
              <w:widowControl w:val="0"/>
              <w:kinsoku/>
              <w:wordWrap/>
              <w:overflowPunct/>
              <w:topLinePunct w:val="0"/>
              <w:autoSpaceDE/>
              <w:autoSpaceDN/>
              <w:bidi w:val="0"/>
              <w:adjustRightInd/>
              <w:snapToGrid w:val="0"/>
              <w:ind w:left="0"/>
              <w:jc w:val="center"/>
              <w:textAlignment w:val="auto"/>
              <w:outlineLvl w:val="9"/>
              <w:rPr>
                <w:rFonts w:ascii="仿宋" w:hAnsi="仿宋" w:eastAsia="仿宋"/>
                <w:sz w:val="24"/>
                <w:szCs w:val="24"/>
                <w:highlight w:val="none"/>
              </w:rPr>
            </w:pPr>
            <w:r>
              <w:rPr>
                <w:rFonts w:hint="eastAsia" w:ascii="仿宋" w:hAnsi="仿宋" w:eastAsia="仿宋" w:cs="仿宋"/>
                <w:sz w:val="24"/>
                <w:szCs w:val="24"/>
                <w:highlight w:val="none"/>
              </w:rPr>
              <w:t>付款方式</w:t>
            </w:r>
          </w:p>
        </w:tc>
        <w:tc>
          <w:tcPr>
            <w:tcW w:w="3851" w:type="dxa"/>
            <w:tcBorders>
              <w:top w:val="single" w:color="auto" w:sz="4" w:space="0"/>
              <w:left w:val="single" w:color="auto" w:sz="4" w:space="0"/>
              <w:bottom w:val="single" w:color="auto" w:sz="4" w:space="0"/>
              <w:right w:val="single" w:color="auto" w:sz="4" w:space="0"/>
            </w:tcBorders>
            <w:vAlign w:val="center"/>
          </w:tcPr>
          <w:p w14:paraId="155BDDBB">
            <w:pPr>
              <w:keepNext w:val="0"/>
              <w:keepLines w:val="0"/>
              <w:pageBreakBefore w:val="0"/>
              <w:widowControl w:val="0"/>
              <w:kinsoku/>
              <w:wordWrap/>
              <w:overflowPunct/>
              <w:topLinePunct w:val="0"/>
              <w:autoSpaceDE/>
              <w:autoSpaceDN/>
              <w:bidi w:val="0"/>
              <w:adjustRightInd/>
              <w:snapToGrid w:val="0"/>
              <w:ind w:left="0"/>
              <w:jc w:val="left"/>
              <w:textAlignment w:val="auto"/>
              <w:outlineLvl w:val="9"/>
              <w:rPr>
                <w:rFonts w:ascii="仿宋" w:hAnsi="仿宋" w:eastAsia="仿宋"/>
                <w:sz w:val="24"/>
                <w:szCs w:val="24"/>
                <w:highlight w:val="none"/>
              </w:rPr>
            </w:pPr>
            <w:r>
              <w:rPr>
                <w:rFonts w:hint="eastAsia" w:ascii="仿宋" w:hAnsi="仿宋" w:eastAsia="仿宋"/>
                <w:sz w:val="24"/>
                <w:szCs w:val="24"/>
                <w:highlight w:val="none"/>
              </w:rPr>
              <w:t>每季度按合同单价及电子卷宗扫描实际工作量进行结算，每年度总服务金额不得超过本项目预算金额（120万），超过部分不予结算。在下季度第一个月10号前支付上季度服务费用。每次支付前，成交供应商均应出具在税务部门开具的正式税票。</w:t>
            </w:r>
          </w:p>
        </w:tc>
        <w:tc>
          <w:tcPr>
            <w:tcW w:w="1751" w:type="dxa"/>
            <w:tcBorders>
              <w:top w:val="single" w:color="auto" w:sz="4" w:space="0"/>
              <w:left w:val="single" w:color="auto" w:sz="4" w:space="0"/>
              <w:bottom w:val="single" w:color="auto" w:sz="4" w:space="0"/>
              <w:right w:val="single" w:color="auto" w:sz="4" w:space="0"/>
            </w:tcBorders>
            <w:vAlign w:val="center"/>
          </w:tcPr>
          <w:p w14:paraId="6568B75A">
            <w:pPr>
              <w:keepNext w:val="0"/>
              <w:keepLines w:val="0"/>
              <w:pageBreakBefore w:val="0"/>
              <w:widowControl w:val="0"/>
              <w:kinsoku/>
              <w:wordWrap/>
              <w:overflowPunct/>
              <w:topLinePunct w:val="0"/>
              <w:autoSpaceDE/>
              <w:autoSpaceDN/>
              <w:bidi w:val="0"/>
              <w:adjustRightInd/>
              <w:snapToGrid w:val="0"/>
              <w:ind w:left="0"/>
              <w:jc w:val="center"/>
              <w:textAlignment w:val="auto"/>
              <w:outlineLvl w:val="9"/>
              <w:rPr>
                <w:rFonts w:ascii="仿宋" w:hAnsi="仿宋" w:eastAsia="仿宋"/>
                <w:sz w:val="24"/>
                <w:szCs w:val="24"/>
                <w:highlight w:val="none"/>
              </w:rPr>
            </w:pPr>
          </w:p>
        </w:tc>
        <w:tc>
          <w:tcPr>
            <w:tcW w:w="1808" w:type="dxa"/>
            <w:tcBorders>
              <w:top w:val="single" w:color="auto" w:sz="4" w:space="0"/>
              <w:left w:val="single" w:color="auto" w:sz="4" w:space="0"/>
              <w:bottom w:val="single" w:color="auto" w:sz="4" w:space="0"/>
              <w:right w:val="single" w:color="auto" w:sz="4" w:space="0"/>
            </w:tcBorders>
            <w:vAlign w:val="center"/>
          </w:tcPr>
          <w:p w14:paraId="38F7CAF8">
            <w:pPr>
              <w:keepNext w:val="0"/>
              <w:keepLines w:val="0"/>
              <w:pageBreakBefore w:val="0"/>
              <w:widowControl w:val="0"/>
              <w:kinsoku/>
              <w:wordWrap/>
              <w:overflowPunct/>
              <w:topLinePunct w:val="0"/>
              <w:autoSpaceDE/>
              <w:autoSpaceDN/>
              <w:bidi w:val="0"/>
              <w:adjustRightInd/>
              <w:snapToGrid w:val="0"/>
              <w:ind w:left="0"/>
              <w:jc w:val="center"/>
              <w:textAlignment w:val="auto"/>
              <w:outlineLvl w:val="9"/>
              <w:rPr>
                <w:rFonts w:ascii="仿宋" w:hAnsi="仿宋" w:eastAsia="仿宋"/>
                <w:sz w:val="24"/>
                <w:szCs w:val="24"/>
                <w:highlight w:val="none"/>
              </w:rPr>
            </w:pPr>
          </w:p>
        </w:tc>
        <w:tc>
          <w:tcPr>
            <w:tcW w:w="637" w:type="dxa"/>
            <w:tcBorders>
              <w:top w:val="single" w:color="auto" w:sz="4" w:space="0"/>
              <w:left w:val="single" w:color="auto" w:sz="4" w:space="0"/>
              <w:bottom w:val="single" w:color="auto" w:sz="4" w:space="0"/>
              <w:right w:val="single" w:color="auto" w:sz="4" w:space="0"/>
            </w:tcBorders>
            <w:vAlign w:val="center"/>
          </w:tcPr>
          <w:p w14:paraId="41E0FCFB">
            <w:pPr>
              <w:keepNext w:val="0"/>
              <w:keepLines w:val="0"/>
              <w:pageBreakBefore w:val="0"/>
              <w:widowControl w:val="0"/>
              <w:kinsoku/>
              <w:wordWrap/>
              <w:overflowPunct/>
              <w:topLinePunct w:val="0"/>
              <w:autoSpaceDE/>
              <w:autoSpaceDN/>
              <w:bidi w:val="0"/>
              <w:adjustRightInd/>
              <w:snapToGrid w:val="0"/>
              <w:ind w:left="0"/>
              <w:jc w:val="center"/>
              <w:textAlignment w:val="auto"/>
              <w:outlineLvl w:val="9"/>
              <w:rPr>
                <w:rFonts w:ascii="仿宋" w:hAnsi="仿宋" w:eastAsia="仿宋"/>
                <w:sz w:val="24"/>
                <w:szCs w:val="24"/>
                <w:highlight w:val="none"/>
              </w:rPr>
            </w:pPr>
          </w:p>
        </w:tc>
      </w:tr>
      <w:tr w14:paraId="01CF1B5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tcBorders>
              <w:top w:val="single" w:color="auto" w:sz="4" w:space="0"/>
              <w:left w:val="single" w:color="auto" w:sz="4" w:space="0"/>
              <w:bottom w:val="single" w:color="auto" w:sz="4" w:space="0"/>
              <w:right w:val="single" w:color="auto" w:sz="4" w:space="0"/>
            </w:tcBorders>
            <w:vAlign w:val="center"/>
          </w:tcPr>
          <w:p w14:paraId="4A58C9A3">
            <w:pPr>
              <w:keepNext w:val="0"/>
              <w:keepLines w:val="0"/>
              <w:pageBreakBefore w:val="0"/>
              <w:widowControl w:val="0"/>
              <w:kinsoku/>
              <w:wordWrap/>
              <w:overflowPunct/>
              <w:topLinePunct w:val="0"/>
              <w:autoSpaceDE/>
              <w:autoSpaceDN/>
              <w:bidi w:val="0"/>
              <w:adjustRightInd/>
              <w:snapToGrid w:val="0"/>
              <w:ind w:left="0"/>
              <w:jc w:val="center"/>
              <w:textAlignment w:val="auto"/>
              <w:outlineLvl w:val="9"/>
              <w:rPr>
                <w:rFonts w:hint="default" w:ascii="仿宋" w:hAnsi="仿宋" w:eastAsia="仿宋"/>
                <w:sz w:val="24"/>
                <w:szCs w:val="24"/>
                <w:highlight w:val="none"/>
                <w:lang w:val="en-US" w:eastAsia="zh-CN"/>
              </w:rPr>
            </w:pPr>
            <w:r>
              <w:rPr>
                <w:rFonts w:hint="eastAsia" w:ascii="仿宋" w:hAnsi="仿宋" w:eastAsia="仿宋"/>
                <w:sz w:val="24"/>
                <w:szCs w:val="24"/>
                <w:highlight w:val="none"/>
                <w:lang w:val="en-US" w:eastAsia="zh-CN"/>
              </w:rPr>
              <w:t>8</w:t>
            </w:r>
          </w:p>
        </w:tc>
        <w:tc>
          <w:tcPr>
            <w:tcW w:w="834" w:type="dxa"/>
            <w:tcBorders>
              <w:top w:val="single" w:color="auto" w:sz="4" w:space="0"/>
              <w:left w:val="single" w:color="auto" w:sz="4" w:space="0"/>
              <w:bottom w:val="single" w:color="auto" w:sz="4" w:space="0"/>
              <w:right w:val="single" w:color="auto" w:sz="4" w:space="0"/>
            </w:tcBorders>
            <w:vAlign w:val="center"/>
          </w:tcPr>
          <w:p w14:paraId="46627C90">
            <w:pPr>
              <w:keepNext w:val="0"/>
              <w:keepLines w:val="0"/>
              <w:pageBreakBefore w:val="0"/>
              <w:widowControl w:val="0"/>
              <w:kinsoku/>
              <w:wordWrap/>
              <w:overflowPunct/>
              <w:topLinePunct w:val="0"/>
              <w:autoSpaceDE/>
              <w:autoSpaceDN/>
              <w:bidi w:val="0"/>
              <w:adjustRightInd/>
              <w:snapToGrid w:val="0"/>
              <w:ind w:left="0"/>
              <w:jc w:val="center"/>
              <w:textAlignment w:val="auto"/>
              <w:outlineLvl w:val="9"/>
              <w:rPr>
                <w:rFonts w:ascii="仿宋" w:hAnsi="仿宋" w:eastAsia="仿宋"/>
                <w:sz w:val="24"/>
                <w:szCs w:val="24"/>
                <w:highlight w:val="none"/>
              </w:rPr>
            </w:pPr>
            <w:r>
              <w:rPr>
                <w:rFonts w:hint="eastAsia" w:ascii="仿宋" w:hAnsi="仿宋" w:eastAsia="仿宋" w:cs="仿宋"/>
                <w:sz w:val="24"/>
                <w:szCs w:val="24"/>
                <w:highlight w:val="none"/>
              </w:rPr>
              <w:t>磋商过程中可能会实质性变动的内容</w:t>
            </w:r>
          </w:p>
        </w:tc>
        <w:tc>
          <w:tcPr>
            <w:tcW w:w="3851" w:type="dxa"/>
            <w:tcBorders>
              <w:top w:val="single" w:color="auto" w:sz="4" w:space="0"/>
              <w:left w:val="single" w:color="auto" w:sz="4" w:space="0"/>
              <w:bottom w:val="single" w:color="auto" w:sz="4" w:space="0"/>
              <w:right w:val="single" w:color="auto" w:sz="4" w:space="0"/>
            </w:tcBorders>
            <w:vAlign w:val="center"/>
          </w:tcPr>
          <w:p w14:paraId="6C85A34F">
            <w:pPr>
              <w:keepNext w:val="0"/>
              <w:keepLines w:val="0"/>
              <w:pageBreakBefore w:val="0"/>
              <w:widowControl w:val="0"/>
              <w:kinsoku/>
              <w:wordWrap/>
              <w:overflowPunct/>
              <w:topLinePunct w:val="0"/>
              <w:autoSpaceDE/>
              <w:autoSpaceDN/>
              <w:bidi w:val="0"/>
              <w:adjustRightInd/>
              <w:snapToGrid w:val="0"/>
              <w:ind w:left="0"/>
              <w:jc w:val="left"/>
              <w:textAlignment w:val="auto"/>
              <w:outlineLvl w:val="9"/>
              <w:rPr>
                <w:rFonts w:ascii="仿宋" w:hAnsi="仿宋" w:eastAsia="仿宋"/>
                <w:sz w:val="24"/>
                <w:szCs w:val="24"/>
                <w:highlight w:val="none"/>
              </w:rPr>
            </w:pPr>
            <w:r>
              <w:rPr>
                <w:rFonts w:hint="eastAsia" w:ascii="仿宋" w:hAnsi="仿宋" w:eastAsia="仿宋" w:cs="仿宋"/>
                <w:color w:val="auto"/>
                <w:sz w:val="24"/>
                <w:szCs w:val="24"/>
                <w:highlight w:val="none"/>
              </w:rPr>
              <w:t>服务要求</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人员配置及管理要求</w:t>
            </w:r>
            <w:r>
              <w:rPr>
                <w:rFonts w:hint="eastAsia" w:ascii="仿宋" w:hAnsi="仿宋" w:eastAsia="仿宋" w:cs="仿宋"/>
                <w:color w:val="auto"/>
                <w:sz w:val="24"/>
                <w:szCs w:val="24"/>
                <w:highlight w:val="none"/>
              </w:rPr>
              <w:t>。</w:t>
            </w:r>
          </w:p>
        </w:tc>
        <w:tc>
          <w:tcPr>
            <w:tcW w:w="1751" w:type="dxa"/>
            <w:tcBorders>
              <w:top w:val="single" w:color="auto" w:sz="4" w:space="0"/>
              <w:left w:val="single" w:color="auto" w:sz="4" w:space="0"/>
              <w:bottom w:val="single" w:color="auto" w:sz="4" w:space="0"/>
              <w:right w:val="single" w:color="auto" w:sz="4" w:space="0"/>
            </w:tcBorders>
            <w:vAlign w:val="center"/>
          </w:tcPr>
          <w:p w14:paraId="4244A7EC">
            <w:pPr>
              <w:keepNext w:val="0"/>
              <w:keepLines w:val="0"/>
              <w:pageBreakBefore w:val="0"/>
              <w:widowControl w:val="0"/>
              <w:kinsoku/>
              <w:wordWrap/>
              <w:overflowPunct/>
              <w:topLinePunct w:val="0"/>
              <w:autoSpaceDE/>
              <w:autoSpaceDN/>
              <w:bidi w:val="0"/>
              <w:adjustRightInd/>
              <w:snapToGrid w:val="0"/>
              <w:ind w:left="0"/>
              <w:jc w:val="center"/>
              <w:textAlignment w:val="auto"/>
              <w:outlineLvl w:val="9"/>
              <w:rPr>
                <w:rFonts w:ascii="仿宋" w:hAnsi="仿宋" w:eastAsia="仿宋"/>
                <w:sz w:val="24"/>
                <w:szCs w:val="24"/>
                <w:highlight w:val="none"/>
              </w:rPr>
            </w:pPr>
          </w:p>
        </w:tc>
        <w:tc>
          <w:tcPr>
            <w:tcW w:w="1808" w:type="dxa"/>
            <w:tcBorders>
              <w:top w:val="single" w:color="auto" w:sz="4" w:space="0"/>
              <w:left w:val="single" w:color="auto" w:sz="4" w:space="0"/>
              <w:bottom w:val="single" w:color="auto" w:sz="4" w:space="0"/>
              <w:right w:val="single" w:color="auto" w:sz="4" w:space="0"/>
            </w:tcBorders>
            <w:vAlign w:val="center"/>
          </w:tcPr>
          <w:p w14:paraId="2E291821">
            <w:pPr>
              <w:keepNext w:val="0"/>
              <w:keepLines w:val="0"/>
              <w:pageBreakBefore w:val="0"/>
              <w:widowControl w:val="0"/>
              <w:kinsoku/>
              <w:wordWrap/>
              <w:overflowPunct/>
              <w:topLinePunct w:val="0"/>
              <w:autoSpaceDE/>
              <w:autoSpaceDN/>
              <w:bidi w:val="0"/>
              <w:adjustRightInd/>
              <w:snapToGrid w:val="0"/>
              <w:ind w:left="0"/>
              <w:jc w:val="center"/>
              <w:textAlignment w:val="auto"/>
              <w:outlineLvl w:val="9"/>
              <w:rPr>
                <w:rFonts w:ascii="仿宋" w:hAnsi="仿宋" w:eastAsia="仿宋"/>
                <w:sz w:val="24"/>
                <w:szCs w:val="24"/>
                <w:highlight w:val="none"/>
              </w:rPr>
            </w:pPr>
          </w:p>
        </w:tc>
        <w:tc>
          <w:tcPr>
            <w:tcW w:w="637" w:type="dxa"/>
            <w:tcBorders>
              <w:top w:val="single" w:color="auto" w:sz="4" w:space="0"/>
              <w:left w:val="single" w:color="auto" w:sz="4" w:space="0"/>
              <w:bottom w:val="single" w:color="auto" w:sz="4" w:space="0"/>
              <w:right w:val="single" w:color="auto" w:sz="4" w:space="0"/>
            </w:tcBorders>
            <w:vAlign w:val="center"/>
          </w:tcPr>
          <w:p w14:paraId="1B66B099">
            <w:pPr>
              <w:keepNext w:val="0"/>
              <w:keepLines w:val="0"/>
              <w:pageBreakBefore w:val="0"/>
              <w:widowControl w:val="0"/>
              <w:kinsoku/>
              <w:wordWrap/>
              <w:overflowPunct/>
              <w:topLinePunct w:val="0"/>
              <w:autoSpaceDE/>
              <w:autoSpaceDN/>
              <w:bidi w:val="0"/>
              <w:adjustRightInd/>
              <w:snapToGrid w:val="0"/>
              <w:ind w:left="0"/>
              <w:jc w:val="center"/>
              <w:textAlignment w:val="auto"/>
              <w:outlineLvl w:val="9"/>
              <w:rPr>
                <w:rFonts w:ascii="仿宋" w:hAnsi="仿宋" w:eastAsia="仿宋"/>
                <w:sz w:val="24"/>
                <w:szCs w:val="24"/>
                <w:highlight w:val="none"/>
              </w:rPr>
            </w:pPr>
          </w:p>
        </w:tc>
      </w:tr>
      <w:tr w14:paraId="6253266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tcBorders>
              <w:top w:val="single" w:color="auto" w:sz="4" w:space="0"/>
              <w:left w:val="single" w:color="auto" w:sz="4" w:space="0"/>
              <w:bottom w:val="single" w:color="auto" w:sz="4" w:space="0"/>
              <w:right w:val="single" w:color="auto" w:sz="4" w:space="0"/>
            </w:tcBorders>
            <w:vAlign w:val="center"/>
          </w:tcPr>
          <w:p w14:paraId="5E225047">
            <w:pPr>
              <w:keepNext w:val="0"/>
              <w:keepLines w:val="0"/>
              <w:pageBreakBefore w:val="0"/>
              <w:widowControl w:val="0"/>
              <w:kinsoku/>
              <w:wordWrap/>
              <w:overflowPunct/>
              <w:topLinePunct w:val="0"/>
              <w:autoSpaceDE/>
              <w:autoSpaceDN/>
              <w:bidi w:val="0"/>
              <w:adjustRightInd/>
              <w:snapToGrid w:val="0"/>
              <w:ind w:left="0"/>
              <w:jc w:val="center"/>
              <w:textAlignment w:val="auto"/>
              <w:outlineLvl w:val="9"/>
              <w:rPr>
                <w:rFonts w:hint="default" w:ascii="仿宋" w:hAnsi="仿宋" w:eastAsia="仿宋"/>
                <w:sz w:val="24"/>
                <w:szCs w:val="24"/>
                <w:highlight w:val="none"/>
                <w:lang w:val="en-US" w:eastAsia="zh-CN"/>
              </w:rPr>
            </w:pPr>
            <w:r>
              <w:rPr>
                <w:rFonts w:hint="eastAsia" w:ascii="仿宋" w:hAnsi="仿宋" w:eastAsia="仿宋"/>
                <w:sz w:val="24"/>
                <w:szCs w:val="24"/>
                <w:highlight w:val="none"/>
                <w:lang w:val="en-US" w:eastAsia="zh-CN"/>
              </w:rPr>
              <w:t>9</w:t>
            </w:r>
          </w:p>
        </w:tc>
        <w:tc>
          <w:tcPr>
            <w:tcW w:w="834" w:type="dxa"/>
            <w:tcBorders>
              <w:top w:val="single" w:color="auto" w:sz="4" w:space="0"/>
              <w:left w:val="single" w:color="auto" w:sz="4" w:space="0"/>
              <w:bottom w:val="single" w:color="auto" w:sz="4" w:space="0"/>
              <w:right w:val="single" w:color="auto" w:sz="4" w:space="0"/>
            </w:tcBorders>
            <w:vAlign w:val="center"/>
          </w:tcPr>
          <w:p w14:paraId="2832B950">
            <w:pPr>
              <w:keepNext w:val="0"/>
              <w:keepLines w:val="0"/>
              <w:pageBreakBefore w:val="0"/>
              <w:widowControl w:val="0"/>
              <w:kinsoku/>
              <w:wordWrap/>
              <w:overflowPunct/>
              <w:topLinePunct w:val="0"/>
              <w:autoSpaceDE/>
              <w:autoSpaceDN/>
              <w:bidi w:val="0"/>
              <w:adjustRightInd/>
              <w:snapToGrid w:val="0"/>
              <w:ind w:left="0"/>
              <w:jc w:val="center"/>
              <w:textAlignment w:val="auto"/>
              <w:outlineLvl w:val="9"/>
              <w:rPr>
                <w:rFonts w:ascii="仿宋" w:hAnsi="仿宋" w:eastAsia="仿宋"/>
                <w:sz w:val="24"/>
                <w:szCs w:val="24"/>
                <w:highlight w:val="none"/>
              </w:rPr>
            </w:pPr>
            <w:r>
              <w:rPr>
                <w:rFonts w:hint="eastAsia" w:ascii="仿宋" w:hAnsi="仿宋" w:eastAsia="仿宋" w:cs="仿宋"/>
                <w:sz w:val="24"/>
                <w:szCs w:val="24"/>
                <w:highlight w:val="none"/>
              </w:rPr>
              <w:t>其他要求</w:t>
            </w:r>
          </w:p>
        </w:tc>
        <w:tc>
          <w:tcPr>
            <w:tcW w:w="3851" w:type="dxa"/>
            <w:tcBorders>
              <w:top w:val="single" w:color="auto" w:sz="4" w:space="0"/>
              <w:left w:val="single" w:color="auto" w:sz="4" w:space="0"/>
              <w:bottom w:val="single" w:color="auto" w:sz="4" w:space="0"/>
              <w:right w:val="single" w:color="auto" w:sz="4" w:space="0"/>
            </w:tcBorders>
            <w:vAlign w:val="center"/>
          </w:tcPr>
          <w:p w14:paraId="5618F76C">
            <w:pPr>
              <w:keepNext w:val="0"/>
              <w:keepLines w:val="0"/>
              <w:pageBreakBefore w:val="0"/>
              <w:widowControl w:val="0"/>
              <w:kinsoku/>
              <w:wordWrap/>
              <w:overflowPunct/>
              <w:topLinePunct w:val="0"/>
              <w:autoSpaceDE/>
              <w:autoSpaceDN/>
              <w:bidi w:val="0"/>
              <w:adjustRightInd/>
              <w:snapToGrid w:val="0"/>
              <w:ind w:left="0"/>
              <w:jc w:val="left"/>
              <w:textAlignment w:val="auto"/>
              <w:outlineLvl w:val="9"/>
              <w:rPr>
                <w:rFonts w:hint="eastAsia" w:ascii="仿宋" w:hAnsi="仿宋" w:eastAsia="仿宋"/>
                <w:sz w:val="24"/>
                <w:szCs w:val="24"/>
                <w:highlight w:val="none"/>
              </w:rPr>
            </w:pPr>
            <w:r>
              <w:rPr>
                <w:rFonts w:hint="eastAsia" w:ascii="仿宋" w:hAnsi="仿宋" w:eastAsia="仿宋"/>
                <w:sz w:val="24"/>
                <w:szCs w:val="24"/>
                <w:highlight w:val="none"/>
              </w:rPr>
              <w:t xml:space="preserve">（一）响应供应商的响应报价应为完成本项目在服务期内完成服务内容所需要的一切费用，包括但不限于所有涉及的软、硬件成本、运输费、工具、通讯、服装、各种税费、人工、保险、劳保、维护、加班费、福利、利润、工商税金、管理费、安全管理、以及政策性文件规定及合同包含的所有风险、责任等项目相关一切费用。本项目所报单价一次性包定，不再追加，最终结算价按实际工作量*单价计算，最终结算金额每年不超过壹佰贰拾万元整，超过部分不予结算。请各响应供应商在报价时请充分考虑各种因素。 </w:t>
            </w:r>
          </w:p>
          <w:p w14:paraId="255927ED">
            <w:pPr>
              <w:keepNext w:val="0"/>
              <w:keepLines w:val="0"/>
              <w:pageBreakBefore w:val="0"/>
              <w:widowControl w:val="0"/>
              <w:kinsoku/>
              <w:wordWrap/>
              <w:overflowPunct/>
              <w:topLinePunct w:val="0"/>
              <w:autoSpaceDE/>
              <w:autoSpaceDN/>
              <w:bidi w:val="0"/>
              <w:adjustRightInd/>
              <w:snapToGrid w:val="0"/>
              <w:ind w:left="0"/>
              <w:jc w:val="left"/>
              <w:textAlignment w:val="auto"/>
              <w:outlineLvl w:val="9"/>
              <w:rPr>
                <w:rFonts w:hint="eastAsia" w:ascii="仿宋" w:hAnsi="仿宋" w:eastAsia="仿宋"/>
                <w:sz w:val="24"/>
                <w:szCs w:val="24"/>
                <w:highlight w:val="none"/>
              </w:rPr>
            </w:pPr>
            <w:r>
              <w:rPr>
                <w:rFonts w:hint="eastAsia" w:ascii="仿宋" w:hAnsi="仿宋" w:eastAsia="仿宋"/>
                <w:sz w:val="24"/>
                <w:szCs w:val="24"/>
                <w:highlight w:val="none"/>
              </w:rPr>
              <w:t>（二）成交供应商须自项目整体验收合格之日起,提供一年的免费维护期服务。无论在维护期内还是维护期满后，负责对其实施的项目提供 24 小时不间断技术支持服务，提供电话传真电子邮件、现场指导等多种方式技术支持服务，全方位响应采购人需求。如需要现场服务的,供应商应保证正常工作期间在 2 小时内到达现场，并最迟在 24 小时内排除故障,24 小时内不能排除故障的，必须采取临时应急措施，以保证采购人的正常使用。</w:t>
            </w:r>
          </w:p>
          <w:p w14:paraId="241AC9B2">
            <w:pPr>
              <w:keepNext w:val="0"/>
              <w:keepLines w:val="0"/>
              <w:pageBreakBefore w:val="0"/>
              <w:widowControl w:val="0"/>
              <w:kinsoku/>
              <w:wordWrap/>
              <w:overflowPunct/>
              <w:topLinePunct w:val="0"/>
              <w:autoSpaceDE/>
              <w:autoSpaceDN/>
              <w:bidi w:val="0"/>
              <w:adjustRightInd/>
              <w:snapToGrid w:val="0"/>
              <w:ind w:left="0"/>
              <w:jc w:val="left"/>
              <w:textAlignment w:val="auto"/>
              <w:outlineLvl w:val="9"/>
              <w:rPr>
                <w:rFonts w:hint="eastAsia" w:ascii="仿宋" w:hAnsi="仿宋" w:eastAsia="仿宋"/>
                <w:sz w:val="24"/>
                <w:szCs w:val="24"/>
                <w:highlight w:val="none"/>
              </w:rPr>
            </w:pPr>
            <w:r>
              <w:rPr>
                <w:rFonts w:hint="eastAsia" w:ascii="仿宋" w:hAnsi="仿宋" w:eastAsia="仿宋"/>
                <w:sz w:val="24"/>
                <w:szCs w:val="24"/>
                <w:highlight w:val="none"/>
              </w:rPr>
              <w:t>(三)</w:t>
            </w:r>
            <w:r>
              <w:rPr>
                <w:rFonts w:hint="eastAsia" w:ascii="仿宋" w:hAnsi="仿宋" w:eastAsia="仿宋"/>
                <w:sz w:val="24"/>
                <w:szCs w:val="24"/>
                <w:highlight w:val="none"/>
                <w:lang w:eastAsia="zh-CN"/>
              </w:rPr>
              <w:t>维护期满后提供的技术支持和服务</w:t>
            </w:r>
            <w:r>
              <w:rPr>
                <w:rFonts w:hint="eastAsia" w:ascii="仿宋" w:hAnsi="仿宋" w:eastAsia="仿宋"/>
                <w:sz w:val="24"/>
                <w:szCs w:val="24"/>
                <w:highlight w:val="none"/>
              </w:rPr>
              <w:t>，只收取成本费。</w:t>
            </w:r>
          </w:p>
          <w:p w14:paraId="7997E15D">
            <w:pPr>
              <w:keepNext w:val="0"/>
              <w:keepLines w:val="0"/>
              <w:pageBreakBefore w:val="0"/>
              <w:widowControl w:val="0"/>
              <w:kinsoku/>
              <w:wordWrap/>
              <w:overflowPunct/>
              <w:topLinePunct w:val="0"/>
              <w:autoSpaceDE/>
              <w:autoSpaceDN/>
              <w:bidi w:val="0"/>
              <w:adjustRightInd/>
              <w:snapToGrid w:val="0"/>
              <w:ind w:left="0"/>
              <w:jc w:val="left"/>
              <w:textAlignment w:val="auto"/>
              <w:outlineLvl w:val="9"/>
              <w:rPr>
                <w:rFonts w:hint="eastAsia" w:ascii="仿宋" w:hAnsi="仿宋" w:eastAsia="仿宋"/>
                <w:sz w:val="24"/>
                <w:szCs w:val="24"/>
                <w:highlight w:val="none"/>
              </w:rPr>
            </w:pPr>
            <w:r>
              <w:rPr>
                <w:rFonts w:hint="eastAsia" w:ascii="仿宋" w:hAnsi="仿宋" w:eastAsia="仿宋"/>
                <w:sz w:val="24"/>
                <w:szCs w:val="24"/>
                <w:highlight w:val="none"/>
              </w:rPr>
              <w:t>(四)无论在维护期内还是维护期满后，若发现成交供应商所扫的数据有漏扫、出错，供应商应永久及时、无偿负责修改、补扫、归档。</w:t>
            </w:r>
          </w:p>
          <w:p w14:paraId="05C8EC89">
            <w:pPr>
              <w:keepNext w:val="0"/>
              <w:keepLines w:val="0"/>
              <w:pageBreakBefore w:val="0"/>
              <w:widowControl w:val="0"/>
              <w:kinsoku/>
              <w:wordWrap/>
              <w:overflowPunct/>
              <w:topLinePunct w:val="0"/>
              <w:autoSpaceDE/>
              <w:autoSpaceDN/>
              <w:bidi w:val="0"/>
              <w:adjustRightInd/>
              <w:snapToGrid w:val="0"/>
              <w:ind w:left="0"/>
              <w:jc w:val="left"/>
              <w:textAlignment w:val="auto"/>
              <w:outlineLvl w:val="9"/>
              <w:rPr>
                <w:rFonts w:hint="eastAsia" w:ascii="仿宋" w:hAnsi="仿宋" w:eastAsia="仿宋"/>
                <w:sz w:val="24"/>
                <w:szCs w:val="24"/>
                <w:highlight w:val="none"/>
              </w:rPr>
            </w:pPr>
            <w:r>
              <w:rPr>
                <w:rFonts w:hint="eastAsia" w:ascii="仿宋" w:hAnsi="仿宋" w:eastAsia="仿宋"/>
                <w:sz w:val="24"/>
                <w:szCs w:val="24"/>
                <w:highlight w:val="none"/>
              </w:rPr>
              <w:t>（五）为更好的对驻场人员进行安全管理，保持人员稳定性，减少外出用餐泄密的风险，采购人在院本部机关食堂为驻场人员提供一次免费午餐（与法院干警同等标准）。</w:t>
            </w:r>
          </w:p>
          <w:p w14:paraId="0C1AEEFB">
            <w:pPr>
              <w:keepNext w:val="0"/>
              <w:keepLines w:val="0"/>
              <w:pageBreakBefore w:val="0"/>
              <w:widowControl w:val="0"/>
              <w:kinsoku/>
              <w:wordWrap/>
              <w:overflowPunct/>
              <w:topLinePunct w:val="0"/>
              <w:autoSpaceDE/>
              <w:autoSpaceDN/>
              <w:bidi w:val="0"/>
              <w:adjustRightInd/>
              <w:snapToGrid w:val="0"/>
              <w:ind w:left="0"/>
              <w:jc w:val="left"/>
              <w:textAlignment w:val="auto"/>
              <w:outlineLvl w:val="9"/>
              <w:rPr>
                <w:rFonts w:hint="eastAsia" w:ascii="仿宋" w:hAnsi="仿宋" w:eastAsia="仿宋"/>
                <w:sz w:val="24"/>
                <w:szCs w:val="24"/>
                <w:highlight w:val="none"/>
              </w:rPr>
            </w:pPr>
            <w:r>
              <w:rPr>
                <w:rFonts w:hint="eastAsia" w:ascii="仿宋" w:hAnsi="仿宋" w:eastAsia="仿宋"/>
                <w:sz w:val="24"/>
                <w:szCs w:val="24"/>
                <w:highlight w:val="none"/>
              </w:rPr>
              <w:t>（六）响应文件中应提供组织实施方案，包含但不限于以下内容</w:t>
            </w:r>
          </w:p>
          <w:p w14:paraId="5F9BC91F">
            <w:pPr>
              <w:keepNext w:val="0"/>
              <w:keepLines w:val="0"/>
              <w:pageBreakBefore w:val="0"/>
              <w:widowControl w:val="0"/>
              <w:kinsoku/>
              <w:wordWrap/>
              <w:overflowPunct/>
              <w:topLinePunct w:val="0"/>
              <w:autoSpaceDE/>
              <w:autoSpaceDN/>
              <w:bidi w:val="0"/>
              <w:adjustRightInd/>
              <w:snapToGrid w:val="0"/>
              <w:ind w:left="0"/>
              <w:jc w:val="left"/>
              <w:textAlignment w:val="auto"/>
              <w:outlineLvl w:val="9"/>
              <w:rPr>
                <w:rFonts w:hint="eastAsia" w:ascii="仿宋" w:hAnsi="仿宋" w:eastAsia="仿宋"/>
                <w:sz w:val="24"/>
                <w:szCs w:val="24"/>
                <w:highlight w:val="none"/>
              </w:rPr>
            </w:pPr>
            <w:r>
              <w:rPr>
                <w:rFonts w:hint="eastAsia" w:ascii="仿宋" w:hAnsi="仿宋" w:eastAsia="仿宋"/>
                <w:sz w:val="24"/>
                <w:szCs w:val="24"/>
                <w:highlight w:val="none"/>
              </w:rPr>
              <w:t>1.材料收转方案，包含但不限于①先扫描后立案流程设计②材料收转服务③材料登记与质检服务④材料分类及扫描规范⑤中间柜管理⑥卷宗管理软件方案。</w:t>
            </w:r>
          </w:p>
          <w:p w14:paraId="1EEF26D7">
            <w:pPr>
              <w:keepNext w:val="0"/>
              <w:keepLines w:val="0"/>
              <w:pageBreakBefore w:val="0"/>
              <w:widowControl w:val="0"/>
              <w:kinsoku/>
              <w:wordWrap/>
              <w:overflowPunct/>
              <w:topLinePunct w:val="0"/>
              <w:autoSpaceDE/>
              <w:autoSpaceDN/>
              <w:bidi w:val="0"/>
              <w:adjustRightInd/>
              <w:snapToGrid w:val="0"/>
              <w:ind w:left="0"/>
              <w:jc w:val="left"/>
              <w:textAlignment w:val="auto"/>
              <w:outlineLvl w:val="9"/>
              <w:rPr>
                <w:rFonts w:hint="eastAsia" w:ascii="仿宋" w:hAnsi="仿宋" w:eastAsia="仿宋"/>
                <w:sz w:val="24"/>
                <w:szCs w:val="24"/>
                <w:highlight w:val="none"/>
              </w:rPr>
            </w:pPr>
            <w:r>
              <w:rPr>
                <w:rFonts w:hint="eastAsia" w:ascii="仿宋" w:hAnsi="仿宋" w:eastAsia="仿宋"/>
                <w:sz w:val="24"/>
                <w:szCs w:val="24"/>
                <w:highlight w:val="none"/>
              </w:rPr>
              <w:t>2.档案管理方案，包括但不限于①档案提调、整理、录入服务②档案校对、质检服务③数据验收服务④数据备份服务⑤数据移交、档案归还服务⑥档案管理软件方案。</w:t>
            </w:r>
          </w:p>
          <w:p w14:paraId="7357ABFA">
            <w:pPr>
              <w:keepNext w:val="0"/>
              <w:keepLines w:val="0"/>
              <w:pageBreakBefore w:val="0"/>
              <w:widowControl w:val="0"/>
              <w:kinsoku/>
              <w:wordWrap/>
              <w:overflowPunct/>
              <w:topLinePunct w:val="0"/>
              <w:autoSpaceDE/>
              <w:autoSpaceDN/>
              <w:bidi w:val="0"/>
              <w:adjustRightInd/>
              <w:snapToGrid w:val="0"/>
              <w:ind w:left="0"/>
              <w:jc w:val="left"/>
              <w:textAlignment w:val="auto"/>
              <w:outlineLvl w:val="9"/>
              <w:rPr>
                <w:rFonts w:hint="eastAsia" w:ascii="仿宋" w:hAnsi="仿宋" w:eastAsia="仿宋"/>
                <w:sz w:val="24"/>
                <w:szCs w:val="24"/>
                <w:highlight w:val="none"/>
              </w:rPr>
            </w:pPr>
            <w:r>
              <w:rPr>
                <w:rFonts w:hint="eastAsia" w:ascii="仿宋" w:hAnsi="仿宋" w:eastAsia="仿宋"/>
                <w:sz w:val="24"/>
                <w:szCs w:val="24"/>
                <w:highlight w:val="none"/>
              </w:rPr>
              <w:t>3.组织方案，包含但不限于①内部管理架构②管理规章制度。</w:t>
            </w:r>
          </w:p>
          <w:p w14:paraId="79E96C30">
            <w:pPr>
              <w:keepNext w:val="0"/>
              <w:keepLines w:val="0"/>
              <w:pageBreakBefore w:val="0"/>
              <w:widowControl w:val="0"/>
              <w:kinsoku/>
              <w:wordWrap/>
              <w:overflowPunct/>
              <w:topLinePunct w:val="0"/>
              <w:autoSpaceDE/>
              <w:autoSpaceDN/>
              <w:bidi w:val="0"/>
              <w:adjustRightInd/>
              <w:snapToGrid w:val="0"/>
              <w:ind w:left="0"/>
              <w:jc w:val="left"/>
              <w:textAlignment w:val="auto"/>
              <w:outlineLvl w:val="9"/>
              <w:rPr>
                <w:rFonts w:hint="eastAsia" w:ascii="仿宋" w:hAnsi="仿宋" w:eastAsia="仿宋"/>
                <w:sz w:val="24"/>
                <w:szCs w:val="24"/>
                <w:highlight w:val="none"/>
              </w:rPr>
            </w:pPr>
            <w:r>
              <w:rPr>
                <w:rFonts w:hint="eastAsia" w:ascii="仿宋" w:hAnsi="仿宋" w:eastAsia="仿宋"/>
                <w:sz w:val="24"/>
                <w:szCs w:val="24"/>
                <w:highlight w:val="none"/>
              </w:rPr>
              <w:t>4.培训方案，包含但不限于①内部培训②法院培训。</w:t>
            </w:r>
          </w:p>
          <w:p w14:paraId="14DE50D5">
            <w:pPr>
              <w:keepNext w:val="0"/>
              <w:keepLines w:val="0"/>
              <w:pageBreakBefore w:val="0"/>
              <w:widowControl w:val="0"/>
              <w:kinsoku/>
              <w:wordWrap/>
              <w:overflowPunct/>
              <w:topLinePunct w:val="0"/>
              <w:autoSpaceDE/>
              <w:autoSpaceDN/>
              <w:bidi w:val="0"/>
              <w:adjustRightInd/>
              <w:snapToGrid w:val="0"/>
              <w:ind w:left="0"/>
              <w:jc w:val="left"/>
              <w:textAlignment w:val="auto"/>
              <w:outlineLvl w:val="9"/>
              <w:rPr>
                <w:rFonts w:hint="eastAsia" w:ascii="仿宋" w:hAnsi="仿宋" w:eastAsia="仿宋"/>
                <w:sz w:val="24"/>
                <w:szCs w:val="24"/>
                <w:highlight w:val="none"/>
              </w:rPr>
            </w:pPr>
            <w:r>
              <w:rPr>
                <w:rFonts w:hint="eastAsia" w:ascii="仿宋" w:hAnsi="仿宋" w:eastAsia="仿宋"/>
                <w:sz w:val="24"/>
                <w:szCs w:val="24"/>
                <w:highlight w:val="none"/>
              </w:rPr>
              <w:t>5.应急方案，包含但不限于①应急事项的处理流程②处理方法③日常预防机制。</w:t>
            </w:r>
          </w:p>
          <w:p w14:paraId="31798257">
            <w:pPr>
              <w:keepNext w:val="0"/>
              <w:keepLines w:val="0"/>
              <w:pageBreakBefore w:val="0"/>
              <w:widowControl w:val="0"/>
              <w:kinsoku/>
              <w:wordWrap/>
              <w:overflowPunct/>
              <w:topLinePunct w:val="0"/>
              <w:autoSpaceDE/>
              <w:autoSpaceDN/>
              <w:bidi w:val="0"/>
              <w:adjustRightInd/>
              <w:snapToGrid w:val="0"/>
              <w:ind w:left="0"/>
              <w:jc w:val="left"/>
              <w:textAlignment w:val="auto"/>
              <w:outlineLvl w:val="9"/>
              <w:rPr>
                <w:rFonts w:ascii="仿宋" w:hAnsi="仿宋" w:eastAsia="仿宋"/>
                <w:sz w:val="24"/>
                <w:szCs w:val="24"/>
                <w:highlight w:val="none"/>
              </w:rPr>
            </w:pPr>
            <w:r>
              <w:rPr>
                <w:rFonts w:hint="eastAsia" w:ascii="仿宋" w:hAnsi="仿宋" w:eastAsia="仿宋"/>
                <w:sz w:val="24"/>
                <w:szCs w:val="24"/>
                <w:highlight w:val="none"/>
              </w:rPr>
              <w:t>6.保密方案，包含但不限于①保密安全管理制度②保密安全管理规范③保密安全管理措施④保密安全承诺。每项内容均应包括人员安全管理、档案安全管理、数据安全管理、工作日志管理方面。</w:t>
            </w:r>
          </w:p>
        </w:tc>
        <w:tc>
          <w:tcPr>
            <w:tcW w:w="1751" w:type="dxa"/>
            <w:tcBorders>
              <w:top w:val="single" w:color="auto" w:sz="4" w:space="0"/>
              <w:left w:val="single" w:color="auto" w:sz="4" w:space="0"/>
              <w:bottom w:val="single" w:color="auto" w:sz="4" w:space="0"/>
              <w:right w:val="single" w:color="auto" w:sz="4" w:space="0"/>
            </w:tcBorders>
            <w:vAlign w:val="center"/>
          </w:tcPr>
          <w:p w14:paraId="3D2C9B19">
            <w:pPr>
              <w:keepNext w:val="0"/>
              <w:keepLines w:val="0"/>
              <w:pageBreakBefore w:val="0"/>
              <w:widowControl w:val="0"/>
              <w:kinsoku/>
              <w:wordWrap/>
              <w:overflowPunct/>
              <w:topLinePunct w:val="0"/>
              <w:autoSpaceDE/>
              <w:autoSpaceDN/>
              <w:bidi w:val="0"/>
              <w:adjustRightInd/>
              <w:snapToGrid w:val="0"/>
              <w:ind w:left="0"/>
              <w:jc w:val="center"/>
              <w:textAlignment w:val="auto"/>
              <w:outlineLvl w:val="9"/>
              <w:rPr>
                <w:rFonts w:ascii="仿宋" w:hAnsi="仿宋" w:eastAsia="仿宋"/>
                <w:sz w:val="24"/>
                <w:szCs w:val="24"/>
                <w:highlight w:val="none"/>
              </w:rPr>
            </w:pPr>
          </w:p>
        </w:tc>
        <w:tc>
          <w:tcPr>
            <w:tcW w:w="1808" w:type="dxa"/>
            <w:tcBorders>
              <w:top w:val="single" w:color="auto" w:sz="4" w:space="0"/>
              <w:left w:val="single" w:color="auto" w:sz="4" w:space="0"/>
              <w:bottom w:val="single" w:color="auto" w:sz="4" w:space="0"/>
              <w:right w:val="single" w:color="auto" w:sz="4" w:space="0"/>
            </w:tcBorders>
            <w:vAlign w:val="center"/>
          </w:tcPr>
          <w:p w14:paraId="41281244">
            <w:pPr>
              <w:keepNext w:val="0"/>
              <w:keepLines w:val="0"/>
              <w:pageBreakBefore w:val="0"/>
              <w:widowControl w:val="0"/>
              <w:kinsoku/>
              <w:wordWrap/>
              <w:overflowPunct/>
              <w:topLinePunct w:val="0"/>
              <w:autoSpaceDE/>
              <w:autoSpaceDN/>
              <w:bidi w:val="0"/>
              <w:adjustRightInd/>
              <w:snapToGrid w:val="0"/>
              <w:ind w:left="0"/>
              <w:jc w:val="center"/>
              <w:textAlignment w:val="auto"/>
              <w:outlineLvl w:val="9"/>
              <w:rPr>
                <w:rFonts w:ascii="仿宋" w:hAnsi="仿宋" w:eastAsia="仿宋"/>
                <w:sz w:val="24"/>
                <w:szCs w:val="24"/>
                <w:highlight w:val="none"/>
              </w:rPr>
            </w:pPr>
          </w:p>
        </w:tc>
        <w:tc>
          <w:tcPr>
            <w:tcW w:w="637" w:type="dxa"/>
            <w:tcBorders>
              <w:top w:val="single" w:color="auto" w:sz="4" w:space="0"/>
              <w:left w:val="single" w:color="auto" w:sz="4" w:space="0"/>
              <w:bottom w:val="single" w:color="auto" w:sz="4" w:space="0"/>
              <w:right w:val="single" w:color="auto" w:sz="4" w:space="0"/>
            </w:tcBorders>
            <w:vAlign w:val="center"/>
          </w:tcPr>
          <w:p w14:paraId="3F96000B">
            <w:pPr>
              <w:keepNext w:val="0"/>
              <w:keepLines w:val="0"/>
              <w:pageBreakBefore w:val="0"/>
              <w:widowControl w:val="0"/>
              <w:kinsoku/>
              <w:wordWrap/>
              <w:overflowPunct/>
              <w:topLinePunct w:val="0"/>
              <w:autoSpaceDE/>
              <w:autoSpaceDN/>
              <w:bidi w:val="0"/>
              <w:adjustRightInd/>
              <w:snapToGrid w:val="0"/>
              <w:ind w:left="0"/>
              <w:jc w:val="center"/>
              <w:textAlignment w:val="auto"/>
              <w:outlineLvl w:val="9"/>
              <w:rPr>
                <w:rFonts w:ascii="仿宋" w:hAnsi="仿宋" w:eastAsia="仿宋"/>
                <w:sz w:val="24"/>
                <w:szCs w:val="24"/>
                <w:highlight w:val="none"/>
              </w:rPr>
            </w:pPr>
          </w:p>
        </w:tc>
      </w:tr>
    </w:tbl>
    <w:p w14:paraId="0DE1005B">
      <w:pPr>
        <w:outlineLvl w:val="9"/>
        <w:rPr>
          <w:rFonts w:ascii="仿宋" w:hAnsi="仿宋" w:eastAsia="仿宋"/>
          <w:color w:val="000000"/>
          <w:szCs w:val="21"/>
          <w:highlight w:val="none"/>
        </w:rPr>
      </w:pPr>
      <w:r>
        <w:rPr>
          <w:rFonts w:hint="eastAsia" w:ascii="仿宋" w:hAnsi="仿宋" w:eastAsia="仿宋"/>
          <w:color w:val="000000"/>
          <w:szCs w:val="21"/>
          <w:highlight w:val="none"/>
        </w:rPr>
        <w:t>注：按照竞争性磋商文件要求详细填列，可增减行。</w:t>
      </w:r>
    </w:p>
    <w:p w14:paraId="2AE69F42">
      <w:pPr>
        <w:outlineLvl w:val="9"/>
        <w:rPr>
          <w:rFonts w:ascii="仿宋" w:hAnsi="仿宋" w:eastAsia="仿宋"/>
          <w:sz w:val="24"/>
          <w:highlight w:val="none"/>
        </w:rPr>
      </w:pPr>
    </w:p>
    <w:p w14:paraId="76AD490C">
      <w:pPr>
        <w:ind w:firstLine="560" w:firstLineChars="200"/>
        <w:outlineLvl w:val="9"/>
        <w:rPr>
          <w:rFonts w:ascii="仿宋" w:hAnsi="仿宋" w:eastAsia="仿宋"/>
          <w:sz w:val="28"/>
          <w:szCs w:val="28"/>
          <w:highlight w:val="none"/>
        </w:rPr>
      </w:pPr>
      <w:r>
        <w:rPr>
          <w:rFonts w:hint="eastAsia" w:ascii="仿宋" w:hAnsi="仿宋" w:eastAsia="仿宋"/>
          <w:sz w:val="28"/>
          <w:szCs w:val="28"/>
          <w:highlight w:val="none"/>
        </w:rPr>
        <w:t>（</w:t>
      </w:r>
      <w:r>
        <w:rPr>
          <w:rFonts w:hint="eastAsia" w:ascii="仿宋" w:hAnsi="仿宋" w:eastAsia="仿宋"/>
          <w:sz w:val="28"/>
          <w:szCs w:val="28"/>
          <w:highlight w:val="none"/>
          <w:lang w:val="en-US" w:eastAsia="zh-CN"/>
        </w:rPr>
        <w:t>三</w:t>
      </w:r>
      <w:r>
        <w:rPr>
          <w:rFonts w:hint="eastAsia" w:ascii="仿宋" w:hAnsi="仿宋" w:eastAsia="仿宋"/>
          <w:sz w:val="28"/>
          <w:szCs w:val="28"/>
          <w:highlight w:val="none"/>
        </w:rPr>
        <w:t>）竞争性磋商文件规定提交的其他材料</w:t>
      </w:r>
    </w:p>
    <w:p w14:paraId="7F161EE3">
      <w:pPr>
        <w:ind w:firstLine="560" w:firstLineChars="200"/>
        <w:rPr>
          <w:rFonts w:hint="eastAsia" w:ascii="仿宋" w:hAnsi="仿宋" w:eastAsia="仿宋"/>
          <w:bCs/>
          <w:sz w:val="28"/>
          <w:szCs w:val="28"/>
          <w:highlight w:val="none"/>
        </w:rPr>
      </w:pPr>
      <w:r>
        <w:rPr>
          <w:rFonts w:hint="eastAsia" w:ascii="仿宋" w:hAnsi="仿宋" w:eastAsia="仿宋"/>
          <w:bCs/>
          <w:sz w:val="28"/>
          <w:szCs w:val="28"/>
          <w:highlight w:val="none"/>
        </w:rPr>
        <w:t>1</w:t>
      </w:r>
      <w:r>
        <w:rPr>
          <w:rFonts w:hint="eastAsia" w:ascii="仿宋" w:hAnsi="仿宋" w:eastAsia="仿宋"/>
          <w:bCs/>
          <w:sz w:val="28"/>
          <w:szCs w:val="28"/>
          <w:highlight w:val="none"/>
        </w:rPr>
        <w:tab/>
      </w:r>
      <w:r>
        <w:rPr>
          <w:rFonts w:hint="eastAsia" w:ascii="仿宋" w:hAnsi="仿宋" w:eastAsia="仿宋"/>
          <w:bCs/>
          <w:sz w:val="28"/>
          <w:szCs w:val="28"/>
          <w:highlight w:val="none"/>
        </w:rPr>
        <w:t>材料收转方案</w:t>
      </w:r>
    </w:p>
    <w:p w14:paraId="4612378E">
      <w:pPr>
        <w:ind w:firstLine="560" w:firstLineChars="200"/>
        <w:rPr>
          <w:rFonts w:hint="eastAsia" w:ascii="仿宋" w:hAnsi="仿宋" w:eastAsia="仿宋"/>
          <w:bCs/>
          <w:sz w:val="28"/>
          <w:szCs w:val="28"/>
          <w:highlight w:val="none"/>
        </w:rPr>
      </w:pPr>
      <w:r>
        <w:rPr>
          <w:rFonts w:hint="eastAsia" w:ascii="仿宋" w:hAnsi="仿宋" w:eastAsia="仿宋"/>
          <w:bCs/>
          <w:sz w:val="28"/>
          <w:szCs w:val="28"/>
          <w:highlight w:val="none"/>
        </w:rPr>
        <w:t>2</w:t>
      </w:r>
      <w:r>
        <w:rPr>
          <w:rFonts w:hint="eastAsia" w:ascii="仿宋" w:hAnsi="仿宋" w:eastAsia="仿宋"/>
          <w:bCs/>
          <w:sz w:val="28"/>
          <w:szCs w:val="28"/>
          <w:highlight w:val="none"/>
        </w:rPr>
        <w:tab/>
      </w:r>
      <w:r>
        <w:rPr>
          <w:rFonts w:hint="eastAsia" w:ascii="仿宋" w:hAnsi="仿宋" w:eastAsia="仿宋"/>
          <w:bCs/>
          <w:sz w:val="28"/>
          <w:szCs w:val="28"/>
          <w:highlight w:val="none"/>
        </w:rPr>
        <w:t>档案管理方案</w:t>
      </w:r>
    </w:p>
    <w:p w14:paraId="71A0B6F5">
      <w:pPr>
        <w:ind w:firstLine="560" w:firstLineChars="200"/>
        <w:rPr>
          <w:rFonts w:hint="eastAsia" w:ascii="仿宋" w:hAnsi="仿宋" w:eastAsia="仿宋"/>
          <w:bCs/>
          <w:sz w:val="28"/>
          <w:szCs w:val="28"/>
          <w:highlight w:val="none"/>
        </w:rPr>
      </w:pPr>
      <w:r>
        <w:rPr>
          <w:rFonts w:hint="eastAsia" w:ascii="仿宋" w:hAnsi="仿宋" w:eastAsia="仿宋"/>
          <w:bCs/>
          <w:sz w:val="28"/>
          <w:szCs w:val="28"/>
          <w:highlight w:val="none"/>
        </w:rPr>
        <w:t>3</w:t>
      </w:r>
      <w:r>
        <w:rPr>
          <w:rFonts w:hint="eastAsia" w:ascii="仿宋" w:hAnsi="仿宋" w:eastAsia="仿宋"/>
          <w:bCs/>
          <w:sz w:val="28"/>
          <w:szCs w:val="28"/>
          <w:highlight w:val="none"/>
        </w:rPr>
        <w:tab/>
      </w:r>
      <w:r>
        <w:rPr>
          <w:rFonts w:hint="eastAsia" w:ascii="仿宋" w:hAnsi="仿宋" w:eastAsia="仿宋"/>
          <w:bCs/>
          <w:sz w:val="28"/>
          <w:szCs w:val="28"/>
          <w:highlight w:val="none"/>
        </w:rPr>
        <w:t>组织方案</w:t>
      </w:r>
    </w:p>
    <w:p w14:paraId="4891176B">
      <w:pPr>
        <w:ind w:firstLine="560" w:firstLineChars="200"/>
        <w:rPr>
          <w:rFonts w:hint="eastAsia" w:ascii="仿宋" w:hAnsi="仿宋" w:eastAsia="仿宋"/>
          <w:bCs/>
          <w:sz w:val="28"/>
          <w:szCs w:val="28"/>
          <w:highlight w:val="none"/>
        </w:rPr>
      </w:pPr>
      <w:r>
        <w:rPr>
          <w:rFonts w:hint="eastAsia" w:ascii="仿宋" w:hAnsi="仿宋" w:eastAsia="仿宋"/>
          <w:bCs/>
          <w:sz w:val="28"/>
          <w:szCs w:val="28"/>
          <w:highlight w:val="none"/>
        </w:rPr>
        <w:t>4</w:t>
      </w:r>
      <w:r>
        <w:rPr>
          <w:rFonts w:hint="eastAsia" w:ascii="仿宋" w:hAnsi="仿宋" w:eastAsia="仿宋"/>
          <w:bCs/>
          <w:sz w:val="28"/>
          <w:szCs w:val="28"/>
          <w:highlight w:val="none"/>
        </w:rPr>
        <w:tab/>
      </w:r>
      <w:r>
        <w:rPr>
          <w:rFonts w:hint="eastAsia" w:ascii="仿宋" w:hAnsi="仿宋" w:eastAsia="仿宋"/>
          <w:bCs/>
          <w:sz w:val="28"/>
          <w:szCs w:val="28"/>
          <w:highlight w:val="none"/>
        </w:rPr>
        <w:t>培训方案</w:t>
      </w:r>
    </w:p>
    <w:p w14:paraId="3244ACD4">
      <w:pPr>
        <w:ind w:firstLine="560" w:firstLineChars="200"/>
        <w:rPr>
          <w:rFonts w:hint="eastAsia" w:ascii="仿宋" w:hAnsi="仿宋" w:eastAsia="仿宋"/>
          <w:bCs/>
          <w:sz w:val="28"/>
          <w:szCs w:val="28"/>
          <w:highlight w:val="none"/>
        </w:rPr>
      </w:pPr>
      <w:r>
        <w:rPr>
          <w:rFonts w:hint="eastAsia" w:ascii="仿宋" w:hAnsi="仿宋" w:eastAsia="仿宋"/>
          <w:bCs/>
          <w:sz w:val="28"/>
          <w:szCs w:val="28"/>
          <w:highlight w:val="none"/>
        </w:rPr>
        <w:t>5</w:t>
      </w:r>
      <w:r>
        <w:rPr>
          <w:rFonts w:hint="eastAsia" w:ascii="仿宋" w:hAnsi="仿宋" w:eastAsia="仿宋"/>
          <w:bCs/>
          <w:sz w:val="28"/>
          <w:szCs w:val="28"/>
          <w:highlight w:val="none"/>
        </w:rPr>
        <w:tab/>
      </w:r>
      <w:r>
        <w:rPr>
          <w:rFonts w:hint="eastAsia" w:ascii="仿宋" w:hAnsi="仿宋" w:eastAsia="仿宋"/>
          <w:bCs/>
          <w:sz w:val="28"/>
          <w:szCs w:val="28"/>
          <w:highlight w:val="none"/>
        </w:rPr>
        <w:t>应急方案</w:t>
      </w:r>
    </w:p>
    <w:p w14:paraId="16CAE06D">
      <w:pPr>
        <w:ind w:firstLine="560" w:firstLineChars="200"/>
        <w:rPr>
          <w:rFonts w:hint="eastAsia" w:ascii="仿宋" w:hAnsi="仿宋" w:eastAsia="仿宋"/>
          <w:bCs/>
          <w:sz w:val="28"/>
          <w:szCs w:val="28"/>
          <w:highlight w:val="none"/>
        </w:rPr>
      </w:pPr>
      <w:r>
        <w:rPr>
          <w:rFonts w:hint="eastAsia" w:ascii="仿宋" w:hAnsi="仿宋" w:eastAsia="仿宋"/>
          <w:bCs/>
          <w:sz w:val="28"/>
          <w:szCs w:val="28"/>
          <w:highlight w:val="none"/>
        </w:rPr>
        <w:t>6</w:t>
      </w:r>
      <w:r>
        <w:rPr>
          <w:rFonts w:hint="eastAsia" w:ascii="仿宋" w:hAnsi="仿宋" w:eastAsia="仿宋"/>
          <w:bCs/>
          <w:sz w:val="28"/>
          <w:szCs w:val="28"/>
          <w:highlight w:val="none"/>
        </w:rPr>
        <w:tab/>
      </w:r>
      <w:r>
        <w:rPr>
          <w:rFonts w:hint="eastAsia" w:ascii="仿宋" w:hAnsi="仿宋" w:eastAsia="仿宋"/>
          <w:bCs/>
          <w:sz w:val="28"/>
          <w:szCs w:val="28"/>
          <w:highlight w:val="none"/>
        </w:rPr>
        <w:t>保密方案</w:t>
      </w:r>
    </w:p>
    <w:p w14:paraId="40606249">
      <w:pPr>
        <w:ind w:firstLine="560" w:firstLineChars="200"/>
        <w:rPr>
          <w:rFonts w:hint="eastAsia" w:ascii="仿宋" w:hAnsi="仿宋" w:eastAsia="仿宋"/>
          <w:bCs/>
          <w:sz w:val="28"/>
          <w:szCs w:val="28"/>
          <w:highlight w:val="none"/>
          <w:lang w:eastAsia="zh-CN"/>
        </w:rPr>
      </w:pPr>
      <w:r>
        <w:rPr>
          <w:rFonts w:hint="eastAsia" w:ascii="仿宋" w:hAnsi="仿宋" w:eastAsia="仿宋"/>
          <w:bCs/>
          <w:sz w:val="28"/>
          <w:szCs w:val="28"/>
          <w:highlight w:val="none"/>
        </w:rPr>
        <w:t>7</w:t>
      </w:r>
      <w:r>
        <w:rPr>
          <w:rFonts w:hint="eastAsia" w:ascii="仿宋" w:hAnsi="仿宋" w:eastAsia="仿宋"/>
          <w:bCs/>
          <w:sz w:val="28"/>
          <w:szCs w:val="28"/>
          <w:highlight w:val="none"/>
        </w:rPr>
        <w:tab/>
      </w:r>
      <w:r>
        <w:rPr>
          <w:rFonts w:hint="eastAsia" w:ascii="仿宋" w:hAnsi="仿宋" w:eastAsia="仿宋"/>
          <w:bCs/>
          <w:sz w:val="28"/>
          <w:szCs w:val="28"/>
          <w:highlight w:val="none"/>
          <w:lang w:eastAsia="zh-CN"/>
        </w:rPr>
        <w:t>驻场负责人</w:t>
      </w:r>
    </w:p>
    <w:p w14:paraId="0B7CACE9">
      <w:pPr>
        <w:ind w:firstLine="560" w:firstLineChars="200"/>
        <w:rPr>
          <w:rFonts w:hint="eastAsia" w:ascii="仿宋" w:hAnsi="仿宋" w:eastAsia="仿宋"/>
          <w:bCs/>
          <w:sz w:val="28"/>
          <w:szCs w:val="28"/>
          <w:highlight w:val="none"/>
          <w:lang w:eastAsia="zh-CN"/>
        </w:rPr>
      </w:pPr>
      <w:r>
        <w:rPr>
          <w:rFonts w:hint="eastAsia" w:ascii="仿宋" w:hAnsi="仿宋" w:eastAsia="仿宋"/>
          <w:bCs/>
          <w:sz w:val="28"/>
          <w:szCs w:val="28"/>
          <w:highlight w:val="none"/>
        </w:rPr>
        <w:t>8</w:t>
      </w:r>
      <w:r>
        <w:rPr>
          <w:rFonts w:hint="eastAsia" w:ascii="仿宋" w:hAnsi="仿宋" w:eastAsia="仿宋"/>
          <w:bCs/>
          <w:sz w:val="28"/>
          <w:szCs w:val="28"/>
          <w:highlight w:val="none"/>
        </w:rPr>
        <w:tab/>
      </w:r>
      <w:r>
        <w:rPr>
          <w:rFonts w:hint="eastAsia" w:ascii="仿宋" w:hAnsi="仿宋" w:eastAsia="仿宋"/>
          <w:bCs/>
          <w:sz w:val="28"/>
          <w:szCs w:val="28"/>
          <w:highlight w:val="none"/>
          <w:lang w:eastAsia="zh-CN"/>
        </w:rPr>
        <w:t>驻场人员</w:t>
      </w:r>
    </w:p>
    <w:p w14:paraId="45D3C5C2">
      <w:pPr>
        <w:ind w:firstLine="560" w:firstLineChars="200"/>
        <w:rPr>
          <w:rFonts w:hint="eastAsia" w:ascii="仿宋" w:hAnsi="仿宋" w:eastAsia="仿宋"/>
          <w:bCs/>
          <w:sz w:val="28"/>
          <w:szCs w:val="28"/>
          <w:highlight w:val="none"/>
        </w:rPr>
      </w:pPr>
      <w:r>
        <w:rPr>
          <w:rFonts w:hint="eastAsia" w:ascii="仿宋" w:hAnsi="仿宋" w:eastAsia="仿宋"/>
          <w:bCs/>
          <w:sz w:val="28"/>
          <w:szCs w:val="28"/>
          <w:highlight w:val="none"/>
        </w:rPr>
        <w:t>9</w:t>
      </w:r>
      <w:r>
        <w:rPr>
          <w:rFonts w:hint="eastAsia" w:ascii="仿宋" w:hAnsi="仿宋" w:eastAsia="仿宋"/>
          <w:bCs/>
          <w:sz w:val="28"/>
          <w:szCs w:val="28"/>
          <w:highlight w:val="none"/>
        </w:rPr>
        <w:tab/>
      </w:r>
      <w:r>
        <w:rPr>
          <w:rFonts w:hint="eastAsia" w:ascii="仿宋" w:hAnsi="仿宋" w:eastAsia="仿宋"/>
          <w:bCs/>
          <w:sz w:val="28"/>
          <w:szCs w:val="28"/>
          <w:highlight w:val="none"/>
        </w:rPr>
        <w:t>管理资质</w:t>
      </w:r>
    </w:p>
    <w:p w14:paraId="7E04C06F">
      <w:pPr>
        <w:ind w:firstLine="560" w:firstLineChars="200"/>
        <w:rPr>
          <w:rFonts w:hint="eastAsia" w:ascii="仿宋" w:hAnsi="仿宋" w:eastAsia="仿宋"/>
          <w:bCs/>
          <w:sz w:val="28"/>
          <w:szCs w:val="28"/>
          <w:highlight w:val="none"/>
        </w:rPr>
      </w:pPr>
      <w:r>
        <w:rPr>
          <w:rFonts w:hint="eastAsia" w:ascii="仿宋" w:hAnsi="仿宋" w:eastAsia="仿宋"/>
          <w:bCs/>
          <w:sz w:val="28"/>
          <w:szCs w:val="28"/>
          <w:highlight w:val="none"/>
        </w:rPr>
        <w:t>10</w:t>
      </w:r>
      <w:r>
        <w:rPr>
          <w:rFonts w:hint="eastAsia" w:ascii="仿宋" w:hAnsi="仿宋" w:eastAsia="仿宋"/>
          <w:bCs/>
          <w:sz w:val="28"/>
          <w:szCs w:val="28"/>
          <w:highlight w:val="none"/>
        </w:rPr>
        <w:tab/>
      </w:r>
      <w:r>
        <w:rPr>
          <w:rFonts w:hint="eastAsia" w:ascii="仿宋" w:hAnsi="仿宋" w:eastAsia="仿宋"/>
          <w:bCs/>
          <w:sz w:val="28"/>
          <w:szCs w:val="28"/>
          <w:highlight w:val="none"/>
        </w:rPr>
        <w:t>档案资质</w:t>
      </w:r>
    </w:p>
    <w:p w14:paraId="06B2945F">
      <w:pPr>
        <w:ind w:firstLine="560" w:firstLineChars="200"/>
        <w:rPr>
          <w:rFonts w:ascii="仿宋" w:hAnsi="仿宋" w:eastAsia="仿宋"/>
          <w:bCs/>
          <w:sz w:val="28"/>
          <w:szCs w:val="28"/>
          <w:highlight w:val="none"/>
        </w:rPr>
      </w:pPr>
      <w:r>
        <w:rPr>
          <w:rFonts w:hint="eastAsia" w:ascii="仿宋" w:hAnsi="仿宋" w:eastAsia="仿宋"/>
          <w:bCs/>
          <w:sz w:val="28"/>
          <w:szCs w:val="28"/>
          <w:highlight w:val="none"/>
        </w:rPr>
        <w:t>11</w:t>
      </w:r>
      <w:r>
        <w:rPr>
          <w:rFonts w:hint="eastAsia" w:ascii="仿宋" w:hAnsi="仿宋" w:eastAsia="仿宋"/>
          <w:bCs/>
          <w:sz w:val="28"/>
          <w:szCs w:val="28"/>
          <w:highlight w:val="none"/>
        </w:rPr>
        <w:tab/>
      </w:r>
      <w:r>
        <w:rPr>
          <w:rFonts w:hint="eastAsia" w:ascii="仿宋" w:hAnsi="仿宋" w:eastAsia="仿宋"/>
          <w:bCs/>
          <w:sz w:val="28"/>
          <w:szCs w:val="28"/>
          <w:highlight w:val="none"/>
        </w:rPr>
        <w:t>业绩情况</w:t>
      </w:r>
    </w:p>
    <w:p w14:paraId="439C63D6">
      <w:pPr>
        <w:widowControl/>
        <w:jc w:val="left"/>
        <w:rPr>
          <w:rFonts w:ascii="黑体" w:hAnsi="黑体" w:eastAsia="黑体"/>
          <w:sz w:val="28"/>
          <w:szCs w:val="28"/>
          <w:highlight w:val="none"/>
        </w:rPr>
      </w:pPr>
      <w:r>
        <w:rPr>
          <w:rFonts w:ascii="黑体" w:hAnsi="黑体" w:eastAsia="黑体"/>
          <w:sz w:val="28"/>
          <w:szCs w:val="28"/>
          <w:highlight w:val="none"/>
        </w:rPr>
        <w:br w:type="page"/>
      </w:r>
    </w:p>
    <w:p w14:paraId="1C92623F">
      <w:pPr>
        <w:ind w:firstLine="560" w:firstLineChars="200"/>
        <w:outlineLvl w:val="1"/>
        <w:rPr>
          <w:rFonts w:ascii="黑体" w:hAnsi="黑体" w:eastAsia="黑体"/>
          <w:bCs/>
          <w:sz w:val="28"/>
          <w:szCs w:val="28"/>
          <w:highlight w:val="none"/>
        </w:rPr>
      </w:pPr>
      <w:bookmarkStart w:id="106" w:name="_Toc7340"/>
      <w:r>
        <w:rPr>
          <w:rFonts w:hint="eastAsia" w:ascii="黑体" w:hAnsi="黑体" w:eastAsia="黑体"/>
          <w:sz w:val="28"/>
          <w:szCs w:val="28"/>
          <w:highlight w:val="none"/>
        </w:rPr>
        <w:t>三、报价文件</w:t>
      </w:r>
      <w:bookmarkEnd w:id="106"/>
    </w:p>
    <w:p w14:paraId="084D6683">
      <w:pPr>
        <w:ind w:firstLine="560" w:firstLineChars="200"/>
        <w:outlineLvl w:val="9"/>
        <w:rPr>
          <w:rFonts w:ascii="仿宋" w:hAnsi="仿宋" w:eastAsia="仿宋"/>
          <w:bCs/>
          <w:sz w:val="28"/>
          <w:szCs w:val="28"/>
          <w:highlight w:val="none"/>
        </w:rPr>
      </w:pPr>
      <w:r>
        <w:rPr>
          <w:rFonts w:hint="eastAsia" w:ascii="仿宋" w:hAnsi="仿宋" w:eastAsia="仿宋"/>
          <w:bCs/>
          <w:sz w:val="28"/>
          <w:szCs w:val="28"/>
          <w:highlight w:val="none"/>
        </w:rPr>
        <w:t>（一）竞争性磋商响应报价表</w:t>
      </w:r>
    </w:p>
    <w:p w14:paraId="3455ACED">
      <w:pPr>
        <w:ind w:firstLine="3040" w:firstLineChars="950"/>
        <w:outlineLvl w:val="9"/>
        <w:rPr>
          <w:rFonts w:ascii="方正小标宋简体" w:hAnsi="宋体" w:eastAsia="方正小标宋简体"/>
          <w:sz w:val="32"/>
          <w:szCs w:val="32"/>
          <w:highlight w:val="none"/>
        </w:rPr>
      </w:pPr>
      <w:r>
        <w:rPr>
          <w:rFonts w:hint="eastAsia" w:ascii="方正小标宋简体" w:hAnsi="宋体" w:eastAsia="方正小标宋简体"/>
          <w:sz w:val="32"/>
          <w:szCs w:val="32"/>
          <w:highlight w:val="none"/>
        </w:rPr>
        <w:t>竞争性磋商响应报价表</w:t>
      </w:r>
    </w:p>
    <w:tbl>
      <w:tblPr>
        <w:tblStyle w:val="19"/>
        <w:tblW w:w="8807" w:type="dxa"/>
        <w:tblInd w:w="95" w:type="dxa"/>
        <w:tblLayout w:type="fixed"/>
        <w:tblCellMar>
          <w:top w:w="0" w:type="dxa"/>
          <w:left w:w="108" w:type="dxa"/>
          <w:bottom w:w="0" w:type="dxa"/>
          <w:right w:w="108" w:type="dxa"/>
        </w:tblCellMar>
      </w:tblPr>
      <w:tblGrid>
        <w:gridCol w:w="4087"/>
        <w:gridCol w:w="2220"/>
        <w:gridCol w:w="2500"/>
      </w:tblGrid>
      <w:tr w14:paraId="2599EE2D">
        <w:tblPrEx>
          <w:tblCellMar>
            <w:top w:w="0" w:type="dxa"/>
            <w:left w:w="108" w:type="dxa"/>
            <w:bottom w:w="0" w:type="dxa"/>
            <w:right w:w="108" w:type="dxa"/>
          </w:tblCellMar>
        </w:tblPrEx>
        <w:trPr>
          <w:trHeight w:val="436" w:hRule="atLeast"/>
        </w:trPr>
        <w:tc>
          <w:tcPr>
            <w:tcW w:w="8807" w:type="dxa"/>
            <w:gridSpan w:val="3"/>
            <w:tcBorders>
              <w:top w:val="nil"/>
              <w:left w:val="nil"/>
              <w:bottom w:val="nil"/>
              <w:right w:val="nil"/>
            </w:tcBorders>
            <w:vAlign w:val="center"/>
          </w:tcPr>
          <w:p w14:paraId="2DD8B187">
            <w:pPr>
              <w:widowControl/>
              <w:jc w:val="left"/>
              <w:outlineLvl w:val="9"/>
              <w:rPr>
                <w:rFonts w:ascii="仿宋" w:hAnsi="仿宋" w:eastAsia="仿宋" w:cs="宋体"/>
                <w:kern w:val="0"/>
                <w:sz w:val="24"/>
                <w:highlight w:val="none"/>
              </w:rPr>
            </w:pPr>
            <w:r>
              <w:rPr>
                <w:rFonts w:hint="eastAsia" w:ascii="仿宋" w:hAnsi="仿宋" w:eastAsia="仿宋" w:cs="宋体"/>
                <w:kern w:val="0"/>
                <w:sz w:val="24"/>
                <w:highlight w:val="none"/>
              </w:rPr>
              <w:t>供应商名称（加盖公章）：</w:t>
            </w:r>
          </w:p>
        </w:tc>
      </w:tr>
      <w:tr w14:paraId="301D47C6">
        <w:tblPrEx>
          <w:tblCellMar>
            <w:top w:w="0" w:type="dxa"/>
            <w:left w:w="108" w:type="dxa"/>
            <w:bottom w:w="0" w:type="dxa"/>
            <w:right w:w="108" w:type="dxa"/>
          </w:tblCellMar>
        </w:tblPrEx>
        <w:trPr>
          <w:trHeight w:val="436" w:hRule="atLeast"/>
        </w:trPr>
        <w:tc>
          <w:tcPr>
            <w:tcW w:w="8807" w:type="dxa"/>
            <w:gridSpan w:val="3"/>
            <w:tcBorders>
              <w:top w:val="nil"/>
              <w:left w:val="nil"/>
              <w:bottom w:val="nil"/>
              <w:right w:val="nil"/>
            </w:tcBorders>
            <w:vAlign w:val="center"/>
          </w:tcPr>
          <w:p w14:paraId="30557302">
            <w:pPr>
              <w:widowControl/>
              <w:jc w:val="left"/>
              <w:outlineLvl w:val="9"/>
              <w:rPr>
                <w:rFonts w:hint="default" w:ascii="仿宋" w:hAnsi="仿宋" w:eastAsia="仿宋" w:cs="宋体"/>
                <w:kern w:val="0"/>
                <w:sz w:val="24"/>
                <w:highlight w:val="none"/>
                <w:lang w:val="en-US" w:eastAsia="zh-CN"/>
              </w:rPr>
            </w:pPr>
            <w:r>
              <w:rPr>
                <w:rFonts w:hint="eastAsia" w:ascii="仿宋" w:hAnsi="仿宋" w:eastAsia="仿宋" w:cs="宋体"/>
                <w:kern w:val="0"/>
                <w:sz w:val="24"/>
                <w:highlight w:val="none"/>
              </w:rPr>
              <w:t>项目名称：</w:t>
            </w:r>
            <w:r>
              <w:rPr>
                <w:rFonts w:hint="eastAsia" w:ascii="仿宋" w:hAnsi="仿宋" w:eastAsia="仿宋" w:cs="宋体"/>
                <w:kern w:val="0"/>
                <w:sz w:val="24"/>
                <w:highlight w:val="none"/>
                <w:lang w:val="en-US" w:eastAsia="zh-CN"/>
              </w:rPr>
              <w:t>如皋法院无纸化数字加工服务</w:t>
            </w:r>
          </w:p>
        </w:tc>
      </w:tr>
      <w:tr w14:paraId="1D1C5D0F">
        <w:tblPrEx>
          <w:tblCellMar>
            <w:top w:w="0" w:type="dxa"/>
            <w:left w:w="108" w:type="dxa"/>
            <w:bottom w:w="0" w:type="dxa"/>
            <w:right w:w="108" w:type="dxa"/>
          </w:tblCellMar>
        </w:tblPrEx>
        <w:trPr>
          <w:trHeight w:val="420" w:hRule="atLeast"/>
        </w:trPr>
        <w:tc>
          <w:tcPr>
            <w:tcW w:w="6307" w:type="dxa"/>
            <w:gridSpan w:val="2"/>
            <w:tcBorders>
              <w:top w:val="nil"/>
              <w:left w:val="nil"/>
              <w:bottom w:val="nil"/>
              <w:right w:val="nil"/>
            </w:tcBorders>
            <w:noWrap/>
            <w:vAlign w:val="center"/>
          </w:tcPr>
          <w:p w14:paraId="4FDFCB3B">
            <w:pPr>
              <w:widowControl/>
              <w:jc w:val="left"/>
              <w:outlineLvl w:val="9"/>
              <w:rPr>
                <w:rFonts w:hint="default" w:ascii="仿宋" w:hAnsi="仿宋" w:eastAsia="仿宋" w:cs="宋体"/>
                <w:kern w:val="0"/>
                <w:sz w:val="24"/>
                <w:highlight w:val="none"/>
                <w:lang w:val="en-US" w:eastAsia="zh-CN"/>
              </w:rPr>
            </w:pPr>
            <w:r>
              <w:rPr>
                <w:rFonts w:hint="eastAsia" w:ascii="仿宋" w:hAnsi="仿宋" w:eastAsia="仿宋" w:cs="宋体"/>
                <w:kern w:val="0"/>
                <w:sz w:val="24"/>
                <w:highlight w:val="none"/>
              </w:rPr>
              <w:t>项目编号：</w:t>
            </w:r>
            <w:r>
              <w:rPr>
                <w:rFonts w:hint="eastAsia" w:ascii="仿宋" w:hAnsi="仿宋" w:eastAsia="仿宋" w:cs="宋体"/>
                <w:kern w:val="0"/>
                <w:sz w:val="24"/>
                <w:highlight w:val="none"/>
                <w:lang w:val="en-US" w:eastAsia="zh-CN"/>
              </w:rPr>
              <w:t>JSZC-320682-NTJW-C2026-0039</w:t>
            </w:r>
          </w:p>
        </w:tc>
        <w:tc>
          <w:tcPr>
            <w:tcW w:w="2500" w:type="dxa"/>
            <w:tcBorders>
              <w:top w:val="nil"/>
              <w:left w:val="nil"/>
              <w:bottom w:val="nil"/>
              <w:right w:val="nil"/>
            </w:tcBorders>
            <w:noWrap/>
            <w:vAlign w:val="center"/>
          </w:tcPr>
          <w:p w14:paraId="1DE2BB7E">
            <w:pPr>
              <w:widowControl/>
              <w:jc w:val="left"/>
              <w:outlineLvl w:val="9"/>
              <w:rPr>
                <w:rFonts w:ascii="仿宋" w:hAnsi="仿宋" w:eastAsia="仿宋" w:cs="宋体"/>
                <w:kern w:val="0"/>
                <w:sz w:val="24"/>
                <w:highlight w:val="none"/>
              </w:rPr>
            </w:pPr>
          </w:p>
        </w:tc>
      </w:tr>
      <w:tr w14:paraId="289CA25D">
        <w:tblPrEx>
          <w:tblCellMar>
            <w:top w:w="0" w:type="dxa"/>
            <w:left w:w="108" w:type="dxa"/>
            <w:bottom w:w="0" w:type="dxa"/>
            <w:right w:w="108" w:type="dxa"/>
          </w:tblCellMar>
        </w:tblPrEx>
        <w:trPr>
          <w:trHeight w:val="525" w:hRule="atLeast"/>
        </w:trPr>
        <w:tc>
          <w:tcPr>
            <w:tcW w:w="4087" w:type="dxa"/>
            <w:vMerge w:val="restart"/>
            <w:tcBorders>
              <w:top w:val="single" w:color="auto" w:sz="4" w:space="0"/>
              <w:left w:val="single" w:color="auto" w:sz="4" w:space="0"/>
              <w:bottom w:val="single" w:color="auto" w:sz="4" w:space="0"/>
              <w:right w:val="single" w:color="auto" w:sz="4" w:space="0"/>
            </w:tcBorders>
            <w:noWrap/>
            <w:vAlign w:val="center"/>
          </w:tcPr>
          <w:p w14:paraId="67FF7A56">
            <w:pPr>
              <w:widowControl/>
              <w:jc w:val="center"/>
              <w:outlineLvl w:val="9"/>
              <w:rPr>
                <w:rFonts w:hint="eastAsia" w:ascii="仿宋" w:hAnsi="仿宋" w:eastAsia="仿宋" w:cs="宋体"/>
                <w:kern w:val="0"/>
                <w:sz w:val="24"/>
                <w:highlight w:val="none"/>
                <w:lang w:eastAsia="zh-CN"/>
              </w:rPr>
            </w:pPr>
            <w:r>
              <w:rPr>
                <w:rFonts w:hint="eastAsia" w:ascii="仿宋" w:hAnsi="仿宋" w:eastAsia="仿宋" w:cs="宋体"/>
                <w:kern w:val="0"/>
                <w:sz w:val="24"/>
                <w:highlight w:val="none"/>
              </w:rPr>
              <w:t>竞争性磋商响应报价</w:t>
            </w:r>
            <w:r>
              <w:rPr>
                <w:rFonts w:hint="eastAsia" w:ascii="仿宋" w:hAnsi="仿宋" w:eastAsia="仿宋" w:cs="宋体"/>
                <w:kern w:val="0"/>
                <w:sz w:val="24"/>
                <w:highlight w:val="none"/>
                <w:lang w:eastAsia="zh-CN"/>
              </w:rPr>
              <w:t>（</w:t>
            </w:r>
            <w:r>
              <w:rPr>
                <w:rFonts w:hint="eastAsia" w:ascii="仿宋" w:hAnsi="仿宋" w:eastAsia="仿宋" w:cs="宋体"/>
                <w:kern w:val="0"/>
                <w:sz w:val="24"/>
                <w:highlight w:val="none"/>
                <w:lang w:val="en-US" w:eastAsia="zh-CN"/>
              </w:rPr>
              <w:t>评审价</w:t>
            </w:r>
            <w:r>
              <w:rPr>
                <w:rFonts w:hint="eastAsia" w:ascii="仿宋" w:hAnsi="仿宋" w:eastAsia="仿宋" w:cs="宋体"/>
                <w:kern w:val="0"/>
                <w:sz w:val="24"/>
                <w:highlight w:val="none"/>
                <w:lang w:eastAsia="zh-CN"/>
              </w:rPr>
              <w:t>）</w:t>
            </w:r>
          </w:p>
        </w:tc>
        <w:tc>
          <w:tcPr>
            <w:tcW w:w="4720" w:type="dxa"/>
            <w:gridSpan w:val="2"/>
            <w:tcBorders>
              <w:top w:val="single" w:color="auto" w:sz="4" w:space="0"/>
              <w:left w:val="nil"/>
              <w:bottom w:val="single" w:color="auto" w:sz="4" w:space="0"/>
              <w:right w:val="single" w:color="auto" w:sz="4" w:space="0"/>
            </w:tcBorders>
            <w:noWrap/>
            <w:vAlign w:val="center"/>
          </w:tcPr>
          <w:p w14:paraId="5898E2C3">
            <w:pPr>
              <w:widowControl/>
              <w:jc w:val="left"/>
              <w:outlineLvl w:val="9"/>
              <w:rPr>
                <w:rFonts w:ascii="仿宋" w:hAnsi="仿宋" w:eastAsia="仿宋" w:cs="宋体"/>
                <w:kern w:val="0"/>
                <w:sz w:val="24"/>
                <w:highlight w:val="none"/>
              </w:rPr>
            </w:pPr>
            <w:r>
              <w:rPr>
                <w:rFonts w:hint="eastAsia" w:ascii="仿宋" w:hAnsi="仿宋" w:eastAsia="仿宋" w:cs="宋体"/>
                <w:kern w:val="0"/>
                <w:sz w:val="24"/>
                <w:highlight w:val="none"/>
              </w:rPr>
              <w:t>小写：</w:t>
            </w:r>
          </w:p>
        </w:tc>
      </w:tr>
      <w:tr w14:paraId="672664DD">
        <w:tblPrEx>
          <w:tblCellMar>
            <w:top w:w="0" w:type="dxa"/>
            <w:left w:w="108" w:type="dxa"/>
            <w:bottom w:w="0" w:type="dxa"/>
            <w:right w:w="108" w:type="dxa"/>
          </w:tblCellMar>
        </w:tblPrEx>
        <w:trPr>
          <w:trHeight w:val="525" w:hRule="atLeast"/>
        </w:trPr>
        <w:tc>
          <w:tcPr>
            <w:tcW w:w="4087" w:type="dxa"/>
            <w:vMerge w:val="continue"/>
            <w:tcBorders>
              <w:top w:val="single" w:color="auto" w:sz="4" w:space="0"/>
              <w:left w:val="single" w:color="auto" w:sz="4" w:space="0"/>
              <w:bottom w:val="single" w:color="auto" w:sz="4" w:space="0"/>
              <w:right w:val="single" w:color="auto" w:sz="4" w:space="0"/>
            </w:tcBorders>
            <w:vAlign w:val="center"/>
          </w:tcPr>
          <w:p w14:paraId="3DB07607">
            <w:pPr>
              <w:widowControl/>
              <w:jc w:val="left"/>
              <w:outlineLvl w:val="9"/>
              <w:rPr>
                <w:rFonts w:ascii="仿宋" w:hAnsi="仿宋" w:eastAsia="仿宋" w:cs="宋体"/>
                <w:kern w:val="0"/>
                <w:sz w:val="24"/>
                <w:highlight w:val="none"/>
              </w:rPr>
            </w:pPr>
          </w:p>
        </w:tc>
        <w:tc>
          <w:tcPr>
            <w:tcW w:w="4720" w:type="dxa"/>
            <w:gridSpan w:val="2"/>
            <w:tcBorders>
              <w:top w:val="single" w:color="auto" w:sz="4" w:space="0"/>
              <w:left w:val="nil"/>
              <w:bottom w:val="single" w:color="auto" w:sz="4" w:space="0"/>
              <w:right w:val="single" w:color="auto" w:sz="4" w:space="0"/>
            </w:tcBorders>
            <w:noWrap/>
            <w:vAlign w:val="center"/>
          </w:tcPr>
          <w:p w14:paraId="03C12A8B">
            <w:pPr>
              <w:widowControl/>
              <w:jc w:val="left"/>
              <w:outlineLvl w:val="9"/>
              <w:rPr>
                <w:rFonts w:ascii="仿宋" w:hAnsi="仿宋" w:eastAsia="仿宋" w:cs="宋体"/>
                <w:kern w:val="0"/>
                <w:sz w:val="24"/>
                <w:highlight w:val="none"/>
              </w:rPr>
            </w:pPr>
            <w:r>
              <w:rPr>
                <w:rFonts w:hint="eastAsia" w:ascii="仿宋" w:hAnsi="仿宋" w:eastAsia="仿宋" w:cs="宋体"/>
                <w:kern w:val="0"/>
                <w:sz w:val="24"/>
                <w:highlight w:val="none"/>
              </w:rPr>
              <w:t>大写：</w:t>
            </w:r>
          </w:p>
        </w:tc>
      </w:tr>
      <w:tr w14:paraId="3420052C">
        <w:tblPrEx>
          <w:tblCellMar>
            <w:top w:w="0" w:type="dxa"/>
            <w:left w:w="108" w:type="dxa"/>
            <w:bottom w:w="0" w:type="dxa"/>
            <w:right w:w="108" w:type="dxa"/>
          </w:tblCellMar>
        </w:tblPrEx>
        <w:trPr>
          <w:trHeight w:val="436" w:hRule="atLeast"/>
        </w:trPr>
        <w:tc>
          <w:tcPr>
            <w:tcW w:w="8807" w:type="dxa"/>
            <w:gridSpan w:val="3"/>
            <w:tcBorders>
              <w:top w:val="nil"/>
              <w:left w:val="nil"/>
              <w:bottom w:val="nil"/>
              <w:right w:val="nil"/>
            </w:tcBorders>
            <w:vAlign w:val="center"/>
          </w:tcPr>
          <w:p w14:paraId="0F252C38">
            <w:pPr>
              <w:widowControl/>
              <w:ind w:firstLine="482" w:firstLineChars="200"/>
              <w:jc w:val="left"/>
              <w:outlineLvl w:val="9"/>
              <w:rPr>
                <w:rFonts w:ascii="仿宋" w:hAnsi="仿宋" w:eastAsia="仿宋" w:cs="宋体"/>
                <w:kern w:val="0"/>
                <w:szCs w:val="21"/>
                <w:highlight w:val="none"/>
              </w:rPr>
            </w:pPr>
            <w:r>
              <w:rPr>
                <w:rFonts w:hint="eastAsia" w:ascii="仿宋" w:hAnsi="仿宋" w:eastAsia="仿宋"/>
                <w:b/>
                <w:bCs/>
                <w:sz w:val="24"/>
                <w:szCs w:val="24"/>
                <w:highlight w:val="none"/>
                <w:lang w:val="en-US" w:eastAsia="zh-CN"/>
              </w:rPr>
              <w:t>因系统原因，系统报价填写评审价，最终结算价按实际工作量*单价计算，最终结算金额每年不超过壹佰贰拾万元整</w:t>
            </w:r>
            <w:r>
              <w:rPr>
                <w:rFonts w:hint="eastAsia" w:ascii="仿宋" w:hAnsi="仿宋" w:eastAsia="仿宋"/>
                <w:b/>
                <w:bCs/>
                <w:sz w:val="24"/>
                <w:szCs w:val="24"/>
                <w:highlight w:val="none"/>
              </w:rPr>
              <w:t>。</w:t>
            </w:r>
          </w:p>
        </w:tc>
      </w:tr>
    </w:tbl>
    <w:p w14:paraId="4F1ECECA">
      <w:pPr>
        <w:ind w:firstLine="560" w:firstLineChars="200"/>
        <w:outlineLvl w:val="9"/>
        <w:rPr>
          <w:rFonts w:ascii="仿宋" w:hAnsi="仿宋" w:eastAsia="仿宋"/>
          <w:bCs/>
          <w:sz w:val="28"/>
          <w:szCs w:val="28"/>
          <w:highlight w:val="none"/>
        </w:rPr>
      </w:pPr>
    </w:p>
    <w:p w14:paraId="5800D04B">
      <w:pPr>
        <w:ind w:firstLine="560" w:firstLineChars="200"/>
        <w:outlineLvl w:val="9"/>
        <w:rPr>
          <w:rFonts w:ascii="仿宋" w:hAnsi="仿宋" w:eastAsia="仿宋"/>
          <w:bCs/>
          <w:sz w:val="28"/>
          <w:szCs w:val="28"/>
          <w:highlight w:val="none"/>
        </w:rPr>
      </w:pPr>
      <w:r>
        <w:rPr>
          <w:rFonts w:ascii="仿宋" w:hAnsi="仿宋" w:eastAsia="仿宋"/>
          <w:bCs/>
          <w:sz w:val="28"/>
          <w:szCs w:val="28"/>
          <w:highlight w:val="none"/>
        </w:rPr>
        <w:br w:type="page"/>
      </w:r>
      <w:r>
        <w:rPr>
          <w:rFonts w:hint="eastAsia" w:ascii="仿宋" w:hAnsi="仿宋" w:eastAsia="仿宋"/>
          <w:bCs/>
          <w:sz w:val="28"/>
          <w:szCs w:val="28"/>
          <w:highlight w:val="none"/>
        </w:rPr>
        <w:t>（二）竞争性磋商响应报价明细表</w:t>
      </w:r>
    </w:p>
    <w:p w14:paraId="6B82D3EE">
      <w:pPr>
        <w:ind w:firstLine="3040" w:firstLineChars="950"/>
        <w:outlineLvl w:val="9"/>
        <w:rPr>
          <w:rFonts w:ascii="宋体" w:hAnsi="宋体"/>
          <w:sz w:val="24"/>
          <w:highlight w:val="none"/>
        </w:rPr>
      </w:pPr>
      <w:r>
        <w:rPr>
          <w:rFonts w:hint="eastAsia" w:ascii="方正小标宋简体" w:hAnsi="宋体" w:eastAsia="方正小标宋简体"/>
          <w:sz w:val="32"/>
          <w:szCs w:val="32"/>
          <w:highlight w:val="none"/>
        </w:rPr>
        <w:t>竞争性磋商响应报价明细表</w:t>
      </w:r>
    </w:p>
    <w:p w14:paraId="7A3B0494">
      <w:pPr>
        <w:outlineLvl w:val="9"/>
        <w:rPr>
          <w:rFonts w:ascii="宋体" w:hAnsi="宋体"/>
          <w:highlight w:val="none"/>
        </w:rPr>
      </w:pPr>
    </w:p>
    <w:p w14:paraId="6F541B18">
      <w:pPr>
        <w:pStyle w:val="11"/>
        <w:outlineLvl w:val="9"/>
        <w:rPr>
          <w:rFonts w:hint="default" w:ascii="仿宋" w:hAnsi="仿宋" w:eastAsia="仿宋"/>
          <w:szCs w:val="24"/>
          <w:highlight w:val="none"/>
          <w:lang w:val="en-US" w:eastAsia="zh-CN"/>
        </w:rPr>
      </w:pPr>
      <w:r>
        <w:rPr>
          <w:rFonts w:hint="eastAsia" w:ascii="仿宋" w:hAnsi="仿宋" w:eastAsia="仿宋"/>
          <w:szCs w:val="24"/>
          <w:highlight w:val="none"/>
        </w:rPr>
        <w:t xml:space="preserve">项目名称： </w:t>
      </w:r>
      <w:r>
        <w:rPr>
          <w:rFonts w:hint="eastAsia" w:ascii="仿宋" w:hAnsi="仿宋" w:eastAsia="仿宋"/>
          <w:szCs w:val="24"/>
          <w:highlight w:val="none"/>
          <w:lang w:val="en-US" w:eastAsia="zh-CN"/>
        </w:rPr>
        <w:t>如皋法院无纸化数字加工服务</w:t>
      </w:r>
    </w:p>
    <w:p w14:paraId="2D8F196E">
      <w:pPr>
        <w:outlineLvl w:val="9"/>
        <w:rPr>
          <w:rFonts w:ascii="仿宋" w:hAnsi="仿宋" w:eastAsia="仿宋"/>
          <w:sz w:val="24"/>
          <w:highlight w:val="none"/>
        </w:rPr>
      </w:pPr>
      <w:r>
        <w:rPr>
          <w:rFonts w:hint="eastAsia" w:ascii="仿宋" w:hAnsi="仿宋" w:eastAsia="仿宋"/>
          <w:sz w:val="24"/>
          <w:highlight w:val="none"/>
        </w:rPr>
        <w:t xml:space="preserve">项目编号： </w:t>
      </w:r>
      <w:r>
        <w:rPr>
          <w:rFonts w:hint="eastAsia" w:ascii="仿宋" w:hAnsi="仿宋" w:eastAsia="仿宋"/>
          <w:sz w:val="24"/>
          <w:highlight w:val="none"/>
          <w:lang w:val="en-US" w:eastAsia="zh-CN"/>
        </w:rPr>
        <w:t>JSZC-320682-NTJW-C2026-0039</w:t>
      </w:r>
      <w:r>
        <w:rPr>
          <w:rFonts w:hint="eastAsia" w:ascii="仿宋" w:hAnsi="仿宋" w:eastAsia="仿宋"/>
          <w:sz w:val="24"/>
          <w:highlight w:val="none"/>
        </w:rPr>
        <w:t xml:space="preserve">                             </w:t>
      </w:r>
    </w:p>
    <w:tbl>
      <w:tblPr>
        <w:tblStyle w:val="19"/>
        <w:tblW w:w="486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2"/>
        <w:gridCol w:w="1362"/>
        <w:gridCol w:w="2748"/>
        <w:gridCol w:w="705"/>
        <w:gridCol w:w="1110"/>
        <w:gridCol w:w="1024"/>
        <w:gridCol w:w="1301"/>
        <w:gridCol w:w="614"/>
      </w:tblGrid>
      <w:tr w14:paraId="30BCF3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3" w:hRule="atLeast"/>
          <w:jc w:val="center"/>
        </w:trPr>
        <w:tc>
          <w:tcPr>
            <w:tcW w:w="442" w:type="dxa"/>
            <w:noWrap w:val="0"/>
            <w:vAlign w:val="center"/>
          </w:tcPr>
          <w:p w14:paraId="12E6408F">
            <w:pPr>
              <w:pStyle w:val="10"/>
              <w:snapToGrid w:val="0"/>
              <w:spacing w:after="0" w:line="240" w:lineRule="auto"/>
              <w:jc w:val="center"/>
              <w:outlineLvl w:val="9"/>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序号</w:t>
            </w:r>
          </w:p>
        </w:tc>
        <w:tc>
          <w:tcPr>
            <w:tcW w:w="1362" w:type="dxa"/>
            <w:noWrap w:val="0"/>
            <w:vAlign w:val="center"/>
          </w:tcPr>
          <w:p w14:paraId="740ACA9E">
            <w:pPr>
              <w:pStyle w:val="10"/>
              <w:snapToGrid w:val="0"/>
              <w:spacing w:after="0" w:line="240" w:lineRule="auto"/>
              <w:jc w:val="center"/>
              <w:outlineLvl w:val="9"/>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服务名称</w:t>
            </w:r>
          </w:p>
        </w:tc>
        <w:tc>
          <w:tcPr>
            <w:tcW w:w="2748" w:type="dxa"/>
            <w:noWrap w:val="0"/>
            <w:vAlign w:val="center"/>
          </w:tcPr>
          <w:p w14:paraId="323735C5">
            <w:pPr>
              <w:pStyle w:val="10"/>
              <w:snapToGrid w:val="0"/>
              <w:spacing w:after="0" w:line="240" w:lineRule="auto"/>
              <w:jc w:val="center"/>
              <w:outlineLvl w:val="9"/>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服务内容</w:t>
            </w:r>
          </w:p>
        </w:tc>
        <w:tc>
          <w:tcPr>
            <w:tcW w:w="705" w:type="dxa"/>
            <w:noWrap w:val="0"/>
            <w:vAlign w:val="center"/>
          </w:tcPr>
          <w:p w14:paraId="6A3E1E5D">
            <w:pPr>
              <w:pStyle w:val="10"/>
              <w:snapToGrid w:val="0"/>
              <w:spacing w:after="0" w:line="240" w:lineRule="auto"/>
              <w:jc w:val="center"/>
              <w:outlineLvl w:val="9"/>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sz w:val="24"/>
                <w:szCs w:val="24"/>
                <w:highlight w:val="none"/>
                <w:lang w:val="en-US" w:eastAsia="zh-CN"/>
              </w:rPr>
              <w:t>计量单位</w:t>
            </w:r>
          </w:p>
        </w:tc>
        <w:tc>
          <w:tcPr>
            <w:tcW w:w="1110" w:type="dxa"/>
            <w:noWrap w:val="0"/>
            <w:vAlign w:val="center"/>
          </w:tcPr>
          <w:p w14:paraId="6EE8D677">
            <w:pPr>
              <w:pStyle w:val="10"/>
              <w:snapToGrid w:val="0"/>
              <w:spacing w:after="0" w:line="240" w:lineRule="auto"/>
              <w:jc w:val="center"/>
              <w:outlineLvl w:val="9"/>
              <w:rPr>
                <w:rFonts w:hint="default"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预估量</w:t>
            </w:r>
          </w:p>
        </w:tc>
        <w:tc>
          <w:tcPr>
            <w:tcW w:w="1024" w:type="dxa"/>
            <w:noWrap w:val="0"/>
            <w:vAlign w:val="center"/>
          </w:tcPr>
          <w:p w14:paraId="4A3F9631">
            <w:pPr>
              <w:pStyle w:val="10"/>
              <w:snapToGrid w:val="0"/>
              <w:spacing w:after="0" w:line="240" w:lineRule="auto"/>
              <w:jc w:val="center"/>
              <w:outlineLvl w:val="9"/>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单 价</w:t>
            </w:r>
          </w:p>
          <w:p w14:paraId="045CA862">
            <w:pPr>
              <w:pStyle w:val="10"/>
              <w:snapToGrid w:val="0"/>
              <w:spacing w:after="0" w:line="240" w:lineRule="auto"/>
              <w:jc w:val="center"/>
              <w:outlineLvl w:val="9"/>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（元）</w:t>
            </w:r>
          </w:p>
        </w:tc>
        <w:tc>
          <w:tcPr>
            <w:tcW w:w="1301" w:type="dxa"/>
            <w:noWrap w:val="0"/>
            <w:vAlign w:val="center"/>
          </w:tcPr>
          <w:p w14:paraId="0C10DA7E">
            <w:pPr>
              <w:pStyle w:val="10"/>
              <w:snapToGrid w:val="0"/>
              <w:spacing w:after="0" w:line="240" w:lineRule="auto"/>
              <w:jc w:val="center"/>
              <w:outlineLvl w:val="9"/>
              <w:rPr>
                <w:rFonts w:hint="default"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单项合计（元）</w:t>
            </w:r>
          </w:p>
        </w:tc>
        <w:tc>
          <w:tcPr>
            <w:tcW w:w="614" w:type="dxa"/>
            <w:noWrap w:val="0"/>
            <w:vAlign w:val="center"/>
          </w:tcPr>
          <w:p w14:paraId="37EBA032">
            <w:pPr>
              <w:pStyle w:val="10"/>
              <w:snapToGrid w:val="0"/>
              <w:spacing w:after="0" w:line="240" w:lineRule="auto"/>
              <w:jc w:val="center"/>
              <w:outlineLvl w:val="9"/>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备注</w:t>
            </w:r>
          </w:p>
        </w:tc>
      </w:tr>
      <w:tr w14:paraId="64DCB7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45" w:hRule="atLeast"/>
          <w:jc w:val="center"/>
        </w:trPr>
        <w:tc>
          <w:tcPr>
            <w:tcW w:w="442" w:type="dxa"/>
            <w:noWrap w:val="0"/>
            <w:vAlign w:val="center"/>
          </w:tcPr>
          <w:p w14:paraId="1263B72B">
            <w:pPr>
              <w:pStyle w:val="10"/>
              <w:snapToGrid w:val="0"/>
              <w:spacing w:after="0" w:line="240" w:lineRule="auto"/>
              <w:jc w:val="center"/>
              <w:outlineLvl w:val="9"/>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1</w:t>
            </w:r>
          </w:p>
        </w:tc>
        <w:tc>
          <w:tcPr>
            <w:tcW w:w="1362" w:type="dxa"/>
            <w:noWrap w:val="0"/>
            <w:vAlign w:val="center"/>
          </w:tcPr>
          <w:p w14:paraId="636A7EC5">
            <w:pPr>
              <w:pStyle w:val="10"/>
              <w:snapToGrid w:val="0"/>
              <w:spacing w:after="0" w:line="240" w:lineRule="auto"/>
              <w:jc w:val="left"/>
              <w:outlineLvl w:val="9"/>
              <w:rPr>
                <w:rFonts w:hint="default"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如皋法院档案室一个年度内即时产生的所有归档档案数字化加工工作和如皋法院一个年度内的电子卷宗同步扫描服务</w:t>
            </w:r>
          </w:p>
        </w:tc>
        <w:tc>
          <w:tcPr>
            <w:tcW w:w="2748" w:type="dxa"/>
            <w:noWrap w:val="0"/>
            <w:vAlign w:val="top"/>
          </w:tcPr>
          <w:p w14:paraId="75AB2DBC">
            <w:pPr>
              <w:pStyle w:val="10"/>
              <w:snapToGrid w:val="0"/>
              <w:spacing w:after="0" w:line="240" w:lineRule="auto"/>
              <w:outlineLvl w:val="9"/>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如皋法院档案室一个年度内即时产生的所有归档档案数字化加工工作要求在卷宗归档之日起 5 个工作日内完成加工，并将数字化成果挂接到法院档案管理信息系统中供查询使用，预计页数50万页。</w:t>
            </w:r>
          </w:p>
          <w:p w14:paraId="409F1CC8">
            <w:pPr>
              <w:pStyle w:val="10"/>
              <w:snapToGrid w:val="0"/>
              <w:spacing w:after="0" w:line="240" w:lineRule="auto"/>
              <w:outlineLvl w:val="9"/>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完成如皋法院一个年度内的电子卷宗同步扫描服务，预计页数190万页。</w:t>
            </w:r>
          </w:p>
        </w:tc>
        <w:tc>
          <w:tcPr>
            <w:tcW w:w="705" w:type="dxa"/>
            <w:noWrap w:val="0"/>
            <w:vAlign w:val="center"/>
          </w:tcPr>
          <w:p w14:paraId="1D22013E">
            <w:pPr>
              <w:pStyle w:val="10"/>
              <w:snapToGrid w:val="0"/>
              <w:spacing w:after="0" w:line="240" w:lineRule="auto"/>
              <w:jc w:val="center"/>
              <w:outlineLvl w:val="9"/>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sz w:val="24"/>
                <w:szCs w:val="24"/>
                <w:highlight w:val="none"/>
                <w:lang w:val="en-US" w:eastAsia="zh-CN"/>
              </w:rPr>
              <w:t>页</w:t>
            </w:r>
          </w:p>
        </w:tc>
        <w:tc>
          <w:tcPr>
            <w:tcW w:w="1110" w:type="dxa"/>
            <w:noWrap w:val="0"/>
            <w:vAlign w:val="center"/>
          </w:tcPr>
          <w:p w14:paraId="618D3A88">
            <w:pPr>
              <w:pStyle w:val="10"/>
              <w:snapToGrid w:val="0"/>
              <w:spacing w:after="0" w:line="240" w:lineRule="auto"/>
              <w:jc w:val="center"/>
              <w:outlineLvl w:val="9"/>
              <w:rPr>
                <w:rFonts w:hint="default"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约2400000.00</w:t>
            </w:r>
          </w:p>
        </w:tc>
        <w:tc>
          <w:tcPr>
            <w:tcW w:w="1024" w:type="dxa"/>
            <w:noWrap w:val="0"/>
            <w:vAlign w:val="top"/>
          </w:tcPr>
          <w:p w14:paraId="51E2D976">
            <w:pPr>
              <w:pStyle w:val="10"/>
              <w:snapToGrid w:val="0"/>
              <w:spacing w:after="0" w:line="240" w:lineRule="auto"/>
              <w:outlineLvl w:val="9"/>
              <w:rPr>
                <w:rFonts w:hint="eastAsia" w:ascii="仿宋" w:hAnsi="仿宋" w:eastAsia="仿宋" w:cs="仿宋"/>
                <w:color w:val="000000"/>
                <w:sz w:val="24"/>
                <w:szCs w:val="24"/>
                <w:highlight w:val="none"/>
                <w:lang w:val="en-US" w:eastAsia="zh-CN"/>
              </w:rPr>
            </w:pPr>
          </w:p>
        </w:tc>
        <w:tc>
          <w:tcPr>
            <w:tcW w:w="1301" w:type="dxa"/>
            <w:noWrap w:val="0"/>
            <w:vAlign w:val="top"/>
          </w:tcPr>
          <w:p w14:paraId="1A23D662">
            <w:pPr>
              <w:pStyle w:val="10"/>
              <w:snapToGrid w:val="0"/>
              <w:spacing w:after="0" w:line="240" w:lineRule="auto"/>
              <w:outlineLvl w:val="9"/>
              <w:rPr>
                <w:rFonts w:hint="eastAsia" w:ascii="仿宋" w:hAnsi="仿宋" w:eastAsia="仿宋" w:cs="仿宋"/>
                <w:color w:val="000000"/>
                <w:sz w:val="24"/>
                <w:szCs w:val="24"/>
                <w:highlight w:val="none"/>
                <w:lang w:val="en-US" w:eastAsia="zh-CN"/>
              </w:rPr>
            </w:pPr>
          </w:p>
        </w:tc>
        <w:tc>
          <w:tcPr>
            <w:tcW w:w="614" w:type="dxa"/>
            <w:noWrap w:val="0"/>
            <w:vAlign w:val="top"/>
          </w:tcPr>
          <w:p w14:paraId="701AD060">
            <w:pPr>
              <w:pStyle w:val="10"/>
              <w:snapToGrid w:val="0"/>
              <w:spacing w:after="0" w:line="240" w:lineRule="auto"/>
              <w:outlineLvl w:val="9"/>
              <w:rPr>
                <w:rFonts w:hint="eastAsia" w:ascii="仿宋" w:hAnsi="仿宋" w:eastAsia="仿宋" w:cs="仿宋"/>
                <w:color w:val="000000"/>
                <w:sz w:val="24"/>
                <w:szCs w:val="24"/>
                <w:highlight w:val="none"/>
                <w:lang w:val="en-US" w:eastAsia="zh-CN"/>
              </w:rPr>
            </w:pPr>
          </w:p>
        </w:tc>
      </w:tr>
      <w:tr w14:paraId="495706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63" w:hRule="atLeast"/>
          <w:jc w:val="center"/>
        </w:trPr>
        <w:tc>
          <w:tcPr>
            <w:tcW w:w="442" w:type="dxa"/>
            <w:noWrap w:val="0"/>
            <w:vAlign w:val="center"/>
          </w:tcPr>
          <w:p w14:paraId="46752A92">
            <w:pPr>
              <w:pStyle w:val="10"/>
              <w:snapToGrid w:val="0"/>
              <w:spacing w:after="0" w:line="240" w:lineRule="auto"/>
              <w:jc w:val="center"/>
              <w:outlineLvl w:val="9"/>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2</w:t>
            </w:r>
          </w:p>
        </w:tc>
        <w:tc>
          <w:tcPr>
            <w:tcW w:w="1362" w:type="dxa"/>
            <w:noWrap w:val="0"/>
            <w:vAlign w:val="center"/>
          </w:tcPr>
          <w:p w14:paraId="71E84E42">
            <w:pPr>
              <w:pStyle w:val="10"/>
              <w:snapToGrid w:val="0"/>
              <w:spacing w:after="0" w:line="240" w:lineRule="auto"/>
              <w:jc w:val="left"/>
              <w:outlineLvl w:val="9"/>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sz w:val="24"/>
                <w:szCs w:val="24"/>
                <w:highlight w:val="none"/>
                <w:lang w:val="en-US" w:eastAsia="zh-CN"/>
              </w:rPr>
              <w:t>如皋法院一个年度内的中间库归档服务</w:t>
            </w:r>
          </w:p>
        </w:tc>
        <w:tc>
          <w:tcPr>
            <w:tcW w:w="2748" w:type="dxa"/>
            <w:noWrap w:val="0"/>
            <w:vAlign w:val="top"/>
          </w:tcPr>
          <w:p w14:paraId="7AD77E63">
            <w:pPr>
              <w:pStyle w:val="10"/>
              <w:snapToGrid w:val="0"/>
              <w:spacing w:after="0" w:line="240" w:lineRule="auto"/>
              <w:outlineLvl w:val="9"/>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sz w:val="24"/>
                <w:szCs w:val="24"/>
                <w:highlight w:val="none"/>
                <w:lang w:val="en-US" w:eastAsia="zh-CN"/>
              </w:rPr>
              <w:t>包括档案交接、入库、出库、敲页码、制封面、盖章、打孔、装订、排序、上架等服务，预计3.6万册。</w:t>
            </w:r>
          </w:p>
        </w:tc>
        <w:tc>
          <w:tcPr>
            <w:tcW w:w="705" w:type="dxa"/>
            <w:noWrap w:val="0"/>
            <w:vAlign w:val="center"/>
          </w:tcPr>
          <w:p w14:paraId="010CD13D">
            <w:pPr>
              <w:pStyle w:val="10"/>
              <w:snapToGrid w:val="0"/>
              <w:spacing w:after="0" w:line="240" w:lineRule="auto"/>
              <w:jc w:val="center"/>
              <w:outlineLvl w:val="9"/>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sz w:val="24"/>
                <w:szCs w:val="24"/>
                <w:highlight w:val="none"/>
                <w:lang w:val="en-US" w:eastAsia="zh-CN"/>
              </w:rPr>
              <w:t>册</w:t>
            </w:r>
          </w:p>
        </w:tc>
        <w:tc>
          <w:tcPr>
            <w:tcW w:w="1110" w:type="dxa"/>
            <w:noWrap w:val="0"/>
            <w:vAlign w:val="center"/>
          </w:tcPr>
          <w:p w14:paraId="157E2C7D">
            <w:pPr>
              <w:pStyle w:val="10"/>
              <w:snapToGrid w:val="0"/>
              <w:spacing w:after="0" w:line="240" w:lineRule="auto"/>
              <w:jc w:val="center"/>
              <w:outlineLvl w:val="9"/>
              <w:rPr>
                <w:rFonts w:hint="default" w:ascii="仿宋" w:hAnsi="仿宋" w:eastAsia="仿宋" w:cs="仿宋"/>
                <w:color w:val="000000"/>
                <w:kern w:val="2"/>
                <w:sz w:val="24"/>
                <w:szCs w:val="24"/>
                <w:highlight w:val="none"/>
                <w:lang w:val="en-US" w:eastAsia="zh-CN" w:bidi="ar-SA"/>
              </w:rPr>
            </w:pPr>
            <w:r>
              <w:rPr>
                <w:rFonts w:hint="eastAsia" w:ascii="仿宋" w:hAnsi="仿宋" w:eastAsia="仿宋" w:cs="仿宋"/>
                <w:color w:val="000000"/>
                <w:kern w:val="2"/>
                <w:sz w:val="24"/>
                <w:szCs w:val="24"/>
                <w:highlight w:val="none"/>
                <w:lang w:val="en-US" w:eastAsia="zh-CN" w:bidi="ar-SA"/>
              </w:rPr>
              <w:t>约36000.00</w:t>
            </w:r>
          </w:p>
        </w:tc>
        <w:tc>
          <w:tcPr>
            <w:tcW w:w="1024" w:type="dxa"/>
            <w:noWrap w:val="0"/>
            <w:vAlign w:val="top"/>
          </w:tcPr>
          <w:p w14:paraId="377912E3">
            <w:pPr>
              <w:pStyle w:val="10"/>
              <w:snapToGrid w:val="0"/>
              <w:spacing w:after="0" w:line="240" w:lineRule="auto"/>
              <w:outlineLvl w:val="9"/>
              <w:rPr>
                <w:rFonts w:hint="eastAsia" w:ascii="仿宋" w:hAnsi="仿宋" w:eastAsia="仿宋" w:cs="仿宋"/>
                <w:color w:val="000000"/>
                <w:sz w:val="24"/>
                <w:szCs w:val="24"/>
                <w:highlight w:val="none"/>
                <w:lang w:val="en-US" w:eastAsia="zh-CN"/>
              </w:rPr>
            </w:pPr>
          </w:p>
        </w:tc>
        <w:tc>
          <w:tcPr>
            <w:tcW w:w="1301" w:type="dxa"/>
            <w:noWrap w:val="0"/>
            <w:vAlign w:val="top"/>
          </w:tcPr>
          <w:p w14:paraId="65F0A980">
            <w:pPr>
              <w:pStyle w:val="10"/>
              <w:snapToGrid w:val="0"/>
              <w:spacing w:after="0" w:line="240" w:lineRule="auto"/>
              <w:outlineLvl w:val="9"/>
              <w:rPr>
                <w:rFonts w:hint="eastAsia" w:ascii="仿宋" w:hAnsi="仿宋" w:eastAsia="仿宋" w:cs="仿宋"/>
                <w:color w:val="000000"/>
                <w:sz w:val="24"/>
                <w:szCs w:val="24"/>
                <w:highlight w:val="none"/>
                <w:lang w:val="en-US" w:eastAsia="zh-CN"/>
              </w:rPr>
            </w:pPr>
          </w:p>
        </w:tc>
        <w:tc>
          <w:tcPr>
            <w:tcW w:w="614" w:type="dxa"/>
            <w:noWrap w:val="0"/>
            <w:vAlign w:val="top"/>
          </w:tcPr>
          <w:p w14:paraId="37486BCB">
            <w:pPr>
              <w:pStyle w:val="10"/>
              <w:snapToGrid w:val="0"/>
              <w:spacing w:after="0" w:line="240" w:lineRule="auto"/>
              <w:outlineLvl w:val="9"/>
              <w:rPr>
                <w:rFonts w:hint="eastAsia" w:ascii="仿宋" w:hAnsi="仿宋" w:eastAsia="仿宋" w:cs="仿宋"/>
                <w:color w:val="000000"/>
                <w:sz w:val="24"/>
                <w:szCs w:val="24"/>
                <w:highlight w:val="none"/>
                <w:lang w:val="en-US" w:eastAsia="zh-CN"/>
              </w:rPr>
            </w:pPr>
          </w:p>
        </w:tc>
      </w:tr>
      <w:tr w14:paraId="194D81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69" w:hRule="atLeast"/>
          <w:jc w:val="center"/>
        </w:trPr>
        <w:tc>
          <w:tcPr>
            <w:tcW w:w="6367" w:type="dxa"/>
            <w:gridSpan w:val="5"/>
            <w:noWrap w:val="0"/>
            <w:vAlign w:val="center"/>
          </w:tcPr>
          <w:p w14:paraId="3961CFF5">
            <w:pPr>
              <w:pStyle w:val="10"/>
              <w:snapToGrid w:val="0"/>
              <w:spacing w:after="0" w:line="240" w:lineRule="auto"/>
              <w:jc w:val="center"/>
              <w:outlineLvl w:val="9"/>
              <w:rPr>
                <w:rFonts w:hint="default"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合计（评审价）</w:t>
            </w:r>
          </w:p>
        </w:tc>
        <w:tc>
          <w:tcPr>
            <w:tcW w:w="2325" w:type="dxa"/>
            <w:gridSpan w:val="2"/>
            <w:noWrap w:val="0"/>
            <w:vAlign w:val="top"/>
          </w:tcPr>
          <w:p w14:paraId="24D14389">
            <w:pPr>
              <w:pStyle w:val="10"/>
              <w:snapToGrid w:val="0"/>
              <w:spacing w:after="0" w:line="240" w:lineRule="auto"/>
              <w:outlineLvl w:val="9"/>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大写：</w:t>
            </w:r>
          </w:p>
          <w:p w14:paraId="2AA84ECB">
            <w:pPr>
              <w:pStyle w:val="10"/>
              <w:snapToGrid w:val="0"/>
              <w:spacing w:after="0" w:line="240" w:lineRule="auto"/>
              <w:outlineLvl w:val="9"/>
              <w:rPr>
                <w:rFonts w:hint="default"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小写：</w:t>
            </w:r>
          </w:p>
        </w:tc>
        <w:tc>
          <w:tcPr>
            <w:tcW w:w="614" w:type="dxa"/>
            <w:noWrap w:val="0"/>
            <w:vAlign w:val="top"/>
          </w:tcPr>
          <w:p w14:paraId="342A0806">
            <w:pPr>
              <w:pStyle w:val="10"/>
              <w:snapToGrid w:val="0"/>
              <w:spacing w:after="0" w:line="240" w:lineRule="auto"/>
              <w:outlineLvl w:val="9"/>
              <w:rPr>
                <w:rFonts w:hint="eastAsia" w:ascii="仿宋" w:hAnsi="仿宋" w:eastAsia="仿宋" w:cs="仿宋"/>
                <w:color w:val="000000"/>
                <w:sz w:val="24"/>
                <w:szCs w:val="24"/>
                <w:highlight w:val="none"/>
                <w:lang w:val="en-US" w:eastAsia="zh-CN"/>
              </w:rPr>
            </w:pPr>
          </w:p>
        </w:tc>
      </w:tr>
    </w:tbl>
    <w:p w14:paraId="3000E75C">
      <w:pPr>
        <w:outlineLvl w:val="9"/>
        <w:rPr>
          <w:rFonts w:ascii="仿宋" w:hAnsi="仿宋" w:eastAsia="仿宋"/>
          <w:b/>
          <w:bCs/>
          <w:sz w:val="24"/>
          <w:szCs w:val="24"/>
          <w:highlight w:val="none"/>
        </w:rPr>
      </w:pPr>
      <w:r>
        <w:rPr>
          <w:rFonts w:hint="eastAsia" w:ascii="仿宋" w:hAnsi="仿宋" w:eastAsia="仿宋"/>
          <w:b/>
          <w:bCs/>
          <w:sz w:val="24"/>
          <w:szCs w:val="24"/>
          <w:highlight w:val="none"/>
        </w:rPr>
        <w:t>注：</w:t>
      </w:r>
      <w:r>
        <w:rPr>
          <w:rFonts w:hint="eastAsia" w:ascii="仿宋" w:hAnsi="仿宋" w:eastAsia="仿宋"/>
          <w:b/>
          <w:bCs/>
          <w:sz w:val="24"/>
          <w:szCs w:val="24"/>
          <w:highlight w:val="none"/>
          <w:lang w:val="en-US" w:eastAsia="zh-CN"/>
        </w:rPr>
        <w:t>因系统原因，系统报价填写评审价，最终结算价按实际工作量*单价计算，最终结算金额每年不超过壹佰贰拾万元整</w:t>
      </w:r>
      <w:r>
        <w:rPr>
          <w:rFonts w:hint="eastAsia" w:ascii="仿宋" w:hAnsi="仿宋" w:eastAsia="仿宋"/>
          <w:b/>
          <w:bCs/>
          <w:sz w:val="24"/>
          <w:szCs w:val="24"/>
          <w:highlight w:val="none"/>
        </w:rPr>
        <w:t>。</w:t>
      </w:r>
    </w:p>
    <w:p w14:paraId="589E2277">
      <w:pPr>
        <w:ind w:firstLine="560" w:firstLineChars="200"/>
        <w:outlineLvl w:val="9"/>
        <w:rPr>
          <w:rFonts w:ascii="仿宋" w:hAnsi="仿宋" w:eastAsia="仿宋"/>
          <w:bCs/>
          <w:sz w:val="28"/>
          <w:szCs w:val="28"/>
          <w:highlight w:val="none"/>
        </w:rPr>
      </w:pPr>
      <w:r>
        <w:rPr>
          <w:rFonts w:ascii="仿宋" w:hAnsi="仿宋" w:eastAsia="仿宋"/>
          <w:bCs/>
          <w:sz w:val="28"/>
          <w:szCs w:val="28"/>
          <w:highlight w:val="none"/>
        </w:rPr>
        <w:br w:type="page"/>
      </w:r>
      <w:r>
        <w:rPr>
          <w:rFonts w:hint="eastAsia" w:ascii="仿宋" w:hAnsi="仿宋" w:eastAsia="仿宋"/>
          <w:bCs/>
          <w:sz w:val="28"/>
          <w:szCs w:val="28"/>
          <w:highlight w:val="none"/>
        </w:rPr>
        <w:t>（三）中小企业声明函</w:t>
      </w:r>
    </w:p>
    <w:p w14:paraId="7A935B37">
      <w:pPr>
        <w:jc w:val="center"/>
        <w:outlineLvl w:val="9"/>
        <w:rPr>
          <w:rFonts w:ascii="方正小标宋简体" w:eastAsia="方正小标宋简体"/>
          <w:sz w:val="36"/>
          <w:szCs w:val="36"/>
          <w:highlight w:val="none"/>
        </w:rPr>
      </w:pPr>
      <w:r>
        <w:rPr>
          <w:rFonts w:hint="eastAsia" w:ascii="方正小标宋简体" w:eastAsia="方正小标宋简体"/>
          <w:sz w:val="36"/>
          <w:szCs w:val="36"/>
          <w:highlight w:val="none"/>
        </w:rPr>
        <w:t>中小企业声明函（工程、服务）</w:t>
      </w:r>
    </w:p>
    <w:p w14:paraId="03E39CD7">
      <w:pPr>
        <w:spacing w:line="500" w:lineRule="exact"/>
        <w:ind w:firstLine="560" w:firstLineChars="200"/>
        <w:outlineLvl w:val="9"/>
        <w:rPr>
          <w:rFonts w:ascii="仿宋" w:hAnsi="仿宋" w:eastAsia="仿宋"/>
          <w:i w:val="0"/>
          <w:iCs/>
          <w:sz w:val="28"/>
          <w:szCs w:val="28"/>
          <w:highlight w:val="none"/>
        </w:rPr>
      </w:pPr>
      <w:r>
        <w:rPr>
          <w:rFonts w:hint="eastAsia" w:ascii="仿宋" w:hAnsi="仿宋" w:eastAsia="仿宋"/>
          <w:sz w:val="28"/>
          <w:szCs w:val="28"/>
          <w:highlight w:val="none"/>
        </w:rPr>
        <w:t>本公司（联合体）郑重声明，根据《政府采购促进中小企业发展管理办法》（财库﹝2020﹞46 号）的规定，本公司（联合体）参加</w:t>
      </w:r>
      <w:r>
        <w:rPr>
          <w:rFonts w:hint="eastAsia" w:ascii="仿宋" w:hAnsi="仿宋" w:eastAsia="仿宋"/>
          <w:i w:val="0"/>
          <w:iCs/>
          <w:sz w:val="28"/>
          <w:szCs w:val="28"/>
          <w:highlight w:val="none"/>
          <w:u w:val="single"/>
          <w:lang w:val="en-US" w:eastAsia="zh-CN"/>
        </w:rPr>
        <w:t>如皋市人民法院</w:t>
      </w:r>
      <w:r>
        <w:rPr>
          <w:rFonts w:hint="eastAsia" w:ascii="仿宋" w:hAnsi="仿宋" w:eastAsia="仿宋"/>
          <w:i w:val="0"/>
          <w:iCs/>
          <w:sz w:val="28"/>
          <w:szCs w:val="28"/>
          <w:highlight w:val="none"/>
        </w:rPr>
        <w:t xml:space="preserve"> 的</w:t>
      </w:r>
      <w:r>
        <w:rPr>
          <w:rFonts w:hint="eastAsia" w:ascii="仿宋" w:hAnsi="仿宋" w:eastAsia="仿宋"/>
          <w:i w:val="0"/>
          <w:iCs/>
          <w:sz w:val="28"/>
          <w:szCs w:val="28"/>
          <w:highlight w:val="none"/>
          <w:u w:val="single"/>
          <w:lang w:val="en-US" w:eastAsia="zh-CN"/>
        </w:rPr>
        <w:t>如皋法院无纸化数字加工服务</w:t>
      </w:r>
      <w:r>
        <w:rPr>
          <w:rFonts w:hint="eastAsia" w:ascii="仿宋" w:hAnsi="仿宋" w:eastAsia="仿宋"/>
          <w:i w:val="0"/>
          <w:iCs/>
          <w:sz w:val="28"/>
          <w:szCs w:val="28"/>
          <w:highlight w:val="none"/>
        </w:rPr>
        <w:t>采购活动，工程的施工单位全部为符合政策要求的中小企业（或者：服务全部由符合政策要求的中小企业承接）。相关企业（含联合体中的中小企业、签订分包意向协议的中小企业）的具体情况如下：</w:t>
      </w:r>
    </w:p>
    <w:p w14:paraId="302C6984">
      <w:pPr>
        <w:spacing w:line="500" w:lineRule="exact"/>
        <w:ind w:firstLine="560" w:firstLineChars="200"/>
        <w:outlineLvl w:val="9"/>
        <w:rPr>
          <w:rFonts w:ascii="仿宋" w:hAnsi="仿宋" w:eastAsia="仿宋"/>
          <w:i w:val="0"/>
          <w:iCs/>
          <w:sz w:val="28"/>
          <w:szCs w:val="28"/>
          <w:highlight w:val="none"/>
        </w:rPr>
      </w:pPr>
      <w:r>
        <w:rPr>
          <w:rFonts w:hint="eastAsia" w:ascii="仿宋" w:hAnsi="仿宋" w:eastAsia="仿宋"/>
          <w:i w:val="0"/>
          <w:iCs/>
          <w:sz w:val="28"/>
          <w:szCs w:val="28"/>
          <w:highlight w:val="none"/>
        </w:rPr>
        <w:t>1.</w:t>
      </w:r>
      <w:r>
        <w:rPr>
          <w:rFonts w:hint="eastAsia" w:ascii="仿宋" w:hAnsi="仿宋" w:eastAsia="仿宋"/>
          <w:i w:val="0"/>
          <w:iCs/>
          <w:sz w:val="28"/>
          <w:szCs w:val="28"/>
          <w:highlight w:val="none"/>
          <w:u w:val="single"/>
          <w:lang w:val="en-US" w:eastAsia="zh-CN"/>
        </w:rPr>
        <w:t>如皋法院无纸化数字加工服务</w:t>
      </w:r>
      <w:r>
        <w:rPr>
          <w:rFonts w:hint="eastAsia" w:ascii="仿宋" w:hAnsi="仿宋" w:eastAsia="仿宋"/>
          <w:i w:val="0"/>
          <w:iCs/>
          <w:sz w:val="28"/>
          <w:szCs w:val="28"/>
          <w:highlight w:val="none"/>
        </w:rPr>
        <w:t>，属于</w:t>
      </w:r>
      <w:r>
        <w:rPr>
          <w:rFonts w:hint="eastAsia" w:ascii="仿宋" w:hAnsi="仿宋" w:eastAsia="仿宋"/>
          <w:i w:val="0"/>
          <w:iCs/>
          <w:sz w:val="28"/>
          <w:szCs w:val="28"/>
          <w:highlight w:val="none"/>
          <w:u w:val="single"/>
          <w:lang w:val="en-US" w:eastAsia="zh-CN"/>
        </w:rPr>
        <w:t>租赁和商务服务业</w:t>
      </w:r>
      <w:r>
        <w:rPr>
          <w:rFonts w:hint="eastAsia" w:ascii="仿宋" w:hAnsi="仿宋" w:eastAsia="仿宋"/>
          <w:i w:val="0"/>
          <w:iCs/>
          <w:sz w:val="28"/>
          <w:szCs w:val="28"/>
          <w:highlight w:val="none"/>
        </w:rPr>
        <w:t xml:space="preserve"> ；承建（承接）企业为 </w:t>
      </w:r>
      <w:r>
        <w:rPr>
          <w:rFonts w:hint="eastAsia" w:ascii="仿宋" w:hAnsi="仿宋" w:eastAsia="仿宋"/>
          <w:i w:val="0"/>
          <w:iCs/>
          <w:sz w:val="28"/>
          <w:szCs w:val="28"/>
          <w:highlight w:val="none"/>
          <w:u w:val="single"/>
        </w:rPr>
        <w:t>（企业名称）</w:t>
      </w:r>
      <w:r>
        <w:rPr>
          <w:rFonts w:hint="eastAsia" w:ascii="仿宋" w:hAnsi="仿宋" w:eastAsia="仿宋"/>
          <w:i w:val="0"/>
          <w:iCs/>
          <w:sz w:val="28"/>
          <w:szCs w:val="28"/>
          <w:highlight w:val="none"/>
        </w:rPr>
        <w:t xml:space="preserve"> ，从业人员人，营业收入为万元，资产总额为万元</w:t>
      </w:r>
      <w:r>
        <w:rPr>
          <w:rFonts w:hint="eastAsia" w:ascii="仿宋" w:hAnsi="仿宋" w:eastAsia="仿宋"/>
          <w:i w:val="0"/>
          <w:iCs/>
          <w:sz w:val="28"/>
          <w:szCs w:val="28"/>
          <w:highlight w:val="none"/>
          <w:vertAlign w:val="superscript"/>
        </w:rPr>
        <w:t>1</w:t>
      </w:r>
      <w:r>
        <w:rPr>
          <w:rFonts w:hint="eastAsia" w:ascii="仿宋" w:hAnsi="仿宋" w:eastAsia="仿宋"/>
          <w:i w:val="0"/>
          <w:iCs/>
          <w:sz w:val="28"/>
          <w:szCs w:val="28"/>
          <w:highlight w:val="none"/>
        </w:rPr>
        <w:t xml:space="preserve"> ，属于</w:t>
      </w:r>
      <w:r>
        <w:rPr>
          <w:rFonts w:hint="eastAsia" w:ascii="仿宋" w:hAnsi="仿宋" w:eastAsia="仿宋"/>
          <w:i w:val="0"/>
          <w:iCs/>
          <w:sz w:val="28"/>
          <w:szCs w:val="28"/>
          <w:highlight w:val="none"/>
          <w:u w:val="single"/>
        </w:rPr>
        <w:t xml:space="preserve"> （中型企业、小型企业、微型企业） </w:t>
      </w:r>
      <w:r>
        <w:rPr>
          <w:rFonts w:hint="eastAsia" w:ascii="仿宋" w:hAnsi="仿宋" w:eastAsia="仿宋"/>
          <w:i w:val="0"/>
          <w:iCs/>
          <w:sz w:val="28"/>
          <w:szCs w:val="28"/>
          <w:highlight w:val="none"/>
        </w:rPr>
        <w:t>；</w:t>
      </w:r>
    </w:p>
    <w:p w14:paraId="5BA9D5FC">
      <w:pPr>
        <w:spacing w:line="500" w:lineRule="exact"/>
        <w:ind w:firstLine="560" w:firstLineChars="200"/>
        <w:outlineLvl w:val="9"/>
        <w:rPr>
          <w:rFonts w:ascii="仿宋" w:hAnsi="仿宋" w:eastAsia="仿宋"/>
          <w:sz w:val="28"/>
          <w:szCs w:val="28"/>
          <w:highlight w:val="none"/>
        </w:rPr>
      </w:pPr>
      <w:r>
        <w:rPr>
          <w:rFonts w:hint="eastAsia" w:ascii="仿宋" w:hAnsi="仿宋" w:eastAsia="仿宋"/>
          <w:sz w:val="28"/>
          <w:szCs w:val="28"/>
          <w:highlight w:val="none"/>
        </w:rPr>
        <w:t>以上企业，不属于大企业的分支机构，不存在控股股东为大企业的情形，也不存在与大企业的负责人为同一人的情形。</w:t>
      </w:r>
    </w:p>
    <w:p w14:paraId="4BE645E9">
      <w:pPr>
        <w:spacing w:line="500" w:lineRule="exact"/>
        <w:ind w:firstLine="560" w:firstLineChars="200"/>
        <w:outlineLvl w:val="9"/>
        <w:rPr>
          <w:rFonts w:ascii="仿宋" w:hAnsi="仿宋" w:eastAsia="仿宋"/>
          <w:sz w:val="28"/>
          <w:szCs w:val="28"/>
          <w:highlight w:val="none"/>
        </w:rPr>
      </w:pPr>
      <w:r>
        <w:rPr>
          <w:rFonts w:hint="eastAsia" w:ascii="仿宋" w:hAnsi="仿宋" w:eastAsia="仿宋"/>
          <w:sz w:val="28"/>
          <w:szCs w:val="28"/>
          <w:highlight w:val="none"/>
        </w:rPr>
        <w:t>本企业对上述声明内容的真实性负责。如有虚假，将依法承担相应责任。</w:t>
      </w:r>
    </w:p>
    <w:p w14:paraId="20F94AC8">
      <w:pPr>
        <w:spacing w:line="500" w:lineRule="exact"/>
        <w:ind w:firstLine="560" w:firstLineChars="200"/>
        <w:jc w:val="right"/>
        <w:outlineLvl w:val="9"/>
        <w:rPr>
          <w:rFonts w:ascii="仿宋" w:hAnsi="仿宋" w:eastAsia="仿宋"/>
          <w:sz w:val="28"/>
          <w:szCs w:val="28"/>
          <w:highlight w:val="none"/>
        </w:rPr>
      </w:pPr>
      <w:r>
        <w:rPr>
          <w:rFonts w:hint="eastAsia" w:ascii="仿宋" w:hAnsi="仿宋" w:eastAsia="仿宋"/>
          <w:sz w:val="28"/>
          <w:szCs w:val="28"/>
          <w:highlight w:val="none"/>
        </w:rPr>
        <w:t xml:space="preserve">企业名称（盖章）：          </w:t>
      </w:r>
    </w:p>
    <w:p w14:paraId="2C0DF953">
      <w:pPr>
        <w:spacing w:line="500" w:lineRule="exact"/>
        <w:ind w:firstLine="560" w:firstLineChars="200"/>
        <w:jc w:val="right"/>
        <w:outlineLvl w:val="9"/>
        <w:rPr>
          <w:rFonts w:ascii="仿宋" w:hAnsi="仿宋" w:eastAsia="仿宋"/>
          <w:sz w:val="28"/>
          <w:szCs w:val="28"/>
          <w:highlight w:val="none"/>
        </w:rPr>
      </w:pPr>
      <w:r>
        <w:rPr>
          <w:rFonts w:hint="eastAsia" w:ascii="仿宋" w:hAnsi="仿宋" w:eastAsia="仿宋"/>
          <w:sz w:val="28"/>
          <w:szCs w:val="28"/>
          <w:highlight w:val="none"/>
        </w:rPr>
        <w:t xml:space="preserve">日 期：             </w:t>
      </w:r>
    </w:p>
    <w:p w14:paraId="0540FA53">
      <w:pPr>
        <w:spacing w:line="500" w:lineRule="exact"/>
        <w:ind w:right="560"/>
        <w:outlineLvl w:val="9"/>
        <w:rPr>
          <w:rFonts w:ascii="仿宋" w:hAnsi="仿宋" w:eastAsia="仿宋"/>
          <w:sz w:val="28"/>
          <w:szCs w:val="28"/>
          <w:highlight w:val="none"/>
        </w:rPr>
      </w:pPr>
      <w:r>
        <w:rPr>
          <w:rFonts w:hint="eastAsia" w:ascii="仿宋" w:hAnsi="仿宋" w:eastAsia="仿宋"/>
          <w:sz w:val="28"/>
          <w:szCs w:val="28"/>
          <w:highlight w:val="none"/>
        </w:rPr>
        <w:t>注</w:t>
      </w:r>
      <w:r>
        <w:rPr>
          <w:rFonts w:ascii="仿宋" w:hAnsi="仿宋" w:eastAsia="仿宋"/>
          <w:sz w:val="28"/>
          <w:szCs w:val="28"/>
          <w:highlight w:val="none"/>
        </w:rPr>
        <w:t>1</w:t>
      </w:r>
      <w:r>
        <w:rPr>
          <w:rFonts w:hint="eastAsia" w:ascii="仿宋" w:hAnsi="仿宋" w:eastAsia="仿宋"/>
          <w:sz w:val="28"/>
          <w:szCs w:val="28"/>
          <w:highlight w:val="none"/>
        </w:rPr>
        <w:t>：从业人员、营业收入、资产总额填报上一年度数据，无上一年度数据的新成立企业可不填报。</w:t>
      </w:r>
    </w:p>
    <w:p w14:paraId="43176980">
      <w:pPr>
        <w:spacing w:line="500" w:lineRule="exact"/>
        <w:outlineLvl w:val="9"/>
        <w:rPr>
          <w:rFonts w:ascii="仿宋" w:hAnsi="仿宋" w:eastAsia="仿宋" w:cs="Arial"/>
          <w:sz w:val="28"/>
          <w:szCs w:val="28"/>
          <w:highlight w:val="none"/>
        </w:rPr>
      </w:pPr>
      <w:r>
        <w:rPr>
          <w:rFonts w:ascii="仿宋" w:hAnsi="仿宋" w:eastAsia="仿宋"/>
          <w:bCs/>
          <w:sz w:val="28"/>
          <w:szCs w:val="28"/>
          <w:highlight w:val="none"/>
        </w:rPr>
        <w:br w:type="page"/>
      </w:r>
      <w:r>
        <w:rPr>
          <w:rFonts w:hint="eastAsia" w:ascii="仿宋" w:hAnsi="仿宋" w:eastAsia="仿宋"/>
          <w:bCs/>
          <w:sz w:val="28"/>
          <w:szCs w:val="28"/>
          <w:highlight w:val="none"/>
        </w:rPr>
        <w:t>（四）</w:t>
      </w:r>
      <w:r>
        <w:rPr>
          <w:rFonts w:hint="eastAsia" w:ascii="仿宋" w:hAnsi="仿宋" w:eastAsia="仿宋" w:cs="Arial"/>
          <w:sz w:val="28"/>
          <w:szCs w:val="28"/>
          <w:highlight w:val="none"/>
        </w:rPr>
        <w:t>残疾人福利性单位声明函</w:t>
      </w:r>
    </w:p>
    <w:p w14:paraId="2BBC360F">
      <w:pPr>
        <w:spacing w:line="500" w:lineRule="exact"/>
        <w:outlineLvl w:val="9"/>
        <w:rPr>
          <w:rFonts w:ascii="仿宋" w:hAnsi="仿宋" w:eastAsia="仿宋" w:cs="Arial"/>
          <w:sz w:val="28"/>
          <w:szCs w:val="28"/>
          <w:highlight w:val="none"/>
        </w:rPr>
      </w:pPr>
    </w:p>
    <w:p w14:paraId="7F67E2E8">
      <w:pPr>
        <w:jc w:val="center"/>
        <w:outlineLvl w:val="9"/>
        <w:rPr>
          <w:rFonts w:ascii="方正小标宋简体" w:eastAsia="方正小标宋简体"/>
          <w:i/>
          <w:sz w:val="36"/>
          <w:szCs w:val="36"/>
          <w:highlight w:val="none"/>
        </w:rPr>
      </w:pPr>
      <w:r>
        <w:rPr>
          <w:rFonts w:hint="eastAsia" w:ascii="方正小标宋简体" w:eastAsia="方正小标宋简体"/>
          <w:sz w:val="36"/>
          <w:szCs w:val="36"/>
          <w:highlight w:val="none"/>
        </w:rPr>
        <w:t>残疾人福利性单位声明函</w:t>
      </w:r>
    </w:p>
    <w:p w14:paraId="5F5C326C">
      <w:pPr>
        <w:spacing w:line="500" w:lineRule="exact"/>
        <w:ind w:firstLine="560" w:firstLineChars="200"/>
        <w:outlineLvl w:val="9"/>
        <w:rPr>
          <w:rFonts w:ascii="仿宋" w:hAnsi="仿宋" w:eastAsia="仿宋"/>
          <w:sz w:val="28"/>
          <w:szCs w:val="28"/>
          <w:highlight w:val="none"/>
        </w:rPr>
      </w:pPr>
    </w:p>
    <w:p w14:paraId="7A95EF56">
      <w:pPr>
        <w:spacing w:line="500" w:lineRule="exact"/>
        <w:ind w:firstLine="560" w:firstLineChars="200"/>
        <w:outlineLvl w:val="9"/>
        <w:rPr>
          <w:rFonts w:ascii="仿宋" w:hAnsi="仿宋" w:eastAsia="仿宋"/>
          <w:sz w:val="28"/>
          <w:szCs w:val="28"/>
          <w:highlight w:val="none"/>
        </w:rPr>
      </w:pPr>
      <w:r>
        <w:rPr>
          <w:rFonts w:hint="eastAsia" w:ascii="仿宋" w:hAnsi="仿宋" w:eastAsia="仿宋"/>
          <w:sz w:val="28"/>
          <w:szCs w:val="28"/>
          <w:highlight w:val="none"/>
        </w:rPr>
        <w:t>本单位郑重声明，根据《财政部 民政部 中国残疾人联合会关于促进残疾人就业政府采购政策的通知》（财库〔2017〕 141号）的规定，本单位为符合条件的残疾人福利性单位，且本单位参加</w:t>
      </w:r>
      <w:r>
        <w:rPr>
          <w:rFonts w:hint="eastAsia" w:ascii="仿宋" w:hAnsi="仿宋" w:eastAsia="仿宋"/>
          <w:sz w:val="28"/>
          <w:szCs w:val="28"/>
          <w:highlight w:val="none"/>
          <w:lang w:val="en-US" w:eastAsia="zh-CN"/>
        </w:rPr>
        <w:t>如皋市人民法院</w:t>
      </w:r>
      <w:r>
        <w:rPr>
          <w:rFonts w:hint="eastAsia" w:ascii="仿宋" w:hAnsi="仿宋" w:eastAsia="仿宋"/>
          <w:sz w:val="28"/>
          <w:szCs w:val="28"/>
          <w:highlight w:val="none"/>
        </w:rPr>
        <w:t>单位的项目编号</w:t>
      </w:r>
      <w:r>
        <w:rPr>
          <w:rFonts w:hint="eastAsia" w:ascii="仿宋" w:hAnsi="仿宋" w:eastAsia="仿宋"/>
          <w:sz w:val="28"/>
          <w:szCs w:val="28"/>
          <w:highlight w:val="none"/>
          <w:lang w:val="en-US" w:eastAsia="zh-CN"/>
        </w:rPr>
        <w:t>JSZC-320682-NTJW-C2026-0039</w:t>
      </w:r>
      <w:r>
        <w:rPr>
          <w:rFonts w:hint="eastAsia" w:ascii="仿宋" w:hAnsi="仿宋" w:eastAsia="仿宋"/>
          <w:sz w:val="28"/>
          <w:szCs w:val="28"/>
          <w:highlight w:val="none"/>
        </w:rPr>
        <w:t>为</w:t>
      </w:r>
      <w:r>
        <w:rPr>
          <w:rFonts w:hint="eastAsia" w:ascii="仿宋" w:hAnsi="仿宋" w:eastAsia="仿宋"/>
          <w:sz w:val="28"/>
          <w:szCs w:val="28"/>
          <w:highlight w:val="none"/>
          <w:lang w:val="en-US" w:eastAsia="zh-CN"/>
        </w:rPr>
        <w:t>如皋法院无纸化数字加工服务</w:t>
      </w:r>
      <w:r>
        <w:rPr>
          <w:rFonts w:hint="eastAsia" w:ascii="仿宋" w:hAnsi="仿宋" w:eastAsia="仿宋"/>
          <w:sz w:val="28"/>
          <w:szCs w:val="28"/>
          <w:highlight w:val="none"/>
        </w:rPr>
        <w:t>的项目采购活动提供本单位制造的货物（由本单位承担工程/提供服务），或者提供其他残疾人福利性单位制造的货物（不包括使用非残疾人福利性单位注册商标的货物）。</w:t>
      </w:r>
    </w:p>
    <w:p w14:paraId="4F5113E9">
      <w:pPr>
        <w:spacing w:line="500" w:lineRule="exact"/>
        <w:ind w:firstLine="560" w:firstLineChars="200"/>
        <w:outlineLvl w:val="9"/>
        <w:rPr>
          <w:rFonts w:ascii="仿宋" w:hAnsi="仿宋" w:eastAsia="仿宋"/>
          <w:sz w:val="28"/>
          <w:szCs w:val="28"/>
          <w:highlight w:val="none"/>
        </w:rPr>
      </w:pPr>
      <w:r>
        <w:rPr>
          <w:rFonts w:hint="eastAsia" w:ascii="仿宋" w:hAnsi="仿宋" w:eastAsia="仿宋"/>
          <w:sz w:val="28"/>
          <w:szCs w:val="28"/>
          <w:highlight w:val="none"/>
        </w:rPr>
        <w:t>本单位在本次政府采购活动中提供的残疾人福利单位产品报价合计为人民币（大写）元整（￥：）。</w:t>
      </w:r>
    </w:p>
    <w:p w14:paraId="64FBD95A">
      <w:pPr>
        <w:spacing w:line="500" w:lineRule="exact"/>
        <w:ind w:firstLine="560" w:firstLineChars="200"/>
        <w:outlineLvl w:val="9"/>
        <w:rPr>
          <w:rFonts w:ascii="仿宋" w:hAnsi="仿宋" w:eastAsia="仿宋"/>
          <w:sz w:val="28"/>
          <w:szCs w:val="28"/>
          <w:highlight w:val="none"/>
        </w:rPr>
      </w:pPr>
      <w:r>
        <w:rPr>
          <w:rFonts w:hint="eastAsia" w:ascii="仿宋" w:hAnsi="仿宋" w:eastAsia="仿宋"/>
          <w:sz w:val="28"/>
          <w:szCs w:val="28"/>
          <w:highlight w:val="none"/>
        </w:rPr>
        <w:t>本单位对上述声明的真实性负责。如有虚假，将依法承担相应责任。</w:t>
      </w:r>
    </w:p>
    <w:p w14:paraId="2CD7ED8A">
      <w:pPr>
        <w:spacing w:line="500" w:lineRule="exact"/>
        <w:ind w:firstLine="560" w:firstLineChars="200"/>
        <w:outlineLvl w:val="9"/>
        <w:rPr>
          <w:rFonts w:ascii="仿宋" w:hAnsi="仿宋" w:eastAsia="仿宋"/>
          <w:sz w:val="28"/>
          <w:szCs w:val="28"/>
          <w:highlight w:val="none"/>
        </w:rPr>
      </w:pPr>
    </w:p>
    <w:p w14:paraId="04D3487A">
      <w:pPr>
        <w:tabs>
          <w:tab w:val="left" w:pos="4860"/>
        </w:tabs>
        <w:spacing w:line="500" w:lineRule="exact"/>
        <w:ind w:right="1560" w:firstLine="560" w:firstLineChars="200"/>
        <w:jc w:val="center"/>
        <w:outlineLvl w:val="9"/>
        <w:rPr>
          <w:rFonts w:ascii="仿宋" w:hAnsi="仿宋" w:eastAsia="仿宋"/>
          <w:sz w:val="28"/>
          <w:szCs w:val="28"/>
          <w:highlight w:val="none"/>
        </w:rPr>
      </w:pPr>
      <w:r>
        <w:rPr>
          <w:rFonts w:hint="eastAsia" w:ascii="仿宋" w:hAnsi="仿宋" w:eastAsia="仿宋"/>
          <w:sz w:val="28"/>
          <w:szCs w:val="28"/>
          <w:highlight w:val="none"/>
        </w:rPr>
        <w:t xml:space="preserve">                 供应商全称（盖章）：</w:t>
      </w:r>
    </w:p>
    <w:p w14:paraId="1F3A493E">
      <w:pPr>
        <w:tabs>
          <w:tab w:val="left" w:pos="4860"/>
        </w:tabs>
        <w:spacing w:line="500" w:lineRule="exact"/>
        <w:ind w:right="1560" w:firstLine="560" w:firstLineChars="200"/>
        <w:jc w:val="center"/>
        <w:outlineLvl w:val="9"/>
        <w:rPr>
          <w:rFonts w:ascii="仿宋" w:hAnsi="仿宋" w:eastAsia="仿宋"/>
          <w:sz w:val="28"/>
          <w:szCs w:val="28"/>
          <w:highlight w:val="none"/>
        </w:rPr>
      </w:pPr>
      <w:r>
        <w:rPr>
          <w:rFonts w:hint="eastAsia" w:ascii="仿宋" w:hAnsi="仿宋" w:eastAsia="仿宋"/>
          <w:sz w:val="28"/>
          <w:szCs w:val="28"/>
          <w:highlight w:val="none"/>
        </w:rPr>
        <w:t xml:space="preserve">                              日  期：</w:t>
      </w:r>
    </w:p>
    <w:p w14:paraId="202FB97D">
      <w:pPr>
        <w:spacing w:line="500" w:lineRule="exact"/>
        <w:ind w:firstLine="560" w:firstLineChars="200"/>
        <w:outlineLvl w:val="9"/>
        <w:rPr>
          <w:rFonts w:ascii="仿宋" w:hAnsi="仿宋" w:eastAsia="仿宋"/>
          <w:sz w:val="28"/>
          <w:szCs w:val="28"/>
          <w:highlight w:val="none"/>
        </w:rPr>
      </w:pPr>
    </w:p>
    <w:p w14:paraId="4F50EFB3">
      <w:pPr>
        <w:spacing w:line="500" w:lineRule="exact"/>
        <w:ind w:firstLine="560" w:firstLineChars="200"/>
        <w:outlineLvl w:val="9"/>
        <w:rPr>
          <w:rFonts w:ascii="仿宋" w:hAnsi="仿宋" w:eastAsia="仿宋"/>
          <w:sz w:val="28"/>
          <w:szCs w:val="28"/>
          <w:highlight w:val="none"/>
        </w:rPr>
      </w:pPr>
    </w:p>
    <w:p w14:paraId="4F1589EF">
      <w:pPr>
        <w:spacing w:line="500" w:lineRule="exact"/>
        <w:ind w:firstLine="562" w:firstLineChars="200"/>
        <w:rPr>
          <w:rFonts w:hint="eastAsia" w:ascii="仿宋" w:hAnsi="仿宋" w:eastAsia="仿宋"/>
          <w:b/>
          <w:sz w:val="28"/>
          <w:szCs w:val="28"/>
          <w:highlight w:val="none"/>
        </w:rPr>
      </w:pPr>
      <w:r>
        <w:rPr>
          <w:rFonts w:hint="eastAsia" w:ascii="仿宋" w:hAnsi="仿宋" w:eastAsia="仿宋"/>
          <w:b/>
          <w:sz w:val="28"/>
          <w:szCs w:val="28"/>
          <w:highlight w:val="none"/>
        </w:rPr>
        <w:t>注意：成交供应商提供的《中小企业声明函》、《残疾人福利性单位声明函》将随成交结果同时公告，接受社会监督。</w:t>
      </w:r>
    </w:p>
    <w:p w14:paraId="13946BC7">
      <w:pPr>
        <w:rPr>
          <w:rFonts w:hint="eastAsia" w:ascii="仿宋" w:hAnsi="仿宋" w:eastAsia="仿宋"/>
          <w:b/>
          <w:sz w:val="28"/>
          <w:szCs w:val="28"/>
          <w:highlight w:val="none"/>
        </w:rPr>
      </w:pPr>
      <w:r>
        <w:rPr>
          <w:rFonts w:hint="eastAsia" w:ascii="仿宋" w:hAnsi="仿宋" w:eastAsia="仿宋"/>
          <w:b/>
          <w:sz w:val="28"/>
          <w:szCs w:val="28"/>
          <w:highlight w:val="none"/>
        </w:rPr>
        <w:br w:type="page"/>
      </w:r>
    </w:p>
    <w:p w14:paraId="7CAD7575">
      <w:pPr>
        <w:spacing w:line="500" w:lineRule="exact"/>
        <w:ind w:firstLine="560" w:firstLineChars="200"/>
        <w:rPr>
          <w:rFonts w:ascii="仿宋" w:hAnsi="仿宋" w:eastAsia="仿宋"/>
          <w:bCs/>
          <w:color w:val="auto"/>
          <w:sz w:val="28"/>
          <w:szCs w:val="28"/>
          <w:highlight w:val="none"/>
        </w:rPr>
      </w:pPr>
      <w:r>
        <w:rPr>
          <w:rFonts w:hint="eastAsia" w:ascii="仿宋" w:hAnsi="仿宋" w:eastAsia="仿宋"/>
          <w:bCs/>
          <w:color w:val="auto"/>
          <w:sz w:val="28"/>
          <w:szCs w:val="28"/>
          <w:highlight w:val="none"/>
        </w:rPr>
        <w:t>（五）</w:t>
      </w:r>
      <w:r>
        <w:rPr>
          <w:rFonts w:ascii="仿宋" w:hAnsi="仿宋" w:eastAsia="仿宋"/>
          <w:bCs/>
          <w:color w:val="auto"/>
          <w:sz w:val="28"/>
          <w:szCs w:val="28"/>
          <w:highlight w:val="none"/>
        </w:rPr>
        <w:t>关于符合本国产品标准的声明函</w:t>
      </w:r>
    </w:p>
    <w:p w14:paraId="297FCCC7">
      <w:pPr>
        <w:jc w:val="center"/>
        <w:rPr>
          <w:rFonts w:ascii="方正小标宋简体" w:hAnsi="方正小标宋简体" w:eastAsia="方正小标宋简体"/>
          <w:b/>
          <w:color w:val="auto"/>
          <w:sz w:val="44"/>
          <w:szCs w:val="44"/>
          <w:highlight w:val="none"/>
        </w:rPr>
      </w:pPr>
      <w:r>
        <w:rPr>
          <w:rStyle w:val="22"/>
          <w:rFonts w:ascii="方正小标宋简体" w:hAnsi="方正小标宋简体" w:eastAsia="方正小标宋简体"/>
          <w:color w:val="auto"/>
          <w:sz w:val="44"/>
          <w:szCs w:val="44"/>
          <w:highlight w:val="none"/>
        </w:rPr>
        <w:t>关于符合本国产品标准的声明函</w:t>
      </w:r>
    </w:p>
    <w:p w14:paraId="0492A6AD">
      <w:pPr>
        <w:ind w:firstLine="400" w:firstLineChars="200"/>
        <w:rPr>
          <w:rFonts w:ascii="仿宋" w:hAnsi="仿宋" w:eastAsia="仿宋"/>
          <w:color w:val="auto"/>
          <w:sz w:val="20"/>
          <w:szCs w:val="20"/>
          <w:highlight w:val="none"/>
        </w:rPr>
      </w:pPr>
    </w:p>
    <w:p w14:paraId="7339B699">
      <w:pPr>
        <w:spacing w:line="54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本公司（单位）郑重声明，根据《国务院办公厅关于在政府采购中实施本国产品标准及相关政策的通知》（国办发〔2025〕34号）的规定，本公司（单位）提供的以下产品属于本国产品。具体情况如下：</w:t>
      </w:r>
    </w:p>
    <w:p w14:paraId="09B3D976">
      <w:pPr>
        <w:spacing w:line="54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1.</w:t>
      </w:r>
      <w:r>
        <w:rPr>
          <w:rStyle w:val="24"/>
          <w:rFonts w:hint="eastAsia" w:ascii="仿宋" w:hAnsi="仿宋" w:eastAsia="仿宋"/>
          <w:color w:val="auto"/>
          <w:sz w:val="28"/>
          <w:szCs w:val="28"/>
          <w:highlight w:val="none"/>
        </w:rPr>
        <w:t>（产品名称1）</w:t>
      </w:r>
      <w:r>
        <w:rPr>
          <w:rStyle w:val="24"/>
          <w:rFonts w:hint="eastAsia" w:ascii="仿宋" w:hAnsi="仿宋" w:eastAsia="仿宋"/>
          <w:color w:val="auto"/>
          <w:sz w:val="28"/>
          <w:szCs w:val="28"/>
          <w:highlight w:val="none"/>
          <w:vertAlign w:val="superscript"/>
        </w:rPr>
        <w:t>1</w:t>
      </w:r>
      <w:r>
        <w:rPr>
          <w:rFonts w:hint="eastAsia" w:ascii="仿宋" w:hAnsi="仿宋" w:eastAsia="仿宋"/>
          <w:color w:val="auto"/>
          <w:sz w:val="28"/>
          <w:szCs w:val="28"/>
          <w:highlight w:val="none"/>
        </w:rPr>
        <w:t>，生产厂为</w:t>
      </w:r>
      <w:r>
        <w:rPr>
          <w:rStyle w:val="24"/>
          <w:rFonts w:hint="eastAsia" w:ascii="仿宋" w:hAnsi="仿宋" w:eastAsia="仿宋"/>
          <w:color w:val="auto"/>
          <w:sz w:val="28"/>
          <w:szCs w:val="28"/>
          <w:highlight w:val="none"/>
        </w:rPr>
        <w:t>（厂名）</w:t>
      </w:r>
      <w:r>
        <w:rPr>
          <w:rStyle w:val="24"/>
          <w:rFonts w:hint="eastAsia" w:ascii="仿宋" w:hAnsi="仿宋" w:eastAsia="仿宋"/>
          <w:color w:val="auto"/>
          <w:sz w:val="28"/>
          <w:szCs w:val="28"/>
          <w:highlight w:val="none"/>
          <w:vertAlign w:val="superscript"/>
        </w:rPr>
        <w:t>2</w:t>
      </w:r>
      <w:r>
        <w:rPr>
          <w:rFonts w:hint="eastAsia" w:ascii="仿宋" w:hAnsi="仿宋" w:eastAsia="仿宋"/>
          <w:color w:val="auto"/>
          <w:sz w:val="28"/>
          <w:szCs w:val="28"/>
          <w:highlight w:val="none"/>
        </w:rPr>
        <w:t>，厂址为</w:t>
      </w:r>
      <w:r>
        <w:rPr>
          <w:rStyle w:val="24"/>
          <w:rFonts w:hint="eastAsia" w:ascii="仿宋" w:hAnsi="仿宋" w:eastAsia="仿宋"/>
          <w:color w:val="auto"/>
          <w:sz w:val="28"/>
          <w:szCs w:val="28"/>
          <w:highlight w:val="none"/>
        </w:rPr>
        <w:t>（生产厂址）</w:t>
      </w:r>
      <w:r>
        <w:rPr>
          <w:rFonts w:hint="eastAsia" w:ascii="仿宋" w:hAnsi="仿宋" w:eastAsia="仿宋"/>
          <w:color w:val="auto"/>
          <w:sz w:val="28"/>
          <w:szCs w:val="28"/>
          <w:highlight w:val="none"/>
        </w:rPr>
        <w:t>。</w:t>
      </w:r>
      <w:r>
        <w:rPr>
          <w:rStyle w:val="24"/>
          <w:rFonts w:hint="eastAsia" w:ascii="仿宋" w:hAnsi="仿宋" w:eastAsia="仿宋"/>
          <w:color w:val="auto"/>
          <w:sz w:val="28"/>
          <w:szCs w:val="28"/>
          <w:highlight w:val="none"/>
        </w:rPr>
        <w:t>（产品名称1）</w:t>
      </w:r>
      <w:r>
        <w:rPr>
          <w:rFonts w:hint="eastAsia" w:ascii="仿宋" w:hAnsi="仿宋" w:eastAsia="仿宋"/>
          <w:color w:val="auto"/>
          <w:sz w:val="28"/>
          <w:szCs w:val="28"/>
          <w:highlight w:val="none"/>
        </w:rPr>
        <w:t>的中国境内生产的组件成本占比≥</w:t>
      </w:r>
      <w:r>
        <w:rPr>
          <w:rStyle w:val="24"/>
          <w:rFonts w:hint="eastAsia" w:ascii="仿宋" w:hAnsi="仿宋" w:eastAsia="仿宋"/>
          <w:color w:val="auto"/>
          <w:sz w:val="28"/>
          <w:szCs w:val="28"/>
          <w:highlight w:val="none"/>
        </w:rPr>
        <w:t>（规定比例）</w:t>
      </w:r>
      <w:r>
        <w:rPr>
          <w:rStyle w:val="24"/>
          <w:rFonts w:hint="eastAsia" w:ascii="仿宋" w:hAnsi="仿宋" w:eastAsia="仿宋"/>
          <w:color w:val="auto"/>
          <w:sz w:val="28"/>
          <w:szCs w:val="28"/>
          <w:highlight w:val="none"/>
          <w:vertAlign w:val="superscript"/>
        </w:rPr>
        <w:t>3</w:t>
      </w:r>
      <w:r>
        <w:rPr>
          <w:rFonts w:hint="eastAsia" w:ascii="仿宋" w:hAnsi="仿宋" w:eastAsia="仿宋"/>
          <w:color w:val="auto"/>
          <w:sz w:val="28"/>
          <w:szCs w:val="28"/>
          <w:highlight w:val="none"/>
        </w:rPr>
        <w:t>。</w:t>
      </w:r>
      <w:r>
        <w:rPr>
          <w:rStyle w:val="24"/>
          <w:rFonts w:hint="eastAsia" w:ascii="仿宋" w:hAnsi="仿宋" w:eastAsia="仿宋"/>
          <w:color w:val="auto"/>
          <w:sz w:val="28"/>
          <w:szCs w:val="28"/>
          <w:highlight w:val="none"/>
        </w:rPr>
        <w:t>（产品名称1）</w:t>
      </w:r>
      <w:r>
        <w:rPr>
          <w:rFonts w:hint="eastAsia" w:ascii="仿宋" w:hAnsi="仿宋" w:eastAsia="仿宋"/>
          <w:color w:val="auto"/>
          <w:sz w:val="28"/>
          <w:szCs w:val="28"/>
          <w:highlight w:val="none"/>
        </w:rPr>
        <w:t>的</w:t>
      </w:r>
      <w:r>
        <w:rPr>
          <w:rStyle w:val="24"/>
          <w:rFonts w:hint="eastAsia" w:ascii="仿宋" w:hAnsi="仿宋" w:eastAsia="仿宋"/>
          <w:color w:val="auto"/>
          <w:sz w:val="28"/>
          <w:szCs w:val="28"/>
          <w:highlight w:val="none"/>
        </w:rPr>
        <w:t>（关键组件）</w:t>
      </w:r>
      <w:r>
        <w:rPr>
          <w:rStyle w:val="24"/>
          <w:rFonts w:hint="eastAsia" w:ascii="仿宋" w:hAnsi="仿宋" w:eastAsia="仿宋"/>
          <w:color w:val="auto"/>
          <w:sz w:val="28"/>
          <w:szCs w:val="28"/>
          <w:highlight w:val="none"/>
          <w:vertAlign w:val="superscript"/>
        </w:rPr>
        <w:t>4</w:t>
      </w:r>
      <w:r>
        <w:rPr>
          <w:rFonts w:hint="eastAsia" w:ascii="仿宋" w:hAnsi="仿宋" w:eastAsia="仿宋"/>
          <w:color w:val="auto"/>
          <w:sz w:val="28"/>
          <w:szCs w:val="28"/>
          <w:highlight w:val="none"/>
        </w:rPr>
        <w:t>在中国境内生产。</w:t>
      </w:r>
      <w:r>
        <w:rPr>
          <w:rStyle w:val="24"/>
          <w:rFonts w:hint="eastAsia" w:ascii="仿宋" w:hAnsi="仿宋" w:eastAsia="仿宋"/>
          <w:color w:val="auto"/>
          <w:sz w:val="28"/>
          <w:szCs w:val="28"/>
          <w:highlight w:val="none"/>
        </w:rPr>
        <w:t>（产品名称1）</w:t>
      </w:r>
      <w:r>
        <w:rPr>
          <w:rFonts w:hint="eastAsia" w:ascii="仿宋" w:hAnsi="仿宋" w:eastAsia="仿宋"/>
          <w:color w:val="auto"/>
          <w:sz w:val="28"/>
          <w:szCs w:val="28"/>
          <w:highlight w:val="none"/>
        </w:rPr>
        <w:t>的</w:t>
      </w:r>
      <w:r>
        <w:rPr>
          <w:rStyle w:val="24"/>
          <w:rFonts w:hint="eastAsia" w:ascii="仿宋" w:hAnsi="仿宋" w:eastAsia="仿宋"/>
          <w:color w:val="auto"/>
          <w:sz w:val="28"/>
          <w:szCs w:val="28"/>
          <w:highlight w:val="none"/>
        </w:rPr>
        <w:t>（关键工序）</w:t>
      </w:r>
      <w:r>
        <w:rPr>
          <w:rStyle w:val="24"/>
          <w:rFonts w:hint="eastAsia" w:ascii="仿宋" w:hAnsi="仿宋" w:eastAsia="仿宋"/>
          <w:color w:val="auto"/>
          <w:sz w:val="28"/>
          <w:szCs w:val="28"/>
          <w:highlight w:val="none"/>
          <w:vertAlign w:val="superscript"/>
        </w:rPr>
        <w:t>5</w:t>
      </w:r>
      <w:r>
        <w:rPr>
          <w:rFonts w:hint="eastAsia" w:ascii="仿宋" w:hAnsi="仿宋" w:eastAsia="仿宋"/>
          <w:color w:val="auto"/>
          <w:sz w:val="28"/>
          <w:szCs w:val="28"/>
          <w:highlight w:val="none"/>
        </w:rPr>
        <w:t>在中国境内完成。</w:t>
      </w:r>
    </w:p>
    <w:p w14:paraId="204C836D">
      <w:pPr>
        <w:spacing w:line="54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2.</w:t>
      </w:r>
      <w:r>
        <w:rPr>
          <w:rStyle w:val="24"/>
          <w:rFonts w:hint="eastAsia" w:ascii="仿宋" w:hAnsi="仿宋" w:eastAsia="仿宋"/>
          <w:color w:val="auto"/>
          <w:sz w:val="28"/>
          <w:szCs w:val="28"/>
          <w:highlight w:val="none"/>
        </w:rPr>
        <w:t>（产品名称2）</w:t>
      </w:r>
      <w:r>
        <w:rPr>
          <w:rFonts w:hint="eastAsia" w:ascii="仿宋" w:hAnsi="仿宋" w:eastAsia="仿宋"/>
          <w:color w:val="auto"/>
          <w:sz w:val="28"/>
          <w:szCs w:val="28"/>
          <w:highlight w:val="none"/>
        </w:rPr>
        <w:t>，生产厂为</w:t>
      </w:r>
      <w:r>
        <w:rPr>
          <w:rStyle w:val="24"/>
          <w:rFonts w:hint="eastAsia" w:ascii="仿宋" w:hAnsi="仿宋" w:eastAsia="仿宋"/>
          <w:color w:val="auto"/>
          <w:sz w:val="28"/>
          <w:szCs w:val="28"/>
          <w:highlight w:val="none"/>
        </w:rPr>
        <w:t>（厂名）</w:t>
      </w:r>
      <w:r>
        <w:rPr>
          <w:rFonts w:hint="eastAsia" w:ascii="仿宋" w:hAnsi="仿宋" w:eastAsia="仿宋"/>
          <w:color w:val="auto"/>
          <w:sz w:val="28"/>
          <w:szCs w:val="28"/>
          <w:highlight w:val="none"/>
        </w:rPr>
        <w:t>，厂址为</w:t>
      </w:r>
      <w:r>
        <w:rPr>
          <w:rStyle w:val="24"/>
          <w:rFonts w:hint="eastAsia" w:ascii="仿宋" w:hAnsi="仿宋" w:eastAsia="仿宋"/>
          <w:color w:val="auto"/>
          <w:sz w:val="28"/>
          <w:szCs w:val="28"/>
          <w:highlight w:val="none"/>
        </w:rPr>
        <w:t>（生产厂址）</w:t>
      </w:r>
      <w:r>
        <w:rPr>
          <w:rFonts w:hint="eastAsia" w:ascii="仿宋" w:hAnsi="仿宋" w:eastAsia="仿宋"/>
          <w:color w:val="auto"/>
          <w:sz w:val="28"/>
          <w:szCs w:val="28"/>
          <w:highlight w:val="none"/>
        </w:rPr>
        <w:t>。</w:t>
      </w:r>
      <w:r>
        <w:rPr>
          <w:rStyle w:val="24"/>
          <w:rFonts w:hint="eastAsia" w:ascii="仿宋" w:hAnsi="仿宋" w:eastAsia="仿宋"/>
          <w:color w:val="auto"/>
          <w:sz w:val="28"/>
          <w:szCs w:val="28"/>
          <w:highlight w:val="none"/>
        </w:rPr>
        <w:t>（产品名称2）</w:t>
      </w:r>
      <w:r>
        <w:rPr>
          <w:rFonts w:hint="eastAsia" w:ascii="仿宋" w:hAnsi="仿宋" w:eastAsia="仿宋"/>
          <w:color w:val="auto"/>
          <w:sz w:val="28"/>
          <w:szCs w:val="28"/>
          <w:highlight w:val="none"/>
        </w:rPr>
        <w:t>的中国境内生产的组件成本占比≥</w:t>
      </w:r>
      <w:r>
        <w:rPr>
          <w:rStyle w:val="24"/>
          <w:rFonts w:hint="eastAsia" w:ascii="仿宋" w:hAnsi="仿宋" w:eastAsia="仿宋"/>
          <w:color w:val="auto"/>
          <w:sz w:val="28"/>
          <w:szCs w:val="28"/>
          <w:highlight w:val="none"/>
        </w:rPr>
        <w:t>（规定比例）</w:t>
      </w:r>
      <w:r>
        <w:rPr>
          <w:rFonts w:hint="eastAsia" w:ascii="仿宋" w:hAnsi="仿宋" w:eastAsia="仿宋"/>
          <w:color w:val="auto"/>
          <w:sz w:val="28"/>
          <w:szCs w:val="28"/>
          <w:highlight w:val="none"/>
        </w:rPr>
        <w:t>。</w:t>
      </w:r>
      <w:r>
        <w:rPr>
          <w:rStyle w:val="24"/>
          <w:rFonts w:hint="eastAsia" w:ascii="仿宋" w:hAnsi="仿宋" w:eastAsia="仿宋"/>
          <w:color w:val="auto"/>
          <w:sz w:val="28"/>
          <w:szCs w:val="28"/>
          <w:highlight w:val="none"/>
        </w:rPr>
        <w:t>（产品名称2）</w:t>
      </w:r>
      <w:r>
        <w:rPr>
          <w:rFonts w:hint="eastAsia" w:ascii="仿宋" w:hAnsi="仿宋" w:eastAsia="仿宋"/>
          <w:color w:val="auto"/>
          <w:sz w:val="28"/>
          <w:szCs w:val="28"/>
          <w:highlight w:val="none"/>
        </w:rPr>
        <w:t>的</w:t>
      </w:r>
      <w:r>
        <w:rPr>
          <w:rStyle w:val="24"/>
          <w:rFonts w:hint="eastAsia" w:ascii="仿宋" w:hAnsi="仿宋" w:eastAsia="仿宋"/>
          <w:color w:val="auto"/>
          <w:sz w:val="28"/>
          <w:szCs w:val="28"/>
          <w:highlight w:val="none"/>
        </w:rPr>
        <w:t>（关键组件）</w:t>
      </w:r>
      <w:r>
        <w:rPr>
          <w:rFonts w:hint="eastAsia" w:ascii="仿宋" w:hAnsi="仿宋" w:eastAsia="仿宋"/>
          <w:color w:val="auto"/>
          <w:sz w:val="28"/>
          <w:szCs w:val="28"/>
          <w:highlight w:val="none"/>
        </w:rPr>
        <w:t>在中国境内生产。</w:t>
      </w:r>
      <w:r>
        <w:rPr>
          <w:rStyle w:val="24"/>
          <w:rFonts w:hint="eastAsia" w:ascii="仿宋" w:hAnsi="仿宋" w:eastAsia="仿宋"/>
          <w:color w:val="auto"/>
          <w:sz w:val="28"/>
          <w:szCs w:val="28"/>
          <w:highlight w:val="none"/>
        </w:rPr>
        <w:t>（产品名称2）</w:t>
      </w:r>
      <w:r>
        <w:rPr>
          <w:rFonts w:hint="eastAsia" w:ascii="仿宋" w:hAnsi="仿宋" w:eastAsia="仿宋"/>
          <w:color w:val="auto"/>
          <w:sz w:val="28"/>
          <w:szCs w:val="28"/>
          <w:highlight w:val="none"/>
        </w:rPr>
        <w:t>的</w:t>
      </w:r>
      <w:r>
        <w:rPr>
          <w:rStyle w:val="24"/>
          <w:rFonts w:hint="eastAsia" w:ascii="仿宋" w:hAnsi="仿宋" w:eastAsia="仿宋"/>
          <w:color w:val="auto"/>
          <w:sz w:val="28"/>
          <w:szCs w:val="28"/>
          <w:highlight w:val="none"/>
        </w:rPr>
        <w:t>（关键工序）</w:t>
      </w:r>
      <w:r>
        <w:rPr>
          <w:rFonts w:hint="eastAsia" w:ascii="仿宋" w:hAnsi="仿宋" w:eastAsia="仿宋"/>
          <w:color w:val="auto"/>
          <w:sz w:val="28"/>
          <w:szCs w:val="28"/>
          <w:highlight w:val="none"/>
        </w:rPr>
        <w:t>在中国境内完成。</w:t>
      </w:r>
    </w:p>
    <w:p w14:paraId="6EF6DD1F">
      <w:pPr>
        <w:spacing w:line="54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w:t>
      </w:r>
    </w:p>
    <w:p w14:paraId="7FE6D2B7">
      <w:pPr>
        <w:spacing w:line="54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本公司（单位）对上述声明内容的真实性负责。如有虚假，愿承担相应法律责任。</w:t>
      </w:r>
    </w:p>
    <w:p w14:paraId="263F2F45">
      <w:pPr>
        <w:spacing w:line="540" w:lineRule="exact"/>
        <w:ind w:firstLine="640" w:firstLineChars="200"/>
        <w:rPr>
          <w:rFonts w:ascii="仿宋" w:hAnsi="仿宋" w:eastAsia="仿宋"/>
          <w:color w:val="auto"/>
          <w:sz w:val="32"/>
          <w:szCs w:val="32"/>
          <w:highlight w:val="none"/>
        </w:rPr>
      </w:pPr>
      <w:r>
        <w:rPr>
          <w:rFonts w:hint="eastAsia" w:ascii="微软雅黑" w:hAnsi="微软雅黑" w:eastAsia="仿宋"/>
          <w:color w:val="auto"/>
          <w:sz w:val="32"/>
          <w:szCs w:val="32"/>
          <w:highlight w:val="none"/>
        </w:rPr>
        <w:t> </w:t>
      </w:r>
    </w:p>
    <w:p w14:paraId="4015FECC">
      <w:pPr>
        <w:spacing w:line="540" w:lineRule="exact"/>
        <w:ind w:firstLine="640" w:firstLineChars="200"/>
        <w:rPr>
          <w:rFonts w:ascii="仿宋" w:hAnsi="仿宋" w:eastAsia="仿宋"/>
          <w:color w:val="auto"/>
          <w:sz w:val="32"/>
          <w:szCs w:val="32"/>
          <w:highlight w:val="none"/>
        </w:rPr>
      </w:pPr>
      <w:r>
        <w:rPr>
          <w:rFonts w:hint="eastAsia" w:ascii="仿宋" w:hAnsi="MS Gothic" w:eastAsia="MS Gothic" w:cs="MS Gothic"/>
          <w:color w:val="auto"/>
          <w:sz w:val="32"/>
          <w:szCs w:val="32"/>
          <w:highlight w:val="none"/>
        </w:rPr>
        <w:t>        </w:t>
      </w:r>
      <w:r>
        <w:rPr>
          <w:rFonts w:hint="eastAsia" w:ascii="仿宋" w:hAnsi="仿宋" w:eastAsia="仿宋"/>
          <w:color w:val="auto"/>
          <w:sz w:val="32"/>
          <w:szCs w:val="32"/>
          <w:highlight w:val="none"/>
        </w:rPr>
        <w:t>公司（单位）名称（盖章）：　</w:t>
      </w:r>
    </w:p>
    <w:p w14:paraId="1A658003">
      <w:pPr>
        <w:spacing w:line="540" w:lineRule="exact"/>
        <w:jc w:val="center"/>
        <w:rPr>
          <w:rFonts w:ascii="仿宋" w:hAnsi="仿宋" w:eastAsia="仿宋"/>
          <w:color w:val="auto"/>
          <w:sz w:val="32"/>
          <w:szCs w:val="32"/>
          <w:highlight w:val="none"/>
        </w:rPr>
      </w:pPr>
      <w:r>
        <w:rPr>
          <w:rFonts w:hint="eastAsia" w:ascii="仿宋" w:hAnsi="MS Gothic" w:eastAsia="MS Gothic" w:cs="MS Gothic"/>
          <w:color w:val="auto"/>
          <w:sz w:val="32"/>
          <w:szCs w:val="32"/>
          <w:highlight w:val="none"/>
        </w:rPr>
        <w:t>       </w:t>
      </w:r>
      <w:r>
        <w:rPr>
          <w:rFonts w:hint="eastAsia" w:ascii="仿宋" w:hAnsi="仿宋" w:eastAsia="仿宋"/>
          <w:color w:val="auto"/>
          <w:sz w:val="32"/>
          <w:szCs w:val="32"/>
          <w:highlight w:val="none"/>
        </w:rPr>
        <w:t>日期：　</w:t>
      </w:r>
    </w:p>
    <w:p w14:paraId="14ED6022">
      <w:pPr>
        <w:snapToGrid w:val="0"/>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1.产品如有型号，请在“产品名称”栏一并填写。</w:t>
      </w:r>
    </w:p>
    <w:p w14:paraId="114423C5">
      <w:pPr>
        <w:snapToGrid w:val="0"/>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2.生产厂名与厂址应与生产厂营业执照载明的相关信息保持一致。</w:t>
      </w:r>
    </w:p>
    <w:p w14:paraId="525F5409">
      <w:pPr>
        <w:snapToGrid w:val="0"/>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3.该产品的中国境内生产的组件成本占比相关要求实施前，“规定比例”栏可不填，下同。</w:t>
      </w:r>
    </w:p>
    <w:p w14:paraId="75FC7182">
      <w:pPr>
        <w:snapToGrid w:val="0"/>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4.该产品的关键组件要求实施前，“关键组件”栏可不填，下同。</w:t>
      </w:r>
    </w:p>
    <w:p w14:paraId="527DBFE3">
      <w:pPr>
        <w:spacing w:line="500" w:lineRule="exact"/>
        <w:ind w:firstLine="560" w:firstLineChars="200"/>
        <w:rPr>
          <w:rFonts w:hint="eastAsia" w:ascii="仿宋" w:hAnsi="仿宋" w:eastAsia="仿宋"/>
          <w:b/>
          <w:color w:val="auto"/>
          <w:sz w:val="28"/>
          <w:szCs w:val="28"/>
          <w:highlight w:val="none"/>
        </w:rPr>
      </w:pPr>
      <w:r>
        <w:rPr>
          <w:rFonts w:hint="eastAsia" w:ascii="仿宋" w:hAnsi="仿宋" w:eastAsia="仿宋"/>
          <w:color w:val="auto"/>
          <w:sz w:val="28"/>
          <w:szCs w:val="28"/>
          <w:highlight w:val="none"/>
        </w:rPr>
        <w:t>5.该产品的关键工序要求实施前，“关键工序”栏可不填，下同。</w:t>
      </w:r>
    </w:p>
    <w:sectPr>
      <w:footerReference r:id="rId5" w:type="default"/>
      <w:pgSz w:w="11906" w:h="16838"/>
      <w:pgMar w:top="1418" w:right="1134" w:bottom="1134" w:left="1418" w:header="851" w:footer="992" w:gutter="0"/>
      <w:pgNumType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Tahoma">
    <w:panose1 w:val="020B0604030504040204"/>
    <w:charset w:val="00"/>
    <w:family w:val="swiss"/>
    <w:pitch w:val="default"/>
    <w:sig w:usb0="E1002EFF" w:usb1="C000605B" w:usb2="00000029" w:usb3="00000000" w:csb0="200101FF" w:csb1="20280000"/>
  </w:font>
  <w:font w:name="仿宋">
    <w:panose1 w:val="02010609060101010101"/>
    <w:charset w:val="86"/>
    <w:family w:val="modern"/>
    <w:pitch w:val="default"/>
    <w:sig w:usb0="800002BF" w:usb1="38CF7CFA" w:usb2="00000016" w:usb3="00000000" w:csb0="00040001" w:csb1="00000000"/>
  </w:font>
  <w:font w:name="方正小标宋简体">
    <w:panose1 w:val="02010601030101010101"/>
    <w:charset w:val="86"/>
    <w:family w:val="auto"/>
    <w:pitch w:val="default"/>
    <w:sig w:usb0="00000001" w:usb1="080E0000" w:usb2="00000000" w:usb3="00000000" w:csb0="00040000" w:csb1="00000000"/>
  </w:font>
  <w:font w:name="文鼎CS楷体">
    <w:altName w:val="Arial Unicode MS"/>
    <w:panose1 w:val="02010609010101010101"/>
    <w:charset w:val="86"/>
    <w:family w:val="modern"/>
    <w:pitch w:val="default"/>
    <w:sig w:usb0="00000000" w:usb1="00000000" w:usb2="00000000" w:usb3="00000000" w:csb0="00000000" w:csb1="00000000"/>
  </w:font>
  <w:font w:name="Arial Unicode MS">
    <w:panose1 w:val="020B0604020202020204"/>
    <w:charset w:val="86"/>
    <w:family w:val="auto"/>
    <w:pitch w:val="default"/>
    <w:sig w:usb0="FFFFFFFF" w:usb1="E9FFFFFF" w:usb2="0000003F" w:usb3="00000000" w:csb0="603F01FF" w:csb1="FFFF0000"/>
  </w:font>
  <w:font w:name="微软雅黑">
    <w:panose1 w:val="020B0503020204020204"/>
    <w:charset w:val="86"/>
    <w:family w:val="auto"/>
    <w:pitch w:val="default"/>
    <w:sig w:usb0="80000287" w:usb1="2ACF3C50" w:usb2="00000016" w:usb3="00000000" w:csb0="0004001F" w:csb1="00000000"/>
  </w:font>
  <w:font w:name="MS Gothic">
    <w:panose1 w:val="020B0609070205080204"/>
    <w:charset w:val="80"/>
    <w:family w:val="modern"/>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DE9523">
    <w:pPr>
      <w:pStyle w:val="13"/>
      <w:framePr w:wrap="around" w:vAnchor="text" w:hAnchor="margin" w:xAlign="center" w:y="1"/>
      <w:rPr>
        <w:rStyle w:val="23"/>
      </w:rPr>
    </w:pPr>
    <w:r>
      <w:fldChar w:fldCharType="begin"/>
    </w:r>
    <w:r>
      <w:rPr>
        <w:rStyle w:val="23"/>
      </w:rPr>
      <w:instrText xml:space="preserve">PAGE  </w:instrText>
    </w:r>
    <w:r>
      <w:fldChar w:fldCharType="end"/>
    </w:r>
  </w:p>
  <w:p w14:paraId="03737DAC">
    <w:pPr>
      <w:pStyle w:val="1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77EE41">
    <w:pPr>
      <w:pStyle w:val="13"/>
      <w:framePr w:wrap="around" w:vAnchor="text" w:hAnchor="margin" w:xAlign="center" w:y="1"/>
      <w:rPr>
        <w:rStyle w:val="23"/>
      </w:rPr>
    </w:pPr>
    <w:r>
      <w:fldChar w:fldCharType="begin"/>
    </w:r>
    <w:r>
      <w:rPr>
        <w:rStyle w:val="23"/>
      </w:rPr>
      <w:instrText xml:space="preserve">PAGE  </w:instrText>
    </w:r>
    <w:r>
      <w:fldChar w:fldCharType="separate"/>
    </w:r>
    <w:r>
      <w:rPr>
        <w:rStyle w:val="23"/>
      </w:rPr>
      <w:t>5</w:t>
    </w:r>
    <w:r>
      <w:fldChar w:fldCharType="end"/>
    </w:r>
  </w:p>
  <w:p w14:paraId="3892AC59">
    <w:pPr>
      <w:pStyle w:val="13"/>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3FF687">
    <w:pPr>
      <w:pStyle w:val="14"/>
    </w:pPr>
    <w:r>
      <w:rPr>
        <w:rFonts w:hint="eastAsia"/>
      </w:rPr>
      <w:t>如</w:t>
    </w:r>
    <w:r>
      <w:t>皋市政府采购</w:t>
    </w:r>
    <w:r>
      <w:rPr>
        <w:rFonts w:hint="eastAsia"/>
      </w:rPr>
      <w:t>竞争性磋商</w:t>
    </w:r>
    <w:r>
      <w:t>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6A32F38"/>
    <w:multiLevelType w:val="multilevel"/>
    <w:tmpl w:val="16A32F38"/>
    <w:lvl w:ilvl="0" w:tentative="0">
      <w:start w:val="1"/>
      <w:numFmt w:val="japaneseCounting"/>
      <w:lvlText w:val="第%1条"/>
      <w:lvlJc w:val="left"/>
      <w:pPr>
        <w:tabs>
          <w:tab w:val="left" w:pos="720"/>
        </w:tabs>
        <w:ind w:left="720" w:hanging="72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
    <w:nsid w:val="4A240C21"/>
    <w:multiLevelType w:val="multilevel"/>
    <w:tmpl w:val="4A240C21"/>
    <w:lvl w:ilvl="0" w:tentative="0">
      <w:start w:val="1"/>
      <w:numFmt w:val="decimal"/>
      <w:suff w:val="space"/>
      <w:lvlText w:val="%1"/>
      <w:lvlJc w:val="left"/>
      <w:pPr>
        <w:ind w:left="10" w:firstLine="0"/>
      </w:pPr>
      <w:rPr>
        <w:rFonts w:hint="eastAsia"/>
      </w:rPr>
    </w:lvl>
    <w:lvl w:ilvl="1" w:tentative="0">
      <w:start w:val="1"/>
      <w:numFmt w:val="lowerLetter"/>
      <w:lvlText w:val="%2)"/>
      <w:lvlJc w:val="left"/>
      <w:pPr>
        <w:ind w:left="850" w:hanging="420"/>
      </w:pPr>
    </w:lvl>
    <w:lvl w:ilvl="2" w:tentative="0">
      <w:start w:val="1"/>
      <w:numFmt w:val="lowerRoman"/>
      <w:lvlText w:val="%3."/>
      <w:lvlJc w:val="right"/>
      <w:pPr>
        <w:ind w:left="1270" w:hanging="420"/>
      </w:pPr>
    </w:lvl>
    <w:lvl w:ilvl="3" w:tentative="0">
      <w:start w:val="1"/>
      <w:numFmt w:val="decimal"/>
      <w:lvlText w:val="%4."/>
      <w:lvlJc w:val="left"/>
      <w:pPr>
        <w:ind w:left="1690" w:hanging="420"/>
      </w:pPr>
    </w:lvl>
    <w:lvl w:ilvl="4" w:tentative="0">
      <w:start w:val="1"/>
      <w:numFmt w:val="lowerLetter"/>
      <w:lvlText w:val="%5)"/>
      <w:lvlJc w:val="left"/>
      <w:pPr>
        <w:ind w:left="2110" w:hanging="420"/>
      </w:pPr>
    </w:lvl>
    <w:lvl w:ilvl="5" w:tentative="0">
      <w:start w:val="1"/>
      <w:numFmt w:val="lowerRoman"/>
      <w:lvlText w:val="%6."/>
      <w:lvlJc w:val="right"/>
      <w:pPr>
        <w:ind w:left="2530" w:hanging="420"/>
      </w:pPr>
    </w:lvl>
    <w:lvl w:ilvl="6" w:tentative="0">
      <w:start w:val="1"/>
      <w:numFmt w:val="decimal"/>
      <w:lvlText w:val="%7."/>
      <w:lvlJc w:val="left"/>
      <w:pPr>
        <w:ind w:left="2950" w:hanging="420"/>
      </w:pPr>
    </w:lvl>
    <w:lvl w:ilvl="7" w:tentative="0">
      <w:start w:val="1"/>
      <w:numFmt w:val="lowerLetter"/>
      <w:lvlText w:val="%8)"/>
      <w:lvlJc w:val="left"/>
      <w:pPr>
        <w:ind w:left="3370" w:hanging="420"/>
      </w:pPr>
    </w:lvl>
    <w:lvl w:ilvl="8" w:tentative="0">
      <w:start w:val="1"/>
      <w:numFmt w:val="lowerRoman"/>
      <w:lvlText w:val="%9."/>
      <w:lvlJc w:val="right"/>
      <w:pPr>
        <w:ind w:left="379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Y1NDc3Y2ZmNWE2NGYwMjEyNDk1MzZhMjRkZjhiOGMifQ=="/>
  </w:docVars>
  <w:rsids>
    <w:rsidRoot w:val="00C8358F"/>
    <w:rsid w:val="0000078F"/>
    <w:rsid w:val="00002443"/>
    <w:rsid w:val="00003D0F"/>
    <w:rsid w:val="000056BE"/>
    <w:rsid w:val="00005C63"/>
    <w:rsid w:val="0000649A"/>
    <w:rsid w:val="000079E1"/>
    <w:rsid w:val="00007D0D"/>
    <w:rsid w:val="00010D73"/>
    <w:rsid w:val="00012515"/>
    <w:rsid w:val="000146E4"/>
    <w:rsid w:val="00017872"/>
    <w:rsid w:val="00020F3A"/>
    <w:rsid w:val="00021091"/>
    <w:rsid w:val="000224F2"/>
    <w:rsid w:val="00024B8A"/>
    <w:rsid w:val="00026B11"/>
    <w:rsid w:val="00027BB8"/>
    <w:rsid w:val="000302F1"/>
    <w:rsid w:val="00030326"/>
    <w:rsid w:val="00033AD2"/>
    <w:rsid w:val="00041B40"/>
    <w:rsid w:val="0004355C"/>
    <w:rsid w:val="00043965"/>
    <w:rsid w:val="00043C24"/>
    <w:rsid w:val="00045758"/>
    <w:rsid w:val="0004600C"/>
    <w:rsid w:val="00046680"/>
    <w:rsid w:val="00051A8F"/>
    <w:rsid w:val="000520C4"/>
    <w:rsid w:val="000521AA"/>
    <w:rsid w:val="0005552C"/>
    <w:rsid w:val="00057E57"/>
    <w:rsid w:val="0006367C"/>
    <w:rsid w:val="00064312"/>
    <w:rsid w:val="000649E6"/>
    <w:rsid w:val="00064FB2"/>
    <w:rsid w:val="000650E9"/>
    <w:rsid w:val="00065B58"/>
    <w:rsid w:val="00065E0B"/>
    <w:rsid w:val="0007487C"/>
    <w:rsid w:val="00076998"/>
    <w:rsid w:val="000770D6"/>
    <w:rsid w:val="00077225"/>
    <w:rsid w:val="0008063C"/>
    <w:rsid w:val="00084764"/>
    <w:rsid w:val="00086F34"/>
    <w:rsid w:val="000871A8"/>
    <w:rsid w:val="00087229"/>
    <w:rsid w:val="000908B9"/>
    <w:rsid w:val="00095630"/>
    <w:rsid w:val="000957D2"/>
    <w:rsid w:val="000958FB"/>
    <w:rsid w:val="00095E4C"/>
    <w:rsid w:val="000970E2"/>
    <w:rsid w:val="00097375"/>
    <w:rsid w:val="000A04A8"/>
    <w:rsid w:val="000A16E3"/>
    <w:rsid w:val="000A2DB2"/>
    <w:rsid w:val="000A3128"/>
    <w:rsid w:val="000A41F5"/>
    <w:rsid w:val="000A6601"/>
    <w:rsid w:val="000A720D"/>
    <w:rsid w:val="000A7870"/>
    <w:rsid w:val="000B0233"/>
    <w:rsid w:val="000B0986"/>
    <w:rsid w:val="000B0D4C"/>
    <w:rsid w:val="000B135A"/>
    <w:rsid w:val="000B40CC"/>
    <w:rsid w:val="000B486C"/>
    <w:rsid w:val="000B49C4"/>
    <w:rsid w:val="000B627B"/>
    <w:rsid w:val="000B65BC"/>
    <w:rsid w:val="000B72C8"/>
    <w:rsid w:val="000B7662"/>
    <w:rsid w:val="000C1489"/>
    <w:rsid w:val="000C4860"/>
    <w:rsid w:val="000C62A7"/>
    <w:rsid w:val="000D1DDB"/>
    <w:rsid w:val="000D6381"/>
    <w:rsid w:val="000E08EF"/>
    <w:rsid w:val="000E10B3"/>
    <w:rsid w:val="000E55E7"/>
    <w:rsid w:val="000E7622"/>
    <w:rsid w:val="000E7DA3"/>
    <w:rsid w:val="000F450C"/>
    <w:rsid w:val="000F454C"/>
    <w:rsid w:val="000F55AD"/>
    <w:rsid w:val="000F596B"/>
    <w:rsid w:val="000F695B"/>
    <w:rsid w:val="000F6C1F"/>
    <w:rsid w:val="000F6D86"/>
    <w:rsid w:val="000F7FA8"/>
    <w:rsid w:val="001000E4"/>
    <w:rsid w:val="00100830"/>
    <w:rsid w:val="00100E2C"/>
    <w:rsid w:val="0010140C"/>
    <w:rsid w:val="001024EA"/>
    <w:rsid w:val="00103DBA"/>
    <w:rsid w:val="001041F0"/>
    <w:rsid w:val="00105A76"/>
    <w:rsid w:val="00105AD1"/>
    <w:rsid w:val="001064C9"/>
    <w:rsid w:val="0010677C"/>
    <w:rsid w:val="001100C9"/>
    <w:rsid w:val="00111314"/>
    <w:rsid w:val="0011156F"/>
    <w:rsid w:val="00111721"/>
    <w:rsid w:val="0011345C"/>
    <w:rsid w:val="00113765"/>
    <w:rsid w:val="00113A63"/>
    <w:rsid w:val="00113C7B"/>
    <w:rsid w:val="00114B25"/>
    <w:rsid w:val="00114F40"/>
    <w:rsid w:val="00126D12"/>
    <w:rsid w:val="00127240"/>
    <w:rsid w:val="00127629"/>
    <w:rsid w:val="00130AF2"/>
    <w:rsid w:val="0013182C"/>
    <w:rsid w:val="001334A5"/>
    <w:rsid w:val="00133659"/>
    <w:rsid w:val="0013368E"/>
    <w:rsid w:val="00133D14"/>
    <w:rsid w:val="001345E5"/>
    <w:rsid w:val="001349F1"/>
    <w:rsid w:val="00140E70"/>
    <w:rsid w:val="001419AB"/>
    <w:rsid w:val="001454DE"/>
    <w:rsid w:val="00145860"/>
    <w:rsid w:val="0015216B"/>
    <w:rsid w:val="0015239E"/>
    <w:rsid w:val="00153255"/>
    <w:rsid w:val="00155DF2"/>
    <w:rsid w:val="00156777"/>
    <w:rsid w:val="00161510"/>
    <w:rsid w:val="00162EED"/>
    <w:rsid w:val="00163BF8"/>
    <w:rsid w:val="001644AF"/>
    <w:rsid w:val="001649F7"/>
    <w:rsid w:val="00165914"/>
    <w:rsid w:val="00167929"/>
    <w:rsid w:val="001705C6"/>
    <w:rsid w:val="001712E4"/>
    <w:rsid w:val="00173721"/>
    <w:rsid w:val="001740E6"/>
    <w:rsid w:val="00175B69"/>
    <w:rsid w:val="00180865"/>
    <w:rsid w:val="001812CA"/>
    <w:rsid w:val="00181918"/>
    <w:rsid w:val="00184BCE"/>
    <w:rsid w:val="0019026D"/>
    <w:rsid w:val="00191574"/>
    <w:rsid w:val="001917E5"/>
    <w:rsid w:val="001938D6"/>
    <w:rsid w:val="00194D5C"/>
    <w:rsid w:val="00197451"/>
    <w:rsid w:val="001A122F"/>
    <w:rsid w:val="001A149F"/>
    <w:rsid w:val="001A4D58"/>
    <w:rsid w:val="001A5BBD"/>
    <w:rsid w:val="001A5E89"/>
    <w:rsid w:val="001A612C"/>
    <w:rsid w:val="001A73A2"/>
    <w:rsid w:val="001A7C78"/>
    <w:rsid w:val="001A7CD0"/>
    <w:rsid w:val="001B00E4"/>
    <w:rsid w:val="001B00EC"/>
    <w:rsid w:val="001B090C"/>
    <w:rsid w:val="001B0AF2"/>
    <w:rsid w:val="001B1841"/>
    <w:rsid w:val="001B4726"/>
    <w:rsid w:val="001B4841"/>
    <w:rsid w:val="001B4D60"/>
    <w:rsid w:val="001B4DEF"/>
    <w:rsid w:val="001B729E"/>
    <w:rsid w:val="001B7C16"/>
    <w:rsid w:val="001C01F6"/>
    <w:rsid w:val="001C281A"/>
    <w:rsid w:val="001C34B9"/>
    <w:rsid w:val="001C3F69"/>
    <w:rsid w:val="001C5507"/>
    <w:rsid w:val="001C5F46"/>
    <w:rsid w:val="001D3753"/>
    <w:rsid w:val="001D42B3"/>
    <w:rsid w:val="001D6A95"/>
    <w:rsid w:val="001D73F3"/>
    <w:rsid w:val="001D7FC6"/>
    <w:rsid w:val="001E2B14"/>
    <w:rsid w:val="001E35A1"/>
    <w:rsid w:val="001E3D35"/>
    <w:rsid w:val="001E4CA5"/>
    <w:rsid w:val="001E6DB0"/>
    <w:rsid w:val="001F24A9"/>
    <w:rsid w:val="001F2B35"/>
    <w:rsid w:val="001F6197"/>
    <w:rsid w:val="001F672D"/>
    <w:rsid w:val="001F6A0B"/>
    <w:rsid w:val="001F6DC3"/>
    <w:rsid w:val="001F78B2"/>
    <w:rsid w:val="001F7ED8"/>
    <w:rsid w:val="00202637"/>
    <w:rsid w:val="00204FF8"/>
    <w:rsid w:val="00206D9D"/>
    <w:rsid w:val="0020708E"/>
    <w:rsid w:val="002112C5"/>
    <w:rsid w:val="002120E9"/>
    <w:rsid w:val="00213AC8"/>
    <w:rsid w:val="00214D2E"/>
    <w:rsid w:val="00217A36"/>
    <w:rsid w:val="00222308"/>
    <w:rsid w:val="00223FE8"/>
    <w:rsid w:val="002248EF"/>
    <w:rsid w:val="00226BC6"/>
    <w:rsid w:val="00230887"/>
    <w:rsid w:val="0023204A"/>
    <w:rsid w:val="002341A3"/>
    <w:rsid w:val="00234AA1"/>
    <w:rsid w:val="00234FAA"/>
    <w:rsid w:val="00236047"/>
    <w:rsid w:val="002368D0"/>
    <w:rsid w:val="002408FF"/>
    <w:rsid w:val="00241D07"/>
    <w:rsid w:val="00242069"/>
    <w:rsid w:val="00242BDE"/>
    <w:rsid w:val="00244D82"/>
    <w:rsid w:val="00245739"/>
    <w:rsid w:val="00245AD7"/>
    <w:rsid w:val="00247711"/>
    <w:rsid w:val="00250F9F"/>
    <w:rsid w:val="002511D8"/>
    <w:rsid w:val="002512E6"/>
    <w:rsid w:val="002530FB"/>
    <w:rsid w:val="002533FB"/>
    <w:rsid w:val="00255ED0"/>
    <w:rsid w:val="00257822"/>
    <w:rsid w:val="00263E7B"/>
    <w:rsid w:val="00266AA3"/>
    <w:rsid w:val="00267CB5"/>
    <w:rsid w:val="00271AF8"/>
    <w:rsid w:val="002721FF"/>
    <w:rsid w:val="002748FD"/>
    <w:rsid w:val="00276B7A"/>
    <w:rsid w:val="00281501"/>
    <w:rsid w:val="00282304"/>
    <w:rsid w:val="0028486A"/>
    <w:rsid w:val="00285B89"/>
    <w:rsid w:val="00286DC8"/>
    <w:rsid w:val="00287690"/>
    <w:rsid w:val="002934C3"/>
    <w:rsid w:val="002967B2"/>
    <w:rsid w:val="002A111D"/>
    <w:rsid w:val="002A2030"/>
    <w:rsid w:val="002A2392"/>
    <w:rsid w:val="002A47A2"/>
    <w:rsid w:val="002A7835"/>
    <w:rsid w:val="002A7DA5"/>
    <w:rsid w:val="002B0F3D"/>
    <w:rsid w:val="002B137D"/>
    <w:rsid w:val="002B1D62"/>
    <w:rsid w:val="002B2754"/>
    <w:rsid w:val="002B37B5"/>
    <w:rsid w:val="002B3941"/>
    <w:rsid w:val="002B406D"/>
    <w:rsid w:val="002B505E"/>
    <w:rsid w:val="002B5EFD"/>
    <w:rsid w:val="002B6ED5"/>
    <w:rsid w:val="002B7F98"/>
    <w:rsid w:val="002C1210"/>
    <w:rsid w:val="002C1C9F"/>
    <w:rsid w:val="002C327B"/>
    <w:rsid w:val="002C4617"/>
    <w:rsid w:val="002C4CD8"/>
    <w:rsid w:val="002C6149"/>
    <w:rsid w:val="002D0A56"/>
    <w:rsid w:val="002D26DF"/>
    <w:rsid w:val="002D2CEA"/>
    <w:rsid w:val="002D3DD6"/>
    <w:rsid w:val="002E075A"/>
    <w:rsid w:val="002E38B2"/>
    <w:rsid w:val="002E4A16"/>
    <w:rsid w:val="002E5D7C"/>
    <w:rsid w:val="002F2AC6"/>
    <w:rsid w:val="002F3F72"/>
    <w:rsid w:val="003003E4"/>
    <w:rsid w:val="00300644"/>
    <w:rsid w:val="003015DA"/>
    <w:rsid w:val="003029DE"/>
    <w:rsid w:val="00303347"/>
    <w:rsid w:val="0030399E"/>
    <w:rsid w:val="00303BC3"/>
    <w:rsid w:val="003048FD"/>
    <w:rsid w:val="003068B2"/>
    <w:rsid w:val="00311048"/>
    <w:rsid w:val="00311A60"/>
    <w:rsid w:val="00313F9C"/>
    <w:rsid w:val="003149B4"/>
    <w:rsid w:val="00315EFE"/>
    <w:rsid w:val="0031756A"/>
    <w:rsid w:val="00320F35"/>
    <w:rsid w:val="003210C3"/>
    <w:rsid w:val="003248D7"/>
    <w:rsid w:val="003250B4"/>
    <w:rsid w:val="003255A7"/>
    <w:rsid w:val="00325A77"/>
    <w:rsid w:val="0033131E"/>
    <w:rsid w:val="003318D5"/>
    <w:rsid w:val="003338C9"/>
    <w:rsid w:val="00333B0E"/>
    <w:rsid w:val="003362A6"/>
    <w:rsid w:val="003363D5"/>
    <w:rsid w:val="0033697A"/>
    <w:rsid w:val="00337283"/>
    <w:rsid w:val="00337736"/>
    <w:rsid w:val="00343298"/>
    <w:rsid w:val="0034458A"/>
    <w:rsid w:val="003451D0"/>
    <w:rsid w:val="00345375"/>
    <w:rsid w:val="00345CF9"/>
    <w:rsid w:val="0034773F"/>
    <w:rsid w:val="003516AA"/>
    <w:rsid w:val="00353806"/>
    <w:rsid w:val="00354989"/>
    <w:rsid w:val="00357832"/>
    <w:rsid w:val="003612FE"/>
    <w:rsid w:val="00362041"/>
    <w:rsid w:val="003621BB"/>
    <w:rsid w:val="00362D37"/>
    <w:rsid w:val="00363534"/>
    <w:rsid w:val="003636A7"/>
    <w:rsid w:val="0036607A"/>
    <w:rsid w:val="00366540"/>
    <w:rsid w:val="00366D25"/>
    <w:rsid w:val="003672FB"/>
    <w:rsid w:val="003710F9"/>
    <w:rsid w:val="00371196"/>
    <w:rsid w:val="00371570"/>
    <w:rsid w:val="003721CA"/>
    <w:rsid w:val="00373BBF"/>
    <w:rsid w:val="00375083"/>
    <w:rsid w:val="00375719"/>
    <w:rsid w:val="00375FDC"/>
    <w:rsid w:val="00382426"/>
    <w:rsid w:val="00385F5D"/>
    <w:rsid w:val="003867BC"/>
    <w:rsid w:val="0039188A"/>
    <w:rsid w:val="00392FB7"/>
    <w:rsid w:val="00394338"/>
    <w:rsid w:val="003944F5"/>
    <w:rsid w:val="00394BF9"/>
    <w:rsid w:val="003A2953"/>
    <w:rsid w:val="003A34C0"/>
    <w:rsid w:val="003A4183"/>
    <w:rsid w:val="003A4FE6"/>
    <w:rsid w:val="003A5E0F"/>
    <w:rsid w:val="003A6468"/>
    <w:rsid w:val="003A6FB7"/>
    <w:rsid w:val="003A71FF"/>
    <w:rsid w:val="003A72D7"/>
    <w:rsid w:val="003B16A7"/>
    <w:rsid w:val="003B5884"/>
    <w:rsid w:val="003B6BFE"/>
    <w:rsid w:val="003C0F69"/>
    <w:rsid w:val="003C1128"/>
    <w:rsid w:val="003C6B90"/>
    <w:rsid w:val="003D09FC"/>
    <w:rsid w:val="003D3723"/>
    <w:rsid w:val="003D3A49"/>
    <w:rsid w:val="003D3E54"/>
    <w:rsid w:val="003D4183"/>
    <w:rsid w:val="003D4E38"/>
    <w:rsid w:val="003D68A7"/>
    <w:rsid w:val="003D77F0"/>
    <w:rsid w:val="003E0928"/>
    <w:rsid w:val="003E25B4"/>
    <w:rsid w:val="003E3AFE"/>
    <w:rsid w:val="003E3F16"/>
    <w:rsid w:val="003E41B3"/>
    <w:rsid w:val="003F09BB"/>
    <w:rsid w:val="003F1B7F"/>
    <w:rsid w:val="003F2D2B"/>
    <w:rsid w:val="003F31F1"/>
    <w:rsid w:val="003F40A5"/>
    <w:rsid w:val="003F6497"/>
    <w:rsid w:val="003F6C0D"/>
    <w:rsid w:val="00401FCA"/>
    <w:rsid w:val="004064FC"/>
    <w:rsid w:val="00410A9D"/>
    <w:rsid w:val="00410B14"/>
    <w:rsid w:val="00410C7F"/>
    <w:rsid w:val="00411081"/>
    <w:rsid w:val="00413350"/>
    <w:rsid w:val="004155F4"/>
    <w:rsid w:val="00415D3C"/>
    <w:rsid w:val="00415EED"/>
    <w:rsid w:val="00416948"/>
    <w:rsid w:val="00417502"/>
    <w:rsid w:val="0042098E"/>
    <w:rsid w:val="00422129"/>
    <w:rsid w:val="00422CC9"/>
    <w:rsid w:val="004232C7"/>
    <w:rsid w:val="00423455"/>
    <w:rsid w:val="004234C5"/>
    <w:rsid w:val="00424021"/>
    <w:rsid w:val="00424A4D"/>
    <w:rsid w:val="00425C81"/>
    <w:rsid w:val="004264E0"/>
    <w:rsid w:val="00427191"/>
    <w:rsid w:val="0043055C"/>
    <w:rsid w:val="00433126"/>
    <w:rsid w:val="00434289"/>
    <w:rsid w:val="004375E0"/>
    <w:rsid w:val="00441291"/>
    <w:rsid w:val="004421E5"/>
    <w:rsid w:val="00442326"/>
    <w:rsid w:val="00442D98"/>
    <w:rsid w:val="004436C8"/>
    <w:rsid w:val="00443B43"/>
    <w:rsid w:val="00445047"/>
    <w:rsid w:val="0044567F"/>
    <w:rsid w:val="0044590C"/>
    <w:rsid w:val="00450BF1"/>
    <w:rsid w:val="0045479C"/>
    <w:rsid w:val="004554A4"/>
    <w:rsid w:val="00456385"/>
    <w:rsid w:val="00457182"/>
    <w:rsid w:val="00457587"/>
    <w:rsid w:val="004606EC"/>
    <w:rsid w:val="00460884"/>
    <w:rsid w:val="00466E69"/>
    <w:rsid w:val="0046782D"/>
    <w:rsid w:val="00472FCB"/>
    <w:rsid w:val="0047370E"/>
    <w:rsid w:val="00473D0C"/>
    <w:rsid w:val="00477522"/>
    <w:rsid w:val="00477EB5"/>
    <w:rsid w:val="00480C42"/>
    <w:rsid w:val="00481CFB"/>
    <w:rsid w:val="00486085"/>
    <w:rsid w:val="004870A9"/>
    <w:rsid w:val="004873AA"/>
    <w:rsid w:val="00487FB2"/>
    <w:rsid w:val="00490F01"/>
    <w:rsid w:val="00491832"/>
    <w:rsid w:val="0049296A"/>
    <w:rsid w:val="00494667"/>
    <w:rsid w:val="004956DA"/>
    <w:rsid w:val="004961F1"/>
    <w:rsid w:val="00496680"/>
    <w:rsid w:val="00497431"/>
    <w:rsid w:val="004A6D5B"/>
    <w:rsid w:val="004A7FCA"/>
    <w:rsid w:val="004B1B58"/>
    <w:rsid w:val="004B218B"/>
    <w:rsid w:val="004B4C91"/>
    <w:rsid w:val="004B65E1"/>
    <w:rsid w:val="004B6918"/>
    <w:rsid w:val="004B751D"/>
    <w:rsid w:val="004C0B06"/>
    <w:rsid w:val="004C138F"/>
    <w:rsid w:val="004C345A"/>
    <w:rsid w:val="004C3971"/>
    <w:rsid w:val="004C4437"/>
    <w:rsid w:val="004C472C"/>
    <w:rsid w:val="004C7416"/>
    <w:rsid w:val="004D1FE1"/>
    <w:rsid w:val="004D2A30"/>
    <w:rsid w:val="004D4FD7"/>
    <w:rsid w:val="004D5A9E"/>
    <w:rsid w:val="004D6C03"/>
    <w:rsid w:val="004E1D13"/>
    <w:rsid w:val="004E1F1B"/>
    <w:rsid w:val="004E32BA"/>
    <w:rsid w:val="004E36D3"/>
    <w:rsid w:val="004E4141"/>
    <w:rsid w:val="004E576D"/>
    <w:rsid w:val="004E6687"/>
    <w:rsid w:val="004E72B4"/>
    <w:rsid w:val="004F409F"/>
    <w:rsid w:val="004F41EE"/>
    <w:rsid w:val="004F49AF"/>
    <w:rsid w:val="004F5731"/>
    <w:rsid w:val="005007D1"/>
    <w:rsid w:val="00504C4C"/>
    <w:rsid w:val="0050520F"/>
    <w:rsid w:val="005056F8"/>
    <w:rsid w:val="005069E6"/>
    <w:rsid w:val="0050766C"/>
    <w:rsid w:val="00507772"/>
    <w:rsid w:val="005107D4"/>
    <w:rsid w:val="005109F1"/>
    <w:rsid w:val="00511862"/>
    <w:rsid w:val="00513AD1"/>
    <w:rsid w:val="00514197"/>
    <w:rsid w:val="005159D7"/>
    <w:rsid w:val="00520885"/>
    <w:rsid w:val="005217C8"/>
    <w:rsid w:val="005249F2"/>
    <w:rsid w:val="005256B1"/>
    <w:rsid w:val="00525910"/>
    <w:rsid w:val="00525D82"/>
    <w:rsid w:val="0052633A"/>
    <w:rsid w:val="00527A3C"/>
    <w:rsid w:val="00527B03"/>
    <w:rsid w:val="00530BB3"/>
    <w:rsid w:val="00531DDD"/>
    <w:rsid w:val="00535858"/>
    <w:rsid w:val="005360D8"/>
    <w:rsid w:val="0053612C"/>
    <w:rsid w:val="005404D6"/>
    <w:rsid w:val="00540533"/>
    <w:rsid w:val="00540FA8"/>
    <w:rsid w:val="005422D5"/>
    <w:rsid w:val="005444CA"/>
    <w:rsid w:val="00544847"/>
    <w:rsid w:val="00552C0D"/>
    <w:rsid w:val="00553A6B"/>
    <w:rsid w:val="00557981"/>
    <w:rsid w:val="00560740"/>
    <w:rsid w:val="00561B47"/>
    <w:rsid w:val="00566563"/>
    <w:rsid w:val="00567203"/>
    <w:rsid w:val="005735C6"/>
    <w:rsid w:val="00573A38"/>
    <w:rsid w:val="00576F6E"/>
    <w:rsid w:val="00577C92"/>
    <w:rsid w:val="0058140C"/>
    <w:rsid w:val="00582345"/>
    <w:rsid w:val="00583328"/>
    <w:rsid w:val="00585FBE"/>
    <w:rsid w:val="005864C5"/>
    <w:rsid w:val="00586512"/>
    <w:rsid w:val="005965B5"/>
    <w:rsid w:val="005968E5"/>
    <w:rsid w:val="00597A44"/>
    <w:rsid w:val="005A02A7"/>
    <w:rsid w:val="005A045E"/>
    <w:rsid w:val="005A09F7"/>
    <w:rsid w:val="005A2282"/>
    <w:rsid w:val="005A2C5C"/>
    <w:rsid w:val="005A2D04"/>
    <w:rsid w:val="005A355B"/>
    <w:rsid w:val="005A4A9D"/>
    <w:rsid w:val="005A540E"/>
    <w:rsid w:val="005A5551"/>
    <w:rsid w:val="005A6069"/>
    <w:rsid w:val="005A7F3B"/>
    <w:rsid w:val="005B0A48"/>
    <w:rsid w:val="005B0F9A"/>
    <w:rsid w:val="005B163A"/>
    <w:rsid w:val="005B1CC5"/>
    <w:rsid w:val="005B1E67"/>
    <w:rsid w:val="005B3389"/>
    <w:rsid w:val="005B41B7"/>
    <w:rsid w:val="005B5547"/>
    <w:rsid w:val="005B6501"/>
    <w:rsid w:val="005B6CBD"/>
    <w:rsid w:val="005B6D90"/>
    <w:rsid w:val="005C3FA1"/>
    <w:rsid w:val="005C65BF"/>
    <w:rsid w:val="005C6A8F"/>
    <w:rsid w:val="005C6D22"/>
    <w:rsid w:val="005C7390"/>
    <w:rsid w:val="005D0832"/>
    <w:rsid w:val="005D0F8C"/>
    <w:rsid w:val="005D1A07"/>
    <w:rsid w:val="005D1EBA"/>
    <w:rsid w:val="005D6824"/>
    <w:rsid w:val="005D6E97"/>
    <w:rsid w:val="005E13DE"/>
    <w:rsid w:val="005E1B49"/>
    <w:rsid w:val="005E2A24"/>
    <w:rsid w:val="005E6266"/>
    <w:rsid w:val="005E68DA"/>
    <w:rsid w:val="005E71B2"/>
    <w:rsid w:val="005F125D"/>
    <w:rsid w:val="005F1E92"/>
    <w:rsid w:val="005F2D94"/>
    <w:rsid w:val="005F3CE9"/>
    <w:rsid w:val="005F592C"/>
    <w:rsid w:val="005F6C63"/>
    <w:rsid w:val="00600863"/>
    <w:rsid w:val="00603774"/>
    <w:rsid w:val="006039C3"/>
    <w:rsid w:val="00603CE6"/>
    <w:rsid w:val="00604A0E"/>
    <w:rsid w:val="00604CF7"/>
    <w:rsid w:val="00605CF1"/>
    <w:rsid w:val="0060675F"/>
    <w:rsid w:val="006077E3"/>
    <w:rsid w:val="006163F8"/>
    <w:rsid w:val="006178BE"/>
    <w:rsid w:val="00620CEA"/>
    <w:rsid w:val="00621656"/>
    <w:rsid w:val="00625485"/>
    <w:rsid w:val="00625842"/>
    <w:rsid w:val="00626F31"/>
    <w:rsid w:val="00627425"/>
    <w:rsid w:val="00630AC1"/>
    <w:rsid w:val="00633158"/>
    <w:rsid w:val="00633CDA"/>
    <w:rsid w:val="006346F4"/>
    <w:rsid w:val="00635B08"/>
    <w:rsid w:val="00635FB6"/>
    <w:rsid w:val="00643BC1"/>
    <w:rsid w:val="0064501F"/>
    <w:rsid w:val="0064785F"/>
    <w:rsid w:val="006521CF"/>
    <w:rsid w:val="00653655"/>
    <w:rsid w:val="0065467A"/>
    <w:rsid w:val="0065479A"/>
    <w:rsid w:val="0065589C"/>
    <w:rsid w:val="00656A41"/>
    <w:rsid w:val="00660011"/>
    <w:rsid w:val="00661251"/>
    <w:rsid w:val="0066144A"/>
    <w:rsid w:val="00661AE6"/>
    <w:rsid w:val="0066267A"/>
    <w:rsid w:val="00663737"/>
    <w:rsid w:val="0066525D"/>
    <w:rsid w:val="006666DB"/>
    <w:rsid w:val="00671049"/>
    <w:rsid w:val="0067146B"/>
    <w:rsid w:val="00673A14"/>
    <w:rsid w:val="00673EEA"/>
    <w:rsid w:val="0067569A"/>
    <w:rsid w:val="006756F7"/>
    <w:rsid w:val="00676B2F"/>
    <w:rsid w:val="00676C31"/>
    <w:rsid w:val="00680007"/>
    <w:rsid w:val="006832CD"/>
    <w:rsid w:val="00685128"/>
    <w:rsid w:val="00685974"/>
    <w:rsid w:val="00687C76"/>
    <w:rsid w:val="00687F65"/>
    <w:rsid w:val="00690669"/>
    <w:rsid w:val="006913E4"/>
    <w:rsid w:val="00693828"/>
    <w:rsid w:val="00694E56"/>
    <w:rsid w:val="00697286"/>
    <w:rsid w:val="006A0C8C"/>
    <w:rsid w:val="006A113B"/>
    <w:rsid w:val="006A1B4A"/>
    <w:rsid w:val="006A45A2"/>
    <w:rsid w:val="006A479D"/>
    <w:rsid w:val="006A5DD7"/>
    <w:rsid w:val="006A723F"/>
    <w:rsid w:val="006A72EA"/>
    <w:rsid w:val="006A7341"/>
    <w:rsid w:val="006B1982"/>
    <w:rsid w:val="006B57D6"/>
    <w:rsid w:val="006B5F62"/>
    <w:rsid w:val="006C7682"/>
    <w:rsid w:val="006C76C3"/>
    <w:rsid w:val="006D1F24"/>
    <w:rsid w:val="006D2D87"/>
    <w:rsid w:val="006D3B83"/>
    <w:rsid w:val="006D6FED"/>
    <w:rsid w:val="006E37C2"/>
    <w:rsid w:val="006E41D2"/>
    <w:rsid w:val="006E46D7"/>
    <w:rsid w:val="006E4AC8"/>
    <w:rsid w:val="006F1F3A"/>
    <w:rsid w:val="006F206F"/>
    <w:rsid w:val="006F4B62"/>
    <w:rsid w:val="006F53FC"/>
    <w:rsid w:val="006F7C71"/>
    <w:rsid w:val="0070025C"/>
    <w:rsid w:val="00701A5B"/>
    <w:rsid w:val="007022A3"/>
    <w:rsid w:val="00703646"/>
    <w:rsid w:val="007039B8"/>
    <w:rsid w:val="00704166"/>
    <w:rsid w:val="00704458"/>
    <w:rsid w:val="00706D61"/>
    <w:rsid w:val="00707147"/>
    <w:rsid w:val="00707764"/>
    <w:rsid w:val="00710B1A"/>
    <w:rsid w:val="00711996"/>
    <w:rsid w:val="00714A08"/>
    <w:rsid w:val="00715048"/>
    <w:rsid w:val="007156B9"/>
    <w:rsid w:val="007160C2"/>
    <w:rsid w:val="007164C0"/>
    <w:rsid w:val="007176F5"/>
    <w:rsid w:val="00722672"/>
    <w:rsid w:val="00722C39"/>
    <w:rsid w:val="00723763"/>
    <w:rsid w:val="007254CE"/>
    <w:rsid w:val="00726F91"/>
    <w:rsid w:val="00730296"/>
    <w:rsid w:val="00731C2D"/>
    <w:rsid w:val="00732B81"/>
    <w:rsid w:val="007406E3"/>
    <w:rsid w:val="00740EDE"/>
    <w:rsid w:val="00741CAC"/>
    <w:rsid w:val="007460E4"/>
    <w:rsid w:val="007469CD"/>
    <w:rsid w:val="00747873"/>
    <w:rsid w:val="00747F59"/>
    <w:rsid w:val="0075175B"/>
    <w:rsid w:val="00753CB1"/>
    <w:rsid w:val="0075569A"/>
    <w:rsid w:val="007570C7"/>
    <w:rsid w:val="00761BCB"/>
    <w:rsid w:val="00762E34"/>
    <w:rsid w:val="007631D4"/>
    <w:rsid w:val="00763833"/>
    <w:rsid w:val="00763DC7"/>
    <w:rsid w:val="007656BB"/>
    <w:rsid w:val="00767ECE"/>
    <w:rsid w:val="007709E6"/>
    <w:rsid w:val="00770A02"/>
    <w:rsid w:val="00771932"/>
    <w:rsid w:val="00771935"/>
    <w:rsid w:val="00772EF3"/>
    <w:rsid w:val="00775011"/>
    <w:rsid w:val="00775DD8"/>
    <w:rsid w:val="00776BD2"/>
    <w:rsid w:val="007771B5"/>
    <w:rsid w:val="00780386"/>
    <w:rsid w:val="00780DFE"/>
    <w:rsid w:val="00780FA3"/>
    <w:rsid w:val="00783DCC"/>
    <w:rsid w:val="0078495D"/>
    <w:rsid w:val="007855C1"/>
    <w:rsid w:val="00786944"/>
    <w:rsid w:val="00787316"/>
    <w:rsid w:val="007900CC"/>
    <w:rsid w:val="00791FD3"/>
    <w:rsid w:val="00792375"/>
    <w:rsid w:val="0079314E"/>
    <w:rsid w:val="00793F9D"/>
    <w:rsid w:val="007948B7"/>
    <w:rsid w:val="00794CCA"/>
    <w:rsid w:val="007951E0"/>
    <w:rsid w:val="007959FE"/>
    <w:rsid w:val="00795A70"/>
    <w:rsid w:val="00797A10"/>
    <w:rsid w:val="007A13FA"/>
    <w:rsid w:val="007A1EE3"/>
    <w:rsid w:val="007A1F3D"/>
    <w:rsid w:val="007A2116"/>
    <w:rsid w:val="007A2DA5"/>
    <w:rsid w:val="007A45E4"/>
    <w:rsid w:val="007A45E6"/>
    <w:rsid w:val="007A4C07"/>
    <w:rsid w:val="007A4D7A"/>
    <w:rsid w:val="007B2A53"/>
    <w:rsid w:val="007B34A8"/>
    <w:rsid w:val="007B37F0"/>
    <w:rsid w:val="007B677B"/>
    <w:rsid w:val="007B6986"/>
    <w:rsid w:val="007B6EF9"/>
    <w:rsid w:val="007B752A"/>
    <w:rsid w:val="007C07F4"/>
    <w:rsid w:val="007C0C96"/>
    <w:rsid w:val="007C2F32"/>
    <w:rsid w:val="007C3699"/>
    <w:rsid w:val="007C4867"/>
    <w:rsid w:val="007C6046"/>
    <w:rsid w:val="007C75A3"/>
    <w:rsid w:val="007C7E20"/>
    <w:rsid w:val="007D188B"/>
    <w:rsid w:val="007D1DD6"/>
    <w:rsid w:val="007D5271"/>
    <w:rsid w:val="007D6C62"/>
    <w:rsid w:val="007D7955"/>
    <w:rsid w:val="007D7B0E"/>
    <w:rsid w:val="007E00FB"/>
    <w:rsid w:val="007E0298"/>
    <w:rsid w:val="007E0C9D"/>
    <w:rsid w:val="007E17B8"/>
    <w:rsid w:val="007E5C67"/>
    <w:rsid w:val="007E7C48"/>
    <w:rsid w:val="007F1CAC"/>
    <w:rsid w:val="007F58EE"/>
    <w:rsid w:val="00800CD2"/>
    <w:rsid w:val="00802BA3"/>
    <w:rsid w:val="0080356D"/>
    <w:rsid w:val="0080503F"/>
    <w:rsid w:val="0080691D"/>
    <w:rsid w:val="00812A1D"/>
    <w:rsid w:val="00812CC4"/>
    <w:rsid w:val="00816468"/>
    <w:rsid w:val="00817133"/>
    <w:rsid w:val="00817D75"/>
    <w:rsid w:val="00821719"/>
    <w:rsid w:val="00823949"/>
    <w:rsid w:val="00824032"/>
    <w:rsid w:val="00824118"/>
    <w:rsid w:val="008249E6"/>
    <w:rsid w:val="008251A4"/>
    <w:rsid w:val="00827ABF"/>
    <w:rsid w:val="00827EA9"/>
    <w:rsid w:val="008309EE"/>
    <w:rsid w:val="00831582"/>
    <w:rsid w:val="00832567"/>
    <w:rsid w:val="00833345"/>
    <w:rsid w:val="008341A3"/>
    <w:rsid w:val="00834D6B"/>
    <w:rsid w:val="008357BF"/>
    <w:rsid w:val="008365F8"/>
    <w:rsid w:val="008372B9"/>
    <w:rsid w:val="008379AC"/>
    <w:rsid w:val="00840519"/>
    <w:rsid w:val="008448AB"/>
    <w:rsid w:val="00850598"/>
    <w:rsid w:val="00850CBC"/>
    <w:rsid w:val="00851471"/>
    <w:rsid w:val="00852821"/>
    <w:rsid w:val="008549DA"/>
    <w:rsid w:val="00861757"/>
    <w:rsid w:val="0086357C"/>
    <w:rsid w:val="008665D1"/>
    <w:rsid w:val="00866983"/>
    <w:rsid w:val="0086740E"/>
    <w:rsid w:val="00875772"/>
    <w:rsid w:val="008904BF"/>
    <w:rsid w:val="00891938"/>
    <w:rsid w:val="008924DD"/>
    <w:rsid w:val="00893255"/>
    <w:rsid w:val="00895143"/>
    <w:rsid w:val="00895A7F"/>
    <w:rsid w:val="00896855"/>
    <w:rsid w:val="00896EE9"/>
    <w:rsid w:val="0089716A"/>
    <w:rsid w:val="008973D6"/>
    <w:rsid w:val="008A061A"/>
    <w:rsid w:val="008A19AA"/>
    <w:rsid w:val="008A3EB6"/>
    <w:rsid w:val="008A4F6B"/>
    <w:rsid w:val="008A618A"/>
    <w:rsid w:val="008A6457"/>
    <w:rsid w:val="008A71EA"/>
    <w:rsid w:val="008B1DDB"/>
    <w:rsid w:val="008B1FBF"/>
    <w:rsid w:val="008B324A"/>
    <w:rsid w:val="008B324B"/>
    <w:rsid w:val="008B3B46"/>
    <w:rsid w:val="008B6FBE"/>
    <w:rsid w:val="008B71C8"/>
    <w:rsid w:val="008C0A7A"/>
    <w:rsid w:val="008C3461"/>
    <w:rsid w:val="008C36BA"/>
    <w:rsid w:val="008C5E05"/>
    <w:rsid w:val="008C692D"/>
    <w:rsid w:val="008C7ED9"/>
    <w:rsid w:val="008D113F"/>
    <w:rsid w:val="008D271C"/>
    <w:rsid w:val="008D53DB"/>
    <w:rsid w:val="008D6341"/>
    <w:rsid w:val="008E0A4D"/>
    <w:rsid w:val="008E0B39"/>
    <w:rsid w:val="008E1128"/>
    <w:rsid w:val="008E112A"/>
    <w:rsid w:val="008E1141"/>
    <w:rsid w:val="008E1C48"/>
    <w:rsid w:val="008E1FFD"/>
    <w:rsid w:val="008E2B52"/>
    <w:rsid w:val="008E3B6F"/>
    <w:rsid w:val="008E48B7"/>
    <w:rsid w:val="008E7589"/>
    <w:rsid w:val="008F0817"/>
    <w:rsid w:val="008F09C4"/>
    <w:rsid w:val="008F2017"/>
    <w:rsid w:val="008F2050"/>
    <w:rsid w:val="008F31B4"/>
    <w:rsid w:val="008F714E"/>
    <w:rsid w:val="008F7878"/>
    <w:rsid w:val="009007BC"/>
    <w:rsid w:val="00901445"/>
    <w:rsid w:val="0090558B"/>
    <w:rsid w:val="00905892"/>
    <w:rsid w:val="009068CA"/>
    <w:rsid w:val="00907CFD"/>
    <w:rsid w:val="00910187"/>
    <w:rsid w:val="00910297"/>
    <w:rsid w:val="00913A8F"/>
    <w:rsid w:val="0092092A"/>
    <w:rsid w:val="00923006"/>
    <w:rsid w:val="009243D3"/>
    <w:rsid w:val="00924B70"/>
    <w:rsid w:val="00925174"/>
    <w:rsid w:val="00926C5D"/>
    <w:rsid w:val="00927691"/>
    <w:rsid w:val="009305A1"/>
    <w:rsid w:val="00930BC2"/>
    <w:rsid w:val="00931436"/>
    <w:rsid w:val="00931605"/>
    <w:rsid w:val="009321A8"/>
    <w:rsid w:val="009327ED"/>
    <w:rsid w:val="009332A5"/>
    <w:rsid w:val="009335EF"/>
    <w:rsid w:val="00934FD7"/>
    <w:rsid w:val="00935573"/>
    <w:rsid w:val="00936DCE"/>
    <w:rsid w:val="00937C0B"/>
    <w:rsid w:val="00945DF0"/>
    <w:rsid w:val="00947855"/>
    <w:rsid w:val="00950BC0"/>
    <w:rsid w:val="00951514"/>
    <w:rsid w:val="00951F67"/>
    <w:rsid w:val="00952314"/>
    <w:rsid w:val="00952DB8"/>
    <w:rsid w:val="00953BFF"/>
    <w:rsid w:val="009547A9"/>
    <w:rsid w:val="009547E2"/>
    <w:rsid w:val="009559E3"/>
    <w:rsid w:val="00956B3C"/>
    <w:rsid w:val="00956C6F"/>
    <w:rsid w:val="00960332"/>
    <w:rsid w:val="00960D8D"/>
    <w:rsid w:val="0096291E"/>
    <w:rsid w:val="00963E2D"/>
    <w:rsid w:val="00964A21"/>
    <w:rsid w:val="00971806"/>
    <w:rsid w:val="0097237C"/>
    <w:rsid w:val="0097312B"/>
    <w:rsid w:val="00975E69"/>
    <w:rsid w:val="00980598"/>
    <w:rsid w:val="00981485"/>
    <w:rsid w:val="0098213D"/>
    <w:rsid w:val="00982775"/>
    <w:rsid w:val="00983724"/>
    <w:rsid w:val="009858EA"/>
    <w:rsid w:val="00985A80"/>
    <w:rsid w:val="00985B1E"/>
    <w:rsid w:val="00987A7F"/>
    <w:rsid w:val="00987D51"/>
    <w:rsid w:val="009907E9"/>
    <w:rsid w:val="00990D00"/>
    <w:rsid w:val="009912E2"/>
    <w:rsid w:val="009923B2"/>
    <w:rsid w:val="00996840"/>
    <w:rsid w:val="009971D3"/>
    <w:rsid w:val="009A27AA"/>
    <w:rsid w:val="009A4D41"/>
    <w:rsid w:val="009A4FA9"/>
    <w:rsid w:val="009A6A5A"/>
    <w:rsid w:val="009A7084"/>
    <w:rsid w:val="009A736F"/>
    <w:rsid w:val="009B0DB5"/>
    <w:rsid w:val="009B259F"/>
    <w:rsid w:val="009B2B15"/>
    <w:rsid w:val="009B5F59"/>
    <w:rsid w:val="009B60A1"/>
    <w:rsid w:val="009B661B"/>
    <w:rsid w:val="009B703D"/>
    <w:rsid w:val="009B79D6"/>
    <w:rsid w:val="009C16CC"/>
    <w:rsid w:val="009C2C5E"/>
    <w:rsid w:val="009C72BD"/>
    <w:rsid w:val="009C73EF"/>
    <w:rsid w:val="009D2907"/>
    <w:rsid w:val="009D5FD1"/>
    <w:rsid w:val="009E06BF"/>
    <w:rsid w:val="009E0A07"/>
    <w:rsid w:val="009E2471"/>
    <w:rsid w:val="009E47B8"/>
    <w:rsid w:val="009E4827"/>
    <w:rsid w:val="009E70E3"/>
    <w:rsid w:val="009F297D"/>
    <w:rsid w:val="009F2B56"/>
    <w:rsid w:val="009F492E"/>
    <w:rsid w:val="009F5160"/>
    <w:rsid w:val="009F55B3"/>
    <w:rsid w:val="009F58C0"/>
    <w:rsid w:val="009F6869"/>
    <w:rsid w:val="009F7067"/>
    <w:rsid w:val="009F73C0"/>
    <w:rsid w:val="009F7D84"/>
    <w:rsid w:val="009F7F2E"/>
    <w:rsid w:val="00A0068E"/>
    <w:rsid w:val="00A020CF"/>
    <w:rsid w:val="00A02441"/>
    <w:rsid w:val="00A0247F"/>
    <w:rsid w:val="00A03729"/>
    <w:rsid w:val="00A0542C"/>
    <w:rsid w:val="00A057BF"/>
    <w:rsid w:val="00A06959"/>
    <w:rsid w:val="00A109D0"/>
    <w:rsid w:val="00A1499C"/>
    <w:rsid w:val="00A15E13"/>
    <w:rsid w:val="00A163D6"/>
    <w:rsid w:val="00A16E76"/>
    <w:rsid w:val="00A177A2"/>
    <w:rsid w:val="00A207A7"/>
    <w:rsid w:val="00A20F64"/>
    <w:rsid w:val="00A213D0"/>
    <w:rsid w:val="00A22E24"/>
    <w:rsid w:val="00A23200"/>
    <w:rsid w:val="00A2387F"/>
    <w:rsid w:val="00A2429B"/>
    <w:rsid w:val="00A2738F"/>
    <w:rsid w:val="00A30C66"/>
    <w:rsid w:val="00A331DF"/>
    <w:rsid w:val="00A344AA"/>
    <w:rsid w:val="00A35DB4"/>
    <w:rsid w:val="00A378D8"/>
    <w:rsid w:val="00A40CEA"/>
    <w:rsid w:val="00A41E82"/>
    <w:rsid w:val="00A44605"/>
    <w:rsid w:val="00A44B5B"/>
    <w:rsid w:val="00A44EE8"/>
    <w:rsid w:val="00A46AA4"/>
    <w:rsid w:val="00A505BC"/>
    <w:rsid w:val="00A518EA"/>
    <w:rsid w:val="00A53FBF"/>
    <w:rsid w:val="00A56DF9"/>
    <w:rsid w:val="00A60601"/>
    <w:rsid w:val="00A6063F"/>
    <w:rsid w:val="00A61CE3"/>
    <w:rsid w:val="00A72B22"/>
    <w:rsid w:val="00A74479"/>
    <w:rsid w:val="00A7457F"/>
    <w:rsid w:val="00A7525A"/>
    <w:rsid w:val="00A77D81"/>
    <w:rsid w:val="00A8132C"/>
    <w:rsid w:val="00A82650"/>
    <w:rsid w:val="00A83BA0"/>
    <w:rsid w:val="00A84B26"/>
    <w:rsid w:val="00A91A7D"/>
    <w:rsid w:val="00A95DCD"/>
    <w:rsid w:val="00A96994"/>
    <w:rsid w:val="00A97D63"/>
    <w:rsid w:val="00AA09B9"/>
    <w:rsid w:val="00AA0D95"/>
    <w:rsid w:val="00AB369E"/>
    <w:rsid w:val="00AB3A2E"/>
    <w:rsid w:val="00AB5C54"/>
    <w:rsid w:val="00AB7379"/>
    <w:rsid w:val="00AB7565"/>
    <w:rsid w:val="00AB7F52"/>
    <w:rsid w:val="00AC0853"/>
    <w:rsid w:val="00AC3650"/>
    <w:rsid w:val="00AC39AE"/>
    <w:rsid w:val="00AC4800"/>
    <w:rsid w:val="00AC4CB9"/>
    <w:rsid w:val="00AC4F96"/>
    <w:rsid w:val="00AC6DDB"/>
    <w:rsid w:val="00AC7C99"/>
    <w:rsid w:val="00AD0F6E"/>
    <w:rsid w:val="00AD25FF"/>
    <w:rsid w:val="00AD437F"/>
    <w:rsid w:val="00AD473A"/>
    <w:rsid w:val="00AD5447"/>
    <w:rsid w:val="00AD6143"/>
    <w:rsid w:val="00AD7470"/>
    <w:rsid w:val="00AE6F46"/>
    <w:rsid w:val="00AE7968"/>
    <w:rsid w:val="00AF15A2"/>
    <w:rsid w:val="00AF3E85"/>
    <w:rsid w:val="00AF4A94"/>
    <w:rsid w:val="00B0024E"/>
    <w:rsid w:val="00B0075E"/>
    <w:rsid w:val="00B01C01"/>
    <w:rsid w:val="00B02FD1"/>
    <w:rsid w:val="00B03AA5"/>
    <w:rsid w:val="00B040B6"/>
    <w:rsid w:val="00B06FC1"/>
    <w:rsid w:val="00B071B1"/>
    <w:rsid w:val="00B078A6"/>
    <w:rsid w:val="00B1184E"/>
    <w:rsid w:val="00B12D48"/>
    <w:rsid w:val="00B13C08"/>
    <w:rsid w:val="00B13FF5"/>
    <w:rsid w:val="00B14490"/>
    <w:rsid w:val="00B15EDB"/>
    <w:rsid w:val="00B1732E"/>
    <w:rsid w:val="00B17EAC"/>
    <w:rsid w:val="00B2002A"/>
    <w:rsid w:val="00B2035C"/>
    <w:rsid w:val="00B23620"/>
    <w:rsid w:val="00B24487"/>
    <w:rsid w:val="00B24E76"/>
    <w:rsid w:val="00B253B0"/>
    <w:rsid w:val="00B2667E"/>
    <w:rsid w:val="00B26835"/>
    <w:rsid w:val="00B311D4"/>
    <w:rsid w:val="00B3252E"/>
    <w:rsid w:val="00B4292B"/>
    <w:rsid w:val="00B4477E"/>
    <w:rsid w:val="00B46C39"/>
    <w:rsid w:val="00B47B9C"/>
    <w:rsid w:val="00B5057F"/>
    <w:rsid w:val="00B52178"/>
    <w:rsid w:val="00B535D9"/>
    <w:rsid w:val="00B5379E"/>
    <w:rsid w:val="00B549F7"/>
    <w:rsid w:val="00B54B75"/>
    <w:rsid w:val="00B54EA0"/>
    <w:rsid w:val="00B605EE"/>
    <w:rsid w:val="00B64F01"/>
    <w:rsid w:val="00B66A11"/>
    <w:rsid w:val="00B67843"/>
    <w:rsid w:val="00B7142F"/>
    <w:rsid w:val="00B75567"/>
    <w:rsid w:val="00B767EB"/>
    <w:rsid w:val="00B77E26"/>
    <w:rsid w:val="00B809F0"/>
    <w:rsid w:val="00B8156F"/>
    <w:rsid w:val="00B81A07"/>
    <w:rsid w:val="00B81E8E"/>
    <w:rsid w:val="00B81E90"/>
    <w:rsid w:val="00B844FE"/>
    <w:rsid w:val="00B84EA0"/>
    <w:rsid w:val="00B86920"/>
    <w:rsid w:val="00B878BC"/>
    <w:rsid w:val="00B87927"/>
    <w:rsid w:val="00B87C05"/>
    <w:rsid w:val="00B9057D"/>
    <w:rsid w:val="00B942CB"/>
    <w:rsid w:val="00B94563"/>
    <w:rsid w:val="00B94D3B"/>
    <w:rsid w:val="00B94E71"/>
    <w:rsid w:val="00B95916"/>
    <w:rsid w:val="00B95AD4"/>
    <w:rsid w:val="00B97A93"/>
    <w:rsid w:val="00BA1E17"/>
    <w:rsid w:val="00BA543B"/>
    <w:rsid w:val="00BA55FB"/>
    <w:rsid w:val="00BA58EE"/>
    <w:rsid w:val="00BA5E5D"/>
    <w:rsid w:val="00BA7616"/>
    <w:rsid w:val="00BB2C2B"/>
    <w:rsid w:val="00BB3437"/>
    <w:rsid w:val="00BB3896"/>
    <w:rsid w:val="00BC06C0"/>
    <w:rsid w:val="00BC268D"/>
    <w:rsid w:val="00BC3410"/>
    <w:rsid w:val="00BC3979"/>
    <w:rsid w:val="00BC65CF"/>
    <w:rsid w:val="00BD06D6"/>
    <w:rsid w:val="00BD1997"/>
    <w:rsid w:val="00BD1E4E"/>
    <w:rsid w:val="00BD7A3F"/>
    <w:rsid w:val="00BE16D9"/>
    <w:rsid w:val="00BE3EA9"/>
    <w:rsid w:val="00BE41EA"/>
    <w:rsid w:val="00BE47C1"/>
    <w:rsid w:val="00BE5D77"/>
    <w:rsid w:val="00BE6AC4"/>
    <w:rsid w:val="00BF31E5"/>
    <w:rsid w:val="00BF3CF6"/>
    <w:rsid w:val="00BF512D"/>
    <w:rsid w:val="00BF54E4"/>
    <w:rsid w:val="00BF56B4"/>
    <w:rsid w:val="00BF667E"/>
    <w:rsid w:val="00BF67D5"/>
    <w:rsid w:val="00BF70A1"/>
    <w:rsid w:val="00C00503"/>
    <w:rsid w:val="00C0112B"/>
    <w:rsid w:val="00C02A60"/>
    <w:rsid w:val="00C035A3"/>
    <w:rsid w:val="00C0589C"/>
    <w:rsid w:val="00C06553"/>
    <w:rsid w:val="00C1060A"/>
    <w:rsid w:val="00C11AC4"/>
    <w:rsid w:val="00C123FF"/>
    <w:rsid w:val="00C135EB"/>
    <w:rsid w:val="00C151E4"/>
    <w:rsid w:val="00C155B3"/>
    <w:rsid w:val="00C165B3"/>
    <w:rsid w:val="00C17F90"/>
    <w:rsid w:val="00C207ED"/>
    <w:rsid w:val="00C2083B"/>
    <w:rsid w:val="00C21579"/>
    <w:rsid w:val="00C22902"/>
    <w:rsid w:val="00C23870"/>
    <w:rsid w:val="00C25907"/>
    <w:rsid w:val="00C2641B"/>
    <w:rsid w:val="00C27D28"/>
    <w:rsid w:val="00C314FD"/>
    <w:rsid w:val="00C31573"/>
    <w:rsid w:val="00C316F1"/>
    <w:rsid w:val="00C31BFA"/>
    <w:rsid w:val="00C32D07"/>
    <w:rsid w:val="00C34389"/>
    <w:rsid w:val="00C34BF6"/>
    <w:rsid w:val="00C356FC"/>
    <w:rsid w:val="00C3633D"/>
    <w:rsid w:val="00C37013"/>
    <w:rsid w:val="00C37147"/>
    <w:rsid w:val="00C40D64"/>
    <w:rsid w:val="00C411E2"/>
    <w:rsid w:val="00C4291C"/>
    <w:rsid w:val="00C43003"/>
    <w:rsid w:val="00C44677"/>
    <w:rsid w:val="00C44BF3"/>
    <w:rsid w:val="00C504C8"/>
    <w:rsid w:val="00C5109A"/>
    <w:rsid w:val="00C5226D"/>
    <w:rsid w:val="00C52D13"/>
    <w:rsid w:val="00C53566"/>
    <w:rsid w:val="00C55B26"/>
    <w:rsid w:val="00C57B96"/>
    <w:rsid w:val="00C60730"/>
    <w:rsid w:val="00C60A80"/>
    <w:rsid w:val="00C6163C"/>
    <w:rsid w:val="00C62C10"/>
    <w:rsid w:val="00C64435"/>
    <w:rsid w:val="00C66083"/>
    <w:rsid w:val="00C66293"/>
    <w:rsid w:val="00C673D6"/>
    <w:rsid w:val="00C6766E"/>
    <w:rsid w:val="00C70BD7"/>
    <w:rsid w:val="00C70D7F"/>
    <w:rsid w:val="00C71AA8"/>
    <w:rsid w:val="00C72D3B"/>
    <w:rsid w:val="00C73479"/>
    <w:rsid w:val="00C74BC6"/>
    <w:rsid w:val="00C74FD5"/>
    <w:rsid w:val="00C80909"/>
    <w:rsid w:val="00C80CD1"/>
    <w:rsid w:val="00C812D9"/>
    <w:rsid w:val="00C8194B"/>
    <w:rsid w:val="00C81FF9"/>
    <w:rsid w:val="00C8354A"/>
    <w:rsid w:val="00C8358F"/>
    <w:rsid w:val="00C845D5"/>
    <w:rsid w:val="00C84B57"/>
    <w:rsid w:val="00C9251A"/>
    <w:rsid w:val="00C93093"/>
    <w:rsid w:val="00C93B60"/>
    <w:rsid w:val="00C93EA1"/>
    <w:rsid w:val="00C97330"/>
    <w:rsid w:val="00CA0838"/>
    <w:rsid w:val="00CA16D9"/>
    <w:rsid w:val="00CA2BE6"/>
    <w:rsid w:val="00CA3E30"/>
    <w:rsid w:val="00CA5578"/>
    <w:rsid w:val="00CA6A0F"/>
    <w:rsid w:val="00CB0435"/>
    <w:rsid w:val="00CB04B1"/>
    <w:rsid w:val="00CB2DD1"/>
    <w:rsid w:val="00CB324B"/>
    <w:rsid w:val="00CB6386"/>
    <w:rsid w:val="00CB656A"/>
    <w:rsid w:val="00CC060D"/>
    <w:rsid w:val="00CC0786"/>
    <w:rsid w:val="00CC0ACC"/>
    <w:rsid w:val="00CC2D1F"/>
    <w:rsid w:val="00CC4A42"/>
    <w:rsid w:val="00CD0A22"/>
    <w:rsid w:val="00CD3B00"/>
    <w:rsid w:val="00CD43AB"/>
    <w:rsid w:val="00CD4BFE"/>
    <w:rsid w:val="00CD5406"/>
    <w:rsid w:val="00CD641E"/>
    <w:rsid w:val="00CD6CC9"/>
    <w:rsid w:val="00CD75B6"/>
    <w:rsid w:val="00CD78F6"/>
    <w:rsid w:val="00CE1361"/>
    <w:rsid w:val="00CE192C"/>
    <w:rsid w:val="00CE2A86"/>
    <w:rsid w:val="00CE3552"/>
    <w:rsid w:val="00CE51A8"/>
    <w:rsid w:val="00CE78A7"/>
    <w:rsid w:val="00CE7CB5"/>
    <w:rsid w:val="00CF07D2"/>
    <w:rsid w:val="00CF16EF"/>
    <w:rsid w:val="00CF3617"/>
    <w:rsid w:val="00D00DD7"/>
    <w:rsid w:val="00D01B4E"/>
    <w:rsid w:val="00D02DD5"/>
    <w:rsid w:val="00D07325"/>
    <w:rsid w:val="00D0786F"/>
    <w:rsid w:val="00D104DB"/>
    <w:rsid w:val="00D11347"/>
    <w:rsid w:val="00D14B88"/>
    <w:rsid w:val="00D20AC3"/>
    <w:rsid w:val="00D2138E"/>
    <w:rsid w:val="00D219FC"/>
    <w:rsid w:val="00D22374"/>
    <w:rsid w:val="00D24003"/>
    <w:rsid w:val="00D279BF"/>
    <w:rsid w:val="00D31601"/>
    <w:rsid w:val="00D317BA"/>
    <w:rsid w:val="00D32175"/>
    <w:rsid w:val="00D3302E"/>
    <w:rsid w:val="00D342C2"/>
    <w:rsid w:val="00D36AC5"/>
    <w:rsid w:val="00D4034A"/>
    <w:rsid w:val="00D4374A"/>
    <w:rsid w:val="00D44421"/>
    <w:rsid w:val="00D45198"/>
    <w:rsid w:val="00D45808"/>
    <w:rsid w:val="00D4646C"/>
    <w:rsid w:val="00D47AD7"/>
    <w:rsid w:val="00D47CE8"/>
    <w:rsid w:val="00D5043E"/>
    <w:rsid w:val="00D52095"/>
    <w:rsid w:val="00D52B65"/>
    <w:rsid w:val="00D53170"/>
    <w:rsid w:val="00D5431E"/>
    <w:rsid w:val="00D54C0E"/>
    <w:rsid w:val="00D5580E"/>
    <w:rsid w:val="00D55A20"/>
    <w:rsid w:val="00D615C7"/>
    <w:rsid w:val="00D63A43"/>
    <w:rsid w:val="00D63EBB"/>
    <w:rsid w:val="00D641ED"/>
    <w:rsid w:val="00D64A11"/>
    <w:rsid w:val="00D674C2"/>
    <w:rsid w:val="00D67A8B"/>
    <w:rsid w:val="00D756A8"/>
    <w:rsid w:val="00D75B19"/>
    <w:rsid w:val="00D75CD0"/>
    <w:rsid w:val="00D760D6"/>
    <w:rsid w:val="00D858B5"/>
    <w:rsid w:val="00D85949"/>
    <w:rsid w:val="00D86E99"/>
    <w:rsid w:val="00D87B14"/>
    <w:rsid w:val="00D87DF7"/>
    <w:rsid w:val="00D87F4E"/>
    <w:rsid w:val="00D90616"/>
    <w:rsid w:val="00D90D4E"/>
    <w:rsid w:val="00D931B4"/>
    <w:rsid w:val="00D94462"/>
    <w:rsid w:val="00D95FE5"/>
    <w:rsid w:val="00D9731D"/>
    <w:rsid w:val="00DA2D5D"/>
    <w:rsid w:val="00DA3372"/>
    <w:rsid w:val="00DA6EA5"/>
    <w:rsid w:val="00DA708B"/>
    <w:rsid w:val="00DB1362"/>
    <w:rsid w:val="00DB2890"/>
    <w:rsid w:val="00DB5CF2"/>
    <w:rsid w:val="00DB6129"/>
    <w:rsid w:val="00DB6CFF"/>
    <w:rsid w:val="00DB77B0"/>
    <w:rsid w:val="00DC0122"/>
    <w:rsid w:val="00DC12A9"/>
    <w:rsid w:val="00DC3517"/>
    <w:rsid w:val="00DC4BD9"/>
    <w:rsid w:val="00DD29A0"/>
    <w:rsid w:val="00DD2C7C"/>
    <w:rsid w:val="00DD7318"/>
    <w:rsid w:val="00DE092D"/>
    <w:rsid w:val="00DE1268"/>
    <w:rsid w:val="00DE20C0"/>
    <w:rsid w:val="00DE3431"/>
    <w:rsid w:val="00DE345D"/>
    <w:rsid w:val="00DE7A87"/>
    <w:rsid w:val="00DF3A20"/>
    <w:rsid w:val="00DF6BFB"/>
    <w:rsid w:val="00E00CF2"/>
    <w:rsid w:val="00E022F5"/>
    <w:rsid w:val="00E03E41"/>
    <w:rsid w:val="00E03F15"/>
    <w:rsid w:val="00E043DC"/>
    <w:rsid w:val="00E05654"/>
    <w:rsid w:val="00E05B9C"/>
    <w:rsid w:val="00E0779F"/>
    <w:rsid w:val="00E07AB0"/>
    <w:rsid w:val="00E10B81"/>
    <w:rsid w:val="00E111A0"/>
    <w:rsid w:val="00E126E7"/>
    <w:rsid w:val="00E20B88"/>
    <w:rsid w:val="00E20FAB"/>
    <w:rsid w:val="00E21780"/>
    <w:rsid w:val="00E2301E"/>
    <w:rsid w:val="00E25333"/>
    <w:rsid w:val="00E261CD"/>
    <w:rsid w:val="00E26E2F"/>
    <w:rsid w:val="00E31BF1"/>
    <w:rsid w:val="00E34139"/>
    <w:rsid w:val="00E37B2C"/>
    <w:rsid w:val="00E41875"/>
    <w:rsid w:val="00E42C81"/>
    <w:rsid w:val="00E438D6"/>
    <w:rsid w:val="00E43A42"/>
    <w:rsid w:val="00E4429A"/>
    <w:rsid w:val="00E4475B"/>
    <w:rsid w:val="00E449C1"/>
    <w:rsid w:val="00E471DC"/>
    <w:rsid w:val="00E47FAE"/>
    <w:rsid w:val="00E50264"/>
    <w:rsid w:val="00E51ACB"/>
    <w:rsid w:val="00E53190"/>
    <w:rsid w:val="00E555F3"/>
    <w:rsid w:val="00E56EA6"/>
    <w:rsid w:val="00E61870"/>
    <w:rsid w:val="00E62C3D"/>
    <w:rsid w:val="00E6351F"/>
    <w:rsid w:val="00E63BDB"/>
    <w:rsid w:val="00E65471"/>
    <w:rsid w:val="00E659BF"/>
    <w:rsid w:val="00E66350"/>
    <w:rsid w:val="00E66CA7"/>
    <w:rsid w:val="00E67CC1"/>
    <w:rsid w:val="00E7023E"/>
    <w:rsid w:val="00E70E10"/>
    <w:rsid w:val="00E7357B"/>
    <w:rsid w:val="00E73B6B"/>
    <w:rsid w:val="00E75F59"/>
    <w:rsid w:val="00E80B40"/>
    <w:rsid w:val="00E8347F"/>
    <w:rsid w:val="00E84DC3"/>
    <w:rsid w:val="00E862DF"/>
    <w:rsid w:val="00E869D3"/>
    <w:rsid w:val="00E90CFC"/>
    <w:rsid w:val="00E9215B"/>
    <w:rsid w:val="00EA108B"/>
    <w:rsid w:val="00EA1098"/>
    <w:rsid w:val="00EA1A65"/>
    <w:rsid w:val="00EA2DB3"/>
    <w:rsid w:val="00EA4958"/>
    <w:rsid w:val="00EA4B71"/>
    <w:rsid w:val="00EA5201"/>
    <w:rsid w:val="00EA7E12"/>
    <w:rsid w:val="00EB0FB2"/>
    <w:rsid w:val="00EB1513"/>
    <w:rsid w:val="00EB3222"/>
    <w:rsid w:val="00EB6829"/>
    <w:rsid w:val="00EB6F43"/>
    <w:rsid w:val="00EC34C2"/>
    <w:rsid w:val="00ED2B12"/>
    <w:rsid w:val="00ED2F7F"/>
    <w:rsid w:val="00ED329E"/>
    <w:rsid w:val="00ED5293"/>
    <w:rsid w:val="00ED7BAC"/>
    <w:rsid w:val="00EE0531"/>
    <w:rsid w:val="00EE2478"/>
    <w:rsid w:val="00EE367F"/>
    <w:rsid w:val="00EE3C76"/>
    <w:rsid w:val="00EE446A"/>
    <w:rsid w:val="00EE6279"/>
    <w:rsid w:val="00EE7357"/>
    <w:rsid w:val="00EE762F"/>
    <w:rsid w:val="00EF023A"/>
    <w:rsid w:val="00EF07D2"/>
    <w:rsid w:val="00EF188A"/>
    <w:rsid w:val="00EF215C"/>
    <w:rsid w:val="00EF5985"/>
    <w:rsid w:val="00EF625F"/>
    <w:rsid w:val="00EF6459"/>
    <w:rsid w:val="00EF6A54"/>
    <w:rsid w:val="00F00CE1"/>
    <w:rsid w:val="00F02AE9"/>
    <w:rsid w:val="00F03CB0"/>
    <w:rsid w:val="00F07639"/>
    <w:rsid w:val="00F11890"/>
    <w:rsid w:val="00F122C4"/>
    <w:rsid w:val="00F128A4"/>
    <w:rsid w:val="00F156C7"/>
    <w:rsid w:val="00F16586"/>
    <w:rsid w:val="00F169DB"/>
    <w:rsid w:val="00F17A45"/>
    <w:rsid w:val="00F20A73"/>
    <w:rsid w:val="00F20F62"/>
    <w:rsid w:val="00F22273"/>
    <w:rsid w:val="00F226D8"/>
    <w:rsid w:val="00F22D0D"/>
    <w:rsid w:val="00F22FA2"/>
    <w:rsid w:val="00F23C07"/>
    <w:rsid w:val="00F247E3"/>
    <w:rsid w:val="00F25FA6"/>
    <w:rsid w:val="00F26A6D"/>
    <w:rsid w:val="00F26EAB"/>
    <w:rsid w:val="00F27938"/>
    <w:rsid w:val="00F300DC"/>
    <w:rsid w:val="00F3153F"/>
    <w:rsid w:val="00F338AE"/>
    <w:rsid w:val="00F361DB"/>
    <w:rsid w:val="00F37B29"/>
    <w:rsid w:val="00F37E3F"/>
    <w:rsid w:val="00F44CF5"/>
    <w:rsid w:val="00F514C8"/>
    <w:rsid w:val="00F54D97"/>
    <w:rsid w:val="00F55A08"/>
    <w:rsid w:val="00F561F9"/>
    <w:rsid w:val="00F61EE3"/>
    <w:rsid w:val="00F62727"/>
    <w:rsid w:val="00F634AF"/>
    <w:rsid w:val="00F63687"/>
    <w:rsid w:val="00F64176"/>
    <w:rsid w:val="00F65F90"/>
    <w:rsid w:val="00F7042A"/>
    <w:rsid w:val="00F716DF"/>
    <w:rsid w:val="00F719B0"/>
    <w:rsid w:val="00F71A91"/>
    <w:rsid w:val="00F7226D"/>
    <w:rsid w:val="00F7464E"/>
    <w:rsid w:val="00F74D12"/>
    <w:rsid w:val="00F75E81"/>
    <w:rsid w:val="00F7642E"/>
    <w:rsid w:val="00F76DA0"/>
    <w:rsid w:val="00F773DE"/>
    <w:rsid w:val="00F802B2"/>
    <w:rsid w:val="00F80BAD"/>
    <w:rsid w:val="00F82E80"/>
    <w:rsid w:val="00F83849"/>
    <w:rsid w:val="00F83C94"/>
    <w:rsid w:val="00F84D60"/>
    <w:rsid w:val="00F903EC"/>
    <w:rsid w:val="00F96105"/>
    <w:rsid w:val="00F9633A"/>
    <w:rsid w:val="00FA0D51"/>
    <w:rsid w:val="00FA1639"/>
    <w:rsid w:val="00FA1B7F"/>
    <w:rsid w:val="00FA2908"/>
    <w:rsid w:val="00FA6EF1"/>
    <w:rsid w:val="00FB0558"/>
    <w:rsid w:val="00FB069B"/>
    <w:rsid w:val="00FB1D1E"/>
    <w:rsid w:val="00FB227F"/>
    <w:rsid w:val="00FB54A8"/>
    <w:rsid w:val="00FB6F78"/>
    <w:rsid w:val="00FB7F1B"/>
    <w:rsid w:val="00FC0A1D"/>
    <w:rsid w:val="00FC17B0"/>
    <w:rsid w:val="00FC32F3"/>
    <w:rsid w:val="00FC36BF"/>
    <w:rsid w:val="00FC416D"/>
    <w:rsid w:val="00FC472F"/>
    <w:rsid w:val="00FC590A"/>
    <w:rsid w:val="00FC5AB9"/>
    <w:rsid w:val="00FC7E00"/>
    <w:rsid w:val="00FD03FA"/>
    <w:rsid w:val="00FD124D"/>
    <w:rsid w:val="00FD17DA"/>
    <w:rsid w:val="00FD1FCD"/>
    <w:rsid w:val="00FD2969"/>
    <w:rsid w:val="00FD3D71"/>
    <w:rsid w:val="00FD54CF"/>
    <w:rsid w:val="00FD5591"/>
    <w:rsid w:val="00FE0CEF"/>
    <w:rsid w:val="00FE1299"/>
    <w:rsid w:val="00FE2296"/>
    <w:rsid w:val="00FE2E1E"/>
    <w:rsid w:val="00FE3DAD"/>
    <w:rsid w:val="00FE4705"/>
    <w:rsid w:val="00FE4803"/>
    <w:rsid w:val="00FE5C5A"/>
    <w:rsid w:val="00FE7CAE"/>
    <w:rsid w:val="00FF1334"/>
    <w:rsid w:val="00FF29EB"/>
    <w:rsid w:val="00FF3791"/>
    <w:rsid w:val="00FF620A"/>
    <w:rsid w:val="00FF6297"/>
    <w:rsid w:val="00FF6A6F"/>
    <w:rsid w:val="00FF6BFF"/>
    <w:rsid w:val="00FF6DFB"/>
    <w:rsid w:val="00FF765E"/>
    <w:rsid w:val="00FF7EE3"/>
    <w:rsid w:val="012810B4"/>
    <w:rsid w:val="01AC7AD0"/>
    <w:rsid w:val="05177A13"/>
    <w:rsid w:val="067B3F03"/>
    <w:rsid w:val="06AF4E79"/>
    <w:rsid w:val="084476A2"/>
    <w:rsid w:val="087F2A78"/>
    <w:rsid w:val="08887517"/>
    <w:rsid w:val="09274D51"/>
    <w:rsid w:val="0A3960E0"/>
    <w:rsid w:val="0C247805"/>
    <w:rsid w:val="0C8E798B"/>
    <w:rsid w:val="0CEA39BB"/>
    <w:rsid w:val="0D1A0C33"/>
    <w:rsid w:val="0D224C0A"/>
    <w:rsid w:val="0D63594E"/>
    <w:rsid w:val="0DB21CAC"/>
    <w:rsid w:val="0E816F27"/>
    <w:rsid w:val="0F852BA1"/>
    <w:rsid w:val="0FBA25F2"/>
    <w:rsid w:val="104E618E"/>
    <w:rsid w:val="10A32505"/>
    <w:rsid w:val="15AC3CB7"/>
    <w:rsid w:val="15EF1193"/>
    <w:rsid w:val="184F3D82"/>
    <w:rsid w:val="190B2F0F"/>
    <w:rsid w:val="198A2469"/>
    <w:rsid w:val="1A9B129F"/>
    <w:rsid w:val="1B440441"/>
    <w:rsid w:val="1C2838BF"/>
    <w:rsid w:val="210449FA"/>
    <w:rsid w:val="21FE341C"/>
    <w:rsid w:val="22C34341"/>
    <w:rsid w:val="22E42C5F"/>
    <w:rsid w:val="234436D4"/>
    <w:rsid w:val="236B4851"/>
    <w:rsid w:val="263A5741"/>
    <w:rsid w:val="279A25BF"/>
    <w:rsid w:val="280B2A12"/>
    <w:rsid w:val="282733D1"/>
    <w:rsid w:val="298C7B83"/>
    <w:rsid w:val="29D46E34"/>
    <w:rsid w:val="2A9C3CF7"/>
    <w:rsid w:val="2ABD484A"/>
    <w:rsid w:val="2ADE3FEA"/>
    <w:rsid w:val="2C7E318B"/>
    <w:rsid w:val="2C923702"/>
    <w:rsid w:val="31E83DC4"/>
    <w:rsid w:val="32E27652"/>
    <w:rsid w:val="356F671F"/>
    <w:rsid w:val="35AA1A60"/>
    <w:rsid w:val="3913435C"/>
    <w:rsid w:val="395A457E"/>
    <w:rsid w:val="3962445C"/>
    <w:rsid w:val="3CF5377D"/>
    <w:rsid w:val="3ECF7311"/>
    <w:rsid w:val="3FDA2F9E"/>
    <w:rsid w:val="3FF445A9"/>
    <w:rsid w:val="4057405E"/>
    <w:rsid w:val="407F2FED"/>
    <w:rsid w:val="41DD0CA1"/>
    <w:rsid w:val="428E22BD"/>
    <w:rsid w:val="429A6694"/>
    <w:rsid w:val="43D322F8"/>
    <w:rsid w:val="44254A04"/>
    <w:rsid w:val="4523159A"/>
    <w:rsid w:val="452E798F"/>
    <w:rsid w:val="45360AB0"/>
    <w:rsid w:val="457C7DBE"/>
    <w:rsid w:val="471C4A9D"/>
    <w:rsid w:val="476F4081"/>
    <w:rsid w:val="48270794"/>
    <w:rsid w:val="48771E1D"/>
    <w:rsid w:val="48802428"/>
    <w:rsid w:val="48E52647"/>
    <w:rsid w:val="497C6219"/>
    <w:rsid w:val="49FF69DD"/>
    <w:rsid w:val="4B3B3D49"/>
    <w:rsid w:val="4B9A240F"/>
    <w:rsid w:val="4BE551A5"/>
    <w:rsid w:val="4E395334"/>
    <w:rsid w:val="4F7028E9"/>
    <w:rsid w:val="4F9F1B0F"/>
    <w:rsid w:val="506863A4"/>
    <w:rsid w:val="51275030"/>
    <w:rsid w:val="515A3C47"/>
    <w:rsid w:val="52702EC8"/>
    <w:rsid w:val="53C953AC"/>
    <w:rsid w:val="5424142C"/>
    <w:rsid w:val="54FB6F56"/>
    <w:rsid w:val="552D40CE"/>
    <w:rsid w:val="56D72F63"/>
    <w:rsid w:val="573B036F"/>
    <w:rsid w:val="57485582"/>
    <w:rsid w:val="58382B00"/>
    <w:rsid w:val="591B0458"/>
    <w:rsid w:val="59570D64"/>
    <w:rsid w:val="59A81E0E"/>
    <w:rsid w:val="59DE3063"/>
    <w:rsid w:val="59F9238B"/>
    <w:rsid w:val="5B057838"/>
    <w:rsid w:val="5BE17A95"/>
    <w:rsid w:val="5D2C28F2"/>
    <w:rsid w:val="5F1C5B9B"/>
    <w:rsid w:val="5FBD2955"/>
    <w:rsid w:val="5FD94B86"/>
    <w:rsid w:val="61423D4E"/>
    <w:rsid w:val="616A131A"/>
    <w:rsid w:val="61B37EBF"/>
    <w:rsid w:val="63071A4D"/>
    <w:rsid w:val="63A728E8"/>
    <w:rsid w:val="64886B69"/>
    <w:rsid w:val="653507B6"/>
    <w:rsid w:val="657D51CC"/>
    <w:rsid w:val="65B25181"/>
    <w:rsid w:val="66297415"/>
    <w:rsid w:val="686E0851"/>
    <w:rsid w:val="68F941A9"/>
    <w:rsid w:val="6CA5589A"/>
    <w:rsid w:val="6D362951"/>
    <w:rsid w:val="6DCF05A0"/>
    <w:rsid w:val="6E7B0565"/>
    <w:rsid w:val="6EDA25D2"/>
    <w:rsid w:val="6F31134B"/>
    <w:rsid w:val="6F905337"/>
    <w:rsid w:val="6F9B59F7"/>
    <w:rsid w:val="70E7268E"/>
    <w:rsid w:val="720860A3"/>
    <w:rsid w:val="74985512"/>
    <w:rsid w:val="750202C6"/>
    <w:rsid w:val="7581743D"/>
    <w:rsid w:val="760F2C9B"/>
    <w:rsid w:val="7617385D"/>
    <w:rsid w:val="79076CB3"/>
    <w:rsid w:val="7971702E"/>
    <w:rsid w:val="7A4B4C7D"/>
    <w:rsid w:val="7AC322A6"/>
    <w:rsid w:val="7D697134"/>
    <w:rsid w:val="7E527BC8"/>
    <w:rsid w:val="7F9079BA"/>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22" w:semiHidden="0" w:name="Strong"/>
    <w:lsdException w:qFormat="1" w:unhideWhenUsed="0" w:uiPriority="20" w:semiHidden="0" w:name="Emphasis"/>
    <w:lsdException w:qFormat="1" w:unhideWhenUsed="0" w:uiPriority="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autoRedefine/>
    <w:qFormat/>
    <w:uiPriority w:val="0"/>
    <w:pPr>
      <w:keepNext/>
      <w:keepLines/>
      <w:spacing w:before="340" w:after="330" w:line="578" w:lineRule="auto"/>
      <w:outlineLvl w:val="0"/>
    </w:pPr>
    <w:rPr>
      <w:b/>
      <w:bCs/>
      <w:kern w:val="44"/>
      <w:sz w:val="44"/>
      <w:szCs w:val="44"/>
    </w:rPr>
  </w:style>
  <w:style w:type="paragraph" w:styleId="4">
    <w:name w:val="heading 2"/>
    <w:basedOn w:val="1"/>
    <w:next w:val="1"/>
    <w:link w:val="44"/>
    <w:qFormat/>
    <w:uiPriority w:val="0"/>
    <w:pPr>
      <w:keepNext/>
      <w:keepLines/>
      <w:spacing w:before="260" w:after="260" w:line="416" w:lineRule="auto"/>
      <w:outlineLvl w:val="1"/>
    </w:pPr>
    <w:rPr>
      <w:rFonts w:ascii="Arial" w:hAnsi="Arial" w:eastAsia="黑体"/>
      <w:b/>
      <w:bCs/>
      <w:sz w:val="32"/>
      <w:szCs w:val="32"/>
    </w:rPr>
  </w:style>
  <w:style w:type="paragraph" w:styleId="5">
    <w:name w:val="heading 3"/>
    <w:basedOn w:val="1"/>
    <w:next w:val="6"/>
    <w:link w:val="29"/>
    <w:autoRedefine/>
    <w:qFormat/>
    <w:uiPriority w:val="0"/>
    <w:pPr>
      <w:keepNext/>
      <w:keepLines/>
      <w:spacing w:before="260" w:after="260" w:line="416" w:lineRule="auto"/>
      <w:outlineLvl w:val="2"/>
    </w:pPr>
    <w:rPr>
      <w:b/>
      <w:sz w:val="32"/>
      <w:szCs w:val="20"/>
    </w:rPr>
  </w:style>
  <w:style w:type="paragraph" w:styleId="7">
    <w:name w:val="heading 4"/>
    <w:basedOn w:val="1"/>
    <w:next w:val="1"/>
    <w:link w:val="30"/>
    <w:autoRedefine/>
    <w:qFormat/>
    <w:uiPriority w:val="0"/>
    <w:pPr>
      <w:keepNext/>
      <w:keepLines/>
      <w:spacing w:before="280" w:after="290" w:line="376" w:lineRule="auto"/>
      <w:outlineLvl w:val="3"/>
    </w:pPr>
    <w:rPr>
      <w:rFonts w:ascii="Arial" w:hAnsi="Arial" w:eastAsia="黑体"/>
      <w:b/>
      <w:bCs/>
      <w:sz w:val="28"/>
      <w:szCs w:val="28"/>
    </w:rPr>
  </w:style>
  <w:style w:type="character" w:default="1" w:styleId="21">
    <w:name w:val="Default Paragraph Font"/>
    <w:autoRedefine/>
    <w:semiHidden/>
    <w:unhideWhenUsed/>
    <w:qFormat/>
    <w:uiPriority w:val="1"/>
  </w:style>
  <w:style w:type="table" w:default="1" w:styleId="19">
    <w:name w:val="Normal Table"/>
    <w:autoRedefine/>
    <w:semiHidden/>
    <w:unhideWhenUsed/>
    <w:qFormat/>
    <w:uiPriority w:val="99"/>
    <w:tblPr>
      <w:tblCellMar>
        <w:top w:w="0" w:type="dxa"/>
        <w:left w:w="108" w:type="dxa"/>
        <w:bottom w:w="0" w:type="dxa"/>
        <w:right w:w="108" w:type="dxa"/>
      </w:tblCellMar>
    </w:tblPr>
  </w:style>
  <w:style w:type="paragraph" w:styleId="2">
    <w:name w:val="Body Text"/>
    <w:basedOn w:val="1"/>
    <w:next w:val="1"/>
    <w:qFormat/>
    <w:uiPriority w:val="0"/>
    <w:pPr>
      <w:snapToGrid w:val="0"/>
      <w:spacing w:afterAutospacing="0" w:line="360" w:lineRule="auto"/>
      <w:ind w:firstLine="560" w:firstLineChars="200"/>
      <w:jc w:val="left"/>
    </w:pPr>
    <w:rPr>
      <w:rFonts w:ascii="宋体" w:hAnsi="宋体" w:eastAsia="宋体"/>
      <w:sz w:val="24"/>
      <w:szCs w:val="28"/>
    </w:rPr>
  </w:style>
  <w:style w:type="paragraph" w:styleId="6">
    <w:name w:val="Normal Indent"/>
    <w:basedOn w:val="1"/>
    <w:link w:val="35"/>
    <w:qFormat/>
    <w:uiPriority w:val="0"/>
    <w:pPr>
      <w:ind w:firstLine="420" w:firstLineChars="200"/>
    </w:pPr>
  </w:style>
  <w:style w:type="paragraph" w:styleId="8">
    <w:name w:val="Document Map"/>
    <w:basedOn w:val="1"/>
    <w:semiHidden/>
    <w:qFormat/>
    <w:uiPriority w:val="0"/>
    <w:pPr>
      <w:shd w:val="clear" w:color="auto" w:fill="000080"/>
    </w:pPr>
  </w:style>
  <w:style w:type="paragraph" w:styleId="9">
    <w:name w:val="Body Text Indent"/>
    <w:basedOn w:val="1"/>
    <w:qFormat/>
    <w:uiPriority w:val="0"/>
    <w:pPr>
      <w:spacing w:after="120"/>
      <w:ind w:left="420" w:leftChars="200"/>
    </w:pPr>
  </w:style>
  <w:style w:type="paragraph" w:styleId="10">
    <w:name w:val="Plain Text"/>
    <w:basedOn w:val="1"/>
    <w:link w:val="34"/>
    <w:qFormat/>
    <w:uiPriority w:val="0"/>
    <w:pPr>
      <w:widowControl/>
      <w:spacing w:after="200" w:line="252" w:lineRule="auto"/>
      <w:jc w:val="left"/>
    </w:pPr>
    <w:rPr>
      <w:rFonts w:ascii="宋体" w:hAnsi="Courier New"/>
      <w:szCs w:val="20"/>
    </w:rPr>
  </w:style>
  <w:style w:type="paragraph" w:styleId="11">
    <w:name w:val="Date"/>
    <w:basedOn w:val="1"/>
    <w:next w:val="1"/>
    <w:link w:val="25"/>
    <w:qFormat/>
    <w:uiPriority w:val="0"/>
    <w:rPr>
      <w:sz w:val="24"/>
      <w:szCs w:val="20"/>
    </w:rPr>
  </w:style>
  <w:style w:type="paragraph" w:styleId="12">
    <w:name w:val="Balloon Text"/>
    <w:basedOn w:val="1"/>
    <w:link w:val="27"/>
    <w:qFormat/>
    <w:uiPriority w:val="0"/>
    <w:rPr>
      <w:sz w:val="18"/>
      <w:szCs w:val="18"/>
    </w:rPr>
  </w:style>
  <w:style w:type="paragraph" w:styleId="13">
    <w:name w:val="footer"/>
    <w:basedOn w:val="1"/>
    <w:qFormat/>
    <w:uiPriority w:val="0"/>
    <w:pPr>
      <w:tabs>
        <w:tab w:val="center" w:pos="4153"/>
        <w:tab w:val="right" w:pos="8306"/>
      </w:tabs>
      <w:snapToGrid w:val="0"/>
      <w:jc w:val="left"/>
    </w:pPr>
    <w:rPr>
      <w:sz w:val="18"/>
      <w:szCs w:val="18"/>
    </w:rPr>
  </w:style>
  <w:style w:type="paragraph" w:styleId="14">
    <w:name w:val="header"/>
    <w:basedOn w:val="1"/>
    <w:link w:val="36"/>
    <w:autoRedefine/>
    <w:qFormat/>
    <w:uiPriority w:val="99"/>
    <w:pPr>
      <w:pBdr>
        <w:bottom w:val="single" w:color="auto" w:sz="6" w:space="1"/>
      </w:pBdr>
      <w:tabs>
        <w:tab w:val="center" w:pos="4153"/>
        <w:tab w:val="right" w:pos="8306"/>
      </w:tabs>
      <w:snapToGrid w:val="0"/>
      <w:jc w:val="center"/>
    </w:pPr>
    <w:rPr>
      <w:sz w:val="18"/>
      <w:szCs w:val="18"/>
    </w:rPr>
  </w:style>
  <w:style w:type="paragraph" w:styleId="15">
    <w:name w:val="toc 1"/>
    <w:basedOn w:val="1"/>
    <w:next w:val="1"/>
    <w:qFormat/>
    <w:uiPriority w:val="0"/>
  </w:style>
  <w:style w:type="paragraph" w:styleId="16">
    <w:name w:val="Body Text Indent 3"/>
    <w:basedOn w:val="1"/>
    <w:link w:val="26"/>
    <w:qFormat/>
    <w:uiPriority w:val="0"/>
    <w:pPr>
      <w:spacing w:after="120"/>
      <w:ind w:left="420" w:leftChars="200"/>
    </w:pPr>
    <w:rPr>
      <w:sz w:val="16"/>
      <w:szCs w:val="16"/>
    </w:rPr>
  </w:style>
  <w:style w:type="paragraph" w:styleId="17">
    <w:name w:val="toc 2"/>
    <w:basedOn w:val="1"/>
    <w:next w:val="1"/>
    <w:qFormat/>
    <w:uiPriority w:val="0"/>
    <w:pPr>
      <w:ind w:left="420" w:leftChars="200"/>
    </w:pPr>
  </w:style>
  <w:style w:type="paragraph" w:styleId="18">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table" w:styleId="20">
    <w:name w:val="Table Grid"/>
    <w:basedOn w:val="1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2">
    <w:name w:val="Strong"/>
    <w:basedOn w:val="21"/>
    <w:qFormat/>
    <w:uiPriority w:val="22"/>
    <w:rPr>
      <w:b/>
      <w:bCs/>
    </w:rPr>
  </w:style>
  <w:style w:type="character" w:styleId="23">
    <w:name w:val="page number"/>
    <w:basedOn w:val="21"/>
    <w:qFormat/>
    <w:uiPriority w:val="0"/>
  </w:style>
  <w:style w:type="character" w:styleId="24">
    <w:name w:val="Emphasis"/>
    <w:basedOn w:val="21"/>
    <w:qFormat/>
    <w:uiPriority w:val="20"/>
    <w:rPr>
      <w:i/>
      <w:iCs/>
    </w:rPr>
  </w:style>
  <w:style w:type="character" w:customStyle="1" w:styleId="25">
    <w:name w:val="日期 Char"/>
    <w:basedOn w:val="21"/>
    <w:link w:val="11"/>
    <w:qFormat/>
    <w:uiPriority w:val="0"/>
    <w:rPr>
      <w:kern w:val="2"/>
      <w:sz w:val="24"/>
    </w:rPr>
  </w:style>
  <w:style w:type="character" w:customStyle="1" w:styleId="26">
    <w:name w:val="正文文本缩进 3 Char"/>
    <w:basedOn w:val="21"/>
    <w:link w:val="16"/>
    <w:autoRedefine/>
    <w:qFormat/>
    <w:uiPriority w:val="0"/>
    <w:rPr>
      <w:kern w:val="2"/>
      <w:sz w:val="16"/>
      <w:szCs w:val="16"/>
    </w:rPr>
  </w:style>
  <w:style w:type="character" w:customStyle="1" w:styleId="27">
    <w:name w:val="批注框文本 Char"/>
    <w:basedOn w:val="21"/>
    <w:link w:val="12"/>
    <w:qFormat/>
    <w:uiPriority w:val="0"/>
    <w:rPr>
      <w:kern w:val="2"/>
      <w:sz w:val="18"/>
      <w:szCs w:val="18"/>
    </w:rPr>
  </w:style>
  <w:style w:type="character" w:customStyle="1" w:styleId="28">
    <w:name w:val="纯文本 Char"/>
    <w:autoRedefine/>
    <w:qFormat/>
    <w:uiPriority w:val="99"/>
    <w:rPr>
      <w:rFonts w:ascii="宋体" w:hAnsi="Courier New"/>
      <w:kern w:val="2"/>
      <w:sz w:val="21"/>
    </w:rPr>
  </w:style>
  <w:style w:type="character" w:customStyle="1" w:styleId="29">
    <w:name w:val="标题 3 Char"/>
    <w:basedOn w:val="21"/>
    <w:link w:val="5"/>
    <w:qFormat/>
    <w:uiPriority w:val="0"/>
    <w:rPr>
      <w:b/>
      <w:kern w:val="2"/>
      <w:sz w:val="32"/>
    </w:rPr>
  </w:style>
  <w:style w:type="character" w:customStyle="1" w:styleId="30">
    <w:name w:val="标题 4 Char"/>
    <w:basedOn w:val="21"/>
    <w:link w:val="7"/>
    <w:autoRedefine/>
    <w:qFormat/>
    <w:uiPriority w:val="0"/>
    <w:rPr>
      <w:rFonts w:ascii="Arial" w:hAnsi="Arial" w:eastAsia="黑体"/>
      <w:b/>
      <w:bCs/>
      <w:kern w:val="2"/>
      <w:sz w:val="28"/>
      <w:szCs w:val="28"/>
    </w:rPr>
  </w:style>
  <w:style w:type="character" w:customStyle="1" w:styleId="31">
    <w:name w:val="正文缩进2格 Char"/>
    <w:link w:val="32"/>
    <w:qFormat/>
    <w:uiPriority w:val="0"/>
    <w:rPr>
      <w:rFonts w:ascii="仿宋_GB2312" w:hAnsi="宋体" w:eastAsia="仿宋_GB2312"/>
      <w:sz w:val="31"/>
      <w:szCs w:val="28"/>
      <w:lang w:bidi="ar-SA"/>
    </w:rPr>
  </w:style>
  <w:style w:type="paragraph" w:customStyle="1" w:styleId="32">
    <w:name w:val="正文缩进2格"/>
    <w:basedOn w:val="1"/>
    <w:link w:val="31"/>
    <w:qFormat/>
    <w:uiPriority w:val="0"/>
    <w:pPr>
      <w:spacing w:line="600" w:lineRule="exact"/>
      <w:ind w:firstLine="639" w:firstLineChars="206"/>
    </w:pPr>
    <w:rPr>
      <w:rFonts w:ascii="仿宋_GB2312" w:hAnsi="宋体" w:eastAsia="仿宋_GB2312"/>
      <w:kern w:val="0"/>
      <w:sz w:val="31"/>
      <w:szCs w:val="28"/>
    </w:rPr>
  </w:style>
  <w:style w:type="character" w:customStyle="1" w:styleId="33">
    <w:name w:val="纯文本 Char2"/>
    <w:basedOn w:val="21"/>
    <w:qFormat/>
    <w:uiPriority w:val="0"/>
    <w:rPr>
      <w:rFonts w:ascii="宋体" w:hAnsi="Courier New" w:eastAsia="宋体"/>
      <w:kern w:val="2"/>
      <w:sz w:val="24"/>
      <w:lang w:val="en-US" w:eastAsia="zh-CN" w:bidi="ar-SA"/>
    </w:rPr>
  </w:style>
  <w:style w:type="character" w:customStyle="1" w:styleId="34">
    <w:name w:val="纯文本 Char1"/>
    <w:basedOn w:val="21"/>
    <w:link w:val="10"/>
    <w:qFormat/>
    <w:uiPriority w:val="0"/>
    <w:rPr>
      <w:rFonts w:ascii="宋体" w:hAnsi="Courier New" w:cs="Courier New"/>
      <w:kern w:val="2"/>
      <w:sz w:val="21"/>
      <w:szCs w:val="21"/>
    </w:rPr>
  </w:style>
  <w:style w:type="character" w:customStyle="1" w:styleId="35">
    <w:name w:val="正文缩进 Char"/>
    <w:link w:val="6"/>
    <w:qFormat/>
    <w:uiPriority w:val="0"/>
    <w:rPr>
      <w:rFonts w:eastAsia="宋体"/>
      <w:kern w:val="2"/>
      <w:sz w:val="21"/>
      <w:szCs w:val="24"/>
      <w:lang w:val="en-US" w:eastAsia="zh-CN" w:bidi="ar-SA"/>
    </w:rPr>
  </w:style>
  <w:style w:type="character" w:customStyle="1" w:styleId="36">
    <w:name w:val="页眉 Char"/>
    <w:link w:val="14"/>
    <w:qFormat/>
    <w:uiPriority w:val="99"/>
    <w:rPr>
      <w:kern w:val="2"/>
      <w:sz w:val="18"/>
      <w:szCs w:val="18"/>
    </w:rPr>
  </w:style>
  <w:style w:type="paragraph" w:customStyle="1" w:styleId="37">
    <w:name w:val="Char"/>
    <w:basedOn w:val="8"/>
    <w:qFormat/>
    <w:uiPriority w:val="0"/>
    <w:rPr>
      <w:rFonts w:ascii="Tahoma" w:hAnsi="Tahoma"/>
      <w:sz w:val="24"/>
    </w:rPr>
  </w:style>
  <w:style w:type="paragraph" w:customStyle="1" w:styleId="38">
    <w:name w:val="普通正文"/>
    <w:basedOn w:val="1"/>
    <w:qFormat/>
    <w:uiPriority w:val="0"/>
    <w:pPr>
      <w:adjustRightInd w:val="0"/>
      <w:spacing w:before="120" w:after="120" w:line="360" w:lineRule="auto"/>
      <w:ind w:firstLine="480"/>
      <w:jc w:val="left"/>
      <w:textAlignment w:val="baseline"/>
    </w:pPr>
    <w:rPr>
      <w:rFonts w:ascii="Arial" w:hAnsi="Arial"/>
      <w:kern w:val="0"/>
      <w:sz w:val="24"/>
    </w:rPr>
  </w:style>
  <w:style w:type="paragraph" w:customStyle="1" w:styleId="39">
    <w:name w:val="msonormalcxspmiddle"/>
    <w:basedOn w:val="1"/>
    <w:qFormat/>
    <w:uiPriority w:val="0"/>
    <w:pPr>
      <w:widowControl/>
      <w:spacing w:before="100" w:beforeAutospacing="1" w:after="100" w:afterAutospacing="1"/>
      <w:jc w:val="left"/>
    </w:pPr>
    <w:rPr>
      <w:rFonts w:ascii="宋体" w:hAnsi="宋体" w:cs="宋体"/>
      <w:kern w:val="0"/>
      <w:sz w:val="24"/>
    </w:rPr>
  </w:style>
  <w:style w:type="paragraph" w:customStyle="1" w:styleId="40">
    <w:name w:val="Char1"/>
    <w:basedOn w:val="1"/>
    <w:qFormat/>
    <w:uiPriority w:val="0"/>
    <w:pPr>
      <w:tabs>
        <w:tab w:val="left" w:pos="360"/>
      </w:tabs>
    </w:pPr>
    <w:rPr>
      <w:color w:val="000000"/>
      <w:sz w:val="24"/>
    </w:rPr>
  </w:style>
  <w:style w:type="paragraph" w:customStyle="1" w:styleId="41">
    <w:name w:val="Char Char Char Char"/>
    <w:basedOn w:val="8"/>
    <w:qFormat/>
    <w:uiPriority w:val="0"/>
    <w:pPr>
      <w:adjustRightInd w:val="0"/>
      <w:snapToGrid w:val="0"/>
      <w:spacing w:line="360" w:lineRule="auto"/>
    </w:pPr>
    <w:rPr>
      <w:szCs w:val="20"/>
    </w:rPr>
  </w:style>
  <w:style w:type="character" w:customStyle="1" w:styleId="42">
    <w:name w:val="p0 Char"/>
    <w:link w:val="43"/>
    <w:qFormat/>
    <w:uiPriority w:val="0"/>
    <w:rPr>
      <w:sz w:val="21"/>
      <w:szCs w:val="21"/>
    </w:rPr>
  </w:style>
  <w:style w:type="paragraph" w:customStyle="1" w:styleId="43">
    <w:name w:val="p0"/>
    <w:basedOn w:val="1"/>
    <w:link w:val="42"/>
    <w:qFormat/>
    <w:uiPriority w:val="0"/>
    <w:pPr>
      <w:widowControl/>
    </w:pPr>
    <w:rPr>
      <w:kern w:val="0"/>
      <w:szCs w:val="21"/>
    </w:rPr>
  </w:style>
  <w:style w:type="character" w:customStyle="1" w:styleId="44">
    <w:name w:val="标题 2 Char"/>
    <w:link w:val="4"/>
    <w:qFormat/>
    <w:uiPriority w:val="0"/>
    <w:rPr>
      <w:rFonts w:ascii="Arial" w:hAnsi="Arial" w:eastAsia="黑体"/>
      <w:b/>
      <w:bCs/>
      <w:kern w:val="2"/>
      <w:sz w:val="32"/>
      <w:szCs w:val="32"/>
    </w:rPr>
  </w:style>
  <w:style w:type="paragraph" w:customStyle="1" w:styleId="45">
    <w:name w:val="*正文"/>
    <w:basedOn w:val="1"/>
    <w:qFormat/>
    <w:uiPriority w:val="99"/>
    <w:pPr>
      <w:snapToGrid w:val="0"/>
      <w:spacing w:line="360" w:lineRule="auto"/>
      <w:ind w:firstLine="482"/>
      <w:textAlignment w:val="auto"/>
    </w:pPr>
    <w:rPr>
      <w:rFonts w:eastAsia="仿宋_GB2312"/>
      <w:sz w:val="28"/>
    </w:rPr>
  </w:style>
  <w:style w:type="paragraph" w:styleId="46">
    <w:name w:val="List Paragraph"/>
    <w:basedOn w:val="1"/>
    <w:qFormat/>
    <w:uiPriority w:val="1"/>
    <w:pPr>
      <w:ind w:left="326" w:right="411" w:firstLine="561"/>
    </w:pPr>
    <w:rPr>
      <w:rFonts w:ascii="仿宋" w:hAnsi="仿宋" w:eastAsia="仿宋" w:cs="仿宋"/>
      <w:lang w:val="zh-CN" w:eastAsia="zh-CN" w:bidi="zh-CN"/>
    </w:rPr>
  </w:style>
  <w:style w:type="paragraph" w:customStyle="1" w:styleId="47">
    <w:name w:val="Table Paragraph"/>
    <w:basedOn w:val="1"/>
    <w:qFormat/>
    <w:uiPriority w:val="1"/>
    <w:rPr>
      <w:rFonts w:ascii="仿宋" w:hAnsi="仿宋" w:eastAsia="仿宋" w:cs="仿宋"/>
      <w:lang w:val="zh-CN" w:eastAsia="zh-CN" w:bidi="zh-CN"/>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kdc</Company>
  <Pages>64</Pages>
  <Words>11783</Words>
  <Characters>13196</Characters>
  <Lines>226</Lines>
  <Paragraphs>63</Paragraphs>
  <TotalTime>14</TotalTime>
  <ScaleCrop>false</ScaleCrop>
  <LinksUpToDate>false</LinksUpToDate>
  <CharactersWithSpaces>13417</CharactersWithSpaces>
  <Application>WPS Office_12.1.0.29158_F1E327BC-269C-435d-A152-05C5408002CA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2023-07-31T00:19:00Z</dcterms:created>
  <dc:creator>chencd</dc:creator>
  <cp:lastModifiedBy>经天纬地 公司账号</cp:lastModifiedBy>
  <cp:lastPrinted>2026-10-15T07:05:00Z</cp:lastPrinted>
  <dcterms:modified xsi:type="dcterms:W3CDTF">2026-10-20T09:52:30Z</dcterms:modified>
  <dc:title>招标技术规格及要求</dc:title>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2052-12.1.0.29158</vt:lpwstr>
  </property>
  <property fmtid="{D5CDD505-2E9C-101B-9397-08002B2CF9AE}" pid="3" name="ICV">
    <vt:lpwstr>3181A4737C7847D8BCBB6D283DFC313F_13</vt:lpwstr>
  </property>
  <property fmtid="{D5CDD505-2E9C-101B-9397-08002B2CF9AE}" pid="4" name="KSOTemplateDocerSaveRecord">
    <vt:lpwstr>eyJoZGlkIjoiYjY1NDc3Y2ZmNWE2NGYwMjEyNDk1MzZhMjRkZjhiOGMiLCJ1c2VySWQiOiIxMDMxNTEzNjU1In0=</vt:lpwstr>
  </property>
</Properties>
</file>