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z w:val="96"/>
          <w:szCs w:val="96"/>
          <w:highlight w:val="none"/>
        </w:rPr>
      </w:pPr>
      <w:r>
        <w:rPr>
          <w:rFonts w:ascii="宋体" w:hAnsi="宋体" w:cs="宋体"/>
          <w:b/>
          <w:color w:val="auto"/>
          <w:sz w:val="96"/>
          <w:szCs w:val="96"/>
          <w:highlight w:val="none"/>
        </w:rPr>
      </w:r>
      <w:r/>
    </w:p>
    <w:p>
      <w:pPr>
        <w:jc w:val="center"/>
        <w:rPr>
          <w:rFonts w:ascii="宋体" w:hAnsi="宋体" w:cs="宋体"/>
          <w:b/>
          <w:color w:val="auto"/>
          <w:spacing w:val="40"/>
          <w:sz w:val="72"/>
          <w:szCs w:val="72"/>
          <w:highlight w:val="none"/>
        </w:rPr>
      </w:pPr>
      <w:r/>
      <w:bookmarkStart w:id="0" w:name="_Toc23250"/>
      <w:r>
        <w:rPr>
          <w:rFonts w:hint="eastAsia" w:ascii="宋体" w:hAnsi="宋体" w:cs="宋体"/>
          <w:b/>
          <w:color w:val="auto"/>
          <w:spacing w:val="40"/>
          <w:sz w:val="72"/>
          <w:szCs w:val="72"/>
          <w:highlight w:val="none"/>
        </w:rPr>
        <w:t xml:space="preserve">苏州市吴江区政府采购</w:t>
      </w:r>
      <w:bookmarkEnd w:id="0"/>
      <w:r/>
      <w:r/>
    </w:p>
    <w:p>
      <w:pPr>
        <w:jc w:val="center"/>
        <w:rPr>
          <w:rFonts w:hint="eastAsia" w:ascii="宋体" w:hAnsi="宋体" w:cs="宋体"/>
          <w:b/>
          <w:color w:val="auto"/>
          <w:spacing w:val="20"/>
          <w:sz w:val="72"/>
          <w:szCs w:val="72"/>
          <w:highlight w:val="none"/>
        </w:rPr>
      </w:pPr>
      <w:r/>
      <w:bookmarkStart w:id="1" w:name="_Toc21822"/>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bookmarkEnd w:id="1"/>
      <w:r/>
      <w:r/>
    </w:p>
    <w:p>
      <w:pPr>
        <w:jc w:val="center"/>
        <w:rPr>
          <w:rFonts w:ascii="宋体" w:hAnsi="宋体" w:cs="宋体"/>
          <w:color w:val="auto"/>
          <w:highlight w:val="none"/>
        </w:rPr>
      </w:pPr>
      <w:r>
        <w:rPr>
          <w:rFonts w:ascii="宋体" w:hAnsi="宋体" w:cs="宋体"/>
          <w:color w:val="auto"/>
          <w:highlight w:val="none"/>
        </w:rPr>
      </w:r>
      <w:r/>
    </w:p>
    <w:p>
      <w:pPr>
        <w:pStyle w:val="1115"/>
        <w:spacing w:before="156" w:after="156"/>
        <w:rPr>
          <w:rFonts w:cs="宋体"/>
          <w:color w:val="auto"/>
          <w:highlight w:val="none"/>
        </w:rPr>
      </w:pPr>
      <w:r>
        <w:rPr>
          <w:rFonts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项目编号</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eastAsia="zh-CN"/>
        </w:rPr>
        <w:t xml:space="preserve">JSZC-320509-SZTY-C2026-0008</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2"/>
          <w:szCs w:val="32"/>
          <w:highlight w:val="none"/>
          <w:lang w:eastAsia="zh-CN"/>
        </w:rPr>
        <w:t xml:space="preserve">兴黎社区综合服务项目</w:t>
      </w:r>
      <w:r/>
    </w:p>
    <w:p>
      <w:pPr>
        <w:ind w:firstLine="1200"/>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bookmarkStart w:id="2" w:name="OLE_LINK20"/>
      <w:r>
        <w:rPr>
          <w:rFonts w:hint="eastAsia" w:ascii="宋体" w:hAnsi="宋体" w:cs="宋体"/>
          <w:color w:val="auto"/>
          <w:sz w:val="30"/>
          <w:szCs w:val="30"/>
          <w:highlight w:val="none"/>
          <w:lang w:eastAsia="zh-CN"/>
        </w:rPr>
        <w:t xml:space="preserve">江苏省汾湖高新技术产业开发区黎里古镇开发保护区管理办公室</w:t>
      </w:r>
      <w:bookmarkEnd w:id="2"/>
      <w:r/>
      <w:r/>
    </w:p>
    <w:p>
      <w:pPr>
        <w:jc w:val="center"/>
        <w:rPr>
          <w:rFonts w:ascii="宋体" w:hAnsi="宋体" w:cs="宋体"/>
          <w:color w:val="auto"/>
          <w:spacing w:val="-14"/>
          <w:sz w:val="30"/>
          <w:highlight w:val="none"/>
        </w:rPr>
      </w:pPr>
      <w:r>
        <w:rPr>
          <w:rFonts w:ascii="宋体" w:hAnsi="宋体" w:cs="宋体"/>
          <w:color w:val="auto"/>
          <w:spacing w:val="-14"/>
          <w:sz w:val="30"/>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0"/>
          <w:szCs w:val="30"/>
          <w:highlight w:val="none"/>
        </w:rPr>
      </w:pPr>
      <w:r>
        <w:rPr>
          <w:rFonts w:hint="eastAsia" w:ascii="宋体" w:hAnsi="宋体" w:cs="宋体"/>
          <w:color w:val="auto"/>
          <w:sz w:val="30"/>
          <w:szCs w:val="30"/>
          <w:highlight w:val="none"/>
        </w:rPr>
        <w:t xml:space="preserve">苏州通宜房地产土地评估咨询有限公司</w:t>
      </w:r>
      <w:r/>
    </w:p>
    <w:p>
      <w:pPr>
        <w:jc w:val="center"/>
        <w:rPr>
          <w:rFonts w:ascii="宋体" w:hAnsi="宋体" w:cs="宋体"/>
          <w:color w:val="auto"/>
          <w:sz w:val="30"/>
          <w:szCs w:val="30"/>
          <w:highlight w:val="none"/>
          <w:lang w:val="zh-CN"/>
        </w:rPr>
      </w:pPr>
      <w:r>
        <w:rPr>
          <w:rFonts w:hint="eastAsia" w:ascii="宋体" w:hAnsi="宋体" w:cs="宋体"/>
          <w:color w:val="auto"/>
          <w:sz w:val="30"/>
          <w:szCs w:val="30"/>
          <w:highlight w:val="none"/>
          <w:lang w:val="zh-CN"/>
        </w:rPr>
        <w:t xml:space="preserve">二</w:t>
      </w:r>
      <w:r>
        <w:rPr>
          <w:rFonts w:hint="eastAsia" w:ascii="宋体" w:hAnsi="宋体" w:cs="宋体"/>
          <w:color w:val="auto"/>
          <w:sz w:val="30"/>
          <w:szCs w:val="30"/>
          <w:highlight w:val="none"/>
        </w:rPr>
        <w:t xml:space="preserve">〇二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lang w:val="zh-CN"/>
        </w:rPr>
        <w:t xml:space="preserve">年</w:t>
      </w:r>
      <w:r>
        <w:rPr>
          <w:rFonts w:hint="eastAsia" w:ascii="宋体" w:hAnsi="宋体" w:cs="宋体"/>
          <w:color w:val="auto"/>
          <w:sz w:val="30"/>
          <w:szCs w:val="30"/>
          <w:highlight w:val="none"/>
        </w:rPr>
        <w:t xml:space="preserve">九月</w:t>
      </w:r>
      <w:r/>
    </w:p>
    <w:p>
      <w:pPr>
        <w:jc w:val="center"/>
        <w:rPr>
          <w:rFonts w:ascii="宋体" w:hAnsi="宋体" w:cs="宋体"/>
          <w:b/>
          <w:color w:val="auto"/>
          <w:sz w:val="52"/>
          <w:szCs w:val="52"/>
          <w:highlight w:val="none"/>
        </w:rPr>
      </w:pPr>
      <w:r/>
      <w:bookmarkStart w:id="3" w:name="_Toc27525"/>
      <w:r/>
      <w:r/>
    </w:p>
    <w:p>
      <w:pPr>
        <w:jc w:val="center"/>
        <w:rPr>
          <w:rFonts w:ascii="宋体" w:hAnsi="宋体" w:cs="宋体"/>
          <w:b/>
          <w:color w:val="auto"/>
          <w:sz w:val="52"/>
          <w:szCs w:val="52"/>
          <w:highlight w:val="none"/>
        </w:rPr>
        <w:sectPr>
          <w:headerReference w:type="default" r:id="rId9"/>
          <w:footerReference w:type="default" r:id="rId11"/>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b/>
          <w:color w:val="auto"/>
          <w:sz w:val="52"/>
          <w:szCs w:val="52"/>
          <w:highlight w:val="none"/>
        </w:rPr>
      </w:r>
      <w:r/>
    </w:p>
    <w:p>
      <w:pPr>
        <w:jc w:val="center"/>
        <w:pageBreakBefore/>
        <w:rPr>
          <w:rFonts w:ascii="宋体" w:hAnsi="宋体" w:cs="宋体"/>
          <w:b/>
          <w:color w:val="auto"/>
          <w:sz w:val="32"/>
          <w:highlight w:val="none"/>
        </w:rPr>
      </w:pPr>
      <w:r>
        <w:rPr>
          <w:rFonts w:hint="eastAsia" w:ascii="宋体" w:hAnsi="宋体" w:cs="宋体"/>
          <w:b/>
          <w:color w:val="auto"/>
          <w:sz w:val="32"/>
          <w:highlight w:val="none"/>
        </w:rPr>
        <w:t xml:space="preserve">前附表</w:t>
      </w:r>
      <w:r/>
    </w:p>
    <w:p>
      <w:pPr>
        <w:pStyle w:val="886"/>
        <w:ind w:firstLine="420"/>
        <w:rPr>
          <w:rFonts w:ascii="宋体" w:hAnsi="宋体" w:cs="宋体"/>
          <w:color w:val="auto"/>
          <w:highlight w:val="none"/>
        </w:rPr>
      </w:pPr>
      <w:r>
        <w:rPr>
          <w:rFonts w:hint="eastAsia" w:ascii="宋体" w:hAnsi="宋体" w:cs="宋体"/>
          <w:color w:val="auto"/>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2009"/>
        <w:gridCol w:w="5569"/>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兴黎社区综合服务项目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预算金额（元）</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ind w:firstLine="420"/>
              <w:rPr>
                <w:rFonts w:hint="eastAsia" w:eastAsia="宋体"/>
                <w:color w:val="auto"/>
                <w:highlight w:val="none"/>
                <w:lang w:eastAsia="zh-CN"/>
              </w:rPr>
            </w:pPr>
            <w:r>
              <w:rPr>
                <w:rFonts w:hint="eastAsia" w:ascii="宋体" w:hAnsi="宋体" w:cs="宋体"/>
                <w:bCs/>
                <w:color w:val="auto"/>
                <w:szCs w:val="21"/>
                <w:highlight w:val="none"/>
                <w:lang w:eastAsia="zh-CN"/>
              </w:rPr>
              <w:t xml:space="preserve">人民币壹佰玖拾肆万玖仟柒佰元整（￥1949700元）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both"/>
              <w:rPr>
                <w:rFonts w:ascii="宋体" w:hAnsi="宋体" w:cs="宋体"/>
                <w:color w:val="auto"/>
                <w:szCs w:val="21"/>
                <w:highlight w:val="none"/>
              </w:rPr>
            </w:pPr>
            <w:r>
              <w:rPr>
                <w:rFonts w:hint="eastAsia" w:ascii="宋体" w:hAnsi="宋体" w:cs="宋体"/>
                <w:color w:val="auto"/>
                <w:szCs w:val="21"/>
                <w:highlight w:val="none"/>
              </w:rPr>
              <w:t xml:space="preserve">投标单位根据自身投标需要，</w:t>
            </w:r>
            <w:r>
              <w:rPr>
                <w:rFonts w:ascii="宋体" w:hAnsi="宋体" w:eastAsia="宋体" w:cs="宋体"/>
                <w:spacing w:val="6"/>
                <w:sz w:val="20"/>
                <w:szCs w:val="20"/>
                <w:lang w:eastAsia="zh-CN"/>
              </w:rPr>
              <w:t xml:space="preserve">预约后</w:t>
            </w:r>
            <w:r>
              <w:rPr>
                <w:rFonts w:hint="eastAsia" w:ascii="宋体" w:hAnsi="宋体" w:cs="宋体"/>
                <w:color w:val="auto"/>
                <w:szCs w:val="21"/>
                <w:highlight w:val="none"/>
              </w:rPr>
              <w:t xml:space="preserve">可对有关现场和周围环境进行勘察，以获取编制投标文件和签署合同所需的信息。勘察现场所发生的费用由投标单位自己承担。</w:t>
            </w:r>
            <w:bookmarkStart w:id="82" w:name="_GoBack"/>
            <w:r/>
            <w:bookmarkEnd w:id="82"/>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rPr>
                <w:rFonts w:hint="eastAsia" w:ascii="宋体" w:hAnsi="宋体"/>
                <w:color w:val="auto"/>
                <w:highlight w:val="none"/>
              </w:rPr>
              <w:t xml:space="preserve">（成交后，成交单位向招标代理机构提供与电子投标文件内容一致的纸质投标文件两份。）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pStyle w:val="1114"/>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10月</w:t>
            </w:r>
            <w:r>
              <w:rPr>
                <w:rFonts w:hint="eastAsia" w:ascii="宋体" w:hAnsi="宋体" w:cs="宋体"/>
                <w:color w:val="auto"/>
                <w:szCs w:val="21"/>
                <w:highlight w:val="none"/>
              </w:rPr>
              <w:t xml:space="preserve">10日09：30 （北京时间）</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114"/>
              <w:ind w:firstLine="0"/>
              <w:jc w:val="center"/>
              <w:rPr>
                <w:rFonts w:ascii="宋体" w:hAnsi="宋体" w:cs="宋体"/>
                <w:color w:val="auto"/>
                <w:szCs w:val="21"/>
                <w:highlight w:val="none"/>
                <w:lang w:val="en-US"/>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10月</w:t>
            </w:r>
            <w:r>
              <w:rPr>
                <w:rFonts w:hint="eastAsia" w:ascii="宋体" w:hAnsi="宋体" w:cs="宋体"/>
                <w:color w:val="auto"/>
                <w:szCs w:val="21"/>
                <w:highlight w:val="none"/>
              </w:rPr>
              <w:t xml:space="preserve">10日09：30 （北京时间）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10月</w:t>
            </w:r>
            <w:r>
              <w:rPr>
                <w:rFonts w:hint="eastAsia" w:ascii="宋体" w:hAnsi="宋体" w:cs="宋体"/>
                <w:color w:val="auto"/>
                <w:szCs w:val="21"/>
                <w:highlight w:val="none"/>
              </w:rPr>
              <w:t xml:space="preserve">10日09：30 （北京时间）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10月</w:t>
            </w:r>
            <w:r>
              <w:rPr>
                <w:rFonts w:hint="eastAsia" w:ascii="宋体" w:hAnsi="宋体" w:cs="宋体"/>
                <w:color w:val="auto"/>
                <w:szCs w:val="21"/>
                <w:highlight w:val="none"/>
              </w:rPr>
              <w:t xml:space="preserve">10日09：30（北京时间）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苏州市吴江区开平路998号行政服务大楼三楼评标室</w:t>
            </w:r>
            <w:r/>
          </w:p>
        </w:tc>
      </w:tr>
    </w:tbl>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sectPr>
          <w:footerReference w:type="default" r:id="rId12"/>
          <w:footnotePr/>
          <w:endnotePr/>
          <w:type w:val="nextPage"/>
          <w:pgSz w:w="11906" w:h="16838" w:orient="portrait"/>
          <w:pgMar w:top="1440" w:right="1417" w:bottom="1134" w:left="1417" w:header="851" w:footer="850" w:gutter="0"/>
          <w:pgNumType w:start="1"/>
          <w:cols w:num="1" w:sep="0" w:space="1701" w:equalWidth="1"/>
          <w:docGrid w:linePitch="360"/>
        </w:sect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bookmarkEnd w:id="3"/>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"1-2"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_Toc11016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一、竞争性磋商邀请函</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_Toc11016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_Toc26391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二、磋商供应商须知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_Toc26391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_Toc7652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三、采购需求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_Toc7652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19</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_Toc14846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四、评标办法及评分标准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_Toc14846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_Toc21982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五、合同主要条款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_Toc21982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29</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_Toc30803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六、响应文件格式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_Toc30803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40</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50"/>
        <w:rPr>
          <w:rFonts w:ascii="宋体" w:hAnsi="宋体" w:cs="宋体"/>
          <w:color w:val="auto"/>
          <w:highlight w:val="none"/>
        </w:rPr>
      </w:pPr>
      <w:r>
        <w:rPr>
          <w:rFonts w:hint="eastAsia" w:ascii="宋体" w:hAnsi="宋体" w:eastAsia="宋体" w:cs="宋体"/>
          <w:color w:val="auto"/>
          <w:sz w:val="30"/>
          <w:szCs w:val="30"/>
          <w:highlight w:val="none"/>
        </w:rPr>
        <w:fldChar w:fldCharType="end"/>
      </w:r>
      <w:bookmarkStart w:id="4" w:name="_Toc15176"/>
      <w:r/>
      <w:r/>
    </w:p>
    <w:p>
      <w:pPr>
        <w:pStyle w:val="850"/>
        <w:rPr>
          <w:rFonts w:ascii="宋体" w:hAnsi="宋体" w:cs="宋体"/>
          <w:color w:val="auto"/>
          <w:highlight w:val="none"/>
        </w:rPr>
        <w:sectPr>
          <w:footerReference w:type="default" r:id="rId13"/>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color w:val="auto"/>
          <w:highlight w:val="none"/>
        </w:rPr>
      </w:r>
      <w:r/>
    </w:p>
    <w:p>
      <w:pPr>
        <w:pStyle w:val="850"/>
        <w:rPr>
          <w:rFonts w:ascii="宋体" w:hAnsi="宋体" w:cs="宋体"/>
          <w:color w:val="auto"/>
          <w:highlight w:val="none"/>
        </w:rPr>
      </w:pPr>
      <w:r/>
      <w:bookmarkStart w:id="5" w:name="_Toc11016"/>
      <w:r>
        <w:rPr>
          <w:rFonts w:hint="eastAsia" w:ascii="宋体" w:hAnsi="宋体" w:cs="宋体"/>
          <w:color w:val="auto"/>
          <w:highlight w:val="none"/>
        </w:rPr>
        <w:t xml:space="preserve">一、</w:t>
      </w:r>
      <w:bookmarkStart w:id="6" w:name="_Toc1"/>
      <w:r>
        <w:rPr>
          <w:rFonts w:hint="eastAsia" w:ascii="宋体" w:hAnsi="宋体" w:cs="宋体"/>
          <w:color w:val="auto"/>
          <w:highlight w:val="none"/>
        </w:rPr>
        <w:t xml:space="preserve">竞争性磋商邀请函</w:t>
      </w:r>
      <w:bookmarkEnd w:id="4"/>
      <w:r/>
      <w:bookmarkEnd w:id="5"/>
      <w:r/>
      <w:bookmarkEnd w:id="6"/>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项目概况</w:t>
            </w:r>
            <w:r/>
          </w:p>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兴黎社区综合服务项目JSZC-320509-SZTY-C2026-0008</w:t>
            </w:r>
            <w:r>
              <w:rPr>
                <w:rFonts w:hint="eastAsia" w:ascii="宋体" w:hAnsi="宋体" w:cs="宋体"/>
                <w:color w:val="auto"/>
                <w:szCs w:val="21"/>
                <w:highlight w:val="none"/>
              </w:rPr>
              <w:t xml:space="preserve">采购项目的潜在供应商应在“苏采云”系统获取采购文件，并于</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10-10</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09:30（北京时间）前提交响应文件。</w:t>
            </w:r>
            <w:r/>
          </w:p>
        </w:tc>
      </w:tr>
    </w:tbl>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7" w:name="_Toc30187"/>
      <w:r>
        <w:rPr>
          <w:rFonts w:hint="eastAsia" w:ascii="宋体" w:hAnsi="宋体" w:cs="宋体"/>
          <w:color w:val="auto"/>
          <w:sz w:val="21"/>
          <w:szCs w:val="21"/>
          <w:highlight w:val="none"/>
        </w:rPr>
        <w:t xml:space="preserve">一、项目基本情况</w:t>
      </w:r>
      <w:bookmarkEnd w:id="7"/>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JSZC-320509-SZTY-C2026-0008</w:t>
      </w:r>
      <w:r>
        <w:rPr>
          <w:rFonts w:hint="eastAsia" w:ascii="宋体" w:hAnsi="宋体" w:cs="宋体"/>
          <w:color w:val="auto"/>
          <w:szCs w:val="21"/>
          <w:highlight w:val="none"/>
        </w:rPr>
        <w:t xml:space="preserve"> </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bookmarkStart w:id="8" w:name="OLE_LINK17"/>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兴黎社区综合服务项目</w:t>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3、采购方式：竞争性磋商 </w:t>
      </w:r>
      <w:r/>
    </w:p>
    <w:p>
      <w:pPr>
        <w:numPr>
          <w:ilvl w:val="255"/>
          <w:numId w:val="0"/>
        </w:numPr>
        <w:ind w:firstLine="420"/>
        <w:spacing w:line="440" w:lineRule="exact"/>
        <w:shd w:val="clear" w:color="ffffff" w:fill="ffff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w:t>
      </w:r>
      <w:bookmarkStart w:id="9" w:name="OLE_LINK25"/>
      <w:r>
        <w:rPr>
          <w:rFonts w:hint="eastAsia" w:ascii="宋体" w:hAnsi="宋体" w:cs="宋体"/>
          <w:color w:val="auto"/>
          <w:szCs w:val="21"/>
          <w:highlight w:val="none"/>
        </w:rPr>
        <w:t xml:space="preserve">预算金额：</w:t>
      </w:r>
      <w:bookmarkEnd w:id="9"/>
      <w:r>
        <w:rPr>
          <w:rFonts w:hint="eastAsia" w:ascii="宋体" w:hAnsi="宋体" w:cs="宋体"/>
          <w:bCs/>
          <w:color w:val="auto"/>
          <w:szCs w:val="21"/>
          <w:highlight w:val="none"/>
          <w:lang w:eastAsia="zh-CN"/>
        </w:rPr>
        <w:t xml:space="preserve">人民币壹佰玖拾肆万玖仟柒佰元整（￥1949700元）</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最高限价：</w:t>
      </w:r>
      <w:r>
        <w:rPr>
          <w:rFonts w:hint="eastAsia" w:ascii="宋体" w:hAnsi="宋体"/>
          <w:color w:val="auto"/>
          <w:szCs w:val="21"/>
          <w:highlight w:val="none"/>
          <w:lang w:eastAsia="zh-CN"/>
        </w:rPr>
        <w:t xml:space="preserve">人民币壹佰玖拾肆万玖仟柒佰元整（￥1949700元）</w:t>
      </w:r>
      <w:bookmarkEnd w:id="8"/>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采购需求</w:t>
      </w:r>
      <w:r>
        <w:rPr>
          <w:rFonts w:hint="eastAsia" w:ascii="宋体" w:hAnsi="宋体" w:cs="宋体"/>
          <w:color w:val="auto"/>
          <w:szCs w:val="21"/>
          <w:highlight w:val="none"/>
        </w:rPr>
        <w:t xml:space="preserve">：本项目为兴黎社区综合服务中心全域一体化布展服务，采用模块化灵活布局实现空间多功能复用，整合政务服务、便民活动、文体娱乐、邻里共治、志愿服务、特色配套等多元功能，融入本土历史文化元素打造综合社区服务阵地。</w:t>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7、合同履行期限：合同签订之日起</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天内完成</w:t>
      </w:r>
      <w:r>
        <w:rPr>
          <w:rFonts w:hint="eastAsia" w:ascii="宋体" w:hAnsi="宋体" w:cs="宋体"/>
          <w:color w:val="auto"/>
          <w:szCs w:val="21"/>
          <w:highlight w:val="none"/>
          <w:lang w:val="en-US" w:eastAsia="zh-CN"/>
        </w:rPr>
        <w:t xml:space="preserve">布展</w:t>
      </w:r>
      <w:r>
        <w:rPr>
          <w:rFonts w:hint="eastAsia" w:ascii="宋体" w:hAnsi="宋体" w:cs="宋体"/>
          <w:color w:val="auto"/>
          <w:szCs w:val="21"/>
          <w:highlight w:val="none"/>
        </w:rPr>
        <w:t xml:space="preserve">并交付使用。</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8、本项目（是/否）接受联合体：否 </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9、本项目不允许转包、分包。</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0" w:name="_Toc3178"/>
      <w:r>
        <w:rPr>
          <w:rFonts w:hint="eastAsia" w:ascii="宋体" w:hAnsi="宋体" w:cs="宋体"/>
          <w:color w:val="auto"/>
          <w:sz w:val="21"/>
          <w:szCs w:val="21"/>
          <w:highlight w:val="none"/>
        </w:rPr>
        <w:t xml:space="preserve">二、申请人的资格要求：</w:t>
      </w:r>
      <w:bookmarkEnd w:id="10"/>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（一）满足</w:t>
      </w:r>
      <w:bookmarkStart w:id="11" w:name="OLE_LINK42"/>
      <w:r>
        <w:rPr>
          <w:rFonts w:hint="eastAsia" w:ascii="宋体" w:hAnsi="宋体" w:cs="宋体"/>
          <w:color w:val="auto"/>
          <w:szCs w:val="21"/>
          <w:highlight w:val="none"/>
        </w:rPr>
        <w:t xml:space="preserve">《中华人民共和国政府采购法》第二十二条规定</w:t>
      </w:r>
      <w:bookmarkEnd w:id="11"/>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1.具有独立承担民事责任的能力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2.具有良好的商业信誉和健全的财务会计制度</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3.具有履行合同所必需的设备和专业技术能力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4.有依法缴纳税收和社会保障资金的良好记录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5.参加政府采购活动前三年内，在经营活动中没有重大违法记录。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6.法律、行政法规规定的其他条件。</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bookmarkStart w:id="12" w:name="OLE_LINK5"/>
      <w:r>
        <w:rPr>
          <w:rFonts w:hint="eastAsia" w:ascii="宋体" w:hAnsi="宋体" w:cs="宋体"/>
          <w:color w:val="auto"/>
          <w:szCs w:val="21"/>
          <w:highlight w:val="none"/>
        </w:rPr>
        <w:t xml:space="preserve">落实政府采购政策需满足的资格要求：</w:t>
      </w:r>
      <w:bookmarkStart w:id="13" w:name="OLE_LINK49"/>
      <w:r>
        <w:rPr>
          <w:rFonts w:hint="eastAsia" w:ascii="宋体" w:hAnsi="宋体" w:cs="宋体"/>
          <w:b/>
          <w:bCs/>
          <w:color w:val="auto"/>
          <w:szCs w:val="21"/>
          <w:highlight w:val="none"/>
        </w:rPr>
        <w:t xml:space="preserve">本项目专门面向中小企业</w:t>
      </w:r>
      <w:bookmarkEnd w:id="13"/>
      <w:r>
        <w:rPr>
          <w:rFonts w:hint="eastAsia" w:ascii="宋体" w:hAnsi="宋体" w:cs="宋体"/>
          <w:b/>
          <w:bCs/>
          <w:color w:val="auto"/>
          <w:szCs w:val="21"/>
          <w:highlight w:val="none"/>
          <w:lang w:eastAsia="zh-CN"/>
        </w:rPr>
        <w:t xml:space="preserve">。</w:t>
      </w:r>
      <w:r>
        <w:rPr>
          <w:rFonts w:hint="eastAsia" w:ascii="宋体" w:hAnsi="宋体" w:eastAsia="宋体" w:cs="宋体"/>
          <w:color w:val="auto"/>
          <w:szCs w:val="21"/>
          <w:highlight w:val="none"/>
          <w:lang w:eastAsia="zh-CN"/>
        </w:rPr>
        <w:t xml:space="preserve">根据《政府采购促进中小企业发展管理办法》（财库〔2020〕46号）及《中小企业划型标准规定》（工信部联企业〔2011〕300号），本采购标的对应的中小企业划分标准所属行业为：其他未列明行业。承接服务的供应商应为中小微企业、监狱企业、残疾人福利性单位。</w:t>
      </w:r>
      <w:bookmarkEnd w:id="12"/>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（三）本项目的特定资格要求：无</w:t>
      </w:r>
      <w:r/>
    </w:p>
    <w:p>
      <w:pPr>
        <w:ind w:firstLine="420"/>
        <w:spacing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bookmarkStart w:id="14" w:name="OLE_LINK10"/>
      <w:r>
        <w:rPr>
          <w:rFonts w:hint="eastAsia" w:ascii="宋体" w:hAnsi="宋体" w:cs="宋体"/>
          <w:color w:val="auto"/>
          <w:szCs w:val="21"/>
          <w:highlight w:val="none"/>
        </w:rPr>
        <w:t xml:space="preserve">（四）其他要求：</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1.未被“信用中国”网站（www.creditchina.gov.cn）列入失信被执行人、重大税收违法案件当事人名单、政府采购严重失信行为记录名单。</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3.法人的分支机构不得参加本项目的采购活动(除银行、保险、石油石化、电力、电信等行业特殊情况外)。</w:t>
      </w:r>
      <w:bookmarkEnd w:id="14"/>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5" w:name="_Toc15592"/>
      <w:r>
        <w:rPr>
          <w:rFonts w:hint="eastAsia" w:ascii="宋体" w:hAnsi="宋体" w:cs="宋体"/>
          <w:color w:val="auto"/>
          <w:sz w:val="21"/>
          <w:szCs w:val="21"/>
          <w:highlight w:val="none"/>
        </w:rPr>
        <w:t xml:space="preserve">三、获取采购文件</w:t>
      </w:r>
      <w:bookmarkEnd w:id="15"/>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1.时间：自公告发布之日起5个工作日</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2.地点：苏采云系统自行下载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3.方式：“苏采云”系统报名后自行下载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4.售价：免费。</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6" w:name="_Toc819"/>
      <w:r>
        <w:rPr>
          <w:rFonts w:hint="eastAsia" w:ascii="宋体" w:hAnsi="宋体" w:cs="宋体"/>
          <w:color w:val="auto"/>
          <w:sz w:val="21"/>
          <w:szCs w:val="21"/>
          <w:highlight w:val="none"/>
        </w:rPr>
        <w:t xml:space="preserve">四、响应文件提交</w:t>
      </w:r>
      <w:bookmarkEnd w:id="16"/>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10-10</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 （北京时间）</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地点：“苏采云”系统（网址：http://jszfcg.jsczt.cn/） </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7" w:name="_Toc19956"/>
      <w:r>
        <w:rPr>
          <w:rFonts w:hint="eastAsia" w:ascii="宋体" w:hAnsi="宋体" w:cs="宋体"/>
          <w:color w:val="auto"/>
          <w:sz w:val="21"/>
          <w:szCs w:val="21"/>
          <w:highlight w:val="none"/>
        </w:rPr>
        <w:t xml:space="preserve">五、开启</w:t>
      </w:r>
      <w:bookmarkEnd w:id="17"/>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09:30 （北京时间）</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8" w:name="_Toc26104"/>
      <w:r>
        <w:rPr>
          <w:rFonts w:hint="eastAsia" w:ascii="宋体" w:hAnsi="宋体" w:cs="宋体"/>
          <w:color w:val="auto"/>
          <w:sz w:val="21"/>
          <w:szCs w:val="21"/>
          <w:highlight w:val="none"/>
        </w:rPr>
        <w:t xml:space="preserve">六、公告期限</w:t>
      </w:r>
      <w:bookmarkEnd w:id="18"/>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自本公告发布之日起3个工作日。</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9" w:name="_Toc386"/>
      <w:r>
        <w:rPr>
          <w:rFonts w:hint="eastAsia" w:ascii="宋体" w:hAnsi="宋体" w:cs="宋体"/>
          <w:color w:val="auto"/>
          <w:sz w:val="21"/>
          <w:szCs w:val="21"/>
          <w:highlight w:val="none"/>
        </w:rPr>
        <w:t xml:space="preserve">七、其他补充事宜</w:t>
      </w:r>
      <w:bookmarkEnd w:id="19"/>
      <w:r/>
      <w:r/>
    </w:p>
    <w:p>
      <w:pPr>
        <w:ind w:left="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20" w:name="OLE_LINK50"/>
      <w:r>
        <w:rPr>
          <w:rFonts w:hint="eastAsia" w:ascii="宋体" w:hAnsi="宋体" w:cs="宋体"/>
          <w:color w:val="auto"/>
          <w:szCs w:val="21"/>
          <w:highlight w:val="none"/>
        </w:rPr>
        <w:t xml:space="preserve">1.本次采购的相关信息刊登在苏州市政府采购网、江苏省政府采购网、中国政府采购网。</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2.采购文件获取方式：   </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（1）CA证书办理</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rPr>
        <w:t xml:space="preserve">苏州现场办理地址：苏州市高新区邓尉路105号狮山科技馆一楼服务大厅，咨询电话：0512-65737699。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（2）参与采购活动</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（3）电子投标准备</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注册咨询：18261002950；</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CA技术咨询电话：400-608-6099；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签章使用问题：025-83633811、025-83633812、15380932027、15371015030；</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440" w:lineRule="exact"/>
        <w:shd w:val="clear" w:color="ffffff" w:fill="ffff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请供应商确保电脑、系统及其他设备（视频输入输出设备等）无误，且开启直至项目结束始终保持系统在线状态。</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3.有关本项目电子投标具体操作方法详见苏采云系统中的客户端使用说明和供应商《操作手册》。</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4.补充通知（如有）。成功获取磋商文件的供应商通过“苏州市政府采购网”或“苏采云”系统自行查看所报项目的补充通知。</w:t>
      </w:r>
      <w:bookmarkEnd w:id="20"/>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21" w:name="_Toc24271"/>
      <w:r>
        <w:rPr>
          <w:rFonts w:hint="eastAsia" w:ascii="宋体" w:hAnsi="宋体" w:cs="宋体"/>
          <w:color w:val="auto"/>
          <w:sz w:val="21"/>
          <w:szCs w:val="21"/>
          <w:highlight w:val="none"/>
        </w:rPr>
        <w:t xml:space="preserve">八、凡对本次采购提出询问，请按以下方式联系。</w:t>
      </w:r>
      <w:bookmarkEnd w:id="21"/>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1.采购人信息</w:t>
      </w:r>
      <w:r/>
    </w:p>
    <w:p>
      <w:pPr>
        <w:ind w:firstLine="42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江苏省汾湖高新技术产业开发区黎里古镇开发保护区管理办公室</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地址：</w:t>
      </w:r>
      <w:bookmarkStart w:id="22" w:name="OLE_LINK6"/>
      <w:r>
        <w:rPr>
          <w:rFonts w:hint="eastAsia" w:ascii="宋体" w:hAnsi="宋体" w:eastAsia="宋体" w:cs="宋体"/>
          <w:color w:val="auto"/>
          <w:szCs w:val="21"/>
          <w:highlight w:val="none"/>
        </w:rPr>
        <w:t xml:space="preserve">江苏省汾湖高新技术产业开发区黎里镇黎里人民中路128号</w:t>
      </w:r>
      <w:r>
        <w:rPr>
          <w:rFonts w:hint="eastAsia" w:ascii="宋体" w:hAnsi="宋体" w:cs="宋体"/>
          <w:color w:val="auto"/>
          <w:szCs w:val="21"/>
          <w:highlight w:val="none"/>
          <w:lang w:val="en-US" w:eastAsia="zh-CN"/>
        </w:rPr>
        <w:t xml:space="preserve"> </w:t>
      </w:r>
      <w:bookmarkEnd w:id="22"/>
      <w:r/>
      <w:r/>
    </w:p>
    <w:p>
      <w:pPr>
        <w:ind w:firstLine="420"/>
        <w:spacing w:line="440" w:lineRule="exac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联系人：庞展宏</w:t>
      </w:r>
      <w:r>
        <w:rPr>
          <w:rFonts w:hint="eastAsia" w:ascii="宋体" w:hAnsi="宋体" w:cs="宋体"/>
          <w:color w:val="auto"/>
          <w:szCs w:val="21"/>
          <w:highlight w:val="none"/>
          <w:lang w:val="en-US" w:eastAsia="zh-CN"/>
        </w:rPr>
        <w:t xml:space="preserve"> </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联系电话：0512-63616662</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2.采购代理机构信息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单位名称：苏州通宜房地产土地评估咨询有限公司</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单位地址：</w:t>
      </w:r>
      <w:bookmarkStart w:id="23" w:name="OLE_LINK3"/>
      <w:r>
        <w:rPr>
          <w:rFonts w:hint="eastAsia" w:ascii="宋体" w:hAnsi="宋体" w:cs="宋体"/>
          <w:color w:val="auto"/>
          <w:szCs w:val="21"/>
          <w:highlight w:val="none"/>
        </w:rPr>
        <w:t xml:space="preserve">吴江区松陵镇鲈乡南路鲈乡园别墅区103幢</w:t>
      </w:r>
      <w:bookmarkEnd w:id="23"/>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联系电话：0512-63000883</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3.项目联系方式</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电话：0512-63000883</w:t>
      </w:r>
      <w:r/>
    </w:p>
    <w:p>
      <w:pPr>
        <w:ind w:firstLine="420"/>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p>
    <w:p>
      <w:pPr>
        <w:ind w:firstLine="420"/>
        <w:jc w:val="center"/>
        <w:spacing w:after="210"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bookmarkStart w:id="24" w:name="_Toc18157"/>
      <w:r/>
      <w:bookmarkStart w:id="25" w:name="_Toc6289"/>
      <w:r/>
      <w:bookmarkStart w:id="26" w:name="_Toc7179"/>
      <w:r/>
      <w:bookmarkStart w:id="27" w:name="_Toc11937"/>
      <w:r/>
      <w:bookmarkStart w:id="28" w:name="_Toc26391"/>
      <w:r/>
      <w:bookmarkStart w:id="29" w:name="_Toc19638"/>
      <w:r/>
      <w:bookmarkStart w:id="30" w:name="_Toc23541"/>
      <w:r/>
      <w:bookmarkStart w:id="31" w:name="_Toc25272"/>
      <w:r>
        <w:rPr>
          <w:rStyle w:val="1105"/>
          <w:rFonts w:hint="eastAsia" w:ascii="宋体" w:hAnsi="宋体" w:cs="宋体"/>
          <w:color w:val="auto"/>
          <w:highlight w:val="none"/>
        </w:rPr>
        <w:t xml:space="preserve">二、磋商供应商须知</w:t>
      </w:r>
      <w:bookmarkEnd w:id="24"/>
      <w:r/>
      <w:bookmarkEnd w:id="25"/>
      <w:r/>
      <w:bookmarkEnd w:id="26"/>
      <w:r/>
      <w:bookmarkEnd w:id="27"/>
      <w:r/>
      <w:bookmarkEnd w:id="28"/>
      <w:r/>
      <w:bookmarkEnd w:id="29"/>
      <w:r/>
      <w:bookmarkEnd w:id="30"/>
      <w:r/>
      <w:bookmarkEnd w:id="31"/>
      <w:r/>
      <w:r/>
    </w:p>
    <w:p>
      <w:pPr>
        <w:ind w:firstLine="422"/>
        <w:spacing w:line="440" w:lineRule="exact"/>
        <w:rPr>
          <w:rFonts w:hint="eastAsia" w:ascii="宋体" w:hAnsi="宋体" w:cs="宋体"/>
          <w:b/>
          <w:color w:val="auto"/>
          <w:szCs w:val="21"/>
          <w:highlight w:val="none"/>
          <w:lang w:eastAsia="zh-CN"/>
        </w:rPr>
      </w:pPr>
      <w:r/>
      <w:bookmarkStart w:id="32" w:name="_Toc29852"/>
      <w:r>
        <w:rPr>
          <w:rFonts w:hint="eastAsia" w:ascii="宋体" w:hAnsi="宋体" w:cs="宋体"/>
          <w:b/>
          <w:color w:val="auto"/>
          <w:szCs w:val="21"/>
          <w:highlight w:val="none"/>
          <w:lang w:eastAsia="zh-CN"/>
        </w:rPr>
        <w:t xml:space="preserve">一、说明和释义</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1.1本招标文件仅适用于苏州通宜房地产土地评估咨询有限公司的招标活动。</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1.2本次招标活动及因本次招标产生的合同受中国法律制约和保护。</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1.3本招标文件的解释权属于苏州通宜房地产土地评估咨询有限公司。</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1.4词语释义</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1.4.1招标代理机构：具体组织实施招标活动的法人。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1.4.2投标人（投标单位）：经认定有资格响应招标，参加投标竞争的法人或其他组织和自然人。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1.4.3响应：投标单位根据招标代理机构或招标代理机构发布的招标文件，编制投标文件并按规定投标的行为。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1.4.4合同：采供双方根据招标文件和中标的投标文件及中标通知书规定的内容签署的以书面形式所达成的协议，包括所有的附件、附录和构成协议的所有文件。</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 甲方（委托方）：合同中明确规定的实际购买货物和服务的法人或其他组织和自然人 。</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1.4.6乙方（服务方）：合同中规定的向采购单位提供货物和服务的法人或其他组织和自然人。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1.4.7货物：系指乙方按招标文件规定，应向甲方提供的一切设备、备品、备件、工具、手册及其它有关技术资料和材料。</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1.4.8服务：系指本次招标文件规定乙方应承担的</w:t>
      </w:r>
      <w:r>
        <w:rPr>
          <w:rFonts w:hint="eastAsia" w:ascii="宋体" w:hAnsi="宋体" w:cs="宋体"/>
          <w:color w:val="auto"/>
          <w:szCs w:val="21"/>
          <w:highlight w:val="none"/>
          <w:lang w:eastAsia="zh-CN"/>
        </w:rPr>
        <w:t xml:space="preserve">兴黎社区综合服务项目</w:t>
      </w:r>
      <w:r>
        <w:rPr>
          <w:rFonts w:hint="eastAsia" w:ascii="宋体" w:hAnsi="宋体" w:cs="宋体"/>
          <w:color w:val="auto"/>
          <w:szCs w:val="21"/>
          <w:highlight w:val="none"/>
          <w:lang w:val="en-US" w:eastAsia="zh-CN"/>
        </w:rPr>
        <w:t xml:space="preserve">。</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1.4.9知识产权：指专利权、商标权、著作权等无形财产专有权的统称。</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1.4.10天：日历日。</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1.4.11交货地点：合同中明确约定的乙方提交的货物和服务最终交付地点。</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1.4.12合同价款：根据合同规定，乙方在正确地履行合同义务后甲方应支付乙方的价款。</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1.4.13产地：货物开采、生长、生产、最终制造、加工或提供服务的来源地。</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1.4.14 不可抗力：不能预见、不能避免并且不能克服的客观情况。</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1.4.17书面形式：指书面文字、合同书、信件和数据电文（包括传真、电子数据交换和电子邮件）等可以有形地表现所载内容的形式。</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2.★联合体响应：不接受。</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2.1.两个以上的自然人、法人或者其他组织可以组成一个联合体，以一个供应商的身份共同参加政府采购。</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2.2.鼓励大中型企业和其他自然人、法人或者其他组织与小型、微型企业组成联合体共同参加非专门面向中小企业的政府采购活动。</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2.2.以联合体形式参加</w:t>
      </w:r>
      <w:r>
        <w:rPr>
          <w:rFonts w:hint="eastAsia" w:ascii="宋体" w:hAnsi="宋体" w:cs="宋体"/>
          <w:color w:val="auto"/>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2.4. 联合体各方之间应当签订联合体协议，明确约定联合体各方承担的工作和相应的责任，并将联合体协议连同响应文件一并提交。</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2.5. 以联合体形式参加政府采购活动的，联合体各方不得再单独参加或者与其他供应商另外组成联合体参加同一合同项下的政府采购活动。</w:t>
      </w:r>
      <w:r/>
    </w:p>
    <w:p>
      <w:pPr>
        <w:ind w:firstLine="422"/>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3.★转包与分包与</w:t>
      </w:r>
      <w:r>
        <w:rPr>
          <w:rFonts w:hint="eastAsia" w:ascii="宋体" w:hAnsi="宋体" w:cs="宋体"/>
          <w:b/>
          <w:color w:val="auto"/>
          <w:szCs w:val="21"/>
          <w:highlight w:val="none"/>
        </w:rPr>
        <w:t xml:space="preserve">磋商费用</w:t>
      </w:r>
      <w:r/>
    </w:p>
    <w:p>
      <w:pPr>
        <w:pStyle w:val="1205"/>
        <w:spacing w:line="440" w:lineRule="exact"/>
        <w:rPr>
          <w:rFonts w:ascii="宋体" w:hAnsi="宋体" w:cs="宋体"/>
          <w:color w:val="auto"/>
          <w:highlight w:val="none"/>
        </w:rPr>
      </w:pPr>
      <w:r>
        <w:rPr>
          <w:rFonts w:hint="eastAsia" w:ascii="宋体" w:hAnsi="宋体" w:cs="宋体"/>
          <w:color w:val="auto"/>
          <w:highlight w:val="none"/>
        </w:rPr>
        <w:t xml:space="preserve">3.1.本项目不允许转包或分包。</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3.2.无论磋商过程中的做法和结果如何，磋商供应商自行承担所有与参加磋商有关的全部费用。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4.磋商文件</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4.1.磋商文件的内容如下：</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第一章 磋商邀请书</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第二章 磋商供应商须知</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第三章 采购需求</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第四章 评标办法及评分标准</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第五章 合同主要条款</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第六章 响应文件格式</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5.磋商文件的澄清和修改</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5.2.磋商文件的澄清、修改等内容与竞争性磋商文件在同一内容的表述上不一致时，以发出日期最接近磋商时间的公告为准。</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5.3.磋商文件的澄清、修改等内容均将在财政部门指定的政府采购信息发布媒体上发布，作为磋商文件的组成部分，对供应商起约束作用。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6.★响应文件计量单位和使用文字</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6.1.响应文件中所使用的计量单位，除竞争性磋商文件中有特殊要求外，均应使用中华人民共和国法定计量单位。</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7.响应文件的组成及要求</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7.1封面</w:t>
      </w:r>
      <w:r/>
    </w:p>
    <w:p>
      <w:pPr>
        <w:pStyle w:val="1191"/>
        <w:ind w:firstLine="422"/>
        <w:spacing w:line="440" w:lineRule="exact"/>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rPr>
        <w:t xml:space="preserve">7.2开标一览表</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磋商报价表</w:t>
      </w:r>
      <w:r>
        <w:rPr>
          <w:rFonts w:hint="eastAsia" w:ascii="宋体" w:hAnsi="宋体" w:cs="宋体"/>
          <w:b/>
          <w:color w:val="auto"/>
          <w:sz w:val="21"/>
          <w:szCs w:val="21"/>
          <w:highlight w:val="none"/>
          <w:lang w:eastAsia="zh-CN"/>
        </w:rPr>
        <w:t xml:space="preserve">）</w:t>
      </w:r>
      <w:r/>
    </w:p>
    <w:p>
      <w:pPr>
        <w:pStyle w:val="1191"/>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7.2.1磋商报价分析表</w:t>
      </w:r>
      <w:r/>
    </w:p>
    <w:p>
      <w:pPr>
        <w:pStyle w:val="1191"/>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7.3资格审查响应文件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7.3.1具有独立承担民事责任的能力证明。（提供营业执照或事业单位法人证等法人证明材料（加盖公章））；</w:t>
      </w:r>
      <w:r/>
    </w:p>
    <w:p>
      <w:pPr>
        <w:pStyle w:val="1191"/>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7.3.2具有良好的商业信誉和健全的财务会计制度证明（提供参加本次采购活动前的最近一期</w:t>
      </w:r>
      <w:r>
        <w:rPr>
          <w:rFonts w:hint="eastAsia" w:ascii="宋体" w:hAnsi="宋体" w:cs="宋体"/>
          <w:bCs/>
          <w:color w:val="auto"/>
          <w:sz w:val="21"/>
          <w:szCs w:val="21"/>
          <w:highlight w:val="none"/>
          <w:lang w:val="en-US" w:eastAsia="zh-CN"/>
        </w:rPr>
        <w:t xml:space="preserve">的</w:t>
      </w:r>
      <w:r>
        <w:rPr>
          <w:rFonts w:hint="eastAsia" w:ascii="宋体" w:hAnsi="宋体" w:cs="宋体"/>
          <w:bCs/>
          <w:color w:val="auto"/>
          <w:sz w:val="21"/>
          <w:szCs w:val="21"/>
          <w:highlight w:val="none"/>
          <w:lang w:val="en-US" w:eastAsia="zh-CN"/>
        </w:rPr>
        <w:t xml:space="preserve">财务</w:t>
      </w:r>
      <w:r>
        <w:rPr>
          <w:rFonts w:hint="eastAsia" w:ascii="宋体" w:hAnsi="宋体" w:cs="宋体"/>
          <w:bCs/>
          <w:color w:val="auto"/>
          <w:sz w:val="21"/>
          <w:szCs w:val="21"/>
          <w:highlight w:val="none"/>
        </w:rPr>
        <w:t xml:space="preserve">报表或</w:t>
      </w:r>
      <w:r>
        <w:rPr>
          <w:rFonts w:hint="eastAsia" w:ascii="宋体" w:hAnsi="宋体" w:cs="宋体"/>
          <w:bCs/>
          <w:color w:val="auto"/>
          <w:sz w:val="21"/>
          <w:szCs w:val="21"/>
          <w:highlight w:val="none"/>
          <w:lang w:val="en-US" w:eastAsia="zh-CN"/>
        </w:rPr>
        <w:t xml:space="preserve">审</w:t>
      </w:r>
      <w:r>
        <w:rPr>
          <w:rFonts w:hint="eastAsia" w:ascii="宋体" w:hAnsi="宋体" w:cs="宋体"/>
          <w:bCs/>
          <w:color w:val="auto"/>
          <w:sz w:val="21"/>
          <w:szCs w:val="21"/>
          <w:highlight w:val="none"/>
        </w:rPr>
        <w:t xml:space="preserve">计</w:t>
      </w:r>
      <w:r>
        <w:rPr>
          <w:rFonts w:hint="eastAsia" w:ascii="宋体" w:hAnsi="宋体" w:cs="宋体"/>
          <w:bCs/>
          <w:color w:val="auto"/>
          <w:sz w:val="21"/>
          <w:szCs w:val="21"/>
          <w:highlight w:val="none"/>
        </w:rPr>
        <w:t xml:space="preserve">报告，其他组织、自然人及成立未满一年的法人应提供银行出具的资信证明（加盖公章））；</w:t>
      </w:r>
      <w:r/>
    </w:p>
    <w:p>
      <w:pPr>
        <w:pStyle w:val="1191"/>
        <w:spacing w:line="440" w:lineRule="exact"/>
        <w:rPr>
          <w:rFonts w:hint="eastAsia" w:ascii="宋体" w:hAnsi="宋体"/>
          <w:b/>
          <w:sz w:val="21"/>
          <w:szCs w:val="21"/>
        </w:rPr>
      </w:pPr>
      <w:r>
        <w:rPr>
          <w:rFonts w:hint="eastAsia" w:ascii="宋体" w:hAnsi="宋体" w:cs="宋体"/>
          <w:bCs/>
          <w:color w:val="auto"/>
          <w:sz w:val="21"/>
          <w:szCs w:val="21"/>
          <w:highlight w:val="none"/>
        </w:rPr>
        <w:t xml:space="preserve">7.3.3有依法缴纳税收和社会保障资金的良好记录（提供参加本次政府采购活动</w:t>
      </w:r>
      <w:r>
        <w:rPr>
          <w:rFonts w:hint="eastAsia" w:ascii="宋体" w:hAnsi="宋体" w:cs="宋体"/>
          <w:bCs/>
          <w:color w:val="auto"/>
          <w:sz w:val="21"/>
          <w:szCs w:val="21"/>
          <w:highlight w:val="none"/>
          <w:lang w:val="en-US" w:eastAsia="zh-CN"/>
        </w:rPr>
        <w:t xml:space="preserve">前</w:t>
      </w:r>
      <w:r>
        <w:rPr>
          <w:rFonts w:hint="eastAsia" w:ascii="宋体" w:hAnsi="宋体" w:cs="宋体"/>
          <w:bCs/>
          <w:color w:val="auto"/>
          <w:sz w:val="21"/>
          <w:szCs w:val="21"/>
          <w:highlight w:val="none"/>
        </w:rPr>
        <w:t xml:space="preserve">依法缴纳税收和社会保障资金的相关材料。响应单位如依法享受缓缴、免缴税收、社会保障资金的应提供相关主管部门出具的证明材料）；</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7.3.4</w:t>
      </w:r>
      <w:r>
        <w:rPr>
          <w:rFonts w:hint="eastAsia" w:ascii="宋体" w:hAnsi="宋体" w:cs="宋体"/>
          <w:color w:val="auto"/>
          <w:sz w:val="21"/>
          <w:szCs w:val="21"/>
          <w:highlight w:val="none"/>
        </w:rPr>
        <w:t xml:space="preserve">具有</w:t>
      </w:r>
      <w:r>
        <w:rPr>
          <w:rFonts w:hint="eastAsia" w:ascii="宋体" w:hAnsi="宋体" w:cs="宋体"/>
          <w:bCs/>
          <w:color w:val="auto"/>
          <w:sz w:val="21"/>
          <w:szCs w:val="21"/>
          <w:highlight w:val="none"/>
        </w:rPr>
        <w:t xml:space="preserve">履行合同所必需的设备和专业技术能力的证明材料或承诺；</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7.3.5参加政府采购活动前三年内在经营活动中没有重大违法记录的书面声明函；</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7.3.6法律、行政法规规定的其他条件；</w:t>
      </w:r>
      <w:r/>
    </w:p>
    <w:p>
      <w:pPr>
        <w:pStyle w:val="1191"/>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7.3.7落实政府采购政策需满足的资格要求：</w:t>
      </w:r>
      <w:r>
        <w:rPr>
          <w:rFonts w:hint="eastAsia" w:ascii="宋体" w:hAnsi="宋体" w:cs="宋体"/>
          <w:b/>
          <w:bCs w:val="0"/>
          <w:color w:val="auto"/>
          <w:sz w:val="21"/>
          <w:szCs w:val="21"/>
          <w:highlight w:val="none"/>
        </w:rPr>
        <w:t xml:space="preserve">本项目专门面向中小企业，</w:t>
      </w: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bCs/>
          <w:color w:val="auto"/>
          <w:sz w:val="21"/>
          <w:szCs w:val="21"/>
          <w:highlight w:val="none"/>
          <w:lang w:eastAsia="zh-CN"/>
        </w:rPr>
        <w:t xml:space="preserve">。</w:t>
      </w:r>
      <w:r/>
    </w:p>
    <w:p>
      <w:pPr>
        <w:ind w:firstLine="420"/>
        <w:jc w:val="left"/>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7.3.8 本项目的特定资格要求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无</w:t>
      </w:r>
      <w:r>
        <w:rPr>
          <w:rFonts w:hint="eastAsia" w:ascii="宋体" w:hAnsi="宋体" w:cs="宋体"/>
          <w:bCs/>
          <w:color w:val="auto"/>
          <w:szCs w:val="21"/>
          <w:highlight w:val="none"/>
        </w:rPr>
        <w:t xml:space="preserve">。</w:t>
      </w:r>
      <w:r/>
    </w:p>
    <w:p>
      <w:pPr>
        <w:pStyle w:val="1191"/>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7.4符合性审查响应文件</w:t>
      </w:r>
      <w:r/>
    </w:p>
    <w:p>
      <w:pPr>
        <w:pStyle w:val="1191"/>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报价符合性审查</w:t>
      </w:r>
      <w:r/>
    </w:p>
    <w:p>
      <w:pPr>
        <w:pStyle w:val="1191"/>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2</w:t>
      </w:r>
      <w:r>
        <w:rPr>
          <w:rFonts w:hint="eastAsia" w:ascii="宋体" w:hAnsi="宋体" w:cs="宋体"/>
          <w:color w:val="auto"/>
          <w:sz w:val="21"/>
          <w:szCs w:val="21"/>
          <w:highlight w:val="none"/>
        </w:rPr>
        <w:t xml:space="preserve">磋商响应函（</w:t>
      </w:r>
      <w:r>
        <w:rPr>
          <w:rFonts w:hint="eastAsia" w:ascii="宋体" w:hAnsi="宋体" w:cs="宋体"/>
          <w:bCs/>
          <w:color w:val="auto"/>
          <w:sz w:val="21"/>
          <w:szCs w:val="21"/>
          <w:highlight w:val="none"/>
        </w:rPr>
        <w:t xml:space="preserve">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法定代表人身份证</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法人授权委托书及委托代理人身份证复印件（如有授权）（格式见第六章）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关于资格文件的声明函（格式见第六章）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响应单位基本情况表（格式见第六章）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偏离表</w:t>
      </w:r>
      <w:r>
        <w:rPr>
          <w:rFonts w:hint="eastAsia" w:ascii="宋体" w:hAnsi="宋体" w:cs="宋体"/>
          <w:bCs/>
          <w:color w:val="auto"/>
          <w:sz w:val="21"/>
          <w:szCs w:val="21"/>
          <w:highlight w:val="none"/>
        </w:rPr>
        <w:t xml:space="preserve">（格式见第六章）</w:t>
      </w:r>
      <w:r/>
    </w:p>
    <w:p>
      <w:pPr>
        <w:pStyle w:val="1191"/>
        <w:spacing w:line="440" w:lineRule="exact"/>
        <w:rPr>
          <w:rFonts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实质性条款（承诺函）</w:t>
      </w:r>
      <w:r/>
    </w:p>
    <w:p>
      <w:pPr>
        <w:pStyle w:val="1191"/>
        <w:spacing w:line="440" w:lineRule="exact"/>
        <w:rPr>
          <w:rFonts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其他有关符合性证明的文件（投标（响应）保证承诺书等）</w:t>
      </w:r>
      <w:r/>
    </w:p>
    <w:p>
      <w:pPr>
        <w:pStyle w:val="1191"/>
        <w:ind w:firstLine="422"/>
        <w:spacing w:line="440" w:lineRule="exact"/>
        <w:rPr>
          <w:rFonts w:ascii="宋体" w:hAnsi="宋体" w:cs="宋体"/>
          <w:color w:val="auto"/>
          <w:sz w:val="21"/>
          <w:szCs w:val="21"/>
          <w:highlight w:val="none"/>
          <w:u w:val="single"/>
        </w:rPr>
      </w:pPr>
      <w:r>
        <w:rPr>
          <w:rFonts w:hint="eastAsia" w:ascii="宋体" w:hAnsi="宋体" w:cs="宋体"/>
          <w:b/>
          <w:color w:val="auto"/>
          <w:sz w:val="21"/>
          <w:szCs w:val="21"/>
          <w:highlight w:val="none"/>
          <w:u w:val="single"/>
        </w:rPr>
        <w:t xml:space="preserve">7.5综合评审响应文件</w:t>
      </w:r>
      <w:r/>
    </w:p>
    <w:p>
      <w:pPr>
        <w:ind w:firstLine="420"/>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lang w:val="zh-CN"/>
        </w:rPr>
        <w:t xml:space="preserve">服务方案</w:t>
      </w:r>
      <w:r/>
    </w:p>
    <w:p>
      <w:pPr>
        <w:ind w:firstLine="420"/>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2企业综合实力评价</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7.5.3响应单位针对本项目服务人员的配备及设备比较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7.5.4其他可以证明投标人资质、服务质量的证书、文件等相关资料。</w:t>
      </w:r>
      <w:r/>
    </w:p>
    <w:p>
      <w:pPr>
        <w:pStyle w:val="1191"/>
        <w:ind w:firstLine="422"/>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lang w:val="en-US" w:eastAsia="zh-CN"/>
        </w:rPr>
        <w:t xml:space="preserve">7.6</w:t>
      </w:r>
      <w:r>
        <w:rPr>
          <w:rFonts w:hint="eastAsia" w:ascii="宋体" w:hAnsi="宋体" w:eastAsia="宋体" w:cs="宋体"/>
          <w:b/>
          <w:color w:val="auto"/>
          <w:sz w:val="21"/>
          <w:szCs w:val="21"/>
          <w:highlight w:val="none"/>
          <w:u w:val="single"/>
        </w:rPr>
        <w:t xml:space="preserve">价格折扣响应文件</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6.1</w:t>
      </w:r>
      <w:r>
        <w:rPr>
          <w:rFonts w:hint="eastAsia" w:ascii="宋体" w:hAnsi="宋体" w:eastAsia="宋体" w:cs="宋体"/>
          <w:color w:val="auto"/>
          <w:szCs w:val="21"/>
          <w:highlight w:val="none"/>
          <w:lang w:val="zh-CN"/>
        </w:rPr>
        <w:t xml:space="preserve">中小企业声明函/残疾人福利性单位声明函/监狱企业的证明文件。</w:t>
      </w:r>
      <w:r/>
    </w:p>
    <w:p>
      <w:pPr>
        <w:ind w:firstLine="420"/>
        <w:spacing w:line="44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 xml:space="preserve">7.6.2</w:t>
      </w:r>
      <w:r>
        <w:rPr>
          <w:rFonts w:hint="eastAsia" w:ascii="宋体" w:hAnsi="宋体" w:eastAsia="宋体" w:cs="宋体"/>
          <w:color w:val="auto"/>
          <w:szCs w:val="21"/>
          <w:highlight w:val="none"/>
          <w:lang w:val="zh-CN" w:eastAsia="zh-CN"/>
        </w:rPr>
        <w:t xml:space="preserve">供应商对其提供的产品出具《关于符合本国产品标准的声明函》或财政部会同有关部门规定的有关证明文件。如不提供将不享受本国产品价格评审优惠。</w:t>
      </w:r>
      <w:r/>
    </w:p>
    <w:p>
      <w:pPr>
        <w:pStyle w:val="1191"/>
        <w:ind w:firstLine="422"/>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（1）以上7.3.1-7.3.8为资格审查要求提供的材料，是作为对供应商资格审查、质疑身份认定的依据，响应供应商必须提供并加盖电子公章。否则，磋商响应文件将被认定为不符合资格审查要求。</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（2）以上7.4.1-7.4.10为符合性审查须提供的资料，响应供应商必须提供并加盖电子公章。否则，磋商响应文件将被认定为未实质性响应。</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（3)制作电子响应文件时必须与投标文件制作软件目录一一对应，将相关资料上传至相应模块。</w:t>
      </w:r>
      <w:r/>
    </w:p>
    <w:p>
      <w:pPr>
        <w:pStyle w:val="1191"/>
        <w:ind w:firstLine="422"/>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（4）磋商响应文件编制要求：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auto"/>
          <w:sz w:val="21"/>
          <w:szCs w:val="21"/>
          <w:highlight w:val="none"/>
        </w:rPr>
        <w:t xml:space="preserve">注：具体投标文件编制教程查看苏采云系统中的客户端使用说明和供应商《操作手册》。</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8.响应文件的解密与评审</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8.1采购代理机构按本须知规定的时间、地点主持磋商采购活动。</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8.2供应商通过“苏采云”系统在线参与磋商活动。供应商应当按照《苏采云系统供应商操作手册》规定在 “苏采云”系统规定的时间内对响应文件进行解密。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8.3在磋商响应文件网上递交截止时间止成功解密的磋商供应商少于三家，则本次采购失败。</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8.4由磋商小组审查供应商解密的响应文件。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8.6磋商小组要求供应商澄清、说明或者更正响应文件应当以书面形式做出。供应商的澄清、说明或者更正应当由其单位加盖电子公章。</w:t>
      </w:r>
      <w:r/>
    </w:p>
    <w:p>
      <w:pPr>
        <w:pStyle w:val="1191"/>
        <w:ind w:firstLine="422"/>
        <w:spacing w:line="440" w:lineRule="exact"/>
        <w:rPr>
          <w:rFonts w:ascii="宋体" w:hAnsi="宋体" w:cs="宋体"/>
          <w:bCs/>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8.7对响应文件的审查</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8.7.1响应文件审查分为资格审查和符合性审查。</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8.7.1.1 资格审查：由磋商小组依据法律法规和磋商文件的规定，对响应文件中的资格证明文件进行审查，以确定供应商是否具备参加磋商的资格。</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8.7.1.2 符合性审查：依据磋商文件的规定，由磋商小组从响应文件的有效性、完整性和对磋商文件的响应程度进行审查，以确定是否对磋商文件的实质性要求作出响应。</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191"/>
        <w:ind w:firstLine="422"/>
        <w:spacing w:line="440" w:lineRule="exact"/>
        <w:rPr>
          <w:rFonts w:ascii="宋体" w:hAnsi="宋体" w:cs="宋体"/>
          <w:bCs/>
          <w:color w:val="auto"/>
          <w:sz w:val="21"/>
          <w:szCs w:val="21"/>
          <w:highlight w:val="none"/>
        </w:rPr>
      </w:pPr>
      <w:r>
        <w:rPr>
          <w:rFonts w:hint="eastAsia" w:ascii="宋体" w:hAnsi="宋体" w:cs="宋体"/>
          <w:b w:val="0"/>
          <w:bCs/>
          <w:color w:val="auto"/>
          <w:sz w:val="21"/>
          <w:szCs w:val="21"/>
          <w:highlight w:val="none"/>
        </w:rPr>
        <w:t xml:space="preserve">8.10</w:t>
      </w:r>
      <w:r>
        <w:rPr>
          <w:rFonts w:hint="eastAsia" w:ascii="宋体" w:hAnsi="宋体" w:cs="宋体"/>
          <w:b/>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8.11经磋商确定最终采购需求和提交最后报价的供应商后，由磋商小组采用综合评分法对提交最后报价的供应商的响应文件和最后报价进行综合评分。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8.12磋商小组根据磋商成交原则确定成交供应商，并将结果通知所有参加磋商的供应商。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8.13评审过程的保密与公正</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8.13.1磋商小组、采购人和代理公司工作人员、相关监督人员等与评审工作有关的人员，对评审情况以及在评审过程中获悉的国家秘密、商业秘密负有保密责任。</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8.13.2在评审过程中，供应商不得以任何行为影响磋商评审过程，否则其响应文件将被作为无效响应文件。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8.13.3在项目评审期间，代理公司将设专门人员与供应商联系。</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8.13.4 代理公司和磋商小组不向未成交的供应商解释未成交原因，也不公布评审过程中的相关细节。</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8.14如磋商过程中出现本采购文件未尽事宜，由磋商小组根据政府采购有关法律、法规讨论决定。</w:t>
      </w:r>
      <w:r/>
    </w:p>
    <w:p>
      <w:pPr>
        <w:pStyle w:val="1191"/>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9.未实质性响应磋商文件的情形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9.1供应商在苏采云系统规定的时间内未成功解密电子响应文件的。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9.2供应商未按照磋商文件要求上传电子响应文件的。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9.3同一供应商提交两个（含两个）以上不同的响应文件或者最后报价的。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9.4供应商不具备磋商文件中规定资格要求的。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9.5供应商的报价超过了采购预算或最高限价。</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9.6不符合磋商文件中规定的实质性要求和条件的。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9.8响应文件含有采购人不能接受的附加条件的。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9.10响应文件未按照磋商文件要求加盖CA电子公章或签署的。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9.11法律、法规和招标文件规定的其他无效情形。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9.12未实质性响应磋商文件的响应文件按无效响应处理。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①如果响应文件实质上没有响应磋商文件的要求，磋商小组将予以拒绝，供应商不得通过修改或撤销不合要求的偏离或保留而使其成为实质性响应的文件。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②供应商在项目评审全过程中应保持通讯畅通，并安排专人与代理公司及磋商小组联系。</w:t>
      </w:r>
      <w:r/>
    </w:p>
    <w:p>
      <w:pPr>
        <w:pStyle w:val="1191"/>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10.项目的终止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10.1出现下列情形之一的，本次竞争性磋商采购活动将被终止：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10.1.1因情况变化，不再符合规定的竞争性磋商采购方式适用情形的。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10.1.2出现影响采购公正的违法、违规行为的。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10.1.4在苏采云系统规定时间内成功解密电子响应文件的供应商不足3家的。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10.1.5供应商的报价均超过了采购预算，采购人不能支付的； </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10.1.6因重大变故，采购任务取消的。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10.2供应商应当遵循公平竞争的原则，不得恶意串通，不得妨碍其他供应商的竞争行为，不得损害采购人或者其他供应商的合法权益。</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10.3在评审过程中发现供应商有下述情形的，磋商小组应当认定其响应无效，并书面报告本级财政部门。</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10.4有下列情形之一的，视为供应商串通投标，其响应无效：</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10.4.1不同供应商的响应文件由同一单位或者个人编制；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10.4.2不同供应商委托同一单位或者个人办理投标事宜；</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10.4.3不同供应商的响应文件载明的项目管理成员或者联系人员为同一人；</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10.4.4不同供应商的响应文件异常一致或者报价呈规律性差异；</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10.4.5不同供应商的响应文件相互混装。</w:t>
      </w:r>
      <w:r/>
    </w:p>
    <w:p>
      <w:pPr>
        <w:pStyle w:val="1191"/>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11.成交</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11.1确定成交单位</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11.1.1磋商小组根据磋商成交原则确定成交供应商，并将结果通知所有参加磋商的供应商。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11.2若有充分证据证明，成交供应商出现下列情况之一的，一经查实，将被取消成交资格：</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11.2.1提供虚假材料谋取成交的。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11.2.2与评审专家、采购人、其他供应商或者代理公司工作人员恶意串通的。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11.2.3向评审专家、采购人或代理公司工作人员行贿或者提供其他不正当利益的。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11.2.4恶意竞争，最后报价明显低于其自身合理成本且又无法提供证明的。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11.2.5不满足本磋商文件规定的实质性要求，但在评审过程中又未被磋商小组发现的。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11.2.6成交后无正当理由拒不与采购人签订政府采购合同或者未按照磋商文件确定的事项签订政府采购合同的。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11.2.7将政府采购合同转包的。</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12.质疑处理</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需同时提供网上报名确认单及质疑单位符合本项目合格响应单位资格要求的证明文件，因供应商资格条件或报名时间设定不符合有关法律法规规定等原因使供应商权益受损的质疑除外）。</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12.2本次采购文件要求供应商在法定质疑期内一次性提出针对同一采购程序环节的质疑，否则不予受理。</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12.3供应商提出质疑应当提交质疑函和必要的证明材料，质疑函应当包括下列内容：</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12.3.1供应商的姓名或者名称（以提供的营业执照副本复印件为准）、地址、邮编、联系人及联系电话；</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12.3.2质疑项目的名称、编号；</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12.3.3具体、明确的质疑事项和与质疑事项相关的请求；</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12.3.4事实依据；</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12.3.5必要的法律依据；</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12.3.6提出质疑的日期。</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 w:val="21"/>
          <w:szCs w:val="21"/>
          <w:highlight w:val="none"/>
        </w:rPr>
        <w:t xml:space="preserve">授权委托书</w:t>
      </w:r>
      <w:r>
        <w:rPr>
          <w:rFonts w:hint="eastAsia" w:ascii="宋体" w:hAnsi="宋体" w:cs="宋体"/>
          <w:color w:val="auto"/>
          <w:sz w:val="21"/>
          <w:szCs w:val="21"/>
          <w:highlight w:val="none"/>
        </w:rPr>
        <w:t xml:space="preserve">上应当载明代理人的姓名或者名称、代理事项、具体权限、期限和相关事项。</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 w:val="21"/>
          <w:szCs w:val="21"/>
          <w:highlight w:val="none"/>
        </w:rPr>
        <w:t xml:space="preserve">。</w:t>
      </w:r>
      <w:r/>
    </w:p>
    <w:p>
      <w:pPr>
        <w:pStyle w:val="1191"/>
        <w:spacing w:line="440" w:lineRule="exact"/>
        <w:rPr>
          <w:rFonts w:ascii="宋体" w:hAnsi="宋体" w:cs="宋体"/>
          <w:b/>
          <w:color w:val="auto"/>
          <w:sz w:val="21"/>
          <w:szCs w:val="21"/>
          <w:highlight w:val="none"/>
        </w:rPr>
      </w:pPr>
      <w:r>
        <w:rPr>
          <w:rFonts w:hint="eastAsia" w:ascii="宋体" w:hAnsi="宋体" w:cs="宋体"/>
          <w:color w:val="auto"/>
          <w:sz w:val="21"/>
          <w:szCs w:val="21"/>
          <w:highlight w:val="none"/>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1"/>
          <w:szCs w:val="21"/>
          <w:highlight w:val="none"/>
        </w:rPr>
        <w:t xml:space="preserve">《投标供应商确认函》</w:t>
      </w:r>
      <w:r>
        <w:rPr>
          <w:rFonts w:hint="eastAsia" w:ascii="宋体" w:hAnsi="宋体" w:cs="宋体"/>
          <w:color w:val="auto"/>
          <w:sz w:val="21"/>
          <w:szCs w:val="21"/>
          <w:highlight w:val="none"/>
        </w:rPr>
        <w:t xml:space="preserve">）与质疑函一起递交，否则不予受理。</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12.5接收质疑函的方式：书面形式（当场送达或邮寄方式）</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en-US"/>
        </w:rPr>
        <w:t xml:space="preserve">苏州通宜房地产土地评估咨询有限公司</w:t>
      </w:r>
      <w:r/>
    </w:p>
    <w:p>
      <w:pPr>
        <w:pStyle w:val="1114"/>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地址:吴江区松陵镇鲈乡南路鲈乡园别墅区103幢</w:t>
      </w:r>
      <w:r/>
    </w:p>
    <w:p>
      <w:pPr>
        <w:pStyle w:val="1114"/>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联系人：董鹏、朱雪芬  </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rPr>
        <w:t xml:space="preserve">0512-</w:t>
      </w:r>
      <w:r>
        <w:rPr>
          <w:rFonts w:hint="eastAsia" w:ascii="宋体" w:hAnsi="宋体" w:cs="宋体"/>
          <w:color w:val="auto"/>
          <w:szCs w:val="21"/>
          <w:highlight w:val="none"/>
        </w:rPr>
        <w:t xml:space="preserve">63000883</w:t>
      </w:r>
      <w:r>
        <w:rPr>
          <w:rFonts w:hint="eastAsia" w:ascii="宋体" w:hAnsi="宋体" w:cs="宋体"/>
          <w:color w:val="auto"/>
          <w:szCs w:val="21"/>
          <w:highlight w:val="none"/>
          <w:lang w:val="en-US"/>
        </w:rPr>
        <w:t xml:space="preserve"> </w:t>
      </w:r>
      <w:r/>
    </w:p>
    <w:p>
      <w:pPr>
        <w:pStyle w:val="1114"/>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提交方式：书面形式原件（邮寄或当面递交）</w:t>
      </w:r>
      <w:r/>
    </w:p>
    <w:p>
      <w:pPr>
        <w:pStyle w:val="1114"/>
        <w:ind w:firstLine="420"/>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13.响应无效和终止磋商活动条款</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13.1响应人存在下列情况之一的，响应无效:</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13.1.1未按照竞争性磋商文件规定要求签署、盖章的；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13.1.2供应商不具备竞争性磋商文件中规定资格条件的；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13.1.3报价超过磋商文件中规定的预算金额或者最高限价的；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13.1.4响应文件含有采购人不能接受的附加条件；</w:t>
      </w:r>
      <w:r/>
    </w:p>
    <w:p>
      <w:pPr>
        <w:pStyle w:val="1120"/>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13.1.5因磋商响应单位自身原因导致网上磋商响应文件无法递交的其他情况；</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13.1.6不符合法律、法规和竞争性磋商文件中规定的其他实质性要求的；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13.1.7法律、法规及本竞争性磋商文件规定的其他无效的情形。</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13.2响应人应当遵循公平竞争的原则，不得恶意串通，不得妨碍其他响应人的竞争行为，不得损害采购人或者其他响应人的合法权益。</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磋商在过程中发现响应人有上述情形的，磋商小组应当认定其响应无效，并书面报告本级财政部门。</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13.3有下列情形之一的，视为响应人恶意串通，其响应无效：</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13.3.1不同响应人的响应文件由同一单位或者个人编制；</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13.3.2不同响应人委托同一单位或者个人办理磋商事宜；</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13.3.3不同响应人的响应文件载明的项目管理成员或者联系人员为同一人；</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13.3.4不同响应人的响应文件异常一致或者报价呈规律性差异；</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13.3.5不同响应人的响应文件相互混装；</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13.4终止竞争性磋商采购活动的条款</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13.4.1因情况变化，不再符合规定的竞争性磋商采购方式适用情形的；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13.4.2出现影响采购公正的违法、违规行为的；</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13.4.3在采购过程中符合要求的供应商或者报价未超过采购预算的供应商不足3家的。</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14.政府采购政策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14.1小、微企业</w:t>
      </w:r>
      <w:r/>
    </w:p>
    <w:p>
      <w:pPr>
        <w:ind w:firstLine="420"/>
        <w:spacing w:line="440" w:lineRule="exact"/>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14.2残疾人福利性单位</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14.3监狱企业</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14.4</w:t>
      </w:r>
      <w:r>
        <w:rPr>
          <w:rFonts w:hint="eastAsia" w:ascii="宋体" w:hAnsi="宋体" w:cs="宋体"/>
          <w:color w:val="auto"/>
          <w:szCs w:val="21"/>
          <w:highlight w:val="none"/>
        </w:rPr>
        <w:t xml:space="preserve">强制采购节能产品、信息安全产品，优先采购环境标志产品。</w:t>
      </w:r>
      <w:r/>
    </w:p>
    <w:p>
      <w:pPr>
        <w:ind w:firstLine="420"/>
        <w:spacing w:line="440" w:lineRule="exact"/>
        <w:tabs>
          <w:tab w:val="left" w:pos="56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14.4.1</w:t>
      </w:r>
      <w:r>
        <w:rPr>
          <w:rFonts w:hint="eastAsia" w:ascii="宋体" w:hAnsi="宋体" w:cs="宋体"/>
          <w:color w:val="auto"/>
          <w:szCs w:val="21"/>
          <w:highlight w:val="none"/>
        </w:rPr>
        <w:t xml:space="preserve">节能产品是指列入财政部、国家发展和改革委员会制定的节能产品品目政府采购清单，且经过认定的节能产品</w:t>
      </w:r>
      <w:r>
        <w:rPr>
          <w:rFonts w:hint="eastAsia" w:ascii="宋体" w:hAnsi="宋体" w:cs="宋体"/>
          <w:color w:val="auto"/>
          <w:szCs w:val="21"/>
          <w:highlight w:val="none"/>
          <w:lang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14.4.2</w:t>
      </w:r>
      <w:r>
        <w:rPr>
          <w:rFonts w:hint="eastAsia" w:ascii="宋体" w:hAnsi="宋体" w:cs="宋体"/>
          <w:color w:val="auto"/>
          <w:szCs w:val="21"/>
          <w:highlight w:val="none"/>
        </w:rPr>
        <w:t xml:space="preserve">信息安全产品是指列入国家质检总局国家认监委《信息安全产品强制性认证目录》，并获得强制性产品认证证书的产品</w:t>
      </w:r>
      <w:r>
        <w:rPr>
          <w:rFonts w:hint="eastAsia" w:ascii="宋体" w:hAnsi="宋体" w:cs="宋体"/>
          <w:color w:val="auto"/>
          <w:szCs w:val="21"/>
          <w:highlight w:val="none"/>
          <w:lang w:val="en-US" w:eastAsia="zh-CN"/>
        </w:rPr>
        <w:t xml:space="preserve">.</w:t>
      </w:r>
      <w:r/>
    </w:p>
    <w:p>
      <w:pPr>
        <w:ind w:firstLine="420"/>
        <w:spacing w:line="440" w:lineRule="exact"/>
        <w:tabs>
          <w:tab w:val="left" w:pos="56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14.4.3</w:t>
      </w:r>
      <w:r>
        <w:rPr>
          <w:rFonts w:hint="eastAsia" w:ascii="宋体" w:hAnsi="宋体" w:cs="宋体"/>
          <w:color w:val="auto"/>
          <w:szCs w:val="21"/>
          <w:highlight w:val="none"/>
        </w:rPr>
        <w:t xml:space="preserve">环境标志产品是指列入财政部、国家环保总局制定的环境标志产品品目政府采购清单，且经过认证的环境标志产品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提供的产品属于环境标志产品的,供应商应当选择经过认证的环境标志产品投标,并提供有效的环境标志产品认证证书扫描件。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14.7政府采购中实施本国产品标准及相关政策</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14.7.1本项目对采购本国产品给予政策支持：</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14.7.1.1本项目政府采购活动中既有本国产品又有非本国产品参与竞争的，依法对本国产品给予价格评审优惠，对本国产品的报价给予20%的价格扣除，用扣除后的价格参与评审。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14.7.1.3供应商需按照招标文件的要求提供《关于符合本国产品标准的声明函》（以下简称《声明函》），如不提供将不享受本国产品价格评审优惠。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hint="eastAsia"/>
          <w:color w:val="auto"/>
          <w:highlight w:val="none"/>
        </w:rPr>
      </w:pPr>
      <w:r>
        <w:rPr>
          <w:rFonts w:hint="eastAsia" w:ascii="宋体" w:hAnsi="宋体" w:cs="宋体"/>
          <w:color w:val="auto"/>
          <w:szCs w:val="21"/>
          <w:highlight w:val="none"/>
          <w:lang w:val="en-US" w:eastAsia="zh-CN"/>
        </w:rPr>
        <w:t xml:space="preserve">14.8</w:t>
      </w:r>
      <w:r>
        <w:rPr>
          <w:rFonts w:hint="eastAsia" w:ascii="宋体" w:hAnsi="宋体" w:cs="宋体"/>
          <w:color w:val="auto"/>
          <w:szCs w:val="21"/>
          <w:highlight w:val="none"/>
        </w:rPr>
        <w:t xml:space="preserve">如采购货物涉及协议供货相关产品的，执行协议供货相关政策。</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15.关于对参与供应商信用记录的政府采购要求</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15.4对存在失信信息的供应商，由失信供应商进行确认。同时，采购代理机构工作人员应根据评审小组确认的失信信息，登陆到相关来源网站页面进行复核并打印，作为证据留存。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1189"/>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1189"/>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1189"/>
        <w:ind w:firstLine="422"/>
        <w:jc w:val="both"/>
        <w:spacing w:before="0" w:beforeAutospacing="0" w:after="0" w:afterAutospacing="0" w:line="440" w:lineRule="exact"/>
        <w:rPr>
          <w:bCs/>
          <w:color w:val="auto"/>
          <w:sz w:val="21"/>
          <w:szCs w:val="21"/>
          <w:highlight w:val="none"/>
        </w:rPr>
      </w:pPr>
      <w:r>
        <w:rPr>
          <w:rFonts w:hint="eastAsia"/>
          <w:b/>
          <w:color w:val="auto"/>
          <w:sz w:val="21"/>
          <w:szCs w:val="21"/>
          <w:highlight w:val="none"/>
        </w:rPr>
        <w:t xml:space="preserve">17.磋商保证金：</w:t>
      </w:r>
      <w:r>
        <w:rPr>
          <w:rFonts w:hint="eastAsia"/>
          <w:bCs/>
          <w:color w:val="auto"/>
          <w:sz w:val="21"/>
          <w:szCs w:val="21"/>
          <w:highlight w:val="none"/>
        </w:rPr>
        <w:t xml:space="preserve">本项目不收取保证金，但需在响应文件中提供《</w:t>
      </w:r>
      <w:r>
        <w:rPr>
          <w:rFonts w:hint="eastAsia"/>
          <w:bCs/>
          <w:color w:val="auto"/>
          <w:sz w:val="21"/>
          <w:szCs w:val="21"/>
          <w:highlight w:val="none"/>
          <w:lang w:val="zh-CN"/>
        </w:rPr>
        <w:t xml:space="preserve">投标（响应）保证承诺书》。</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hint="eastAsia" w:ascii="宋体" w:hAnsi="宋体" w:cs="宋体"/>
          <w:b w:val="0"/>
          <w:bCs/>
          <w:color w:val="auto"/>
          <w:szCs w:val="21"/>
          <w:highlight w:val="none"/>
        </w:rPr>
        <w:t xml:space="preserve">采购人支付自代理服务履约完毕之日起 30 个工作日内支付款项。</w:t>
      </w:r>
      <w:r>
        <w:rPr>
          <w:rFonts w:hint="eastAsia" w:ascii="宋体" w:hAnsi="宋体" w:cs="宋体"/>
          <w:color w:val="auto"/>
          <w:szCs w:val="21"/>
          <w:highlight w:val="none"/>
          <w:lang w:val="zh-CN"/>
        </w:rPr>
        <w:t xml:space="preserve">按差额定率累进法</w:t>
      </w:r>
      <w:r>
        <w:rPr>
          <w:rFonts w:hint="eastAsia" w:ascii="宋体" w:hAnsi="宋体" w:cs="宋体"/>
          <w:color w:val="auto"/>
          <w:szCs w:val="21"/>
          <w:highlight w:val="none"/>
        </w:rPr>
        <w:t xml:space="preserve">分标段</w:t>
      </w:r>
      <w:r>
        <w:rPr>
          <w:rFonts w:hint="eastAsia" w:ascii="宋体" w:hAnsi="宋体" w:cs="宋体"/>
          <w:color w:val="auto"/>
          <w:szCs w:val="21"/>
          <w:highlight w:val="none"/>
          <w:lang w:val="zh-CN"/>
        </w:rPr>
        <w:t xml:space="preserve">计算收取，预算金额100万以下费率为预算金额的1.5%；预算金额100万（含）-500万费率为预算金额的1.1%；</w:t>
      </w:r>
      <w:r>
        <w:rPr>
          <w:rFonts w:hint="eastAsia" w:ascii="宋体" w:hAnsi="宋体"/>
          <w:color w:val="auto"/>
          <w:szCs w:val="21"/>
          <w:highlight w:val="none"/>
        </w:rPr>
        <w:t xml:space="preserve">本项目经中介超市竞价，招标代理费为2</w:t>
      </w:r>
      <w:r>
        <w:rPr>
          <w:rFonts w:hint="eastAsia" w:ascii="宋体" w:hAnsi="宋体"/>
          <w:color w:val="auto"/>
          <w:szCs w:val="21"/>
          <w:highlight w:val="none"/>
          <w:lang w:val="en-US" w:eastAsia="zh-CN"/>
        </w:rPr>
        <w:t xml:space="preserve">4000</w:t>
      </w:r>
      <w:r>
        <w:rPr>
          <w:rFonts w:hint="eastAsia" w:ascii="宋体" w:hAnsi="宋体"/>
          <w:color w:val="auto"/>
          <w:szCs w:val="21"/>
          <w:highlight w:val="none"/>
        </w:rPr>
        <w:t xml:space="preserve">元。</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服务费交纳账户：苏州通宜房地产土地评估咨询有限公司</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账号：0706678011120100265232</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开户银行：苏州农村商业银行营业部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19.磋商说明：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19.1不符合供应商资格要求的响应文件将被拒绝；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19.2参加磋商的供应商必须</w:t>
      </w:r>
      <w:r>
        <w:rPr>
          <w:rFonts w:hint="eastAsia" w:ascii="宋体" w:hAnsi="宋体" w:cs="宋体"/>
          <w:color w:val="auto"/>
          <w:szCs w:val="21"/>
          <w:highlight w:val="none"/>
        </w:rPr>
        <w:t xml:space="preserve">法定代表人或授权委托人</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19.3响应文件签署不符合要求的，响应文件将被拒绝；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19.4最终报价超过采购预算的，不能成交；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19.5不实质性响应磋商文件的不能成交；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19.6</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各标段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实质性响应磋商文件不满三家或进入二次报价的不满三家或二次报价在采购预算内不满三家的，磋商采购失败。</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20.未尽事宜：</w:t>
      </w:r>
      <w:r>
        <w:rPr>
          <w:rFonts w:hint="eastAsia" w:ascii="宋体" w:hAnsi="宋体" w:cs="宋体"/>
          <w:color w:val="auto"/>
          <w:szCs w:val="21"/>
          <w:highlight w:val="none"/>
        </w:rPr>
        <w:t xml:space="preserve">按《中华人民共和国政府采购法》及其他有关的法律法规的规定执行。</w:t>
      </w:r>
      <w:r/>
    </w:p>
    <w:p>
      <w:pPr>
        <w:ind w:firstLine="422"/>
        <w:spacing w:line="440" w:lineRule="exact"/>
        <w:rPr>
          <w:rFonts w:ascii="宋体" w:hAnsi="宋体" w:cs="宋体"/>
          <w:b/>
          <w:color w:val="auto"/>
          <w:szCs w:val="21"/>
          <w:highlight w:val="none"/>
        </w:rPr>
      </w:pPr>
      <w:r>
        <w:rPr>
          <w:rFonts w:hint="eastAsia" w:ascii="宋体" w:hAnsi="宋体" w:cs="宋体"/>
          <w:b/>
          <w:bCs/>
          <w:color w:val="auto"/>
          <w:highlight w:val="none"/>
        </w:rPr>
        <w:t xml:space="preserve">21.备注：本文件打“★”为实质性条款，不可负偏离，如负偏离响应文件无效。</w:t>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bookmarkEnd w:id="32"/>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rPr>
          <w:rStyle w:val="1105"/>
          <w:rFonts w:ascii="宋体" w:hAnsi="宋体" w:cs="宋体"/>
          <w:color w:val="auto"/>
          <w:highlight w:val="none"/>
        </w:rPr>
      </w:pPr>
      <w:r/>
      <w:bookmarkStart w:id="33" w:name="_Toc18546"/>
      <w:r>
        <w:rPr>
          <w:rStyle w:val="1105"/>
          <w:rFonts w:hint="eastAsia" w:ascii="宋体" w:hAnsi="宋体" w:cs="宋体"/>
          <w:color w:val="auto"/>
          <w:highlight w:val="none"/>
        </w:rPr>
        <w:br w:type="page" w:clear="all"/>
      </w:r>
      <w:r/>
    </w:p>
    <w:p>
      <w:pPr>
        <w:pStyle w:val="850"/>
        <w:rPr>
          <w:color w:val="auto"/>
          <w:highlight w:val="none"/>
        </w:rPr>
      </w:pPr>
      <w:r/>
      <w:bookmarkStart w:id="34" w:name="_Toc7652"/>
      <w:r>
        <w:rPr>
          <w:rFonts w:hint="eastAsia"/>
          <w:color w:val="auto"/>
          <w:highlight w:val="none"/>
        </w:rPr>
        <w:t xml:space="preserve">三、采购需求</w:t>
      </w:r>
      <w:bookmarkEnd w:id="33"/>
      <w:r/>
      <w:bookmarkEnd w:id="34"/>
      <w:r/>
      <w:r/>
    </w:p>
    <w:p>
      <w:pPr>
        <w:ind w:firstLine="420"/>
        <w:jc w:val="left"/>
        <w:shd w:val="clear" w:color="ffffff" w:themeColor="background1" w:fill="ffffff" w:themeFill="background1"/>
        <w:widowControl/>
        <w:rPr>
          <w:rFonts w:ascii="宋体" w:hAnsi="宋体" w:cs="宋体"/>
          <w:bCs/>
          <w:color w:val="auto"/>
          <w:szCs w:val="21"/>
          <w:highlight w:val="none"/>
        </w:rPr>
      </w:pPr>
      <w:r/>
      <w:bookmarkStart w:id="35" w:name="_Toc20120"/>
      <w:r>
        <w:rPr>
          <w:rFonts w:hint="eastAsia" w:ascii="宋体" w:hAnsi="宋体" w:cs="宋体"/>
          <w:bCs/>
          <w:color w:val="auto"/>
          <w:szCs w:val="21"/>
          <w:highlight w:val="none"/>
        </w:rPr>
        <w:t xml:space="preserve">受</w:t>
      </w:r>
      <w:r>
        <w:rPr>
          <w:rFonts w:hint="eastAsia" w:ascii="宋体" w:hAnsi="宋体" w:cs="宋体"/>
          <w:bCs/>
          <w:color w:val="auto"/>
          <w:szCs w:val="21"/>
          <w:highlight w:val="none"/>
          <w:lang w:eastAsia="zh-CN"/>
        </w:rPr>
        <w:t xml:space="preserve">江苏省汾湖高新技术产业开发区黎里古镇开发保护区管理办公室</w:t>
      </w:r>
      <w:r>
        <w:rPr>
          <w:rFonts w:hint="eastAsia" w:ascii="宋体" w:hAnsi="宋体" w:cs="宋体"/>
          <w:bCs/>
          <w:color w:val="auto"/>
          <w:szCs w:val="21"/>
          <w:highlight w:val="none"/>
        </w:rPr>
        <w:t xml:space="preserve">之委托，苏州通宜房地产土地评估咨询有限公司对其需采购的</w:t>
      </w:r>
      <w:r>
        <w:rPr>
          <w:rFonts w:hint="eastAsia" w:ascii="宋体" w:hAnsi="宋体" w:cs="宋体"/>
          <w:bCs/>
          <w:color w:val="auto"/>
          <w:szCs w:val="21"/>
          <w:highlight w:val="none"/>
          <w:lang w:eastAsia="zh-CN"/>
        </w:rPr>
        <w:t xml:space="preserve">兴黎社区综合服务项目</w:t>
      </w:r>
      <w:r>
        <w:rPr>
          <w:rFonts w:hint="eastAsia" w:ascii="宋体" w:hAnsi="宋体" w:cs="宋体"/>
          <w:bCs/>
          <w:color w:val="auto"/>
          <w:szCs w:val="21"/>
          <w:highlight w:val="none"/>
        </w:rPr>
        <w:t xml:space="preserve">在国内组织竞争性磋商采购。欢迎符合资格条件的响应单位前来报名参加。</w:t>
      </w:r>
      <w:bookmarkEnd w:id="35"/>
      <w:r/>
      <w:r/>
    </w:p>
    <w:p>
      <w:pPr>
        <w:ind w:firstLine="422"/>
        <w:rPr>
          <w:rFonts w:hint="eastAsia" w:ascii="宋体" w:hAnsi="宋体" w:eastAsia="宋体" w:cs="宋体"/>
          <w:color w:val="auto"/>
          <w:szCs w:val="21"/>
          <w:highlight w:val="none"/>
          <w:lang w:eastAsia="zh-CN"/>
        </w:rPr>
      </w:pPr>
      <w:r/>
      <w:bookmarkStart w:id="36" w:name="_Toc3978"/>
      <w:r>
        <w:rPr>
          <w:rFonts w:hint="eastAsia" w:ascii="宋体" w:hAnsi="宋体" w:cs="宋体"/>
          <w:b/>
          <w:color w:val="auto"/>
          <w:szCs w:val="21"/>
          <w:highlight w:val="none"/>
        </w:rPr>
        <w:t xml:space="preserve">一、</w:t>
      </w:r>
      <w:r>
        <w:rPr>
          <w:rFonts w:hint="eastAsia" w:ascii="宋体" w:hAnsi="宋体" w:cs="宋体"/>
          <w:b/>
          <w:color w:val="auto"/>
          <w:szCs w:val="21"/>
          <w:highlight w:val="none"/>
          <w:lang w:eastAsia="zh-CN"/>
        </w:rPr>
        <w:t xml:space="preserve">项目编号</w:t>
      </w:r>
      <w:r>
        <w:rPr>
          <w:rFonts w:hint="eastAsia" w:ascii="宋体" w:hAnsi="宋体" w:cs="宋体"/>
          <w:color w:val="auto"/>
          <w:szCs w:val="21"/>
          <w:highlight w:val="none"/>
        </w:rPr>
        <w:t xml:space="preserve">：</w:t>
      </w:r>
      <w:bookmarkEnd w:id="36"/>
      <w:r>
        <w:rPr>
          <w:rFonts w:hint="eastAsia" w:ascii="宋体" w:hAnsi="宋体" w:cs="宋体"/>
          <w:color w:val="auto"/>
          <w:szCs w:val="21"/>
          <w:highlight w:val="none"/>
          <w:lang w:eastAsia="zh-CN"/>
        </w:rPr>
        <w:t xml:space="preserve">JSZC-320509-SZTY-C2026-0008</w:t>
      </w:r>
      <w:r/>
    </w:p>
    <w:p>
      <w:pPr>
        <w:ind w:firstLine="422"/>
        <w:rPr>
          <w:rFonts w:hint="eastAsia" w:ascii="宋体" w:hAnsi="宋体" w:eastAsia="宋体" w:cs="宋体"/>
          <w:b/>
          <w:color w:val="auto"/>
          <w:szCs w:val="21"/>
          <w:highlight w:val="none"/>
          <w:lang w:eastAsia="zh-CN"/>
        </w:rPr>
      </w:pPr>
      <w:r/>
      <w:bookmarkStart w:id="37" w:name="_Toc5894"/>
      <w:r>
        <w:rPr>
          <w:rFonts w:hint="eastAsia" w:ascii="宋体" w:hAnsi="宋体" w:cs="宋体"/>
          <w:b/>
          <w:color w:val="auto"/>
          <w:szCs w:val="21"/>
          <w:highlight w:val="none"/>
        </w:rPr>
        <w:t xml:space="preserve">二、项目名称：</w:t>
      </w:r>
      <w:bookmarkEnd w:id="37"/>
      <w:r>
        <w:rPr>
          <w:rFonts w:hint="eastAsia" w:ascii="宋体" w:hAnsi="宋体" w:cs="宋体"/>
          <w:bCs/>
          <w:color w:val="auto"/>
          <w:szCs w:val="21"/>
          <w:highlight w:val="none"/>
          <w:lang w:eastAsia="zh-CN"/>
        </w:rPr>
        <w:t xml:space="preserve">兴黎社区综合服务项目</w:t>
      </w:r>
      <w:r/>
    </w:p>
    <w:p>
      <w:pPr>
        <w:ind w:firstLine="422"/>
        <w:rPr>
          <w:rFonts w:hint="eastAsia" w:ascii="宋体" w:hAnsi="宋体" w:eastAsia="宋体" w:cs="宋体"/>
          <w:bCs/>
          <w:color w:val="auto"/>
          <w:szCs w:val="21"/>
          <w:highlight w:val="none"/>
          <w:lang w:eastAsia="zh-CN"/>
        </w:rPr>
      </w:pPr>
      <w:r>
        <w:rPr>
          <w:rFonts w:hint="eastAsia" w:ascii="宋体" w:hAnsi="宋体" w:cs="宋体"/>
          <w:b/>
          <w:color w:val="auto"/>
          <w:szCs w:val="21"/>
          <w:highlight w:val="none"/>
        </w:rPr>
        <w:t xml:space="preserve">三、预算金额：</w:t>
      </w:r>
      <w:r>
        <w:rPr>
          <w:rFonts w:hint="eastAsia" w:ascii="宋体" w:hAnsi="宋体" w:cs="宋体"/>
          <w:bCs/>
          <w:color w:val="auto"/>
          <w:szCs w:val="21"/>
          <w:highlight w:val="none"/>
          <w:lang w:eastAsia="zh-CN"/>
        </w:rPr>
        <w:t xml:space="preserve">人民币壹佰玖拾肆万玖仟柒佰元整（￥1949700元）</w:t>
      </w:r>
      <w:r/>
    </w:p>
    <w:p>
      <w:pPr>
        <w:ind w:firstLine="840"/>
        <w:rPr>
          <w:rFonts w:hint="eastAsia" w:ascii="宋体" w:hAnsi="宋体" w:eastAsia="宋体" w:cs="宋体"/>
          <w:bCs/>
          <w:color w:val="auto"/>
          <w:szCs w:val="21"/>
          <w:highlight w:val="none"/>
          <w:lang w:eastAsia="zh-CN"/>
        </w:rPr>
      </w:pPr>
      <w:r/>
      <w:bookmarkStart w:id="38" w:name="OLE_LINK4"/>
      <w:r>
        <w:rPr>
          <w:rFonts w:hint="eastAsia" w:ascii="宋体" w:hAnsi="宋体" w:cs="宋体"/>
          <w:bCs/>
          <w:color w:val="auto"/>
          <w:szCs w:val="21"/>
          <w:highlight w:val="none"/>
        </w:rPr>
        <w:t xml:space="preserve">最高限价：</w:t>
      </w:r>
      <w:bookmarkEnd w:id="38"/>
      <w:r>
        <w:rPr>
          <w:rFonts w:hint="eastAsia" w:ascii="宋体" w:hAnsi="宋体" w:cs="宋体"/>
          <w:bCs/>
          <w:color w:val="auto"/>
          <w:szCs w:val="21"/>
          <w:highlight w:val="none"/>
          <w:lang w:eastAsia="zh-CN"/>
        </w:rPr>
        <w:t xml:space="preserve">人民币壹佰玖拾肆万玖仟柒佰元整（￥1949700元）</w:t>
      </w:r>
      <w:r/>
    </w:p>
    <w:p>
      <w:pPr>
        <w:ind w:firstLine="422"/>
        <w:rPr>
          <w:rFonts w:ascii="宋体" w:hAnsi="宋体" w:cs="宋体"/>
          <w:b w:val="0"/>
          <w:bCs/>
          <w:i w:val="0"/>
          <w:iCs w:val="0"/>
          <w:color w:val="auto"/>
          <w:szCs w:val="21"/>
          <w:highlight w:val="none"/>
        </w:rPr>
      </w:pPr>
      <w:r>
        <w:rPr>
          <w:rFonts w:hint="eastAsia" w:ascii="宋体" w:hAnsi="宋体" w:cs="宋体"/>
          <w:b/>
          <w:color w:val="auto"/>
          <w:szCs w:val="21"/>
          <w:highlight w:val="none"/>
        </w:rPr>
        <w:t xml:space="preserve">四、服务期限：</w:t>
      </w:r>
      <w:bookmarkStart w:id="39" w:name="OLE_LINK1"/>
      <w:r>
        <w:rPr>
          <w:rFonts w:hint="eastAsia" w:ascii="宋体" w:hAnsi="宋体" w:cs="宋体"/>
          <w:b w:val="0"/>
          <w:bCs/>
          <w:i w:val="0"/>
          <w:iCs w:val="0"/>
          <w:color w:val="auto"/>
          <w:szCs w:val="21"/>
          <w:highlight w:val="none"/>
        </w:rPr>
        <w:t xml:space="preserve">合同签订之日起</w:t>
      </w:r>
      <w:r>
        <w:rPr>
          <w:rFonts w:hint="eastAsia" w:ascii="宋体" w:hAnsi="宋体" w:cs="宋体"/>
          <w:b w:val="0"/>
          <w:bCs/>
          <w:i w:val="0"/>
          <w:iCs w:val="0"/>
          <w:color w:val="auto"/>
          <w:szCs w:val="21"/>
          <w:highlight w:val="none"/>
          <w:lang w:val="en-US" w:eastAsia="zh-CN"/>
        </w:rPr>
        <w:t xml:space="preserve">90</w:t>
      </w:r>
      <w:r>
        <w:rPr>
          <w:rFonts w:hint="eastAsia" w:ascii="宋体" w:hAnsi="宋体" w:cs="宋体"/>
          <w:b w:val="0"/>
          <w:bCs/>
          <w:i w:val="0"/>
          <w:iCs w:val="0"/>
          <w:color w:val="auto"/>
          <w:szCs w:val="21"/>
          <w:highlight w:val="none"/>
        </w:rPr>
        <w:t xml:space="preserve">天内完成</w:t>
      </w:r>
      <w:r>
        <w:rPr>
          <w:rFonts w:hint="eastAsia" w:ascii="宋体" w:hAnsi="宋体" w:cs="宋体"/>
          <w:b w:val="0"/>
          <w:bCs/>
          <w:i w:val="0"/>
          <w:iCs w:val="0"/>
          <w:color w:val="auto"/>
          <w:szCs w:val="21"/>
          <w:highlight w:val="none"/>
          <w:lang w:val="en-US" w:eastAsia="zh-CN"/>
        </w:rPr>
        <w:t xml:space="preserve">布展</w:t>
      </w:r>
      <w:r>
        <w:rPr>
          <w:rFonts w:hint="eastAsia" w:ascii="宋体" w:hAnsi="宋体" w:cs="宋体"/>
          <w:b w:val="0"/>
          <w:bCs/>
          <w:i w:val="0"/>
          <w:iCs w:val="0"/>
          <w:color w:val="auto"/>
          <w:szCs w:val="21"/>
          <w:highlight w:val="none"/>
        </w:rPr>
        <w:t xml:space="preserve">并交付使用。 </w:t>
      </w:r>
      <w:bookmarkEnd w:id="39"/>
      <w:r/>
      <w:r/>
    </w:p>
    <w:p>
      <w:pPr>
        <w:ind w:firstLine="422"/>
        <w:rPr>
          <w:rFonts w:hint="eastAsia" w:ascii="宋体" w:hAnsi="宋体" w:cs="宋体"/>
          <w:b/>
          <w:bCs/>
          <w:color w:val="auto"/>
          <w:szCs w:val="21"/>
          <w:highlight w:val="none"/>
          <w:lang w:bidi="zh-CN"/>
        </w:rPr>
      </w:pPr>
      <w:r/>
      <w:bookmarkStart w:id="40" w:name="_Toc1554"/>
      <w:r>
        <w:rPr>
          <w:rFonts w:hint="eastAsia" w:ascii="宋体" w:hAnsi="宋体" w:cs="宋体"/>
          <w:b/>
          <w:color w:val="auto"/>
          <w:szCs w:val="21"/>
          <w:highlight w:val="none"/>
        </w:rPr>
        <w:t xml:space="preserve">五</w:t>
      </w:r>
      <w:r>
        <w:rPr>
          <w:rFonts w:hint="eastAsia" w:ascii="宋体" w:hAnsi="宋体" w:cs="宋体"/>
          <w:b/>
          <w:color w:val="auto"/>
          <w:szCs w:val="21"/>
          <w:highlight w:val="none"/>
          <w:lang w:val="zh-CN"/>
        </w:rPr>
        <w:t xml:space="preserve">、</w:t>
      </w:r>
      <w:bookmarkEnd w:id="40"/>
      <w:r>
        <w:rPr>
          <w:rFonts w:hint="eastAsia" w:ascii="宋体" w:hAnsi="宋体" w:cs="宋体"/>
          <w:b/>
          <w:color w:val="auto"/>
          <w:szCs w:val="21"/>
          <w:highlight w:val="none"/>
          <w:lang w:val="en-US" w:eastAsia="zh-CN"/>
        </w:rPr>
        <w:t xml:space="preserve">采购需求</w:t>
      </w:r>
      <w:r>
        <w:rPr>
          <w:rFonts w:hint="eastAsia" w:ascii="宋体" w:hAnsi="宋体" w:cs="宋体"/>
          <w:b/>
          <w:bCs/>
          <w:color w:val="auto"/>
          <w:szCs w:val="21"/>
          <w:highlight w:val="none"/>
          <w:lang w:bidi="zh-CN"/>
        </w:rPr>
        <w:t xml:space="preserve">：</w:t>
      </w:r>
      <w:r/>
    </w:p>
    <w:p>
      <w:pPr>
        <w:ind w:firstLine="422"/>
        <w:rPr>
          <w:rFonts w:hint="eastAsia" w:ascii="宋体" w:hAnsi="宋体" w:cs="宋体"/>
          <w:color w:val="auto"/>
          <w:szCs w:val="21"/>
          <w:highlight w:val="none"/>
        </w:rPr>
      </w:pP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一</w:t>
      </w: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项目概况：</w:t>
      </w:r>
      <w:r>
        <w:rPr>
          <w:rFonts w:hint="eastAsia" w:ascii="宋体" w:hAnsi="宋体" w:cs="宋体"/>
          <w:color w:val="auto"/>
          <w:szCs w:val="21"/>
          <w:highlight w:val="none"/>
        </w:rPr>
        <w:t xml:space="preserve">本项目为兴黎社区综合服务中心全域一体化布展服务，采用模块化灵活布局实现空间多功能复用，整合政务服务、便民活动、文体娱乐、邻里共治、志愿服务、特色配套等多元功能，融入本土历史文化元素打造综合社区服务阵地。</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（二）展示与空间设计形式：</w:t>
      </w:r>
      <w:r/>
    </w:p>
    <w:p>
      <w:pPr>
        <w:ind w:firstLine="422"/>
        <w:rPr>
          <w:rFonts w:hint="default"/>
          <w:color w:val="auto"/>
          <w:highlight w:val="none"/>
          <w:lang w:val="en-US"/>
        </w:rPr>
      </w:pPr>
      <w:r>
        <w:rPr>
          <w:rFonts w:hint="eastAsia" w:ascii="宋体" w:hAnsi="宋体" w:cs="宋体"/>
          <w:b w:val="0"/>
          <w:bCs w:val="0"/>
          <w:color w:val="auto"/>
          <w:szCs w:val="21"/>
          <w:highlight w:val="none"/>
          <w:lang w:bidi="zh-CN"/>
        </w:rPr>
        <w:t xml:space="preserve">各功能板块及功能空间，投标人可结合空间实际，综合运用文化展板、艺术装置等传统与现代化设计手法，将社区文化、党建文化、便民服务理念融入空间环境。做到功能优先、内容与空间形式高度融合，实现“庄重大气、温馨简约、便民实用”的整体效果，让居民沉浸式感受社区治理成果、本土社区文化，提升居民归属感与体验感。</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（三）设计内容</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第一版块：门厅氛围营造</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1.一楼门厅空间，兼顾形象展示、来访接待、导览指引功能，融入党建文化、社区简介、社区治理理念，打造社区第一形象窗口。</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第二版块：一楼功能空间设计区</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本板块包含一楼医疗服务区域、院落、便民服务大厅、</w:t>
      </w:r>
      <w:r>
        <w:rPr>
          <w:rFonts w:hint="eastAsia" w:ascii="宋体" w:hAnsi="宋体" w:cs="宋体"/>
          <w:b w:val="0"/>
          <w:bCs w:val="0"/>
          <w:color w:val="auto"/>
          <w:szCs w:val="21"/>
          <w:highlight w:val="none"/>
          <w:lang w:val="en-US" w:bidi="zh-CN"/>
        </w:rPr>
        <w:t xml:space="preserve">邻里中心</w:t>
      </w:r>
      <w:r>
        <w:rPr>
          <w:rFonts w:hint="eastAsia" w:ascii="宋体" w:hAnsi="宋体" w:cs="宋体"/>
          <w:b w:val="0"/>
          <w:bCs w:val="0"/>
          <w:color w:val="auto"/>
          <w:szCs w:val="21"/>
          <w:highlight w:val="none"/>
          <w:lang w:bidi="zh-CN"/>
        </w:rPr>
        <w:t xml:space="preserve">、办公室、多功能室等。</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1.</w:t>
      </w:r>
      <w:r>
        <w:rPr>
          <w:rFonts w:hint="eastAsia" w:ascii="宋体" w:hAnsi="宋体" w:cs="宋体"/>
          <w:b w:val="0"/>
          <w:bCs w:val="0"/>
          <w:color w:val="auto"/>
          <w:szCs w:val="21"/>
          <w:highlight w:val="none"/>
          <w:lang w:bidi="zh-CN"/>
        </w:rPr>
        <w:t xml:space="preserve">医疗服务区域：空间设计兼顾温馨感与专业性，做好功能分区，适配社区基础医疗、健康宣教服务，公示相关服务流程、制度规范。</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2.</w:t>
      </w:r>
      <w:r>
        <w:rPr>
          <w:rFonts w:hint="eastAsia" w:ascii="宋体" w:hAnsi="宋体" w:cs="宋体"/>
          <w:b w:val="0"/>
          <w:bCs w:val="0"/>
          <w:color w:val="auto"/>
          <w:szCs w:val="21"/>
          <w:highlight w:val="none"/>
          <w:lang w:bidi="zh-CN"/>
        </w:rPr>
        <w:t xml:space="preserve">院落：立足邻里交往、居民议事、休闲交流定位，进行场景化氛围打造，融入社区邻里文化，兼顾议事交流、小型邻里活动开展的空间氛围。</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3.</w:t>
      </w:r>
      <w:r>
        <w:rPr>
          <w:rFonts w:hint="eastAsia" w:ascii="宋体" w:hAnsi="宋体" w:cs="宋体"/>
          <w:b w:val="0"/>
          <w:bCs w:val="0"/>
          <w:color w:val="auto"/>
          <w:szCs w:val="21"/>
          <w:highlight w:val="none"/>
          <w:lang w:bidi="zh-CN"/>
        </w:rPr>
        <w:t xml:space="preserve">便民服务大厅：优化大厅整体环境，合理规划功能标识，突出便民服务主题，满足政务受理、政策宣传、居民办事咨询的使用需求，展板内容支持后期更新。</w:t>
      </w:r>
      <w:r/>
    </w:p>
    <w:p>
      <w:pPr>
        <w:ind w:firstLine="422"/>
        <w:rPr>
          <w:rFonts w:hint="eastAsia" w:ascii="宋体" w:hAnsi="宋体" w:cs="宋体"/>
          <w:b w:val="0"/>
          <w:bCs w:val="0"/>
          <w:color w:val="auto"/>
          <w:szCs w:val="21"/>
          <w:highlight w:val="none"/>
          <w:lang w:val="en-US" w:bidi="zh-CN"/>
        </w:rPr>
      </w:pPr>
      <w:r>
        <w:rPr>
          <w:rFonts w:hint="eastAsia" w:ascii="宋体" w:hAnsi="宋体" w:cs="宋体"/>
          <w:b w:val="0"/>
          <w:bCs w:val="0"/>
          <w:color w:val="auto"/>
          <w:szCs w:val="21"/>
          <w:highlight w:val="none"/>
          <w:lang w:val="en-US" w:bidi="zh-CN"/>
        </w:rPr>
        <w:t xml:space="preserve">4.邻里中心：打造社区便民休闲空间，兼顾邻里社交属性，空间风格与整体社区中心风格统一，做好文化点缀，实现休闲、小型交流功能。</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5.</w:t>
      </w:r>
      <w:r>
        <w:rPr>
          <w:rFonts w:hint="eastAsia" w:ascii="宋体" w:hAnsi="宋体" w:cs="宋体"/>
          <w:b w:val="0"/>
          <w:bCs w:val="0"/>
          <w:color w:val="auto"/>
          <w:szCs w:val="21"/>
          <w:highlight w:val="none"/>
          <w:lang w:bidi="zh-CN"/>
        </w:rPr>
        <w:t xml:space="preserve">办公室：完成办公空间文化墙面设计，融入基层工作理念、制度公示，满足日常办公、内部学习的环境需求。</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6.</w:t>
      </w:r>
      <w:r>
        <w:rPr>
          <w:rFonts w:hint="eastAsia" w:ascii="宋体" w:hAnsi="宋体" w:cs="宋体"/>
          <w:b w:val="0"/>
          <w:bCs w:val="0"/>
          <w:color w:val="auto"/>
          <w:szCs w:val="21"/>
          <w:highlight w:val="none"/>
          <w:lang w:bidi="zh-CN"/>
        </w:rPr>
        <w:t xml:space="preserve">多功能室：兼顾党员学习、居民讲座、集体活动、会议等复合用途，改造升级墙面展示内容，融入党建内容、社区文化，配置宣誓、学习相关文化场景，适配多样化集体活动开展。</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第三版块：二楼功能空间设计区</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本板块包含妇女儿童之家、退伍军人服务站，其他空间作为预留空间，以便后期服务升级。</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1.</w:t>
      </w:r>
      <w:r>
        <w:rPr>
          <w:rFonts w:hint="eastAsia" w:ascii="宋体" w:hAnsi="宋体" w:cs="宋体"/>
          <w:b w:val="0"/>
          <w:bCs w:val="0"/>
          <w:color w:val="auto"/>
          <w:szCs w:val="21"/>
          <w:highlight w:val="none"/>
          <w:lang w:bidi="zh-CN"/>
        </w:rPr>
        <w:t xml:space="preserve">妇女儿童之家：围绕妇女维权、家庭教育、亲子活动、巾帼风采主题开展空间设计，打造温馨活泼的活动环境，满足亲子活动、妇女沙龙、手工课堂等活动开展。</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2.</w:t>
      </w:r>
      <w:r>
        <w:rPr>
          <w:rFonts w:hint="eastAsia" w:ascii="宋体" w:hAnsi="宋体" w:cs="宋体"/>
          <w:b w:val="0"/>
          <w:bCs w:val="0"/>
          <w:color w:val="auto"/>
          <w:szCs w:val="21"/>
          <w:highlight w:val="none"/>
          <w:lang w:bidi="zh-CN"/>
        </w:rPr>
        <w:t xml:space="preserve">退伍军人服务站：凸显尊崇军人主题，适配退役军人接待、谈心交流、政策宣讲、荣誉展示等功能。</w:t>
      </w:r>
      <w:r/>
    </w:p>
    <w:p>
      <w:pPr>
        <w:ind w:firstLine="422"/>
        <w:rPr>
          <w:rFonts w:hint="default" w:ascii="宋体" w:hAnsi="宋体" w:cs="宋体"/>
          <w:b/>
          <w:bCs/>
          <w:color w:val="auto"/>
          <w:szCs w:val="21"/>
          <w:highlight w:val="none"/>
          <w:lang w:val="en-US" w:bidi="zh-CN"/>
        </w:rPr>
      </w:pP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四）布展内容</w:t>
      </w:r>
      <w:r/>
    </w:p>
    <w:tbl>
      <w:tblPr>
        <w:tblStyle w:val="890"/>
        <w:tblW w:w="8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6355"/>
        <w:gridCol w:w="876"/>
        <w:gridCol w:w="734"/>
      </w:tblGrid>
      <w:tr>
        <w:trPr>
          <w:jc w:val="center"/>
          <w:trHeight w:val="416"/>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序号</w:t>
            </w:r>
            <w:r/>
          </w:p>
        </w:tc>
        <w:tc>
          <w:tcPr>
            <w:tcW w:w="6355"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采购需求</w:t>
            </w:r>
            <w:r/>
          </w:p>
        </w:tc>
        <w:tc>
          <w:tcPr>
            <w:tcW w:w="876"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工作量（约）</w:t>
            </w:r>
            <w:r/>
          </w:p>
        </w:tc>
        <w:tc>
          <w:tcPr>
            <w:tcW w:w="734"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单位</w:t>
            </w:r>
            <w:r/>
          </w:p>
        </w:tc>
      </w:tr>
      <w:tr>
        <w:trPr>
          <w:jc w:val="center"/>
          <w:trHeight w:val="495"/>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1、户外导视牌</w:t>
            </w:r>
            <w:r/>
          </w:p>
        </w:tc>
      </w:tr>
      <w:tr>
        <w:trPr>
          <w:jc w:val="center"/>
          <w:trHeight w:val="545"/>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1.1</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户外导视牌（定制金属导视牌，具体按设计配置）</w:t>
            </w:r>
            <w:r/>
          </w:p>
        </w:tc>
        <w:tc>
          <w:tcPr>
            <w:tcW w:w="876"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w:t>
            </w:r>
            <w:r/>
          </w:p>
        </w:tc>
        <w:tc>
          <w:tcPr>
            <w:tcW w:w="734"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组</w:t>
            </w:r>
            <w:r/>
          </w:p>
        </w:tc>
      </w:tr>
      <w:tr>
        <w:trPr>
          <w:jc w:val="center"/>
          <w:trHeight w:val="566"/>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2、门厅</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2.1</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highlight w:val="none"/>
              </w:rPr>
              <w:t xml:space="preserve">钢化玻璃隔断，玻璃门及门套、墙面处理、地砖防尘处理等】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2.2</w:t>
            </w:r>
            <w:r/>
          </w:p>
        </w:tc>
        <w:tc>
          <w:tcPr>
            <w:tcW w:w="6355" w:type="dxa"/>
            <w:vAlign w:val="center"/>
            <w:textDirection w:val="lrTb"/>
            <w:noWrap w:val="false"/>
          </w:tcPr>
          <w:p>
            <w:pPr>
              <w:pStyle w:val="1132"/>
              <w:rPr>
                <w:rFonts w:hint="eastAsia"/>
                <w:color w:val="auto"/>
                <w:spacing w:val="-2"/>
                <w:szCs w:val="22"/>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定制服务台及服务台背景墙、吧台及吧凳、便民服务柜、定制小品装置、</w:t>
            </w:r>
            <w:r>
              <w:rPr>
                <w:color w:val="auto"/>
                <w:spacing w:val="-2"/>
                <w:szCs w:val="22"/>
                <w:highlight w:val="none"/>
              </w:rPr>
              <w:t xml:space="preserve">绿植盆景、雨伞架、饮水机</w:t>
            </w:r>
            <w:r>
              <w:rPr>
                <w:rFonts w:hint="eastAsia"/>
                <w:color w:val="auto"/>
                <w:spacing w:val="-2"/>
                <w:szCs w:val="22"/>
                <w:highlight w:val="none"/>
              </w:rPr>
              <w:t xml:space="preserve">、</w:t>
            </w:r>
            <w:r>
              <w:rPr>
                <w:color w:val="auto"/>
                <w:spacing w:val="-2"/>
                <w:szCs w:val="22"/>
                <w:highlight w:val="none"/>
              </w:rPr>
              <w:t xml:space="preserve">桌面摆件、台卡、AED设备</w:t>
            </w:r>
            <w:r>
              <w:rPr>
                <w:rFonts w:hint="eastAsia"/>
                <w:color w:val="auto"/>
                <w:spacing w:val="-2"/>
                <w:szCs w:val="22"/>
                <w:highlight w:val="none"/>
              </w:rPr>
              <w:t xml:space="preserve">、茶几休闲椅1套、定制图文展陈】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639"/>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3、中庭</w:t>
            </w:r>
            <w:r/>
          </w:p>
        </w:tc>
      </w:tr>
      <w:tr>
        <w:trPr>
          <w:jc w:val="center"/>
          <w:trHeight w:val="9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highlight w:val="none"/>
              </w:rPr>
              <w:t xml:space="preserve">钢化玻璃隔断，玻璃门及门套、墙面处理、地砖防尘处理等】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44</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3.2</w:t>
            </w:r>
            <w:r/>
          </w:p>
        </w:tc>
        <w:tc>
          <w:tcPr>
            <w:tcW w:w="6355" w:type="dxa"/>
            <w:vAlign w:val="center"/>
            <w:textDirection w:val="lrTb"/>
            <w:noWrap w:val="false"/>
          </w:tcPr>
          <w:p>
            <w:pPr>
              <w:pStyle w:val="1132"/>
              <w:rPr>
                <w:color w:val="auto"/>
                <w:spacing w:val="-3"/>
                <w:szCs w:val="22"/>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定制艺术坐凳、定制绿植坐凳装置（含仿真绿植）、落地书架及休闲椅1套、定制图文展陈、电动遮阳帘1套】</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4、社区便民服务大厅</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天花局部吊顶，玻璃门及门套、墙面处理、地砖防尘处理等】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80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4.2</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给排水配套【</w:t>
            </w:r>
            <w:r>
              <w:rPr>
                <w:color w:val="auto"/>
                <w:spacing w:val="-2"/>
                <w:szCs w:val="22"/>
                <w:highlight w:val="none"/>
              </w:rPr>
              <w:t xml:space="preserve">定制产品，具体按设计配置，包括但不限于：</w:t>
            </w:r>
            <w:r>
              <w:rPr>
                <w:rFonts w:hint="eastAsia"/>
                <w:color w:val="auto"/>
                <w:spacing w:val="-2"/>
                <w:szCs w:val="22"/>
                <w:highlight w:val="none"/>
              </w:rPr>
              <w:t xml:space="preserve">卫生间给排水铺设、洁具（洗手台、坐便器）1套；茶水间给排水铺设、不锈钢水槽、</w:t>
            </w:r>
            <w:r>
              <w:rPr>
                <w:color w:val="auto"/>
                <w:spacing w:val="-2"/>
                <w:szCs w:val="22"/>
                <w:highlight w:val="none"/>
              </w:rPr>
              <w:t xml:space="preserve">挂墙式管线饮水机</w:t>
            </w:r>
            <w:r>
              <w:rPr>
                <w:rFonts w:hint="eastAsia"/>
                <w:color w:val="auto"/>
                <w:highlight w:val="none"/>
              </w:rPr>
              <w:t xml:space="preserve">等】</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4.3</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办公桌椅不少于</w:t>
            </w:r>
            <w:r>
              <w:rPr>
                <w:rFonts w:hint="eastAsia"/>
                <w:color w:val="auto"/>
                <w:spacing w:val="-2"/>
                <w:szCs w:val="22"/>
                <w:highlight w:val="none"/>
                <w:lang w:val="en-US" w:eastAsia="zh-CN"/>
              </w:rPr>
              <w:t xml:space="preserve">10</w:t>
            </w:r>
            <w:r>
              <w:rPr>
                <w:rFonts w:hint="eastAsia"/>
                <w:color w:val="auto"/>
                <w:spacing w:val="-2"/>
                <w:szCs w:val="22"/>
                <w:highlight w:val="none"/>
              </w:rPr>
              <w:t xml:space="preserve">套、休息沙发组合（含茶几）1套、茶水柜1个、定制图文展陈、手动竹帘1项】</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4.4</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5、办公室/资料室</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5.1</w:t>
            </w:r>
            <w:r/>
          </w:p>
        </w:tc>
        <w:tc>
          <w:tcPr>
            <w:tcW w:w="6355" w:type="dxa"/>
            <w:vAlign w:val="center"/>
            <w:textDirection w:val="lrTb"/>
            <w:noWrap w:val="false"/>
          </w:tcPr>
          <w:p>
            <w:pPr>
              <w:pStyle w:val="1132"/>
              <w:rPr>
                <w:color w:val="auto"/>
                <w:spacing w:val="-3"/>
                <w:szCs w:val="22"/>
                <w:highlight w:val="none"/>
              </w:rPr>
            </w:pPr>
            <w:r>
              <w:rPr>
                <w:color w:val="auto"/>
                <w:spacing w:val="-2"/>
                <w:szCs w:val="22"/>
                <w:highlight w:val="none"/>
              </w:rPr>
              <w:t xml:space="preserve">墙面艺术布置【定制产品，具体按设计配置，包括但不限于：</w:t>
            </w:r>
            <w:r>
              <w:rPr>
                <w:rFonts w:hint="eastAsia"/>
                <w:color w:val="auto"/>
                <w:highlight w:val="none"/>
              </w:rPr>
              <w:t xml:space="preserve">门及门套、墙面处理、地砖防尘处理</w:t>
            </w:r>
            <w:r>
              <w:rPr>
                <w:color w:val="auto"/>
                <w:spacing w:val="-1"/>
                <w:szCs w:val="22"/>
                <w:highlight w:val="none"/>
              </w:rPr>
              <w:t xml:space="preserve">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5.2</w:t>
            </w:r>
            <w:r/>
          </w:p>
        </w:tc>
        <w:tc>
          <w:tcPr>
            <w:tcW w:w="6355" w:type="dxa"/>
            <w:vAlign w:val="center"/>
            <w:textDirection w:val="lrTb"/>
            <w:noWrap w:val="false"/>
          </w:tcPr>
          <w:p>
            <w:pPr>
              <w:pStyle w:val="1132"/>
              <w:rPr>
                <w:color w:val="auto"/>
                <w:spacing w:val="-2"/>
                <w:szCs w:val="22"/>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办公桌椅1套、会议桌椅1套、茶水柜1个、定制吧台及吧椅、定制资料柜、定制图文展陈、手动竹帘1项】</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eastAsia="宋体"/>
                <w:color w:val="auto"/>
                <w:highlight w:val="none"/>
                <w:lang w:eastAsia="zh-CN"/>
              </w:rPr>
            </w:pPr>
            <w:r>
              <w:rPr>
                <w:rFonts w:hint="eastAsia"/>
                <w:color w:val="auto"/>
                <w:highlight w:val="none"/>
              </w:rPr>
              <w:t xml:space="preserve">6、</w:t>
            </w:r>
            <w:r>
              <w:rPr>
                <w:rFonts w:hint="eastAsia"/>
                <w:color w:val="auto"/>
                <w:highlight w:val="none"/>
                <w:lang w:val="en-US" w:eastAsia="zh-CN"/>
              </w:rPr>
              <w:t xml:space="preserve">邻里中心</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天花局部处理，玻璃门及门套、墙面处理、地砖防尘处理等】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60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6.2</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定制吧台、定制操作柜、定制置物架、墙面老物件、定制休闲坐凳、休闲椅（含茶几）2组、休闲桌椅2套、储物柜1套、定制图文展陈】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6.4</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给排水配套【</w:t>
            </w:r>
            <w:r>
              <w:rPr>
                <w:color w:val="auto"/>
                <w:spacing w:val="-2"/>
                <w:szCs w:val="22"/>
                <w:highlight w:val="none"/>
              </w:rPr>
              <w:t xml:space="preserve">定制产品，具体按设计配置，包括但不限于：</w:t>
            </w:r>
            <w:r>
              <w:rPr>
                <w:rFonts w:hint="eastAsia"/>
                <w:color w:val="auto"/>
                <w:spacing w:val="-2"/>
                <w:szCs w:val="22"/>
                <w:highlight w:val="none"/>
              </w:rPr>
              <w:t xml:space="preserve">吧台区域给排水铺设、不锈钢水槽、净水器</w:t>
            </w:r>
            <w:r>
              <w:rPr>
                <w:rFonts w:hint="eastAsia"/>
                <w:color w:val="auto"/>
                <w:highlight w:val="none"/>
              </w:rPr>
              <w:t xml:space="preserve">等】</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7、妇女儿童之家</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7.1</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天花局部处理，门及门套、墙面处理等】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28</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7.2</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休闲椅+茶几组合不少于1套、长桌椅组合（1桌6椅）1套、定制图文展陈】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8、多功能厅</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8.1</w:t>
            </w:r>
            <w:r/>
          </w:p>
        </w:tc>
        <w:tc>
          <w:tcPr>
            <w:tcW w:w="6355" w:type="dxa"/>
            <w:vAlign w:val="center"/>
            <w:textDirection w:val="lrTb"/>
            <w:noWrap w:val="false"/>
          </w:tcPr>
          <w:p>
            <w:pPr>
              <w:pStyle w:val="1132"/>
              <w:rPr>
                <w:color w:val="auto"/>
                <w:spacing w:val="-3"/>
                <w:szCs w:val="22"/>
                <w:highlight w:val="none"/>
              </w:rPr>
            </w:pPr>
            <w:r>
              <w:rPr>
                <w:rFonts w:hint="eastAsia"/>
                <w:color w:val="auto"/>
                <w:spacing w:val="-2"/>
                <w:szCs w:val="22"/>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w:t>
            </w:r>
            <w:r>
              <w:rPr>
                <w:color w:val="auto"/>
                <w:spacing w:val="-1"/>
                <w:szCs w:val="22"/>
                <w:highlight w:val="none"/>
              </w:rPr>
              <w:t xml:space="preserve">、墙面装饰</w:t>
            </w:r>
            <w:r>
              <w:rPr>
                <w:rFonts w:hint="eastAsia"/>
                <w:color w:val="auto"/>
                <w:spacing w:val="-1"/>
                <w:szCs w:val="22"/>
                <w:highlight w:val="none"/>
              </w:rPr>
              <w:t xml:space="preserve">、</w:t>
            </w:r>
            <w:r>
              <w:rPr>
                <w:rFonts w:hint="eastAsia"/>
                <w:color w:val="auto"/>
                <w:highlight w:val="none"/>
              </w:rPr>
              <w:t xml:space="preserve">地砖防尘处理</w:t>
            </w:r>
            <w:r>
              <w:rPr>
                <w:color w:val="auto"/>
                <w:spacing w:val="-1"/>
                <w:szCs w:val="22"/>
                <w:highlight w:val="none"/>
              </w:rPr>
              <w:t xml:space="preserve">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70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8.2</w:t>
            </w:r>
            <w:r/>
          </w:p>
        </w:tc>
        <w:tc>
          <w:tcPr>
            <w:tcW w:w="6355" w:type="dxa"/>
            <w:vAlign w:val="center"/>
            <w:textDirection w:val="lrTb"/>
            <w:noWrap w:val="false"/>
          </w:tcPr>
          <w:p>
            <w:pPr>
              <w:pStyle w:val="1132"/>
              <w:rPr>
                <w:color w:val="auto"/>
                <w:spacing w:val="-2"/>
                <w:szCs w:val="22"/>
                <w:highlight w:val="none"/>
              </w:rPr>
            </w:pPr>
            <w:r>
              <w:rPr>
                <w:color w:val="auto"/>
                <w:spacing w:val="-2"/>
                <w:szCs w:val="22"/>
                <w:highlight w:val="none"/>
              </w:rPr>
              <w:t xml:space="preserve">陈设布置【定制产品，具体按设计配置，包</w:t>
            </w:r>
            <w:r>
              <w:rPr>
                <w:color w:val="auto"/>
                <w:spacing w:val="-3"/>
                <w:szCs w:val="22"/>
                <w:highlight w:val="none"/>
              </w:rPr>
              <w:t xml:space="preserve">括但不限于：</w:t>
            </w:r>
            <w:r>
              <w:rPr>
                <w:rFonts w:hint="eastAsia"/>
                <w:color w:val="auto"/>
                <w:spacing w:val="-3"/>
                <w:szCs w:val="22"/>
                <w:highlight w:val="none"/>
              </w:rPr>
              <w:t xml:space="preserve">组合会议桌3张、会议椅不少于80把、墙面图文展陈等</w:t>
            </w:r>
            <w:r>
              <w:rPr>
                <w:color w:val="auto"/>
                <w:spacing w:val="-5"/>
                <w:szCs w:val="22"/>
                <w:highlight w:val="none"/>
              </w:rPr>
              <w:t xml:space="preserve">】</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rFonts w:hint="eastAsia"/>
                <w:color w:val="auto"/>
                <w:spacing w:val="-4"/>
                <w:szCs w:val="22"/>
                <w:highlight w:val="none"/>
              </w:rPr>
              <w:t xml:space="preserve">、</w:t>
            </w:r>
            <w:r>
              <w:rPr>
                <w:color w:val="auto"/>
                <w:spacing w:val="-4"/>
                <w:szCs w:val="22"/>
                <w:highlight w:val="none"/>
              </w:rPr>
              <w:t xml:space="preserve">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9、退役军人服务站</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天花局部处理，门及门套、墙面处理等】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9.2</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办公桌椅组合4套、休闲桌椅组合（1桌4椅）1套、定制图文展陈】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rFonts w:hint="eastAsia"/>
                <w:color w:val="auto"/>
                <w:spacing w:val="-4"/>
                <w:szCs w:val="22"/>
                <w:highlight w:val="none"/>
              </w:rPr>
              <w:t xml:space="preserve">、</w:t>
            </w:r>
            <w:r>
              <w:rPr>
                <w:color w:val="auto"/>
                <w:spacing w:val="-4"/>
                <w:szCs w:val="22"/>
                <w:highlight w:val="none"/>
              </w:rPr>
              <w:t xml:space="preserve">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10、整体配套</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10.1</w:t>
            </w:r>
            <w:r/>
          </w:p>
        </w:tc>
        <w:tc>
          <w:tcPr>
            <w:tcW w:w="6355" w:type="dxa"/>
            <w:vAlign w:val="center"/>
            <w:textDirection w:val="lrTb"/>
            <w:noWrap w:val="false"/>
          </w:tcPr>
          <w:p>
            <w:pPr>
              <w:pStyle w:val="1132"/>
              <w:rPr>
                <w:color w:val="auto"/>
                <w:spacing w:val="-3"/>
                <w:szCs w:val="22"/>
                <w:highlight w:val="none"/>
              </w:rPr>
            </w:pPr>
            <w:r>
              <w:rPr>
                <w:color w:val="auto"/>
                <w:spacing w:val="-2"/>
                <w:szCs w:val="22"/>
                <w:highlight w:val="none"/>
              </w:rPr>
              <w:t xml:space="preserve">安保系统、智能管理体系【网络</w:t>
            </w:r>
            <w:r>
              <w:rPr>
                <w:color w:val="auto"/>
                <w:spacing w:val="-1"/>
                <w:szCs w:val="22"/>
                <w:highlight w:val="none"/>
              </w:rPr>
              <w:t xml:space="preserve">、电子屏幕、</w:t>
            </w:r>
            <w:r>
              <w:rPr>
                <w:rFonts w:hint="eastAsia"/>
                <w:color w:val="auto"/>
                <w:spacing w:val="-1"/>
                <w:szCs w:val="22"/>
                <w:highlight w:val="none"/>
              </w:rPr>
              <w:t xml:space="preserve">视频监控</w:t>
            </w:r>
            <w:r>
              <w:rPr>
                <w:color w:val="auto"/>
                <w:spacing w:val="-1"/>
                <w:szCs w:val="22"/>
                <w:highlight w:val="none"/>
              </w:rPr>
              <w:t xml:space="preserve">、</w:t>
            </w:r>
            <w:r>
              <w:rPr>
                <w:rFonts w:hint="eastAsia"/>
                <w:color w:val="auto"/>
                <w:spacing w:val="-1"/>
                <w:szCs w:val="22"/>
                <w:highlight w:val="none"/>
              </w:rPr>
              <w:t xml:space="preserve">门禁系统、灯控系统</w:t>
            </w:r>
            <w:r>
              <w:rPr>
                <w:color w:val="auto"/>
                <w:spacing w:val="-1"/>
                <w:szCs w:val="22"/>
                <w:highlight w:val="none"/>
              </w:rPr>
              <w:t xml:space="preserve">等】及配套</w:t>
            </w:r>
            <w:r>
              <w:rPr>
                <w:rFonts w:hint="eastAsia"/>
                <w:color w:val="auto"/>
                <w:spacing w:val="-1"/>
                <w:szCs w:val="22"/>
                <w:highlight w:val="none"/>
              </w:rPr>
              <w:t xml:space="preserve">布线</w:t>
            </w:r>
            <w:r>
              <w:rPr>
                <w:color w:val="auto"/>
                <w:spacing w:val="-1"/>
                <w:szCs w:val="22"/>
                <w:highlight w:val="none"/>
              </w:rPr>
              <w:t xml:space="preserve">安装</w:t>
            </w:r>
            <w:r/>
          </w:p>
        </w:tc>
        <w:tc>
          <w:tcPr>
            <w:tcW w:w="876"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w:t>
            </w:r>
            <w:r/>
          </w:p>
        </w:tc>
        <w:tc>
          <w:tcPr>
            <w:tcW w:w="734"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项</w:t>
            </w:r>
            <w:r/>
          </w:p>
        </w:tc>
      </w:tr>
    </w:tbl>
    <w:p>
      <w:pPr>
        <w:ind w:firstLine="422"/>
        <w:rPr>
          <w:rFonts w:hint="default"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（五）团队成员配置要求</w:t>
      </w:r>
      <w:r/>
    </w:p>
    <w:p>
      <w:pPr>
        <w:ind w:firstLine="420"/>
        <w:spacing w:line="360" w:lineRule="auto"/>
        <w:rPr>
          <w:rFonts w:hint="eastAsia" w:ascii="宋体" w:hAnsi="宋体" w:eastAsia="宋体" w:cs="宋体"/>
          <w:color w:val="auto"/>
          <w:szCs w:val="21"/>
          <w:highlight w:val="none"/>
          <w:u w:val="single"/>
          <w:lang w:val="en-US" w:eastAsia="zh-CN"/>
        </w:rPr>
      </w:pPr>
      <w:r>
        <w:rPr>
          <w:rFonts w:hint="eastAsia" w:ascii="宋体" w:hAnsi="宋体" w:cs="宋体"/>
          <w:b/>
          <w:bCs/>
          <w:color w:val="auto"/>
          <w:highlight w:val="none"/>
          <w:u w:val="single"/>
        </w:rPr>
        <w:t xml:space="preserve">★</w:t>
      </w:r>
      <w:r>
        <w:rPr>
          <w:rFonts w:hint="eastAsia" w:ascii="宋体" w:hAnsi="宋体" w:eastAsia="宋体" w:cs="宋体"/>
          <w:color w:val="auto"/>
          <w:szCs w:val="21"/>
          <w:highlight w:val="none"/>
          <w:u w:val="single"/>
          <w:lang w:val="en-US" w:eastAsia="zh-CN"/>
        </w:rPr>
        <w:t xml:space="preserve">1.投标人的团队应当是一支经验丰富、拥有综合性知识的团队，需在专业从事展陈工作。投标人在投标文件中</w:t>
      </w:r>
      <w:r>
        <w:rPr>
          <w:rFonts w:hint="eastAsia" w:ascii="宋体" w:hAnsi="宋体" w:cs="宋体"/>
          <w:color w:val="auto"/>
          <w:szCs w:val="21"/>
          <w:highlight w:val="none"/>
          <w:u w:val="single"/>
          <w:lang w:val="en-US" w:eastAsia="zh-CN"/>
        </w:rPr>
        <w:t xml:space="preserve">拟派</w:t>
      </w:r>
      <w:r>
        <w:rPr>
          <w:rFonts w:hint="eastAsia" w:ascii="宋体" w:hAnsi="宋体" w:eastAsia="宋体" w:cs="宋体"/>
          <w:color w:val="auto"/>
          <w:szCs w:val="21"/>
          <w:highlight w:val="none"/>
          <w:u w:val="single"/>
          <w:lang w:val="en-US" w:eastAsia="zh-CN"/>
        </w:rPr>
        <w:t xml:space="preserve">的应当包括以下工作人员：项目经理</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设计总监、设计师</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三维设计师</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施工经理</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为实质性响应条款，</w:t>
      </w:r>
      <w:r>
        <w:rPr>
          <w:rFonts w:hint="eastAsia" w:ascii="宋体" w:hAnsi="宋体" w:cs="宋体"/>
          <w:color w:val="auto"/>
          <w:szCs w:val="21"/>
          <w:highlight w:val="none"/>
          <w:u w:val="single"/>
          <w:lang w:val="en-US" w:eastAsia="zh-CN"/>
        </w:rPr>
        <w:t xml:space="preserve">未配备</w:t>
      </w:r>
      <w:r>
        <w:rPr>
          <w:rFonts w:hint="eastAsia" w:ascii="宋体" w:hAnsi="宋体" w:eastAsia="宋体" w:cs="宋体"/>
          <w:color w:val="auto"/>
          <w:szCs w:val="21"/>
          <w:highlight w:val="none"/>
          <w:u w:val="single"/>
          <w:lang w:val="en-US" w:eastAsia="zh-CN"/>
        </w:rPr>
        <w:t xml:space="preserve">的视为无效响应</w:t>
      </w:r>
      <w:r>
        <w:rPr>
          <w:rFonts w:hint="eastAsia" w:ascii="宋体" w:hAnsi="宋体" w:cs="宋体"/>
          <w:color w:val="auto"/>
          <w:szCs w:val="21"/>
          <w:highlight w:val="none"/>
          <w:u w:val="singl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项目人员应具有良好的职业道德和严谨的工作作风并应按照委托时限的要求按期到位开展工作。项目组人员未经采购人同意，中标人不得调换或撤离上述人员。如采购人认为有必要，可要求中标人对上述人员中的部分人员作出更好的调整。</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3.项目经理及主要负责人如有不尽其职或虚名挂靠，采购人有权要求撤换或终止合同。</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lang w:val="en-US" w:eastAsia="zh-CN"/>
        </w:rPr>
        <w:t xml:space="preserve">安全生产、文明布展、施工与环境保护要求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在项目实施期间为确保作业区域周围环境的整洁和不影响其他活动正常进行,中标人应严格执行国家与</w:t>
      </w:r>
      <w:r>
        <w:rPr>
          <w:rFonts w:hint="eastAsia" w:ascii="宋体" w:hAnsi="宋体" w:cs="宋体"/>
          <w:color w:val="auto"/>
          <w:szCs w:val="21"/>
          <w:highlight w:val="none"/>
          <w:lang w:val="en-US" w:eastAsia="zh-CN"/>
        </w:rPr>
        <w:t xml:space="preserve">吴江市</w:t>
      </w:r>
      <w:r>
        <w:rPr>
          <w:rFonts w:hint="eastAsia" w:ascii="宋体" w:hAnsi="宋体" w:eastAsia="宋体" w:cs="宋体"/>
          <w:color w:val="auto"/>
          <w:szCs w:val="21"/>
          <w:highlight w:val="none"/>
          <w:lang w:val="en-US" w:eastAsia="zh-CN"/>
        </w:rPr>
        <w:t xml:space="preserve">有关安全文明施工管理的法律、法规和政策,积极主动落实安全文明及环境保护施工的管理和考核等有关工作，加强和做好安全、文明布展与施工的管理工作，并按规定承担相应的费用。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中标人应根据有关规范标准，严密组织，精心布展与施工，做到：①布展期间不干扰采购人其他活动正常进行，不影响自身和周边交通的需要；②无管线事故、无伤亡事故；③环境影响要最小化；④现场材料堆放整齐，生活设施清洁，周边环境文明；⑤清洁运输；⑥满足市文明工地要求，做到文明布展、安全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中标人在项目实施期间</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必须建立安全用电制度</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确保施工用电设备的完好</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并设置好漏电保护装置等</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杜绝施工用电事故的发生。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中标人在项目实施期间必须保护好施工区域内的环境和原有装饰与设施</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保证环境和原有装饰与设施完好。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中标人在组织项目实施时必须遵守采购人的规章制度并提供布展人员名单。中标人必须按施工计划协调好现场布展工作。</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各投标人在投标文件中要结合本项目的特点和采购人上述的具体要求制定相应的文明布展和安全生产管理措施，</w:t>
      </w:r>
      <w:r>
        <w:rPr>
          <w:rFonts w:hint="eastAsia" w:asciiTheme="minorEastAsia" w:hAnsiTheme="minorEastAsia" w:eastAsiaTheme="minorEastAsia" w:cstheme="minorEastAsia"/>
          <w:color w:val="auto"/>
          <w:sz w:val="21"/>
          <w:szCs w:val="21"/>
          <w:highlight w:val="none"/>
          <w:lang w:val="en-US" w:eastAsia="zh-CN"/>
        </w:rPr>
        <w:t xml:space="preserve">同时应适当考虑购买自己员工的第三方责任保险</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lang w:val="en-US" w:eastAsia="zh-CN"/>
        </w:rPr>
        <w:t xml:space="preserve">有关安全生产和防火的约定</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1.中标人在服务期间应严格遵守《中华人民共和国消防条例》、相关安装安全技术及操作规程和其它相关的法规、规范。</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2.采购方确认的图纸或作法说明，如有违反有关安全操作规程、消防条例和防火设计规范，中标人应按国家有关规定提请采购方改进并调整。</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3.由于中标人在作业生产过程中违反有关安全操作规程、消防条例，导致发生安全或火灾事故，中标人应承担由此引发的一切经济损失和法律责任。</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4.服务过程中中标人应采取相关安全措施,承担安全责任。中标人应按有关规定严格落实安全责任制度、安全规章制</w:t>
      </w:r>
      <w:r>
        <w:rPr>
          <w:rFonts w:hint="eastAsia" w:ascii="宋体" w:hAnsi="宋体" w:cs="宋体"/>
          <w:color w:val="auto"/>
          <w:szCs w:val="21"/>
          <w:highlight w:val="none"/>
          <w:lang w:val="en-US" w:eastAsia="zh-CN"/>
        </w:rPr>
        <w:t xml:space="preserve">度和相关操作规程，消除安全事故隐患，及时、如实报告生产安全事故。应对施工人员进行安全教育，提供安全防护用具和安全防护服装，应为施工人员购买人身意外伤害险及工程施工有关的一切保险。应在危险区域设立明显的安全警示标志，进行定期和专项安全检查，并做好安全检查记录，对于发生在施工现场的中标人人员或任何其它人员的意外伤害或事故，或中标人人员给他人的财产或人身造成损害，均由中标人承担全部责任及产生的一切费用，给采购方造成损失的（包括但不限于民事赔偿金、行政处罚金、鉴定费、律师费、诉讼费等），采购方有权向中标人进行追偿。</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（八）</w:t>
      </w:r>
      <w:r>
        <w:rPr>
          <w:rFonts w:hint="eastAsia" w:ascii="宋体" w:hAnsi="宋体" w:eastAsia="宋体" w:cs="宋体"/>
          <w:b/>
          <w:bCs/>
          <w:color w:val="auto"/>
          <w:szCs w:val="21"/>
          <w:highlight w:val="none"/>
          <w:lang w:val="en-US" w:eastAsia="zh-CN"/>
        </w:rPr>
        <w:t xml:space="preserve">售后服务要求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1.免费质保期：</w:t>
      </w:r>
      <w:r>
        <w:rPr>
          <w:rFonts w:hint="eastAsia" w:ascii="宋体" w:hAnsi="宋体" w:eastAsia="宋体" w:cs="宋体"/>
          <w:color w:val="auto"/>
          <w:szCs w:val="21"/>
          <w:highlight w:val="none"/>
          <w:lang w:val="en-US" w:eastAsia="zh-CN"/>
        </w:rPr>
        <w:t xml:space="preserve">自竣工验收合格之日起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布展布置制作提供不低于1年的免费维修保养；硬件设备提供原厂不低于2年免费保修（原厂高于2年的以年数高的为准）。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质保期满后提供有偿服务，投标文件中提供质保期内和质保期满后的质保服务措施方案。质保期过后如采购单位要求需提供上门维修服务，终身维修并标明保修期后的具体维修维护事宜；服务方应在投标文件中提供详细具体的售后服务保证条款及承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免费保修期内需提供7×24小时响应服务，确保2小时内响应，24小时内提供解决方案，如需更换或送修，在3个工作日内解决，特殊情况甲乙双方协商解决。如遇重大活动，需提供现场技术支持和服务。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供应商需至少为采购单位提供一周以上时间的现场培训，保证采购单位的操作人员可以熟练操作。</w:t>
      </w:r>
      <w:r/>
    </w:p>
    <w:p>
      <w:pPr>
        <w:ind w:firstLine="422"/>
        <w:rPr>
          <w:rFonts w:hint="default"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八、其他说明</w:t>
      </w:r>
      <w:r/>
    </w:p>
    <w:p>
      <w:pPr>
        <w:ind w:firstLine="422"/>
        <w:rPr>
          <w:rFonts w:hint="eastAsia" w:ascii="宋体" w:hAnsi="宋体" w:cs="宋体"/>
          <w:b/>
          <w:bCs/>
          <w:color w:val="auto"/>
          <w:szCs w:val="21"/>
          <w:highlight w:val="none"/>
          <w:lang w:val="zh-CN" w:eastAsia="zh-CN" w:bidi="zh-CN"/>
        </w:rPr>
      </w:pPr>
      <w:r>
        <w:rPr>
          <w:rFonts w:hint="eastAsia" w:ascii="宋体" w:hAnsi="宋体" w:cs="宋体"/>
          <w:b/>
          <w:bCs/>
          <w:color w:val="auto"/>
          <w:szCs w:val="21"/>
          <w:highlight w:val="none"/>
          <w:lang w:val="en-US" w:eastAsia="zh-CN" w:bidi="zh-CN"/>
        </w:rPr>
        <w:t xml:space="preserve">（一）</w:t>
      </w:r>
      <w:r>
        <w:rPr>
          <w:rFonts w:hint="eastAsia" w:ascii="宋体" w:hAnsi="宋体" w:cs="宋体"/>
          <w:b/>
          <w:bCs/>
          <w:color w:val="auto"/>
          <w:szCs w:val="21"/>
          <w:highlight w:val="none"/>
          <w:lang w:val="zh-CN" w:eastAsia="zh-CN" w:bidi="zh-CN"/>
        </w:rPr>
        <w:t xml:space="preserve">报价要求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CN"/>
        </w:rPr>
        <w:t xml:space="preserve">本合同为固定单价合同，数量按实结算。</w:t>
      </w:r>
      <w:r>
        <w:rPr>
          <w:rFonts w:hint="eastAsia" w:ascii="宋体" w:hAnsi="宋体" w:cs="宋体"/>
          <w:color w:val="auto"/>
          <w:highlight w:val="none"/>
          <w:lang w:val="en-US" w:eastAsia="zh-CN"/>
        </w:rPr>
        <w:t xml:space="preserve">投标总报价包括全部布展的设备及其安装所需的辅材、软件、备品、备件、专用工具、包装、运输、吊装、安装、调试、深化设计、验收、试运行、人工、机械、仓储、保险、劳保、各种税费、专利技术、技术支持与培训、质保、售后服务与维护及相关劳务支出等所发生的全部费用以及磋商响应单位企业利润、税金和政策性文件规定及合同包含的所有风险、责任等各项应有费用以及其它投标单位认为应纳入的一切费用，除非合同条款中另有规定，否则，投标单位所报价格在合同实施期间不因市场变化因素而变动。</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2、投标单位应详细列明布展项清单报价。投标人应对招标文件内所要采购的全部内容进行报价，只投其中部分内容者，其标书将被拒绝。</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3、投标人按照采购文件的要求提交响应文件，并对所提供的全部资料的真实性承担法律责任。</w:t>
      </w:r>
      <w:r/>
    </w:p>
    <w:p>
      <w:pPr>
        <w:ind w:firstLine="420"/>
        <w:spacing w:line="360" w:lineRule="auto"/>
        <w:rPr>
          <w:rFonts w:hint="default" w:ascii="宋体" w:hAnsi="宋体" w:cs="宋体"/>
          <w:color w:val="auto"/>
          <w:highlight w:val="none"/>
          <w:lang w:val="en-US" w:eastAsia="zh-CN"/>
        </w:rPr>
      </w:pPr>
      <w:r>
        <w:rPr>
          <w:rFonts w:hint="eastAsia" w:ascii="宋体" w:hAnsi="宋体" w:cs="宋体"/>
          <w:b/>
          <w:bCs/>
          <w:color w:val="auto"/>
          <w:szCs w:val="21"/>
          <w:highlight w:val="none"/>
          <w:lang w:val="en-US" w:eastAsia="zh-CN" w:bidi="zh-CN"/>
        </w:rPr>
        <w:t xml:space="preserve">（二）</w:t>
      </w:r>
      <w:r>
        <w:rPr>
          <w:rFonts w:hint="eastAsia" w:ascii="宋体" w:hAnsi="宋体"/>
          <w:b/>
          <w:bCs/>
          <w:color w:val="auto"/>
          <w:szCs w:val="21"/>
          <w:highlight w:val="none"/>
          <w:lang w:val="en-US" w:eastAsia="zh-CN"/>
        </w:rPr>
        <w:t xml:space="preserve">付款方式：</w:t>
      </w:r>
      <w:bookmarkStart w:id="41" w:name="OLE_LINK2"/>
      <w:r>
        <w:rPr>
          <w:rFonts w:hint="eastAsia" w:ascii="宋体" w:hAnsi="宋体"/>
          <w:color w:val="auto"/>
          <w:szCs w:val="21"/>
          <w:highlight w:val="none"/>
          <w:lang w:val="en-US" w:eastAsia="zh-CN"/>
        </w:rPr>
        <w:t xml:space="preserve">合同签订生效，乙方工作人员进场后十五个工作日内，甲方支付合同总金额的50%；项目设计制作布展布置全部完成并安装调试竣工验收合格后十五个工作日内，甲方再次支付至合同总金额的90%；项目经审计单位审计后，甲方向乙方支付至审计后总金额的95%；剩余款项在免费保修期满后十五个工作日内支付</w:t>
      </w:r>
      <w:bookmarkEnd w:id="41"/>
      <w:r>
        <w:rPr>
          <w:rFonts w:hint="eastAsia" w:ascii="宋体" w:hAnsi="宋体"/>
          <w:color w:val="auto"/>
          <w:szCs w:val="21"/>
          <w:highlight w:val="none"/>
          <w:lang w:val="en-US" w:eastAsia="zh-CN"/>
        </w:rPr>
        <w:t xml:space="preserve">。</w:t>
      </w:r>
      <w:r/>
    </w:p>
    <w:p>
      <w:pPr>
        <w:ind w:firstLine="422"/>
        <w:widowControl/>
        <w:tabs>
          <w:tab w:val="left" w:pos="753" w:leader="none"/>
        </w:tabs>
        <w:rPr>
          <w:rFonts w:ascii="宋体" w:hAnsi="宋体" w:cs="宋体"/>
          <w:b/>
          <w:color w:val="auto"/>
          <w:szCs w:val="21"/>
          <w:highlight w:val="none"/>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知识产权及安全：</w:t>
      </w:r>
      <w:r/>
    </w:p>
    <w:p>
      <w:pPr>
        <w:ind w:firstLine="420"/>
        <w:widowControl/>
        <w:rPr>
          <w:rFonts w:ascii="宋体" w:hAnsi="宋体" w:cs="宋体"/>
          <w:color w:val="auto"/>
          <w:szCs w:val="21"/>
          <w:highlight w:val="none"/>
        </w:rPr>
      </w:pPr>
      <w:r>
        <w:rPr>
          <w:rFonts w:hint="eastAsia" w:ascii="宋体" w:hAnsi="宋体" w:cs="宋体"/>
          <w:color w:val="auto"/>
          <w:szCs w:val="21"/>
          <w:highlight w:val="none"/>
        </w:rPr>
        <w:t xml:space="preserve">投标单位应保证所提供的服务涉及到的知识产权是合法取得，并享有完整的知识产权，不会因为招标单位的使用而被责令停止使用、追偿或要求赔偿损失，如出现此情况，一切经济和法律责任均由投标单位承担。与本次招标项目相关的所有项目质量安全问题均由投标单位终身负责，如因上述原因造成的一切后果均由投标单位自行承担，与甲方无关。</w:t>
      </w:r>
      <w:r/>
    </w:p>
    <w:p>
      <w:pPr>
        <w:ind w:firstLine="422"/>
        <w:rPr>
          <w:rFonts w:ascii="宋体" w:hAnsi="宋体" w:cs="宋体"/>
          <w:color w:val="auto"/>
          <w:szCs w:val="21"/>
          <w:highlight w:val="none"/>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凡涉及招标文件的补充说明和修改，均以网上发布的通知为准。</w:t>
      </w:r>
      <w:r>
        <w:rPr>
          <w:rFonts w:hint="eastAsia" w:ascii="宋体" w:hAnsi="宋体" w:cs="宋体"/>
          <w:bCs/>
          <w:color w:val="auto"/>
          <w:szCs w:val="21"/>
          <w:highlight w:val="none"/>
        </w:rPr>
        <w:br w:type="page" w:clear="all"/>
      </w:r>
      <w:r/>
    </w:p>
    <w:p>
      <w:pPr>
        <w:pStyle w:val="850"/>
        <w:rPr>
          <w:color w:val="auto"/>
          <w:highlight w:val="none"/>
        </w:rPr>
      </w:pPr>
      <w:r/>
      <w:bookmarkStart w:id="42" w:name="_Toc14846"/>
      <w:r/>
      <w:bookmarkStart w:id="43" w:name="_Toc7862"/>
      <w:r>
        <w:rPr>
          <w:rFonts w:hint="eastAsia"/>
          <w:color w:val="auto"/>
          <w:highlight w:val="none"/>
        </w:rPr>
        <w:t xml:space="preserve">四、评标办法及评分标准</w:t>
      </w:r>
      <w:bookmarkEnd w:id="42"/>
      <w:r/>
      <w:bookmarkEnd w:id="43"/>
      <w:r/>
      <w:r/>
    </w:p>
    <w:p>
      <w:pPr>
        <w:ind w:firstLine="422"/>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pStyle w:val="1198"/>
        <w:ind w:firstLine="420"/>
        <w:rPr>
          <w:rFonts w:ascii="宋体" w:hAnsi="宋体" w:cs="宋体"/>
          <w:color w:val="auto"/>
          <w:highlight w:val="none"/>
        </w:rPr>
      </w:pPr>
      <w:r/>
      <w:bookmarkStart w:id="44" w:name="_Toc2682"/>
      <w:r>
        <w:rPr>
          <w:rFonts w:hint="eastAsia" w:ascii="宋体" w:hAnsi="宋体" w:cs="宋体"/>
          <w:color w:val="auto"/>
          <w:highlight w:val="none"/>
        </w:rPr>
        <w:t xml:space="preserve">1.本次磋商评标采用综合评分法，综合评分法是指投标文件满足投标文件全部实质性要求，且按照评审因素的量化指标评审得分最高的投标人为中标人的评标方法。</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pStyle w:val="1198"/>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(3)投标（响应）报价低于采购项目最高限价45%的，即投标（响应）报价&lt;采购项目最高限价×45%；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 磋商小组基于专业判断，认为供应商报价过低，有可能影响产品质量或者不能诚信履约的其他情形。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相关法律法规对供应商报价有规定的，从其规定。</w:t>
      </w:r>
      <w:r/>
    </w:p>
    <w:p>
      <w:pPr>
        <w:pStyle w:val="1198"/>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198"/>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p>
    <w:p>
      <w:pPr>
        <w:pStyle w:val="1198"/>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政府采购政策功能落实</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本项目专门面向中小微企业，不再享受价格折扣优惠政策。</w:t>
      </w:r>
      <w:r/>
    </w:p>
    <w:p>
      <w:pPr>
        <w:numPr>
          <w:ilvl w:val="0"/>
          <w:numId w:val="5"/>
        </w:numPr>
        <w:ind w:firstLine="422"/>
        <w:rPr>
          <w:rFonts w:ascii="宋体" w:hAnsi="宋体" w:cs="宋体"/>
          <w:b/>
          <w:color w:val="auto"/>
          <w:szCs w:val="21"/>
          <w:highlight w:val="none"/>
        </w:rPr>
      </w:pPr>
      <w:r>
        <w:rPr>
          <w:rFonts w:hint="eastAsia" w:ascii="宋体" w:hAnsi="宋体" w:cs="宋体"/>
          <w:b/>
          <w:color w:val="auto"/>
          <w:szCs w:val="21"/>
          <w:highlight w:val="none"/>
        </w:rPr>
        <w:t xml:space="preserve">评分标准</w:t>
      </w:r>
      <w:bookmarkEnd w:id="44"/>
      <w:r/>
      <w:r/>
    </w:p>
    <w:p>
      <w:pPr>
        <w:pStyle w:val="1198"/>
        <w:ind w:firstLine="420"/>
        <w:rPr>
          <w:rFonts w:ascii="宋体" w:hAnsi="宋体" w:cs="宋体"/>
          <w:color w:val="auto"/>
          <w:highlight w:val="none"/>
        </w:rPr>
      </w:pPr>
      <w:r>
        <w:rPr>
          <w:rFonts w:hint="eastAsia" w:ascii="宋体" w:hAnsi="宋体" w:cs="宋体"/>
          <w:color w:val="auto"/>
          <w:highlight w:val="none"/>
        </w:rPr>
        <w:t xml:space="preserve">总分值均为100分，评审因素及各比重如下：价格分值占总分值的比重为10%（权重），技术与方案及其它占90%（权重）。</w:t>
      </w:r>
      <w:r/>
    </w:p>
    <w:p>
      <w:pPr>
        <w:pStyle w:val="1198"/>
        <w:numPr>
          <w:ilvl w:val="0"/>
          <w:numId w:val="6"/>
        </w:numPr>
        <w:rPr>
          <w:rFonts w:ascii="宋体" w:hAnsi="宋体" w:cs="宋体"/>
          <w:b/>
          <w:bCs/>
          <w:color w:val="auto"/>
          <w:highlight w:val="none"/>
        </w:rPr>
      </w:pPr>
      <w:r/>
      <w:bookmarkStart w:id="45" w:name="_Toc1758"/>
      <w:r>
        <w:rPr>
          <w:rFonts w:hint="eastAsia" w:ascii="宋体" w:hAnsi="宋体" w:cs="宋体"/>
          <w:b/>
          <w:bCs/>
          <w:color w:val="auto"/>
          <w:highlight w:val="none"/>
        </w:rPr>
        <w:t xml:space="preserve">价格分（10分）</w:t>
      </w:r>
      <w:r/>
    </w:p>
    <w:p>
      <w:pPr>
        <w:pStyle w:val="1198"/>
        <w:ind w:firstLine="420"/>
        <w:rPr>
          <w:rFonts w:ascii="宋体" w:hAnsi="宋体" w:cs="宋体"/>
          <w:color w:val="auto"/>
          <w:highlight w:val="none"/>
        </w:rPr>
      </w:pPr>
      <w:r/>
      <w:bookmarkStart w:id="46" w:name="OLE_LINK19"/>
      <w:r/>
      <w:bookmarkStart w:id="47" w:name="OLE_LINK39"/>
      <w:r>
        <w:rPr>
          <w:rFonts w:hint="eastAsia" w:ascii="宋体" w:hAnsi="宋体" w:cs="宋体"/>
          <w:color w:val="auto"/>
          <w:highlight w:val="none"/>
        </w:rPr>
        <w:t xml:space="preserve">1.投标总报价低于或等于财政预算价格的，为有效投标报价。超财政预算的投标报价为无效投标报价。无效投标报价的投标文件不进行评审，也不得标。</w:t>
      </w:r>
      <w:r/>
    </w:p>
    <w:p>
      <w:pPr>
        <w:pStyle w:val="1198"/>
        <w:ind w:firstLine="420"/>
        <w:rPr>
          <w:rFonts w:ascii="宋体" w:hAnsi="宋体" w:cs="宋体"/>
          <w:color w:val="auto"/>
          <w:highlight w:val="none"/>
        </w:rPr>
      </w:pPr>
      <w:r>
        <w:rPr>
          <w:rFonts w:hint="eastAsia" w:ascii="宋体" w:hAnsi="宋体" w:cs="宋体"/>
          <w:color w:val="auto"/>
          <w:highlight w:val="none"/>
        </w:rPr>
        <w:t xml:space="preserve">2.价格分采用低价优先法计算，即满足招标文件要求且投标价格最低的投标报价为评标基准价。其他响应单位的价格分按照下列公式计算（计算结果四舍五入保留两位小数）。</w:t>
      </w:r>
      <w:r/>
    </w:p>
    <w:p>
      <w:pPr>
        <w:pStyle w:val="1198"/>
        <w:ind w:firstLine="420"/>
        <w:rPr>
          <w:rFonts w:ascii="宋体" w:hAnsi="宋体" w:cs="宋体"/>
          <w:color w:val="auto"/>
          <w:highlight w:val="none"/>
        </w:rPr>
      </w:pPr>
      <w:r>
        <w:rPr>
          <w:rFonts w:hint="eastAsia" w:ascii="宋体" w:hAnsi="宋体" w:cs="宋体"/>
          <w:color w:val="auto"/>
          <w:highlight w:val="none"/>
        </w:rPr>
        <w:t xml:space="preserve">投标报价得分=（评标基准价/投标报价）*10%*100，小数点后保留两位。</w:t>
      </w:r>
      <w:bookmarkEnd w:id="46"/>
      <w:r/>
      <w:bookmarkEnd w:id="47"/>
      <w:r/>
      <w:r/>
    </w:p>
    <w:p>
      <w:pPr>
        <w:pStyle w:val="1198"/>
        <w:ind w:firstLine="420"/>
        <w:rPr>
          <w:rFonts w:ascii="宋体" w:hAnsi="宋体" w:cs="宋体"/>
          <w:color w:val="auto"/>
          <w:highlight w:val="none"/>
        </w:rPr>
      </w:pPr>
      <w:r>
        <w:rPr>
          <w:rFonts w:hint="eastAsia" w:ascii="宋体" w:hAnsi="宋体" w:cs="宋体"/>
          <w:color w:val="auto"/>
          <w:highlight w:val="none"/>
        </w:rPr>
        <w:t xml:space="preserve">3.报价修正规则</w:t>
      </w:r>
      <w:r/>
    </w:p>
    <w:p>
      <w:pPr>
        <w:pStyle w:val="1198"/>
        <w:ind w:firstLine="420"/>
        <w:rPr>
          <w:rFonts w:ascii="宋体" w:hAnsi="宋体" w:cs="宋体"/>
          <w:color w:val="auto"/>
          <w:highlight w:val="none"/>
        </w:rPr>
      </w:pPr>
      <w:r>
        <w:rPr>
          <w:rFonts w:hint="eastAsia" w:ascii="宋体" w:hAnsi="宋体" w:cs="宋体"/>
          <w:color w:val="auto"/>
          <w:highlight w:val="none"/>
        </w:rPr>
        <w:t xml:space="preserve">在评审中，对投标报价出现前后不一致的，除招标文件另有规定外，按照下列规定修正：</w:t>
      </w:r>
      <w:r/>
    </w:p>
    <w:p>
      <w:pPr>
        <w:pStyle w:val="1198"/>
        <w:ind w:firstLine="420"/>
        <w:rPr>
          <w:rFonts w:ascii="宋体" w:hAnsi="宋体" w:cs="宋体"/>
          <w:color w:val="auto"/>
          <w:highlight w:val="none"/>
        </w:rPr>
      </w:pPr>
      <w:r>
        <w:rPr>
          <w:rFonts w:hint="eastAsia" w:ascii="宋体" w:hAnsi="宋体" w:cs="宋体"/>
          <w:color w:val="auto"/>
          <w:highlight w:val="none"/>
        </w:rPr>
        <w:t xml:space="preserve">（1）投标文件中磋商响应报价表内容与投标文件中明细表内容不一致的，以磋商响应报价表为准。</w:t>
      </w:r>
      <w:r/>
    </w:p>
    <w:p>
      <w:pPr>
        <w:pStyle w:val="1198"/>
        <w:ind w:firstLine="420"/>
        <w:rPr>
          <w:rFonts w:ascii="宋体" w:hAnsi="宋体" w:cs="宋体"/>
          <w:color w:val="auto"/>
          <w:highlight w:val="none"/>
        </w:rPr>
      </w:pPr>
      <w:r>
        <w:rPr>
          <w:rFonts w:hint="eastAsia" w:ascii="宋体" w:hAnsi="宋体" w:cs="宋体"/>
          <w:color w:val="auto"/>
          <w:highlight w:val="none"/>
        </w:rPr>
        <w:t xml:space="preserve">（2）投标文件的大写金额和小写金额不一致的，以大写金额为准。</w:t>
      </w:r>
      <w:r/>
    </w:p>
    <w:p>
      <w:pPr>
        <w:pStyle w:val="1198"/>
        <w:ind w:firstLine="420"/>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（3）单价金额小数点或者百分比有明显错位的，以磋商响应报价表的总价为准，并修改单价。</w:t>
      </w:r>
      <w:r/>
    </w:p>
    <w:p>
      <w:pPr>
        <w:pStyle w:val="1198"/>
        <w:ind w:firstLine="420"/>
        <w:rPr>
          <w:rFonts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pStyle w:val="1198"/>
        <w:ind w:firstLine="420"/>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w:t>
      </w:r>
      <w:r/>
    </w:p>
    <w:p>
      <w:pPr>
        <w:pStyle w:val="1198"/>
        <w:ind w:firstLine="420"/>
        <w:rPr>
          <w:rFonts w:ascii="宋体" w:hAnsi="宋体" w:cs="宋体"/>
          <w:color w:val="auto"/>
          <w:highlight w:val="none"/>
        </w:rPr>
      </w:pPr>
      <w:r>
        <w:rPr>
          <w:rFonts w:hint="eastAsia" w:ascii="宋体" w:hAnsi="宋体" w:cs="宋体"/>
          <w:color w:val="auto"/>
          <w:highlight w:val="none"/>
        </w:rPr>
        <w:t xml:space="preserve">按上述方法调整后的投标报价经投标人确认后产生约束力，投标人不确认的，其投标无效。</w:t>
      </w:r>
      <w:r/>
    </w:p>
    <w:p>
      <w:pPr>
        <w:pStyle w:val="1198"/>
        <w:numPr>
          <w:ilvl w:val="0"/>
          <w:numId w:val="6"/>
        </w:numPr>
        <w:rPr>
          <w:rFonts w:ascii="宋体" w:hAnsi="宋体" w:cs="宋体"/>
          <w:b/>
          <w:bCs/>
          <w:color w:val="auto"/>
          <w:highlight w:val="none"/>
        </w:rPr>
      </w:pPr>
      <w:r>
        <w:rPr>
          <w:rFonts w:hint="eastAsia" w:ascii="宋体" w:hAnsi="宋体" w:cs="宋体"/>
          <w:b/>
          <w:bCs/>
          <w:color w:val="auto"/>
          <w:highlight w:val="none"/>
        </w:rPr>
        <w:t xml:space="preserve">技术及商务评分（90分）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1、项目整体服务方案（8分）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根据投标人针对本项目整体服务方案进行评分，方案内容针对至少包括：①设施提供、②配套服务、③布展施工管理组织、④安全文明措施。</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方案内容针对本项目且符合本项目实际需求的，得8分，每缺少一项内容，或内容明显错误，或内容非专门针对本项目，或内容不能满足本项目实际需求的，每一项扣2分。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2、项目服务保障措施（6分）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根据投标人针对本项目提供的服务保障措施进行评定，内容至少包括①保证服务质量所提供的各项保障措施、②质量保证体系、③服务响应速度的承诺。</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方案内容针对本项目且符合本项目实际需求的，得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分，每缺少一项内容，或内容明显错误，或内容非专门针对本项目，或内容不能满足本项目实际需求的，每一项扣2分。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3、售后维保方案及售后技术能力（6分）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根据投标人的售后方案进行评分，方案至少包括：①售后服务方案、②维保方案(含维保服务内容、措施、计划、质量保证保障方案等）、③售后技术能力相关证明。方案详实具体、可行性高、措施及技术保障合理性可靠性强的为6分，每缺少一项内容，或内容明显错误，或内容非专门针对本项目，或内容不能满足本项目实际需求的，每一项扣2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4、项目整体设计方案（</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rPr>
        <w:t xml:space="preserve">3分）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4.1、方案整体创意策划布局比较，最高15分。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（1）项目的定位和主题策划，最高5分。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项目定位清晰准确，主题符合</w:t>
      </w:r>
      <w:r>
        <w:rPr>
          <w:rFonts w:hint="eastAsia" w:ascii="宋体" w:hAnsi="宋体" w:cs="宋体"/>
          <w:color w:val="auto"/>
          <w:highlight w:val="none"/>
          <w:lang w:val="en-US" w:eastAsia="zh-CN"/>
        </w:rPr>
        <w:t xml:space="preserve">兴黎</w:t>
      </w:r>
      <w:r>
        <w:rPr>
          <w:rFonts w:hint="eastAsia" w:ascii="宋体" w:hAnsi="宋体" w:cs="宋体"/>
          <w:color w:val="auto"/>
          <w:highlight w:val="none"/>
        </w:rPr>
        <w:t xml:space="preserve">社区综合服务项目建设理念，突出党建引领、便民服务、邻里共建，充分结合社区本土文化及各功能空间实际需求，内容提炼详实全面，构思新颖，系统性强得5分；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项目定位、文化内容提炼基本到位，满足基础功能，但社区本土特色体现不足，内容把握不够全面得3分；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项目定位不全面，内容提炼缺失、不完整得1分；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（2）功能规划与空间布局，最高5分。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整体规划清晰，空间布局科学合理，人流流线顺畅易识别，方案完整性、科学性、安全性、可实施性强得5分；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项目规划基本清晰，布局一般，功能基本齐全，流线设计普通得3分；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项目规划不清楚、布局混乱、流线错乱，存在功能缺失得1分；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（3）整体风格与展陈立意，最高5分。</w:t>
      </w:r>
      <w:r/>
    </w:p>
    <w:p>
      <w:pPr>
        <w:pStyle w:val="1198"/>
        <w:ind w:firstLine="420"/>
        <w:rPr>
          <w:rFonts w:hint="eastAsia" w:ascii="宋体" w:hAnsi="宋体" w:cs="宋体"/>
          <w:color w:val="auto"/>
          <w:highlight w:val="none"/>
        </w:rPr>
      </w:pPr>
      <w:r/>
      <w:bookmarkStart w:id="48" w:name="OLE_LINK7"/>
      <w:r>
        <w:rPr>
          <w:rFonts w:hint="eastAsia" w:ascii="宋体" w:hAnsi="宋体" w:cs="宋体"/>
          <w:color w:val="auto"/>
          <w:highlight w:val="none"/>
        </w:rPr>
        <w:t xml:space="preserve">整体空间立意明确，风格统一协调，兼顾庄重简约与社区温馨亲民氛围，充分融合党建文化、社区邻里文化，设计形式新颖，符合社区公共阵地定位得5分；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主题立意较好，能够体现党建及社区服务文化，形式较为独特得3分；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主题立意一般，缺少社区文化特色，设计形式普通得1分；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bookmarkEnd w:id="48"/>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4.2、空间设计方案比较，最高38分。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（1）一楼公共综合空间（门厅、中庭院子、便民服务大厅）最高15分</w:t>
      </w:r>
      <w:r/>
    </w:p>
    <w:p>
      <w:pPr>
        <w:pStyle w:val="1198"/>
        <w:ind w:firstLine="420"/>
        <w:rPr>
          <w:rFonts w:hint="eastAsia" w:ascii="宋体" w:hAnsi="宋体" w:cs="宋体"/>
          <w:color w:val="auto"/>
          <w:highlight w:val="none"/>
        </w:rPr>
      </w:pPr>
      <w:r/>
      <w:bookmarkStart w:id="49" w:name="OLE_LINK8"/>
      <w:r>
        <w:rPr>
          <w:rFonts w:hint="eastAsia" w:ascii="宋体" w:hAnsi="宋体" w:cs="宋体"/>
          <w:color w:val="auto"/>
          <w:highlight w:val="none"/>
        </w:rPr>
        <w:t xml:space="preserve">依据项目整体策划理念，空间主题鲜明，文化墙、形象立面设计完善；提供彩色平面布置图、点位布置图、空间三维效果图。</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图纸完整齐全，各项图纸均按要求提供，设计完整完善得15分；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图纸提供部分，存在缺失，内容不够全面完整得8分；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缺少三维效果图，图纸严重缺失得3分；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bookmarkEnd w:id="49"/>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（2）一楼专项功能房间（医疗服务、</w:t>
      </w:r>
      <w:r>
        <w:rPr>
          <w:rFonts w:hint="eastAsia" w:ascii="宋体" w:hAnsi="宋体" w:cs="宋体"/>
          <w:b/>
          <w:bCs/>
          <w:color w:val="auto"/>
          <w:highlight w:val="none"/>
          <w:lang w:val="en-US" w:eastAsia="zh-CN"/>
        </w:rPr>
        <w:t xml:space="preserve">邻里中心</w:t>
      </w:r>
      <w:r>
        <w:rPr>
          <w:rFonts w:hint="eastAsia" w:ascii="宋体" w:hAnsi="宋体" w:cs="宋体"/>
          <w:b/>
          <w:bCs/>
          <w:color w:val="auto"/>
          <w:highlight w:val="none"/>
        </w:rPr>
        <w:t xml:space="preserve">、多功能室、会议室）最高15分。</w:t>
      </w:r>
      <w:r/>
    </w:p>
    <w:p>
      <w:pPr>
        <w:pStyle w:val="1198"/>
        <w:ind w:firstLine="420"/>
        <w:rPr>
          <w:rFonts w:hint="eastAsia" w:ascii="宋体" w:hAnsi="宋体" w:cs="宋体"/>
          <w:color w:val="auto"/>
          <w:highlight w:val="none"/>
        </w:rPr>
      </w:pPr>
      <w:r/>
      <w:bookmarkStart w:id="50" w:name="OLE_LINK9"/>
      <w:r>
        <w:rPr>
          <w:rFonts w:hint="eastAsia" w:ascii="宋体" w:hAnsi="宋体" w:cs="宋体"/>
          <w:color w:val="auto"/>
          <w:highlight w:val="none"/>
        </w:rPr>
        <w:t xml:space="preserve">结合各房间功能属性开展专项设计，兼顾使用功能与文化氛围渲染，风格与整体项目统一；出具平面功能布置图、点位布置图、关键视角三维效果图。</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图纸齐全完整，功能适配到位，设计完善得15分；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图纸提供部分，内容不够全面完整得8分；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缺少平面或三维效果图，图纸严重缺失得3分；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bookmarkEnd w:id="50"/>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（3） 二楼功能空间（妇女儿童之家、退伍军人服务站）最高8分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符合妇女儿童活动、退役军人服务站功能定位，主题氛围贴合阵地属性，文化展示内容适配服务对象；出具彩色平面布置图、点位布置图、空间三维效果图。</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图纸齐全完整，设计完善到位得8分；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图纸提供部分，内容不够全面完整得5分；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缺少三维效果图，图纸严重缺失得1分；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5、团队人员配置（8分）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项目经理（3分）</w:t>
      </w:r>
      <w:r/>
    </w:p>
    <w:p>
      <w:pPr>
        <w:pStyle w:val="1198"/>
        <w:ind w:firstLine="420"/>
        <w:rPr>
          <w:rFonts w:hint="eastAsia" w:ascii="宋体" w:hAnsi="宋体" w:eastAsia="宋体" w:cs="宋体"/>
          <w:color w:val="auto"/>
          <w:highlight w:val="none"/>
          <w:lang w:eastAsia="zh-CN"/>
        </w:rPr>
      </w:pPr>
      <w:r>
        <w:rPr>
          <w:rFonts w:hint="eastAsia" w:ascii="宋体" w:hAnsi="宋体" w:cs="宋体"/>
          <w:color w:val="auto"/>
          <w:highlight w:val="none"/>
        </w:rPr>
        <w:t xml:space="preserve">具备工程或环艺设计相关专业本科及以上学历的得3分，响应文件中提供相应的学历证书扫描件，不提供或提供不全不得分</w:t>
      </w:r>
      <w:r>
        <w:rPr>
          <w:rFonts w:hint="eastAsia" w:ascii="宋体" w:hAnsi="宋体" w:cs="宋体"/>
          <w:color w:val="auto"/>
          <w:highlight w:val="none"/>
          <w:lang w:eastAsia="zh-CN"/>
        </w:rPr>
        <w:t xml:space="preserve">。</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团队人员（项目经理</w:t>
      </w:r>
      <w:r>
        <w:rPr>
          <w:rFonts w:hint="eastAsia" w:ascii="宋体" w:hAnsi="宋体" w:cs="宋体"/>
          <w:b/>
          <w:bCs/>
          <w:color w:val="auto"/>
          <w:highlight w:val="none"/>
          <w:lang w:val="en-US" w:eastAsia="zh-CN"/>
        </w:rPr>
        <w:t xml:space="preserve">除外</w:t>
      </w:r>
      <w:r>
        <w:rPr>
          <w:rFonts w:hint="eastAsia" w:ascii="宋体" w:hAnsi="宋体" w:cs="宋体"/>
          <w:b/>
          <w:bCs/>
          <w:color w:val="auto"/>
          <w:highlight w:val="none"/>
        </w:rPr>
        <w:t xml:space="preserve">）（5分）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拟派项目团队中具有本科学历的每1人得1分，具有室内设计或环艺设计相关中级职称的每1人得2分，最高5分。响应文件中提供相关证书扫描件，不提供或提供不全不得分。</w:t>
      </w:r>
      <w:r/>
    </w:p>
    <w:p>
      <w:pPr>
        <w:pStyle w:val="1198"/>
        <w:ind w:firstLine="42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6、类似业绩（9分）</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人提供2023年1月1日以来（以合同签订日期为准）承担过类似项目业绩，有一个得3分，最多9分。投标文件中提供合同扫描件，如合同中不能反映项目内容，须提供其他材料予以佐证，不提供或提供不全不得分。</w:t>
      </w:r>
      <w:r/>
    </w:p>
    <w:p>
      <w:pPr>
        <w:ind w:firstLine="211"/>
        <w:jc w:val="left"/>
        <w:rPr>
          <w:rFonts w:ascii="宋体" w:hAnsi="宋体" w:cs="宋体"/>
          <w:b/>
          <w:bCs/>
          <w:color w:val="auto"/>
          <w:szCs w:val="21"/>
          <w:highlight w:val="none"/>
        </w:rPr>
      </w:pPr>
      <w:r>
        <w:rPr>
          <w:rFonts w:hint="eastAsia" w:ascii="宋体" w:hAnsi="宋体" w:cs="宋体"/>
          <w:b/>
          <w:bCs/>
          <w:color w:val="auto"/>
          <w:szCs w:val="21"/>
          <w:highlight w:val="none"/>
        </w:rPr>
        <w:t xml:space="preserve">备注：</w:t>
      </w:r>
      <w:bookmarkEnd w:id="45"/>
      <w:r/>
      <w:r/>
    </w:p>
    <w:p>
      <w:pPr>
        <w:ind w:firstLine="210"/>
        <w:rPr>
          <w:rFonts w:ascii="宋体" w:hAnsi="宋体" w:cs="宋体"/>
          <w:bCs/>
          <w:color w:val="auto"/>
          <w:szCs w:val="21"/>
          <w:highlight w:val="none"/>
          <w:lang w:val="zh-TW" w:eastAsia="zh-TW"/>
        </w:rPr>
      </w:pPr>
      <w:r/>
      <w:bookmarkStart w:id="51" w:name="_Toc11197"/>
      <w:r>
        <w:rPr>
          <w:rFonts w:hint="eastAsia" w:ascii="宋体" w:hAnsi="宋体" w:cs="宋体"/>
          <w:bCs/>
          <w:color w:val="auto"/>
          <w:szCs w:val="21"/>
          <w:highlight w:val="none"/>
          <w:lang w:val="zh-TW" w:eastAsia="zh-TW"/>
        </w:rPr>
        <w:t xml:space="preserve">1、</w:t>
      </w:r>
      <w:r>
        <w:rPr>
          <w:rFonts w:hint="eastAsia" w:ascii="宋体" w:hAnsi="宋体" w:cs="宋体"/>
          <w:bCs/>
          <w:color w:val="auto"/>
          <w:szCs w:val="21"/>
          <w:highlight w:val="none"/>
        </w:rPr>
        <w:t xml:space="preserve">响应</w:t>
      </w:r>
      <w:r>
        <w:rPr>
          <w:rFonts w:hint="eastAsia" w:ascii="宋体" w:hAnsi="宋体" w:cs="宋体"/>
          <w:bCs/>
          <w:color w:val="auto"/>
          <w:szCs w:val="21"/>
          <w:highlight w:val="none"/>
          <w:lang w:val="zh-TW" w:eastAsia="zh-TW"/>
        </w:rPr>
        <w:t xml:space="preserve">总报价超过采购预算（或最高限价）的将不进入综合评审程序，也不得标。</w:t>
      </w:r>
      <w:bookmarkEnd w:id="51"/>
      <w:r/>
      <w:r/>
    </w:p>
    <w:p>
      <w:pPr>
        <w:ind w:firstLine="210"/>
        <w:rPr>
          <w:rFonts w:ascii="宋体" w:hAnsi="宋体" w:cs="宋体"/>
          <w:bCs/>
          <w:color w:val="auto"/>
          <w:szCs w:val="21"/>
          <w:highlight w:val="none"/>
          <w:lang w:val="zh-TW" w:eastAsia="zh-TW"/>
        </w:rPr>
      </w:pPr>
      <w:r/>
      <w:bookmarkStart w:id="52" w:name="_Toc8909"/>
      <w:r>
        <w:rPr>
          <w:rFonts w:hint="eastAsia" w:ascii="宋体" w:hAnsi="宋体" w:cs="宋体"/>
          <w:bCs/>
          <w:color w:val="auto"/>
          <w:szCs w:val="21"/>
          <w:highlight w:val="none"/>
          <w:lang w:val="zh-TW" w:eastAsia="zh-TW"/>
        </w:rPr>
        <w:t xml:space="preserve">2、服务期、付款步骤如有负偏离的不得标。</w:t>
      </w:r>
      <w:bookmarkEnd w:id="52"/>
      <w:r/>
      <w:r/>
    </w:p>
    <w:p>
      <w:pPr>
        <w:ind w:firstLine="210"/>
        <w:rPr>
          <w:rFonts w:ascii="宋体" w:hAnsi="宋体" w:cs="宋体"/>
          <w:bCs/>
          <w:color w:val="auto"/>
          <w:szCs w:val="21"/>
          <w:highlight w:val="none"/>
          <w:lang w:val="zh-TW" w:eastAsia="zh-TW"/>
        </w:rPr>
      </w:pPr>
      <w:r/>
      <w:bookmarkStart w:id="53" w:name="_Toc22215"/>
      <w:r>
        <w:rPr>
          <w:rFonts w:hint="eastAsia" w:ascii="宋体" w:hAnsi="宋体" w:cs="宋体"/>
          <w:bCs/>
          <w:color w:val="auto"/>
          <w:szCs w:val="21"/>
          <w:highlight w:val="none"/>
          <w:lang w:val="zh-TW" w:eastAsia="zh-TW"/>
        </w:rPr>
        <w:t xml:space="preserve">3、响应文件中如出现前后不一致时,评委有权请</w:t>
      </w:r>
      <w:r>
        <w:rPr>
          <w:rFonts w:hint="eastAsia" w:ascii="宋体" w:hAnsi="宋体" w:cs="宋体"/>
          <w:bCs/>
          <w:color w:val="auto"/>
          <w:szCs w:val="21"/>
          <w:highlight w:val="none"/>
          <w:lang w:val="zh-TW"/>
        </w:rPr>
        <w:t xml:space="preserve">供应商</w:t>
      </w:r>
      <w:r>
        <w:rPr>
          <w:rFonts w:hint="eastAsia" w:ascii="宋体" w:hAnsi="宋体" w:cs="宋体"/>
          <w:bCs/>
          <w:color w:val="auto"/>
          <w:szCs w:val="21"/>
          <w:highlight w:val="none"/>
          <w:lang w:val="zh-TW" w:eastAsia="zh-TW"/>
        </w:rPr>
        <w:t xml:space="preserve">澄清说明,澄清说明事项涉及评分时,评委有权酌情扣分。</w:t>
      </w:r>
      <w:bookmarkEnd w:id="53"/>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4、响应人提供资料必须真实有效，成交后采购人可对相应证书扫描件等进行原件核查，响应单位如若提供虚假资料，将承担相应法律责任。以上须要递交的资料投标截止时间之前递交，逾时递交的资料将不作为评审依据。</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5、采购文件中要求加盖响应单位公章的，可用电子签章代替。</w:t>
      </w:r>
      <w:r/>
    </w:p>
    <w:p>
      <w:pPr>
        <w:ind w:firstLine="210"/>
        <w:rPr>
          <w:rFonts w:ascii="宋体" w:hAnsi="宋体" w:cs="宋体"/>
          <w:color w:val="auto"/>
          <w:highlight w:val="none"/>
        </w:rPr>
      </w:pPr>
      <w:r>
        <w:rPr>
          <w:rFonts w:hint="eastAsia" w:ascii="宋体" w:hAnsi="宋体" w:cs="宋体"/>
          <w:bCs/>
          <w:color w:val="auto"/>
          <w:szCs w:val="21"/>
          <w:highlight w:val="none"/>
        </w:rPr>
        <w:t xml:space="preserve">6、</w:t>
      </w:r>
      <w:r>
        <w:rPr>
          <w:rFonts w:hint="eastAsia"/>
          <w:color w:val="auto"/>
          <w:highlight w:val="none"/>
        </w:rPr>
        <w:t xml:space="preserve">投标响应文件中扫描件须清晰可辨，如因扫描件模糊，造成无法辨认，该项不得分。</w:t>
      </w:r>
      <w:bookmarkStart w:id="54" w:name="_Toc29409"/>
      <w:r>
        <w:rPr>
          <w:rFonts w:hint="eastAsia" w:ascii="宋体" w:hAnsi="宋体" w:cs="宋体"/>
          <w:color w:val="auto"/>
          <w:highlight w:val="none"/>
        </w:rPr>
        <w:br w:type="page" w:clear="all"/>
      </w:r>
      <w:r/>
    </w:p>
    <w:p>
      <w:pPr>
        <w:pStyle w:val="850"/>
        <w:rPr>
          <w:color w:val="auto"/>
          <w:highlight w:val="none"/>
        </w:rPr>
      </w:pPr>
      <w:r/>
      <w:bookmarkStart w:id="55" w:name="_Toc21982"/>
      <w:r>
        <w:rPr>
          <w:rFonts w:hint="eastAsia"/>
          <w:color w:val="auto"/>
          <w:highlight w:val="none"/>
        </w:rPr>
        <w:t xml:space="preserve">五、合同主要条款</w:t>
      </w:r>
      <w:bookmarkEnd w:id="54"/>
      <w:r/>
      <w:bookmarkEnd w:id="55"/>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pStyle w:val="902"/>
        <w:rPr>
          <w:color w:val="auto"/>
          <w:highlight w:val="none"/>
        </w:rPr>
      </w:pPr>
      <w:r>
        <w:rPr>
          <w:color w:val="auto"/>
          <w:highlight w:val="none"/>
        </w:rPr>
      </w:r>
      <w:r/>
    </w:p>
    <w:p>
      <w:pPr>
        <w:ind w:firstLine="420"/>
        <w:rPr>
          <w:rFonts w:hint="eastAsia" w:asciiTheme="minorEastAsia" w:hAnsiTheme="minorEastAsia" w:eastAsiaTheme="minorEastAsia" w:cstheme="minorEastAsia"/>
          <w:color w:val="auto"/>
          <w:sz w:val="21"/>
          <w:szCs w:val="21"/>
          <w:highlight w:val="none"/>
        </w:rPr>
      </w:pPr>
      <w:r/>
      <w:bookmarkStart w:id="56" w:name="_Toc31533"/>
      <w:r>
        <w:rPr>
          <w:rFonts w:hint="eastAsia" w:asciiTheme="minorEastAsia" w:hAnsiTheme="minorEastAsia" w:eastAsiaTheme="minorEastAsia" w:cstheme="minorEastAsia"/>
          <w:color w:val="auto"/>
          <w:sz w:val="21"/>
          <w:szCs w:val="21"/>
          <w:highlight w:val="none"/>
        </w:rPr>
        <w:t xml:space="preserve">依据甲方委托</w:t>
      </w:r>
      <w:r>
        <w:rPr>
          <w:rFonts w:hint="eastAsia" w:asciiTheme="minorEastAsia" w:hAnsiTheme="minorEastAsia" w:eastAsiaTheme="minorEastAsia" w:cstheme="minorEastAsia"/>
          <w:color w:val="auto"/>
          <w:sz w:val="21"/>
          <w:szCs w:val="21"/>
          <w:highlight w:val="none"/>
          <w:u w:val="single"/>
        </w:rPr>
        <w:t xml:space="preserve">苏州通宜房地产土地评估咨询有限公司</w:t>
      </w:r>
      <w:r>
        <w:rPr>
          <w:rFonts w:hint="eastAsia" w:asciiTheme="minorEastAsia" w:hAnsiTheme="minorEastAsia" w:eastAsiaTheme="minorEastAsia" w:cstheme="minorEastAsia"/>
          <w:color w:val="auto"/>
          <w:sz w:val="21"/>
          <w:szCs w:val="21"/>
          <w:highlight w:val="none"/>
        </w:rPr>
        <w:t xml:space="preserve">进行</w:t>
      </w:r>
      <w:r>
        <w:rPr>
          <w:rFonts w:hint="eastAsia" w:asciiTheme="minorEastAsia" w:hAnsiTheme="minorEastAsia" w:eastAsiaTheme="minorEastAsia" w:cstheme="minorEastAsia"/>
          <w:color w:val="auto"/>
          <w:sz w:val="21"/>
          <w:szCs w:val="21"/>
          <w:highlight w:val="none"/>
          <w:u w:val="single"/>
          <w:lang w:eastAsia="zh-CN"/>
        </w:rPr>
        <w:t xml:space="preserve">兴黎社区综合服务项目</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项目编号</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JSZC-320509-SZTY-C2026-0008</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rPr>
        <w:t xml:space="preserve">政府采购的成交结果，确定乙方为本次成交单位，现依照采购文件、乙方的响应文件及相关文件的内容，签订本合同书。</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一、合同内容：</w:t>
      </w:r>
      <w:r/>
    </w:p>
    <w:p>
      <w:pPr>
        <w:pStyle w:val="1120"/>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1、乙方负责完成甲方的</w:t>
      </w:r>
      <w:r>
        <w:rPr>
          <w:rFonts w:hint="eastAsia" w:asciiTheme="minorEastAsia" w:hAnsiTheme="minorEastAsia" w:eastAsiaTheme="minorEastAsia" w:cstheme="minorEastAsia"/>
          <w:color w:val="auto"/>
          <w:sz w:val="21"/>
          <w:szCs w:val="21"/>
          <w:highlight w:val="none"/>
          <w:u w:val="single"/>
          <w:lang w:val="en-US" w:eastAsia="zh-CN" w:bidi="ar-SA"/>
        </w:rPr>
        <w:t xml:space="preserve">                        </w:t>
      </w:r>
      <w:r>
        <w:rPr>
          <w:rFonts w:hint="eastAsia" w:asciiTheme="minorEastAsia" w:hAnsiTheme="minorEastAsia" w:eastAsiaTheme="minorEastAsia" w:cstheme="minorEastAsia"/>
          <w:color w:val="auto"/>
          <w:sz w:val="21"/>
          <w:szCs w:val="21"/>
          <w:highlight w:val="none"/>
          <w:lang w:val="en-US" w:eastAsia="zh-CN" w:bidi="ar-SA"/>
        </w:rPr>
        <w:t xml:space="preserve">，详见乙方的响应文件。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2、下列文件为本合同不可分割部分，与本合同具有同等法律效力，有冲突的，以有利于甲方、标准高的为准：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①中标通知书；</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②采购文件及其他补充文件（如有）；</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③乙方中标的投标文件；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④乙方在招投标过程中所作的其它书面承诺、声明、澄清等。</w:t>
      </w:r>
      <w:r/>
    </w:p>
    <w:p>
      <w:pPr>
        <w:pStyle w:val="112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二、项目期限要求：</w:t>
      </w:r>
      <w:r>
        <w:rPr>
          <w:rFonts w:hint="eastAsia" w:asciiTheme="minorEastAsia" w:hAnsiTheme="minorEastAsia" w:eastAsiaTheme="minorEastAsia" w:cstheme="minorEastAsia"/>
          <w:color w:val="auto"/>
          <w:sz w:val="21"/>
          <w:szCs w:val="21"/>
          <w:highlight w:val="none"/>
          <w:lang w:val="zh-CN" w:eastAsia="zh-CN"/>
        </w:rPr>
        <w:t xml:space="preserve">自合同签订之日起</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eastAsia="zh-CN"/>
        </w:rPr>
        <w:t xml:space="preserve">日。</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项目地点：具体按采购单位指定地点。</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57" w:name="_Toc484509820"/>
      <w:r/>
      <w:bookmarkStart w:id="58" w:name="_Toc484509998"/>
      <w:r>
        <w:rPr>
          <w:rFonts w:hint="eastAsia" w:asciiTheme="minorEastAsia" w:hAnsiTheme="minorEastAsia" w:eastAsiaTheme="minorEastAsia" w:cstheme="minorEastAsia"/>
          <w:b/>
          <w:bCs/>
          <w:color w:val="auto"/>
          <w:sz w:val="21"/>
          <w:szCs w:val="21"/>
          <w:highlight w:val="none"/>
          <w:lang w:val="zh-TW" w:eastAsia="zh-TW"/>
        </w:rPr>
        <w:t xml:space="preserve">三、质量保证要求</w:t>
      </w:r>
      <w:bookmarkEnd w:id="57"/>
      <w:r/>
      <w:bookmarkEnd w:id="58"/>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本项目的设计、制作和验收均按照设计方案、合同要求及现行国家和行业相关标准规范执行。如规范与设计图纸上的说明有矛盾和分歧或另有说明，乙方必须以两者中甲方确认的较优者为准进行制作。</w:t>
      </w:r>
      <w:r/>
    </w:p>
    <w:p>
      <w:pPr>
        <w:pStyle w:val="1120"/>
        <w:spacing w:line="460" w:lineRule="exact"/>
        <w:rPr>
          <w:rFonts w:hint="eastAsia" w:asciiTheme="minorEastAsia" w:hAnsiTheme="minorEastAsia" w:eastAsiaTheme="minorEastAsia" w:cstheme="minorEastAsia"/>
          <w:color w:val="auto"/>
          <w:sz w:val="21"/>
          <w:szCs w:val="21"/>
          <w:highlight w:val="none"/>
          <w:lang w:val="zh-TW" w:eastAsia="zh-CN"/>
        </w:rPr>
      </w:pPr>
      <w:r>
        <w:rPr>
          <w:rFonts w:hint="eastAsia" w:asciiTheme="minorEastAsia" w:hAnsiTheme="minorEastAsia" w:eastAsiaTheme="minorEastAsia" w:cstheme="minorEastAsia"/>
          <w:b/>
          <w:bCs/>
          <w:color w:val="auto"/>
          <w:sz w:val="21"/>
          <w:szCs w:val="21"/>
          <w:highlight w:val="none"/>
          <w:lang w:val="zh-TW" w:eastAsia="zh-TW"/>
        </w:rPr>
        <w:t xml:space="preserve">四、交付成果要求</w:t>
      </w:r>
      <w:r>
        <w:rPr>
          <w:rFonts w:hint="eastAsia" w:asciiTheme="minorEastAsia" w:hAnsiTheme="minorEastAsia" w:eastAsiaTheme="minorEastAsia" w:cstheme="minorEastAsia"/>
          <w:b/>
          <w:bCs/>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CN"/>
        </w:rPr>
        <w:t xml:space="preserve">按采购文件要求。</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CN"/>
        </w:rPr>
      </w:pPr>
      <w:r/>
      <w:bookmarkStart w:id="59" w:name="_Toc484509999"/>
      <w:r/>
      <w:bookmarkStart w:id="60" w:name="_Toc484509821"/>
      <w:r>
        <w:rPr>
          <w:rFonts w:hint="eastAsia" w:asciiTheme="minorEastAsia" w:hAnsiTheme="minorEastAsia" w:eastAsiaTheme="minorEastAsia" w:cstheme="minorEastAsia"/>
          <w:b/>
          <w:bCs/>
          <w:color w:val="auto"/>
          <w:sz w:val="21"/>
          <w:szCs w:val="21"/>
          <w:highlight w:val="none"/>
          <w:lang w:val="zh-TW" w:eastAsia="zh-TW"/>
        </w:rPr>
        <w:t xml:space="preserve">五、验收要求</w:t>
      </w:r>
      <w:bookmarkEnd w:id="59"/>
      <w:r/>
      <w:bookmarkEnd w:id="60"/>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本项目软硬件设备由甲方及有关部门进行验收；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TW"/>
        </w:rPr>
        <w:t xml:space="preserve">硬件设备到达甲方指定地点，经甲方及乙方共同验收合格后方能开封实施；</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TW" w:eastAsia="zh-TW"/>
        </w:rPr>
        <w:t xml:space="preserve">软硬设备整体的安装调试验收需由甲方及其他有关部门共同组织验收；质保期自出具验收合格报告之日起算；</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TW" w:eastAsia="zh-TW"/>
        </w:rPr>
        <w:t xml:space="preserve">验收合格后乙方须向甲方提供相关技术培训。</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CN"/>
        </w:rPr>
      </w:pPr>
      <w:r/>
      <w:bookmarkStart w:id="61" w:name="_Toc484509822"/>
      <w:r/>
      <w:bookmarkStart w:id="62" w:name="_Toc484510000"/>
      <w:r>
        <w:rPr>
          <w:rFonts w:hint="eastAsia" w:asciiTheme="minorEastAsia" w:hAnsiTheme="minorEastAsia" w:eastAsiaTheme="minorEastAsia" w:cstheme="minorEastAsia"/>
          <w:b/>
          <w:bCs/>
          <w:color w:val="auto"/>
          <w:sz w:val="21"/>
          <w:szCs w:val="21"/>
          <w:highlight w:val="none"/>
          <w:lang w:val="zh-TW" w:eastAsia="zh-TW"/>
        </w:rPr>
        <w:t xml:space="preserve">六、售后服务要求</w:t>
      </w:r>
      <w:bookmarkEnd w:id="61"/>
      <w:r/>
      <w:bookmarkEnd w:id="62"/>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1、免费质保期：自竣工验收合格之日起，布展布置制作提供不低于1年的免费维修保养；硬件设备提供原厂不低于2年免费保修（原厂高于2年的以年数高的为准）。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在规定的质量保证期内，乙方应对由于设计制作、工艺或材料的缺陷而发生的任何不足或故障负责。质保期内免费负责修理或更换有缺陷的零部件或整机并相应延长此保修期，否则，甲方可采取必要的补救措施，但风险和费用将由乙方承担；质保期满后提供有偿服务，投标文件中提供质保期内和质保期满后的质保服务措施方案。质保期过后如甲方要求需提供上门维修服务，终身维修并标明保修期后的具体维修维护事宜；服务方应在投标文件中提供详细具体的售后服务保证条款及承诺。</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3、免费保修期内需提供7×24小时响应服务，确保2小时内响应，24小时内提供解决方案，如需更换或送修，在3个工作日内解决，特殊情况甲乙双方协商解决。如遇重大活动，需提供现场技术支持和服务。</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4、乙方需至少为甲方提供一周以上时间的现场培训，保证甲方的操作人员可以熟练操作。</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63" w:name="_Toc484510001"/>
      <w:r/>
      <w:bookmarkStart w:id="64" w:name="_Toc484509823"/>
      <w:r>
        <w:rPr>
          <w:rFonts w:hint="eastAsia" w:asciiTheme="minorEastAsia" w:hAnsiTheme="minorEastAsia" w:eastAsiaTheme="minorEastAsia" w:cstheme="minorEastAsia"/>
          <w:b/>
          <w:bCs/>
          <w:color w:val="auto"/>
          <w:sz w:val="21"/>
          <w:szCs w:val="21"/>
          <w:highlight w:val="none"/>
          <w:lang w:val="zh-TW" w:eastAsia="zh-TW"/>
        </w:rPr>
        <w:t xml:space="preserve">七、其他要求</w:t>
      </w:r>
      <w:bookmarkEnd w:id="63"/>
      <w:r/>
      <w:bookmarkEnd w:id="64"/>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设备采购以中标后甲方最终确认的深化设计方案为准。乙方投标文件中列明的设备及元器件品牌、生产地、制造厂商、质量保证等必须符合相关国家标准和规范，且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TW"/>
        </w:rPr>
        <w:t xml:space="preserve">展厅设计成果、展示内容成果等项目相关成果知识产权归甲方所有。</w:t>
      </w:r>
      <w:r>
        <w:rPr>
          <w:rFonts w:hint="eastAsia" w:asciiTheme="minorEastAsia" w:hAnsiTheme="minorEastAsia" w:eastAsiaTheme="minorEastAsia" w:cstheme="minorEastAsia"/>
          <w:color w:val="auto"/>
          <w:sz w:val="21"/>
          <w:szCs w:val="21"/>
          <w:highlight w:val="none"/>
          <w:lang w:val="en-US" w:eastAsia="zh-CN"/>
        </w:rPr>
        <w:t xml:space="preserve">未经甲方同意，乙方不得擅自公开、使用、变相使用或向任何第三方透露该成果。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bookmarkStart w:id="65" w:name="_Toc484509824"/>
      <w:r/>
      <w:bookmarkStart w:id="66" w:name="_Toc484510002"/>
      <w:r>
        <w:rPr>
          <w:rFonts w:hint="eastAsia" w:asciiTheme="minorEastAsia" w:hAnsiTheme="minorEastAsia" w:eastAsiaTheme="minorEastAsia" w:cstheme="minorEastAsia"/>
          <w:b/>
          <w:bCs/>
          <w:color w:val="auto"/>
          <w:sz w:val="21"/>
          <w:szCs w:val="21"/>
          <w:highlight w:val="none"/>
          <w:lang w:val="zh-TW" w:eastAsia="zh-TW"/>
        </w:rPr>
        <w:t xml:space="preserve">八、</w:t>
      </w:r>
      <w:bookmarkEnd w:id="65"/>
      <w:r/>
      <w:bookmarkEnd w:id="66"/>
      <w:r>
        <w:rPr>
          <w:rFonts w:hint="eastAsia" w:asciiTheme="minorEastAsia" w:hAnsiTheme="minorEastAsia" w:eastAsiaTheme="minorEastAsia" w:cstheme="minorEastAsia"/>
          <w:b/>
          <w:bCs/>
          <w:color w:val="auto"/>
          <w:sz w:val="21"/>
          <w:szCs w:val="21"/>
          <w:highlight w:val="none"/>
          <w:lang w:val="en-US" w:eastAsia="zh-CN"/>
        </w:rPr>
        <w:t xml:space="preserve">安全生产、文明布展、施工与环境保护要求</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bookmarkStart w:id="67" w:name="_Toc484510003"/>
      <w:r/>
      <w:bookmarkStart w:id="68" w:name="_Toc484509825"/>
      <w:r>
        <w:rPr>
          <w:rFonts w:hint="eastAsia" w:asciiTheme="minorEastAsia" w:hAnsiTheme="minorEastAsia" w:eastAsiaTheme="minorEastAsia" w:cstheme="minorEastAsia"/>
          <w:color w:val="auto"/>
          <w:sz w:val="21"/>
          <w:szCs w:val="21"/>
          <w:highlight w:val="none"/>
          <w:lang w:val="en-US" w:eastAsia="zh-CN"/>
        </w:rPr>
        <w:t xml:space="preserve">1、在项目实施期间为确保作业区域周围环境的整洁和不影响其他活动正常进行,乙方应严格执行国家与吴江市有关安全文明施工管理的法律、法规和政策,积极主动落实安全文明及环境保护施工的管理和考核等有关工作，加强和做好安全、文明布展与施工的管理工作，并按规定承担相应的费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乙方应根据有关规范标准，严密组织，精心布展与施工，做到：①布展期间不干扰采购人其他活动正常进行，不影响自身和周边交通的需要；②无管线事故、无伤亡事故；③环境影响要最小化；④现场材料堆放整齐，生活设施清洁，周边环境文明；⑤清洁运输；⑥满足市文明工地要求，做到文明布展、安全管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3、乙方在项目实施期间，必须建立安全用电制度，确保施工用电设备的完好，并设置好漏电保护装置等，杜绝施工用电事故的发生。</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4、乙方在项目实施期间必须保护好施工区域内的环境和原有装饰与设施，保证环境和原有装饰与设施完好。</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5、乙方在组织项目实施时必须遵守采购人的规章制度并提供布展人员名单。乙方必须按施工计划协调好现场布展工作。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6、各投标人在投标文件中要结合本项目的特点和采购人上述的具体要求制定相应的文明布展和安全生产管理措施，同时应适当考虑购买自己员工的第三方责任保险。</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九、有关安全生产和防火的约定</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1、乙方在服务期间应严格遵守《中华人民共和国消防条例》、相关安装安全技术及操作规程和其它相关的法规、规范。</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2、甲方确认的图纸或作法说明，如有违反有关安全操作规程、消防条例和防火设计规范，乙方应按国家有关规定提请甲方改进并调整。</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3、由于乙方在作业生产过程中违反有关安全操作规程、消防条例，导致发生安全或火灾事故，乙方应承担由此引发的一切经济损失和法律责任。</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4、服务过程中乙方应采取相关安全措施,承担安全责任。乙方应按有关规定严格落实安全责任制度</w:t>
      </w:r>
      <w:r>
        <w:rPr>
          <w:rFonts w:hint="eastAsia" w:asciiTheme="minorEastAsia" w:hAnsiTheme="minorEastAsia" w:eastAsiaTheme="minorEastAsia" w:cstheme="minorEastAsia"/>
          <w:color w:val="auto"/>
          <w:sz w:val="21"/>
          <w:szCs w:val="21"/>
          <w:highlight w:val="none"/>
          <w:lang w:val="en-US" w:eastAsia="zh-CN"/>
        </w:rPr>
        <w:t xml:space="preserve">、安全规章制度和相关操作规程，消除安全事故隐患，及时、如实报告生产安全事故。应对施工人员进行安全教育，提供安全防护用具和安全防护服装，应为施工人员购买人身意外伤害险及工程施工有关的一切保险。应在危险区域设立明显的安全警示标志，进行定期和专项安全检查，并做好安全检查记录，对于发生在施工现场的乙方人员或任何其它人员的意外伤害或事故，或乙方人员给他人的财产或人身造成损害，均由乙方承担全部责任及产生的一切费用，给甲方造成损失的（包括但不限于民事赔偿金、行政处罚金、鉴定费、律师费、诉讼费等），甲方有权向乙方进行追偿。</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rPr>
          <w:rFonts w:hint="eastAsia" w:asciiTheme="minorEastAsia" w:hAnsiTheme="minorEastAsia" w:eastAsiaTheme="minorEastAsia" w:cstheme="minorEastAsia"/>
          <w:b/>
          <w:bCs/>
          <w:color w:val="auto"/>
          <w:sz w:val="21"/>
          <w:szCs w:val="21"/>
          <w:highlight w:val="none"/>
          <w:lang w:val="en-US" w:eastAsia="zh-CN"/>
        </w:rPr>
        <w:t xml:space="preserve">十</w:t>
      </w:r>
      <w:r>
        <w:rPr>
          <w:rFonts w:hint="eastAsia" w:asciiTheme="minorEastAsia" w:hAnsiTheme="minorEastAsia" w:eastAsiaTheme="minorEastAsia" w:cstheme="minorEastAsia"/>
          <w:b/>
          <w:bCs/>
          <w:color w:val="auto"/>
          <w:sz w:val="21"/>
          <w:szCs w:val="21"/>
          <w:highlight w:val="none"/>
          <w:lang w:val="zh-TW" w:eastAsia="zh-TW"/>
        </w:rPr>
        <w:t xml:space="preserve">、价格与支付</w:t>
      </w:r>
      <w:bookmarkEnd w:id="67"/>
      <w:r/>
      <w:bookmarkEnd w:id="68"/>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CN"/>
        </w:rPr>
        <w:t xml:space="preserve">、本合同为固定单价合同，数量按实结算。</w:t>
      </w:r>
      <w:r>
        <w:rPr>
          <w:rFonts w:hint="eastAsia" w:asciiTheme="minorEastAsia" w:hAnsiTheme="minorEastAsia" w:eastAsiaTheme="minorEastAsia" w:cstheme="minorEastAsia"/>
          <w:color w:val="auto"/>
          <w:sz w:val="21"/>
          <w:szCs w:val="21"/>
          <w:highlight w:val="none"/>
          <w:lang w:val="zh-TW" w:eastAsia="zh-TW"/>
        </w:rPr>
        <w:t xml:space="preserve">合同总金额为人民币</w:t>
      </w:r>
      <w:r>
        <w:rPr>
          <w:rFonts w:hint="eastAsia" w:asciiTheme="minorEastAsia" w:hAnsiTheme="minorEastAsia" w:eastAsiaTheme="minorEastAsia" w:cstheme="minorEastAsia"/>
          <w:color w:val="auto"/>
          <w:sz w:val="21"/>
          <w:szCs w:val="21"/>
          <w:highlight w:val="none"/>
          <w:u w:val="single"/>
          <w:lang w:val="zh-TW" w:eastAsia="zh-TW"/>
        </w:rPr>
        <w:t xml:space="preserve">    </w:t>
      </w:r>
      <w:r>
        <w:rPr>
          <w:rFonts w:hint="eastAsia" w:asciiTheme="minorEastAsia" w:hAnsiTheme="minorEastAsia" w:eastAsiaTheme="minorEastAsia" w:cstheme="minorEastAsia"/>
          <w:color w:val="auto"/>
          <w:sz w:val="21"/>
          <w:szCs w:val="21"/>
          <w:highlight w:val="none"/>
          <w:lang w:val="zh-TW" w:eastAsia="zh-TW"/>
        </w:rPr>
        <w:t xml:space="preserve">（￥</w:t>
      </w:r>
      <w:r>
        <w:rPr>
          <w:rFonts w:hint="eastAsia" w:asciiTheme="minorEastAsia" w:hAnsiTheme="minorEastAsia" w:eastAsiaTheme="minorEastAsia" w:cstheme="minorEastAsia"/>
          <w:color w:val="auto"/>
          <w:sz w:val="21"/>
          <w:szCs w:val="21"/>
          <w:highlight w:val="none"/>
          <w:u w:val="single"/>
          <w:lang w:val="zh-TW" w:eastAsia="zh-TW"/>
        </w:rPr>
        <w:t xml:space="preserve">    </w:t>
      </w:r>
      <w:r>
        <w:rPr>
          <w:rFonts w:hint="eastAsia" w:asciiTheme="minorEastAsia" w:hAnsiTheme="minorEastAsia" w:eastAsiaTheme="minorEastAsia" w:cstheme="minorEastAsia"/>
          <w:color w:val="auto"/>
          <w:sz w:val="21"/>
          <w:szCs w:val="21"/>
          <w:highlight w:val="none"/>
          <w:lang w:val="zh-TW" w:eastAsia="zh-TW"/>
        </w:rPr>
        <w:t xml:space="preserve">元）</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合同总价</w:t>
      </w:r>
      <w:r>
        <w:rPr>
          <w:rFonts w:hint="eastAsia" w:asciiTheme="minorEastAsia" w:hAnsiTheme="minorEastAsia" w:eastAsiaTheme="minorEastAsia" w:cstheme="minorEastAsia"/>
          <w:color w:val="auto"/>
          <w:sz w:val="21"/>
          <w:szCs w:val="21"/>
          <w:highlight w:val="none"/>
          <w:lang w:val="en-US" w:eastAsia="zh-CN"/>
        </w:rPr>
        <w:t xml:space="preserve">包括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除非因特殊原因并经买卖双方协商同意，乙方不得再要求追加任何费用，同时，除非合同条款中另有规定，否则，乙方所报价格在合同实施期间不因市场变化因素而变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付款步骤：</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TW" w:eastAsia="zh-CN"/>
        </w:rPr>
        <w:t xml:space="preserve">合同签订生效，乙方工作人员进场后十五个工作日内，甲方支付合同总金额的50%；项目设计制作布展布置全部完成并安装调试竣工验收合格后十五个工作日内，甲方再次支付至合同总金额的90%；项目经审计单位审计后，甲方向乙方支付至审计后总金额的95%；剩余款项在免费保修期满后十五个工作日内支付。</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TW" w:eastAsia="zh-TW"/>
        </w:rPr>
        <w:t xml:space="preserve">．付款方式：银行转帐。</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69" w:name="_Toc484510005"/>
      <w:r>
        <w:rPr>
          <w:rFonts w:hint="eastAsia" w:asciiTheme="minorEastAsia" w:hAnsiTheme="minorEastAsia" w:eastAsiaTheme="minorEastAsia" w:cstheme="minorEastAsia"/>
          <w:b/>
          <w:bCs/>
          <w:color w:val="auto"/>
          <w:sz w:val="21"/>
          <w:szCs w:val="21"/>
          <w:highlight w:val="none"/>
          <w:lang w:val="zh-TW" w:eastAsia="zh-TW"/>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一</w:t>
      </w:r>
      <w:r>
        <w:rPr>
          <w:rFonts w:hint="eastAsia" w:asciiTheme="minorEastAsia" w:hAnsiTheme="minorEastAsia" w:eastAsiaTheme="minorEastAsia" w:cstheme="minorEastAsia"/>
          <w:b/>
          <w:bCs/>
          <w:color w:val="auto"/>
          <w:sz w:val="21"/>
          <w:szCs w:val="21"/>
          <w:highlight w:val="none"/>
          <w:lang w:val="zh-TW" w:eastAsia="zh-TW"/>
        </w:rPr>
        <w:t xml:space="preserve">、双方的责任及义务</w:t>
      </w:r>
      <w:bookmarkEnd w:id="69"/>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、甲方的责任与义务</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 </w:t>
      </w:r>
      <w:r>
        <w:rPr>
          <w:rFonts w:hint="eastAsia" w:asciiTheme="minorEastAsia" w:hAnsiTheme="minorEastAsia" w:eastAsiaTheme="minorEastAsia" w:cstheme="minorEastAsia"/>
          <w:color w:val="auto"/>
          <w:sz w:val="21"/>
          <w:szCs w:val="21"/>
          <w:highlight w:val="none"/>
          <w:lang w:val="zh-TW" w:eastAsia="zh-TW"/>
        </w:rPr>
        <w:t xml:space="preserve">按照合同规定拨付项目费用。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 </w:t>
      </w:r>
      <w:r>
        <w:rPr>
          <w:rFonts w:hint="eastAsia" w:asciiTheme="minorEastAsia" w:hAnsiTheme="minorEastAsia" w:eastAsiaTheme="minorEastAsia" w:cstheme="minorEastAsia"/>
          <w:color w:val="auto"/>
          <w:sz w:val="21"/>
          <w:szCs w:val="21"/>
          <w:highlight w:val="none"/>
          <w:lang w:val="zh-TW" w:eastAsia="zh-TW"/>
        </w:rPr>
        <w:t xml:space="preserve">提供技术要求及规范。</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 </w:t>
      </w:r>
      <w:r>
        <w:rPr>
          <w:rFonts w:hint="eastAsia" w:asciiTheme="minorEastAsia" w:hAnsiTheme="minorEastAsia" w:eastAsiaTheme="minorEastAsia" w:cstheme="minorEastAsia"/>
          <w:color w:val="auto"/>
          <w:sz w:val="21"/>
          <w:szCs w:val="21"/>
          <w:highlight w:val="none"/>
          <w:lang w:val="zh-TW" w:eastAsia="zh-TW"/>
        </w:rPr>
        <w:t xml:space="preserve">审定乙方技术方案及履行合同情况。</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 </w:t>
      </w:r>
      <w:r>
        <w:rPr>
          <w:rFonts w:hint="eastAsia" w:asciiTheme="minorEastAsia" w:hAnsiTheme="minorEastAsia" w:eastAsiaTheme="minorEastAsia" w:cstheme="minorEastAsia"/>
          <w:color w:val="auto"/>
          <w:sz w:val="21"/>
          <w:szCs w:val="21"/>
          <w:highlight w:val="none"/>
          <w:lang w:val="zh-TW" w:eastAsia="zh-TW"/>
        </w:rPr>
        <w:t xml:space="preserve">对乙方承担的项目进行验收。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 </w:t>
      </w:r>
      <w:r>
        <w:rPr>
          <w:rFonts w:hint="eastAsia" w:asciiTheme="minorEastAsia" w:hAnsiTheme="minorEastAsia" w:eastAsiaTheme="minorEastAsia" w:cstheme="minorEastAsia"/>
          <w:color w:val="auto"/>
          <w:sz w:val="21"/>
          <w:szCs w:val="21"/>
          <w:highlight w:val="none"/>
          <w:lang w:val="zh-TW" w:eastAsia="zh-TW"/>
        </w:rPr>
        <w:t xml:space="preserve">协助处理与各权属单位关系及有关职能部门的关系，以便于服务工作的顺利进行。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TW"/>
        </w:rPr>
        <w:t xml:space="preserve">、甲方违约责任</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w:t>
      </w:r>
      <w:r>
        <w:rPr>
          <w:rFonts w:hint="eastAsia" w:asciiTheme="minorEastAsia" w:hAnsiTheme="minorEastAsia" w:eastAsiaTheme="minorEastAsia" w:cstheme="minorEastAsia"/>
          <w:color w:val="auto"/>
          <w:sz w:val="21"/>
          <w:szCs w:val="21"/>
          <w:highlight w:val="none"/>
          <w:lang w:val="zh-TW" w:eastAsia="zh-TW"/>
        </w:rPr>
        <w:t xml:space="preserve">甲方未按合同的约定支付项目款给乙方或未给乙方提供合同约定的必要工作条件而造成停窝工时，工期顺延。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TW" w:eastAsia="zh-TW"/>
        </w:rPr>
        <w:t xml:space="preserve">、乙方的责任与义务</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3.1 </w:t>
      </w:r>
      <w:r>
        <w:rPr>
          <w:rFonts w:hint="eastAsia" w:asciiTheme="minorEastAsia" w:hAnsiTheme="minorEastAsia" w:eastAsiaTheme="minorEastAsia" w:cstheme="minorEastAsia"/>
          <w:color w:val="auto"/>
          <w:sz w:val="21"/>
          <w:szCs w:val="21"/>
          <w:highlight w:val="none"/>
          <w:lang w:val="zh-TW" w:eastAsia="zh-TW"/>
        </w:rPr>
        <w:t xml:space="preserve">乙方应自己负责实施合同期间其工作人员的食宿、通讯、差旅、交通、水电、资料收集以及用工器具的搬迁等一切费用。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3.2 </w:t>
      </w:r>
      <w:r>
        <w:rPr>
          <w:rFonts w:hint="eastAsia" w:asciiTheme="minorEastAsia" w:hAnsiTheme="minorEastAsia" w:eastAsiaTheme="minorEastAsia" w:cstheme="minorEastAsia"/>
          <w:color w:val="auto"/>
          <w:sz w:val="21"/>
          <w:szCs w:val="21"/>
          <w:highlight w:val="none"/>
          <w:lang w:val="zh-TW" w:eastAsia="zh-TW"/>
        </w:rPr>
        <w:t xml:space="preserve">乙方须维护甲方的基础资料及成果，不得转让给第三方重复使用。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3.3</w:t>
      </w:r>
      <w:r>
        <w:rPr>
          <w:rFonts w:hint="eastAsia" w:asciiTheme="minorEastAsia" w:hAnsiTheme="minorEastAsia" w:eastAsiaTheme="minorEastAsia" w:cstheme="minorEastAsia"/>
          <w:color w:val="auto"/>
          <w:sz w:val="21"/>
          <w:szCs w:val="21"/>
          <w:highlight w:val="none"/>
          <w:lang w:val="zh-TW" w:eastAsia="zh-TW"/>
        </w:rPr>
        <w:t xml:space="preserve">乙方</w:t>
      </w:r>
      <w:r>
        <w:rPr>
          <w:rFonts w:hint="eastAsia" w:asciiTheme="minorEastAsia" w:hAnsiTheme="minorEastAsia" w:eastAsiaTheme="minorEastAsia" w:cstheme="minorEastAsia"/>
          <w:color w:val="auto"/>
          <w:sz w:val="21"/>
          <w:szCs w:val="21"/>
          <w:highlight w:val="none"/>
          <w:lang w:val="zh-TW" w:eastAsia="zh-CN"/>
        </w:rPr>
        <w:t xml:space="preserve">响应文件</w:t>
      </w:r>
      <w:r>
        <w:rPr>
          <w:rFonts w:hint="eastAsia" w:asciiTheme="minorEastAsia" w:hAnsiTheme="minorEastAsia" w:eastAsiaTheme="minorEastAsia" w:cstheme="minorEastAsia"/>
          <w:color w:val="auto"/>
          <w:sz w:val="21"/>
          <w:szCs w:val="21"/>
          <w:highlight w:val="none"/>
          <w:lang w:val="zh-TW" w:eastAsia="zh-TW"/>
        </w:rPr>
        <w:t xml:space="preserve">中明确的项目组人员、设备与进场作业人员、设备应该一致，乙方不得随意更换，如发现未经甲方许可随意更换主要技术人员及设备，按乙方违约处理。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3.4</w:t>
      </w:r>
      <w:r>
        <w:rPr>
          <w:rFonts w:hint="eastAsia" w:asciiTheme="minorEastAsia" w:hAnsiTheme="minorEastAsia" w:eastAsiaTheme="minorEastAsia" w:cstheme="minorEastAsia"/>
          <w:color w:val="auto"/>
          <w:sz w:val="21"/>
          <w:szCs w:val="21"/>
          <w:highlight w:val="none"/>
          <w:lang w:val="zh-TW" w:eastAsia="zh-TW"/>
        </w:rPr>
        <w:t xml:space="preserve">乙方人员进场，需持有身份证，职称证书复印件，经与标书核对无误，方能上岗工作，人员变动，需法定代表人签字，阐明变动原因，并需经甲方同意。</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3.5</w:t>
      </w:r>
      <w:r>
        <w:rPr>
          <w:rFonts w:hint="eastAsia" w:asciiTheme="minorEastAsia" w:hAnsiTheme="minorEastAsia" w:eastAsiaTheme="minorEastAsia" w:cstheme="minorEastAsia"/>
          <w:color w:val="auto"/>
          <w:sz w:val="21"/>
          <w:szCs w:val="21"/>
          <w:highlight w:val="none"/>
          <w:lang w:val="zh-TW" w:eastAsia="zh-TW"/>
        </w:rPr>
        <w:t xml:space="preserve">乙方应根据甲方的要求，以及规范、规程等进行项目的实施。</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3.6</w:t>
      </w:r>
      <w:r>
        <w:rPr>
          <w:rFonts w:hint="eastAsia" w:asciiTheme="minorEastAsia" w:hAnsiTheme="minorEastAsia" w:eastAsiaTheme="minorEastAsia" w:cstheme="minorEastAsia"/>
          <w:color w:val="auto"/>
          <w:sz w:val="21"/>
          <w:szCs w:val="21"/>
          <w:highlight w:val="none"/>
          <w:lang w:val="zh-TW" w:eastAsia="zh-TW"/>
        </w:rPr>
        <w:t xml:space="preserve">验收费用包含在合同总价之内。</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3.7</w:t>
      </w:r>
      <w:r>
        <w:rPr>
          <w:rFonts w:hint="eastAsia" w:asciiTheme="minorEastAsia" w:hAnsiTheme="minorEastAsia" w:eastAsiaTheme="minorEastAsia" w:cstheme="minorEastAsia"/>
          <w:color w:val="auto"/>
          <w:sz w:val="21"/>
          <w:szCs w:val="21"/>
          <w:highlight w:val="none"/>
          <w:lang w:val="zh-TW" w:eastAsia="zh-TW"/>
        </w:rPr>
        <w:t xml:space="preserve">乙方自行承担合同实施期间其人员的人身安全、仪器设备的使用正常及其一切可能产生的后果。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TW" w:eastAsia="zh-TW"/>
        </w:rPr>
        <w:t xml:space="preserve">、乙方违约责任</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4.1</w:t>
      </w:r>
      <w:r>
        <w:rPr>
          <w:rFonts w:hint="eastAsia" w:asciiTheme="minorEastAsia" w:hAnsiTheme="minorEastAsia" w:eastAsiaTheme="minorEastAsia" w:cstheme="minorEastAsia"/>
          <w:color w:val="auto"/>
          <w:sz w:val="21"/>
          <w:szCs w:val="21"/>
          <w:highlight w:val="none"/>
          <w:lang w:val="zh-TW" w:eastAsia="zh-TW"/>
        </w:rPr>
        <w:t xml:space="preserve">乙方需保证施工区设备、人员的数量和工作进度，由于乙方自身原因而导致工期延误的，每拖延一天将扣除</w:t>
      </w:r>
      <w:r>
        <w:rPr>
          <w:rFonts w:hint="eastAsia" w:asciiTheme="minorEastAsia" w:hAnsiTheme="minorEastAsia" w:eastAsiaTheme="minorEastAsia" w:cstheme="minorEastAsia"/>
          <w:color w:val="auto"/>
          <w:sz w:val="21"/>
          <w:szCs w:val="21"/>
          <w:highlight w:val="none"/>
          <w:lang w:val="en-US" w:eastAsia="zh-CN"/>
        </w:rPr>
        <w:t xml:space="preserve">0.1%</w:t>
      </w:r>
      <w:r>
        <w:rPr>
          <w:rFonts w:hint="eastAsia" w:asciiTheme="minorEastAsia" w:hAnsiTheme="minorEastAsia" w:eastAsiaTheme="minorEastAsia" w:cstheme="minorEastAsia"/>
          <w:color w:val="auto"/>
          <w:sz w:val="21"/>
          <w:szCs w:val="21"/>
          <w:highlight w:val="none"/>
          <w:lang w:val="zh-TW" w:eastAsia="zh-TW"/>
        </w:rPr>
        <w:t xml:space="preserve">项目款，拖延时间超过</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lang w:val="zh-TW" w:eastAsia="zh-TW"/>
        </w:rPr>
        <w:t xml:space="preserve">天的，甲方有权解除合同，并要求乙方赔偿合同总金额</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lang w:val="zh-TW" w:eastAsia="zh-TW"/>
        </w:rPr>
        <w:t xml:space="preserve">的误工等损失；</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4.2</w:t>
      </w:r>
      <w:r>
        <w:rPr>
          <w:rFonts w:hint="eastAsia" w:asciiTheme="minorEastAsia" w:hAnsiTheme="minorEastAsia" w:eastAsiaTheme="minorEastAsia" w:cstheme="minorEastAsia"/>
          <w:color w:val="auto"/>
          <w:sz w:val="21"/>
          <w:szCs w:val="21"/>
          <w:highlight w:val="none"/>
          <w:lang w:val="zh-TW" w:eastAsia="zh-TW"/>
        </w:rPr>
        <w:t xml:space="preserve">乙方未派任</w:t>
      </w:r>
      <w:r>
        <w:rPr>
          <w:rFonts w:hint="eastAsia" w:asciiTheme="minorEastAsia" w:hAnsiTheme="minorEastAsia" w:eastAsiaTheme="minorEastAsia" w:cstheme="minorEastAsia"/>
          <w:color w:val="auto"/>
          <w:sz w:val="21"/>
          <w:szCs w:val="21"/>
          <w:highlight w:val="none"/>
          <w:lang w:val="zh-TW" w:eastAsia="zh-CN"/>
        </w:rPr>
        <w:t xml:space="preserve">响应文件</w:t>
      </w:r>
      <w:r>
        <w:rPr>
          <w:rFonts w:hint="eastAsia" w:asciiTheme="minorEastAsia" w:hAnsiTheme="minorEastAsia" w:eastAsiaTheme="minorEastAsia" w:cstheme="minorEastAsia"/>
          <w:color w:val="auto"/>
          <w:sz w:val="21"/>
          <w:szCs w:val="21"/>
          <w:highlight w:val="none"/>
          <w:lang w:val="zh-TW" w:eastAsia="zh-TW"/>
        </w:rPr>
        <w:t xml:space="preserve">中提供的主要技术人员进场作业，或主要技术人员相关职称证书及其主持承办的重大项目相关证明为假的，从而造成服务质量无法保证的情况，甲方有权终止合同。 </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4.3</w:t>
      </w:r>
      <w:r>
        <w:rPr>
          <w:rFonts w:hint="eastAsia" w:asciiTheme="minorEastAsia" w:hAnsiTheme="minorEastAsia" w:eastAsiaTheme="minorEastAsia" w:cstheme="minorEastAsia"/>
          <w:color w:val="auto"/>
          <w:sz w:val="21"/>
          <w:szCs w:val="21"/>
          <w:highlight w:val="none"/>
          <w:lang w:val="zh-TW" w:eastAsia="zh-TW"/>
        </w:rPr>
        <w:t xml:space="preserve">乙方必须保证进场作业人员不低于</w:t>
      </w:r>
      <w:r>
        <w:rPr>
          <w:rFonts w:hint="eastAsia" w:asciiTheme="minorEastAsia" w:hAnsiTheme="minorEastAsia" w:eastAsiaTheme="minorEastAsia" w:cstheme="minorEastAsia"/>
          <w:color w:val="auto"/>
          <w:sz w:val="21"/>
          <w:szCs w:val="21"/>
          <w:highlight w:val="none"/>
          <w:lang w:val="zh-TW" w:eastAsia="zh-CN"/>
        </w:rPr>
        <w:t xml:space="preserve">采购文件</w:t>
      </w:r>
      <w:r>
        <w:rPr>
          <w:rFonts w:hint="eastAsia" w:asciiTheme="minorEastAsia" w:hAnsiTheme="minorEastAsia" w:eastAsiaTheme="minorEastAsia" w:cstheme="minorEastAsia"/>
          <w:color w:val="auto"/>
          <w:sz w:val="21"/>
          <w:szCs w:val="21"/>
          <w:highlight w:val="none"/>
          <w:lang w:val="zh-TW" w:eastAsia="zh-TW"/>
        </w:rPr>
        <w:t xml:space="preserve">的要求；投标单位在投标文件中的承诺，经考虑确定的</w:t>
      </w:r>
      <w:r>
        <w:rPr>
          <w:rFonts w:hint="eastAsia" w:asciiTheme="minorEastAsia" w:hAnsiTheme="minorEastAsia" w:eastAsiaTheme="minorEastAsia" w:cstheme="minorEastAsia"/>
          <w:color w:val="auto"/>
          <w:sz w:val="21"/>
          <w:szCs w:val="21"/>
          <w:highlight w:val="none"/>
          <w:lang w:val="zh-TW" w:eastAsia="zh-CN"/>
        </w:rPr>
        <w:t xml:space="preserve">项目经理及主要负责人</w:t>
      </w:r>
      <w:r>
        <w:rPr>
          <w:rFonts w:hint="eastAsia" w:asciiTheme="minorEastAsia" w:hAnsiTheme="minorEastAsia" w:eastAsiaTheme="minorEastAsia" w:cstheme="minorEastAsia"/>
          <w:color w:val="auto"/>
          <w:sz w:val="21"/>
          <w:szCs w:val="21"/>
          <w:highlight w:val="none"/>
          <w:lang w:val="zh-TW" w:eastAsia="zh-TW"/>
        </w:rPr>
        <w:t xml:space="preserve">不得</w:t>
      </w:r>
      <w:r>
        <w:rPr>
          <w:rFonts w:hint="eastAsia" w:asciiTheme="minorEastAsia" w:hAnsiTheme="minorEastAsia" w:eastAsiaTheme="minorEastAsia" w:cstheme="minorEastAsia"/>
          <w:color w:val="auto"/>
          <w:sz w:val="21"/>
          <w:szCs w:val="21"/>
          <w:highlight w:val="none"/>
          <w:lang w:val="en-US" w:eastAsia="zh-CN"/>
        </w:rPr>
        <w:t xml:space="preserve">随意</w:t>
      </w:r>
      <w:r>
        <w:rPr>
          <w:rFonts w:hint="eastAsia" w:asciiTheme="minorEastAsia" w:hAnsiTheme="minorEastAsia" w:eastAsiaTheme="minorEastAsia" w:cstheme="minorEastAsia"/>
          <w:color w:val="auto"/>
          <w:sz w:val="21"/>
          <w:szCs w:val="21"/>
          <w:highlight w:val="none"/>
          <w:lang w:val="zh-TW" w:eastAsia="zh-TW"/>
        </w:rPr>
        <w:t xml:space="preserve">更换</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如果遇到特殊情况需要更换</w:t>
      </w:r>
      <w:r>
        <w:rPr>
          <w:rFonts w:hint="eastAsia" w:asciiTheme="minorEastAsia" w:hAnsiTheme="minorEastAsia" w:eastAsiaTheme="minorEastAsia" w:cstheme="minorEastAsia"/>
          <w:color w:val="auto"/>
          <w:sz w:val="21"/>
          <w:szCs w:val="21"/>
          <w:highlight w:val="none"/>
          <w:lang w:val="zh-TW" w:eastAsia="zh-CN"/>
        </w:rPr>
        <w:t xml:space="preserve">项目经理及主要负责人</w:t>
      </w:r>
      <w:r>
        <w:rPr>
          <w:rFonts w:hint="eastAsia" w:asciiTheme="minorEastAsia" w:hAnsiTheme="minorEastAsia" w:eastAsiaTheme="minorEastAsia" w:cstheme="minorEastAsia"/>
          <w:color w:val="auto"/>
          <w:sz w:val="21"/>
          <w:szCs w:val="21"/>
          <w:highlight w:val="none"/>
          <w:lang w:val="zh-TW" w:eastAsia="zh-TW"/>
        </w:rPr>
        <w:t xml:space="preserve">，必须得到</w:t>
      </w:r>
      <w:r>
        <w:rPr>
          <w:rFonts w:hint="eastAsia" w:asciiTheme="minorEastAsia" w:hAnsiTheme="minorEastAsia" w:eastAsiaTheme="minorEastAsia" w:cstheme="minorEastAsia"/>
          <w:color w:val="auto"/>
          <w:sz w:val="21"/>
          <w:szCs w:val="21"/>
          <w:highlight w:val="none"/>
          <w:lang w:val="en-US" w:eastAsia="zh-CN"/>
        </w:rPr>
        <w:t xml:space="preserve">甲方</w:t>
      </w:r>
      <w:r>
        <w:rPr>
          <w:rFonts w:hint="eastAsia" w:asciiTheme="minorEastAsia" w:hAnsiTheme="minorEastAsia" w:eastAsiaTheme="minorEastAsia" w:cstheme="minorEastAsia"/>
          <w:color w:val="auto"/>
          <w:sz w:val="21"/>
          <w:szCs w:val="21"/>
          <w:highlight w:val="none"/>
          <w:lang w:val="zh-TW" w:eastAsia="zh-TW"/>
        </w:rPr>
        <w:t xml:space="preserve">同意。</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CN"/>
        </w:rPr>
      </w:pPr>
      <w:r>
        <w:rPr>
          <w:rFonts w:hint="eastAsia" w:asciiTheme="minorEastAsia" w:hAnsiTheme="minorEastAsia" w:eastAsiaTheme="minorEastAsia" w:cstheme="minorEastAsia"/>
          <w:color w:val="auto"/>
          <w:sz w:val="21"/>
          <w:szCs w:val="21"/>
          <w:highlight w:val="none"/>
          <w:lang w:val="en-US" w:eastAsia="zh-CN"/>
        </w:rPr>
        <w:t xml:space="preserve">4.4</w:t>
      </w:r>
      <w:r>
        <w:rPr>
          <w:rFonts w:hint="eastAsia" w:asciiTheme="minorEastAsia" w:hAnsiTheme="minorEastAsia" w:eastAsiaTheme="minorEastAsia" w:cstheme="minorEastAsia"/>
          <w:color w:val="auto"/>
          <w:sz w:val="21"/>
          <w:szCs w:val="21"/>
          <w:highlight w:val="none"/>
          <w:lang w:val="zh-TW" w:eastAsia="zh-TW"/>
        </w:rPr>
        <w:t xml:space="preserve">由于乙方原因，未按合同时间提供成果文件和图纸资料时，每逾期一天，乙方应按项目总额的</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偿付给甲方逾期违约金</w:t>
      </w:r>
      <w:r>
        <w:rPr>
          <w:rFonts w:hint="eastAsia" w:asciiTheme="minorEastAsia" w:hAnsiTheme="minorEastAsia" w:eastAsiaTheme="minorEastAsia" w:cstheme="minorEastAsia"/>
          <w:color w:val="auto"/>
          <w:sz w:val="21"/>
          <w:szCs w:val="21"/>
          <w:highlight w:val="none"/>
          <w:lang w:val="zh-TW" w:eastAsia="zh-CN"/>
        </w:rPr>
        <w:t xml:space="preserve">。</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4.5</w:t>
      </w:r>
      <w:r>
        <w:rPr>
          <w:rFonts w:hint="eastAsia" w:asciiTheme="minorEastAsia" w:hAnsiTheme="minorEastAsia" w:eastAsiaTheme="minorEastAsia" w:cstheme="minorEastAsia"/>
          <w:color w:val="auto"/>
          <w:sz w:val="21"/>
          <w:szCs w:val="21"/>
          <w:highlight w:val="none"/>
          <w:lang w:val="zh-TW" w:eastAsia="zh-TW"/>
        </w:rPr>
        <w:t xml:space="preserve">乙方所供</w:t>
      </w:r>
      <w:r>
        <w:rPr>
          <w:rFonts w:hint="eastAsia" w:asciiTheme="minorEastAsia" w:hAnsiTheme="minorEastAsia" w:eastAsiaTheme="minorEastAsia" w:cstheme="minorEastAsia"/>
          <w:color w:val="auto"/>
          <w:sz w:val="21"/>
          <w:szCs w:val="21"/>
          <w:highlight w:val="none"/>
          <w:lang w:val="en-US" w:eastAsia="zh-CN"/>
        </w:rPr>
        <w:t xml:space="preserve">设备等产品</w:t>
      </w:r>
      <w:r>
        <w:rPr>
          <w:rFonts w:hint="eastAsia" w:asciiTheme="minorEastAsia" w:hAnsiTheme="minorEastAsia" w:eastAsiaTheme="minorEastAsia" w:cstheme="minorEastAsia"/>
          <w:color w:val="auto"/>
          <w:sz w:val="21"/>
          <w:szCs w:val="21"/>
          <w:highlight w:val="none"/>
          <w:lang w:val="zh-TW" w:eastAsia="zh-TW"/>
        </w:rPr>
        <w:t xml:space="preserve">不符合合同要求、国家规范或为假冒伪劣产品的，甲方有权拒收、退货，并可选择要求更换合格货物或直接解除合同，甲方要求更换合格货物的，乙方除应按要求更换外，还应按本合同总金额的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val="zh-TW" w:eastAsia="zh-TW"/>
        </w:rPr>
        <w:t xml:space="preserve">%支付违约金，甲方解除合同的，乙方应按本合同总金额的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lang w:val="zh-TW" w:eastAsia="zh-TW"/>
        </w:rPr>
        <w:t xml:space="preserve">%支付违约金</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4.6未经甲方允许，乙方不得以任何方式将本项目分包、转包、委托、挂靠给第三方实施，否则视为乙方严重违约，甲方有权解除本合同。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4.7乙方未履行、未充分履行合同约定的其他乙方义务的，每发生一次应按合同总价款的5%支付违约金，在甲方书面催告的期限内仍不纠正的，甲方有权解除本合同。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4.8乙方无合同或法律依据单方面解除合同或甲方因乙方违约而解除合同的，乙方除应退还甲方已付款项外，还应向甲方支付合同总金额10％的违约金。违约金不足以弥补甲方损失的，乙方应予以补足。</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4.9乙方应赔偿甲方的损失、支付给甲方的违约金以及其它根据本合同应支付给甲方的费用，甲方有权直接从未支付款项中予以扣除，不足部分有权要求乙方补足。</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4.10甲方因乙方违约产生的损失（包括但不限于律师费、诉讼费、鉴定费、保全费、保全担保费、已付款利息等一切甲方因此额外支出的费用）等，均由乙方承担</w:t>
      </w:r>
      <w:r>
        <w:rPr>
          <w:rFonts w:hint="eastAsia" w:asciiTheme="minorEastAsia" w:hAnsiTheme="minorEastAsia" w:eastAsiaTheme="minorEastAsia" w:cstheme="minorEastAsia"/>
          <w:color w:val="auto"/>
          <w:sz w:val="21"/>
          <w:szCs w:val="21"/>
          <w:highlight w:val="none"/>
          <w:lang w:val="zh-TW" w:eastAsia="zh-TW"/>
        </w:rPr>
        <w:t xml:space="preserve">。</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70" w:name="_Toc484510006"/>
      <w:r>
        <w:rPr>
          <w:rFonts w:hint="eastAsia" w:asciiTheme="minorEastAsia" w:hAnsiTheme="minorEastAsia" w:eastAsiaTheme="minorEastAsia" w:cstheme="minorEastAsia"/>
          <w:b/>
          <w:bCs/>
          <w:color w:val="auto"/>
          <w:sz w:val="21"/>
          <w:szCs w:val="21"/>
          <w:highlight w:val="none"/>
          <w:lang w:val="zh-TW" w:eastAsia="zh-TW"/>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二</w:t>
      </w:r>
      <w:r>
        <w:rPr>
          <w:rFonts w:hint="eastAsia" w:asciiTheme="minorEastAsia" w:hAnsiTheme="minorEastAsia" w:eastAsiaTheme="minorEastAsia" w:cstheme="minorEastAsia"/>
          <w:b/>
          <w:bCs/>
          <w:color w:val="auto"/>
          <w:sz w:val="21"/>
          <w:szCs w:val="21"/>
          <w:highlight w:val="none"/>
          <w:lang w:val="zh-TW" w:eastAsia="zh-TW"/>
        </w:rPr>
        <w:t xml:space="preserve">、</w:t>
      </w:r>
      <w:bookmarkEnd w:id="70"/>
      <w:r/>
      <w:bookmarkStart w:id="71" w:name="_Toc484510007"/>
      <w:r>
        <w:rPr>
          <w:rFonts w:hint="eastAsia" w:asciiTheme="minorEastAsia" w:hAnsiTheme="minorEastAsia" w:eastAsiaTheme="minorEastAsia" w:cstheme="minorEastAsia"/>
          <w:b/>
          <w:bCs/>
          <w:color w:val="auto"/>
          <w:sz w:val="21"/>
          <w:szCs w:val="21"/>
          <w:highlight w:val="none"/>
          <w:lang w:val="zh-TW" w:eastAsia="zh-TW"/>
        </w:rPr>
        <w:t xml:space="preserve">索赔</w:t>
      </w:r>
      <w:bookmarkEnd w:id="71"/>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在本合同规定的检验期和质量保证期内，如果乙方对甲方提出的索赔或差异有责任，则乙方应按甲方同意的方式解决索赔事宜；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72" w:name="_Toc484510008"/>
      <w:r>
        <w:rPr>
          <w:rFonts w:hint="eastAsia" w:asciiTheme="minorEastAsia" w:hAnsiTheme="minorEastAsia" w:eastAsiaTheme="minorEastAsia" w:cstheme="minorEastAsia"/>
          <w:b/>
          <w:bCs/>
          <w:color w:val="auto"/>
          <w:sz w:val="21"/>
          <w:szCs w:val="21"/>
          <w:highlight w:val="none"/>
          <w:lang w:val="zh-TW" w:eastAsia="zh-TW"/>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lang w:val="zh-TW" w:eastAsia="zh-TW"/>
        </w:rPr>
        <w:t xml:space="preserve">、不可抗力</w:t>
      </w:r>
      <w:bookmarkEnd w:id="72"/>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2、合同一方因不可抗力不能履行合同的，应当及时书面通知对方，以减轻可能给对方造成的损失，并应当在合理期限内提供证明。</w:t>
      </w:r>
      <w:r>
        <w:rPr>
          <w:rFonts w:hint="eastAsia" w:asciiTheme="minorEastAsia" w:hAnsiTheme="minorEastAsia" w:eastAsiaTheme="minorEastAsia" w:cstheme="minorEastAsia"/>
          <w:color w:val="auto"/>
          <w:sz w:val="21"/>
          <w:szCs w:val="21"/>
          <w:highlight w:val="none"/>
          <w:lang w:val="zh-TW" w:eastAsia="zh-TW"/>
        </w:rPr>
        <w:t xml:space="preserve">一旦不可抗力事故的影响持续</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lang w:val="zh-TW" w:eastAsia="zh-TW"/>
        </w:rPr>
        <w:t xml:space="preserve">天以上，双方应通过友好协商在合理的时间内达成进一步履行合同的协议。</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十四、</w:t>
      </w:r>
      <w:r>
        <w:rPr>
          <w:rFonts w:hint="eastAsia" w:asciiTheme="minorEastAsia" w:hAnsiTheme="minorEastAsia" w:eastAsiaTheme="minorEastAsia" w:cstheme="minorEastAsia"/>
          <w:b/>
          <w:bCs/>
          <w:color w:val="auto"/>
          <w:sz w:val="21"/>
          <w:szCs w:val="21"/>
          <w:highlight w:val="none"/>
          <w:lang w:val="zh-CN" w:eastAsia="zh-CN"/>
        </w:rPr>
        <w:t xml:space="preserve">合同的解除和转让</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（一）合同的解除</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1、甲方和乙方协商一致，可以解除合同；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2、有下列情形之一，合同一方可以解除合同：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2.1 因不可抗力致使不能实现合同目的，未受不可抗力影响的一方有权解除合同；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2.2 因合同一方违约导致合同不能履行，另一方有权解除合同；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3、有权解除合同的一方，应当在违约事实或不可抗力发生之后三十天内书面通知对方以主张解除合同，合同在书面通知到达对方时解除。合同首部当事人联系方式和联系信息适用于双方往来联系、书面文件送达及争议解决时法律文书送达。因首部联系方式和联系信息错误、变更后没有及时告知或当事人拒收等原因导致无法送达的，自交邮后第3日视为送达。</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（二）合同的转让</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 合同的部分和全部都不得转让。</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zh-CN" w:eastAsia="zh-CN"/>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lang w:val="zh-CN"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合同生效及其它：</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（一）合同经甲乙双方签字并加盖公章后生效。</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二）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（三）合同在执行过程中出现的未尽事宜，双方在不违背本合同和采购文件的原则下协商解决，协商结果以书面形式盖章记录在案，作为本合同的附件，与本合同具有同等效力，但需提交招标代理机构一份备存。</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（四）合同的份数：</w:t>
      </w:r>
      <w:r>
        <w:rPr>
          <w:rFonts w:hint="eastAsia" w:asciiTheme="minorEastAsia" w:hAnsiTheme="minorEastAsia" w:eastAsiaTheme="minorEastAsia" w:cstheme="minorEastAsia"/>
          <w:color w:val="auto"/>
          <w:sz w:val="21"/>
          <w:szCs w:val="21"/>
          <w:highlight w:val="none"/>
          <w:lang w:val="zh-CN" w:eastAsia="zh-CN"/>
        </w:rPr>
        <w:t xml:space="preserve">甲乙双方各执</w:t>
      </w:r>
      <w:r>
        <w:rPr>
          <w:rFonts w:hint="eastAsia" w:asciiTheme="minorEastAsia" w:hAnsiTheme="minorEastAsia" w:eastAsiaTheme="minorEastAsia" w:cstheme="minorEastAsia"/>
          <w:color w:val="auto"/>
          <w:sz w:val="21"/>
          <w:szCs w:val="21"/>
          <w:highlight w:val="none"/>
          <w:lang w:val="en-US" w:eastAsia="zh-CN"/>
        </w:rPr>
        <w:t xml:space="preserve">两</w:t>
      </w:r>
      <w:r>
        <w:rPr>
          <w:rFonts w:hint="eastAsia" w:asciiTheme="minorEastAsia" w:hAnsiTheme="minorEastAsia" w:eastAsiaTheme="minorEastAsia" w:cstheme="minorEastAsia"/>
          <w:color w:val="auto"/>
          <w:sz w:val="21"/>
          <w:szCs w:val="21"/>
          <w:highlight w:val="none"/>
          <w:lang w:val="zh-CN" w:eastAsia="zh-CN"/>
        </w:rPr>
        <w:t xml:space="preserve">份，代理机构一份，</w:t>
      </w:r>
      <w:r>
        <w:rPr>
          <w:rFonts w:hint="eastAsia" w:asciiTheme="minorEastAsia" w:hAnsiTheme="minorEastAsia" w:eastAsiaTheme="minorEastAsia" w:cstheme="minorEastAsia"/>
          <w:color w:val="auto"/>
          <w:sz w:val="21"/>
          <w:szCs w:val="21"/>
          <w:highlight w:val="none"/>
          <w:lang w:val="en-US" w:eastAsia="zh-CN"/>
        </w:rPr>
        <w:t xml:space="preserve">具备同等法律效力。</w:t>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6"/>
        <w:gridCol w:w="4460"/>
      </w:tblGrid>
      <w:tr>
        <w:trPr/>
        <w:tc>
          <w:tcPr>
            <w:tcW w:w="2598"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甲方（签章）：</w:t>
            </w:r>
            <w:r/>
          </w:p>
          <w:p>
            <w:pPr>
              <w:pStyle w:val="901"/>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                </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89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    </w:t>
            </w:r>
            <w:r/>
          </w:p>
        </w:tc>
        <w:tc>
          <w:tcPr>
            <w:tcW w:w="2401"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乙方（签章）：</w:t>
            </w:r>
            <w:r/>
          </w:p>
          <w:p>
            <w:pPr>
              <w:pStyle w:val="901"/>
              <w:rPr>
                <w:rFonts w:hAnsi="宋体" w:cs="宋体"/>
                <w:color w:val="auto"/>
                <w:szCs w:val="21"/>
                <w:highlight w:val="none"/>
              </w:rPr>
            </w:pPr>
            <w:r>
              <w:rPr>
                <w:rFonts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47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65"/>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：履约验收方案</w:t>
      </w:r>
      <w:r/>
    </w:p>
    <w:p>
      <w:pPr>
        <w:jc w:val="center"/>
        <w:spacing w:line="480" w:lineRule="auto"/>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履约验收方案</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1、履约验收标准：采购合同中相关服务内容的完成质量，验收组意见为“合格”的视为通过验收。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2、履约验收主体：由甲方组织验收。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3、履约验收方式：项目完成后一次性整体验收。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4、验收程序：</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4.1乙方按照政府采购合同的约定完成工作后，向甲方提交书面总结报告和相关佐证资料，详细说明工作完成情况；</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4.2甲方成立验收组；</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4.3 验收组召开项目验收会，乙方对服务情况进行现场汇报，验收组对乙方服务内容进行验收评价，并填写《政府采购履约验收书》。</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5、项目履约验收合格的，甲方根据政府采购合同约定及时向乙方支付款项。经甲方验收，乙方服务内容不合格的，将按规定扣除相应合同金额的10%。</w:t>
      </w:r>
      <w:r/>
    </w:p>
    <w:p>
      <w:pPr>
        <w:spacing w:line="480" w:lineRule="auto"/>
        <w:tabs>
          <w:tab w:val="left" w:pos="540" w:leader="none"/>
          <w:tab w:val="left" w:pos="567" w:leader="none"/>
        </w:tabs>
        <w:rPr>
          <w:rFonts w:hint="eastAsia" w:ascii="宋体" w:hAnsi="宋体" w:cs="宋体"/>
          <w:b/>
          <w:color w:val="auto"/>
          <w:szCs w:val="21"/>
          <w:highlight w:val="none"/>
        </w:rPr>
      </w:pPr>
      <w:r>
        <w:rPr>
          <w:rFonts w:hint="eastAsia" w:ascii="宋体" w:hAnsi="宋体" w:cs="宋体"/>
          <w:b w:val="0"/>
          <w:bCs/>
          <w:color w:val="auto"/>
          <w:szCs w:val="21"/>
          <w:highlight w:val="none"/>
          <w:lang w:eastAsia="zh-CN"/>
        </w:rPr>
        <w:t xml:space="preserve">6、其他验收要求按照江苏省财政厅《关于印发&lt;江苏省政府采购履约验收管理办法&gt;的通知》（苏财规〔2024〕7号）规定执行。</w:t>
      </w:r>
      <w:r/>
    </w:p>
    <w:p>
      <w:pPr>
        <w:rPr>
          <w:rFonts w:ascii="宋体" w:hAnsi="宋体" w:cs="宋体"/>
          <w:b/>
          <w:bCs/>
          <w:color w:val="auto"/>
          <w:szCs w:val="21"/>
          <w:highlight w:val="none"/>
        </w:rPr>
      </w:pPr>
      <w:r>
        <w:rPr>
          <w:rFonts w:hint="eastAsia" w:ascii="宋体" w:hAnsi="宋体" w:cs="宋体"/>
          <w:b/>
          <w:color w:val="auto"/>
          <w:szCs w:val="21"/>
          <w:highlight w:val="none"/>
          <w:shd w:val="clear" w:color="auto" w:fill="ffffff"/>
        </w:rPr>
        <w:b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65"/>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附件3：政府采购履约验收通知单</w:t>
      </w:r>
      <w:r/>
    </w:p>
    <w:p>
      <w:pPr>
        <w:jc w:val="center"/>
        <w:spacing w:before="263" w:line="223" w:lineRule="auto"/>
        <w:rPr>
          <w:rFonts w:ascii="宋体" w:hAnsi="宋体" w:cs="宋体"/>
          <w:color w:val="auto"/>
          <w:sz w:val="36"/>
          <w:szCs w:val="36"/>
          <w:highlight w:val="none"/>
        </w:rPr>
        <w:outlineLvl w:val="0"/>
      </w:pPr>
      <w:r/>
      <w:bookmarkStart w:id="73" w:name="_Toc23715"/>
      <w:r>
        <w:rPr>
          <w:rFonts w:hint="eastAsia" w:ascii="宋体" w:hAnsi="宋体" w:cs="宋体"/>
          <w:color w:val="auto"/>
          <w:spacing w:val="17"/>
          <w:sz w:val="36"/>
          <w:szCs w:val="36"/>
          <w:highlight w:val="none"/>
        </w:rPr>
        <w:t xml:space="preserve">政府采购履约验收通知单</w:t>
      </w:r>
      <w:bookmarkEnd w:id="73"/>
      <w:r/>
      <w:r/>
    </w:p>
    <w:p>
      <w:pPr>
        <w:ind w:left="85"/>
        <w:spacing w:before="216" w:line="214" w:lineRule="auto"/>
        <w:rPr>
          <w:rFonts w:ascii="宋体" w:hAnsi="宋体" w:cs="宋体"/>
          <w:color w:val="auto"/>
          <w:sz w:val="23"/>
          <w:szCs w:val="23"/>
          <w:highlight w:val="none"/>
        </w:rPr>
      </w:pPr>
      <w:r>
        <w:rPr>
          <w:rFonts w:hint="eastAsia" w:ascii="宋体" w:hAnsi="宋体" w:cs="宋体"/>
          <w:color w:val="auto"/>
          <w:spacing w:val="9"/>
          <w:sz w:val="23"/>
          <w:szCs w:val="23"/>
          <w:highlight w:val="none"/>
        </w:rPr>
        <w:t xml:space="preserve">供应商：</w:t>
      </w:r>
      <w:r/>
    </w:p>
    <w:p>
      <w:pPr>
        <w:spacing w:line="44" w:lineRule="exact"/>
        <w:rPr>
          <w:rFonts w:ascii="宋体" w:hAnsi="宋体" w:cs="宋体"/>
          <w:color w:val="auto"/>
          <w:highlight w:val="none"/>
        </w:rPr>
      </w:pPr>
      <w:r>
        <w:rPr>
          <w:rFonts w:ascii="宋体" w:hAnsi="宋体" w:cs="宋体"/>
          <w:color w:val="auto"/>
          <w:highlight w:val="none"/>
        </w:rPr>
      </w:r>
      <w:r/>
    </w:p>
    <w:tbl>
      <w:tblPr>
        <w:tblStyle w:val="1203"/>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采购人</w:t>
            </w:r>
            <w:r/>
          </w:p>
        </w:tc>
        <w:tc>
          <w:tcPr>
            <w:gridSpan w:val="3"/>
            <w:tcW w:w="67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9" w:line="211"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项目名称</w:t>
            </w:r>
            <w:r/>
          </w:p>
        </w:tc>
        <w:tc>
          <w:tcPr>
            <w:gridSpan w:val="3"/>
            <w:tcW w:w="67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合同名称</w:t>
            </w:r>
            <w:r/>
          </w:p>
        </w:tc>
        <w:tc>
          <w:tcPr>
            <w:gridSpan w:val="3"/>
            <w:tcW w:w="67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7"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合同编号</w:t>
            </w:r>
            <w:r/>
          </w:p>
        </w:tc>
        <w:tc>
          <w:tcPr>
            <w:tcW w:w="1961"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合同金额</w:t>
            </w:r>
            <w:r/>
          </w:p>
        </w:tc>
        <w:tc>
          <w:tcPr>
            <w:tcW w:w="26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8" w:line="212"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验收时间</w:t>
            </w:r>
            <w:r/>
          </w:p>
        </w:tc>
        <w:tc>
          <w:tcPr>
            <w:tcW w:w="1961"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8" w:line="213"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验收地点</w:t>
            </w:r>
            <w:r/>
          </w:p>
        </w:tc>
        <w:tc>
          <w:tcPr>
            <w:tcW w:w="26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960"/>
              <w:spacing w:before="248" w:line="213" w:lineRule="auto"/>
              <w:rPr>
                <w:rFonts w:ascii="宋体" w:hAnsi="宋体" w:cs="宋体"/>
                <w:color w:val="auto"/>
                <w:sz w:val="23"/>
                <w:szCs w:val="23"/>
                <w:highlight w:val="none"/>
              </w:rPr>
            </w:pPr>
            <w:r>
              <w:rPr>
                <w:rFonts w:hint="eastAsia" w:ascii="宋体" w:hAnsi="宋体" w:cs="宋体"/>
                <w:color w:val="auto"/>
                <w:spacing w:val="1"/>
                <w:sz w:val="23"/>
                <w:szCs w:val="23"/>
                <w:highlight w:val="none"/>
              </w:rPr>
              <w:t xml:space="preserve">联系人</w:t>
            </w:r>
            <w:r/>
          </w:p>
        </w:tc>
        <w:tc>
          <w:tcPr>
            <w:tcW w:w="1961"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5"/>
              <w:spacing w:before="248" w:line="213"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联系电话</w:t>
            </w:r>
            <w:r/>
          </w:p>
        </w:tc>
        <w:tc>
          <w:tcPr>
            <w:tcW w:w="26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3"/>
                <w:szCs w:val="23"/>
                <w:highlight w:val="none"/>
              </w:rPr>
            </w:pPr>
            <w:r>
              <w:rPr>
                <w:rFonts w:hint="eastAsia" w:ascii="宋体" w:hAnsi="宋体" w:cs="宋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128" w:right="2893" w:firstLine="183"/>
              <w:spacing w:before="75" w:line="507"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单位公章</w:t>
            </w:r>
            <w:r>
              <w:rPr>
                <w:rFonts w:hint="eastAsia" w:ascii="宋体" w:hAnsi="宋体" w:cs="宋体"/>
                <w:color w:val="auto"/>
                <w:sz w:val="23"/>
                <w:szCs w:val="23"/>
                <w:highlight w:val="none"/>
              </w:rPr>
              <w:t xml:space="preserve">  </w:t>
            </w:r>
            <w:r>
              <w:rPr>
                <w:rFonts w:hint="eastAsia" w:ascii="宋体" w:hAnsi="宋体" w:cs="宋体"/>
                <w:color w:val="auto"/>
                <w:spacing w:val="-16"/>
                <w:sz w:val="23"/>
                <w:szCs w:val="23"/>
                <w:highlight w:val="none"/>
              </w:rPr>
              <w:t xml:space="preserve">年</w:t>
            </w:r>
            <w:r>
              <w:rPr>
                <w:rFonts w:hint="eastAsia" w:ascii="宋体" w:hAnsi="宋体" w:cs="宋体"/>
                <w:color w:val="auto"/>
                <w:spacing w:val="18"/>
                <w:sz w:val="23"/>
                <w:szCs w:val="23"/>
                <w:highlight w:val="none"/>
              </w:rPr>
              <w:t xml:space="preserve">  </w:t>
            </w:r>
            <w:r>
              <w:rPr>
                <w:rFonts w:hint="eastAsia" w:ascii="宋体" w:hAnsi="宋体" w:cs="宋体"/>
                <w:color w:val="auto"/>
                <w:spacing w:val="-16"/>
                <w:sz w:val="23"/>
                <w:szCs w:val="23"/>
                <w:highlight w:val="none"/>
              </w:rPr>
              <w:t xml:space="preserve">月</w:t>
            </w:r>
            <w:r>
              <w:rPr>
                <w:rFonts w:hint="eastAsia" w:ascii="宋体" w:hAnsi="宋体" w:cs="宋体"/>
                <w:color w:val="auto"/>
                <w:spacing w:val="12"/>
                <w:sz w:val="23"/>
                <w:szCs w:val="23"/>
                <w:highlight w:val="none"/>
              </w:rPr>
              <w:t xml:space="preserve">   </w:t>
            </w:r>
            <w:r>
              <w:rPr>
                <w:rFonts w:hint="eastAsia" w:ascii="宋体" w:hAnsi="宋体" w:cs="宋体"/>
                <w:color w:val="auto"/>
                <w:spacing w:val="-16"/>
                <w:sz w:val="23"/>
                <w:szCs w:val="23"/>
                <w:highlight w:val="none"/>
              </w:rPr>
              <w:t xml:space="preserve">日</w:t>
            </w:r>
            <w:r/>
          </w:p>
        </w:tc>
      </w:tr>
    </w:tbl>
    <w:p>
      <w:pPr>
        <w:pStyle w:val="865"/>
        <w:ind w:left="513"/>
        <w:spacing w:before="284" w:line="219" w:lineRule="auto"/>
        <w:rPr>
          <w:rFonts w:ascii="宋体" w:hAnsi="宋体" w:cs="宋体"/>
          <w:b/>
          <w:bCs/>
          <w:color w:val="auto"/>
          <w:spacing w:val="-5"/>
          <w:sz w:val="21"/>
          <w:szCs w:val="21"/>
          <w:highlight w:val="none"/>
        </w:rPr>
        <w:sectPr>
          <w:headerReference w:type="default" r:id="rId10"/>
          <w:footerReference w:type="default" r:id="rId14"/>
          <w:footnotePr/>
          <w:endnotePr/>
          <w:type w:val="nextPage"/>
          <w:pgSz w:w="11906" w:h="16838" w:orient="portrait"/>
          <w:pgMar w:top="1440" w:right="1417" w:bottom="1134" w:left="1417" w:header="851" w:footer="850" w:gutter="0"/>
          <w:pgNumType w:start="1"/>
          <w:cols w:num="1" w:sep="0" w:space="1701" w:equalWidth="1"/>
          <w:docGrid w:linePitch="360"/>
        </w:sectPr>
        <w:outlineLvl w:val="0"/>
      </w:pPr>
      <w:r>
        <w:rPr>
          <w:rFonts w:ascii="宋体" w:hAnsi="宋体" w:cs="宋体"/>
          <w:b/>
          <w:bCs/>
          <w:color w:val="auto"/>
          <w:spacing w:val="-5"/>
          <w:sz w:val="21"/>
          <w:szCs w:val="21"/>
          <w:highlight w:val="none"/>
        </w:rPr>
      </w:r>
      <w:r/>
    </w:p>
    <w:p>
      <w:pPr>
        <w:pStyle w:val="865"/>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附件4：政府采购履约验收书</w:t>
      </w:r>
      <w:r/>
    </w:p>
    <w:p>
      <w:pPr>
        <w:ind w:left="3812"/>
        <w:spacing w:before="104" w:line="185" w:lineRule="auto"/>
        <w:rPr>
          <w:rFonts w:ascii="宋体" w:hAnsi="宋体" w:cs="宋体"/>
          <w:color w:val="auto"/>
          <w:sz w:val="36"/>
          <w:szCs w:val="36"/>
          <w:highlight w:val="none"/>
        </w:rPr>
      </w:pPr>
      <w:r>
        <w:rPr>
          <w:rFonts w:hint="eastAsia" w:ascii="宋体" w:hAnsi="宋体" w:cs="宋体"/>
          <w:color w:val="auto"/>
          <w:spacing w:val="19"/>
          <w:sz w:val="36"/>
          <w:szCs w:val="36"/>
          <w:highlight w:val="none"/>
        </w:rPr>
        <w:t xml:space="preserve">政府采购履约验收书(服务类)</w:t>
      </w:r>
      <w:r/>
    </w:p>
    <w:tbl>
      <w:tblPr>
        <w:tblStyle w:val="1203"/>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采购人</w:t>
            </w:r>
            <w:r/>
          </w:p>
        </w:tc>
        <w:tc>
          <w:tcPr>
            <w:tcW w:w="1714"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553"/>
              <w:spacing w:before="298" w:line="208"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项目名称</w:t>
            </w:r>
            <w:r/>
          </w:p>
        </w:tc>
        <w:tc>
          <w:tcPr>
            <w:tcW w:w="247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合同名称</w:t>
            </w:r>
            <w:r/>
          </w:p>
        </w:tc>
        <w:tc>
          <w:tcPr>
            <w:tcW w:w="255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4"/>
        </w:trPr>
        <w:tc>
          <w:tcPr>
            <w:tcW w:w="1625" w:type="dxa"/>
            <w:textDirection w:val="lrTb"/>
            <w:noWrap w:val="false"/>
          </w:tcPr>
          <w:p>
            <w:pPr>
              <w:ind w:left="544"/>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供应商</w:t>
            </w:r>
            <w:r/>
          </w:p>
        </w:tc>
        <w:tc>
          <w:tcPr>
            <w:tcW w:w="1714"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285"/>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项目及合同编号</w:t>
            </w:r>
            <w:r/>
          </w:p>
        </w:tc>
        <w:tc>
          <w:tcPr>
            <w:tcW w:w="247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合同金额</w:t>
            </w:r>
            <w:r/>
          </w:p>
        </w:tc>
        <w:tc>
          <w:tcPr>
            <w:tcW w:w="255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1625" w:type="dxa"/>
            <w:textDirection w:val="lrTb"/>
            <w:noWrap w:val="false"/>
          </w:tcPr>
          <w:p>
            <w:pPr>
              <w:ind w:left="186"/>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分期（段）验收</w:t>
            </w:r>
            <w:r/>
          </w:p>
        </w:tc>
        <w:tc>
          <w:tcPr>
            <w:tcW w:w="1714" w:type="dxa"/>
            <w:textDirection w:val="lrTb"/>
            <w:noWrap w:val="false"/>
          </w:tcPr>
          <w:p>
            <w:pPr>
              <w:ind w:left="367"/>
              <w:spacing w:before="267" w:line="240" w:lineRule="exact"/>
              <w:rPr>
                <w:rFonts w:ascii="宋体" w:hAnsi="宋体" w:cs="宋体"/>
                <w:color w:val="auto"/>
                <w:sz w:val="18"/>
                <w:szCs w:val="18"/>
                <w:highlight w:val="none"/>
              </w:rPr>
            </w:pPr>
            <w:r>
              <w:rPr>
                <w:rFonts w:hint="eastAsia" w:ascii="宋体" w:hAnsi="宋体" w:cs="宋体"/>
                <w:color w:val="auto"/>
                <w:spacing w:val="-6"/>
                <w:position w:val="1"/>
                <w:sz w:val="18"/>
                <w:szCs w:val="18"/>
                <w:highlight w:val="none"/>
              </w:rPr>
              <w:t xml:space="preserve">是□</w:t>
            </w:r>
            <w:r>
              <w:rPr>
                <w:rFonts w:hint="eastAsia" w:ascii="宋体" w:hAnsi="宋体" w:cs="宋体"/>
                <w:color w:val="auto"/>
                <w:spacing w:val="4"/>
                <w:position w:val="1"/>
                <w:sz w:val="18"/>
                <w:szCs w:val="18"/>
                <w:highlight w:val="none"/>
              </w:rPr>
              <w:t xml:space="preserve">   </w:t>
            </w:r>
            <w:r>
              <w:rPr>
                <w:rFonts w:hint="eastAsia" w:ascii="宋体" w:hAnsi="宋体" w:cs="宋体"/>
                <w:color w:val="auto"/>
                <w:spacing w:val="-6"/>
                <w:position w:val="1"/>
                <w:sz w:val="18"/>
                <w:szCs w:val="18"/>
                <w:highlight w:val="none"/>
              </w:rPr>
              <w:t xml:space="preserve">否□</w:t>
            </w:r>
            <w:r/>
          </w:p>
        </w:tc>
        <w:tc>
          <w:tcPr>
            <w:tcW w:w="1816" w:type="dxa"/>
            <w:textDirection w:val="lrTb"/>
            <w:noWrap w:val="false"/>
          </w:tcPr>
          <w:p>
            <w:pPr>
              <w:ind w:left="284"/>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分期（段）情况</w:t>
            </w:r>
            <w:r/>
          </w:p>
        </w:tc>
        <w:tc>
          <w:tcPr>
            <w:gridSpan w:val="4"/>
            <w:tcW w:w="9019" w:type="dxa"/>
            <w:textDirection w:val="lrTb"/>
            <w:noWrap w:val="false"/>
          </w:tcPr>
          <w:p>
            <w:pPr>
              <w:ind w:left="2804"/>
              <w:spacing w:before="267" w:line="240"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共分   期（段</w:t>
            </w:r>
            <w:r>
              <w:rPr>
                <w:rFonts w:hint="eastAsia" w:ascii="宋体" w:hAnsi="宋体" w:cs="宋体"/>
                <w:color w:val="auto"/>
                <w:spacing w:val="6"/>
                <w:position w:val="1"/>
                <w:sz w:val="18"/>
                <w:szCs w:val="18"/>
                <w:highlight w:val="none"/>
              </w:rPr>
              <w:t xml:space="preserve">），</w:t>
            </w:r>
            <w:r>
              <w:rPr>
                <w:rFonts w:hint="eastAsia" w:ascii="宋体" w:hAnsi="宋体" w:cs="宋体"/>
                <w:color w:val="auto"/>
                <w:spacing w:val="-1"/>
                <w:position w:val="1"/>
                <w:sz w:val="18"/>
                <w:szCs w:val="18"/>
                <w:highlight w:val="none"/>
              </w:rPr>
              <w:t xml:space="preserve">此为第   期（段）验收</w:t>
            </w:r>
            <w:r/>
          </w:p>
        </w:tc>
      </w:tr>
      <w:tr>
        <w:trPr>
          <w:trHeight w:val="1679"/>
        </w:trPr>
        <w:tc>
          <w:tcPr>
            <w:tcW w:w="1625" w:type="dxa"/>
            <w:textDirection w:val="lrTb"/>
            <w:noWrap w:val="false"/>
          </w:tcPr>
          <w:p>
            <w:pPr>
              <w:pStyle w:val="1204"/>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6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验收时间</w:t>
            </w:r>
            <w:r/>
          </w:p>
        </w:tc>
        <w:tc>
          <w:tcPr>
            <w:tcW w:w="1714"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550"/>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验收地点</w:t>
            </w:r>
            <w:r/>
          </w:p>
        </w:tc>
        <w:tc>
          <w:tcPr>
            <w:tcW w:w="247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1459"/>
              <w:spacing w:before="5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验收组织形式</w:t>
            </w:r>
            <w:r/>
          </w:p>
        </w:tc>
        <w:tc>
          <w:tcPr>
            <w:tcW w:w="2556" w:type="dxa"/>
            <w:textDirection w:val="lrTb"/>
            <w:noWrap w:val="false"/>
          </w:tcPr>
          <w:p>
            <w:pPr>
              <w:ind w:left="673"/>
              <w:spacing w:before="267" w:line="239"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□自行简易验收</w:t>
            </w:r>
            <w:r/>
          </w:p>
          <w:p>
            <w:pPr>
              <w:pStyle w:val="1204"/>
              <w:spacing w:line="2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673"/>
              <w:spacing w:before="58" w:line="240"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□验收小组验收</w:t>
            </w:r>
            <w:r/>
          </w:p>
          <w:p>
            <w:pPr>
              <w:pStyle w:val="1204"/>
              <w:spacing w:line="26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82"/>
              <w:spacing w:before="58" w:line="239" w:lineRule="exact"/>
              <w:rPr>
                <w:rFonts w:ascii="宋体" w:hAnsi="宋体" w:cs="宋体"/>
                <w:color w:val="auto"/>
                <w:sz w:val="18"/>
                <w:szCs w:val="18"/>
                <w:highlight w:val="none"/>
              </w:rPr>
            </w:pPr>
            <w:r>
              <w:rPr>
                <w:rFonts w:hint="eastAsia" w:ascii="宋体" w:hAnsi="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Merge w:val="restart"/>
            <w:textDirection w:val="lrTb"/>
            <w:noWrap w:val="false"/>
          </w:tcPr>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6" w:lineRule="auto"/>
              <w:rPr>
                <w:rFonts w:ascii="宋体" w:hAnsi="宋体" w:eastAsia="宋体" w:cs="宋体"/>
                <w:color w:val="auto"/>
                <w:highlight w:val="none"/>
              </w:rPr>
            </w:pPr>
            <w:r>
              <w:rPr>
                <w:rFonts w:ascii="宋体" w:hAnsi="宋体" w:eastAsia="宋体" w:cs="宋体"/>
                <w:color w:val="auto"/>
                <w:highlight w:val="none"/>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验收内容</w:t>
            </w:r>
            <w:r/>
          </w:p>
        </w:tc>
        <w:tc>
          <w:tcPr>
            <w:tcW w:w="1714" w:type="dxa"/>
            <w:textDirection w:val="lrTb"/>
            <w:noWrap w:val="false"/>
          </w:tcPr>
          <w:p>
            <w:pPr>
              <w:ind w:left="498"/>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服务质量</w:t>
            </w:r>
            <w:r/>
          </w:p>
        </w:tc>
        <w:tc>
          <w:tcPr>
            <w:tcW w:w="1816" w:type="dxa"/>
            <w:textDirection w:val="lrTb"/>
            <w:noWrap w:val="false"/>
          </w:tcPr>
          <w:p>
            <w:pPr>
              <w:ind w:left="551"/>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服务进度</w:t>
            </w:r>
            <w:r/>
          </w:p>
        </w:tc>
        <w:tc>
          <w:tcPr>
            <w:tcW w:w="2476" w:type="dxa"/>
            <w:textDirection w:val="lrTb"/>
            <w:noWrap w:val="false"/>
          </w:tcPr>
          <w:p>
            <w:pPr>
              <w:ind w:left="387"/>
              <w:spacing w:before="298" w:line="207"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人员、设备 配备情况</w:t>
            </w:r>
            <w:r/>
          </w:p>
        </w:tc>
        <w:tc>
          <w:tcPr>
            <w:tcW w:w="1705" w:type="dxa"/>
            <w:textDirection w:val="lrTb"/>
            <w:noWrap w:val="false"/>
          </w:tcPr>
          <w:p>
            <w:pPr>
              <w:ind w:left="231"/>
              <w:spacing w:before="297" w:line="209"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行业、安全标准</w:t>
            </w:r>
            <w:r/>
          </w:p>
        </w:tc>
        <w:tc>
          <w:tcPr>
            <w:tcW w:w="2282" w:type="dxa"/>
            <w:textDirection w:val="lrTb"/>
            <w:noWrap w:val="false"/>
          </w:tcPr>
          <w:p>
            <w:pPr>
              <w:ind w:left="3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项目需求、服务承诺</w:t>
            </w:r>
            <w:r/>
          </w:p>
        </w:tc>
        <w:tc>
          <w:tcPr>
            <w:tcW w:w="2556" w:type="dxa"/>
            <w:textDirection w:val="lrTb"/>
            <w:noWrap w:val="false"/>
          </w:tcPr>
          <w:p>
            <w:pPr>
              <w:ind w:left="159"/>
              <w:spacing w:before="299"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Merge w:val="continue"/>
            <w:textDirection w:val="lrTb"/>
            <w:noWrap w:val="false"/>
          </w:tcPr>
          <w:p>
            <w:pPr>
              <w:pStyle w:val="1204"/>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W w:w="1714" w:type="dxa"/>
            <w:textDirection w:val="lrTb"/>
            <w:noWrap w:val="false"/>
          </w:tcPr>
          <w:p>
            <w:pPr>
              <w:ind w:left="501" w:right="49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816" w:type="dxa"/>
            <w:textDirection w:val="lrTb"/>
            <w:noWrap w:val="false"/>
          </w:tcPr>
          <w:p>
            <w:pPr>
              <w:ind w:left="553" w:right="547" w:hanging="1"/>
              <w:spacing w:before="270" w:line="430" w:lineRule="auto"/>
              <w:rPr>
                <w:rFonts w:ascii="宋体" w:hAnsi="宋体" w:cs="宋体"/>
                <w:color w:val="auto"/>
                <w:sz w:val="18"/>
                <w:szCs w:val="18"/>
                <w:highlight w:val="none"/>
              </w:rPr>
            </w:pPr>
            <w:r>
              <w:rPr>
                <w:rFonts w:hint="eastAsia" w:ascii="宋体" w:hAnsi="宋体" w:cs="宋体"/>
                <w:color w:val="auto"/>
                <w:spacing w:val="-8"/>
                <w:sz w:val="18"/>
                <w:szCs w:val="18"/>
                <w:highlight w:val="none"/>
              </w:rPr>
              <w:t xml:space="preserve">按</w:t>
            </w:r>
            <w:r>
              <w:rPr>
                <w:rFonts w:hint="eastAsia" w:ascii="宋体" w:hAnsi="宋体" w:cs="宋体"/>
                <w:color w:val="auto"/>
                <w:spacing w:val="7"/>
                <w:sz w:val="18"/>
                <w:szCs w:val="18"/>
                <w:highlight w:val="none"/>
              </w:rPr>
              <w:t xml:space="preserve">  </w:t>
            </w:r>
            <w:r>
              <w:rPr>
                <w:rFonts w:hint="eastAsia" w:ascii="宋体" w:hAnsi="宋体" w:cs="宋体"/>
                <w:color w:val="auto"/>
                <w:spacing w:val="-8"/>
                <w:sz w:val="18"/>
                <w:szCs w:val="18"/>
                <w:highlight w:val="none"/>
              </w:rPr>
              <w:t xml:space="preserve">时□</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不按时□</w:t>
            </w:r>
            <w:r/>
          </w:p>
        </w:tc>
        <w:tc>
          <w:tcPr>
            <w:tcW w:w="2476" w:type="dxa"/>
            <w:textDirection w:val="lrTb"/>
            <w:noWrap w:val="false"/>
          </w:tcPr>
          <w:p>
            <w:pPr>
              <w:ind w:left="885" w:right="875"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705" w:type="dxa"/>
            <w:textDirection w:val="lrTb"/>
            <w:noWrap w:val="false"/>
          </w:tcPr>
          <w:p>
            <w:pPr>
              <w:ind w:left="500" w:right="489"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282" w:type="dxa"/>
            <w:textDirection w:val="lrTb"/>
            <w:noWrap w:val="false"/>
          </w:tcPr>
          <w:p>
            <w:pPr>
              <w:ind w:left="789" w:right="77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556" w:type="dxa"/>
            <w:textDirection w:val="lrTb"/>
            <w:noWrap w:val="false"/>
          </w:tcPr>
          <w:p>
            <w:pPr>
              <w:ind w:left="926" w:right="914"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r>
      <w:tr>
        <w:trPr>
          <w:trHeight w:val="1119"/>
        </w:trPr>
        <w:tc>
          <w:tcPr>
            <w:tcW w:w="1625" w:type="dxa"/>
            <w:textDirection w:val="lrTb"/>
            <w:noWrap w:val="false"/>
          </w:tcPr>
          <w:p>
            <w:pPr>
              <w:ind w:left="185"/>
              <w:spacing w:before="29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专业检测机构情</w:t>
            </w:r>
            <w:r/>
          </w:p>
          <w:p>
            <w:pPr>
              <w:pStyle w:val="1204"/>
              <w:spacing w:line="298"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45"/>
              <w:spacing w:before="59"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况说明</w:t>
            </w:r>
            <w:r/>
          </w:p>
        </w:tc>
        <w:tc>
          <w:tcPr>
            <w:gridSpan w:val="6"/>
            <w:tcW w:w="12549" w:type="dxa"/>
            <w:textDirection w:val="lrTb"/>
            <w:noWrap w:val="false"/>
          </w:tcPr>
          <w:p>
            <w:pPr>
              <w:pStyle w:val="1204"/>
              <w:rPr>
                <w:rFonts w:ascii="宋体" w:hAnsi="宋体" w:eastAsia="宋体" w:cs="宋体"/>
                <w:color w:val="auto"/>
                <w:highlight w:val="none"/>
                <w:lang w:eastAsia="zh-CN"/>
              </w:rPr>
            </w:pPr>
            <w:r>
              <w:rPr>
                <w:rFonts w:ascii="宋体" w:hAnsi="宋体" w:eastAsia="宋体" w:cs="宋体"/>
                <w:color w:val="auto"/>
                <w:highlight w:val="none"/>
                <w:lang w:eastAsia="zh-CN"/>
              </w:rPr>
            </w:r>
            <w:r/>
          </w:p>
        </w:tc>
      </w:tr>
      <w:tr>
        <w:trPr>
          <w:trHeight w:val="1120"/>
        </w:trPr>
        <w:tc>
          <w:tcPr>
            <w:tcW w:w="1625" w:type="dxa"/>
            <w:textDirection w:val="lrTb"/>
            <w:noWrap w:val="false"/>
          </w:tcPr>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存在问题</w:t>
            </w:r>
            <w:r/>
          </w:p>
          <w:p>
            <w:pPr>
              <w:pStyle w:val="1204"/>
              <w:spacing w:line="297" w:lineRule="auto"/>
              <w:rPr>
                <w:rFonts w:ascii="宋体" w:hAnsi="宋体" w:eastAsia="宋体" w:cs="宋体"/>
                <w:color w:val="auto"/>
                <w:highlight w:val="none"/>
              </w:rPr>
            </w:pPr>
            <w:r>
              <w:rPr>
                <w:rFonts w:ascii="宋体" w:hAnsi="宋体" w:eastAsia="宋体" w:cs="宋体"/>
                <w:color w:val="auto"/>
                <w:highlight w:val="none"/>
              </w:rPr>
            </w:r>
            <w:r/>
          </w:p>
          <w:p>
            <w:pPr>
              <w:ind w:left="365"/>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和改进意见</w:t>
            </w:r>
            <w:r/>
          </w:p>
        </w:tc>
        <w:tc>
          <w:tcPr>
            <w:gridSpan w:val="6"/>
            <w:tcW w:w="12549"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rPr>
        <w:sectPr>
          <w:footerReference w:type="default" r:id="rId15"/>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cs="宋体"/>
          <w:color w:val="auto"/>
          <w:szCs w:val="21"/>
          <w:highlight w:val="none"/>
        </w:rPr>
      </w:r>
      <w:r/>
    </w:p>
    <w:p>
      <w:pPr>
        <w:spacing w:before="164"/>
        <w:rPr>
          <w:rFonts w:ascii="宋体" w:hAnsi="宋体" w:cs="宋体"/>
          <w:color w:val="auto"/>
          <w:highlight w:val="none"/>
        </w:rPr>
      </w:pPr>
      <w:r>
        <w:rPr>
          <w:rFonts w:ascii="宋体" w:hAnsi="宋体" w:cs="宋体"/>
          <w:color w:val="auto"/>
          <w:highlight w:val="none"/>
        </w:rPr>
      </w:r>
      <w:r/>
    </w:p>
    <w:tbl>
      <w:tblPr>
        <w:tblStyle w:val="1203"/>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pStyle w:val="1204"/>
              <w:spacing w:line="301" w:lineRule="auto"/>
              <w:rPr>
                <w:rFonts w:ascii="宋体" w:hAnsi="宋体" w:eastAsia="宋体" w:cs="宋体"/>
                <w:color w:val="auto"/>
                <w:highlight w:val="none"/>
              </w:rPr>
            </w:pPr>
            <w:r>
              <w:rPr>
                <w:rFonts w:ascii="宋体" w:hAnsi="宋体" w:eastAsia="宋体" w:cs="宋体"/>
                <w:color w:val="auto"/>
                <w:highlight w:val="none"/>
              </w:rPr>
            </w:r>
            <w:r/>
          </w:p>
          <w:p>
            <w:pPr>
              <w:ind w:left="457"/>
              <w:spacing w:before="5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最终结论</w:t>
            </w:r>
            <w:r/>
          </w:p>
        </w:tc>
        <w:tc>
          <w:tcPr>
            <w:gridSpan w:val="2"/>
            <w:tcW w:w="12550" w:type="dxa"/>
            <w:textDirection w:val="lrTb"/>
            <w:noWrap w:val="false"/>
          </w:tcPr>
          <w:p>
            <w:pPr>
              <w:pStyle w:val="1204"/>
              <w:spacing w:line="271" w:lineRule="auto"/>
              <w:rPr>
                <w:rFonts w:ascii="宋体" w:hAnsi="宋体" w:eastAsia="宋体" w:cs="宋体"/>
                <w:color w:val="auto"/>
                <w:highlight w:val="none"/>
              </w:rPr>
            </w:pPr>
            <w:r>
              <w:rPr>
                <w:rFonts w:ascii="宋体" w:hAnsi="宋体" w:eastAsia="宋体" w:cs="宋体"/>
                <w:color w:val="auto"/>
                <w:highlight w:val="none"/>
              </w:rPr>
            </w:r>
            <w:r/>
          </w:p>
          <w:p>
            <w:pPr>
              <w:ind w:left="4210"/>
              <w:spacing w:before="58"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合  格□</w:t>
            </w:r>
            <w:r>
              <w:rPr>
                <w:rFonts w:hint="eastAsia" w:ascii="宋体" w:hAnsi="宋体" w:cs="宋体"/>
                <w:color w:val="auto"/>
                <w:position w:val="1"/>
                <w:sz w:val="18"/>
                <w:szCs w:val="18"/>
                <w:highlight w:val="none"/>
              </w:rPr>
              <w:t xml:space="preserve">                              </w:t>
            </w:r>
            <w:r>
              <w:rPr>
                <w:rFonts w:hint="eastAsia" w:ascii="宋体" w:hAnsi="宋体" w:cs="宋体"/>
                <w:color w:val="auto"/>
                <w:spacing w:val="-2"/>
                <w:position w:val="1"/>
                <w:sz w:val="18"/>
                <w:szCs w:val="18"/>
                <w:highlight w:val="none"/>
              </w:rPr>
              <w:t xml:space="preserve">不合格□</w:t>
            </w:r>
            <w:r/>
          </w:p>
        </w:tc>
      </w:tr>
      <w:tr>
        <w:trPr>
          <w:trHeight w:val="1119"/>
        </w:trPr>
        <w:tc>
          <w:tcPr>
            <w:tcW w:w="1624" w:type="dxa"/>
            <w:textDirection w:val="lrTb"/>
            <w:noWrap w:val="false"/>
          </w:tcPr>
          <w:p>
            <w:pPr>
              <w:ind w:left="274"/>
              <w:spacing w:before="295"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验收小组成员</w:t>
            </w:r>
            <w:r/>
          </w:p>
          <w:p>
            <w:pPr>
              <w:pStyle w:val="1204"/>
              <w:spacing w:line="298" w:lineRule="auto"/>
              <w:rPr>
                <w:rFonts w:ascii="宋体" w:hAnsi="宋体" w:eastAsia="宋体" w:cs="宋体"/>
                <w:color w:val="auto"/>
                <w:highlight w:val="none"/>
              </w:rPr>
            </w:pPr>
            <w:r>
              <w:rPr>
                <w:rFonts w:ascii="宋体" w:hAnsi="宋体" w:eastAsia="宋体" w:cs="宋体"/>
                <w:color w:val="auto"/>
                <w:highlight w:val="none"/>
              </w:rPr>
            </w:r>
            <w:r/>
          </w:p>
          <w:p>
            <w:pPr>
              <w:ind w:left="635"/>
              <w:spacing w:before="58" w:line="208" w:lineRule="auto"/>
              <w:rPr>
                <w:rFonts w:ascii="宋体" w:hAnsi="宋体" w:cs="宋体"/>
                <w:color w:val="auto"/>
                <w:sz w:val="18"/>
                <w:szCs w:val="18"/>
                <w:highlight w:val="none"/>
              </w:rPr>
            </w:pPr>
            <w:r>
              <w:rPr>
                <w:rFonts w:hint="eastAsia" w:ascii="宋体" w:hAnsi="宋体" w:cs="宋体"/>
                <w:color w:val="auto"/>
                <w:spacing w:val="-4"/>
                <w:sz w:val="18"/>
                <w:szCs w:val="18"/>
                <w:highlight w:val="none"/>
              </w:rPr>
              <w:t xml:space="preserve">签字</w:t>
            </w:r>
            <w:r/>
          </w:p>
        </w:tc>
        <w:tc>
          <w:tcPr>
            <w:gridSpan w:val="2"/>
            <w:tcW w:w="12550"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gridSpan w:val="2"/>
            <w:tcW w:w="7059" w:type="dxa"/>
            <w:textDirection w:val="lrTb"/>
            <w:noWrap w:val="false"/>
          </w:tcPr>
          <w:p>
            <w:pPr>
              <w:ind w:left="2814"/>
              <w:spacing w:before="297"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采购代理机构意见</w:t>
            </w:r>
            <w:r/>
          </w:p>
        </w:tc>
        <w:tc>
          <w:tcPr>
            <w:tcW w:w="7115" w:type="dxa"/>
            <w:textDirection w:val="lrTb"/>
            <w:noWrap w:val="false"/>
          </w:tcPr>
          <w:p>
            <w:pPr>
              <w:ind w:left="3111"/>
              <w:spacing w:before="297"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采购人意见</w:t>
            </w:r>
            <w:r/>
          </w:p>
        </w:tc>
      </w:tr>
      <w:tr>
        <w:trPr>
          <w:trHeight w:val="1119"/>
        </w:trPr>
        <w:tc>
          <w:tcPr>
            <w:gridSpan w:val="2"/>
            <w:tcW w:w="7059" w:type="dxa"/>
            <w:textDirection w:val="lrTb"/>
            <w:noWrap w:val="false"/>
          </w:tcPr>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3"/>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8"/>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8"/>
                <w:position w:val="1"/>
                <w:sz w:val="18"/>
                <w:szCs w:val="18"/>
                <w:highlight w:val="none"/>
              </w:rPr>
              <w:t xml:space="preserve">（</w:t>
            </w:r>
            <w:r>
              <w:rPr>
                <w:rFonts w:hint="eastAsia" w:ascii="宋体" w:hAnsi="宋体" w:cs="宋体"/>
                <w:color w:val="auto"/>
                <w:spacing w:val="1"/>
                <w:position w:val="1"/>
                <w:sz w:val="18"/>
                <w:szCs w:val="18"/>
                <w:highlight w:val="none"/>
              </w:rPr>
              <w:t xml:space="preserve">采购代理机构公章）</w:t>
            </w:r>
            <w:r/>
          </w:p>
        </w:tc>
        <w:tc>
          <w:tcPr>
            <w:tcW w:w="7115" w:type="dxa"/>
            <w:textDirection w:val="lrTb"/>
            <w:noWrap w:val="false"/>
          </w:tcPr>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5"/>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7"/>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7"/>
                <w:position w:val="1"/>
                <w:sz w:val="18"/>
                <w:szCs w:val="18"/>
                <w:highlight w:val="none"/>
              </w:rPr>
              <w:t xml:space="preserve">（</w:t>
            </w:r>
            <w:r>
              <w:rPr>
                <w:rFonts w:hint="eastAsia" w:ascii="宋体" w:hAnsi="宋体" w:cs="宋体"/>
                <w:color w:val="auto"/>
                <w:spacing w:val="1"/>
                <w:position w:val="1"/>
                <w:sz w:val="18"/>
                <w:szCs w:val="18"/>
                <w:highlight w:val="none"/>
              </w:rPr>
              <w:t xml:space="preserve">采购人公章）</w:t>
            </w:r>
            <w:r/>
          </w:p>
        </w:tc>
      </w:tr>
      <w:tr>
        <w:trPr>
          <w:trHeight w:val="1681"/>
        </w:trPr>
        <w:tc>
          <w:tcPr>
            <w:gridSpan w:val="3"/>
            <w:tcW w:w="14174" w:type="dxa"/>
            <w:textDirection w:val="lrTb"/>
            <w:noWrap w:val="false"/>
          </w:tcPr>
          <w:p>
            <w:pPr>
              <w:ind w:left="112"/>
              <w:spacing w:before="299"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供应商确认：</w:t>
            </w:r>
            <w:r/>
          </w:p>
          <w:p>
            <w:pPr>
              <w:pStyle w:val="1204"/>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7"/>
              <w:spacing w:before="58" w:line="239"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说明：1.该表为服务类项目履约验收的参考样表，采购人或采购代理机构可以</w:t>
      </w:r>
      <w:r>
        <w:rPr>
          <w:rFonts w:hint="eastAsia" w:ascii="宋体" w:hAnsi="宋体" w:cs="宋体"/>
          <w:color w:val="auto"/>
          <w:spacing w:val="-1"/>
          <w:sz w:val="18"/>
          <w:szCs w:val="18"/>
          <w:highlight w:val="none"/>
        </w:rPr>
        <w:t xml:space="preserve">根据工作实际进行调整。</w:t>
      </w:r>
      <w:r/>
    </w:p>
    <w:p>
      <w:pPr>
        <w:spacing w:line="295" w:lineRule="auto"/>
        <w:rPr>
          <w:rFonts w:ascii="宋体" w:hAnsi="宋体" w:cs="宋体"/>
          <w:color w:val="auto"/>
          <w:highlight w:val="none"/>
        </w:rPr>
      </w:pPr>
      <w:r>
        <w:rPr>
          <w:rFonts w:ascii="宋体" w:hAnsi="宋体" w:cs="宋体"/>
          <w:color w:val="auto"/>
          <w:highlight w:val="none"/>
        </w:rPr>
      </w:r>
      <w:r/>
    </w:p>
    <w:p>
      <w:pPr>
        <w:ind w:left="625"/>
        <w:spacing w:before="59"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2.未委托采购代理机构开展履约验收工作的，无需填写“</w:t>
      </w:r>
      <w:r>
        <w:rPr>
          <w:rFonts w:hint="eastAsia" w:ascii="宋体" w:hAnsi="宋体" w:cs="宋体"/>
          <w:color w:val="auto"/>
          <w:spacing w:val="-1"/>
          <w:sz w:val="18"/>
          <w:szCs w:val="18"/>
          <w:highlight w:val="none"/>
        </w:rPr>
        <w:t xml:space="preserve">采购代理机构意见</w:t>
      </w:r>
      <w:r>
        <w:rPr>
          <w:rFonts w:hint="eastAsia" w:ascii="宋体" w:hAnsi="宋体" w:cs="宋体"/>
          <w:color w:val="auto"/>
          <w:spacing w:val="-66"/>
          <w:sz w:val="18"/>
          <w:szCs w:val="18"/>
          <w:highlight w:val="none"/>
        </w:rPr>
        <w:t xml:space="preserve"> </w:t>
      </w:r>
      <w:r>
        <w:rPr>
          <w:rFonts w:hint="eastAsia" w:ascii="宋体" w:hAnsi="宋体" w:cs="宋体"/>
          <w:color w:val="auto"/>
          <w:spacing w:val="-1"/>
          <w:sz w:val="18"/>
          <w:szCs w:val="18"/>
          <w:highlight w:val="none"/>
        </w:rPr>
        <w:t xml:space="preserve">”。</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sectPr>
          <w:footerReference w:type="default" r:id="rId16"/>
          <w:footnotePr/>
          <w:endnotePr/>
          <w:type w:val="nextPage"/>
          <w:pgSz w:w="16838" w:h="11906" w:orient="landscape"/>
          <w:pgMar w:top="1417" w:right="1440" w:bottom="1417" w:left="1134" w:header="851" w:footer="850" w:gutter="0"/>
          <w:cols w:num="1" w:sep="0" w:space="0" w:equalWidth="1"/>
          <w:docGrid w:linePitch="360"/>
        </w:sectPr>
      </w:pPr>
      <w:r>
        <w:rPr>
          <w:rFonts w:hint="eastAsia" w:ascii="宋体" w:hAnsi="宋体" w:cs="宋体"/>
          <w:color w:val="auto"/>
          <w:highlight w:val="none"/>
        </w:rPr>
        <w:br w:type="page" w:clear="all"/>
      </w:r>
      <w:r/>
    </w:p>
    <w:p>
      <w:pPr>
        <w:pStyle w:val="850"/>
        <w:rPr>
          <w:color w:val="auto"/>
          <w:highlight w:val="none"/>
        </w:rPr>
      </w:pPr>
      <w:r/>
      <w:bookmarkStart w:id="74" w:name="_Toc30803"/>
      <w:r>
        <w:rPr>
          <w:rFonts w:hint="eastAsia"/>
          <w:color w:val="auto"/>
          <w:highlight w:val="none"/>
        </w:rPr>
        <w:t xml:space="preserve">六、响应文件格式</w:t>
      </w:r>
      <w:bookmarkEnd w:id="56"/>
      <w:r/>
      <w:bookmarkEnd w:id="74"/>
      <w:r/>
      <w:r/>
    </w:p>
    <w:p>
      <w:pPr>
        <w:pStyle w:val="908"/>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08"/>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对本章所有的格式 ，供应商可根据自身情况进行补充和修改，但补充和修改不得造成与本格式内容有实质性的违背。</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Cs w:val="21"/>
          <w:highlight w:val="none"/>
        </w:rPr>
      </w:pPr>
      <w:r/>
      <w:bookmarkStart w:id="75" w:name="_Toc21635"/>
      <w:r/>
      <w:bookmarkStart w:id="76" w:name="_Toc20200"/>
      <w:r/>
      <w:bookmarkStart w:id="77" w:name="_Toc1865"/>
      <w:r/>
      <w:bookmarkStart w:id="78" w:name="_Toc20788"/>
      <w:r/>
      <w:bookmarkStart w:id="79" w:name="_Toc29544"/>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附件1：磋商响应函</w:t>
      </w:r>
      <w:r/>
    </w:p>
    <w:p>
      <w:pPr>
        <w:pStyle w:val="1180"/>
        <w:jc w:val="center"/>
        <w:spacing w:after="100" w:line="400" w:lineRule="exact"/>
        <w:rPr>
          <w:rFonts w:hAnsi="宋体" w:cs="宋体"/>
          <w:color w:val="auto"/>
          <w:szCs w:val="21"/>
          <w:highlight w:val="none"/>
        </w:rPr>
      </w:pPr>
      <w:r>
        <w:rPr>
          <w:rFonts w:hint="eastAsia" w:hAnsi="宋体" w:cs="宋体"/>
          <w:b/>
          <w:color w:val="auto"/>
          <w:szCs w:val="21"/>
          <w:highlight w:val="none"/>
        </w:rPr>
        <w:t xml:space="preserve">磋商响应函</w:t>
      </w:r>
      <w:r/>
    </w:p>
    <w:p>
      <w:pPr>
        <w:pStyle w:val="1180"/>
        <w:spacing w:after="100" w:line="400" w:lineRule="exact"/>
        <w:rPr>
          <w:rFonts w:hAnsi="宋体" w:cs="宋体"/>
          <w:color w:val="auto"/>
          <w:szCs w:val="21"/>
          <w:highlight w:val="none"/>
        </w:rPr>
      </w:pPr>
      <w:r>
        <w:rPr>
          <w:rFonts w:hint="eastAsia" w:hAnsi="宋体" w:cs="宋体"/>
          <w:color w:val="auto"/>
          <w:szCs w:val="21"/>
          <w:highlight w:val="none"/>
          <w:u w:val="single"/>
        </w:rPr>
        <w:t xml:space="preserve">苏州通宜房地产土地评估咨询有限公司</w:t>
      </w:r>
      <w:r>
        <w:rPr>
          <w:rFonts w:hint="eastAsia" w:hAnsi="宋体" w:cs="宋体"/>
          <w:color w:val="auto"/>
          <w:szCs w:val="21"/>
          <w:highlight w:val="none"/>
        </w:rPr>
        <w:t xml:space="preserve">： </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我们收到贵公司</w:t>
      </w:r>
      <w:r>
        <w:rPr>
          <w:rFonts w:hint="eastAsia" w:hAnsi="宋体" w:eastAsia="宋体" w:cs="宋体"/>
          <w:color w:val="auto"/>
          <w:sz w:val="21"/>
          <w:szCs w:val="21"/>
          <w:highlight w:val="none"/>
          <w:u w:val="single"/>
          <w:lang w:eastAsia="zh-CN"/>
        </w:rPr>
        <w:t xml:space="preserve">JSZC-320509-SZTY-C2026-0008</w:t>
      </w:r>
      <w:r>
        <w:rPr>
          <w:rFonts w:hint="eastAsia" w:hAnsi="宋体" w:eastAsia="宋体" w:cs="宋体"/>
          <w:color w:val="auto"/>
          <w:sz w:val="21"/>
          <w:szCs w:val="21"/>
          <w:highlight w:val="none"/>
        </w:rPr>
        <w:t xml:space="preserve">号磋商采购文件，经仔细阅读和研究，我们决定参加磋商活动。</w:t>
      </w:r>
      <w:r/>
    </w:p>
    <w:p>
      <w:pPr>
        <w:pStyle w:val="921"/>
        <w:ind w:firstLine="420"/>
        <w:spacing w:after="100" w:line="400" w:lineRule="exact"/>
        <w:rPr>
          <w:rFonts w:hAnsi="宋体" w:eastAsia="宋体" w:cs="宋体"/>
          <w:b/>
          <w:color w:val="auto"/>
          <w:sz w:val="21"/>
          <w:szCs w:val="21"/>
          <w:highlight w:val="none"/>
        </w:rPr>
      </w:pPr>
      <w:r>
        <w:rPr>
          <w:rFonts w:hint="eastAsia" w:hAnsi="宋体" w:eastAsia="宋体" w:cs="宋体"/>
          <w:color w:val="auto"/>
          <w:sz w:val="21"/>
          <w:szCs w:val="21"/>
          <w:highlight w:val="none"/>
        </w:rPr>
        <w:t xml:space="preserve">1、我们愿意按照磋商采购文件的一切要求，完成该项目的全部内容。</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2、如果我们的磋商响应文件被接受，我们将严格履行磋商采购文件中规定的每一项要求，按期、按质、按量履行合同的义务。</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4、我们同意按磋商采购文件中的规定，本响应文件的有效期限自提交响应文件截止时间之日</w:t>
      </w:r>
      <w:r>
        <w:rPr>
          <w:rFonts w:hint="eastAsia" w:hAnsi="宋体" w:eastAsia="宋体" w:cs="宋体"/>
          <w:color w:val="auto"/>
          <w:sz w:val="21"/>
          <w:szCs w:val="21"/>
          <w:highlight w:val="none"/>
        </w:rPr>
        <w:t xml:space="preserve">起</w:t>
      </w:r>
      <w:r>
        <w:rPr>
          <w:rFonts w:hint="eastAsia" w:hAnsi="宋体" w:eastAsia="宋体" w:cs="宋体"/>
          <w:color w:val="auto"/>
          <w:sz w:val="21"/>
          <w:szCs w:val="21"/>
          <w:highlight w:val="none"/>
          <w:u w:val="single"/>
          <w:lang w:val="en-US" w:eastAsia="zh-CN"/>
        </w:rPr>
        <w:t xml:space="preserve">90</w:t>
      </w:r>
      <w:r>
        <w:rPr>
          <w:rFonts w:hint="eastAsia" w:hAnsi="宋体" w:eastAsia="宋体" w:cs="宋体"/>
          <w:color w:val="auto"/>
          <w:sz w:val="21"/>
          <w:szCs w:val="21"/>
          <w:highlight w:val="none"/>
        </w:rPr>
        <w:t xml:space="preserve">天</w:t>
      </w:r>
      <w:r>
        <w:rPr>
          <w:rFonts w:hint="eastAsia" w:hAnsi="宋体" w:eastAsia="宋体" w:cs="宋体"/>
          <w:color w:val="auto"/>
          <w:sz w:val="21"/>
          <w:szCs w:val="21"/>
          <w:highlight w:val="none"/>
        </w:rPr>
        <w:t xml:space="preserve">。</w:t>
      </w:r>
      <w:r>
        <w:rPr>
          <w:highlight w:val="none"/>
        </w:rP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5、我们愿意提供采购单位在磋商采购文件中要求的所有资料。</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6、我们愿意遵守磋商采购文件中所列的收费标准。</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8、我们承诺我公司符合磋商采购文件供应商须知中“合格供应商资格条件”的要求，若与真实情况不符，本公司愿意承担由此而产生的一切后果。</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所有有关磋商采购文件的函电，请按下列地址联系：</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                             联系人：</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21"/>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191"/>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1"/>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1"/>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1"/>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附件2：（磋商响应单位）法定代表人授权委托书</w:t>
      </w:r>
      <w:r/>
    </w:p>
    <w:p>
      <w:pPr>
        <w:pStyle w:val="1191"/>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191"/>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法定代表人授权委托书</w:t>
      </w:r>
      <w:r/>
    </w:p>
    <w:p>
      <w:pPr>
        <w:pStyle w:val="1191"/>
        <w:rPr>
          <w:rFonts w:ascii="宋体" w:hAnsi="宋体" w:cs="宋体"/>
          <w:color w:val="auto"/>
          <w:sz w:val="21"/>
          <w:szCs w:val="21"/>
          <w:highlight w:val="none"/>
        </w:rPr>
      </w:pPr>
      <w:r>
        <w:rPr>
          <w:rFonts w:ascii="宋体" w:hAnsi="宋体" w:cs="宋体"/>
          <w:color w:val="auto"/>
          <w:sz w:val="21"/>
          <w:szCs w:val="21"/>
          <w:highlight w:val="none"/>
        </w:rPr>
      </w:r>
      <w:r/>
    </w:p>
    <w:p>
      <w:pPr>
        <w:pStyle w:val="1191"/>
        <w:rPr>
          <w:rFonts w:ascii="宋体" w:hAnsi="宋体" w:cs="宋体"/>
          <w:color w:val="auto"/>
          <w:sz w:val="21"/>
          <w:szCs w:val="21"/>
          <w:highlight w:val="none"/>
        </w:rPr>
      </w:pPr>
      <w:r>
        <w:rPr>
          <w:rFonts w:ascii="宋体" w:hAnsi="宋体" w:cs="宋体"/>
          <w:color w:val="auto"/>
          <w:sz w:val="21"/>
          <w:szCs w:val="21"/>
          <w:highlight w:val="none"/>
        </w:rPr>
      </w:r>
      <w:r/>
    </w:p>
    <w:p>
      <w:pPr>
        <w:pStyle w:val="1191"/>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  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（磋商响应单位名称）的法定代表人，现授权委托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（姓名）为我公司委托代理人，以本公司的名义参加苏州通宜房地产土地评估咨询有限公司组织实施的编号为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1191"/>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1191"/>
        <w:ind w:firstLine="51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委托代理人无转委托权。特此委托。</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磋商响应单位：（公章）</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委托代理人：（签字或盖章）</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right="480"/>
        <w:rPr>
          <w:rFonts w:ascii="宋体" w:hAnsi="宋体" w:cs="宋体"/>
          <w:color w:val="auto"/>
          <w:highlight w:val="none"/>
        </w:rPr>
      </w:pPr>
      <w:r>
        <w:rPr>
          <w:rFonts w:ascii="宋体" w:hAnsi="宋体" w:cs="宋体"/>
          <w:color w:val="auto"/>
          <w:highlight w:val="none"/>
        </w:rPr>
      </w:r>
      <w:r/>
    </w:p>
    <w:p>
      <w:pPr>
        <w:jc w:val="left"/>
        <w:rPr>
          <w:rFonts w:ascii="宋体" w:hAnsi="宋体" w:cs="宋体"/>
          <w:b/>
          <w:bCs/>
          <w:color w:val="auto"/>
          <w:sz w:val="24"/>
          <w:highlight w:val="none"/>
        </w:rPr>
      </w:pPr>
      <w:r>
        <w:rPr>
          <w:rFonts w:ascii="宋体" w:hAnsi="宋体" w:cs="宋体"/>
          <w:b/>
          <w:bCs/>
          <w:color w:val="auto"/>
          <w:sz w:val="24"/>
          <w:highlight w:val="none"/>
        </w:rPr>
      </w:r>
      <w:r/>
    </w:p>
    <w:p>
      <w:pPr>
        <w:pStyle w:val="1191"/>
        <w:ind w:firstLine="0"/>
        <w:rPr>
          <w:rFonts w:ascii="宋体" w:hAnsi="宋体" w:cs="宋体"/>
          <w:b/>
          <w:bCs/>
          <w:color w:val="auto"/>
          <w:highlight w:val="none"/>
        </w:rPr>
      </w:pPr>
      <w:r>
        <w:rPr>
          <w:rFonts w:hint="eastAsia" w:ascii="宋体" w:hAnsi="宋体" w:cs="宋体"/>
          <w:b/>
          <w:bCs/>
          <w:color w:val="auto"/>
          <w:sz w:val="21"/>
          <w:szCs w:val="21"/>
          <w:highlight w:val="none"/>
        </w:rPr>
        <w:t xml:space="preserve">注：须单位签章、法定代表人签字或盖章、代理人签字或盖章三者齐全，否则该授权委托书无效。</w:t>
      </w:r>
      <w:r/>
    </w:p>
    <w:p>
      <w:pPr>
        <w:pStyle w:val="1191"/>
        <w:ind w:firstLine="0"/>
        <w:pageBreakBefore/>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附件3：</w:t>
      </w:r>
      <w:r>
        <w:rPr>
          <w:rFonts w:hint="eastAsia" w:ascii="宋体" w:hAnsi="宋体" w:cs="宋体"/>
          <w:b/>
          <w:bCs/>
          <w:color w:val="auto"/>
          <w:sz w:val="21"/>
          <w:szCs w:val="21"/>
          <w:highlight w:val="none"/>
          <w:lang w:val="en-US" w:eastAsia="zh-CN"/>
        </w:rPr>
        <w:t xml:space="preserve">开标一览表（</w:t>
      </w:r>
      <w:r>
        <w:rPr>
          <w:rFonts w:hint="eastAsia" w:ascii="宋体" w:hAnsi="宋体" w:cs="宋体"/>
          <w:b/>
          <w:bCs/>
          <w:color w:val="auto"/>
          <w:sz w:val="21"/>
          <w:szCs w:val="21"/>
          <w:highlight w:val="none"/>
        </w:rPr>
        <w:t xml:space="preserve">具体按照“苏采云”系统格式填报投标总报价并签章</w:t>
      </w:r>
      <w:r>
        <w:rPr>
          <w:rFonts w:hint="eastAsia" w:ascii="宋体" w:hAnsi="宋体" w:cs="宋体"/>
          <w:b/>
          <w:bCs/>
          <w:color w:val="auto"/>
          <w:sz w:val="21"/>
          <w:szCs w:val="21"/>
          <w:highlight w:val="none"/>
          <w:lang w:eastAsia="zh-CN"/>
        </w:rPr>
        <w:t xml:space="preserve">）</w:t>
      </w:r>
      <w:r/>
    </w:p>
    <w:p>
      <w:pPr>
        <w:pStyle w:val="1180"/>
        <w:spacing w:line="380" w:lineRule="exact"/>
        <w:rPr>
          <w:rFonts w:hAnsi="宋体" w:cs="宋体"/>
          <w:b/>
          <w:color w:val="auto"/>
          <w:szCs w:val="21"/>
          <w:highlight w:val="none"/>
        </w:rPr>
      </w:pPr>
      <w:r>
        <w:rPr>
          <w:rFonts w:hAnsi="宋体" w:cs="宋体"/>
          <w:b/>
          <w:color w:val="auto"/>
          <w:szCs w:val="21"/>
          <w:highlight w:val="none"/>
        </w:rPr>
      </w:r>
      <w:r/>
    </w:p>
    <w:p>
      <w:pPr>
        <w:pStyle w:val="921"/>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磋商响应报价表</w:t>
      </w:r>
      <w:r>
        <w:rPr>
          <w:rStyle w:val="1192"/>
          <w:rFonts w:hint="eastAsia" w:ascii="宋体" w:hAnsi="宋体" w:cs="宋体"/>
          <w:b/>
          <w:color w:val="auto"/>
          <w:highlight w:val="none"/>
        </w:rPr>
        <w:t xml:space="preserve">（第一次报价）</w:t>
      </w:r>
      <w:r>
        <w:rPr>
          <w:rFonts w:hint="eastAsia" w:hAnsi="宋体" w:eastAsia="宋体" w:cs="宋体"/>
          <w:b/>
          <w:color w:val="auto"/>
          <w:sz w:val="21"/>
          <w:szCs w:val="21"/>
          <w:highlight w:val="none"/>
        </w:rPr>
        <w:t xml:space="preserve"> </w:t>
      </w:r>
      <w:r>
        <w:rPr>
          <w:rFonts w:hint="eastAsia" w:hAnsi="宋体" w:eastAsia="宋体" w:cs="宋体"/>
          <w:color w:val="auto"/>
          <w:spacing w:val="20"/>
          <w:sz w:val="21"/>
          <w:szCs w:val="21"/>
          <w:highlight w:val="none"/>
        </w:rPr>
        <w:t xml:space="preserve">               </w:t>
      </w:r>
      <w:r/>
    </w:p>
    <w:p>
      <w:pPr>
        <w:pStyle w:val="921"/>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                                                 </w:t>
      </w:r>
      <w:r/>
    </w:p>
    <w:tbl>
      <w:tblPr>
        <w:tblStyle w:val="860"/>
        <w:tblW w:w="92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485"/>
        <w:gridCol w:w="2387"/>
        <w:gridCol w:w="2529"/>
        <w:gridCol w:w="983"/>
      </w:tblGrid>
      <w:tr>
        <w:trPr>
          <w:trHeight w:val="791"/>
        </w:trPr>
        <w:tc>
          <w:tcPr>
            <w:tcW w:w="853"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485"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   目</w:t>
            </w:r>
            <w:r/>
          </w:p>
        </w:tc>
        <w:tc>
          <w:tcPr>
            <w:tcW w:w="2387"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投标报价（元）</w:t>
            </w:r>
            <w:r/>
          </w:p>
        </w:tc>
        <w:tc>
          <w:tcPr>
            <w:tcW w:w="2529"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服务期限</w:t>
            </w:r>
            <w:r/>
          </w:p>
        </w:tc>
        <w:tc>
          <w:tcPr>
            <w:tcW w:w="983"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trHeight w:val="923"/>
        </w:trPr>
        <w:tc>
          <w:tcPr>
            <w:tcW w:w="853"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2485" w:type="dxa"/>
            <w:textDirection w:val="lrTb"/>
            <w:noWrap w:val="false"/>
          </w:tcPr>
          <w:p>
            <w:pPr>
              <w:pStyle w:val="921"/>
              <w:jc w:val="center"/>
              <w:spacing w:after="100"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兴黎社区综合服务项目</w:t>
            </w:r>
            <w:r/>
          </w:p>
        </w:tc>
        <w:tc>
          <w:tcPr>
            <w:tcW w:w="2387"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2529"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983"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899"/>
        </w:trPr>
        <w:tc>
          <w:tcPr>
            <w:gridSpan w:val="5"/>
            <w:tcW w:w="9237"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合计（人民币）大写金额：                       小写金额：（</w:t>
            </w:r>
            <w:r>
              <w:rPr>
                <w:rFonts w:hint="eastAsia" w:hAnsi="宋体" w:eastAsia="宋体" w:cs="宋体"/>
                <w:color w:val="auto"/>
                <w:spacing w:val="20"/>
                <w:sz w:val="21"/>
                <w:szCs w:val="21"/>
                <w:highlight w:val="none"/>
              </w:rPr>
              <w:t xml:space="preserve">￥：    ）</w:t>
            </w:r>
            <w:r/>
          </w:p>
        </w:tc>
      </w:tr>
    </w:tbl>
    <w:p>
      <w:pPr>
        <w:pStyle w:val="921"/>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21"/>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21"/>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21"/>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921"/>
        <w:ind w:firstLine="210"/>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注：本表中的报价为综合报价，包括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除非因特殊原因并经买卖双方协商同意，乙方不得再要求追加任何费用，同时，除非合同条款中另有规定，否则，乙方所报价格在合同实施期间不因市场变化因素而变动。 </w:t>
      </w:r>
      <w:r/>
    </w:p>
    <w:p>
      <w:pPr>
        <w:ind w:firstLine="420"/>
        <w:spacing w:after="100" w:line="400" w:lineRule="exact"/>
        <w:rPr>
          <w:rFonts w:ascii="宋体" w:hAnsi="宋体" w:cs="宋体"/>
          <w:color w:val="auto"/>
          <w:szCs w:val="21"/>
          <w:highlight w:val="none"/>
        </w:rPr>
      </w:pPr>
      <w:r>
        <w:rPr>
          <w:rFonts w:ascii="宋体" w:hAnsi="宋体" w:cs="宋体"/>
          <w:color w:val="auto"/>
          <w:szCs w:val="21"/>
          <w:highlight w:val="none"/>
        </w:rPr>
      </w:r>
      <w:r/>
    </w:p>
    <w:p>
      <w:pPr>
        <w:pStyle w:val="1191"/>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附件4：磋商响应报价分项报价表</w:t>
      </w:r>
      <w:r/>
    </w:p>
    <w:p>
      <w:pPr>
        <w:pStyle w:val="921"/>
        <w:jc w:val="center"/>
        <w:spacing w:after="100" w:line="400" w:lineRule="exact"/>
        <w:rPr>
          <w:rFonts w:hAnsi="宋体" w:eastAsia="宋体" w:cs="宋体"/>
          <w:b/>
          <w:color w:val="auto"/>
          <w:sz w:val="21"/>
          <w:szCs w:val="21"/>
          <w:highlight w:val="none"/>
        </w:rPr>
      </w:pPr>
      <w:r>
        <w:rPr>
          <w:rFonts w:hAnsi="宋体" w:eastAsia="宋体" w:cs="宋体"/>
          <w:b/>
          <w:color w:val="auto"/>
          <w:sz w:val="21"/>
          <w:szCs w:val="21"/>
          <w:highlight w:val="none"/>
        </w:rPr>
      </w:r>
      <w:r/>
    </w:p>
    <w:p>
      <w:pPr>
        <w:pStyle w:val="921"/>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磋商报价分析表</w:t>
      </w:r>
      <w:r/>
    </w:p>
    <w:p>
      <w:pPr>
        <w:pStyle w:val="870"/>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rPr>
        <w:t xml:space="preserve">：            </w:t>
      </w:r>
      <w:r/>
    </w:p>
    <w:tbl>
      <w:tblPr>
        <w:tblStyle w:val="860"/>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786"/>
        <w:gridCol w:w="2735"/>
        <w:gridCol w:w="1619"/>
        <w:gridCol w:w="840"/>
        <w:gridCol w:w="1968"/>
        <w:gridCol w:w="2067"/>
      </w:tblGrid>
      <w:tr>
        <w:trPr>
          <w:jc w:val="center"/>
          <w:trHeight w:val="567"/>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7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合价</w:t>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1001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总计</w:t>
            </w:r>
            <w:r>
              <w:rPr>
                <w:rFonts w:hint="eastAsia" w:ascii="宋体" w:hAnsi="宋体" w:eastAsia="宋体" w:cs="宋体"/>
                <w:color w:val="auto"/>
                <w:szCs w:val="21"/>
                <w:highlight w:val="none"/>
              </w:rPr>
              <w:t xml:space="preserve">：                 元（大写：          ）</w:t>
            </w:r>
            <w:r/>
          </w:p>
        </w:tc>
      </w:tr>
    </w:tbl>
    <w:p>
      <w:pPr>
        <w:ind w:firstLine="210"/>
        <w:spacing w:after="100" w:line="400" w:lineRule="exact"/>
        <w:rPr>
          <w:rFonts w:ascii="宋体" w:hAnsi="宋体" w:cs="宋体"/>
          <w:color w:val="auto"/>
          <w:szCs w:val="21"/>
          <w:highlight w:val="none"/>
        </w:rPr>
      </w:pPr>
      <w:r>
        <w:rPr>
          <w:rFonts w:ascii="宋体" w:hAnsi="宋体" w:cs="宋体"/>
          <w:color w:val="auto"/>
          <w:szCs w:val="21"/>
          <w:highlight w:val="none"/>
        </w:rPr>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                 </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pStyle w:val="1143"/>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注：</w:t>
      </w:r>
      <w:r/>
    </w:p>
    <w:p>
      <w:pPr>
        <w:pStyle w:val="1143"/>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1.本表合计金额应与磋商响应报价表</w:t>
      </w:r>
      <w:r>
        <w:rPr>
          <w:rFonts w:hint="eastAsia" w:hAnsi="宋体" w:eastAsia="宋体" w:cs="宋体"/>
          <w:color w:val="auto"/>
          <w:sz w:val="21"/>
          <w:szCs w:val="21"/>
          <w:highlight w:val="none"/>
        </w:rPr>
        <w:t xml:space="preserve">中磋商总价</w:t>
      </w:r>
      <w:r>
        <w:rPr>
          <w:rFonts w:hint="eastAsia" w:hAnsi="宋体" w:eastAsia="宋体" w:cs="宋体"/>
          <w:color w:val="auto"/>
          <w:sz w:val="21"/>
          <w:szCs w:val="21"/>
          <w:highlight w:val="none"/>
          <w:lang w:val="zh-CN"/>
        </w:rPr>
        <w:t xml:space="preserve">一致，否则磋商总报价将以磋商响应报价表为准。</w:t>
      </w:r>
      <w:r/>
    </w:p>
    <w:p>
      <w:pPr>
        <w:pStyle w:val="1143"/>
        <w:rPr>
          <w:rFonts w:hAnsi="宋体" w:eastAsia="宋体" w:cs="宋体"/>
          <w:color w:val="auto"/>
          <w:sz w:val="21"/>
          <w:szCs w:val="21"/>
          <w:highlight w:val="none"/>
          <w:lang w:val="zh-CN"/>
        </w:rPr>
      </w:pPr>
      <w:r>
        <w:rPr>
          <w:rFonts w:ascii="宋体" w:hAnsi="宋体" w:eastAsia="宋体" w:cs="宋体"/>
          <w:color w:val="000000"/>
          <w:sz w:val="22"/>
        </w:rPr>
        <w:t xml:space="preserve">2、投标单位应详细列明布展项清单报价。投标人应对招标文件内所要采购的全部内容进行报价，只投其中部分内容者，其标书将被拒绝。</w:t>
      </w:r>
      <w:r/>
    </w:p>
    <w:p>
      <w:pPr>
        <w:ind w:firstLine="420"/>
        <w:rPr>
          <w:rFonts w:ascii="宋体" w:hAnsi="宋体" w:cs="宋体"/>
          <w:b/>
          <w:bCs/>
          <w:color w:val="auto"/>
          <w:szCs w:val="21"/>
          <w:highlight w:val="none"/>
          <w:lang w:val="zh-CN"/>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5.1</w:t>
      </w:r>
      <w:r>
        <w:rPr>
          <w:rFonts w:hint="eastAsia" w:ascii="宋体" w:hAnsi="宋体" w:cs="宋体"/>
          <w:b/>
          <w:bCs/>
          <w:color w:val="auto"/>
          <w:szCs w:val="21"/>
          <w:highlight w:val="none"/>
          <w:lang w:val="zh-CN"/>
        </w:rPr>
        <w:t xml:space="preserve">关于资格文件的声明函</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关于资格文件的声明函</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pStyle w:val="1191"/>
        <w:ind w:firstLine="660"/>
        <w:rPr>
          <w:rFonts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191"/>
        <w:tabs>
          <w:tab w:val="left" w:pos="324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191"/>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响应单位法定代表人或委托代理人：（签字或盖章）</w:t>
      </w:r>
      <w:r/>
    </w:p>
    <w:p>
      <w:pPr>
        <w:pStyle w:val="1191"/>
        <w:ind w:left="1700"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磋商响应单位：（公章）</w:t>
      </w:r>
      <w:r/>
    </w:p>
    <w:p>
      <w:pPr>
        <w:pStyle w:val="1191"/>
        <w:ind w:left="4675"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1"/>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月 </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日</w:t>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5.2具备履行合同所必需的设备和专业技术能力的书面声明</w:t>
      </w:r>
      <w:r/>
    </w:p>
    <w:p>
      <w:pPr>
        <w:jc w:val="center"/>
        <w:spacing w:line="44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w:t>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pStyle w:val="1191"/>
        <w:ind w:left="2940" w:firstLine="0"/>
        <w:rPr>
          <w:rFonts w:ascii="宋体" w:hAnsi="宋体" w:cs="宋体"/>
          <w:color w:val="auto"/>
          <w:sz w:val="21"/>
          <w:szCs w:val="21"/>
          <w:highlight w:val="none"/>
        </w:rPr>
      </w:pPr>
      <w:r>
        <w:rPr>
          <w:rFonts w:ascii="宋体" w:hAnsi="宋体" w:cs="宋体"/>
          <w:color w:val="auto"/>
          <w:sz w:val="21"/>
          <w:szCs w:val="21"/>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5.3参</w:t>
      </w:r>
      <w:r>
        <w:rPr>
          <w:rFonts w:hint="eastAsia" w:ascii="宋体" w:hAnsi="宋体" w:cs="宋体"/>
          <w:b/>
          <w:color w:val="auto"/>
          <w:szCs w:val="21"/>
          <w:highlight w:val="none"/>
        </w:rPr>
        <w:t xml:space="preserve">加采购活动前3年内在经营活动中没有重大违法记录的书面声明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pStyle w:val="1191"/>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5.4</w:t>
      </w:r>
      <w:r>
        <w:rPr>
          <w:rFonts w:hint="eastAsia" w:ascii="宋体" w:hAnsi="宋体" w:cs="宋体"/>
          <w:b/>
          <w:bCs/>
          <w:color w:val="auto"/>
          <w:szCs w:val="21"/>
          <w:highlight w:val="none"/>
          <w:lang w:val="zh-CN"/>
        </w:rPr>
        <w:t xml:space="preserve">响应单位情况表</w:t>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响应单位基本情况表</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磋商响应单位：（公章）</w:t>
      </w:r>
      <w:r/>
    </w:p>
    <w:tbl>
      <w:tblPr>
        <w:tblStyle w:val="860"/>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995"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3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3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99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c>
          <w:tcPr>
            <w:tcW w:w="214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99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31"/>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760"/>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Height w:val="1245"/>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618"/>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法定代表人或其授权代表：（签字或盖章）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w:t>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color w:val="auto"/>
          <w:szCs w:val="21"/>
          <w:highlight w:val="none"/>
          <w:lang w:val="zh-CN"/>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5</w:t>
      </w:r>
      <w:r>
        <w:rPr>
          <w:rFonts w:hint="eastAsia" w:ascii="宋体" w:hAnsi="宋体" w:cs="宋体"/>
          <w:b/>
          <w:color w:val="auto"/>
          <w:szCs w:val="21"/>
          <w:highlight w:val="none"/>
          <w:lang w:val="zh-CN"/>
        </w:rPr>
        <w:t xml:space="preserve">响应单位资格承诺书</w:t>
      </w:r>
      <w:r/>
    </w:p>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响应单位资格承诺书</w:t>
      </w:r>
      <w:r/>
    </w:p>
    <w:p>
      <w:pPr>
        <w:ind w:firstLine="315"/>
        <w:rPr>
          <w:rFonts w:ascii="宋体" w:hAnsi="宋体" w:cs="宋体"/>
          <w:color w:val="auto"/>
          <w:szCs w:val="21"/>
          <w:highlight w:val="none"/>
          <w:lang w:val="zh-CN"/>
        </w:rPr>
      </w:pPr>
      <w:r>
        <w:rPr>
          <w:rFonts w:hint="eastAsia" w:ascii="宋体" w:hAnsi="宋体" w:cs="宋体"/>
          <w:color w:val="auto"/>
          <w:szCs w:val="21"/>
          <w:highlight w:val="none"/>
        </w:rPr>
        <w:t xml:space="preserve">响应单位：（公章）                             </w:t>
      </w: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号</w:t>
      </w:r>
      <w:r/>
    </w:p>
    <w:tbl>
      <w:tblPr>
        <w:tblStyle w:val="86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012"/>
        <w:gridCol w:w="1756"/>
        <w:gridCol w:w="3555"/>
      </w:tblGrid>
      <w:tr>
        <w:trPr>
          <w:jc w:val="center"/>
          <w:trHeight w:val="696"/>
        </w:trPr>
        <w:tc>
          <w:tcPr>
            <w:tcW w:w="959"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1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响应单位部分资格要求</w:t>
            </w:r>
            <w:r/>
          </w:p>
        </w:tc>
        <w:tc>
          <w:tcPr>
            <w:tcW w:w="175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是否完全满足</w:t>
            </w:r>
            <w:r/>
          </w:p>
        </w:tc>
        <w:tc>
          <w:tcPr>
            <w:tcW w:w="3555"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提供承诺或相关证明材料</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bl>
    <w:p>
      <w:pPr>
        <w:pStyle w:val="1189"/>
        <w:ind w:firstLine="630"/>
        <w:spacing w:before="0" w:beforeAutospacing="0" w:after="0" w:afterAutospacing="0"/>
        <w:rPr>
          <w:color w:val="auto"/>
          <w:sz w:val="21"/>
          <w:szCs w:val="21"/>
          <w:highlight w:val="none"/>
        </w:rPr>
      </w:pPr>
      <w:r>
        <w:rPr>
          <w:rFonts w:hint="eastAsia"/>
          <w:color w:val="auto"/>
          <w:sz w:val="21"/>
          <w:szCs w:val="21"/>
          <w:highlight w:val="none"/>
        </w:rPr>
        <w:t xml:space="preserve">磋商响应单位（公章）：</w:t>
      </w:r>
      <w:r/>
    </w:p>
    <w:p>
      <w:pPr>
        <w:pStyle w:val="1189"/>
        <w:ind w:firstLine="630"/>
        <w:spacing w:before="0" w:beforeAutospacing="0" w:after="0" w:afterAutospacing="0"/>
        <w:rPr>
          <w:color w:val="auto"/>
          <w:sz w:val="21"/>
          <w:szCs w:val="21"/>
          <w:highlight w:val="none"/>
        </w:rPr>
      </w:pPr>
      <w:r>
        <w:rPr>
          <w:rFonts w:hint="eastAsia"/>
          <w:color w:val="auto"/>
          <w:sz w:val="21"/>
          <w:szCs w:val="21"/>
          <w:highlight w:val="none"/>
        </w:rPr>
        <w:t xml:space="preserve">法定代表人或委托代理人：（签字或盖章）</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191"/>
        <w:ind w:firstLine="0"/>
        <w:rPr>
          <w:rFonts w:ascii="宋体" w:hAnsi="宋体" w:cs="宋体"/>
          <w:color w:val="auto"/>
          <w:sz w:val="21"/>
          <w:szCs w:val="21"/>
          <w:highlight w:val="none"/>
        </w:rPr>
      </w:pPr>
      <w:r>
        <w:rPr>
          <w:rFonts w:ascii="宋体" w:hAnsi="宋体" w:cs="宋体"/>
          <w:color w:val="auto"/>
          <w:sz w:val="21"/>
          <w:szCs w:val="21"/>
          <w:highlight w:val="none"/>
        </w:rPr>
      </w:r>
      <w:r/>
    </w:p>
    <w:p>
      <w:pPr>
        <w:pageBreakBefore/>
        <w:rPr>
          <w:rFonts w:ascii="宋体" w:hAnsi="宋体" w:cs="宋体"/>
          <w:b/>
          <w:bCs/>
          <w:color w:val="auto"/>
          <w:szCs w:val="21"/>
          <w:highlight w:val="none"/>
          <w:lang w:val="zh-CN"/>
        </w:rPr>
      </w:pPr>
      <w:r>
        <w:rPr>
          <w:rFonts w:hint="eastAsia" w:ascii="宋体" w:hAnsi="宋体" w:cs="宋体"/>
          <w:b/>
          <w:color w:val="auto"/>
          <w:szCs w:val="21"/>
          <w:highlight w:val="none"/>
        </w:rPr>
        <w:t xml:space="preserve">5.6</w:t>
      </w:r>
      <w:r>
        <w:rPr>
          <w:rFonts w:hint="eastAsia" w:ascii="宋体" w:hAnsi="宋体" w:cs="宋体"/>
          <w:b/>
          <w:bCs/>
          <w:color w:val="auto"/>
          <w:szCs w:val="21"/>
          <w:highlight w:val="none"/>
          <w:lang w:val="zh-CN"/>
        </w:rPr>
        <w:t xml:space="preserve">中小企业声明资料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中小企业声明函（服务）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095"/>
        <w:rPr>
          <w:rFonts w:ascii="宋体" w:hAnsi="宋体" w:cs="宋体"/>
          <w:color w:val="auto"/>
          <w:szCs w:val="21"/>
          <w:highlight w:val="none"/>
          <w:lang w:val="zh-CN"/>
        </w:rPr>
      </w:pPr>
      <w:r>
        <w:rPr>
          <w:rFonts w:hint="eastAsia" w:ascii="宋体" w:hAnsi="宋体" w:cs="宋体"/>
          <w:color w:val="auto"/>
          <w:szCs w:val="21"/>
          <w:highlight w:val="none"/>
        </w:rPr>
        <w:t xml:space="preserve">日 期：</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注：供应商对照《关于印发中小企业划型标准规定的通知》（工信部联企业【2011】300号）中的标准，明确标的承接企业所属企业类型。</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备注：1.从业人员、营业收入、资产总额填报上一年度数据，无上一年度数据的新成立企业可不填报。</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Cs w:val="21"/>
          <w:highlight w:val="none"/>
        </w:rPr>
        <w:t xml:space="preserve">服务类项目中供应商若使用退休人员，将不享受相应扶持政策。具体见《政府采购促进中小企业发展管理办法》第四条第（三）点的规定。</w:t>
      </w:r>
      <w:r/>
    </w:p>
    <w:p>
      <w:pPr>
        <w:pStyle w:val="1114"/>
        <w:ind w:firstLine="428"/>
        <w:rPr>
          <w:rFonts w:ascii="宋体" w:hAnsi="宋体" w:cs="宋体"/>
          <w:b/>
          <w:bCs/>
          <w:color w:val="auto"/>
          <w:szCs w:val="21"/>
          <w:highlight w:val="none"/>
        </w:rPr>
      </w:pPr>
      <w:r>
        <w:rPr>
          <w:rFonts w:ascii="宋体" w:hAnsi="宋体" w:cs="宋体"/>
          <w:b/>
          <w:bCs/>
          <w:color w:val="auto"/>
          <w:szCs w:val="21"/>
          <w:highlight w:val="none"/>
        </w:rPr>
      </w:r>
      <w:r/>
    </w:p>
    <w:p>
      <w:pPr>
        <w:pStyle w:val="1114"/>
        <w:ind w:firstLine="428"/>
        <w:rPr>
          <w:rFonts w:ascii="宋体" w:hAnsi="宋体" w:cs="宋体"/>
          <w:color w:val="auto"/>
          <w:szCs w:val="21"/>
          <w:highlight w:val="none"/>
        </w:rPr>
      </w:pPr>
      <w:r>
        <w:rPr>
          <w:rFonts w:hint="eastAsia" w:ascii="宋体" w:hAnsi="宋体" w:cs="宋体"/>
          <w:b/>
          <w:bCs/>
          <w:color w:val="auto"/>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Cs w:val="21"/>
          <w:highlight w:val="none"/>
        </w:rPr>
        <w:t xml:space="preserve">。</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right"/>
        <w:rPr>
          <w:rFonts w:ascii="宋体" w:hAnsi="宋体" w:cs="宋体"/>
          <w:color w:val="auto"/>
          <w:szCs w:val="21"/>
          <w:highlight w:val="none"/>
        </w:rPr>
      </w:pPr>
      <w:r>
        <w:rPr>
          <w:rFonts w:ascii="宋体" w:hAnsi="宋体" w:cs="宋体"/>
          <w:color w:val="auto"/>
          <w:szCs w:val="21"/>
          <w:highlight w:val="none"/>
        </w:rPr>
      </w:r>
      <w:r/>
    </w:p>
    <w:p>
      <w:pPr>
        <w:pStyle w:val="1193"/>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193"/>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193"/>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ind w:right="-5"/>
        <w:pageBreakBefore/>
        <w:rPr>
          <w:rFonts w:ascii="宋体" w:hAnsi="宋体" w:cs="宋体"/>
          <w:b/>
          <w:color w:val="auto"/>
          <w:szCs w:val="21"/>
          <w:highlight w:val="none"/>
        </w:rPr>
      </w:pPr>
      <w:r/>
      <w:bookmarkStart w:id="80" w:name="OLE_LINK13"/>
      <w:r/>
      <w:bookmarkStart w:id="81" w:name="OLE_LINK14"/>
      <w:r>
        <w:rPr>
          <w:rFonts w:hint="eastAsia" w:ascii="宋体" w:hAnsi="宋体" w:cs="宋体"/>
          <w:b/>
          <w:color w:val="auto"/>
          <w:szCs w:val="21"/>
          <w:highlight w:val="none"/>
        </w:rPr>
        <w:t xml:space="preserve">5.7 残疾人福利性单位声明函</w:t>
      </w:r>
      <w:r/>
    </w:p>
    <w:p>
      <w:pPr>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80"/>
      <w:r/>
      <w:bookmarkEnd w:id="81"/>
      <w:r/>
      <w:r/>
    </w:p>
    <w:p>
      <w:pPr>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widowControl/>
        <w:rPr>
          <w:rFonts w:ascii="宋体" w:hAnsi="宋体" w:cs="宋体"/>
          <w:color w:val="auto"/>
          <w:szCs w:val="21"/>
          <w:highlight w:val="none"/>
        </w:rPr>
      </w:pPr>
      <w:r>
        <w:rPr>
          <w:rFonts w:ascii="宋体" w:hAnsi="宋体" w:cs="宋体"/>
          <w:color w:val="auto"/>
          <w:szCs w:val="21"/>
          <w:highlight w:val="none"/>
        </w:rPr>
      </w:r>
      <w:r/>
    </w:p>
    <w:p>
      <w:pPr>
        <w:ind w:right="492" w:firstLine="388"/>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ascii="宋体" w:hAnsi="宋体" w:cs="宋体"/>
          <w:b/>
          <w:bCs/>
          <w:color w:val="auto"/>
          <w:szCs w:val="21"/>
          <w:highlight w:val="none"/>
        </w:rPr>
      </w:pPr>
      <w:r>
        <w:rPr>
          <w:rFonts w:hint="eastAsia" w:ascii="宋体" w:hAnsi="宋体" w:cs="宋体"/>
          <w:b/>
          <w:color w:val="auto"/>
          <w:szCs w:val="21"/>
          <w:highlight w:val="none"/>
        </w:rPr>
        <w:t xml:space="preserve">5.8监狱企业声明函</w:t>
      </w:r>
      <w:r/>
    </w:p>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监狱企业声明函</w:t>
      </w:r>
      <w:r/>
    </w:p>
    <w:p>
      <w:pPr>
        <w:pStyle w:val="1189"/>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189"/>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1189"/>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1189"/>
        <w:numPr>
          <w:ilvl w:val="0"/>
          <w:numId w:val="7"/>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1189"/>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1189"/>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1189"/>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189"/>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1189"/>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hint="eastAsia" w:ascii="宋体" w:hAnsi="宋体" w:cs="宋体"/>
          <w:b/>
          <w:color w:val="auto"/>
          <w:szCs w:val="21"/>
          <w:highlight w:val="none"/>
          <w:lang w:eastAsia="zh-CN"/>
        </w:rPr>
      </w:pPr>
      <w:r>
        <w:rPr>
          <w:rFonts w:hint="eastAsia" w:ascii="宋体" w:hAnsi="宋体" w:cs="宋体"/>
          <w:b/>
          <w:color w:val="auto"/>
          <w:szCs w:val="21"/>
          <w:highlight w:val="none"/>
          <w:lang w:val="en-US" w:eastAsia="zh-CN"/>
        </w:rPr>
        <w:t xml:space="preserve">5.9</w:t>
      </w:r>
      <w:r>
        <w:rPr>
          <w:rFonts w:hint="eastAsia" w:ascii="宋体" w:hAnsi="宋体" w:cs="宋体"/>
          <w:b/>
          <w:color w:val="auto"/>
          <w:szCs w:val="21"/>
          <w:highlight w:val="none"/>
          <w:lang w:eastAsia="zh-CN"/>
        </w:rPr>
        <w:t xml:space="preserve">关于符合本国产品标准的声明函（</w:t>
      </w:r>
      <w:r>
        <w:rPr>
          <w:rFonts w:hint="eastAsia" w:ascii="宋体" w:hAnsi="宋体" w:cs="宋体"/>
          <w:b/>
          <w:color w:val="auto"/>
          <w:szCs w:val="21"/>
          <w:highlight w:val="none"/>
          <w:lang w:val="en-US" w:eastAsia="zh-CN"/>
        </w:rPr>
        <w:t xml:space="preserve">项目</w:t>
      </w:r>
      <w:r>
        <w:rPr>
          <w:rFonts w:hint="eastAsia" w:ascii="宋体" w:hAnsi="宋体" w:cs="宋体"/>
          <w:b/>
          <w:color w:val="auto"/>
          <w:szCs w:val="21"/>
          <w:highlight w:val="none"/>
          <w:lang w:eastAsia="zh-CN"/>
        </w:rPr>
        <w:t xml:space="preserve">编号：）</w:t>
      </w:r>
      <w:r/>
    </w:p>
    <w:p>
      <w:pPr>
        <w:pStyle w:val="865"/>
        <w:spacing w:line="252" w:lineRule="auto"/>
        <w:rPr>
          <w:color w:val="auto"/>
          <w:highlight w:val="none"/>
          <w:lang w:eastAsia="zh-CN"/>
        </w:rPr>
      </w:pPr>
      <w:r>
        <w:rPr>
          <w:color w:val="auto"/>
          <w:highlight w:val="none"/>
          <w:lang w:eastAsia="zh-CN"/>
        </w:rPr>
      </w:r>
      <w:r/>
    </w:p>
    <w:p>
      <w:pPr>
        <w:pStyle w:val="865"/>
        <w:spacing w:line="252" w:lineRule="auto"/>
        <w:rPr>
          <w:color w:val="auto"/>
          <w:highlight w:val="none"/>
          <w:lang w:eastAsia="zh-CN"/>
        </w:rPr>
      </w:pPr>
      <w:r>
        <w:rPr>
          <w:color w:val="auto"/>
          <w:highlight w:val="none"/>
          <w:lang w:eastAsia="zh-CN"/>
        </w:rPr>
      </w:r>
      <w:r/>
    </w:p>
    <w:p>
      <w:pPr>
        <w:jc w:val="center"/>
        <w:spacing w:before="65" w:line="227" w:lineRule="auto"/>
        <w:rPr>
          <w:rFonts w:ascii="宋体" w:hAnsi="宋体" w:eastAsia="宋体" w:cs="宋体"/>
          <w:color w:val="auto"/>
          <w:sz w:val="21"/>
          <w:szCs w:val="21"/>
          <w:highlight w:val="none"/>
          <w:lang w:eastAsia="zh-CN"/>
        </w:rPr>
      </w:pPr>
      <w:r>
        <w:rPr>
          <w:rFonts w:ascii="宋体" w:hAnsi="宋体" w:eastAsia="宋体" w:cs="宋体"/>
          <w:b/>
          <w:bCs/>
          <w:color w:val="auto"/>
          <w:spacing w:val="7"/>
          <w:sz w:val="21"/>
          <w:szCs w:val="21"/>
          <w:highlight w:val="none"/>
          <w:lang w:eastAsia="zh-CN"/>
        </w:rPr>
        <w:t xml:space="preserve">关于符合本国产品标准的声明函</w:t>
      </w:r>
      <w:r/>
    </w:p>
    <w:p>
      <w:pPr>
        <w:pStyle w:val="865"/>
        <w:spacing w:line="250" w:lineRule="auto"/>
        <w:rPr>
          <w:color w:val="auto"/>
          <w:sz w:val="21"/>
          <w:szCs w:val="21"/>
          <w:highlight w:val="none"/>
          <w:lang w:eastAsia="zh-CN"/>
        </w:rPr>
      </w:pPr>
      <w:r>
        <w:rPr>
          <w:color w:val="auto"/>
          <w:sz w:val="21"/>
          <w:szCs w:val="21"/>
          <w:highlight w:val="none"/>
          <w:lang w:eastAsia="zh-CN"/>
        </w:rPr>
      </w:r>
      <w:r/>
    </w:p>
    <w:p>
      <w:pPr>
        <w:pStyle w:val="865"/>
        <w:spacing w:line="251" w:lineRule="auto"/>
        <w:rPr>
          <w:color w:val="auto"/>
          <w:sz w:val="21"/>
          <w:szCs w:val="21"/>
          <w:highlight w:val="none"/>
          <w:lang w:eastAsia="zh-CN"/>
        </w:rPr>
      </w:pPr>
      <w:r>
        <w:rPr>
          <w:color w:val="auto"/>
          <w:sz w:val="21"/>
          <w:szCs w:val="21"/>
          <w:highlight w:val="none"/>
          <w:lang w:eastAsia="zh-CN"/>
        </w:rPr>
      </w:r>
      <w:r/>
    </w:p>
    <w:p>
      <w:pPr>
        <w:ind w:left="163" w:right="173" w:firstLine="416"/>
        <w:spacing w:before="65" w:line="378" w:lineRule="auto"/>
        <w:rPr>
          <w:rFonts w:ascii="宋体" w:hAnsi="宋体" w:eastAsia="宋体" w:cs="宋体"/>
          <w:color w:val="auto"/>
          <w:sz w:val="21"/>
          <w:szCs w:val="21"/>
          <w:highlight w:val="none"/>
          <w:lang w:eastAsia="zh-CN"/>
        </w:rPr>
      </w:pPr>
      <w:r>
        <w:rPr>
          <w:rFonts w:ascii="宋体" w:hAnsi="宋体" w:eastAsia="宋体" w:cs="宋体"/>
          <w:color w:val="auto"/>
          <w:spacing w:val="10"/>
          <w:sz w:val="21"/>
          <w:szCs w:val="21"/>
          <w:highlight w:val="none"/>
          <w:lang w:eastAsia="zh-CN"/>
        </w:rPr>
        <w:t xml:space="preserve">本公司</w:t>
      </w:r>
      <w:r>
        <w:rPr>
          <w:rFonts w:ascii="宋体" w:hAnsi="宋体" w:eastAsia="宋体" w:cs="宋体"/>
          <w:color w:val="auto"/>
          <w:spacing w:val="10"/>
          <w:sz w:val="21"/>
          <w:szCs w:val="21"/>
          <w:highlight w:val="none"/>
          <w:u w:val="single"/>
          <w:lang w:eastAsia="zh-CN"/>
        </w:rPr>
        <w:t xml:space="preserve">（单位）</w:t>
      </w:r>
      <w:r>
        <w:rPr>
          <w:rFonts w:ascii="宋体" w:hAnsi="宋体" w:eastAsia="宋体" w:cs="宋体"/>
          <w:color w:val="auto"/>
          <w:spacing w:val="10"/>
          <w:sz w:val="21"/>
          <w:szCs w:val="21"/>
          <w:highlight w:val="none"/>
          <w:lang w:eastAsia="zh-CN"/>
        </w:rPr>
        <w:t xml:space="preserve">郑重声明，根据《国务院办公厅关于在政府采购中实施</w:t>
      </w:r>
      <w:r>
        <w:rPr>
          <w:rFonts w:ascii="宋体" w:hAnsi="宋体" w:eastAsia="宋体" w:cs="宋体"/>
          <w:color w:val="auto"/>
          <w:spacing w:val="9"/>
          <w:sz w:val="21"/>
          <w:szCs w:val="21"/>
          <w:highlight w:val="none"/>
          <w:lang w:eastAsia="zh-CN"/>
        </w:rPr>
        <w:t xml:space="preserve">本国产品标准及相关政策的通知》（国办发〔2025〕34号）的规定，本公司</w:t>
      </w:r>
      <w:r>
        <w:rPr>
          <w:rFonts w:ascii="宋体" w:hAnsi="宋体" w:eastAsia="宋体" w:cs="宋体"/>
          <w:color w:val="auto"/>
          <w:spacing w:val="9"/>
          <w:sz w:val="21"/>
          <w:szCs w:val="21"/>
          <w:highlight w:val="none"/>
          <w:u w:val="single"/>
          <w:lang w:eastAsia="zh-CN"/>
        </w:rPr>
        <w:t xml:space="preserve">（单位）</w:t>
      </w:r>
      <w:r>
        <w:rPr>
          <w:rFonts w:ascii="宋体" w:hAnsi="宋体" w:eastAsia="宋体" w:cs="宋体"/>
          <w:color w:val="auto"/>
          <w:spacing w:val="9"/>
          <w:sz w:val="21"/>
          <w:szCs w:val="21"/>
          <w:highlight w:val="none"/>
          <w:lang w:eastAsia="zh-CN"/>
        </w:rPr>
        <w:t xml:space="preserve">提</w:t>
      </w:r>
      <w:r>
        <w:rPr>
          <w:rFonts w:ascii="宋体" w:hAnsi="宋体" w:eastAsia="宋体" w:cs="宋体"/>
          <w:color w:val="auto"/>
          <w:spacing w:val="8"/>
          <w:sz w:val="21"/>
          <w:szCs w:val="21"/>
          <w:highlight w:val="none"/>
          <w:lang w:eastAsia="zh-CN"/>
        </w:rPr>
        <w:t xml:space="preserve">供的以下产品属于本国产品。具体情况如下：</w:t>
      </w:r>
      <w:r/>
    </w:p>
    <w:p>
      <w:pPr>
        <w:ind w:right="147" w:firstLine="594"/>
        <w:spacing w:before="11" w:line="378" w:lineRule="auto"/>
        <w:tabs>
          <w:tab w:val="left" w:pos="156" w:leader="none"/>
        </w:tabs>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1.</w:t>
      </w:r>
      <w:r>
        <w:rPr>
          <w:rFonts w:ascii="宋体" w:hAnsi="宋体" w:eastAsia="宋体" w:cs="宋体"/>
          <w:color w:val="auto"/>
          <w:spacing w:val="6"/>
          <w:sz w:val="21"/>
          <w:szCs w:val="21"/>
          <w:highlight w:val="none"/>
          <w:u w:val="single"/>
          <w:lang w:eastAsia="zh-CN"/>
        </w:rPr>
        <w:t xml:space="preserve">（产品名称1）</w:t>
      </w:r>
      <w:r>
        <w:rPr>
          <w:rFonts w:ascii="宋体" w:hAnsi="宋体" w:eastAsia="宋体" w:cs="宋体"/>
          <w:color w:val="auto"/>
          <w:spacing w:val="6"/>
          <w:position w:val="10"/>
          <w:sz w:val="21"/>
          <w:szCs w:val="21"/>
          <w:highlight w:val="none"/>
          <w:lang w:eastAsia="zh-CN"/>
        </w:rPr>
        <w:t xml:space="preserve">1</w:t>
      </w:r>
      <w:r>
        <w:rPr>
          <w:rFonts w:ascii="宋体" w:hAnsi="宋体" w:eastAsia="宋体" w:cs="宋体"/>
          <w:color w:val="auto"/>
          <w:spacing w:val="6"/>
          <w:sz w:val="21"/>
          <w:szCs w:val="21"/>
          <w:highlight w:val="none"/>
          <w:lang w:eastAsia="zh-CN"/>
        </w:rPr>
        <w:t xml:space="preserve">，生产厂为</w:t>
      </w:r>
      <w:r>
        <w:rPr>
          <w:rFonts w:ascii="宋体" w:hAnsi="宋体" w:eastAsia="宋体" w:cs="宋体"/>
          <w:color w:val="auto"/>
          <w:spacing w:val="6"/>
          <w:sz w:val="21"/>
          <w:szCs w:val="21"/>
          <w:highlight w:val="none"/>
          <w:u w:val="single"/>
          <w:lang w:eastAsia="zh-CN"/>
        </w:rPr>
        <w:t xml:space="preserve">（厂名）</w:t>
      </w:r>
      <w:r>
        <w:rPr>
          <w:rFonts w:ascii="宋体" w:hAnsi="宋体" w:eastAsia="宋体" w:cs="宋体"/>
          <w:color w:val="auto"/>
          <w:spacing w:val="6"/>
          <w:position w:val="10"/>
          <w:sz w:val="21"/>
          <w:szCs w:val="21"/>
          <w:highlight w:val="none"/>
          <w:lang w:eastAsia="zh-CN"/>
        </w:rPr>
        <w:t xml:space="preserve">2</w:t>
      </w:r>
      <w:r>
        <w:rPr>
          <w:rFonts w:ascii="宋体" w:hAnsi="宋体" w:eastAsia="宋体" w:cs="宋体"/>
          <w:color w:val="auto"/>
          <w:spacing w:val="6"/>
          <w:sz w:val="21"/>
          <w:szCs w:val="21"/>
          <w:highlight w:val="none"/>
          <w:lang w:eastAsia="zh-CN"/>
        </w:rPr>
        <w:t xml:space="preserve">，厂址为</w:t>
      </w:r>
      <w:r>
        <w:rPr>
          <w:rFonts w:ascii="宋体" w:hAnsi="宋体" w:eastAsia="宋体" w:cs="宋体"/>
          <w:color w:val="auto"/>
          <w:spacing w:val="6"/>
          <w:sz w:val="21"/>
          <w:szCs w:val="21"/>
          <w:highlight w:val="none"/>
          <w:u w:val="single"/>
          <w:lang w:eastAsia="zh-CN"/>
        </w:rPr>
        <w:t xml:space="preserve">（生产厂址）</w:t>
      </w:r>
      <w:r>
        <w:rPr>
          <w:rFonts w:ascii="宋体" w:hAnsi="宋体" w:eastAsia="宋体" w:cs="宋体"/>
          <w:color w:val="auto"/>
          <w:spacing w:val="6"/>
          <w:sz w:val="21"/>
          <w:szCs w:val="21"/>
          <w:highlight w:val="none"/>
          <w:lang w:eastAsia="zh-CN"/>
        </w:rPr>
        <w:t xml:space="preserve">。</w:t>
      </w:r>
      <w:r>
        <w:rPr>
          <w:rFonts w:ascii="宋体" w:hAnsi="宋体" w:eastAsia="宋体" w:cs="宋体"/>
          <w:color w:val="auto"/>
          <w:spacing w:val="6"/>
          <w:sz w:val="21"/>
          <w:szCs w:val="21"/>
          <w:highlight w:val="none"/>
          <w:u w:val="single"/>
          <w:lang w:eastAsia="zh-CN"/>
        </w:rPr>
        <w:t xml:space="preserve"> （产品名称1） </w:t>
      </w:r>
      <w:r>
        <w:rPr>
          <w:rFonts w:ascii="宋体" w:hAnsi="宋体" w:eastAsia="宋体" w:cs="宋体"/>
          <w:color w:val="auto"/>
          <w:spacing w:val="5"/>
          <w:sz w:val="21"/>
          <w:szCs w:val="21"/>
          <w:highlight w:val="none"/>
          <w:lang w:eastAsia="zh-CN"/>
        </w:rPr>
        <w:t xml:space="preserve">的中国境内生产的</w:t>
      </w:r>
      <w:r>
        <w:rPr>
          <w:rFonts w:ascii="宋体" w:hAnsi="宋体" w:eastAsia="宋体" w:cs="宋体"/>
          <w:color w:val="auto"/>
          <w:spacing w:val="11"/>
          <w:sz w:val="21"/>
          <w:szCs w:val="21"/>
          <w:highlight w:val="none"/>
          <w:lang w:eastAsia="zh-CN"/>
        </w:rPr>
        <w:t xml:space="preserve">组件成本占比≥</w:t>
      </w:r>
      <w:r>
        <w:rPr>
          <w:rFonts w:ascii="宋体" w:hAnsi="宋体" w:eastAsia="宋体" w:cs="宋体"/>
          <w:color w:val="auto"/>
          <w:spacing w:val="11"/>
          <w:sz w:val="21"/>
          <w:szCs w:val="21"/>
          <w:highlight w:val="none"/>
          <w:u w:val="single"/>
          <w:lang w:eastAsia="zh-CN"/>
        </w:rPr>
        <w:t xml:space="preserve">（规定比例）</w:t>
      </w:r>
      <w:r>
        <w:rPr>
          <w:rFonts w:ascii="宋体" w:hAnsi="宋体" w:eastAsia="宋体" w:cs="宋体"/>
          <w:color w:val="auto"/>
          <w:spacing w:val="11"/>
          <w:position w:val="10"/>
          <w:sz w:val="21"/>
          <w:szCs w:val="21"/>
          <w:highlight w:val="none"/>
          <w:lang w:eastAsia="zh-CN"/>
        </w:rPr>
        <w:t xml:space="preserve">3</w:t>
      </w:r>
      <w:r>
        <w:rPr>
          <w:rFonts w:ascii="宋体" w:hAnsi="宋体" w:eastAsia="宋体" w:cs="宋体"/>
          <w:color w:val="auto"/>
          <w:spacing w:val="11"/>
          <w:sz w:val="21"/>
          <w:szCs w:val="21"/>
          <w:highlight w:val="none"/>
          <w:lang w:eastAsia="zh-CN"/>
        </w:rPr>
        <w:t xml:space="preserve">。</w:t>
      </w:r>
      <w:r>
        <w:rPr>
          <w:rFonts w:ascii="宋体" w:hAnsi="宋体" w:eastAsia="宋体" w:cs="宋体"/>
          <w:color w:val="auto"/>
          <w:spacing w:val="11"/>
          <w:sz w:val="21"/>
          <w:szCs w:val="21"/>
          <w:highlight w:val="none"/>
          <w:u w:val="single"/>
          <w:lang w:eastAsia="zh-CN"/>
        </w:rPr>
        <w:t xml:space="preserve">（产品名称1）</w:t>
      </w:r>
      <w:r>
        <w:rPr>
          <w:rFonts w:ascii="宋体" w:hAnsi="宋体" w:eastAsia="宋体" w:cs="宋体"/>
          <w:color w:val="auto"/>
          <w:spacing w:val="11"/>
          <w:sz w:val="21"/>
          <w:szCs w:val="21"/>
          <w:highlight w:val="none"/>
          <w:lang w:eastAsia="zh-CN"/>
        </w:rPr>
        <w:t xml:space="preserve">的</w:t>
      </w:r>
      <w:r>
        <w:rPr>
          <w:rFonts w:ascii="宋体" w:hAnsi="宋体" w:eastAsia="宋体" w:cs="宋体"/>
          <w:color w:val="auto"/>
          <w:spacing w:val="11"/>
          <w:sz w:val="21"/>
          <w:szCs w:val="21"/>
          <w:highlight w:val="none"/>
          <w:u w:val="single"/>
          <w:lang w:eastAsia="zh-CN"/>
        </w:rPr>
        <w:t xml:space="preserve">（关键组件）</w:t>
      </w:r>
      <w:r>
        <w:rPr>
          <w:rFonts w:ascii="宋体" w:hAnsi="宋体" w:eastAsia="宋体" w:cs="宋体"/>
          <w:color w:val="auto"/>
          <w:spacing w:val="11"/>
          <w:position w:val="10"/>
          <w:sz w:val="21"/>
          <w:szCs w:val="21"/>
          <w:highlight w:val="none"/>
          <w:lang w:eastAsia="zh-CN"/>
        </w:rPr>
        <w:t xml:space="preserve">4</w:t>
      </w:r>
      <w:r>
        <w:rPr>
          <w:rFonts w:ascii="宋体" w:hAnsi="宋体" w:eastAsia="宋体" w:cs="宋体"/>
          <w:color w:val="auto"/>
          <w:spacing w:val="11"/>
          <w:sz w:val="21"/>
          <w:szCs w:val="21"/>
          <w:highlight w:val="none"/>
          <w:lang w:eastAsia="zh-CN"/>
        </w:rPr>
        <w:t xml:space="preserve">在中国境内生产。</w:t>
      </w:r>
      <w:r>
        <w:rPr>
          <w:rFonts w:ascii="宋体" w:hAnsi="宋体" w:eastAsia="宋体" w:cs="宋体"/>
          <w:color w:val="auto"/>
          <w:spacing w:val="11"/>
          <w:sz w:val="21"/>
          <w:szCs w:val="21"/>
          <w:highlight w:val="none"/>
          <w:u w:val="single"/>
          <w:lang w:eastAsia="zh-CN"/>
        </w:rPr>
        <w:t xml:space="preserve">（</w:t>
      </w:r>
      <w:r>
        <w:rPr>
          <w:rFonts w:ascii="宋体" w:hAnsi="宋体" w:eastAsia="宋体" w:cs="宋体"/>
          <w:color w:val="auto"/>
          <w:spacing w:val="10"/>
          <w:sz w:val="21"/>
          <w:szCs w:val="21"/>
          <w:highlight w:val="none"/>
          <w:u w:val="single"/>
          <w:lang w:eastAsia="zh-CN"/>
        </w:rPr>
        <w:t xml:space="preserve">产品名称1）</w:t>
      </w:r>
      <w:r>
        <w:rPr>
          <w:rFonts w:ascii="宋体" w:hAnsi="宋体" w:eastAsia="宋体" w:cs="宋体"/>
          <w:color w:val="auto"/>
          <w:spacing w:val="10"/>
          <w:sz w:val="21"/>
          <w:szCs w:val="21"/>
          <w:highlight w:val="none"/>
          <w:lang w:eastAsia="zh-CN"/>
        </w:rPr>
        <w:t xml:space="preserve">的</w:t>
      </w:r>
      <w:r>
        <w:rPr>
          <w:rFonts w:ascii="宋体" w:hAnsi="宋体" w:eastAsia="宋体" w:cs="宋体"/>
          <w:color w:val="auto"/>
          <w:spacing w:val="10"/>
          <w:sz w:val="21"/>
          <w:szCs w:val="21"/>
          <w:highlight w:val="none"/>
          <w:u w:val="single"/>
          <w:lang w:eastAsia="zh-CN"/>
        </w:rPr>
        <w:t xml:space="preserve">（关</w:t>
      </w:r>
      <w:r>
        <w:rPr>
          <w:rFonts w:ascii="宋体" w:hAnsi="宋体" w:eastAsia="宋体" w:cs="宋体"/>
          <w:color w:val="auto"/>
          <w:sz w:val="21"/>
          <w:szCs w:val="21"/>
          <w:highlight w:val="none"/>
          <w:lang w:eastAsia="zh-CN"/>
        </w:rPr>
        <w:tab/>
      </w:r>
      <w:r>
        <w:rPr>
          <w:rFonts w:ascii="宋体" w:hAnsi="宋体" w:eastAsia="宋体" w:cs="宋体"/>
          <w:color w:val="auto"/>
          <w:spacing w:val="7"/>
          <w:sz w:val="21"/>
          <w:szCs w:val="21"/>
          <w:highlight w:val="none"/>
          <w:u w:val="single"/>
          <w:lang w:eastAsia="zh-CN"/>
        </w:rPr>
        <w:t xml:space="preserve">键工序）</w:t>
      </w:r>
      <w:r>
        <w:rPr>
          <w:rFonts w:ascii="宋体" w:hAnsi="宋体" w:eastAsia="宋体" w:cs="宋体"/>
          <w:color w:val="auto"/>
          <w:spacing w:val="7"/>
          <w:position w:val="10"/>
          <w:sz w:val="21"/>
          <w:szCs w:val="21"/>
          <w:highlight w:val="none"/>
          <w:lang w:eastAsia="zh-CN"/>
        </w:rPr>
        <w:t xml:space="preserve">5</w:t>
      </w:r>
      <w:r>
        <w:rPr>
          <w:rFonts w:ascii="宋体" w:hAnsi="宋体" w:eastAsia="宋体" w:cs="宋体"/>
          <w:color w:val="auto"/>
          <w:spacing w:val="7"/>
          <w:sz w:val="21"/>
          <w:szCs w:val="21"/>
          <w:highlight w:val="none"/>
          <w:lang w:eastAsia="zh-CN"/>
        </w:rPr>
        <w:t xml:space="preserve">在中国境内完成。</w:t>
      </w:r>
      <w:r/>
    </w:p>
    <w:p>
      <w:pPr>
        <w:ind w:left="157" w:firstLine="423"/>
        <w:spacing w:before="43" w:line="37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2.</w:t>
      </w:r>
      <w:r>
        <w:rPr>
          <w:rFonts w:ascii="宋体" w:hAnsi="宋体" w:eastAsia="宋体" w:cs="宋体"/>
          <w:color w:val="auto"/>
          <w:spacing w:val="8"/>
          <w:sz w:val="21"/>
          <w:szCs w:val="21"/>
          <w:highlight w:val="none"/>
          <w:u w:val="single"/>
          <w:lang w:eastAsia="zh-CN"/>
        </w:rPr>
        <w:t xml:space="preserve">（产品名称2</w:t>
      </w:r>
      <w:r>
        <w:rPr>
          <w:rFonts w:ascii="宋体" w:hAnsi="宋体" w:eastAsia="宋体" w:cs="宋体"/>
          <w:color w:val="auto"/>
          <w:spacing w:val="14"/>
          <w:sz w:val="21"/>
          <w:szCs w:val="21"/>
          <w:highlight w:val="none"/>
          <w:u w:val="single"/>
          <w:lang w:eastAsia="zh-CN"/>
        </w:rPr>
        <w:t xml:space="preserve">）</w:t>
      </w:r>
      <w:r>
        <w:rPr>
          <w:rFonts w:ascii="宋体" w:hAnsi="宋体" w:eastAsia="宋体" w:cs="宋体"/>
          <w:color w:val="auto"/>
          <w:spacing w:val="14"/>
          <w:sz w:val="21"/>
          <w:szCs w:val="21"/>
          <w:highlight w:val="none"/>
          <w:lang w:eastAsia="zh-CN"/>
        </w:rPr>
        <w:t xml:space="preserve">，</w:t>
      </w:r>
      <w:r>
        <w:rPr>
          <w:rFonts w:ascii="宋体" w:hAnsi="宋体" w:eastAsia="宋体" w:cs="宋体"/>
          <w:color w:val="auto"/>
          <w:spacing w:val="8"/>
          <w:sz w:val="21"/>
          <w:szCs w:val="21"/>
          <w:highlight w:val="none"/>
          <w:lang w:eastAsia="zh-CN"/>
        </w:rPr>
        <w:t xml:space="preserve">生产厂为</w:t>
      </w:r>
      <w:r>
        <w:rPr>
          <w:rFonts w:ascii="宋体" w:hAnsi="宋体" w:eastAsia="宋体" w:cs="宋体"/>
          <w:color w:val="auto"/>
          <w:spacing w:val="8"/>
          <w:sz w:val="21"/>
          <w:szCs w:val="21"/>
          <w:highlight w:val="none"/>
          <w:u w:val="single"/>
          <w:lang w:eastAsia="zh-CN"/>
        </w:rPr>
        <w:t xml:space="preserve">（厂名</w:t>
      </w:r>
      <w:r>
        <w:rPr>
          <w:rFonts w:ascii="宋体" w:hAnsi="宋体" w:eastAsia="宋体" w:cs="宋体"/>
          <w:color w:val="auto"/>
          <w:spacing w:val="14"/>
          <w:sz w:val="21"/>
          <w:szCs w:val="21"/>
          <w:highlight w:val="none"/>
          <w:u w:val="single"/>
          <w:lang w:eastAsia="zh-CN"/>
        </w:rPr>
        <w:t xml:space="preserve">）</w:t>
      </w:r>
      <w:r>
        <w:rPr>
          <w:rFonts w:ascii="宋体" w:hAnsi="宋体" w:eastAsia="宋体" w:cs="宋体"/>
          <w:color w:val="auto"/>
          <w:spacing w:val="14"/>
          <w:sz w:val="21"/>
          <w:szCs w:val="21"/>
          <w:highlight w:val="none"/>
          <w:lang w:eastAsia="zh-CN"/>
        </w:rPr>
        <w:t xml:space="preserve">，</w:t>
      </w:r>
      <w:r>
        <w:rPr>
          <w:rFonts w:ascii="宋体" w:hAnsi="宋体" w:eastAsia="宋体" w:cs="宋体"/>
          <w:color w:val="auto"/>
          <w:spacing w:val="8"/>
          <w:sz w:val="21"/>
          <w:szCs w:val="21"/>
          <w:highlight w:val="none"/>
          <w:lang w:eastAsia="zh-CN"/>
        </w:rPr>
        <w:t xml:space="preserve">厂址为</w:t>
      </w:r>
      <w:r>
        <w:rPr>
          <w:rFonts w:ascii="宋体" w:hAnsi="宋体" w:eastAsia="宋体" w:cs="宋体"/>
          <w:color w:val="auto"/>
          <w:spacing w:val="8"/>
          <w:sz w:val="21"/>
          <w:szCs w:val="21"/>
          <w:highlight w:val="none"/>
          <w:u w:val="single"/>
          <w:lang w:eastAsia="zh-CN"/>
        </w:rPr>
        <w:t xml:space="preserve">（生产厂址）</w:t>
      </w:r>
      <w:r>
        <w:rPr>
          <w:rFonts w:ascii="宋体" w:hAnsi="宋体" w:eastAsia="宋体" w:cs="宋体"/>
          <w:color w:val="auto"/>
          <w:spacing w:val="8"/>
          <w:sz w:val="21"/>
          <w:szCs w:val="21"/>
          <w:highlight w:val="none"/>
          <w:lang w:eastAsia="zh-CN"/>
        </w:rPr>
        <w:t xml:space="preserve">。</w:t>
      </w:r>
      <w:r>
        <w:rPr>
          <w:rFonts w:ascii="宋体" w:hAnsi="宋体" w:eastAsia="宋体" w:cs="宋体"/>
          <w:color w:val="auto"/>
          <w:spacing w:val="8"/>
          <w:sz w:val="21"/>
          <w:szCs w:val="21"/>
          <w:highlight w:val="none"/>
          <w:u w:val="single"/>
          <w:lang w:eastAsia="zh-CN"/>
        </w:rPr>
        <w:t xml:space="preserve">（产品名称</w:t>
      </w:r>
      <w:r>
        <w:rPr>
          <w:rFonts w:ascii="宋体" w:hAnsi="宋体" w:eastAsia="宋体" w:cs="宋体"/>
          <w:color w:val="auto"/>
          <w:spacing w:val="7"/>
          <w:sz w:val="21"/>
          <w:szCs w:val="21"/>
          <w:highlight w:val="none"/>
          <w:u w:val="single"/>
          <w:lang w:eastAsia="zh-CN"/>
        </w:rPr>
        <w:t xml:space="preserve">2）</w:t>
      </w:r>
      <w:r>
        <w:rPr>
          <w:rFonts w:ascii="宋体" w:hAnsi="宋体" w:eastAsia="宋体" w:cs="宋体"/>
          <w:color w:val="auto"/>
          <w:spacing w:val="7"/>
          <w:sz w:val="21"/>
          <w:szCs w:val="21"/>
          <w:highlight w:val="none"/>
          <w:lang w:eastAsia="zh-CN"/>
        </w:rPr>
        <w:t xml:space="preserve">的中国境内生产的组件</w:t>
      </w:r>
      <w:r>
        <w:rPr>
          <w:rFonts w:ascii="宋体" w:hAnsi="宋体" w:eastAsia="宋体" w:cs="宋体"/>
          <w:color w:val="auto"/>
          <w:spacing w:val="-16"/>
          <w:sz w:val="21"/>
          <w:szCs w:val="21"/>
          <w:highlight w:val="none"/>
          <w:lang w:eastAsia="zh-CN"/>
        </w:rPr>
        <w:t xml:space="preserve">成本占比≥</w:t>
      </w:r>
      <w:r>
        <w:rPr>
          <w:color w:val="auto"/>
          <w:position w:val="-3"/>
          <w:sz w:val="21"/>
          <w:szCs w:val="21"/>
          <w:highlight w:val="none"/>
          <w:lang w:eastAsia="zh-CN"/>
        </w:rPr>
        <mc:AlternateContent>
          <mc:Choice Requires="wpg">
            <w:drawing>
              <wp:inline xmlns:wp="http://schemas.openxmlformats.org/drawingml/2006/wordprocessingDrawing" distT="0" distB="0" distL="0" distR="0">
                <wp:extent cx="913130" cy="128905"/>
                <wp:effectExtent l="0" t="0" r="1270" b="4445"/>
                <wp:docPr id="6" name="IM 56"/>
                <wp:cNvGraphicFramePr/>
                <a:graphic xmlns:a="http://schemas.openxmlformats.org/drawingml/2006/main">
                  <a:graphicData uri="http://schemas.openxmlformats.org/drawingml/2006/picture">
                    <pic:pic xmlns:pic="http://schemas.openxmlformats.org/drawingml/2006/picture">
                      <pic:nvPicPr>
                        <pic:cNvPr id="6" name="IM 56"/>
                        <pic:cNvPicPr/>
                        <pic:nvPr/>
                      </pic:nvPicPr>
                      <pic:blipFill>
                        <a:blip r:embed="rId18"/>
                        <a:stretch/>
                      </pic:blipFill>
                      <pic:spPr bwMode="auto">
                        <a:xfrm>
                          <a:off x="0" y="0"/>
                          <a:ext cx="913142" cy="12945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9pt;height:10.2pt;mso-wrap-distance-left:0.0pt;mso-wrap-distance-top:0.0pt;mso-wrap-distance-right:0.0pt;mso-wrap-distance-bottom:0.0pt;" stroked="false">
                <v:path textboxrect="0,0,0,0"/>
                <v:imagedata r:id="rId18" o:title=""/>
              </v:shape>
            </w:pict>
          </mc:Fallback>
        </mc:AlternateContent>
      </w:r>
      <w:r>
        <w:rPr>
          <w:rFonts w:ascii="宋体" w:hAnsi="宋体" w:eastAsia="宋体" w:cs="宋体"/>
          <w:color w:val="auto"/>
          <w:spacing w:val="-16"/>
          <w:sz w:val="21"/>
          <w:szCs w:val="21"/>
          <w:highlight w:val="none"/>
          <w:u w:val="single"/>
          <w:lang w:eastAsia="zh-CN"/>
        </w:rPr>
        <w:t xml:space="preserve">（规定比例</w:t>
      </w:r>
      <w:r>
        <w:rPr>
          <w:rFonts w:ascii="宋体" w:hAnsi="宋体" w:eastAsia="宋体" w:cs="宋体"/>
          <w:color w:val="auto"/>
          <w:spacing w:val="-34"/>
          <w:sz w:val="21"/>
          <w:szCs w:val="21"/>
          <w:highlight w:val="none"/>
          <w:u w:val="single"/>
          <w:lang w:eastAsia="zh-CN"/>
        </w:rPr>
        <w:t xml:space="preserve">）（</w:t>
      </w:r>
      <w:r>
        <w:rPr>
          <w:rFonts w:ascii="宋体" w:hAnsi="宋体" w:eastAsia="宋体" w:cs="宋体"/>
          <w:color w:val="auto"/>
          <w:spacing w:val="-16"/>
          <w:sz w:val="21"/>
          <w:szCs w:val="21"/>
          <w:highlight w:val="none"/>
          <w:u w:val="single"/>
          <w:lang w:eastAsia="zh-CN"/>
        </w:rPr>
        <w:t xml:space="preserve">产品名称2）</w:t>
      </w:r>
      <w:r>
        <w:rPr>
          <w:rFonts w:ascii="宋体" w:hAnsi="宋体" w:eastAsia="宋体" w:cs="宋体"/>
          <w:color w:val="auto"/>
          <w:spacing w:val="-16"/>
          <w:sz w:val="21"/>
          <w:szCs w:val="21"/>
          <w:highlight w:val="none"/>
          <w:lang w:eastAsia="zh-CN"/>
        </w:rPr>
        <w:t xml:space="preserve">的</w:t>
      </w:r>
      <w:r>
        <w:rPr>
          <w:rFonts w:ascii="宋体" w:hAnsi="宋体" w:eastAsia="宋体" w:cs="宋体"/>
          <w:color w:val="auto"/>
          <w:spacing w:val="-16"/>
          <w:sz w:val="21"/>
          <w:szCs w:val="21"/>
          <w:highlight w:val="none"/>
          <w:u w:val="single"/>
          <w:lang w:eastAsia="zh-CN"/>
        </w:rPr>
        <w:t xml:space="preserve">（关键组件）</w:t>
      </w:r>
      <w:r>
        <w:rPr>
          <w:rFonts w:ascii="宋体" w:hAnsi="宋体" w:eastAsia="宋体" w:cs="宋体"/>
          <w:color w:val="auto"/>
          <w:spacing w:val="-16"/>
          <w:sz w:val="21"/>
          <w:szCs w:val="21"/>
          <w:highlight w:val="none"/>
          <w:lang w:eastAsia="zh-CN"/>
        </w:rPr>
        <w:t xml:space="preserve">在中国境内生产。</w:t>
      </w:r>
      <w:r>
        <w:rPr>
          <w:rFonts w:ascii="宋体" w:hAnsi="宋体" w:eastAsia="宋体" w:cs="宋体"/>
          <w:color w:val="auto"/>
          <w:spacing w:val="-16"/>
          <w:sz w:val="21"/>
          <w:szCs w:val="21"/>
          <w:highlight w:val="none"/>
          <w:u w:val="single"/>
          <w:lang w:eastAsia="zh-CN"/>
        </w:rPr>
        <w:t xml:space="preserve">（</w:t>
      </w:r>
      <w:r>
        <w:rPr>
          <w:rFonts w:ascii="宋体" w:hAnsi="宋体" w:eastAsia="宋体" w:cs="宋体"/>
          <w:color w:val="auto"/>
          <w:spacing w:val="-17"/>
          <w:sz w:val="21"/>
          <w:szCs w:val="21"/>
          <w:highlight w:val="none"/>
          <w:u w:val="single"/>
          <w:lang w:eastAsia="zh-CN"/>
        </w:rPr>
        <w:t xml:space="preserve">产品名称 1）</w:t>
      </w:r>
      <w:r>
        <w:rPr>
          <w:rFonts w:ascii="宋体" w:hAnsi="宋体" w:eastAsia="宋体" w:cs="宋体"/>
          <w:color w:val="auto"/>
          <w:spacing w:val="-17"/>
          <w:sz w:val="21"/>
          <w:szCs w:val="21"/>
          <w:highlight w:val="none"/>
          <w:lang w:eastAsia="zh-CN"/>
        </w:rPr>
        <w:t xml:space="preserve">的</w:t>
      </w:r>
      <w:r>
        <w:rPr>
          <w:rFonts w:ascii="宋体" w:hAnsi="宋体" w:eastAsia="宋体" w:cs="宋体"/>
          <w:color w:val="auto"/>
          <w:spacing w:val="-17"/>
          <w:sz w:val="21"/>
          <w:szCs w:val="21"/>
          <w:highlight w:val="none"/>
          <w:u w:val="single"/>
          <w:lang w:eastAsia="zh-CN"/>
        </w:rPr>
        <w:t xml:space="preserve">（关键工序）</w:t>
      </w:r>
      <w:r>
        <w:rPr>
          <w:rFonts w:ascii="宋体" w:hAnsi="宋体" w:eastAsia="宋体" w:cs="宋体"/>
          <w:color w:val="auto"/>
          <w:spacing w:val="7"/>
          <w:sz w:val="21"/>
          <w:szCs w:val="21"/>
          <w:highlight w:val="none"/>
          <w:lang w:eastAsia="zh-CN"/>
        </w:rPr>
        <w:t xml:space="preserve">在中国境内完成。</w:t>
      </w:r>
      <w:r/>
    </w:p>
    <w:p>
      <w:pPr>
        <w:ind w:left="591"/>
        <w:spacing w:before="28" w:line="323" w:lineRule="exact"/>
        <w:rPr>
          <w:rFonts w:ascii="宋体" w:hAnsi="宋体" w:eastAsia="宋体" w:cs="宋体"/>
          <w:color w:val="auto"/>
          <w:sz w:val="21"/>
          <w:szCs w:val="21"/>
          <w:highlight w:val="none"/>
          <w:lang w:eastAsia="zh-CN"/>
        </w:rPr>
      </w:pPr>
      <w:r>
        <w:rPr>
          <w:rFonts w:ascii="宋体" w:hAnsi="宋体" w:eastAsia="宋体" w:cs="宋体"/>
          <w:color w:val="auto"/>
          <w:spacing w:val="-2"/>
          <w:position w:val="2"/>
          <w:sz w:val="21"/>
          <w:szCs w:val="21"/>
          <w:highlight w:val="none"/>
          <w:lang w:eastAsia="zh-CN"/>
        </w:rPr>
        <w:t xml:space="preserve">……</w:t>
      </w:r>
      <w:r/>
    </w:p>
    <w:p>
      <w:pPr>
        <w:ind w:left="579"/>
        <w:spacing w:before="116" w:line="227" w:lineRule="auto"/>
        <w:rPr>
          <w:rFonts w:ascii="宋体" w:hAnsi="宋体" w:eastAsia="宋体" w:cs="宋体"/>
          <w:color w:val="auto"/>
          <w:sz w:val="21"/>
          <w:szCs w:val="21"/>
          <w:highlight w:val="none"/>
          <w:lang w:eastAsia="zh-CN"/>
        </w:rPr>
      </w:pPr>
      <w:r>
        <w:rPr>
          <w:rFonts w:ascii="宋体" w:hAnsi="宋体" w:eastAsia="宋体" w:cs="宋体"/>
          <w:color w:val="auto"/>
          <w:spacing w:val="9"/>
          <w:sz w:val="21"/>
          <w:szCs w:val="21"/>
          <w:highlight w:val="none"/>
          <w:lang w:eastAsia="zh-CN"/>
        </w:rPr>
        <w:t xml:space="preserve">本公司（单位）对上述声明内容的真实性负责。如有虚假，愿承担相应法律责任。</w:t>
      </w:r>
      <w:r/>
    </w:p>
    <w:p>
      <w:pPr>
        <w:pStyle w:val="865"/>
        <w:spacing w:line="280" w:lineRule="auto"/>
        <w:rPr>
          <w:color w:val="auto"/>
          <w:sz w:val="21"/>
          <w:szCs w:val="21"/>
          <w:highlight w:val="none"/>
          <w:lang w:eastAsia="zh-CN"/>
        </w:rPr>
      </w:pPr>
      <w:r>
        <w:rPr>
          <w:color w:val="auto"/>
          <w:sz w:val="21"/>
          <w:szCs w:val="21"/>
          <w:highlight w:val="none"/>
          <w:lang w:eastAsia="zh-CN"/>
        </w:rPr>
      </w:r>
      <w:r/>
    </w:p>
    <w:p>
      <w:pPr>
        <w:pStyle w:val="865"/>
        <w:spacing w:line="281" w:lineRule="auto"/>
        <w:rPr>
          <w:color w:val="auto"/>
          <w:sz w:val="21"/>
          <w:szCs w:val="21"/>
          <w:highlight w:val="none"/>
          <w:lang w:eastAsia="zh-CN"/>
        </w:rPr>
      </w:pPr>
      <w:r>
        <w:rPr>
          <w:color w:val="auto"/>
          <w:sz w:val="21"/>
          <w:szCs w:val="21"/>
          <w:highlight w:val="none"/>
          <w:lang w:eastAsia="zh-CN"/>
        </w:rPr>
      </w:r>
      <w:r/>
    </w:p>
    <w:p>
      <w:pPr>
        <w:ind w:left="3419"/>
        <w:spacing w:before="65"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公司（单位）名称（签章</w:t>
      </w:r>
      <w:r>
        <w:rPr>
          <w:rFonts w:ascii="宋体" w:hAnsi="宋体" w:eastAsia="宋体" w:cs="宋体"/>
          <w:color w:val="auto"/>
          <w:spacing w:val="2"/>
          <w:sz w:val="21"/>
          <w:szCs w:val="21"/>
          <w:highlight w:val="none"/>
          <w:lang w:eastAsia="zh-CN"/>
        </w:rPr>
        <w:t xml:space="preserve">）：</w:t>
      </w:r>
      <w:r/>
    </w:p>
    <w:p>
      <w:pPr>
        <w:ind w:left="49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日期：</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年</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月</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日</w:t>
      </w:r>
      <w:r/>
    </w:p>
    <w:p>
      <w:pPr>
        <w:pStyle w:val="865"/>
        <w:spacing w:line="281" w:lineRule="auto"/>
        <w:rPr>
          <w:color w:val="auto"/>
          <w:sz w:val="21"/>
          <w:szCs w:val="21"/>
          <w:highlight w:val="none"/>
          <w:lang w:eastAsia="zh-CN"/>
        </w:rPr>
      </w:pPr>
      <w:r>
        <w:rPr>
          <w:color w:val="auto"/>
          <w:sz w:val="21"/>
          <w:szCs w:val="21"/>
          <w:highlight w:val="none"/>
          <w:lang w:eastAsia="zh-CN"/>
        </w:rPr>
      </w:r>
      <w:r/>
    </w:p>
    <w:p>
      <w:pPr>
        <w:pStyle w:val="865"/>
        <w:spacing w:line="281" w:lineRule="auto"/>
        <w:rPr>
          <w:color w:val="auto"/>
          <w:sz w:val="21"/>
          <w:szCs w:val="21"/>
          <w:highlight w:val="none"/>
          <w:lang w:eastAsia="zh-CN"/>
        </w:rPr>
      </w:pPr>
      <w:r>
        <w:rPr>
          <w:color w:val="auto"/>
          <w:sz w:val="21"/>
          <w:szCs w:val="21"/>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1285875</wp:posOffset>
                </wp:positionH>
                <wp:positionV relativeFrom="paragraph">
                  <wp:posOffset>69850</wp:posOffset>
                </wp:positionV>
                <wp:extent cx="9525" cy="6350"/>
                <wp:effectExtent l="0" t="0" r="0" b="0"/>
                <wp:wrapNone/>
                <wp:docPr id="7" name="IM 58"/>
                <wp:cNvGraphicFramePr/>
                <a:graphic xmlns:a="http://schemas.openxmlformats.org/drawingml/2006/main">
                  <a:graphicData uri="http://schemas.openxmlformats.org/drawingml/2006/picture">
                    <pic:pic xmlns:pic="http://schemas.openxmlformats.org/drawingml/2006/picture">
                      <pic:nvPicPr>
                        <pic:cNvPr id="7" name="IM 58"/>
                        <pic:cNvPicPr/>
                        <pic:nvPr/>
                      </pic:nvPicPr>
                      <pic:blipFill>
                        <a:blip r:embed="rId19"/>
                        <a:stretch/>
                      </pic:blipFill>
                      <pic:spPr bwMode="auto">
                        <a:xfrm>
                          <a:off x="0" y="0"/>
                          <a:ext cx="9524"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01.2pt;mso-position-horizontal:absolute;mso-position-vertical-relative:text;margin-top:5.5pt;mso-position-vertical:absolute;width:0.8pt;height:0.5pt;mso-wrap-distance-left:0.0pt;mso-wrap-distance-top:0.0pt;mso-wrap-distance-right:0.0pt;mso-wrap-distance-bottom:0.0pt;" stroked="false">
                <v:path textboxrect="0,0,0,0"/>
                <v:imagedata r:id="rId19" o:title=""/>
              </v:shape>
            </w:pict>
          </mc:Fallback>
        </mc:AlternateContent>
      </w:r>
      <w:r/>
    </w:p>
    <w:p>
      <w:pPr>
        <w:ind w:left="174"/>
        <w:spacing w:before="66"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1.产品如有型号，请在“产品名称”栏一并填写。</w:t>
      </w:r>
      <w:r/>
    </w:p>
    <w:p>
      <w:pPr>
        <w:ind w:left="161"/>
        <w:spacing w:before="190" w:line="228" w:lineRule="auto"/>
        <w:rPr>
          <w:rFonts w:ascii="宋体" w:hAnsi="宋体" w:eastAsia="宋体" w:cs="宋体"/>
          <w:color w:val="auto"/>
          <w:sz w:val="21"/>
          <w:szCs w:val="21"/>
          <w:highlight w:val="none"/>
          <w:lang w:eastAsia="zh-CN"/>
        </w:rPr>
      </w:pPr>
      <w:r>
        <w:rPr>
          <w:rFonts w:ascii="宋体" w:hAnsi="宋体" w:eastAsia="宋体" w:cs="宋体"/>
          <w:color w:val="auto"/>
          <w:spacing w:val="9"/>
          <w:sz w:val="21"/>
          <w:szCs w:val="21"/>
          <w:highlight w:val="none"/>
          <w:lang w:eastAsia="zh-CN"/>
        </w:rPr>
        <w:t xml:space="preserve">2.生产厂名与厂址应与生产厂营业执照载明的相关信息</w:t>
      </w:r>
      <w:r>
        <w:rPr>
          <w:rFonts w:ascii="宋体" w:hAnsi="宋体" w:eastAsia="宋体" w:cs="宋体"/>
          <w:color w:val="auto"/>
          <w:spacing w:val="8"/>
          <w:sz w:val="21"/>
          <w:szCs w:val="21"/>
          <w:highlight w:val="none"/>
          <w:lang w:eastAsia="zh-CN"/>
        </w:rPr>
        <w:t xml:space="preserve">保持一致。</w:t>
      </w:r>
      <w:r/>
    </w:p>
    <w:p>
      <w:pPr>
        <w:ind w:left="163"/>
        <w:spacing w:before="192"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3.该产品的中国境内生产的组件成本占比相关要求实施前，“规定比例”栏可不填，下同。</w:t>
      </w:r>
      <w:r/>
    </w:p>
    <w:p>
      <w:pPr>
        <w:ind w:left="157"/>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4.该产品的关键组件要求实施前，“关键组件”栏可不填，下同。</w:t>
      </w:r>
      <w:r/>
    </w:p>
    <w:p>
      <w:pPr>
        <w:ind w:left="1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5.该产品的关键工序要求实施前，“关键工序”栏可</w:t>
      </w:r>
      <w:r>
        <w:rPr>
          <w:rFonts w:ascii="宋体" w:hAnsi="宋体" w:eastAsia="宋体" w:cs="宋体"/>
          <w:color w:val="auto"/>
          <w:spacing w:val="7"/>
          <w:sz w:val="21"/>
          <w:szCs w:val="21"/>
          <w:highlight w:val="none"/>
          <w:lang w:eastAsia="zh-CN"/>
        </w:rPr>
        <w:t xml:space="preserve">不填，下同。</w:t>
      </w:r>
      <w:r/>
    </w:p>
    <w:p>
      <w:pPr>
        <w:ind w:left="160"/>
        <w:spacing w:before="189" w:line="228" w:lineRule="auto"/>
        <w:rPr>
          <w:rFonts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lang w:eastAsia="zh-CN"/>
        </w:rPr>
        <w:t xml:space="preserve">6.用斜线划除的地方无需填写。</w:t>
      </w:r>
      <w:r/>
    </w:p>
    <w:p>
      <w:pPr>
        <w:ind w:firstLine="422"/>
        <w:jc w:val="center"/>
        <w:rPr>
          <w:rFonts w:ascii="宋体" w:hAnsi="宋体" w:cs="宋体"/>
          <w:b/>
          <w:color w:val="auto"/>
          <w:sz w:val="21"/>
          <w:szCs w:val="21"/>
          <w:highlight w:val="none"/>
        </w:rPr>
      </w:pPr>
      <w:r>
        <w:rPr>
          <w:rFonts w:ascii="宋体" w:hAnsi="宋体" w:cs="宋体"/>
          <w:b/>
          <w:color w:val="auto"/>
          <w:sz w:val="21"/>
          <w:szCs w:val="21"/>
          <w:highlight w:val="none"/>
        </w:rPr>
      </w:r>
      <w:r/>
    </w:p>
    <w:p>
      <w:pPr>
        <w:pageBreakBefore/>
        <w:widowControl/>
        <w:rPr>
          <w:rFonts w:ascii="宋体" w:hAnsi="宋体" w:cs="宋体"/>
          <w:color w:val="auto"/>
          <w:szCs w:val="21"/>
          <w:highlight w:val="none"/>
        </w:rPr>
      </w:pPr>
      <w:r>
        <w:rPr>
          <w:rFonts w:hint="eastAsia" w:ascii="宋体" w:hAnsi="宋体" w:cs="宋体"/>
          <w:b/>
          <w:bCs/>
          <w:color w:val="auto"/>
          <w:szCs w:val="21"/>
          <w:highlight w:val="none"/>
        </w:rPr>
        <w:t xml:space="preserve">5.9投标（响应）保证承诺书</w:t>
      </w:r>
      <w:r/>
    </w:p>
    <w:p>
      <w:pPr>
        <w:pStyle w:val="1193"/>
        <w:jc w:val="center"/>
        <w:spacing w:line="360" w:lineRule="auto"/>
        <w:tabs>
          <w:tab w:val="left" w:pos="525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投标（响应）保证承诺书</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w:t>
      </w:r>
      <w:r>
        <w:rPr>
          <w:rFonts w:hint="eastAsia" w:ascii="宋体" w:hAnsi="宋体" w:cs="宋体"/>
          <w:color w:val="auto"/>
          <w:szCs w:val="21"/>
          <w:highlight w:val="none"/>
          <w:u w:val="single"/>
          <w:lang w:eastAsia="zh-CN"/>
        </w:rPr>
        <w:t xml:space="preserve">项目编号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的投标（响应）,并做出如下承诺：</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75"/>
      <w:r/>
      <w:bookmarkEnd w:id="76"/>
      <w:r/>
      <w:bookmarkEnd w:id="77"/>
      <w:r/>
      <w:bookmarkEnd w:id="78"/>
      <w:r/>
      <w:bookmarkEnd w:id="79"/>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u w:val="single"/>
        </w:rPr>
        <w:br w:type="page" w:clear="all"/>
      </w:r>
      <w:r>
        <w:rPr>
          <w:rFonts w:hint="eastAsia" w:ascii="宋体" w:hAnsi="宋体" w:cs="宋体"/>
          <w:b/>
          <w:bCs/>
          <w:color w:val="auto"/>
          <w:szCs w:val="21"/>
          <w:highlight w:val="none"/>
        </w:rPr>
        <w:t xml:space="preserve">附件6：</w:t>
      </w:r>
      <w:r>
        <w:rPr>
          <w:rFonts w:hint="eastAsia" w:ascii="宋体" w:hAnsi="宋体" w:cs="宋体"/>
          <w:b/>
          <w:bCs/>
          <w:color w:val="auto"/>
          <w:szCs w:val="21"/>
          <w:highlight w:val="none"/>
          <w:lang w:val="en-US" w:eastAsia="zh-CN"/>
        </w:rPr>
        <w:t xml:space="preserve">商务及</w:t>
      </w:r>
      <w:r>
        <w:rPr>
          <w:rFonts w:hint="eastAsia" w:ascii="宋体" w:hAnsi="宋体" w:cs="宋体"/>
          <w:b/>
          <w:bCs/>
          <w:color w:val="auto"/>
          <w:szCs w:val="21"/>
          <w:highlight w:val="none"/>
        </w:rPr>
        <w:t xml:space="preserve">技术部分（格式为参考，磋商响应单位可参照下述格式自制表格投标，但至少应包括下述格式中的内容，没有参考格式的则可根据情况自行编制）</w:t>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left"/>
        <w:rPr>
          <w:rFonts w:ascii="宋体" w:hAnsi="宋体" w:cs="宋体"/>
          <w:b/>
          <w:bCs/>
          <w:color w:val="auto"/>
          <w:szCs w:val="21"/>
          <w:highlight w:val="none"/>
        </w:rPr>
      </w:pPr>
      <w:r>
        <w:rPr>
          <w:rFonts w:hint="eastAsia" w:ascii="宋体" w:hAnsi="宋体" w:cs="宋体"/>
          <w:b/>
          <w:bCs/>
          <w:color w:val="auto"/>
          <w:szCs w:val="21"/>
          <w:highlight w:val="none"/>
        </w:rPr>
        <w:t xml:space="preserve">6.1服务条款偏离表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服务条款偏离表</w:t>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60"/>
        <w:tblW w:w="503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2738"/>
        <w:gridCol w:w="3483"/>
        <w:gridCol w:w="2109"/>
      </w:tblGrid>
      <w:tr>
        <w:trPr>
          <w:trHeight w:val="1345"/>
        </w:trPr>
        <w:tc>
          <w:tcPr>
            <w:tcW w:w="1029" w:type="dxa"/>
            <w:vAlign w:val="center"/>
            <w:textDirection w:val="lrTb"/>
            <w:noWrap w:val="false"/>
          </w:tcPr>
          <w:p>
            <w:pPr>
              <w:jc w:val="center"/>
              <w:rPr>
                <w:rFonts w:hint="eastAsia"/>
                <w:color w:val="auto"/>
                <w:highlight w:val="none"/>
              </w:rPr>
            </w:pPr>
            <w:r>
              <w:rPr>
                <w:rFonts w:hint="eastAsia"/>
                <w:color w:val="auto"/>
                <w:highlight w:val="none"/>
              </w:rPr>
            </w:r>
            <w:r/>
          </w:p>
          <w:p>
            <w:pPr>
              <w:jc w:val="center"/>
              <w:rPr>
                <w:color w:val="auto"/>
                <w:highlight w:val="none"/>
              </w:rPr>
            </w:pPr>
            <w:r>
              <w:rPr>
                <w:rFonts w:hint="eastAsia"/>
                <w:color w:val="auto"/>
                <w:highlight w:val="none"/>
              </w:rPr>
              <w:t xml:space="preserve">序号</w:t>
            </w:r>
            <w:r/>
          </w:p>
        </w:tc>
        <w:tc>
          <w:tcPr>
            <w:tcW w:w="2738" w:type="dxa"/>
            <w:vAlign w:val="center"/>
            <w:textDirection w:val="lrTb"/>
            <w:noWrap w:val="false"/>
          </w:tcPr>
          <w:p>
            <w:pPr>
              <w:pStyle w:val="1204"/>
              <w:jc w:val="both"/>
              <w:spacing w:before="291" w:line="227" w:lineRule="auto"/>
              <w:rPr>
                <w:rFonts w:ascii="宋体" w:hAnsi="宋体" w:cs="宋体"/>
                <w:color w:val="auto"/>
                <w:szCs w:val="21"/>
                <w:highlight w:val="none"/>
              </w:rPr>
            </w:pPr>
            <w:r>
              <w:rPr>
                <w:color w:val="auto"/>
                <w:spacing w:val="9"/>
                <w:highlight w:val="none"/>
              </w:rPr>
              <w:t xml:space="preserve">采购技术及服务要求</w:t>
            </w:r>
            <w:r/>
          </w:p>
        </w:tc>
        <w:tc>
          <w:tcPr>
            <w:tcW w:w="3483" w:type="dxa"/>
            <w:vAlign w:val="center"/>
            <w:textDirection w:val="lrTb"/>
            <w:noWrap w:val="false"/>
          </w:tcPr>
          <w:p>
            <w:pPr>
              <w:pStyle w:val="1204"/>
              <w:jc w:val="both"/>
              <w:spacing w:before="291" w:line="228" w:lineRule="auto"/>
              <w:rPr>
                <w:color w:val="auto"/>
                <w:spacing w:val="8"/>
                <w:highlight w:val="none"/>
                <w:lang w:eastAsia="zh-CN"/>
              </w:rPr>
            </w:pPr>
            <w:r>
              <w:rPr>
                <w:color w:val="auto"/>
                <w:spacing w:val="8"/>
                <w:highlight w:val="none"/>
                <w:lang w:eastAsia="zh-CN"/>
              </w:rPr>
              <w:t xml:space="preserve">投标响应（正偏离、负偏离、无偏离）</w:t>
            </w:r>
            <w:r/>
          </w:p>
        </w:tc>
        <w:tc>
          <w:tcPr>
            <w:tcW w:w="2109" w:type="dxa"/>
            <w:vAlign w:val="center"/>
            <w:textDirection w:val="lrTb"/>
            <w:noWrap w:val="false"/>
          </w:tcPr>
          <w:p>
            <w:pPr>
              <w:pStyle w:val="1204"/>
              <w:jc w:val="both"/>
              <w:spacing w:before="291" w:line="228" w:lineRule="auto"/>
              <w:rPr>
                <w:rFonts w:ascii="宋体" w:hAnsi="宋体" w:cs="宋体"/>
                <w:color w:val="auto"/>
                <w:szCs w:val="21"/>
                <w:highlight w:val="none"/>
              </w:rPr>
            </w:pPr>
            <w:r>
              <w:rPr>
                <w:color w:val="auto"/>
                <w:spacing w:val="7"/>
                <w:highlight w:val="none"/>
              </w:rPr>
              <w:t xml:space="preserve">偏离说明（如有）</w:t>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75"/>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p>
    <w:p>
      <w:pPr>
        <w:pStyle w:val="914"/>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3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6.2商务条款偏离表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pStyle w:val="1191"/>
        <w:ind w:firstLine="0"/>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60"/>
        <w:tblW w:w="4996"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935"/>
        <w:gridCol w:w="2417"/>
        <w:gridCol w:w="2416"/>
        <w:gridCol w:w="1728"/>
      </w:tblGrid>
      <w:tr>
        <w:trPr/>
        <w:tc>
          <w:tcPr>
            <w:tcW w:w="78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193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名称</w:t>
            </w:r>
            <w:r/>
          </w:p>
        </w:tc>
        <w:tc>
          <w:tcPr>
            <w:tcW w:w="2417"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磋商文件商务要求</w:t>
            </w:r>
            <w:r/>
          </w:p>
        </w:tc>
        <w:tc>
          <w:tcPr>
            <w:tcW w:w="2416"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响应文件响应情况</w:t>
            </w:r>
            <w:r/>
          </w:p>
        </w:tc>
        <w:tc>
          <w:tcPr>
            <w:tcW w:w="1728"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合同履约</w:t>
            </w:r>
            <w:r>
              <w:rPr>
                <w:rFonts w:hint="eastAsia" w:ascii="宋体" w:hAnsi="宋体" w:cs="宋体"/>
                <w:color w:val="auto"/>
                <w:szCs w:val="21"/>
                <w:highlight w:val="none"/>
              </w:rPr>
              <w:t xml:space="preserve">期限</w:t>
            </w:r>
            <w:r/>
          </w:p>
        </w:tc>
        <w:tc>
          <w:tcPr>
            <w:tcW w:w="2417" w:type="dxa"/>
            <w:vAlign w:val="top"/>
            <w:textDirection w:val="lrTb"/>
            <w:noWrap w:val="false"/>
          </w:tcPr>
          <w:p>
            <w:pPr>
              <w:pStyle w:val="1204"/>
              <w:ind w:left="73"/>
              <w:spacing w:before="298" w:line="228" w:lineRule="auto"/>
              <w:rPr>
                <w:rFonts w:hint="default" w:ascii="Arial" w:hAnsi="Arial" w:eastAsia="Arial" w:cs="Arial"/>
                <w:color w:val="auto"/>
                <w:sz w:val="21"/>
                <w:szCs w:val="21"/>
                <w:highlight w:val="none"/>
                <w:lang w:val="en-US" w:eastAsia="zh-CN" w:bidi="ar-SA"/>
              </w:rPr>
            </w:pPr>
            <w:r>
              <w:rPr>
                <w:rFonts w:hint="default" w:ascii="Arial" w:hAnsi="Arial" w:eastAsia="Arial" w:cs="Arial"/>
                <w:color w:val="auto"/>
                <w:sz w:val="21"/>
                <w:szCs w:val="21"/>
                <w:highlight w:val="none"/>
                <w:lang w:val="en-US" w:eastAsia="zh-CN"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17" w:type="dxa"/>
            <w:vAlign w:val="top"/>
            <w:textDirection w:val="lrTb"/>
            <w:noWrap w:val="false"/>
          </w:tcPr>
          <w:p>
            <w:pPr>
              <w:pStyle w:val="1204"/>
              <w:ind w:left="72"/>
              <w:spacing w:before="213"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44"/>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售后服务</w:t>
            </w:r>
            <w:r/>
          </w:p>
        </w:tc>
        <w:tc>
          <w:tcPr>
            <w:tcW w:w="2417" w:type="dxa"/>
            <w:vAlign w:val="top"/>
            <w:textDirection w:val="lrTb"/>
            <w:noWrap w:val="false"/>
          </w:tcPr>
          <w:p>
            <w:pPr>
              <w:pStyle w:val="1204"/>
              <w:ind w:left="73"/>
              <w:spacing w:before="215"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417" w:type="dxa"/>
            <w:vAlign w:val="top"/>
            <w:textDirection w:val="lrTb"/>
            <w:noWrap w:val="false"/>
          </w:tcPr>
          <w:p>
            <w:pPr>
              <w:pStyle w:val="1204"/>
              <w:ind w:left="72"/>
              <w:spacing w:before="216"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合同主要条款</w:t>
            </w:r>
            <w:r/>
          </w:p>
        </w:tc>
        <w:tc>
          <w:tcPr>
            <w:tcW w:w="2417" w:type="dxa"/>
            <w:vAlign w:val="top"/>
            <w:textDirection w:val="lrTb"/>
            <w:noWrap w:val="false"/>
          </w:tcPr>
          <w:p>
            <w:pPr>
              <w:pStyle w:val="1204"/>
              <w:ind w:left="73"/>
              <w:spacing w:before="218"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81"/>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其他商务条款</w:t>
            </w:r>
            <w:r/>
          </w:p>
        </w:tc>
        <w:tc>
          <w:tcPr>
            <w:tcW w:w="2417" w:type="dxa"/>
            <w:vAlign w:val="top"/>
            <w:textDirection w:val="lrTb"/>
            <w:noWrap w:val="false"/>
          </w:tcPr>
          <w:p>
            <w:pPr>
              <w:pStyle w:val="1204"/>
              <w:ind w:left="73"/>
              <w:spacing w:before="220"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2417" w:type="dxa"/>
            <w:vAlign w:val="top"/>
            <w:textDirection w:val="lrTb"/>
            <w:noWrap w:val="false"/>
          </w:tcPr>
          <w:p>
            <w:pPr>
              <w:pStyle w:val="1204"/>
              <w:ind w:left="78"/>
              <w:spacing w:before="65" w:line="84" w:lineRule="exact"/>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3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pStyle w:val="1191"/>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6.3针对本项目的人员配置表</w:t>
      </w:r>
      <w:r/>
    </w:p>
    <w:p>
      <w:pPr>
        <w:jc w:val="center"/>
        <w:rPr>
          <w:rFonts w:ascii="宋体" w:hAnsi="宋体" w:cs="宋体"/>
          <w:b/>
          <w:bCs/>
          <w:color w:val="auto"/>
          <w:spacing w:val="20"/>
          <w:highlight w:val="none"/>
        </w:rPr>
      </w:pPr>
      <w:r>
        <w:rPr>
          <w:rFonts w:hint="eastAsia" w:ascii="宋体" w:hAnsi="宋体" w:cs="宋体"/>
          <w:b/>
          <w:bCs/>
          <w:color w:val="auto"/>
          <w:spacing w:val="20"/>
          <w:highlight w:val="none"/>
        </w:rPr>
        <w:t xml:space="preserve">（1）针对本项目的人员配置表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60"/>
        <w:tblW w:w="8956"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1"/>
        <w:gridCol w:w="1119"/>
        <w:gridCol w:w="1005"/>
        <w:gridCol w:w="716"/>
        <w:gridCol w:w="760"/>
        <w:gridCol w:w="718"/>
        <w:gridCol w:w="1319"/>
        <w:gridCol w:w="1186"/>
        <w:gridCol w:w="1422"/>
      </w:tblGrid>
      <w:tr>
        <w:trPr>
          <w:trHeight w:val="803"/>
        </w:trPr>
        <w:tc>
          <w:tcPr>
            <w:tcW w:w="711" w:type="dxa"/>
            <w:textDirection w:val="lrTb"/>
            <w:noWrap w:val="false"/>
          </w:tcPr>
          <w:p>
            <w:pPr>
              <w:pStyle w:val="1181"/>
              <w:ind w:left="175" w:right="172"/>
              <w:jc w:val="center"/>
              <w:rPr>
                <w:color w:val="auto"/>
                <w:highlight w:val="none"/>
              </w:rPr>
            </w:pPr>
            <w:r>
              <w:rPr>
                <w:rFonts w:hint="eastAsia"/>
                <w:color w:val="auto"/>
                <w:highlight w:val="none"/>
              </w:rPr>
              <w:t xml:space="preserve">序号</w:t>
            </w:r>
            <w:r/>
          </w:p>
        </w:tc>
        <w:tc>
          <w:tcPr>
            <w:tcW w:w="1119" w:type="dxa"/>
            <w:textDirection w:val="lrTb"/>
            <w:noWrap w:val="false"/>
          </w:tcPr>
          <w:p>
            <w:pPr>
              <w:pStyle w:val="1181"/>
              <w:ind w:left="433" w:right="106" w:hanging="315"/>
              <w:spacing w:before="134" w:line="278" w:lineRule="auto"/>
              <w:rPr>
                <w:rFonts w:hint="eastAsia"/>
                <w:color w:val="auto"/>
                <w:highlight w:val="none"/>
              </w:rPr>
            </w:pPr>
            <w:r>
              <w:rPr>
                <w:rFonts w:hint="eastAsia"/>
                <w:color w:val="auto"/>
                <w:highlight w:val="none"/>
              </w:rPr>
              <w:t xml:space="preserve">项目组所</w:t>
            </w:r>
            <w:r/>
          </w:p>
          <w:p>
            <w:pPr>
              <w:pStyle w:val="1181"/>
              <w:ind w:left="433" w:right="106" w:hanging="315"/>
              <w:spacing w:before="134" w:line="278" w:lineRule="auto"/>
              <w:rPr>
                <w:color w:val="auto"/>
                <w:highlight w:val="none"/>
              </w:rPr>
            </w:pPr>
            <w:r>
              <w:rPr>
                <w:rFonts w:hint="eastAsia"/>
                <w:color w:val="auto"/>
                <w:highlight w:val="none"/>
              </w:rPr>
              <w:t xml:space="preserve">任职务</w:t>
            </w:r>
            <w:r/>
          </w:p>
        </w:tc>
        <w:tc>
          <w:tcPr>
            <w:tcW w:w="1005" w:type="dxa"/>
            <w:textDirection w:val="lrTb"/>
            <w:noWrap w:val="false"/>
          </w:tcPr>
          <w:p>
            <w:pPr>
              <w:pStyle w:val="1181"/>
              <w:spacing w:before="8"/>
              <w:rPr>
                <w:b/>
                <w:color w:val="auto"/>
                <w:highlight w:val="none"/>
              </w:rPr>
            </w:pPr>
            <w:r>
              <w:rPr>
                <w:b/>
                <w:color w:val="auto"/>
                <w:highlight w:val="none"/>
              </w:rPr>
            </w:r>
            <w:r/>
          </w:p>
          <w:p>
            <w:pPr>
              <w:pStyle w:val="1181"/>
              <w:ind w:left="366"/>
              <w:rPr>
                <w:color w:val="auto"/>
                <w:highlight w:val="none"/>
              </w:rPr>
            </w:pPr>
            <w:r>
              <w:rPr>
                <w:rFonts w:hint="eastAsia"/>
                <w:color w:val="auto"/>
                <w:highlight w:val="none"/>
              </w:rPr>
              <w:t xml:space="preserve">姓名</w:t>
            </w:r>
            <w:r/>
          </w:p>
        </w:tc>
        <w:tc>
          <w:tcPr>
            <w:tcW w:w="716" w:type="dxa"/>
            <w:textDirection w:val="lrTb"/>
            <w:noWrap w:val="false"/>
          </w:tcPr>
          <w:p>
            <w:pPr>
              <w:pStyle w:val="1181"/>
              <w:spacing w:before="8"/>
              <w:rPr>
                <w:b/>
                <w:color w:val="auto"/>
                <w:highlight w:val="none"/>
              </w:rPr>
            </w:pPr>
            <w:r>
              <w:rPr>
                <w:b/>
                <w:color w:val="auto"/>
                <w:highlight w:val="none"/>
              </w:rPr>
            </w:r>
            <w:r/>
          </w:p>
          <w:p>
            <w:pPr>
              <w:pStyle w:val="1181"/>
              <w:ind w:left="200"/>
              <w:rPr>
                <w:color w:val="auto"/>
                <w:highlight w:val="none"/>
              </w:rPr>
            </w:pPr>
            <w:r>
              <w:rPr>
                <w:rFonts w:hint="eastAsia"/>
                <w:color w:val="auto"/>
                <w:highlight w:val="none"/>
              </w:rPr>
              <w:t xml:space="preserve">性别</w:t>
            </w:r>
            <w:r/>
          </w:p>
        </w:tc>
        <w:tc>
          <w:tcPr>
            <w:tcW w:w="760" w:type="dxa"/>
            <w:textDirection w:val="lrTb"/>
            <w:noWrap w:val="false"/>
          </w:tcPr>
          <w:p>
            <w:pPr>
              <w:pStyle w:val="1181"/>
              <w:spacing w:before="8"/>
              <w:rPr>
                <w:b/>
                <w:color w:val="auto"/>
                <w:highlight w:val="none"/>
              </w:rPr>
            </w:pPr>
            <w:r>
              <w:rPr>
                <w:b/>
                <w:color w:val="auto"/>
                <w:highlight w:val="none"/>
              </w:rPr>
            </w:r>
            <w:r/>
          </w:p>
          <w:p>
            <w:pPr>
              <w:pStyle w:val="1181"/>
              <w:ind w:left="226"/>
              <w:rPr>
                <w:color w:val="auto"/>
                <w:highlight w:val="none"/>
              </w:rPr>
            </w:pPr>
            <w:r>
              <w:rPr>
                <w:rFonts w:hint="eastAsia"/>
                <w:color w:val="auto"/>
                <w:highlight w:val="none"/>
              </w:rPr>
              <w:t xml:space="preserve">年龄</w:t>
            </w:r>
            <w:r/>
          </w:p>
        </w:tc>
        <w:tc>
          <w:tcPr>
            <w:tcW w:w="718" w:type="dxa"/>
            <w:textDirection w:val="lrTb"/>
            <w:noWrap w:val="false"/>
          </w:tcPr>
          <w:p>
            <w:pPr>
              <w:pStyle w:val="1181"/>
              <w:spacing w:before="8"/>
              <w:rPr>
                <w:b/>
                <w:color w:val="auto"/>
                <w:highlight w:val="none"/>
              </w:rPr>
            </w:pPr>
            <w:r>
              <w:rPr>
                <w:b/>
                <w:color w:val="auto"/>
                <w:highlight w:val="none"/>
              </w:rPr>
            </w:r>
            <w:r/>
          </w:p>
          <w:p>
            <w:pPr>
              <w:pStyle w:val="1181"/>
              <w:ind w:left="200"/>
              <w:rPr>
                <w:color w:val="auto"/>
                <w:highlight w:val="none"/>
              </w:rPr>
            </w:pPr>
            <w:r>
              <w:rPr>
                <w:rFonts w:hint="eastAsia"/>
                <w:color w:val="auto"/>
                <w:highlight w:val="none"/>
              </w:rPr>
              <w:t xml:space="preserve">职称</w:t>
            </w:r>
            <w:r/>
          </w:p>
        </w:tc>
        <w:tc>
          <w:tcPr>
            <w:tcW w:w="1319" w:type="dxa"/>
            <w:textDirection w:val="lrTb"/>
            <w:noWrap w:val="false"/>
          </w:tcPr>
          <w:p>
            <w:pPr>
              <w:pStyle w:val="1181"/>
              <w:spacing w:before="8"/>
              <w:rPr>
                <w:b/>
                <w:color w:val="auto"/>
                <w:highlight w:val="none"/>
              </w:rPr>
            </w:pPr>
            <w:r>
              <w:rPr>
                <w:b/>
                <w:color w:val="auto"/>
                <w:highlight w:val="none"/>
              </w:rPr>
            </w:r>
            <w:r/>
          </w:p>
          <w:p>
            <w:pPr>
              <w:pStyle w:val="1181"/>
              <w:rPr>
                <w:color w:val="auto"/>
                <w:highlight w:val="none"/>
              </w:rPr>
            </w:pPr>
            <w:r>
              <w:rPr>
                <w:rFonts w:hint="eastAsia"/>
                <w:color w:val="auto"/>
                <w:highlight w:val="none"/>
              </w:rPr>
              <w:t xml:space="preserve">专业/资格</w:t>
            </w:r>
            <w:r/>
          </w:p>
        </w:tc>
        <w:tc>
          <w:tcPr>
            <w:tcW w:w="1186" w:type="dxa"/>
            <w:textDirection w:val="lrTb"/>
            <w:noWrap w:val="false"/>
          </w:tcPr>
          <w:p>
            <w:pPr>
              <w:pStyle w:val="1181"/>
              <w:ind w:left="469" w:right="146" w:hanging="315"/>
              <w:spacing w:before="134" w:line="278" w:lineRule="auto"/>
              <w:rPr>
                <w:rFonts w:hint="eastAsia"/>
                <w:color w:val="auto"/>
                <w:highlight w:val="none"/>
              </w:rPr>
            </w:pPr>
            <w:r>
              <w:rPr>
                <w:rFonts w:hint="eastAsia"/>
                <w:color w:val="auto"/>
                <w:highlight w:val="none"/>
              </w:rPr>
              <w:t xml:space="preserve">从事本工</w:t>
            </w:r>
            <w:r/>
          </w:p>
          <w:p>
            <w:pPr>
              <w:pStyle w:val="1181"/>
              <w:ind w:left="469" w:right="146" w:hanging="315"/>
              <w:spacing w:before="134" w:line="278" w:lineRule="auto"/>
              <w:rPr>
                <w:color w:val="auto"/>
                <w:highlight w:val="none"/>
              </w:rPr>
            </w:pPr>
            <w:r>
              <w:rPr>
                <w:rFonts w:hint="eastAsia"/>
                <w:color w:val="auto"/>
                <w:highlight w:val="none"/>
              </w:rPr>
              <w:t xml:space="preserve">作时间</w:t>
            </w:r>
            <w:r/>
          </w:p>
        </w:tc>
        <w:tc>
          <w:tcPr>
            <w:tcW w:w="1422" w:type="dxa"/>
            <w:textDirection w:val="lrTb"/>
            <w:noWrap w:val="false"/>
          </w:tcPr>
          <w:p>
            <w:pPr>
              <w:pStyle w:val="1181"/>
              <w:ind w:right="280"/>
              <w:spacing w:before="134" w:line="278" w:lineRule="auto"/>
              <w:rPr>
                <w:color w:val="auto"/>
                <w:highlight w:val="none"/>
              </w:rPr>
            </w:pPr>
            <w:r>
              <w:rPr>
                <w:rFonts w:hint="eastAsia"/>
                <w:color w:val="auto"/>
                <w:highlight w:val="none"/>
              </w:rPr>
              <w:t xml:space="preserve">典型业务与技术专长</w:t>
            </w:r>
            <w:r/>
          </w:p>
        </w:tc>
      </w:tr>
      <w:tr>
        <w:trPr>
          <w:trHeight w:val="539"/>
        </w:trPr>
        <w:tc>
          <w:tcPr>
            <w:tcW w:w="711" w:type="dxa"/>
            <w:textDirection w:val="lrTb"/>
            <w:noWrap w:val="false"/>
          </w:tcPr>
          <w:p>
            <w:pPr>
              <w:pStyle w:val="1181"/>
              <w:ind w:left="7"/>
              <w:jc w:val="center"/>
              <w:spacing w:before="163"/>
              <w:rPr>
                <w:color w:val="auto"/>
                <w:highlight w:val="none"/>
              </w:rPr>
            </w:pPr>
            <w:r>
              <w:rPr>
                <w:rFonts w:hint="eastAsia"/>
                <w:color w:val="auto"/>
                <w:highlight w:val="none"/>
              </w:rPr>
              <w:t xml:space="preserve">1</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9"/>
        </w:trPr>
        <w:tc>
          <w:tcPr>
            <w:tcW w:w="711" w:type="dxa"/>
            <w:textDirection w:val="lrTb"/>
            <w:noWrap w:val="false"/>
          </w:tcPr>
          <w:p>
            <w:pPr>
              <w:pStyle w:val="1181"/>
              <w:ind w:left="7"/>
              <w:jc w:val="center"/>
              <w:spacing w:before="162"/>
              <w:rPr>
                <w:color w:val="auto"/>
                <w:highlight w:val="none"/>
              </w:rPr>
            </w:pPr>
            <w:r>
              <w:rPr>
                <w:rFonts w:hint="eastAsia"/>
                <w:color w:val="auto"/>
                <w:highlight w:val="none"/>
              </w:rPr>
              <w:t xml:space="preserve">2</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9"/>
        </w:trPr>
        <w:tc>
          <w:tcPr>
            <w:tcW w:w="711" w:type="dxa"/>
            <w:textDirection w:val="lrTb"/>
            <w:noWrap w:val="false"/>
          </w:tcPr>
          <w:p>
            <w:pPr>
              <w:pStyle w:val="1181"/>
              <w:ind w:left="7"/>
              <w:jc w:val="center"/>
              <w:spacing w:before="161"/>
              <w:rPr>
                <w:color w:val="auto"/>
                <w:highlight w:val="none"/>
              </w:rPr>
            </w:pPr>
            <w:r>
              <w:rPr>
                <w:rFonts w:hint="eastAsia"/>
                <w:color w:val="auto"/>
                <w:highlight w:val="none"/>
              </w:rPr>
              <w:t xml:space="preserve">3</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8"/>
        </w:trPr>
        <w:tc>
          <w:tcPr>
            <w:tcW w:w="711" w:type="dxa"/>
            <w:textDirection w:val="lrTb"/>
            <w:noWrap w:val="false"/>
          </w:tcPr>
          <w:p>
            <w:pPr>
              <w:pStyle w:val="1181"/>
              <w:ind w:left="7"/>
              <w:jc w:val="center"/>
              <w:spacing w:before="162"/>
              <w:rPr>
                <w:color w:val="auto"/>
                <w:highlight w:val="none"/>
              </w:rPr>
            </w:pPr>
            <w:r>
              <w:rPr>
                <w:rFonts w:hint="eastAsia"/>
                <w:color w:val="auto"/>
                <w:highlight w:val="none"/>
              </w:rPr>
              <w:t xml:space="preserve">4</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9"/>
        </w:trPr>
        <w:tc>
          <w:tcPr>
            <w:tcW w:w="711" w:type="dxa"/>
            <w:textDirection w:val="lrTb"/>
            <w:noWrap w:val="false"/>
          </w:tcPr>
          <w:p>
            <w:pPr>
              <w:pStyle w:val="1181"/>
              <w:ind w:left="7"/>
              <w:jc w:val="center"/>
              <w:spacing w:before="161"/>
              <w:rPr>
                <w:color w:val="auto"/>
                <w:highlight w:val="none"/>
              </w:rPr>
            </w:pPr>
            <w:r>
              <w:rPr>
                <w:rFonts w:hint="eastAsia"/>
                <w:color w:val="auto"/>
                <w:highlight w:val="none"/>
              </w:rPr>
              <w:t xml:space="preserve">5</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8"/>
        </w:trPr>
        <w:tc>
          <w:tcPr>
            <w:tcW w:w="711" w:type="dxa"/>
            <w:textDirection w:val="lrTb"/>
            <w:noWrap w:val="false"/>
          </w:tcPr>
          <w:p>
            <w:pPr>
              <w:pStyle w:val="1181"/>
              <w:ind w:left="7"/>
              <w:jc w:val="center"/>
              <w:spacing w:before="162"/>
              <w:rPr>
                <w:color w:val="auto"/>
                <w:highlight w:val="none"/>
              </w:rPr>
            </w:pPr>
            <w:r>
              <w:rPr>
                <w:rFonts w:hint="eastAsia"/>
                <w:color w:val="auto"/>
                <w:highlight w:val="none"/>
              </w:rPr>
              <w:t xml:space="preserve">6</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48"/>
        </w:trPr>
        <w:tc>
          <w:tcPr>
            <w:tcW w:w="711" w:type="dxa"/>
            <w:textDirection w:val="lrTb"/>
            <w:noWrap w:val="false"/>
          </w:tcPr>
          <w:p>
            <w:pPr>
              <w:pStyle w:val="1181"/>
              <w:ind w:left="6"/>
              <w:jc w:val="center"/>
              <w:spacing w:before="161"/>
              <w:rPr>
                <w:color w:val="auto"/>
                <w:highlight w:val="none"/>
              </w:rPr>
            </w:pPr>
            <w:r>
              <w:rPr>
                <w:rFonts w:hint="eastAsia"/>
                <w:color w:val="auto"/>
                <w:highlight w:val="none"/>
              </w:rPr>
              <w:t xml:space="preserve">…</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bl>
    <w:p>
      <w:pPr>
        <w:pStyle w:val="865"/>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rPr>
          <w:rFonts w:ascii="宋体" w:hAnsi="宋体" w:cs="宋体"/>
          <w:color w:val="auto"/>
          <w:highlight w:val="none"/>
        </w:rPr>
      </w:pPr>
      <w:r>
        <w:rPr>
          <w:rFonts w:hint="eastAsia" w:ascii="宋体" w:hAnsi="宋体" w:cs="宋体"/>
          <w:color w:val="auto"/>
          <w:highlight w:val="none"/>
        </w:rPr>
        <w:t xml:space="preserve">注：采购单位可参照上述格式自行设计表格投标。</w:t>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ind w:left="1254" w:right="1244"/>
        <w:jc w:val="center"/>
        <w:spacing w:before="81"/>
        <w:rPr>
          <w:rFonts w:ascii="宋体" w:hAnsi="宋体" w:cs="宋体"/>
          <w:b/>
          <w:color w:val="auto"/>
          <w:sz w:val="24"/>
          <w:highlight w:val="none"/>
        </w:rPr>
      </w:pPr>
      <w:r>
        <w:rPr>
          <w:rFonts w:hint="eastAsia" w:ascii="宋体" w:hAnsi="宋体" w:cs="宋体"/>
          <w:b/>
          <w:color w:val="auto"/>
          <w:highlight w:val="none"/>
        </w:rPr>
        <w:t xml:space="preserve">（2）</w:t>
      </w:r>
      <w:r>
        <w:rPr>
          <w:rFonts w:hint="eastAsia" w:ascii="宋体" w:hAnsi="宋体" w:cs="宋体"/>
          <w:b/>
          <w:color w:val="auto"/>
          <w:sz w:val="24"/>
          <w:highlight w:val="none"/>
        </w:rPr>
        <w:t xml:space="preserve">项目</w:t>
      </w:r>
      <w:r>
        <w:rPr>
          <w:rFonts w:hint="eastAsia" w:ascii="宋体" w:hAnsi="宋体" w:cs="宋体"/>
          <w:b/>
          <w:color w:val="auto"/>
          <w:sz w:val="24"/>
          <w:highlight w:val="none"/>
          <w:lang w:val="en-US" w:eastAsia="zh-CN"/>
        </w:rPr>
        <w:t xml:space="preserve">经理</w:t>
      </w:r>
      <w:r>
        <w:rPr>
          <w:rFonts w:hint="eastAsia" w:ascii="宋体" w:hAnsi="宋体" w:cs="宋体"/>
          <w:b/>
          <w:color w:val="auto"/>
          <w:sz w:val="24"/>
          <w:highlight w:val="none"/>
        </w:rPr>
        <w:t xml:space="preserve">情况一览表</w:t>
      </w:r>
      <w:r/>
    </w:p>
    <w:p>
      <w:pPr>
        <w:pStyle w:val="865"/>
        <w:rPr>
          <w:rFonts w:ascii="宋体" w:hAnsi="宋体" w:cs="宋体"/>
          <w:b/>
          <w:color w:val="auto"/>
          <w:sz w:val="20"/>
          <w:highlight w:val="none"/>
        </w:rPr>
      </w:pPr>
      <w:r>
        <w:rPr>
          <w:rFonts w:ascii="宋体" w:hAnsi="宋体" w:cs="宋体"/>
          <w:b/>
          <w:color w:val="auto"/>
          <w:sz w:val="20"/>
          <w:highlight w:val="none"/>
        </w:rPr>
      </w:r>
      <w:r/>
    </w:p>
    <w:tbl>
      <w:tblPr>
        <w:tblStyle w:val="860"/>
        <w:tblpPr w:horzAnchor="page" w:tblpX="1536" w:vertAnchor="text" w:tblpY="345"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851"/>
        <w:gridCol w:w="1329"/>
        <w:gridCol w:w="1065"/>
        <w:gridCol w:w="1083"/>
        <w:gridCol w:w="1254"/>
        <w:gridCol w:w="1818"/>
      </w:tblGrid>
      <w:tr>
        <w:trPr>
          <w:trHeight w:val="594"/>
        </w:trPr>
        <w:tc>
          <w:tcPr>
            <w:tcW w:w="628" w:type="dxa"/>
            <w:textDirection w:val="lrTb"/>
            <w:noWrap w:val="false"/>
          </w:tcPr>
          <w:p>
            <w:pPr>
              <w:pStyle w:val="1181"/>
              <w:ind w:left="261"/>
              <w:spacing w:before="161"/>
              <w:rPr>
                <w:color w:val="auto"/>
                <w:highlight w:val="none"/>
              </w:rPr>
            </w:pPr>
            <w:r>
              <w:rPr>
                <w:rFonts w:hint="eastAsia"/>
                <w:color w:val="auto"/>
                <w:highlight w:val="none"/>
              </w:rPr>
              <w:t xml:space="preserve">1</w:t>
            </w:r>
            <w:r/>
          </w:p>
        </w:tc>
        <w:tc>
          <w:tcPr>
            <w:tcW w:w="1851" w:type="dxa"/>
            <w:textDirection w:val="lrTb"/>
            <w:noWrap w:val="false"/>
          </w:tcPr>
          <w:p>
            <w:pPr>
              <w:pStyle w:val="1181"/>
              <w:ind w:left="11"/>
              <w:jc w:val="center"/>
              <w:spacing w:before="161"/>
              <w:tabs>
                <w:tab w:val="left" w:pos="851" w:leader="none"/>
              </w:tabs>
              <w:rPr>
                <w:color w:val="auto"/>
                <w:highlight w:val="none"/>
              </w:rPr>
            </w:pPr>
            <w:r>
              <w:rPr>
                <w:rFonts w:hint="eastAsia"/>
                <w:color w:val="auto"/>
                <w:highlight w:val="none"/>
              </w:rPr>
              <w:t xml:space="preserve">姓</w:t>
            </w:r>
            <w:r>
              <w:rPr>
                <w:rFonts w:hint="eastAsia"/>
                <w:color w:val="auto"/>
                <w:highlight w:val="none"/>
              </w:rPr>
              <w:tab/>
            </w:r>
            <w:r>
              <w:rPr>
                <w:rFonts w:hint="eastAsia"/>
                <w:color w:val="auto"/>
                <w:highlight w:val="none"/>
              </w:rPr>
              <w:t xml:space="preserve">名</w:t>
            </w:r>
            <w:r/>
          </w:p>
        </w:tc>
        <w:tc>
          <w:tcPr>
            <w:gridSpan w:val="2"/>
            <w:tcW w:w="2394" w:type="dxa"/>
            <w:textDirection w:val="lrTb"/>
            <w:noWrap w:val="false"/>
          </w:tcPr>
          <w:p>
            <w:pPr>
              <w:pStyle w:val="1181"/>
              <w:rPr>
                <w:color w:val="auto"/>
                <w:sz w:val="20"/>
                <w:highlight w:val="none"/>
              </w:rPr>
            </w:pPr>
            <w:r>
              <w:rPr>
                <w:color w:val="auto"/>
                <w:sz w:val="20"/>
                <w:highlight w:val="none"/>
              </w:rPr>
            </w:r>
            <w:r/>
          </w:p>
        </w:tc>
        <w:tc>
          <w:tcPr>
            <w:tcW w:w="1083" w:type="dxa"/>
            <w:textDirection w:val="lrTb"/>
            <w:noWrap w:val="false"/>
          </w:tcPr>
          <w:p>
            <w:pPr>
              <w:pStyle w:val="1181"/>
              <w:ind w:left="174"/>
              <w:spacing w:before="161"/>
              <w:tabs>
                <w:tab w:val="left" w:pos="699" w:leader="none"/>
              </w:tabs>
              <w:rPr>
                <w:color w:val="auto"/>
                <w:highlight w:val="none"/>
              </w:rPr>
            </w:pPr>
            <w:r>
              <w:rPr>
                <w:rFonts w:hint="eastAsia"/>
                <w:color w:val="auto"/>
                <w:highlight w:val="none"/>
              </w:rPr>
              <w:t xml:space="preserve">性</w:t>
            </w:r>
            <w:r>
              <w:rPr>
                <w:rFonts w:hint="eastAsia"/>
                <w:color w:val="auto"/>
                <w:highlight w:val="none"/>
              </w:rPr>
              <w:tab/>
            </w:r>
            <w:r>
              <w:rPr>
                <w:rFonts w:hint="eastAsia"/>
                <w:color w:val="auto"/>
                <w:highlight w:val="none"/>
              </w:rPr>
              <w:t xml:space="preserve">别</w:t>
            </w:r>
            <w:r/>
          </w:p>
        </w:tc>
        <w:tc>
          <w:tcPr>
            <w:gridSpan w:val="2"/>
            <w:tcW w:w="3072" w:type="dxa"/>
            <w:textDirection w:val="lrTb"/>
            <w:noWrap w:val="false"/>
          </w:tcPr>
          <w:p>
            <w:pPr>
              <w:pStyle w:val="1181"/>
              <w:rPr>
                <w:color w:val="auto"/>
                <w:sz w:val="20"/>
                <w:highlight w:val="none"/>
              </w:rPr>
            </w:pPr>
            <w:r>
              <w:rPr>
                <w:color w:val="auto"/>
                <w:sz w:val="20"/>
                <w:highlight w:val="none"/>
              </w:rPr>
            </w:r>
            <w:r/>
          </w:p>
        </w:tc>
      </w:tr>
      <w:tr>
        <w:trPr>
          <w:trHeight w:val="645"/>
        </w:trPr>
        <w:tc>
          <w:tcPr>
            <w:tcW w:w="628" w:type="dxa"/>
            <w:textDirection w:val="lrTb"/>
            <w:noWrap w:val="false"/>
          </w:tcPr>
          <w:p>
            <w:pPr>
              <w:pStyle w:val="1181"/>
              <w:spacing w:before="8"/>
              <w:rPr>
                <w:b/>
                <w:color w:val="auto"/>
                <w:sz w:val="14"/>
                <w:highlight w:val="none"/>
              </w:rPr>
            </w:pPr>
            <w:r>
              <w:rPr>
                <w:b/>
                <w:color w:val="auto"/>
                <w:sz w:val="14"/>
                <w:highlight w:val="none"/>
              </w:rPr>
            </w:r>
            <w:r/>
          </w:p>
          <w:p>
            <w:pPr>
              <w:pStyle w:val="1181"/>
              <w:ind w:left="261"/>
              <w:rPr>
                <w:color w:val="auto"/>
                <w:highlight w:val="none"/>
              </w:rPr>
            </w:pPr>
            <w:r>
              <w:rPr>
                <w:rFonts w:hint="eastAsia"/>
                <w:color w:val="auto"/>
                <w:highlight w:val="none"/>
              </w:rPr>
              <w:t xml:space="preserve">2</w:t>
            </w:r>
            <w:r/>
          </w:p>
        </w:tc>
        <w:tc>
          <w:tcPr>
            <w:tcW w:w="1851" w:type="dxa"/>
            <w:textDirection w:val="lrTb"/>
            <w:noWrap w:val="false"/>
          </w:tcPr>
          <w:p>
            <w:pPr>
              <w:pStyle w:val="1181"/>
              <w:spacing w:before="8"/>
              <w:rPr>
                <w:b/>
                <w:color w:val="auto"/>
                <w:sz w:val="14"/>
                <w:highlight w:val="none"/>
              </w:rPr>
            </w:pPr>
            <w:r>
              <w:rPr>
                <w:b/>
                <w:color w:val="auto"/>
                <w:sz w:val="14"/>
                <w:highlight w:val="none"/>
              </w:rPr>
            </w:r>
            <w:r/>
          </w:p>
          <w:p>
            <w:pPr>
              <w:pStyle w:val="1181"/>
              <w:ind w:left="11"/>
              <w:jc w:val="center"/>
              <w:rPr>
                <w:color w:val="auto"/>
                <w:highlight w:val="none"/>
              </w:rPr>
            </w:pPr>
            <w:r>
              <w:rPr>
                <w:rFonts w:hint="eastAsia"/>
                <w:color w:val="auto"/>
                <w:highlight w:val="none"/>
              </w:rPr>
              <w:t xml:space="preserve">身份证号码</w:t>
            </w:r>
            <w:r/>
          </w:p>
        </w:tc>
        <w:tc>
          <w:tcPr>
            <w:gridSpan w:val="3"/>
            <w:tcW w:w="3477" w:type="dxa"/>
            <w:textDirection w:val="lrTb"/>
            <w:noWrap w:val="false"/>
          </w:tcPr>
          <w:p>
            <w:pPr>
              <w:pStyle w:val="1181"/>
              <w:rPr>
                <w:color w:val="auto"/>
                <w:sz w:val="20"/>
                <w:highlight w:val="none"/>
              </w:rPr>
            </w:pPr>
            <w:r>
              <w:rPr>
                <w:color w:val="auto"/>
                <w:sz w:val="20"/>
                <w:highlight w:val="none"/>
              </w:rPr>
            </w:r>
            <w:r/>
          </w:p>
        </w:tc>
        <w:tc>
          <w:tcPr>
            <w:tcW w:w="1254" w:type="dxa"/>
            <w:textDirection w:val="lrTb"/>
            <w:noWrap w:val="false"/>
          </w:tcPr>
          <w:p>
            <w:pPr>
              <w:pStyle w:val="1181"/>
              <w:spacing w:before="8"/>
              <w:rPr>
                <w:b/>
                <w:color w:val="auto"/>
                <w:sz w:val="14"/>
                <w:highlight w:val="none"/>
              </w:rPr>
            </w:pPr>
            <w:r>
              <w:rPr>
                <w:b/>
                <w:color w:val="auto"/>
                <w:sz w:val="14"/>
                <w:highlight w:val="none"/>
              </w:rPr>
            </w:r>
            <w:r/>
          </w:p>
          <w:p>
            <w:pPr>
              <w:pStyle w:val="1181"/>
              <w:ind w:left="207"/>
              <w:rPr>
                <w:color w:val="auto"/>
                <w:highlight w:val="none"/>
              </w:rPr>
            </w:pPr>
            <w:r>
              <w:rPr>
                <w:rFonts w:hint="eastAsia"/>
                <w:color w:val="auto"/>
                <w:highlight w:val="none"/>
              </w:rPr>
              <w:t xml:space="preserve">出生年月</w:t>
            </w:r>
            <w:r/>
          </w:p>
        </w:tc>
        <w:tc>
          <w:tcPr>
            <w:tcW w:w="1818" w:type="dxa"/>
            <w:textDirection w:val="lrTb"/>
            <w:noWrap w:val="false"/>
          </w:tcPr>
          <w:p>
            <w:pPr>
              <w:pStyle w:val="1181"/>
              <w:spacing w:before="8"/>
              <w:rPr>
                <w:b/>
                <w:color w:val="auto"/>
                <w:sz w:val="14"/>
                <w:highlight w:val="none"/>
              </w:rPr>
            </w:pPr>
            <w:r>
              <w:rPr>
                <w:b/>
                <w:color w:val="auto"/>
                <w:sz w:val="14"/>
                <w:highlight w:val="none"/>
              </w:rPr>
            </w:r>
            <w:r/>
          </w:p>
          <w:p>
            <w:pPr>
              <w:pStyle w:val="1181"/>
              <w:ind w:left="539"/>
              <w:tabs>
                <w:tab w:val="left" w:pos="1065" w:leader="none"/>
              </w:tabs>
              <w:rPr>
                <w:color w:val="auto"/>
                <w:highlight w:val="none"/>
              </w:rPr>
            </w:pPr>
            <w:r>
              <w:rPr>
                <w:rFonts w:hint="eastAsia"/>
                <w:color w:val="auto"/>
                <w:highlight w:val="none"/>
              </w:rPr>
              <w:t xml:space="preserve">年</w:t>
            </w:r>
            <w:r>
              <w:rPr>
                <w:rFonts w:hint="eastAsia"/>
                <w:color w:val="auto"/>
                <w:highlight w:val="none"/>
              </w:rPr>
              <w:tab/>
            </w:r>
            <w:r>
              <w:rPr>
                <w:rFonts w:hint="eastAsia"/>
                <w:color w:val="auto"/>
                <w:highlight w:val="none"/>
              </w:rPr>
              <w:t xml:space="preserve">月</w:t>
            </w:r>
            <w:r/>
          </w:p>
        </w:tc>
      </w:tr>
      <w:tr>
        <w:trPr>
          <w:trHeight w:val="645"/>
        </w:trPr>
        <w:tc>
          <w:tcPr>
            <w:tcW w:w="628" w:type="dxa"/>
            <w:textDirection w:val="lrTb"/>
            <w:noWrap w:val="false"/>
          </w:tcPr>
          <w:p>
            <w:pPr>
              <w:pStyle w:val="1181"/>
              <w:spacing w:before="8"/>
              <w:rPr>
                <w:b/>
                <w:color w:val="auto"/>
                <w:sz w:val="14"/>
                <w:highlight w:val="none"/>
              </w:rPr>
            </w:pPr>
            <w:r>
              <w:rPr>
                <w:b/>
                <w:color w:val="auto"/>
                <w:sz w:val="14"/>
                <w:highlight w:val="none"/>
              </w:rPr>
            </w:r>
            <w:r/>
          </w:p>
          <w:p>
            <w:pPr>
              <w:pStyle w:val="1181"/>
              <w:ind w:left="261"/>
              <w:rPr>
                <w:color w:val="auto"/>
                <w:highlight w:val="none"/>
              </w:rPr>
            </w:pPr>
            <w:r>
              <w:rPr>
                <w:rFonts w:hint="eastAsia"/>
                <w:color w:val="auto"/>
                <w:highlight w:val="none"/>
              </w:rPr>
              <w:t xml:space="preserve">3</w:t>
            </w:r>
            <w:r/>
          </w:p>
        </w:tc>
        <w:tc>
          <w:tcPr>
            <w:gridSpan w:val="2"/>
            <w:tcW w:w="3180"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联系电话：</w:t>
            </w:r>
            <w:r/>
          </w:p>
        </w:tc>
        <w:tc>
          <w:tcPr>
            <w:gridSpan w:val="2"/>
            <w:tcW w:w="2148"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传真：</w:t>
            </w:r>
            <w:r/>
          </w:p>
        </w:tc>
        <w:tc>
          <w:tcPr>
            <w:gridSpan w:val="2"/>
            <w:tcW w:w="3072"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电子邮箱：</w:t>
            </w:r>
            <w:r/>
          </w:p>
        </w:tc>
      </w:tr>
      <w:tr>
        <w:trPr>
          <w:trHeight w:val="645"/>
        </w:trPr>
        <w:tc>
          <w:tcPr>
            <w:tcW w:w="628" w:type="dxa"/>
            <w:textDirection w:val="lrTb"/>
            <w:noWrap w:val="false"/>
          </w:tcPr>
          <w:p>
            <w:pPr>
              <w:pStyle w:val="1181"/>
              <w:spacing w:before="8"/>
              <w:rPr>
                <w:b/>
                <w:color w:val="auto"/>
                <w:sz w:val="14"/>
                <w:highlight w:val="none"/>
              </w:rPr>
            </w:pPr>
            <w:r>
              <w:rPr>
                <w:b/>
                <w:color w:val="auto"/>
                <w:sz w:val="14"/>
                <w:highlight w:val="none"/>
              </w:rPr>
            </w:r>
            <w:r/>
          </w:p>
          <w:p>
            <w:pPr>
              <w:pStyle w:val="1181"/>
              <w:ind w:left="261"/>
              <w:rPr>
                <w:color w:val="auto"/>
                <w:highlight w:val="none"/>
              </w:rPr>
            </w:pPr>
            <w:r>
              <w:rPr>
                <w:rFonts w:hint="eastAsia"/>
                <w:color w:val="auto"/>
                <w:highlight w:val="none"/>
              </w:rPr>
              <w:t xml:space="preserve">4</w:t>
            </w:r>
            <w:r/>
          </w:p>
        </w:tc>
        <w:tc>
          <w:tcPr>
            <w:gridSpan w:val="6"/>
            <w:tcW w:w="8400"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从事类似项目工作时间：</w:t>
            </w:r>
            <w:r/>
          </w:p>
        </w:tc>
      </w:tr>
      <w:tr>
        <w:trPr>
          <w:trHeight w:val="625"/>
        </w:trPr>
        <w:tc>
          <w:tcPr>
            <w:tcW w:w="628" w:type="dxa"/>
            <w:textDirection w:val="lrTb"/>
            <w:noWrap w:val="false"/>
          </w:tcPr>
          <w:p>
            <w:pPr>
              <w:pStyle w:val="1181"/>
              <w:ind w:left="261"/>
              <w:spacing w:before="176"/>
              <w:rPr>
                <w:color w:val="auto"/>
                <w:highlight w:val="none"/>
              </w:rPr>
            </w:pPr>
            <w:r>
              <w:rPr>
                <w:rFonts w:hint="eastAsia"/>
                <w:color w:val="auto"/>
                <w:highlight w:val="none"/>
              </w:rPr>
              <w:t xml:space="preserve">5</w:t>
            </w:r>
            <w:r/>
          </w:p>
        </w:tc>
        <w:tc>
          <w:tcPr>
            <w:gridSpan w:val="6"/>
            <w:tcW w:w="8400" w:type="dxa"/>
            <w:textDirection w:val="lrTb"/>
            <w:noWrap w:val="false"/>
          </w:tcPr>
          <w:p>
            <w:pPr>
              <w:pStyle w:val="1181"/>
              <w:ind w:left="27"/>
              <w:spacing w:before="176"/>
              <w:rPr>
                <w:color w:val="auto"/>
                <w:highlight w:val="none"/>
              </w:rPr>
            </w:pPr>
            <w:r>
              <w:rPr>
                <w:rFonts w:hint="eastAsia"/>
                <w:color w:val="auto"/>
                <w:highlight w:val="none"/>
              </w:rPr>
              <w:t xml:space="preserve">拥有的职称：</w:t>
            </w:r>
            <w:r/>
          </w:p>
        </w:tc>
      </w:tr>
      <w:tr>
        <w:trPr>
          <w:trHeight w:val="1871"/>
        </w:trPr>
        <w:tc>
          <w:tcPr>
            <w:tcW w:w="628" w:type="dxa"/>
            <w:textDirection w:val="lrTb"/>
            <w:noWrap w:val="false"/>
          </w:tcPr>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spacing w:before="6"/>
              <w:rPr>
                <w:b/>
                <w:color w:val="auto"/>
                <w:highlight w:val="none"/>
              </w:rPr>
            </w:pPr>
            <w:r>
              <w:rPr>
                <w:b/>
                <w:color w:val="auto"/>
                <w:highlight w:val="none"/>
              </w:rPr>
            </w:r>
            <w:r/>
          </w:p>
          <w:p>
            <w:pPr>
              <w:pStyle w:val="1181"/>
              <w:ind w:left="259"/>
              <w:rPr>
                <w:color w:val="auto"/>
                <w:highlight w:val="none"/>
              </w:rPr>
            </w:pPr>
            <w:r>
              <w:rPr>
                <w:rFonts w:hint="eastAsia"/>
                <w:color w:val="auto"/>
                <w:highlight w:val="none"/>
              </w:rPr>
              <w:t xml:space="preserve">6</w:t>
            </w:r>
            <w:r/>
          </w:p>
        </w:tc>
        <w:tc>
          <w:tcPr>
            <w:gridSpan w:val="6"/>
            <w:tcW w:w="8400" w:type="dxa"/>
            <w:textDirection w:val="lrTb"/>
            <w:noWrap w:val="false"/>
          </w:tcPr>
          <w:p>
            <w:pPr>
              <w:pStyle w:val="1181"/>
              <w:ind w:left="27"/>
              <w:spacing w:before="21"/>
              <w:rPr>
                <w:color w:val="auto"/>
                <w:highlight w:val="none"/>
              </w:rPr>
            </w:pPr>
            <w:r>
              <w:rPr>
                <w:rFonts w:hint="eastAsia"/>
                <w:color w:val="auto"/>
                <w:highlight w:val="none"/>
              </w:rPr>
              <w:t xml:space="preserve">曾获得的奖励情况：</w:t>
            </w:r>
            <w:r/>
          </w:p>
          <w:p>
            <w:pPr>
              <w:pStyle w:val="1181"/>
              <w:ind w:left="27"/>
              <w:spacing w:before="43"/>
              <w:tabs>
                <w:tab w:val="left" w:pos="4647" w:leader="none"/>
              </w:tabs>
              <w:rPr>
                <w:color w:val="auto"/>
                <w:highlight w:val="none"/>
              </w:rPr>
            </w:pPr>
            <w:r>
              <w:rPr>
                <w:rFonts w:hint="eastAsia"/>
                <w:color w:val="auto"/>
                <w:highlight w:val="none"/>
              </w:rPr>
              <w:t xml:space="preserve">1、</w:t>
            </w:r>
            <w:r>
              <w:rPr>
                <w:rFonts w:hint="eastAsia"/>
                <w:color w:val="auto"/>
                <w:highlight w:val="none"/>
                <w:u w:val="single"/>
              </w:rPr>
              <w:t xml:space="preserve"> </w:t>
            </w:r>
            <w:r>
              <w:rPr>
                <w:rFonts w:hint="eastAsia"/>
                <w:color w:val="auto"/>
                <w:highlight w:val="none"/>
                <w:u w:val="single"/>
              </w:rPr>
              <w:tab/>
            </w:r>
            <w:r>
              <w:rPr>
                <w:rFonts w:hint="eastAsia"/>
                <w:color w:val="auto"/>
                <w:highlight w:val="none"/>
              </w:rPr>
              <w:t xml:space="preserve">_</w:t>
            </w:r>
            <w:r/>
          </w:p>
          <w:p>
            <w:pPr>
              <w:pStyle w:val="1181"/>
              <w:ind w:left="27"/>
              <w:spacing w:before="42"/>
              <w:tabs>
                <w:tab w:val="left" w:pos="4908" w:leader="none"/>
              </w:tabs>
              <w:rPr>
                <w:color w:val="auto"/>
                <w:highlight w:val="none"/>
              </w:rPr>
            </w:pPr>
            <w:r>
              <w:rPr>
                <w:rFonts w:hint="eastAsia"/>
                <w:color w:val="auto"/>
                <w:highlight w:val="none"/>
              </w:rPr>
              <w:t xml:space="preserve">2、 </w:t>
            </w:r>
            <w:r>
              <w:rPr>
                <w:rFonts w:hint="eastAsia"/>
                <w:color w:val="auto"/>
                <w:highlight w:val="none"/>
                <w:u w:val="single"/>
              </w:rPr>
              <w:t xml:space="preserve"> </w:t>
            </w:r>
            <w:r>
              <w:rPr>
                <w:rFonts w:hint="eastAsia"/>
                <w:color w:val="auto"/>
                <w:highlight w:val="none"/>
                <w:u w:val="single"/>
              </w:rPr>
              <w:tab/>
            </w:r>
            <w:r/>
          </w:p>
          <w:p>
            <w:pPr>
              <w:pStyle w:val="1181"/>
              <w:ind w:left="27"/>
              <w:spacing w:before="43"/>
              <w:tabs>
                <w:tab w:val="left" w:pos="4803" w:leader="none"/>
              </w:tabs>
              <w:rPr>
                <w:color w:val="auto"/>
                <w:highlight w:val="none"/>
              </w:rPr>
            </w:pPr>
            <w:r>
              <w:rPr>
                <w:rFonts w:hint="eastAsia"/>
                <w:color w:val="auto"/>
                <w:highlight w:val="none"/>
              </w:rPr>
              <w:t xml:space="preserve">3、</w:t>
            </w:r>
            <w:r>
              <w:rPr>
                <w:rFonts w:hint="eastAsia"/>
                <w:color w:val="auto"/>
                <w:highlight w:val="none"/>
                <w:u w:val="single"/>
              </w:rPr>
              <w:t xml:space="preserve"> </w:t>
            </w:r>
            <w:r>
              <w:rPr>
                <w:rFonts w:hint="eastAsia"/>
                <w:color w:val="auto"/>
                <w:highlight w:val="none"/>
                <w:u w:val="single"/>
              </w:rPr>
              <w:tab/>
            </w:r>
            <w:r/>
          </w:p>
          <w:p>
            <w:pPr>
              <w:pStyle w:val="1181"/>
              <w:ind w:left="27"/>
              <w:spacing w:before="43"/>
              <w:rPr>
                <w:color w:val="auto"/>
                <w:highlight w:val="none"/>
              </w:rPr>
            </w:pPr>
            <w:r>
              <w:rPr>
                <w:rFonts w:hint="eastAsia"/>
                <w:color w:val="auto"/>
                <w:highlight w:val="none"/>
              </w:rPr>
              <w:t xml:space="preserve">……………</w:t>
            </w:r>
            <w:r/>
          </w:p>
        </w:tc>
      </w:tr>
      <w:tr>
        <w:trPr>
          <w:trHeight w:val="1132"/>
        </w:trPr>
        <w:tc>
          <w:tcPr>
            <w:tcW w:w="628" w:type="dxa"/>
            <w:textDirection w:val="lrTb"/>
            <w:noWrap w:val="false"/>
          </w:tcPr>
          <w:p>
            <w:pPr>
              <w:pStyle w:val="1181"/>
              <w:rPr>
                <w:b/>
                <w:color w:val="auto"/>
                <w:sz w:val="20"/>
                <w:highlight w:val="none"/>
              </w:rPr>
            </w:pPr>
            <w:r>
              <w:rPr>
                <w:b/>
                <w:color w:val="auto"/>
                <w:sz w:val="20"/>
                <w:highlight w:val="none"/>
              </w:rPr>
            </w:r>
            <w:r/>
          </w:p>
          <w:p>
            <w:pPr>
              <w:pStyle w:val="1181"/>
              <w:ind w:left="259"/>
              <w:spacing w:before="174"/>
              <w:rPr>
                <w:color w:val="auto"/>
                <w:highlight w:val="none"/>
              </w:rPr>
            </w:pPr>
            <w:r>
              <w:rPr>
                <w:rFonts w:hint="eastAsia"/>
                <w:color w:val="auto"/>
                <w:highlight w:val="none"/>
              </w:rPr>
              <w:t xml:space="preserve">7</w:t>
            </w:r>
            <w:r/>
          </w:p>
        </w:tc>
        <w:tc>
          <w:tcPr>
            <w:gridSpan w:val="6"/>
            <w:tcW w:w="8400" w:type="dxa"/>
            <w:textDirection w:val="lrTb"/>
            <w:noWrap w:val="false"/>
          </w:tcPr>
          <w:p>
            <w:pPr>
              <w:pStyle w:val="1181"/>
              <w:ind w:left="27"/>
              <w:spacing w:before="20"/>
              <w:rPr>
                <w:color w:val="auto"/>
                <w:highlight w:val="none"/>
              </w:rPr>
            </w:pPr>
            <w:r>
              <w:rPr>
                <w:rFonts w:hint="eastAsia"/>
                <w:color w:val="auto"/>
                <w:highlight w:val="none"/>
              </w:rPr>
              <w:t xml:space="preserve">本公司承诺：</w:t>
            </w:r>
            <w:r/>
          </w:p>
          <w:p>
            <w:pPr>
              <w:pStyle w:val="1181"/>
              <w:ind w:left="27"/>
              <w:spacing w:before="43"/>
              <w:rPr>
                <w:color w:val="auto"/>
                <w:highlight w:val="none"/>
              </w:rPr>
            </w:pPr>
            <w:r>
              <w:rPr>
                <w:rFonts w:hint="eastAsia"/>
                <w:color w:val="auto"/>
                <w:highlight w:val="none"/>
              </w:rPr>
              <w:t xml:space="preserve">该项目</w:t>
            </w:r>
            <w:r>
              <w:rPr>
                <w:rFonts w:hint="eastAsia"/>
                <w:color w:val="auto"/>
                <w:highlight w:val="none"/>
                <w:lang w:val="en-US" w:eastAsia="zh-CN"/>
              </w:rPr>
              <w:t xml:space="preserve">经理</w:t>
            </w:r>
            <w:r>
              <w:rPr>
                <w:rFonts w:hint="eastAsia"/>
                <w:color w:val="auto"/>
                <w:highlight w:val="none"/>
              </w:rPr>
              <w:t xml:space="preserve">在从业经历中没有任何违法、违规而被查处的不良记录。</w:t>
            </w:r>
            <w:r/>
          </w:p>
        </w:tc>
      </w:tr>
      <w:tr>
        <w:trPr>
          <w:trHeight w:val="2846"/>
        </w:trPr>
        <w:tc>
          <w:tcPr>
            <w:tcW w:w="628" w:type="dxa"/>
            <w:textDirection w:val="lrTb"/>
            <w:noWrap w:val="false"/>
          </w:tcPr>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spacing w:before="7"/>
              <w:rPr>
                <w:b/>
                <w:color w:val="auto"/>
                <w:sz w:val="20"/>
                <w:highlight w:val="none"/>
              </w:rPr>
            </w:pPr>
            <w:r>
              <w:rPr>
                <w:b/>
                <w:color w:val="auto"/>
                <w:sz w:val="20"/>
                <w:highlight w:val="none"/>
              </w:rPr>
            </w:r>
            <w:r/>
          </w:p>
          <w:p>
            <w:pPr>
              <w:pStyle w:val="1181"/>
              <w:ind w:left="259"/>
              <w:spacing w:before="1"/>
              <w:rPr>
                <w:color w:val="auto"/>
                <w:highlight w:val="none"/>
              </w:rPr>
            </w:pPr>
            <w:r>
              <w:rPr>
                <w:rFonts w:hint="eastAsia"/>
                <w:color w:val="auto"/>
                <w:highlight w:val="none"/>
              </w:rPr>
              <w:t xml:space="preserve">8</w:t>
            </w:r>
            <w:r/>
          </w:p>
        </w:tc>
        <w:tc>
          <w:tcPr>
            <w:gridSpan w:val="6"/>
            <w:tcW w:w="8400" w:type="dxa"/>
            <w:textDirection w:val="lrTb"/>
            <w:noWrap w:val="false"/>
          </w:tcPr>
          <w:p>
            <w:pPr>
              <w:pStyle w:val="1181"/>
              <w:ind w:left="27"/>
              <w:spacing w:before="22"/>
              <w:rPr>
                <w:color w:val="auto"/>
                <w:highlight w:val="none"/>
              </w:rPr>
            </w:pPr>
            <w:r>
              <w:rPr>
                <w:rFonts w:hint="eastAsia"/>
                <w:color w:val="auto"/>
                <w:highlight w:val="none"/>
              </w:rPr>
              <w:t xml:space="preserve">其他需要说明的情况</w:t>
            </w:r>
            <w:r/>
          </w:p>
        </w:tc>
      </w:tr>
    </w:tbl>
    <w:p>
      <w:pPr>
        <w:pStyle w:val="865"/>
        <w:spacing w:before="9" w:after="1"/>
        <w:rPr>
          <w:rFonts w:ascii="宋体" w:hAnsi="宋体" w:cs="宋体"/>
          <w:b/>
          <w:color w:val="auto"/>
          <w:sz w:val="22"/>
          <w:highlight w:val="none"/>
        </w:rPr>
      </w:pPr>
      <w:r>
        <w:rPr>
          <w:rFonts w:ascii="宋体" w:hAnsi="宋体" w:cs="宋体"/>
          <w:b/>
          <w:color w:val="auto"/>
          <w:sz w:val="22"/>
          <w:highlight w:val="none"/>
        </w:rPr>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spacing w:line="500" w:lineRule="exact"/>
        <w:rPr>
          <w:rFonts w:ascii="宋体" w:hAnsi="宋体" w:cs="宋体"/>
          <w:b/>
          <w:bCs/>
          <w:color w:val="auto"/>
          <w:szCs w:val="21"/>
          <w:highlight w:val="none"/>
          <w:lang w:eastAsia="zh-TW"/>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6.4</w:t>
      </w:r>
      <w:r>
        <w:rPr>
          <w:rFonts w:hint="eastAsia" w:ascii="宋体" w:hAnsi="宋体" w:cs="宋体"/>
          <w:b/>
          <w:color w:val="auto"/>
          <w:szCs w:val="21"/>
          <w:highlight w:val="none"/>
        </w:rPr>
        <w:t xml:space="preserve">类似项目业绩表</w:t>
      </w:r>
      <w:r/>
    </w:p>
    <w:p>
      <w:pPr>
        <w:jc w:val="cente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类似项目业绩表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60"/>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序号</w:t>
            </w:r>
            <w:r/>
          </w:p>
        </w:tc>
        <w:tc>
          <w:tcPr>
            <w:tcW w:w="776"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项目名称</w:t>
            </w:r>
            <w:r/>
          </w:p>
        </w:tc>
        <w:tc>
          <w:tcPr>
            <w:tcW w:w="742"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合同期</w:t>
            </w:r>
            <w:r/>
          </w:p>
        </w:tc>
        <w:tc>
          <w:tcPr>
            <w:tcW w:w="923"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服务范围</w:t>
            </w:r>
            <w:r/>
          </w:p>
        </w:tc>
        <w:tc>
          <w:tcPr>
            <w:tcW w:w="1193"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合同金额（万元）</w:t>
            </w:r>
            <w:r/>
          </w:p>
        </w:tc>
        <w:tc>
          <w:tcPr>
            <w:tcW w:w="883"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备注</w:t>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1</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2</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3</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4</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5</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tbRlV"/>
            <w:noWrap w:val="false"/>
          </w:tcPr>
          <w:p>
            <w:pPr>
              <w:ind w:left="113" w:right="113"/>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法定代表人或委托代理人：（签字或盖章）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1195"/>
        <w:numPr>
          <w:ilvl w:val="2"/>
          <w:numId w:val="0"/>
        </w:numPr>
        <w:jc w:val="both"/>
        <w:keepLines w:val="0"/>
        <w:keepNext w:val="0"/>
        <w:spacing w:before="240" w:after="240"/>
        <w:rPr>
          <w:rFonts w:ascii="宋体" w:hAnsi="宋体" w:eastAsia="宋体"/>
          <w:bCs w:val="0"/>
          <w:color w:val="auto"/>
          <w:spacing w:val="20"/>
          <w:sz w:val="21"/>
          <w:szCs w:val="21"/>
          <w:highlight w:val="none"/>
        </w:rPr>
        <w:sectPr>
          <w:footnotePr/>
          <w:endnotePr/>
          <w:type w:val="nextPage"/>
          <w:pgSz w:w="11906" w:h="16838" w:orient="portrait"/>
          <w:pgMar w:top="1440" w:right="1417" w:bottom="1134" w:left="1417" w:header="851" w:footer="850" w:gutter="0"/>
          <w:cols w:num="1" w:sep="0" w:space="0" w:equalWidth="1"/>
          <w:docGrid w:linePitch="360"/>
        </w:sectPr>
        <w:outlineLvl w:val="9"/>
      </w:pPr>
      <w:r>
        <w:rPr>
          <w:rFonts w:hint="eastAsia" w:ascii="宋体" w:hAnsi="宋体" w:eastAsia="宋体"/>
          <w:bCs w:val="0"/>
          <w:color w:val="auto"/>
          <w:spacing w:val="20"/>
          <w:sz w:val="21"/>
          <w:szCs w:val="21"/>
          <w:highlight w:val="none"/>
        </w:rPr>
        <w:br w:type="page" w:clear="all"/>
      </w:r>
      <w:r/>
    </w:p>
    <w:p>
      <w:pPr>
        <w:rPr>
          <w:rFonts w:ascii="宋体" w:hAnsi="宋体" w:cs="宋体"/>
          <w:color w:val="auto"/>
          <w:szCs w:val="21"/>
          <w:highlight w:val="none"/>
        </w:rPr>
      </w:pPr>
      <w:r>
        <w:rPr>
          <w:rFonts w:hint="eastAsia" w:ascii="宋体" w:hAnsi="宋体" w:cs="宋体"/>
          <w:b/>
          <w:bCs/>
          <w:color w:val="auto"/>
          <w:szCs w:val="21"/>
          <w:highlight w:val="none"/>
        </w:rPr>
        <w:t xml:space="preserve">6.5服务方案： </w:t>
      </w:r>
      <w:r/>
    </w:p>
    <w:p>
      <w:pPr>
        <w:jc w:val="center"/>
        <w:rPr>
          <w:rFonts w:ascii="宋体" w:hAnsi="宋体" w:cs="宋体"/>
          <w:b/>
          <w:bCs/>
          <w:color w:val="auto"/>
          <w:sz w:val="32"/>
          <w:szCs w:val="32"/>
          <w:highlight w:val="none"/>
        </w:rPr>
      </w:pPr>
      <w:r>
        <w:rPr>
          <w:rFonts w:hint="eastAsia" w:ascii="宋体" w:hAnsi="宋体" w:cs="宋体"/>
          <w:b/>
          <w:bCs/>
          <w:color w:val="auto"/>
          <w:szCs w:val="21"/>
          <w:highlight w:val="none"/>
        </w:rPr>
        <w:t xml:space="preserve">服务方案</w:t>
      </w:r>
      <w:r/>
    </w:p>
    <w:tbl>
      <w:tblPr>
        <w:tblStyle w:val="86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提示：</w:t>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1、响应单位应针对本项目特点编写成交后拟采取的方案。</w:t>
            </w:r>
            <w:r/>
          </w:p>
          <w:p>
            <w:pPr>
              <w:jc w:val="left"/>
              <w:rPr>
                <w:rFonts w:ascii="宋体" w:hAnsi="宋体" w:cs="宋体"/>
                <w:color w:val="auto"/>
                <w:highlight w:val="none"/>
              </w:rPr>
            </w:pPr>
            <w:r>
              <w:rPr>
                <w:rFonts w:hint="eastAsia" w:ascii="宋体" w:hAnsi="宋体" w:cs="宋体"/>
                <w:color w:val="auto"/>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lang w:val="zh-CN"/>
              </w:rPr>
            </w:pPr>
            <w:r>
              <w:rPr>
                <w:rFonts w:hint="eastAsia" w:ascii="宋体" w:hAnsi="宋体" w:cs="宋体"/>
                <w:color w:val="auto"/>
                <w:highlight w:val="none"/>
              </w:rPr>
              <w:t xml:space="preserve">   </w:t>
            </w:r>
            <w:r>
              <w:rPr>
                <w:rFonts w:hint="eastAsia" w:ascii="宋体" w:hAnsi="宋体" w:cs="宋体"/>
                <w:color w:val="auto"/>
                <w:szCs w:val="21"/>
                <w:highlight w:val="none"/>
                <w:lang w:val="zh-CN"/>
              </w:rPr>
              <w:t xml:space="preserve">磋商响应单位（盖章）：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jc w:val="righ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（全文完）</w:t>
      </w:r>
      <w:r/>
    </w:p>
    <w:sectPr>
      <w:footnotePr/>
      <w:endnotePr/>
      <w:type w:val="nextPage"/>
      <w:pgSz w:w="11906" w:h="16838" w:orient="portrait"/>
      <w:pgMar w:top="1440" w:right="1417" w:bottom="1134" w:left="1417"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v.萀">
    <w:panose1 w:val="02010609060101010101"/>
  </w:font>
  <w:font w:name="楷体">
    <w:panose1 w:val="02010609060101010101"/>
  </w:font>
  <w:font w:name="Symbol">
    <w:panose1 w:val="05050102010706020507"/>
  </w:font>
  <w:font w:name="Calibri">
    <w:panose1 w:val="020F0502020204030204"/>
  </w:font>
  <w:font w:name="黑体">
    <w:panose1 w:val="02010609060101010101"/>
  </w:font>
  <w:font w:name="仿宋_GB2312">
    <w:panose1 w:val="02010609060101010101"/>
  </w:font>
  <w:font w:name="Verdan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Cambria">
    <w:panose1 w:val="0204050305040603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890" cy="4273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5890" cy="427355"/>
                      </a:xfrm>
                      <a:prstGeom prst="rect">
                        <a:avLst/>
                      </a:prstGeom>
                      <a:noFill/>
                      <a:ln>
                        <a:noFill/>
                        <a:miter/>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0.7pt;height:33.6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0500" cy="236220"/>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90753" cy="236371"/>
                      </a:xfrm>
                      <a:prstGeom prst="rect">
                        <a:avLst/>
                      </a:prstGeom>
                      <a:noFill/>
                      <a:ln>
                        <a:noFill/>
                        <a:miter/>
                      </a:ln>
                    </wps:spPr>
                    <wps:txbx>
                      <w:txbxContent>
                        <w:p>
                          <w:pPr>
                            <w:pStyle w:val="875"/>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5.0pt;height:18.6pt;mso-wrap-distance-left:9.0pt;mso-wrap-distance-top:0.0pt;mso-wrap-distance-right:9.0pt;mso-wrap-distance-bottom:0.0pt;visibility:visible;" filled="f" stroked="f">
              <v:textbox inset="0,0,0,0">
                <w:txbxContent>
                  <w:p>
                    <w:pPr>
                      <w:pStyle w:val="87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22"/>
      <w:spacing w:line="158" w:lineRule="auto"/>
      <w:tabs>
        <w:tab w:val="left" w:pos="7240" w:leader="none"/>
      </w:tabs>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4630" cy="153035"/>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14778" cy="153339"/>
                      </a:xfrm>
                      <a:prstGeom prst="rect">
                        <a:avLst/>
                      </a:prstGeom>
                      <a:noFill/>
                      <a:ln>
                        <a:noFill/>
                        <a:miter/>
                      </a:ln>
                    </wps:spPr>
                    <wps:txbx>
                      <w:txbxContent>
                        <w:p>
                          <w:pPr>
                            <w:pStyle w:val="875"/>
                          </w:pPr>
                          <w:r>
                            <w:fldChar w:fldCharType="begin"/>
                          </w:r>
                          <w:r>
                            <w:instrText xml:space="preserve"> PAGE  \* MERGEFORMAT </w:instrText>
                          </w:r>
                          <w:r>
                            <w:fldChar w:fldCharType="separate"/>
                          </w:r>
                          <w:r>
                            <w:t xml:space="preserve">69</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6.9pt;height:12.0pt;mso-wrap-distance-left:9.0pt;mso-wrap-distance-top:0.0pt;mso-wrap-distance-right:9.0pt;mso-wrap-distance-bottom:0.0pt;visibility:visible;" filled="f" stroked="f">
              <v:textbox inset="0,0,0,0">
                <w:txbxContent>
                  <w:p>
                    <w:pPr>
                      <w:pStyle w:val="87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rPr>
        <w:rFonts w:hint="eastAsia" w:ascii="Arial" w:hAnsi="Arial" w:eastAsia="宋体" w:cs="Arial"/>
        <w:highlight w:val="yellow"/>
        <w:lang w:eastAsia="zh-CN"/>
      </w:rPr>
    </w:pPr>
    <w:r>
      <w:rPr>
        <w:rFonts w:hint="eastAsia" w:ascii="Arial" w:hAnsi="Arial" w:cs="Arial"/>
      </w:rPr>
      <w:t xml:space="preserve">苏州通宜房地产土地评估咨询有限公司</w:t>
    </w:r>
    <w:r>
      <w:rPr>
        <w:rFonts w:hint="eastAsia" w:ascii="Arial" w:hAnsi="Arial" w:eastAsia="Arial" w:cs="Arial"/>
      </w:rPr>
      <w:t xml:space="preserve">                                  </w:t>
    </w:r>
    <w:r>
      <w:rPr>
        <w:rFonts w:hint="eastAsia" w:ascii="Arial" w:hAnsi="Arial" w:cs="Arial"/>
      </w:rPr>
      <w:t xml:space="preserve"> </w:t>
    </w:r>
    <w:r>
      <w:rPr>
        <w:rFonts w:hint="eastAsia" w:ascii="Arial" w:hAnsi="Arial" w:cs="Arial"/>
        <w:lang w:eastAsia="zh-CN"/>
      </w:rPr>
      <w:t xml:space="preserve">JSZC-320509-SZTY-C2026-0008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spacing w:line="14" w:lineRule="auto"/>
      <w:rPr>
        <w:sz w:val="20"/>
      </w:rPr>
      <w:pBdr>
        <w:bottom w:val="single" w:color="auto"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4441190</wp:posOffset>
              </wp:positionH>
              <wp:positionV relativeFrom="page">
                <wp:posOffset>371475</wp:posOffset>
              </wp:positionV>
              <wp:extent cx="2254250" cy="1492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54250" cy="149225"/>
                      </a:xfrm>
                      <a:prstGeom prst="rect">
                        <a:avLst/>
                      </a:prstGeom>
                      <a:noFill/>
                      <a:ln>
                        <a:noFill/>
                        <a:miter/>
                      </a:ln>
                    </wps:spPr>
                    <wps:txbx>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JSZC-320509-SZTY-C2026-0008</w:t>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page;margin-left:349.7pt;mso-position-horizontal:absolute;mso-position-vertical-relative:page;margin-top:29.2pt;mso-position-vertical:absolute;width:177.5pt;height:11.8pt;mso-wrap-distance-left:9.0pt;mso-wrap-distance-top:0.0pt;mso-wrap-distance-right:9.0pt;mso-wrap-distance-bottom:0.0pt;visibility:visible;" filled="f" stroked="f">
              <v:textbox inset="0,0,0,0">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JSZC-320509-SZTY-C2026-0008</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887095</wp:posOffset>
              </wp:positionH>
              <wp:positionV relativeFrom="page">
                <wp:posOffset>371475</wp:posOffset>
              </wp:positionV>
              <wp:extent cx="2491740" cy="1485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91740" cy="148590"/>
                      </a:xfrm>
                      <a:prstGeom prst="rect">
                        <a:avLst/>
                      </a:prstGeom>
                      <a:noFill/>
                      <a:ln>
                        <a:noFill/>
                        <a:miter/>
                      </a:ln>
                    </wps:spPr>
                    <wps:txbx>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page;margin-left:69.8pt;mso-position-horizontal:absolute;mso-position-vertical-relative:page;margin-top:29.2pt;mso-position-vertical:absolute;width:196.2pt;height:11.7pt;mso-wrap-distance-left:9.0pt;mso-wrap-distance-top:0.0pt;mso-wrap-distance-right:9.0pt;mso-wrap-distance-bottom:0.0pt;visibility:visible;" filled="f" stroked="f">
              <v:textbox inset="0,0,0,0">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pStyle w:val="115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12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pStyle w:val="91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131"/>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53"/>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50">
    <w:name w:val="Heading 1"/>
    <w:basedOn w:val="849"/>
    <w:next w:val="849"/>
    <w:link w:val="1105"/>
    <w:uiPriority w:val="0"/>
    <w:qFormat/>
    <w:pPr>
      <w:jc w:val="center"/>
      <w:keepLines/>
      <w:keepNext/>
      <w:spacing w:before="160" w:after="160" w:line="480" w:lineRule="auto"/>
      <w:outlineLvl w:val="0"/>
    </w:pPr>
    <w:rPr>
      <w:b/>
      <w:bCs/>
      <w:sz w:val="32"/>
      <w:szCs w:val="44"/>
    </w:rPr>
  </w:style>
  <w:style w:type="paragraph" w:styleId="851">
    <w:name w:val="Heading 2"/>
    <w:basedOn w:val="849"/>
    <w:next w:val="849"/>
    <w:link w:val="1106"/>
    <w:uiPriority w:val="0"/>
    <w:qFormat/>
    <w:pPr>
      <w:keepLines/>
      <w:keepNext/>
      <w:spacing w:before="260" w:after="260" w:line="416" w:lineRule="auto"/>
      <w:outlineLvl w:val="1"/>
    </w:pPr>
    <w:rPr>
      <w:rFonts w:ascii="Cambria" w:hAnsi="Cambria"/>
      <w:b/>
      <w:sz w:val="32"/>
    </w:rPr>
  </w:style>
  <w:style w:type="paragraph" w:styleId="852">
    <w:name w:val="Heading 3"/>
    <w:basedOn w:val="849"/>
    <w:next w:val="849"/>
    <w:link w:val="1107"/>
    <w:uiPriority w:val="0"/>
    <w:qFormat/>
    <w:pPr>
      <w:keepLines/>
      <w:keepNext/>
      <w:spacing w:before="260" w:after="260" w:line="416" w:lineRule="auto"/>
      <w:outlineLvl w:val="2"/>
    </w:pPr>
    <w:rPr>
      <w:b/>
      <w:bCs/>
      <w:sz w:val="32"/>
      <w:szCs w:val="32"/>
    </w:rPr>
  </w:style>
  <w:style w:type="paragraph" w:styleId="853">
    <w:name w:val="Heading 4"/>
    <w:basedOn w:val="849"/>
    <w:next w:val="849"/>
    <w:link w:val="1108"/>
    <w:uiPriority w:val="0"/>
    <w:qFormat/>
    <w:pPr>
      <w:spacing w:before="240" w:after="60"/>
      <w:outlineLvl w:val="3"/>
    </w:pPr>
    <w:rPr>
      <w:sz w:val="28"/>
      <w:szCs w:val="28"/>
    </w:rPr>
  </w:style>
  <w:style w:type="paragraph" w:styleId="854">
    <w:name w:val="Heading 5"/>
    <w:basedOn w:val="849"/>
    <w:next w:val="849"/>
    <w:link w:val="1109"/>
    <w:uiPriority w:val="0"/>
    <w:qFormat/>
    <w:pPr>
      <w:spacing w:before="240" w:after="60"/>
      <w:outlineLvl w:val="4"/>
    </w:pPr>
    <w:rPr>
      <w:b/>
      <w:bCs/>
      <w:i/>
      <w:iCs/>
      <w:sz w:val="26"/>
      <w:szCs w:val="26"/>
    </w:rPr>
  </w:style>
  <w:style w:type="paragraph" w:styleId="855">
    <w:name w:val="Heading 6"/>
    <w:basedOn w:val="849"/>
    <w:next w:val="849"/>
    <w:link w:val="967"/>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69"/>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70"/>
    <w:uiPriority w:val="9"/>
    <w:unhideWhenUsed/>
    <w:qFormat/>
    <w:pPr>
      <w:keepLines/>
      <w:keepNext/>
      <w:spacing w:before="320" w:after="200"/>
      <w:outlineLvl w:val="8"/>
    </w:pPr>
    <w:rPr>
      <w:rFonts w:ascii="Arial" w:hAnsi="Arial" w:eastAsia="Arial" w:cs="Arial"/>
      <w:i/>
      <w:iCs/>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spacing w:after="57"/>
    </w:pPr>
  </w:style>
  <w:style w:type="paragraph" w:styleId="862">
    <w:name w:val="Normal Indent"/>
    <w:basedOn w:val="849"/>
    <w:next w:val="849"/>
    <w:uiPriority w:val="0"/>
    <w:qFormat/>
    <w:pPr>
      <w:ind w:firstLine="420"/>
      <w:jc w:val="left"/>
    </w:pPr>
    <w:rPr>
      <w:rFonts w:eastAsia="楷体_GB2312"/>
      <w:sz w:val="24"/>
    </w:r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annotation text"/>
    <w:basedOn w:val="849"/>
    <w:uiPriority w:val="99"/>
    <w:semiHidden/>
    <w:unhideWhenUsed/>
    <w:qFormat/>
    <w:pPr>
      <w:jc w:val="left"/>
    </w:pPr>
  </w:style>
  <w:style w:type="paragraph" w:styleId="865">
    <w:name w:val="Body Text"/>
    <w:basedOn w:val="849"/>
    <w:uiPriority w:val="0"/>
    <w:qFormat/>
    <w:pPr>
      <w:tabs>
        <w:tab w:val="left" w:pos="5250" w:leader="none"/>
      </w:tabs>
    </w:pPr>
    <w:rPr>
      <w:sz w:val="28"/>
    </w:rPr>
  </w:style>
  <w:style w:type="paragraph" w:styleId="866">
    <w:name w:val="Body Text Indent"/>
    <w:basedOn w:val="849"/>
    <w:next w:val="867"/>
    <w:uiPriority w:val="0"/>
    <w:qFormat/>
    <w:pPr>
      <w:ind w:left="420"/>
      <w:spacing w:after="120"/>
    </w:pPr>
  </w:style>
  <w:style w:type="paragraph" w:styleId="867">
    <w:name w:val="envelope return"/>
    <w:basedOn w:val="849"/>
    <w:uiPriority w:val="0"/>
    <w:qFormat/>
    <w:rPr>
      <w:rFonts w:ascii="Arial" w:hAnsi="Arial"/>
    </w:rPr>
  </w:style>
  <w:style w:type="paragraph" w:styleId="868">
    <w:name w:val="toc 5"/>
    <w:basedOn w:val="849"/>
    <w:next w:val="849"/>
    <w:uiPriority w:val="39"/>
    <w:unhideWhenUsed/>
    <w:qFormat/>
    <w:pPr>
      <w:ind w:left="1134"/>
      <w:spacing w:after="57"/>
    </w:pPr>
  </w:style>
  <w:style w:type="paragraph" w:styleId="869">
    <w:name w:val="toc 3"/>
    <w:basedOn w:val="849"/>
    <w:next w:val="849"/>
    <w:uiPriority w:val="39"/>
    <w:unhideWhenUsed/>
    <w:qFormat/>
    <w:pPr>
      <w:ind w:left="567"/>
      <w:spacing w:after="57"/>
    </w:pPr>
  </w:style>
  <w:style w:type="paragraph" w:styleId="870">
    <w:name w:val="Plain Text"/>
    <w:basedOn w:val="849"/>
    <w:link w:val="1210"/>
    <w:uiPriority w:val="0"/>
    <w:qFormat/>
    <w:pPr>
      <w:ind w:firstLine="420"/>
    </w:pPr>
    <w:rPr>
      <w:rFonts w:ascii="宋体" w:hAnsi="Courier New" w:eastAsia="楷体_GB2312" w:cs="宋体"/>
      <w:sz w:val="28"/>
      <w:szCs w:val="20"/>
    </w:rPr>
  </w:style>
  <w:style w:type="paragraph" w:styleId="871">
    <w:name w:val="toc 8"/>
    <w:basedOn w:val="849"/>
    <w:next w:val="849"/>
    <w:uiPriority w:val="39"/>
    <w:unhideWhenUsed/>
    <w:qFormat/>
    <w:pPr>
      <w:ind w:left="1984"/>
      <w:spacing w:after="57"/>
    </w:pPr>
  </w:style>
  <w:style w:type="paragraph" w:styleId="872">
    <w:name w:val="Date"/>
    <w:basedOn w:val="849"/>
    <w:next w:val="849"/>
    <w:uiPriority w:val="0"/>
    <w:qFormat/>
    <w:rPr>
      <w:rFonts w:hint="eastAsia" w:ascii="宋体" w:hAnsi="宋体" w:eastAsia="楷体_GB2312"/>
      <w:sz w:val="24"/>
      <w:szCs w:val="20"/>
    </w:rPr>
  </w:style>
  <w:style w:type="paragraph" w:styleId="873">
    <w:name w:val="endnote text"/>
    <w:basedOn w:val="849"/>
    <w:uiPriority w:val="99"/>
    <w:semiHidden/>
    <w:unhideWhenUsed/>
    <w:qFormat/>
    <w:pPr>
      <w:spacing w:line="240" w:lineRule="auto"/>
    </w:pPr>
    <w:rPr>
      <w:sz w:val="20"/>
    </w:rPr>
  </w:style>
  <w:style w:type="paragraph" w:styleId="874">
    <w:name w:val="Balloon Text"/>
    <w:basedOn w:val="849"/>
    <w:uiPriority w:val="99"/>
    <w:unhideWhenUsed/>
    <w:qFormat/>
    <w:rPr>
      <w:sz w:val="18"/>
      <w:szCs w:val="18"/>
    </w:rPr>
  </w:style>
  <w:style w:type="paragraph" w:styleId="875">
    <w:name w:val="Footer"/>
    <w:basedOn w:val="849"/>
    <w:uiPriority w:val="99"/>
    <w:unhideWhenUsed/>
    <w:qFormat/>
    <w:pPr>
      <w:spacing w:line="240" w:lineRule="auto"/>
      <w:tabs>
        <w:tab w:val="center" w:pos="7143" w:leader="none"/>
        <w:tab w:val="right" w:pos="14287" w:leader="none"/>
      </w:tabs>
    </w:pPr>
  </w:style>
  <w:style w:type="paragraph" w:styleId="876">
    <w:name w:val="Header"/>
    <w:basedOn w:val="849"/>
    <w:uiPriority w:val="99"/>
    <w:unhideWhenUsed/>
    <w:qFormat/>
    <w:pPr>
      <w:spacing w:line="240" w:lineRule="auto"/>
      <w:tabs>
        <w:tab w:val="center" w:pos="7143" w:leader="none"/>
        <w:tab w:val="right" w:pos="14287" w:leader="none"/>
      </w:tabs>
    </w:pPr>
  </w:style>
  <w:style w:type="paragraph" w:styleId="877">
    <w:name w:val="toc 1"/>
    <w:basedOn w:val="849"/>
    <w:next w:val="849"/>
    <w:uiPriority w:val="39"/>
    <w:unhideWhenUsed/>
    <w:qFormat/>
    <w:pPr>
      <w:spacing w:after="57"/>
    </w:pPr>
  </w:style>
  <w:style w:type="paragraph" w:styleId="878">
    <w:name w:val="toc 4"/>
    <w:basedOn w:val="849"/>
    <w:next w:val="849"/>
    <w:uiPriority w:val="39"/>
    <w:unhideWhenUsed/>
    <w:qFormat/>
    <w:pPr>
      <w:ind w:left="850"/>
      <w:spacing w:after="57"/>
    </w:pPr>
  </w:style>
  <w:style w:type="paragraph" w:styleId="879">
    <w:name w:val="Subtitle"/>
    <w:basedOn w:val="849"/>
    <w:next w:val="849"/>
    <w:uiPriority w:val="11"/>
    <w:qFormat/>
    <w:pPr>
      <w:spacing w:before="200" w:after="200"/>
    </w:pPr>
    <w:rPr>
      <w:sz w:val="24"/>
    </w:rPr>
  </w:style>
  <w:style w:type="paragraph" w:styleId="880">
    <w:name w:val="List"/>
    <w:basedOn w:val="849"/>
    <w:next w:val="849"/>
    <w:uiPriority w:val="0"/>
    <w:qFormat/>
    <w:pPr>
      <w:ind w:left="420" w:hanging="420"/>
    </w:pPr>
    <w:rPr>
      <w:rFonts w:ascii="Arial" w:hAnsi="Arial" w:eastAsia="楷体_GB2312"/>
      <w:sz w:val="28"/>
    </w:rPr>
  </w:style>
  <w:style w:type="paragraph" w:styleId="881">
    <w:name w:val="footnote text"/>
    <w:basedOn w:val="849"/>
    <w:uiPriority w:val="99"/>
    <w:semiHidden/>
    <w:unhideWhenUsed/>
    <w:qFormat/>
    <w:pPr>
      <w:spacing w:after="40" w:line="240" w:lineRule="auto"/>
    </w:pPr>
    <w:rPr>
      <w:sz w:val="18"/>
    </w:rPr>
  </w:style>
  <w:style w:type="paragraph" w:styleId="882">
    <w:name w:val="toc 6"/>
    <w:basedOn w:val="849"/>
    <w:next w:val="849"/>
    <w:uiPriority w:val="39"/>
    <w:unhideWhenUsed/>
    <w:qFormat/>
    <w:pPr>
      <w:ind w:left="1417"/>
      <w:spacing w:after="57"/>
    </w:pPr>
  </w:style>
  <w:style w:type="paragraph" w:styleId="883">
    <w:name w:val="table of figures"/>
    <w:basedOn w:val="849"/>
    <w:next w:val="849"/>
    <w:uiPriority w:val="99"/>
    <w:unhideWhenUsed/>
    <w:qFormat/>
  </w:style>
  <w:style w:type="paragraph" w:styleId="884">
    <w:name w:val="toc 2"/>
    <w:basedOn w:val="849"/>
    <w:next w:val="849"/>
    <w:uiPriority w:val="39"/>
    <w:unhideWhenUsed/>
    <w:qFormat/>
    <w:pPr>
      <w:ind w:left="283"/>
      <w:spacing w:after="57"/>
    </w:pPr>
  </w:style>
  <w:style w:type="paragraph" w:styleId="885">
    <w:name w:val="toc 9"/>
    <w:basedOn w:val="849"/>
    <w:next w:val="849"/>
    <w:uiPriority w:val="39"/>
    <w:unhideWhenUsed/>
    <w:qFormat/>
    <w:pPr>
      <w:ind w:left="2268"/>
      <w:spacing w:after="57"/>
    </w:pPr>
  </w:style>
  <w:style w:type="paragraph" w:styleId="886">
    <w:name w:val="Body Text 2"/>
    <w:basedOn w:val="849"/>
    <w:uiPriority w:val="0"/>
    <w:qFormat/>
    <w:rPr>
      <w:color w:val="ff0000"/>
    </w:rPr>
  </w:style>
  <w:style w:type="paragraph" w:styleId="887">
    <w:name w:val="Normal (Web)"/>
    <w:basedOn w:val="849"/>
    <w:uiPriority w:val="0"/>
    <w:qFormat/>
    <w:pPr>
      <w:jc w:val="left"/>
      <w:spacing w:before="100" w:beforeAutospacing="1" w:after="100" w:afterAutospacing="1"/>
      <w:widowControl/>
    </w:pPr>
    <w:rPr>
      <w:rFonts w:ascii="宋体" w:hAnsi="宋体"/>
      <w:sz w:val="24"/>
    </w:rPr>
  </w:style>
  <w:style w:type="paragraph" w:styleId="888">
    <w:name w:val="Title"/>
    <w:basedOn w:val="849"/>
    <w:next w:val="849"/>
    <w:uiPriority w:val="10"/>
    <w:qFormat/>
    <w:pPr>
      <w:contextualSpacing/>
      <w:spacing w:before="300" w:after="200"/>
    </w:pPr>
    <w:rPr>
      <w:sz w:val="48"/>
      <w:szCs w:val="48"/>
    </w:rPr>
  </w:style>
  <w:style w:type="paragraph" w:styleId="889">
    <w:name w:val="Body Text First Indent 2"/>
    <w:basedOn w:val="866"/>
    <w:next w:val="880"/>
    <w:uiPriority w:val="99"/>
    <w:unhideWhenUsed/>
    <w:qFormat/>
    <w:pPr>
      <w:ind w:firstLine="420"/>
    </w:p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footnote reference"/>
    <w:uiPriority w:val="99"/>
    <w:unhideWhenUsed/>
    <w:qFormat/>
    <w:rPr>
      <w:vertAlign w:val="superscript"/>
    </w:rPr>
  </w:style>
  <w:style w:type="character" w:styleId="894" w:customStyle="1">
    <w:name w:val="Heading 6 Char"/>
    <w:basedOn w:val="859"/>
    <w:uiPriority w:val="9"/>
    <w:qFormat/>
    <w:rPr>
      <w:rFonts w:ascii="Arial" w:hAnsi="Arial" w:eastAsia="Arial" w:cs="Arial"/>
      <w:b/>
      <w:bCs/>
      <w:sz w:val="22"/>
      <w:szCs w:val="22"/>
    </w:rPr>
  </w:style>
  <w:style w:type="character" w:styleId="895" w:customStyle="1">
    <w:name w:val="Heading 7 Char"/>
    <w:basedOn w:val="859"/>
    <w:uiPriority w:val="9"/>
    <w:qFormat/>
    <w:rPr>
      <w:rFonts w:ascii="Arial" w:hAnsi="Arial" w:eastAsia="Arial" w:cs="Arial"/>
      <w:b/>
      <w:bCs/>
      <w:i/>
      <w:iCs/>
      <w:sz w:val="22"/>
      <w:szCs w:val="22"/>
    </w:rPr>
  </w:style>
  <w:style w:type="character" w:styleId="896" w:customStyle="1">
    <w:name w:val="Heading 8 Char"/>
    <w:basedOn w:val="859"/>
    <w:uiPriority w:val="9"/>
    <w:qFormat/>
    <w:rPr>
      <w:rFonts w:ascii="Arial" w:hAnsi="Arial" w:eastAsia="Arial" w:cs="Arial"/>
      <w:i/>
      <w:iCs/>
      <w:sz w:val="22"/>
      <w:szCs w:val="22"/>
    </w:rPr>
  </w:style>
  <w:style w:type="character" w:styleId="897" w:customStyle="1">
    <w:name w:val="Heading 9 Char"/>
    <w:basedOn w:val="859"/>
    <w:uiPriority w:val="9"/>
    <w:qFormat/>
    <w:rPr>
      <w:rFonts w:ascii="Arial" w:hAnsi="Arial" w:eastAsia="Arial" w:cs="Arial"/>
      <w:i/>
      <w:iCs/>
      <w:sz w:val="21"/>
      <w:szCs w:val="21"/>
    </w:rPr>
  </w:style>
  <w:style w:type="character" w:styleId="898" w:customStyle="1">
    <w:name w:val="Quote Char"/>
    <w:uiPriority w:val="29"/>
    <w:qFormat/>
    <w:rPr>
      <w:i/>
    </w:rPr>
  </w:style>
  <w:style w:type="character" w:styleId="899" w:customStyle="1">
    <w:name w:val="Intense Quote Char"/>
    <w:uiPriority w:val="30"/>
    <w:qFormat/>
    <w:rPr>
      <w:i/>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段"/>
    <w:next w:val="849"/>
    <w:uiPriority w:val="0"/>
    <w:qFormat/>
    <w:pPr>
      <w:ind w:firstLine="200"/>
      <w:jc w:val="both"/>
    </w:pPr>
    <w:rPr>
      <w:rFonts w:hint="default" w:ascii="宋体" w:hAnsi="Times New Roman" w:eastAsia="宋体" w:cs="Times New Roman"/>
      <w:sz w:val="21"/>
      <w:lang w:val="en-US" w:eastAsia="zh-CN" w:bidi="ar-SA"/>
    </w:rPr>
  </w:style>
  <w:style w:type="paragraph" w:styleId="902" w:customStyle="1">
    <w:name w:val="正文文本缩进1"/>
    <w:basedOn w:val="849"/>
    <w:next w:val="849"/>
    <w:link w:val="917"/>
    <w:uiPriority w:val="99"/>
    <w:qFormat/>
    <w:pPr>
      <w:ind w:left="420"/>
      <w:spacing w:after="120"/>
    </w:pPr>
  </w:style>
  <w:style w:type="paragraph" w:styleId="903" w:customStyle="1">
    <w:name w:val="标题 11"/>
    <w:basedOn w:val="849"/>
    <w:next w:val="849"/>
    <w:link w:val="906"/>
    <w:uiPriority w:val="9"/>
    <w:qFormat/>
    <w:pPr>
      <w:jc w:val="center"/>
      <w:keepLines/>
      <w:keepNext/>
      <w:spacing w:before="160" w:after="160" w:line="480" w:lineRule="auto"/>
      <w:outlineLvl w:val="0"/>
    </w:pPr>
    <w:rPr>
      <w:b/>
      <w:sz w:val="32"/>
    </w:rPr>
  </w:style>
  <w:style w:type="character" w:styleId="904" w:customStyle="1">
    <w:name w:val="默认段落字体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character" w:styleId="906" w:customStyle="1">
    <w:name w:val="标题 1 Char"/>
    <w:basedOn w:val="859"/>
    <w:link w:val="903"/>
    <w:uiPriority w:val="0"/>
    <w:qFormat/>
    <w:rPr>
      <w:rFonts w:ascii="Times New Roman" w:hAnsi="Times New Roman" w:eastAsia="宋体"/>
      <w:b/>
      <w:sz w:val="32"/>
    </w:rPr>
  </w:style>
  <w:style w:type="paragraph" w:styleId="907" w:customStyle="1">
    <w:name w:val="目录 71"/>
    <w:basedOn w:val="849"/>
    <w:next w:val="849"/>
    <w:uiPriority w:val="39"/>
    <w:unhideWhenUsed/>
    <w:qFormat/>
    <w:pPr>
      <w:ind w:left="1701"/>
      <w:spacing w:after="57"/>
    </w:pPr>
  </w:style>
  <w:style w:type="paragraph" w:styleId="908" w:customStyle="1">
    <w:name w:val="正文缩进11"/>
    <w:basedOn w:val="849"/>
    <w:link w:val="909"/>
    <w:uiPriority w:val="0"/>
    <w:qFormat/>
    <w:pPr>
      <w:ind w:firstLine="420"/>
      <w:jc w:val="left"/>
      <w:widowControl/>
    </w:pPr>
    <w:rPr>
      <w:rFonts w:eastAsia="楷体_GB2312"/>
      <w:sz w:val="24"/>
      <w:szCs w:val="20"/>
    </w:rPr>
  </w:style>
  <w:style w:type="character" w:styleId="909" w:customStyle="1">
    <w:name w:val="正文缩进 字符1"/>
    <w:link w:val="908"/>
    <w:uiPriority w:val="0"/>
    <w:qFormat/>
    <w:rPr>
      <w:rFonts w:eastAsia="楷体_GB2312"/>
      <w:sz w:val="24"/>
      <w:lang w:val="en-US" w:eastAsia="zh-CN" w:bidi="ar-SA"/>
    </w:rPr>
  </w:style>
  <w:style w:type="paragraph" w:styleId="910" w:customStyle="1">
    <w:name w:val="列表项目符号1"/>
    <w:basedOn w:val="849"/>
    <w:uiPriority w:val="0"/>
    <w:qFormat/>
    <w:pPr>
      <w:numPr>
        <w:ilvl w:val="0"/>
        <w:numId w:val="1"/>
      </w:numPr>
      <w:tabs>
        <w:tab w:val="left" w:pos="1155" w:leader="none"/>
      </w:tabs>
    </w:pPr>
    <w:rPr>
      <w:rFonts w:eastAsia="仿宋_GB2312"/>
      <w:sz w:val="30"/>
      <w:szCs w:val="20"/>
    </w:rPr>
  </w:style>
  <w:style w:type="paragraph" w:styleId="911" w:customStyle="1">
    <w:name w:val="文档结构图1"/>
    <w:basedOn w:val="849"/>
    <w:uiPriority w:val="0"/>
    <w:semiHidden/>
    <w:qFormat/>
    <w:pPr>
      <w:shd w:val="clear" w:color="auto" w:fill="000080"/>
    </w:pPr>
  </w:style>
  <w:style w:type="paragraph" w:styleId="912" w:customStyle="1">
    <w:name w:val="批注文字1"/>
    <w:basedOn w:val="849"/>
    <w:link w:val="913"/>
    <w:uiPriority w:val="0"/>
    <w:qFormat/>
    <w:pPr>
      <w:jc w:val="left"/>
    </w:pPr>
  </w:style>
  <w:style w:type="character" w:styleId="913" w:customStyle="1">
    <w:name w:val="批注文字 字符"/>
    <w:link w:val="912"/>
    <w:uiPriority w:val="0"/>
    <w:qFormat/>
    <w:rPr>
      <w:sz w:val="21"/>
      <w:szCs w:val="24"/>
    </w:rPr>
  </w:style>
  <w:style w:type="paragraph" w:styleId="914" w:customStyle="1">
    <w:name w:val="正文文本11"/>
    <w:basedOn w:val="849"/>
    <w:next w:val="849"/>
    <w:link w:val="915"/>
    <w:uiPriority w:val="0"/>
    <w:qFormat/>
    <w:pPr>
      <w:spacing w:after="120"/>
    </w:pPr>
  </w:style>
  <w:style w:type="character" w:styleId="915" w:customStyle="1">
    <w:name w:val="正文文本 字符"/>
    <w:link w:val="914"/>
    <w:uiPriority w:val="0"/>
    <w:qFormat/>
    <w:rPr>
      <w:rFonts w:eastAsia="宋体"/>
      <w:sz w:val="21"/>
      <w:szCs w:val="24"/>
      <w:lang w:val="en-US" w:eastAsia="zh-CN" w:bidi="ar-SA"/>
    </w:rPr>
  </w:style>
  <w:style w:type="paragraph" w:styleId="916" w:customStyle="1">
    <w:name w:val="寄信人地址1"/>
    <w:basedOn w:val="849"/>
    <w:uiPriority w:val="0"/>
    <w:qFormat/>
    <w:rPr>
      <w:rFonts w:ascii="Arial" w:hAnsi="Arial"/>
    </w:rPr>
  </w:style>
  <w:style w:type="character" w:styleId="917" w:customStyle="1">
    <w:name w:val="正文文本缩进 字符"/>
    <w:link w:val="902"/>
    <w:uiPriority w:val="99"/>
    <w:qFormat/>
    <w:rPr>
      <w:sz w:val="21"/>
      <w:szCs w:val="24"/>
    </w:rPr>
  </w:style>
  <w:style w:type="paragraph" w:styleId="918" w:customStyle="1">
    <w:name w:val="文本块1"/>
    <w:basedOn w:val="849"/>
    <w:uiPriority w:val="0"/>
    <w:qFormat/>
    <w:pPr>
      <w:ind w:left="630" w:right="-609" w:firstLine="420"/>
    </w:pPr>
    <w:rPr>
      <w:rFonts w:hint="eastAsia" w:ascii="仿宋_GB2312" w:eastAsia="仿宋_GB2312"/>
      <w:szCs w:val="20"/>
    </w:rPr>
  </w:style>
  <w:style w:type="paragraph" w:styleId="919" w:customStyle="1">
    <w:name w:val="目录 51"/>
    <w:basedOn w:val="849"/>
    <w:next w:val="849"/>
    <w:uiPriority w:val="39"/>
    <w:unhideWhenUsed/>
    <w:qFormat/>
    <w:pPr>
      <w:ind w:left="1134"/>
      <w:spacing w:after="57"/>
    </w:pPr>
  </w:style>
  <w:style w:type="paragraph" w:styleId="920" w:customStyle="1">
    <w:name w:val="目录 31"/>
    <w:basedOn w:val="849"/>
    <w:next w:val="849"/>
    <w:uiPriority w:val="0"/>
    <w:qFormat/>
    <w:pPr>
      <w:ind w:left="840" w:firstLine="200"/>
      <w:jc w:val="left"/>
    </w:pPr>
    <w:rPr>
      <w:sz w:val="24"/>
      <w:szCs w:val="22"/>
    </w:rPr>
  </w:style>
  <w:style w:type="paragraph" w:styleId="921" w:customStyle="1">
    <w:name w:val="纯文本11"/>
    <w:basedOn w:val="849"/>
    <w:link w:val="922"/>
    <w:uiPriority w:val="0"/>
    <w:qFormat/>
    <w:pPr>
      <w:jc w:val="left"/>
      <w:widowControl/>
    </w:pPr>
    <w:rPr>
      <w:rFonts w:ascii="宋体" w:hAnsi="Courier New" w:eastAsia="楷体_GB2312"/>
      <w:sz w:val="26"/>
    </w:rPr>
  </w:style>
  <w:style w:type="character" w:styleId="922" w:customStyle="1">
    <w:name w:val="纯文本 字符"/>
    <w:link w:val="921"/>
    <w:uiPriority w:val="0"/>
    <w:qFormat/>
    <w:rPr>
      <w:rFonts w:ascii="宋体" w:hAnsi="Courier New" w:eastAsia="楷体_GB2312"/>
      <w:sz w:val="26"/>
      <w:szCs w:val="24"/>
    </w:rPr>
  </w:style>
  <w:style w:type="paragraph" w:styleId="923" w:customStyle="1">
    <w:name w:val="目录 81"/>
    <w:basedOn w:val="849"/>
    <w:next w:val="849"/>
    <w:uiPriority w:val="39"/>
    <w:unhideWhenUsed/>
    <w:qFormat/>
    <w:pPr>
      <w:ind w:left="1984"/>
      <w:spacing w:after="57"/>
    </w:pPr>
  </w:style>
  <w:style w:type="paragraph" w:styleId="924" w:customStyle="1">
    <w:name w:val="日期1"/>
    <w:basedOn w:val="849"/>
    <w:next w:val="849"/>
    <w:link w:val="925"/>
    <w:uiPriority w:val="0"/>
    <w:qFormat/>
  </w:style>
  <w:style w:type="character" w:styleId="925" w:customStyle="1">
    <w:name w:val="日期 字符"/>
    <w:link w:val="924"/>
    <w:uiPriority w:val="0"/>
    <w:qFormat/>
    <w:rPr>
      <w:rFonts w:eastAsia="宋体"/>
      <w:sz w:val="21"/>
      <w:szCs w:val="24"/>
      <w:lang w:val="en-US" w:eastAsia="zh-CN" w:bidi="ar-SA"/>
    </w:rPr>
  </w:style>
  <w:style w:type="paragraph" w:styleId="926" w:customStyle="1">
    <w:name w:val="正文文本缩进 21"/>
    <w:basedOn w:val="849"/>
    <w:link w:val="927"/>
    <w:uiPriority w:val="0"/>
    <w:qFormat/>
    <w:pPr>
      <w:ind w:left="420"/>
      <w:spacing w:after="120" w:line="480" w:lineRule="auto"/>
    </w:pPr>
  </w:style>
  <w:style w:type="character" w:styleId="927" w:customStyle="1">
    <w:name w:val="正文文本缩进 2 Char"/>
    <w:link w:val="926"/>
    <w:uiPriority w:val="0"/>
    <w:qFormat/>
  </w:style>
  <w:style w:type="paragraph" w:styleId="928" w:customStyle="1">
    <w:name w:val="尾注文本1"/>
    <w:basedOn w:val="849"/>
    <w:link w:val="929"/>
    <w:uiPriority w:val="99"/>
    <w:unhideWhenUsed/>
    <w:qFormat/>
    <w:pPr>
      <w:spacing w:line="240" w:lineRule="auto"/>
    </w:pPr>
    <w:rPr>
      <w:sz w:val="20"/>
    </w:rPr>
  </w:style>
  <w:style w:type="character" w:styleId="929" w:customStyle="1">
    <w:name w:val="Endnote Text Char"/>
    <w:link w:val="928"/>
    <w:uiPriority w:val="99"/>
    <w:qFormat/>
    <w:rPr>
      <w:sz w:val="20"/>
    </w:rPr>
  </w:style>
  <w:style w:type="paragraph" w:styleId="930" w:customStyle="1">
    <w:name w:val="批注框文本1"/>
    <w:basedOn w:val="849"/>
    <w:link w:val="931"/>
    <w:uiPriority w:val="0"/>
    <w:semiHidden/>
    <w:qFormat/>
    <w:rPr>
      <w:sz w:val="18"/>
      <w:szCs w:val="18"/>
    </w:rPr>
  </w:style>
  <w:style w:type="character" w:styleId="931" w:customStyle="1">
    <w:name w:val="批注框文本 字符"/>
    <w:link w:val="930"/>
    <w:uiPriority w:val="0"/>
    <w:semiHidden/>
    <w:qFormat/>
    <w:rPr>
      <w:rFonts w:eastAsia="宋体"/>
      <w:sz w:val="18"/>
      <w:szCs w:val="18"/>
      <w:lang w:val="en-US" w:eastAsia="zh-CN" w:bidi="ar-SA"/>
    </w:rPr>
  </w:style>
  <w:style w:type="paragraph" w:styleId="932" w:customStyle="1">
    <w:name w:val="页脚1"/>
    <w:basedOn w:val="849"/>
    <w:uiPriority w:val="99"/>
    <w:unhideWhenUsed/>
    <w:qFormat/>
    <w:pPr>
      <w:jc w:val="left"/>
      <w:tabs>
        <w:tab w:val="center" w:pos="4153" w:leader="none"/>
        <w:tab w:val="right" w:pos="8306" w:leader="none"/>
      </w:tabs>
    </w:pPr>
    <w:rPr>
      <w:sz w:val="18"/>
    </w:rPr>
  </w:style>
  <w:style w:type="paragraph" w:styleId="933" w:customStyle="1">
    <w:name w:val="目录 11"/>
    <w:basedOn w:val="849"/>
    <w:next w:val="849"/>
    <w:uiPriority w:val="0"/>
    <w:semiHidden/>
    <w:qFormat/>
    <w:pPr>
      <w:jc w:val="left"/>
    </w:pPr>
    <w:rPr>
      <w:sz w:val="28"/>
      <w:szCs w:val="20"/>
    </w:rPr>
  </w:style>
  <w:style w:type="paragraph" w:styleId="934" w:customStyle="1">
    <w:name w:val="目录 41"/>
    <w:basedOn w:val="849"/>
    <w:next w:val="849"/>
    <w:uiPriority w:val="39"/>
    <w:unhideWhenUsed/>
    <w:qFormat/>
    <w:pPr>
      <w:ind w:left="850"/>
      <w:spacing w:after="57"/>
    </w:pPr>
  </w:style>
  <w:style w:type="paragraph" w:styleId="935" w:customStyle="1">
    <w:name w:val="副标题1"/>
    <w:basedOn w:val="849"/>
    <w:next w:val="849"/>
    <w:link w:val="936"/>
    <w:uiPriority w:val="0"/>
    <w:qFormat/>
    <w:pPr>
      <w:jc w:val="center"/>
      <w:spacing w:before="240" w:after="60" w:line="312" w:lineRule="auto"/>
      <w:outlineLvl w:val="1"/>
    </w:pPr>
    <w:rPr>
      <w:rFonts w:ascii="宋体" w:hAnsi="Courier New" w:eastAsia="楷体_GB2312"/>
      <w:sz w:val="26"/>
    </w:rPr>
  </w:style>
  <w:style w:type="character" w:styleId="936" w:customStyle="1">
    <w:name w:val="副标题 字符"/>
    <w:link w:val="935"/>
    <w:uiPriority w:val="0"/>
    <w:qFormat/>
    <w:rPr>
      <w:rFonts w:ascii="宋体" w:hAnsi="Courier New" w:eastAsia="楷体_GB2312"/>
      <w:sz w:val="26"/>
      <w:szCs w:val="24"/>
    </w:rPr>
  </w:style>
  <w:style w:type="paragraph" w:styleId="937" w:customStyle="1">
    <w:name w:val="列表1"/>
    <w:basedOn w:val="849"/>
    <w:next w:val="849"/>
    <w:uiPriority w:val="0"/>
    <w:qFormat/>
    <w:pPr>
      <w:ind w:left="420" w:hanging="420"/>
    </w:pPr>
    <w:rPr>
      <w:rFonts w:ascii="Arial" w:hAnsi="Arial" w:eastAsia="楷体_GB2312"/>
      <w:sz w:val="28"/>
    </w:rPr>
  </w:style>
  <w:style w:type="paragraph" w:styleId="938" w:customStyle="1">
    <w:name w:val="脚注文本1"/>
    <w:basedOn w:val="849"/>
    <w:link w:val="939"/>
    <w:uiPriority w:val="99"/>
    <w:unhideWhenUsed/>
    <w:qFormat/>
    <w:pPr>
      <w:spacing w:after="40" w:line="240" w:lineRule="auto"/>
    </w:pPr>
    <w:rPr>
      <w:sz w:val="18"/>
    </w:rPr>
  </w:style>
  <w:style w:type="character" w:styleId="939" w:customStyle="1">
    <w:name w:val="Footnote Text Char"/>
    <w:link w:val="938"/>
    <w:uiPriority w:val="99"/>
    <w:qFormat/>
    <w:rPr>
      <w:sz w:val="18"/>
    </w:rPr>
  </w:style>
  <w:style w:type="paragraph" w:styleId="940" w:customStyle="1">
    <w:name w:val="目录 61"/>
    <w:basedOn w:val="849"/>
    <w:next w:val="849"/>
    <w:uiPriority w:val="39"/>
    <w:unhideWhenUsed/>
    <w:qFormat/>
    <w:pPr>
      <w:ind w:left="1417"/>
      <w:spacing w:after="57"/>
    </w:pPr>
  </w:style>
  <w:style w:type="paragraph" w:styleId="941" w:customStyle="1">
    <w:name w:val="正文文本缩进 31"/>
    <w:basedOn w:val="849"/>
    <w:uiPriority w:val="0"/>
    <w:qFormat/>
    <w:pPr>
      <w:ind w:firstLine="480"/>
      <w:jc w:val="left"/>
      <w:spacing w:line="440" w:lineRule="atLeast"/>
    </w:pPr>
    <w:rPr>
      <w:sz w:val="24"/>
    </w:rPr>
  </w:style>
  <w:style w:type="paragraph" w:styleId="942" w:customStyle="1">
    <w:name w:val="图表目录1"/>
    <w:basedOn w:val="849"/>
    <w:next w:val="849"/>
    <w:uiPriority w:val="99"/>
    <w:unhideWhenUsed/>
    <w:qFormat/>
  </w:style>
  <w:style w:type="paragraph" w:styleId="943" w:customStyle="1">
    <w:name w:val="目录 21"/>
    <w:basedOn w:val="849"/>
    <w:next w:val="849"/>
    <w:uiPriority w:val="0"/>
    <w:qFormat/>
    <w:pPr>
      <w:ind w:left="420" w:firstLine="200"/>
      <w:jc w:val="left"/>
    </w:pPr>
    <w:rPr>
      <w:sz w:val="24"/>
      <w:szCs w:val="22"/>
    </w:rPr>
  </w:style>
  <w:style w:type="paragraph" w:styleId="944" w:customStyle="1">
    <w:name w:val="目录 91"/>
    <w:basedOn w:val="849"/>
    <w:next w:val="849"/>
    <w:uiPriority w:val="39"/>
    <w:unhideWhenUsed/>
    <w:qFormat/>
    <w:pPr>
      <w:ind w:left="2268"/>
      <w:spacing w:after="57"/>
    </w:pPr>
  </w:style>
  <w:style w:type="paragraph" w:styleId="945" w:customStyle="1">
    <w:name w:val="正文文本 21"/>
    <w:basedOn w:val="849"/>
    <w:uiPriority w:val="0"/>
    <w:qFormat/>
    <w:pPr>
      <w:spacing w:after="120" w:line="480" w:lineRule="auto"/>
    </w:pPr>
  </w:style>
  <w:style w:type="paragraph" w:styleId="946" w:customStyle="1">
    <w:name w:val="普通(网站)11"/>
    <w:basedOn w:val="849"/>
    <w:uiPriority w:val="0"/>
    <w:qFormat/>
    <w:pPr>
      <w:jc w:val="left"/>
      <w:spacing w:before="100" w:beforeAutospacing="1" w:after="100" w:afterAutospacing="1"/>
      <w:widowControl/>
    </w:pPr>
    <w:rPr>
      <w:rFonts w:ascii="宋体" w:hAnsi="宋体" w:cs="宋体"/>
      <w:sz w:val="24"/>
    </w:rPr>
  </w:style>
  <w:style w:type="paragraph" w:styleId="947" w:customStyle="1">
    <w:name w:val="索引 11"/>
    <w:basedOn w:val="849"/>
    <w:next w:val="849"/>
    <w:uiPriority w:val="0"/>
    <w:semiHidden/>
    <w:qFormat/>
  </w:style>
  <w:style w:type="paragraph" w:styleId="948" w:customStyle="1">
    <w:name w:val="标题1"/>
    <w:basedOn w:val="849"/>
    <w:link w:val="949"/>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949" w:customStyle="1">
    <w:name w:val="标题 字符"/>
    <w:link w:val="948"/>
    <w:uiPriority w:val="0"/>
    <w:qFormat/>
    <w:rPr>
      <w:rFonts w:ascii="Arial" w:hAnsi="Arial"/>
      <w:b/>
      <w:bCs/>
      <w:sz w:val="32"/>
      <w:szCs w:val="32"/>
    </w:rPr>
  </w:style>
  <w:style w:type="paragraph" w:styleId="950" w:customStyle="1">
    <w:name w:val="批注主题1"/>
    <w:basedOn w:val="912"/>
    <w:next w:val="912"/>
    <w:link w:val="951"/>
    <w:uiPriority w:val="0"/>
    <w:qFormat/>
    <w:rPr>
      <w:b/>
      <w:bCs/>
    </w:rPr>
  </w:style>
  <w:style w:type="character" w:styleId="951" w:customStyle="1">
    <w:name w:val="批注主题 字符"/>
    <w:link w:val="950"/>
    <w:uiPriority w:val="0"/>
    <w:qFormat/>
    <w:rPr>
      <w:b/>
      <w:bCs/>
      <w:sz w:val="21"/>
      <w:szCs w:val="24"/>
    </w:rPr>
  </w:style>
  <w:style w:type="paragraph" w:styleId="952" w:customStyle="1">
    <w:name w:val="正文首行缩进1"/>
    <w:uiPriority w:val="0"/>
    <w:qFormat/>
    <w:pPr>
      <w:ind w:firstLine="420"/>
      <w:jc w:val="both"/>
      <w:spacing w:after="120"/>
      <w:widowControl w:val="off"/>
    </w:pPr>
    <w:rPr>
      <w:rFonts w:hint="default" w:ascii="Calibri" w:hAnsi="Calibri" w:eastAsia="宋体" w:cs="Times New Roman"/>
      <w:sz w:val="21"/>
      <w:szCs w:val="24"/>
      <w:lang w:val="en-US" w:eastAsia="zh-CN" w:bidi="ar-SA"/>
    </w:rPr>
  </w:style>
  <w:style w:type="paragraph" w:styleId="953" w:customStyle="1">
    <w:name w:val="正文首行缩进 21"/>
    <w:basedOn w:val="902"/>
    <w:next w:val="954"/>
    <w:uiPriority w:val="0"/>
    <w:qFormat/>
    <w:pPr>
      <w:ind w:firstLine="420"/>
    </w:pPr>
    <w:rPr>
      <w:rFonts w:ascii="宋体" w:hAnsi="Courier New"/>
    </w:rPr>
  </w:style>
  <w:style w:type="paragraph" w:styleId="954" w:customStyle="1">
    <w:name w:val="Body"/>
    <w:next w:val="955"/>
    <w:uiPriority w:val="0"/>
    <w:qFormat/>
    <w:pPr>
      <w:ind w:left="567" w:right="2835" w:firstLine="3584"/>
      <w:spacing w:after="60"/>
    </w:pPr>
    <w:rPr>
      <w:rFonts w:hint="default" w:ascii="Calibri" w:hAnsi="Calibri" w:eastAsia="宋体" w:cs="宋体"/>
      <w:lang w:val="en-US" w:eastAsia="zh-CN" w:bidi="ar-SA"/>
    </w:rPr>
  </w:style>
  <w:style w:type="paragraph" w:styleId="955" w:customStyle="1">
    <w:name w:val="索引 91"/>
    <w:basedOn w:val="850"/>
    <w:next w:val="849"/>
    <w:uiPriority w:val="0"/>
    <w:qFormat/>
    <w:pPr>
      <w:ind w:left="1600" w:firstLine="2560"/>
      <w:spacing w:before="0" w:after="0" w:line="360" w:lineRule="auto"/>
    </w:pPr>
  </w:style>
  <w:style w:type="table" w:styleId="956" w:customStyle="1">
    <w:name w:val="网格型1"/>
    <w:basedOn w:val="905"/>
    <w:uiPriority w:val="0"/>
    <w:qFormat/>
    <w:tblPr>
      <w:tblCellMar>
        <w:left w:w="0" w:type="dxa"/>
        <w:top w:w="0" w:type="dxa"/>
        <w:right w:w="0" w:type="dxa"/>
        <w:bottom w:w="0" w:type="dxa"/>
      </w:tblCellMar>
    </w:tblPr>
  </w:style>
  <w:style w:type="character" w:styleId="957" w:customStyle="1">
    <w:name w:val="要点1"/>
    <w:basedOn w:val="904"/>
    <w:uiPriority w:val="0"/>
    <w:qFormat/>
    <w:rPr>
      <w:b/>
      <w:bCs/>
    </w:rPr>
  </w:style>
  <w:style w:type="character" w:styleId="958" w:customStyle="1">
    <w:name w:val="尾注引用1"/>
    <w:basedOn w:val="904"/>
    <w:uiPriority w:val="99"/>
    <w:unhideWhenUsed/>
    <w:qFormat/>
    <w:rPr>
      <w:vertAlign w:val="superscript"/>
    </w:rPr>
  </w:style>
  <w:style w:type="character" w:styleId="959" w:customStyle="1">
    <w:name w:val="页码1"/>
    <w:basedOn w:val="904"/>
    <w:uiPriority w:val="0"/>
    <w:qFormat/>
  </w:style>
  <w:style w:type="character" w:styleId="960" w:customStyle="1">
    <w:name w:val="已访问的超链接1"/>
    <w:uiPriority w:val="0"/>
    <w:qFormat/>
    <w:rPr>
      <w:color w:val="800080"/>
      <w:szCs w:val="24"/>
      <w:u w:val="none"/>
    </w:rPr>
  </w:style>
  <w:style w:type="character" w:styleId="961" w:customStyle="1">
    <w:name w:val="强调1"/>
    <w:uiPriority w:val="0"/>
    <w:qFormat/>
    <w:rPr>
      <w:i/>
      <w:iCs/>
    </w:rPr>
  </w:style>
  <w:style w:type="character" w:styleId="962" w:customStyle="1">
    <w:name w:val="超链接1"/>
    <w:uiPriority w:val="0"/>
    <w:qFormat/>
    <w:rPr>
      <w:color w:val="000000"/>
      <w:szCs w:val="24"/>
      <w:u w:val="none"/>
    </w:rPr>
  </w:style>
  <w:style w:type="character" w:styleId="963" w:customStyle="1">
    <w:name w:val="批注引用11"/>
    <w:uiPriority w:val="0"/>
    <w:qFormat/>
    <w:rPr>
      <w:sz w:val="21"/>
      <w:szCs w:val="21"/>
    </w:rPr>
  </w:style>
  <w:style w:type="character" w:styleId="964" w:customStyle="1">
    <w:name w:val="脚注引用1"/>
    <w:basedOn w:val="904"/>
    <w:uiPriority w:val="99"/>
    <w:unhideWhenUsed/>
    <w:qFormat/>
    <w:rPr>
      <w:vertAlign w:val="superscript"/>
    </w:rPr>
  </w:style>
  <w:style w:type="character" w:styleId="965" w:customStyle="1">
    <w:name w:val="Heading 1 Char"/>
    <w:basedOn w:val="904"/>
    <w:uiPriority w:val="9"/>
    <w:qFormat/>
    <w:rPr>
      <w:rFonts w:ascii="Arial" w:hAnsi="Arial" w:eastAsia="Arial" w:cs="Arial"/>
      <w:sz w:val="40"/>
      <w:szCs w:val="40"/>
    </w:rPr>
  </w:style>
  <w:style w:type="character" w:styleId="966" w:customStyle="1">
    <w:name w:val="Heading 2 Char"/>
    <w:basedOn w:val="904"/>
    <w:uiPriority w:val="9"/>
    <w:qFormat/>
    <w:rPr>
      <w:rFonts w:ascii="Arial" w:hAnsi="Arial" w:eastAsia="Arial" w:cs="Arial"/>
      <w:sz w:val="34"/>
    </w:rPr>
  </w:style>
  <w:style w:type="character" w:styleId="967" w:customStyle="1">
    <w:name w:val="标题 6 Char"/>
    <w:basedOn w:val="904"/>
    <w:link w:val="855"/>
    <w:uiPriority w:val="9"/>
    <w:qFormat/>
    <w:rPr>
      <w:rFonts w:ascii="Arial" w:hAnsi="Arial" w:eastAsia="Arial" w:cs="Arial"/>
      <w:b/>
      <w:bCs/>
      <w:sz w:val="22"/>
      <w:szCs w:val="22"/>
    </w:rPr>
  </w:style>
  <w:style w:type="character" w:styleId="968" w:customStyle="1">
    <w:name w:val="标题 7 Char"/>
    <w:basedOn w:val="904"/>
    <w:link w:val="856"/>
    <w:uiPriority w:val="9"/>
    <w:qFormat/>
    <w:rPr>
      <w:rFonts w:ascii="Arial" w:hAnsi="Arial" w:eastAsia="Arial" w:cs="Arial"/>
      <w:b/>
      <w:bCs/>
      <w:i/>
      <w:iCs/>
      <w:sz w:val="22"/>
      <w:szCs w:val="22"/>
    </w:rPr>
  </w:style>
  <w:style w:type="character" w:styleId="969" w:customStyle="1">
    <w:name w:val="标题 8 Char"/>
    <w:basedOn w:val="904"/>
    <w:link w:val="857"/>
    <w:uiPriority w:val="9"/>
    <w:qFormat/>
    <w:rPr>
      <w:rFonts w:ascii="Arial" w:hAnsi="Arial" w:eastAsia="Arial" w:cs="Arial"/>
      <w:i/>
      <w:iCs/>
      <w:sz w:val="22"/>
      <w:szCs w:val="22"/>
    </w:rPr>
  </w:style>
  <w:style w:type="character" w:styleId="970" w:customStyle="1">
    <w:name w:val="标题 9 Char"/>
    <w:basedOn w:val="904"/>
    <w:link w:val="858"/>
    <w:uiPriority w:val="9"/>
    <w:qFormat/>
    <w:rPr>
      <w:rFonts w:ascii="Arial" w:hAnsi="Arial" w:eastAsia="Arial" w:cs="Arial"/>
      <w:i/>
      <w:iCs/>
      <w:sz w:val="21"/>
      <w:szCs w:val="21"/>
    </w:rPr>
  </w:style>
  <w:style w:type="character" w:styleId="971" w:customStyle="1">
    <w:name w:val="Title Char"/>
    <w:basedOn w:val="904"/>
    <w:uiPriority w:val="10"/>
    <w:qFormat/>
    <w:rPr>
      <w:sz w:val="48"/>
      <w:szCs w:val="48"/>
    </w:rPr>
  </w:style>
  <w:style w:type="character" w:styleId="972" w:customStyle="1">
    <w:name w:val="Subtitle Char"/>
    <w:basedOn w:val="904"/>
    <w:uiPriority w:val="11"/>
    <w:qFormat/>
    <w:rPr>
      <w:sz w:val="24"/>
      <w:szCs w:val="24"/>
    </w:rPr>
  </w:style>
  <w:style w:type="paragraph" w:styleId="973">
    <w:name w:val="Quote"/>
    <w:basedOn w:val="849"/>
    <w:next w:val="849"/>
    <w:link w:val="974"/>
    <w:uiPriority w:val="29"/>
    <w:qFormat/>
    <w:pPr>
      <w:ind w:left="720" w:right="720"/>
    </w:pPr>
    <w:rPr>
      <w:i/>
    </w:rPr>
  </w:style>
  <w:style w:type="character" w:styleId="974" w:customStyle="1">
    <w:name w:val="引用 Char"/>
    <w:link w:val="973"/>
    <w:uiPriority w:val="29"/>
    <w:qFormat/>
    <w:rPr>
      <w:i/>
    </w:rPr>
  </w:style>
  <w:style w:type="paragraph" w:styleId="975">
    <w:name w:val="Intense Quote"/>
    <w:basedOn w:val="849"/>
    <w:next w:val="849"/>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Char"/>
    <w:link w:val="975"/>
    <w:uiPriority w:val="30"/>
    <w:qFormat/>
    <w:rPr>
      <w:i/>
    </w:rPr>
  </w:style>
  <w:style w:type="paragraph" w:styleId="977" w:customStyle="1">
    <w:name w:val="Caption1"/>
    <w:basedOn w:val="849"/>
    <w:next w:val="849"/>
    <w:uiPriority w:val="35"/>
    <w:unhideWhenUsed/>
    <w:qFormat/>
    <w:pPr>
      <w:spacing w:line="276" w:lineRule="auto"/>
    </w:pPr>
    <w:rPr>
      <w:b/>
      <w:bCs/>
      <w:color w:val="4f81bd"/>
      <w:sz w:val="18"/>
      <w:szCs w:val="18"/>
    </w:rPr>
  </w:style>
  <w:style w:type="character" w:styleId="978" w:customStyle="1">
    <w:name w:val="Caption Char"/>
    <w:uiPriority w:val="99"/>
    <w:qFormat/>
  </w:style>
  <w:style w:type="table" w:styleId="979" w:customStyle="1">
    <w:name w:val="Table Grid Light"/>
    <w:basedOn w:val="905"/>
    <w:uiPriority w:val="59"/>
    <w:qFormat/>
    <w:tblPr>
      <w:tblCellMar>
        <w:left w:w="0" w:type="dxa"/>
        <w:top w:w="0" w:type="dxa"/>
        <w:right w:w="0" w:type="dxa"/>
        <w:bottom w:w="0" w:type="dxa"/>
      </w:tblCellMar>
    </w:tblPr>
  </w:style>
  <w:style w:type="table" w:styleId="980" w:customStyle="1">
    <w:name w:val="Plain Table 1"/>
    <w:basedOn w:val="905"/>
    <w:uiPriority w:val="59"/>
    <w:qFormat/>
    <w:tblPr>
      <w:tblCellMar>
        <w:left w:w="0" w:type="dxa"/>
        <w:top w:w="0" w:type="dxa"/>
        <w:right w:w="0" w:type="dxa"/>
        <w:bottom w:w="0" w:type="dxa"/>
      </w:tblCellMar>
    </w:tblPr>
  </w:style>
  <w:style w:type="table" w:styleId="981" w:customStyle="1">
    <w:name w:val="Plain Table 2"/>
    <w:basedOn w:val="905"/>
    <w:uiPriority w:val="59"/>
    <w:qFormat/>
    <w:tblPr>
      <w:tblCellMar>
        <w:left w:w="0" w:type="dxa"/>
        <w:top w:w="0" w:type="dxa"/>
        <w:right w:w="0" w:type="dxa"/>
        <w:bottom w:w="0" w:type="dxa"/>
      </w:tblCellMar>
    </w:tblPr>
  </w:style>
  <w:style w:type="table" w:styleId="982" w:customStyle="1">
    <w:name w:val="Plain Table 3"/>
    <w:basedOn w:val="905"/>
    <w:uiPriority w:val="99"/>
    <w:qFormat/>
    <w:tblPr>
      <w:tblCellMar>
        <w:left w:w="0" w:type="dxa"/>
        <w:top w:w="0" w:type="dxa"/>
        <w:right w:w="0" w:type="dxa"/>
        <w:bottom w:w="0" w:type="dxa"/>
      </w:tblCellMar>
    </w:tblPr>
  </w:style>
  <w:style w:type="table" w:styleId="983" w:customStyle="1">
    <w:name w:val="Plain Table 4"/>
    <w:basedOn w:val="905"/>
    <w:uiPriority w:val="99"/>
    <w:qFormat/>
    <w:tblPr>
      <w:tblCellMar>
        <w:left w:w="0" w:type="dxa"/>
        <w:top w:w="0" w:type="dxa"/>
        <w:right w:w="0" w:type="dxa"/>
        <w:bottom w:w="0" w:type="dxa"/>
      </w:tblCellMar>
    </w:tblPr>
  </w:style>
  <w:style w:type="table" w:styleId="984" w:customStyle="1">
    <w:name w:val="Plain Table 5"/>
    <w:basedOn w:val="905"/>
    <w:uiPriority w:val="99"/>
    <w:qFormat/>
    <w:tblPr>
      <w:tblCellMar>
        <w:left w:w="0" w:type="dxa"/>
        <w:top w:w="0" w:type="dxa"/>
        <w:right w:w="0" w:type="dxa"/>
        <w:bottom w:w="0" w:type="dxa"/>
      </w:tblCellMar>
    </w:tblPr>
  </w:style>
  <w:style w:type="table" w:styleId="985" w:customStyle="1">
    <w:name w:val="Grid Table 1 Light"/>
    <w:basedOn w:val="905"/>
    <w:uiPriority w:val="99"/>
    <w:qFormat/>
    <w:tblPr>
      <w:tblCellMar>
        <w:left w:w="0" w:type="dxa"/>
        <w:top w:w="0" w:type="dxa"/>
        <w:right w:w="0" w:type="dxa"/>
        <w:bottom w:w="0" w:type="dxa"/>
      </w:tblCellMar>
    </w:tblPr>
  </w:style>
  <w:style w:type="table" w:styleId="986" w:customStyle="1">
    <w:name w:val="Grid Table 1 Light - Accent 1"/>
    <w:basedOn w:val="905"/>
    <w:uiPriority w:val="99"/>
    <w:qFormat/>
    <w:tblPr>
      <w:tblCellMar>
        <w:left w:w="0" w:type="dxa"/>
        <w:top w:w="0" w:type="dxa"/>
        <w:right w:w="0" w:type="dxa"/>
        <w:bottom w:w="0" w:type="dxa"/>
      </w:tblCellMar>
    </w:tblPr>
  </w:style>
  <w:style w:type="table" w:styleId="987" w:customStyle="1">
    <w:name w:val="Grid Table 1 Light - Accent 2"/>
    <w:basedOn w:val="905"/>
    <w:uiPriority w:val="99"/>
    <w:qFormat/>
    <w:tblPr>
      <w:tblCellMar>
        <w:left w:w="0" w:type="dxa"/>
        <w:top w:w="0" w:type="dxa"/>
        <w:right w:w="0" w:type="dxa"/>
        <w:bottom w:w="0" w:type="dxa"/>
      </w:tblCellMar>
    </w:tblPr>
  </w:style>
  <w:style w:type="table" w:styleId="988" w:customStyle="1">
    <w:name w:val="Grid Table 1 Light - Accent 3"/>
    <w:basedOn w:val="905"/>
    <w:uiPriority w:val="99"/>
    <w:qFormat/>
    <w:tblPr>
      <w:tblCellMar>
        <w:left w:w="0" w:type="dxa"/>
        <w:top w:w="0" w:type="dxa"/>
        <w:right w:w="0" w:type="dxa"/>
        <w:bottom w:w="0" w:type="dxa"/>
      </w:tblCellMar>
    </w:tblPr>
  </w:style>
  <w:style w:type="table" w:styleId="989" w:customStyle="1">
    <w:name w:val="Grid Table 1 Light - Accent 4"/>
    <w:basedOn w:val="905"/>
    <w:uiPriority w:val="99"/>
    <w:qFormat/>
    <w:tblPr>
      <w:tblCellMar>
        <w:left w:w="0" w:type="dxa"/>
        <w:top w:w="0" w:type="dxa"/>
        <w:right w:w="0" w:type="dxa"/>
        <w:bottom w:w="0" w:type="dxa"/>
      </w:tblCellMar>
    </w:tblPr>
  </w:style>
  <w:style w:type="table" w:styleId="990" w:customStyle="1">
    <w:name w:val="Grid Table 1 Light - Accent 5"/>
    <w:basedOn w:val="905"/>
    <w:uiPriority w:val="99"/>
    <w:qFormat/>
    <w:tblPr>
      <w:tblCellMar>
        <w:left w:w="0" w:type="dxa"/>
        <w:top w:w="0" w:type="dxa"/>
        <w:right w:w="0" w:type="dxa"/>
        <w:bottom w:w="0" w:type="dxa"/>
      </w:tblCellMar>
    </w:tblPr>
  </w:style>
  <w:style w:type="table" w:styleId="991" w:customStyle="1">
    <w:name w:val="Grid Table 1 Light - Accent 6"/>
    <w:basedOn w:val="905"/>
    <w:uiPriority w:val="99"/>
    <w:qFormat/>
    <w:tblPr>
      <w:tblCellMar>
        <w:left w:w="0" w:type="dxa"/>
        <w:top w:w="0" w:type="dxa"/>
        <w:right w:w="0" w:type="dxa"/>
        <w:bottom w:w="0" w:type="dxa"/>
      </w:tblCellMar>
    </w:tblPr>
  </w:style>
  <w:style w:type="table" w:styleId="992" w:customStyle="1">
    <w:name w:val="Grid Table 2"/>
    <w:basedOn w:val="905"/>
    <w:uiPriority w:val="99"/>
    <w:qFormat/>
    <w:tblPr>
      <w:tblCellMar>
        <w:left w:w="0" w:type="dxa"/>
        <w:top w:w="0" w:type="dxa"/>
        <w:right w:w="0" w:type="dxa"/>
        <w:bottom w:w="0" w:type="dxa"/>
      </w:tblCellMar>
    </w:tblPr>
  </w:style>
  <w:style w:type="table" w:styleId="993" w:customStyle="1">
    <w:name w:val="Grid Table 2 - Accent 1"/>
    <w:basedOn w:val="905"/>
    <w:uiPriority w:val="99"/>
    <w:qFormat/>
    <w:tblPr>
      <w:tblCellMar>
        <w:left w:w="0" w:type="dxa"/>
        <w:top w:w="0" w:type="dxa"/>
        <w:right w:w="0" w:type="dxa"/>
        <w:bottom w:w="0" w:type="dxa"/>
      </w:tblCellMar>
    </w:tblPr>
  </w:style>
  <w:style w:type="table" w:styleId="994" w:customStyle="1">
    <w:name w:val="Grid Table 2 - Accent 2"/>
    <w:basedOn w:val="905"/>
    <w:uiPriority w:val="99"/>
    <w:qFormat/>
    <w:tblPr>
      <w:tblCellMar>
        <w:left w:w="0" w:type="dxa"/>
        <w:top w:w="0" w:type="dxa"/>
        <w:right w:w="0" w:type="dxa"/>
        <w:bottom w:w="0" w:type="dxa"/>
      </w:tblCellMar>
    </w:tblPr>
  </w:style>
  <w:style w:type="table" w:styleId="995" w:customStyle="1">
    <w:name w:val="Grid Table 2 - Accent 3"/>
    <w:basedOn w:val="905"/>
    <w:uiPriority w:val="99"/>
    <w:qFormat/>
    <w:tblPr>
      <w:tblCellMar>
        <w:left w:w="0" w:type="dxa"/>
        <w:top w:w="0" w:type="dxa"/>
        <w:right w:w="0" w:type="dxa"/>
        <w:bottom w:w="0" w:type="dxa"/>
      </w:tblCellMar>
    </w:tblPr>
  </w:style>
  <w:style w:type="table" w:styleId="996" w:customStyle="1">
    <w:name w:val="Grid Table 2 - Accent 4"/>
    <w:basedOn w:val="905"/>
    <w:uiPriority w:val="99"/>
    <w:qFormat/>
    <w:tblPr>
      <w:tblCellMar>
        <w:left w:w="0" w:type="dxa"/>
        <w:top w:w="0" w:type="dxa"/>
        <w:right w:w="0" w:type="dxa"/>
        <w:bottom w:w="0" w:type="dxa"/>
      </w:tblCellMar>
    </w:tblPr>
  </w:style>
  <w:style w:type="table" w:styleId="997" w:customStyle="1">
    <w:name w:val="Grid Table 2 - Accent 5"/>
    <w:basedOn w:val="905"/>
    <w:uiPriority w:val="99"/>
    <w:qFormat/>
    <w:tblPr>
      <w:tblCellMar>
        <w:left w:w="0" w:type="dxa"/>
        <w:top w:w="0" w:type="dxa"/>
        <w:right w:w="0" w:type="dxa"/>
        <w:bottom w:w="0" w:type="dxa"/>
      </w:tblCellMar>
    </w:tblPr>
  </w:style>
  <w:style w:type="table" w:styleId="998" w:customStyle="1">
    <w:name w:val="Grid Table 2 - Accent 6"/>
    <w:basedOn w:val="905"/>
    <w:uiPriority w:val="99"/>
    <w:qFormat/>
    <w:tblPr>
      <w:tblCellMar>
        <w:left w:w="0" w:type="dxa"/>
        <w:top w:w="0" w:type="dxa"/>
        <w:right w:w="0" w:type="dxa"/>
        <w:bottom w:w="0" w:type="dxa"/>
      </w:tblCellMar>
    </w:tblPr>
  </w:style>
  <w:style w:type="table" w:styleId="999" w:customStyle="1">
    <w:name w:val="Grid Table 3"/>
    <w:basedOn w:val="905"/>
    <w:uiPriority w:val="99"/>
    <w:qFormat/>
    <w:tblPr>
      <w:tblCellMar>
        <w:left w:w="0" w:type="dxa"/>
        <w:top w:w="0" w:type="dxa"/>
        <w:right w:w="0" w:type="dxa"/>
        <w:bottom w:w="0" w:type="dxa"/>
      </w:tblCellMar>
    </w:tblPr>
  </w:style>
  <w:style w:type="table" w:styleId="1000" w:customStyle="1">
    <w:name w:val="Grid Table 3 - Accent 1"/>
    <w:basedOn w:val="905"/>
    <w:uiPriority w:val="99"/>
    <w:qFormat/>
    <w:tblPr>
      <w:tblCellMar>
        <w:left w:w="0" w:type="dxa"/>
        <w:top w:w="0" w:type="dxa"/>
        <w:right w:w="0" w:type="dxa"/>
        <w:bottom w:w="0" w:type="dxa"/>
      </w:tblCellMar>
    </w:tblPr>
  </w:style>
  <w:style w:type="table" w:styleId="1001" w:customStyle="1">
    <w:name w:val="Grid Table 3 - Accent 2"/>
    <w:basedOn w:val="905"/>
    <w:uiPriority w:val="99"/>
    <w:qFormat/>
    <w:tblPr>
      <w:tblCellMar>
        <w:left w:w="0" w:type="dxa"/>
        <w:top w:w="0" w:type="dxa"/>
        <w:right w:w="0" w:type="dxa"/>
        <w:bottom w:w="0" w:type="dxa"/>
      </w:tblCellMar>
    </w:tblPr>
  </w:style>
  <w:style w:type="table" w:styleId="1002" w:customStyle="1">
    <w:name w:val="Grid Table 3 - Accent 3"/>
    <w:basedOn w:val="905"/>
    <w:uiPriority w:val="99"/>
    <w:qFormat/>
    <w:tblPr>
      <w:tblCellMar>
        <w:left w:w="0" w:type="dxa"/>
        <w:top w:w="0" w:type="dxa"/>
        <w:right w:w="0" w:type="dxa"/>
        <w:bottom w:w="0" w:type="dxa"/>
      </w:tblCellMar>
    </w:tblPr>
  </w:style>
  <w:style w:type="table" w:styleId="1003" w:customStyle="1">
    <w:name w:val="Grid Table 3 - Accent 4"/>
    <w:basedOn w:val="905"/>
    <w:uiPriority w:val="99"/>
    <w:qFormat/>
    <w:tblPr>
      <w:tblCellMar>
        <w:left w:w="0" w:type="dxa"/>
        <w:top w:w="0" w:type="dxa"/>
        <w:right w:w="0" w:type="dxa"/>
        <w:bottom w:w="0" w:type="dxa"/>
      </w:tblCellMar>
    </w:tblPr>
  </w:style>
  <w:style w:type="table" w:styleId="1004" w:customStyle="1">
    <w:name w:val="Grid Table 3 - Accent 5"/>
    <w:basedOn w:val="905"/>
    <w:uiPriority w:val="99"/>
    <w:qFormat/>
    <w:tblPr>
      <w:tblCellMar>
        <w:left w:w="0" w:type="dxa"/>
        <w:top w:w="0" w:type="dxa"/>
        <w:right w:w="0" w:type="dxa"/>
        <w:bottom w:w="0" w:type="dxa"/>
      </w:tblCellMar>
    </w:tblPr>
  </w:style>
  <w:style w:type="table" w:styleId="1005" w:customStyle="1">
    <w:name w:val="Grid Table 3 - Accent 6"/>
    <w:basedOn w:val="905"/>
    <w:uiPriority w:val="99"/>
    <w:qFormat/>
    <w:tblPr>
      <w:tblCellMar>
        <w:left w:w="0" w:type="dxa"/>
        <w:top w:w="0" w:type="dxa"/>
        <w:right w:w="0" w:type="dxa"/>
        <w:bottom w:w="0" w:type="dxa"/>
      </w:tblCellMar>
    </w:tblPr>
  </w:style>
  <w:style w:type="table" w:styleId="1006" w:customStyle="1">
    <w:name w:val="Grid Table 4"/>
    <w:basedOn w:val="905"/>
    <w:uiPriority w:val="59"/>
    <w:qFormat/>
    <w:tblPr>
      <w:tblCellMar>
        <w:left w:w="0" w:type="dxa"/>
        <w:top w:w="0" w:type="dxa"/>
        <w:right w:w="0" w:type="dxa"/>
        <w:bottom w:w="0" w:type="dxa"/>
      </w:tblCellMar>
    </w:tblPr>
  </w:style>
  <w:style w:type="table" w:styleId="1007" w:customStyle="1">
    <w:name w:val="Grid Table 4 - Accent 1"/>
    <w:basedOn w:val="905"/>
    <w:uiPriority w:val="59"/>
    <w:qFormat/>
    <w:tblPr>
      <w:tblCellMar>
        <w:left w:w="0" w:type="dxa"/>
        <w:top w:w="0" w:type="dxa"/>
        <w:right w:w="0" w:type="dxa"/>
        <w:bottom w:w="0" w:type="dxa"/>
      </w:tblCellMar>
    </w:tblPr>
  </w:style>
  <w:style w:type="table" w:styleId="1008" w:customStyle="1">
    <w:name w:val="Grid Table 4 - Accent 2"/>
    <w:basedOn w:val="905"/>
    <w:uiPriority w:val="59"/>
    <w:qFormat/>
    <w:tblPr>
      <w:tblCellMar>
        <w:left w:w="0" w:type="dxa"/>
        <w:top w:w="0" w:type="dxa"/>
        <w:right w:w="0" w:type="dxa"/>
        <w:bottom w:w="0" w:type="dxa"/>
      </w:tblCellMar>
    </w:tblPr>
  </w:style>
  <w:style w:type="table" w:styleId="1009" w:customStyle="1">
    <w:name w:val="Grid Table 4 - Accent 3"/>
    <w:basedOn w:val="905"/>
    <w:uiPriority w:val="59"/>
    <w:qFormat/>
    <w:tblPr>
      <w:tblCellMar>
        <w:left w:w="0" w:type="dxa"/>
        <w:top w:w="0" w:type="dxa"/>
        <w:right w:w="0" w:type="dxa"/>
        <w:bottom w:w="0" w:type="dxa"/>
      </w:tblCellMar>
    </w:tblPr>
  </w:style>
  <w:style w:type="table" w:styleId="1010" w:customStyle="1">
    <w:name w:val="Grid Table 4 - Accent 4"/>
    <w:basedOn w:val="905"/>
    <w:uiPriority w:val="59"/>
    <w:qFormat/>
    <w:tblPr>
      <w:tblCellMar>
        <w:left w:w="0" w:type="dxa"/>
        <w:top w:w="0" w:type="dxa"/>
        <w:right w:w="0" w:type="dxa"/>
        <w:bottom w:w="0" w:type="dxa"/>
      </w:tblCellMar>
    </w:tblPr>
  </w:style>
  <w:style w:type="table" w:styleId="1011" w:customStyle="1">
    <w:name w:val="Grid Table 4 - Accent 5"/>
    <w:basedOn w:val="905"/>
    <w:uiPriority w:val="59"/>
    <w:qFormat/>
    <w:tblPr>
      <w:tblCellMar>
        <w:left w:w="0" w:type="dxa"/>
        <w:top w:w="0" w:type="dxa"/>
        <w:right w:w="0" w:type="dxa"/>
        <w:bottom w:w="0" w:type="dxa"/>
      </w:tblCellMar>
    </w:tblPr>
  </w:style>
  <w:style w:type="table" w:styleId="1012" w:customStyle="1">
    <w:name w:val="Grid Table 4 - Accent 6"/>
    <w:basedOn w:val="905"/>
    <w:uiPriority w:val="59"/>
    <w:qFormat/>
    <w:tblPr>
      <w:tblCellMar>
        <w:left w:w="0" w:type="dxa"/>
        <w:top w:w="0" w:type="dxa"/>
        <w:right w:w="0" w:type="dxa"/>
        <w:bottom w:w="0" w:type="dxa"/>
      </w:tblCellMar>
    </w:tblPr>
  </w:style>
  <w:style w:type="table" w:styleId="1013" w:customStyle="1">
    <w:name w:val="Grid Table 5 Dark"/>
    <w:basedOn w:val="905"/>
    <w:uiPriority w:val="99"/>
    <w:qFormat/>
    <w:tblPr>
      <w:tblCellMar>
        <w:left w:w="0" w:type="dxa"/>
        <w:top w:w="0" w:type="dxa"/>
        <w:right w:w="0" w:type="dxa"/>
        <w:bottom w:w="0" w:type="dxa"/>
      </w:tblCellMar>
    </w:tblPr>
  </w:style>
  <w:style w:type="table" w:styleId="1014" w:customStyle="1">
    <w:name w:val="Grid Table 5 Dark- Accent 1"/>
    <w:basedOn w:val="905"/>
    <w:uiPriority w:val="99"/>
    <w:qFormat/>
    <w:tblPr>
      <w:tblCellMar>
        <w:left w:w="0" w:type="dxa"/>
        <w:top w:w="0" w:type="dxa"/>
        <w:right w:w="0" w:type="dxa"/>
        <w:bottom w:w="0" w:type="dxa"/>
      </w:tblCellMar>
    </w:tblPr>
  </w:style>
  <w:style w:type="table" w:styleId="1015" w:customStyle="1">
    <w:name w:val="Grid Table 5 Dark - Accent 2"/>
    <w:basedOn w:val="905"/>
    <w:uiPriority w:val="99"/>
    <w:qFormat/>
    <w:tblPr>
      <w:tblCellMar>
        <w:left w:w="0" w:type="dxa"/>
        <w:top w:w="0" w:type="dxa"/>
        <w:right w:w="0" w:type="dxa"/>
        <w:bottom w:w="0" w:type="dxa"/>
      </w:tblCellMar>
    </w:tblPr>
  </w:style>
  <w:style w:type="table" w:styleId="1016" w:customStyle="1">
    <w:name w:val="Grid Table 5 Dark - Accent 3"/>
    <w:basedOn w:val="905"/>
    <w:uiPriority w:val="99"/>
    <w:qFormat/>
    <w:tblPr>
      <w:tblCellMar>
        <w:left w:w="0" w:type="dxa"/>
        <w:top w:w="0" w:type="dxa"/>
        <w:right w:w="0" w:type="dxa"/>
        <w:bottom w:w="0" w:type="dxa"/>
      </w:tblCellMar>
    </w:tblPr>
  </w:style>
  <w:style w:type="table" w:styleId="1017" w:customStyle="1">
    <w:name w:val="Grid Table 5 Dark- Accent 4"/>
    <w:basedOn w:val="905"/>
    <w:uiPriority w:val="99"/>
    <w:qFormat/>
    <w:tblPr>
      <w:tblCellMar>
        <w:left w:w="0" w:type="dxa"/>
        <w:top w:w="0" w:type="dxa"/>
        <w:right w:w="0" w:type="dxa"/>
        <w:bottom w:w="0" w:type="dxa"/>
      </w:tblCellMar>
    </w:tblPr>
  </w:style>
  <w:style w:type="table" w:styleId="1018" w:customStyle="1">
    <w:name w:val="Grid Table 5 Dark - Accent 5"/>
    <w:basedOn w:val="905"/>
    <w:uiPriority w:val="99"/>
    <w:qFormat/>
    <w:tblPr>
      <w:tblCellMar>
        <w:left w:w="0" w:type="dxa"/>
        <w:top w:w="0" w:type="dxa"/>
        <w:right w:w="0" w:type="dxa"/>
        <w:bottom w:w="0" w:type="dxa"/>
      </w:tblCellMar>
    </w:tblPr>
  </w:style>
  <w:style w:type="table" w:styleId="1019" w:customStyle="1">
    <w:name w:val="Grid Table 5 Dark - Accent 6"/>
    <w:basedOn w:val="905"/>
    <w:uiPriority w:val="99"/>
    <w:qFormat/>
    <w:tblPr>
      <w:tblCellMar>
        <w:left w:w="0" w:type="dxa"/>
        <w:top w:w="0" w:type="dxa"/>
        <w:right w:w="0" w:type="dxa"/>
        <w:bottom w:w="0" w:type="dxa"/>
      </w:tblCellMar>
    </w:tblPr>
  </w:style>
  <w:style w:type="table" w:styleId="1020" w:customStyle="1">
    <w:name w:val="Grid Table 6 Colorful"/>
    <w:basedOn w:val="905"/>
    <w:uiPriority w:val="99"/>
    <w:qFormat/>
    <w:tblPr>
      <w:tblCellMar>
        <w:left w:w="0" w:type="dxa"/>
        <w:top w:w="0" w:type="dxa"/>
        <w:right w:w="0" w:type="dxa"/>
        <w:bottom w:w="0" w:type="dxa"/>
      </w:tblCellMar>
    </w:tblPr>
  </w:style>
  <w:style w:type="table" w:styleId="1021" w:customStyle="1">
    <w:name w:val="Grid Table 6 Colorful - Accent 1"/>
    <w:basedOn w:val="905"/>
    <w:uiPriority w:val="99"/>
    <w:qFormat/>
    <w:tblPr>
      <w:tblCellMar>
        <w:left w:w="0" w:type="dxa"/>
        <w:top w:w="0" w:type="dxa"/>
        <w:right w:w="0" w:type="dxa"/>
        <w:bottom w:w="0" w:type="dxa"/>
      </w:tblCellMar>
    </w:tblPr>
  </w:style>
  <w:style w:type="table" w:styleId="1022" w:customStyle="1">
    <w:name w:val="Grid Table 6 Colorful - Accent 2"/>
    <w:basedOn w:val="905"/>
    <w:uiPriority w:val="99"/>
    <w:qFormat/>
    <w:tblPr>
      <w:tblCellMar>
        <w:left w:w="0" w:type="dxa"/>
        <w:top w:w="0" w:type="dxa"/>
        <w:right w:w="0" w:type="dxa"/>
        <w:bottom w:w="0" w:type="dxa"/>
      </w:tblCellMar>
    </w:tblPr>
  </w:style>
  <w:style w:type="table" w:styleId="1023" w:customStyle="1">
    <w:name w:val="Grid Table 6 Colorful - Accent 3"/>
    <w:basedOn w:val="905"/>
    <w:uiPriority w:val="99"/>
    <w:qFormat/>
    <w:tblPr>
      <w:tblCellMar>
        <w:left w:w="0" w:type="dxa"/>
        <w:top w:w="0" w:type="dxa"/>
        <w:right w:w="0" w:type="dxa"/>
        <w:bottom w:w="0" w:type="dxa"/>
      </w:tblCellMar>
    </w:tblPr>
  </w:style>
  <w:style w:type="table" w:styleId="1024" w:customStyle="1">
    <w:name w:val="Grid Table 6 Colorful - Accent 4"/>
    <w:basedOn w:val="905"/>
    <w:uiPriority w:val="99"/>
    <w:qFormat/>
    <w:tblPr>
      <w:tblCellMar>
        <w:left w:w="0" w:type="dxa"/>
        <w:top w:w="0" w:type="dxa"/>
        <w:right w:w="0" w:type="dxa"/>
        <w:bottom w:w="0" w:type="dxa"/>
      </w:tblCellMar>
    </w:tblPr>
  </w:style>
  <w:style w:type="table" w:styleId="1025" w:customStyle="1">
    <w:name w:val="Grid Table 6 Colorful - Accent 5"/>
    <w:basedOn w:val="905"/>
    <w:uiPriority w:val="99"/>
    <w:qFormat/>
    <w:tblPr>
      <w:tblCellMar>
        <w:left w:w="0" w:type="dxa"/>
        <w:top w:w="0" w:type="dxa"/>
        <w:right w:w="0" w:type="dxa"/>
        <w:bottom w:w="0" w:type="dxa"/>
      </w:tblCellMar>
    </w:tblPr>
  </w:style>
  <w:style w:type="table" w:styleId="1026" w:customStyle="1">
    <w:name w:val="Grid Table 6 Colorful - Accent 6"/>
    <w:basedOn w:val="905"/>
    <w:uiPriority w:val="99"/>
    <w:qFormat/>
    <w:tblPr>
      <w:tblCellMar>
        <w:left w:w="0" w:type="dxa"/>
        <w:top w:w="0" w:type="dxa"/>
        <w:right w:w="0" w:type="dxa"/>
        <w:bottom w:w="0" w:type="dxa"/>
      </w:tblCellMar>
    </w:tblPr>
  </w:style>
  <w:style w:type="table" w:styleId="1027" w:customStyle="1">
    <w:name w:val="Grid Table 7 Colorful"/>
    <w:basedOn w:val="905"/>
    <w:uiPriority w:val="99"/>
    <w:qFormat/>
    <w:tblPr>
      <w:tblCellMar>
        <w:left w:w="0" w:type="dxa"/>
        <w:top w:w="0" w:type="dxa"/>
        <w:right w:w="0" w:type="dxa"/>
        <w:bottom w:w="0" w:type="dxa"/>
      </w:tblCellMar>
    </w:tblPr>
  </w:style>
  <w:style w:type="table" w:styleId="1028" w:customStyle="1">
    <w:name w:val="Grid Table 7 Colorful - Accent 1"/>
    <w:basedOn w:val="905"/>
    <w:uiPriority w:val="99"/>
    <w:qFormat/>
    <w:tblPr>
      <w:tblCellMar>
        <w:left w:w="0" w:type="dxa"/>
        <w:top w:w="0" w:type="dxa"/>
        <w:right w:w="0" w:type="dxa"/>
        <w:bottom w:w="0" w:type="dxa"/>
      </w:tblCellMar>
    </w:tblPr>
  </w:style>
  <w:style w:type="table" w:styleId="1029" w:customStyle="1">
    <w:name w:val="Grid Table 7 Colorful - Accent 2"/>
    <w:basedOn w:val="905"/>
    <w:uiPriority w:val="99"/>
    <w:qFormat/>
    <w:tblPr>
      <w:tblCellMar>
        <w:left w:w="0" w:type="dxa"/>
        <w:top w:w="0" w:type="dxa"/>
        <w:right w:w="0" w:type="dxa"/>
        <w:bottom w:w="0" w:type="dxa"/>
      </w:tblCellMar>
    </w:tblPr>
  </w:style>
  <w:style w:type="table" w:styleId="1030" w:customStyle="1">
    <w:name w:val="Grid Table 7 Colorful - Accent 3"/>
    <w:basedOn w:val="905"/>
    <w:uiPriority w:val="99"/>
    <w:qFormat/>
    <w:tblPr>
      <w:tblCellMar>
        <w:left w:w="0" w:type="dxa"/>
        <w:top w:w="0" w:type="dxa"/>
        <w:right w:w="0" w:type="dxa"/>
        <w:bottom w:w="0" w:type="dxa"/>
      </w:tblCellMar>
    </w:tblPr>
  </w:style>
  <w:style w:type="table" w:styleId="1031" w:customStyle="1">
    <w:name w:val="Grid Table 7 Colorful - Accent 4"/>
    <w:basedOn w:val="905"/>
    <w:uiPriority w:val="99"/>
    <w:qFormat/>
    <w:tblPr>
      <w:tblCellMar>
        <w:left w:w="0" w:type="dxa"/>
        <w:top w:w="0" w:type="dxa"/>
        <w:right w:w="0" w:type="dxa"/>
        <w:bottom w:w="0" w:type="dxa"/>
      </w:tblCellMar>
    </w:tblPr>
  </w:style>
  <w:style w:type="table" w:styleId="1032" w:customStyle="1">
    <w:name w:val="Grid Table 7 Colorful - Accent 5"/>
    <w:basedOn w:val="905"/>
    <w:uiPriority w:val="99"/>
    <w:qFormat/>
    <w:tblPr>
      <w:tblCellMar>
        <w:left w:w="0" w:type="dxa"/>
        <w:top w:w="0" w:type="dxa"/>
        <w:right w:w="0" w:type="dxa"/>
        <w:bottom w:w="0" w:type="dxa"/>
      </w:tblCellMar>
    </w:tblPr>
  </w:style>
  <w:style w:type="table" w:styleId="1033" w:customStyle="1">
    <w:name w:val="Grid Table 7 Colorful - Accent 6"/>
    <w:basedOn w:val="905"/>
    <w:uiPriority w:val="99"/>
    <w:qFormat/>
    <w:tblPr>
      <w:tblCellMar>
        <w:left w:w="0" w:type="dxa"/>
        <w:top w:w="0" w:type="dxa"/>
        <w:right w:w="0" w:type="dxa"/>
        <w:bottom w:w="0" w:type="dxa"/>
      </w:tblCellMar>
    </w:tblPr>
  </w:style>
  <w:style w:type="table" w:styleId="1034" w:customStyle="1">
    <w:name w:val="List Table 1 Light"/>
    <w:basedOn w:val="905"/>
    <w:uiPriority w:val="99"/>
    <w:qFormat/>
    <w:tblPr>
      <w:tblCellMar>
        <w:left w:w="0" w:type="dxa"/>
        <w:top w:w="0" w:type="dxa"/>
        <w:right w:w="0" w:type="dxa"/>
        <w:bottom w:w="0" w:type="dxa"/>
      </w:tblCellMar>
    </w:tblPr>
  </w:style>
  <w:style w:type="table" w:styleId="1035" w:customStyle="1">
    <w:name w:val="List Table 1 Light - Accent 1"/>
    <w:basedOn w:val="905"/>
    <w:uiPriority w:val="99"/>
    <w:qFormat/>
    <w:tblPr>
      <w:tblCellMar>
        <w:left w:w="0" w:type="dxa"/>
        <w:top w:w="0" w:type="dxa"/>
        <w:right w:w="0" w:type="dxa"/>
        <w:bottom w:w="0" w:type="dxa"/>
      </w:tblCellMar>
    </w:tblPr>
  </w:style>
  <w:style w:type="table" w:styleId="1036" w:customStyle="1">
    <w:name w:val="List Table 1 Light - Accent 2"/>
    <w:basedOn w:val="905"/>
    <w:uiPriority w:val="99"/>
    <w:qFormat/>
    <w:tblPr>
      <w:tblCellMar>
        <w:left w:w="0" w:type="dxa"/>
        <w:top w:w="0" w:type="dxa"/>
        <w:right w:w="0" w:type="dxa"/>
        <w:bottom w:w="0" w:type="dxa"/>
      </w:tblCellMar>
    </w:tblPr>
  </w:style>
  <w:style w:type="table" w:styleId="1037" w:customStyle="1">
    <w:name w:val="List Table 1 Light - Accent 3"/>
    <w:basedOn w:val="905"/>
    <w:uiPriority w:val="99"/>
    <w:qFormat/>
    <w:tblPr>
      <w:tblCellMar>
        <w:left w:w="0" w:type="dxa"/>
        <w:top w:w="0" w:type="dxa"/>
        <w:right w:w="0" w:type="dxa"/>
        <w:bottom w:w="0" w:type="dxa"/>
      </w:tblCellMar>
    </w:tblPr>
  </w:style>
  <w:style w:type="table" w:styleId="1038" w:customStyle="1">
    <w:name w:val="List Table 1 Light - Accent 4"/>
    <w:basedOn w:val="905"/>
    <w:uiPriority w:val="99"/>
    <w:qFormat/>
    <w:tblPr>
      <w:tblCellMar>
        <w:left w:w="0" w:type="dxa"/>
        <w:top w:w="0" w:type="dxa"/>
        <w:right w:w="0" w:type="dxa"/>
        <w:bottom w:w="0" w:type="dxa"/>
      </w:tblCellMar>
    </w:tblPr>
  </w:style>
  <w:style w:type="table" w:styleId="1039" w:customStyle="1">
    <w:name w:val="List Table 1 Light - Accent 5"/>
    <w:basedOn w:val="905"/>
    <w:uiPriority w:val="99"/>
    <w:qFormat/>
    <w:tblPr>
      <w:tblCellMar>
        <w:left w:w="0" w:type="dxa"/>
        <w:top w:w="0" w:type="dxa"/>
        <w:right w:w="0" w:type="dxa"/>
        <w:bottom w:w="0" w:type="dxa"/>
      </w:tblCellMar>
    </w:tblPr>
  </w:style>
  <w:style w:type="table" w:styleId="1040" w:customStyle="1">
    <w:name w:val="List Table 1 Light - Accent 6"/>
    <w:basedOn w:val="905"/>
    <w:uiPriority w:val="99"/>
    <w:qFormat/>
    <w:tblPr>
      <w:tblCellMar>
        <w:left w:w="0" w:type="dxa"/>
        <w:top w:w="0" w:type="dxa"/>
        <w:right w:w="0" w:type="dxa"/>
        <w:bottom w:w="0" w:type="dxa"/>
      </w:tblCellMar>
    </w:tblPr>
  </w:style>
  <w:style w:type="table" w:styleId="1041" w:customStyle="1">
    <w:name w:val="List Table 2"/>
    <w:basedOn w:val="905"/>
    <w:uiPriority w:val="99"/>
    <w:qFormat/>
    <w:tblPr>
      <w:tblCellMar>
        <w:left w:w="0" w:type="dxa"/>
        <w:top w:w="0" w:type="dxa"/>
        <w:right w:w="0" w:type="dxa"/>
        <w:bottom w:w="0" w:type="dxa"/>
      </w:tblCellMar>
    </w:tblPr>
  </w:style>
  <w:style w:type="table" w:styleId="1042" w:customStyle="1">
    <w:name w:val="List Table 2 - Accent 1"/>
    <w:basedOn w:val="905"/>
    <w:uiPriority w:val="99"/>
    <w:qFormat/>
    <w:tblPr>
      <w:tblCellMar>
        <w:left w:w="0" w:type="dxa"/>
        <w:top w:w="0" w:type="dxa"/>
        <w:right w:w="0" w:type="dxa"/>
        <w:bottom w:w="0" w:type="dxa"/>
      </w:tblCellMar>
    </w:tblPr>
  </w:style>
  <w:style w:type="table" w:styleId="1043" w:customStyle="1">
    <w:name w:val="List Table 2 - Accent 2"/>
    <w:basedOn w:val="905"/>
    <w:uiPriority w:val="99"/>
    <w:qFormat/>
    <w:tblPr>
      <w:tblCellMar>
        <w:left w:w="0" w:type="dxa"/>
        <w:top w:w="0" w:type="dxa"/>
        <w:right w:w="0" w:type="dxa"/>
        <w:bottom w:w="0" w:type="dxa"/>
      </w:tblCellMar>
    </w:tblPr>
  </w:style>
  <w:style w:type="table" w:styleId="1044" w:customStyle="1">
    <w:name w:val="List Table 2 - Accent 3"/>
    <w:basedOn w:val="905"/>
    <w:uiPriority w:val="99"/>
    <w:qFormat/>
    <w:tblPr>
      <w:tblCellMar>
        <w:left w:w="0" w:type="dxa"/>
        <w:top w:w="0" w:type="dxa"/>
        <w:right w:w="0" w:type="dxa"/>
        <w:bottom w:w="0" w:type="dxa"/>
      </w:tblCellMar>
    </w:tblPr>
  </w:style>
  <w:style w:type="table" w:styleId="1045" w:customStyle="1">
    <w:name w:val="List Table 2 - Accent 4"/>
    <w:basedOn w:val="905"/>
    <w:uiPriority w:val="99"/>
    <w:qFormat/>
    <w:tblPr>
      <w:tblCellMar>
        <w:left w:w="0" w:type="dxa"/>
        <w:top w:w="0" w:type="dxa"/>
        <w:right w:w="0" w:type="dxa"/>
        <w:bottom w:w="0" w:type="dxa"/>
      </w:tblCellMar>
    </w:tblPr>
  </w:style>
  <w:style w:type="table" w:styleId="1046" w:customStyle="1">
    <w:name w:val="List Table 2 - Accent 5"/>
    <w:basedOn w:val="905"/>
    <w:uiPriority w:val="99"/>
    <w:qFormat/>
    <w:tblPr>
      <w:tblCellMar>
        <w:left w:w="0" w:type="dxa"/>
        <w:top w:w="0" w:type="dxa"/>
        <w:right w:w="0" w:type="dxa"/>
        <w:bottom w:w="0" w:type="dxa"/>
      </w:tblCellMar>
    </w:tblPr>
  </w:style>
  <w:style w:type="table" w:styleId="1047" w:customStyle="1">
    <w:name w:val="List Table 2 - Accent 6"/>
    <w:basedOn w:val="905"/>
    <w:uiPriority w:val="99"/>
    <w:qFormat/>
    <w:tblPr>
      <w:tblCellMar>
        <w:left w:w="0" w:type="dxa"/>
        <w:top w:w="0" w:type="dxa"/>
        <w:right w:w="0" w:type="dxa"/>
        <w:bottom w:w="0" w:type="dxa"/>
      </w:tblCellMar>
    </w:tblPr>
  </w:style>
  <w:style w:type="table" w:styleId="1048" w:customStyle="1">
    <w:name w:val="List Table 3"/>
    <w:basedOn w:val="905"/>
    <w:uiPriority w:val="99"/>
    <w:qFormat/>
    <w:tblPr>
      <w:tblCellMar>
        <w:left w:w="0" w:type="dxa"/>
        <w:top w:w="0" w:type="dxa"/>
        <w:right w:w="0" w:type="dxa"/>
        <w:bottom w:w="0" w:type="dxa"/>
      </w:tblCellMar>
    </w:tblPr>
  </w:style>
  <w:style w:type="table" w:styleId="1049" w:customStyle="1">
    <w:name w:val="List Table 3 - Accent 1"/>
    <w:basedOn w:val="905"/>
    <w:uiPriority w:val="99"/>
    <w:qFormat/>
    <w:tblPr>
      <w:tblCellMar>
        <w:left w:w="0" w:type="dxa"/>
        <w:top w:w="0" w:type="dxa"/>
        <w:right w:w="0" w:type="dxa"/>
        <w:bottom w:w="0" w:type="dxa"/>
      </w:tblCellMar>
    </w:tblPr>
  </w:style>
  <w:style w:type="table" w:styleId="1050" w:customStyle="1">
    <w:name w:val="List Table 3 - Accent 2"/>
    <w:basedOn w:val="905"/>
    <w:uiPriority w:val="99"/>
    <w:qFormat/>
    <w:tblPr>
      <w:tblCellMar>
        <w:left w:w="0" w:type="dxa"/>
        <w:top w:w="0" w:type="dxa"/>
        <w:right w:w="0" w:type="dxa"/>
        <w:bottom w:w="0" w:type="dxa"/>
      </w:tblCellMar>
    </w:tblPr>
  </w:style>
  <w:style w:type="table" w:styleId="1051" w:customStyle="1">
    <w:name w:val="List Table 3 - Accent 3"/>
    <w:basedOn w:val="905"/>
    <w:uiPriority w:val="99"/>
    <w:qFormat/>
    <w:tblPr>
      <w:tblCellMar>
        <w:left w:w="0" w:type="dxa"/>
        <w:top w:w="0" w:type="dxa"/>
        <w:right w:w="0" w:type="dxa"/>
        <w:bottom w:w="0" w:type="dxa"/>
      </w:tblCellMar>
    </w:tblPr>
  </w:style>
  <w:style w:type="table" w:styleId="1052" w:customStyle="1">
    <w:name w:val="List Table 3 - Accent 4"/>
    <w:basedOn w:val="905"/>
    <w:uiPriority w:val="99"/>
    <w:qFormat/>
    <w:tblPr>
      <w:tblCellMar>
        <w:left w:w="0" w:type="dxa"/>
        <w:top w:w="0" w:type="dxa"/>
        <w:right w:w="0" w:type="dxa"/>
        <w:bottom w:w="0" w:type="dxa"/>
      </w:tblCellMar>
    </w:tblPr>
  </w:style>
  <w:style w:type="table" w:styleId="1053" w:customStyle="1">
    <w:name w:val="List Table 3 - Accent 5"/>
    <w:basedOn w:val="905"/>
    <w:uiPriority w:val="99"/>
    <w:qFormat/>
    <w:tblPr>
      <w:tblCellMar>
        <w:left w:w="0" w:type="dxa"/>
        <w:top w:w="0" w:type="dxa"/>
        <w:right w:w="0" w:type="dxa"/>
        <w:bottom w:w="0" w:type="dxa"/>
      </w:tblCellMar>
    </w:tblPr>
  </w:style>
  <w:style w:type="table" w:styleId="1054" w:customStyle="1">
    <w:name w:val="List Table 3 - Accent 6"/>
    <w:basedOn w:val="905"/>
    <w:uiPriority w:val="99"/>
    <w:qFormat/>
    <w:tblPr>
      <w:tblCellMar>
        <w:left w:w="0" w:type="dxa"/>
        <w:top w:w="0" w:type="dxa"/>
        <w:right w:w="0" w:type="dxa"/>
        <w:bottom w:w="0" w:type="dxa"/>
      </w:tblCellMar>
    </w:tblPr>
  </w:style>
  <w:style w:type="table" w:styleId="1055" w:customStyle="1">
    <w:name w:val="List Table 4"/>
    <w:basedOn w:val="905"/>
    <w:uiPriority w:val="99"/>
    <w:qFormat/>
    <w:tblPr>
      <w:tblCellMar>
        <w:left w:w="0" w:type="dxa"/>
        <w:top w:w="0" w:type="dxa"/>
        <w:right w:w="0" w:type="dxa"/>
        <w:bottom w:w="0" w:type="dxa"/>
      </w:tblCellMar>
    </w:tblPr>
  </w:style>
  <w:style w:type="table" w:styleId="1056" w:customStyle="1">
    <w:name w:val="List Table 4 - Accent 1"/>
    <w:basedOn w:val="905"/>
    <w:uiPriority w:val="99"/>
    <w:qFormat/>
    <w:tblPr>
      <w:tblCellMar>
        <w:left w:w="0" w:type="dxa"/>
        <w:top w:w="0" w:type="dxa"/>
        <w:right w:w="0" w:type="dxa"/>
        <w:bottom w:w="0" w:type="dxa"/>
      </w:tblCellMar>
    </w:tblPr>
  </w:style>
  <w:style w:type="table" w:styleId="1057" w:customStyle="1">
    <w:name w:val="List Table 4 - Accent 2"/>
    <w:basedOn w:val="905"/>
    <w:uiPriority w:val="99"/>
    <w:qFormat/>
    <w:tblPr>
      <w:tblCellMar>
        <w:left w:w="0" w:type="dxa"/>
        <w:top w:w="0" w:type="dxa"/>
        <w:right w:w="0" w:type="dxa"/>
        <w:bottom w:w="0" w:type="dxa"/>
      </w:tblCellMar>
    </w:tblPr>
  </w:style>
  <w:style w:type="table" w:styleId="1058" w:customStyle="1">
    <w:name w:val="List Table 4 - Accent 3"/>
    <w:basedOn w:val="905"/>
    <w:uiPriority w:val="99"/>
    <w:qFormat/>
    <w:tblPr>
      <w:tblCellMar>
        <w:left w:w="0" w:type="dxa"/>
        <w:top w:w="0" w:type="dxa"/>
        <w:right w:w="0" w:type="dxa"/>
        <w:bottom w:w="0" w:type="dxa"/>
      </w:tblCellMar>
    </w:tblPr>
  </w:style>
  <w:style w:type="table" w:styleId="1059" w:customStyle="1">
    <w:name w:val="List Table 4 - Accent 4"/>
    <w:basedOn w:val="905"/>
    <w:uiPriority w:val="99"/>
    <w:qFormat/>
    <w:tblPr>
      <w:tblCellMar>
        <w:left w:w="0" w:type="dxa"/>
        <w:top w:w="0" w:type="dxa"/>
        <w:right w:w="0" w:type="dxa"/>
        <w:bottom w:w="0" w:type="dxa"/>
      </w:tblCellMar>
    </w:tblPr>
  </w:style>
  <w:style w:type="table" w:styleId="1060" w:customStyle="1">
    <w:name w:val="List Table 4 - Accent 5"/>
    <w:basedOn w:val="905"/>
    <w:uiPriority w:val="99"/>
    <w:qFormat/>
    <w:tblPr>
      <w:tblCellMar>
        <w:left w:w="0" w:type="dxa"/>
        <w:top w:w="0" w:type="dxa"/>
        <w:right w:w="0" w:type="dxa"/>
        <w:bottom w:w="0" w:type="dxa"/>
      </w:tblCellMar>
    </w:tblPr>
  </w:style>
  <w:style w:type="table" w:styleId="1061" w:customStyle="1">
    <w:name w:val="List Table 4 - Accent 6"/>
    <w:basedOn w:val="905"/>
    <w:uiPriority w:val="99"/>
    <w:qFormat/>
    <w:tblPr>
      <w:tblCellMar>
        <w:left w:w="0" w:type="dxa"/>
        <w:top w:w="0" w:type="dxa"/>
        <w:right w:w="0" w:type="dxa"/>
        <w:bottom w:w="0" w:type="dxa"/>
      </w:tblCellMar>
    </w:tblPr>
  </w:style>
  <w:style w:type="table" w:styleId="1062" w:customStyle="1">
    <w:name w:val="List Table 5 Dark"/>
    <w:basedOn w:val="905"/>
    <w:uiPriority w:val="99"/>
    <w:qFormat/>
    <w:tblPr>
      <w:tblCellMar>
        <w:left w:w="0" w:type="dxa"/>
        <w:top w:w="0" w:type="dxa"/>
        <w:right w:w="0" w:type="dxa"/>
        <w:bottom w:w="0" w:type="dxa"/>
      </w:tblCellMar>
    </w:tblPr>
  </w:style>
  <w:style w:type="table" w:styleId="1063" w:customStyle="1">
    <w:name w:val="List Table 5 Dark - Accent 1"/>
    <w:basedOn w:val="905"/>
    <w:uiPriority w:val="99"/>
    <w:qFormat/>
    <w:tblPr>
      <w:tblCellMar>
        <w:left w:w="0" w:type="dxa"/>
        <w:top w:w="0" w:type="dxa"/>
        <w:right w:w="0" w:type="dxa"/>
        <w:bottom w:w="0" w:type="dxa"/>
      </w:tblCellMar>
    </w:tblPr>
  </w:style>
  <w:style w:type="table" w:styleId="1064" w:customStyle="1">
    <w:name w:val="List Table 5 Dark - Accent 2"/>
    <w:basedOn w:val="905"/>
    <w:uiPriority w:val="99"/>
    <w:qFormat/>
    <w:tblPr>
      <w:tblCellMar>
        <w:left w:w="0" w:type="dxa"/>
        <w:top w:w="0" w:type="dxa"/>
        <w:right w:w="0" w:type="dxa"/>
        <w:bottom w:w="0" w:type="dxa"/>
      </w:tblCellMar>
    </w:tblPr>
  </w:style>
  <w:style w:type="table" w:styleId="1065" w:customStyle="1">
    <w:name w:val="List Table 5 Dark - Accent 3"/>
    <w:basedOn w:val="905"/>
    <w:uiPriority w:val="99"/>
    <w:qFormat/>
    <w:tblPr>
      <w:tblCellMar>
        <w:left w:w="0" w:type="dxa"/>
        <w:top w:w="0" w:type="dxa"/>
        <w:right w:w="0" w:type="dxa"/>
        <w:bottom w:w="0" w:type="dxa"/>
      </w:tblCellMar>
    </w:tblPr>
  </w:style>
  <w:style w:type="table" w:styleId="1066" w:customStyle="1">
    <w:name w:val="List Table 5 Dark - Accent 4"/>
    <w:basedOn w:val="905"/>
    <w:uiPriority w:val="99"/>
    <w:qFormat/>
    <w:tblPr>
      <w:tblCellMar>
        <w:left w:w="0" w:type="dxa"/>
        <w:top w:w="0" w:type="dxa"/>
        <w:right w:w="0" w:type="dxa"/>
        <w:bottom w:w="0" w:type="dxa"/>
      </w:tblCellMar>
    </w:tblPr>
  </w:style>
  <w:style w:type="table" w:styleId="1067" w:customStyle="1">
    <w:name w:val="List Table 5 Dark - Accent 5"/>
    <w:basedOn w:val="905"/>
    <w:uiPriority w:val="99"/>
    <w:qFormat/>
    <w:tblPr>
      <w:tblCellMar>
        <w:left w:w="0" w:type="dxa"/>
        <w:top w:w="0" w:type="dxa"/>
        <w:right w:w="0" w:type="dxa"/>
        <w:bottom w:w="0" w:type="dxa"/>
      </w:tblCellMar>
    </w:tblPr>
  </w:style>
  <w:style w:type="table" w:styleId="1068" w:customStyle="1">
    <w:name w:val="List Table 5 Dark - Accent 6"/>
    <w:basedOn w:val="905"/>
    <w:uiPriority w:val="99"/>
    <w:qFormat/>
    <w:tblPr>
      <w:tblCellMar>
        <w:left w:w="0" w:type="dxa"/>
        <w:top w:w="0" w:type="dxa"/>
        <w:right w:w="0" w:type="dxa"/>
        <w:bottom w:w="0" w:type="dxa"/>
      </w:tblCellMar>
    </w:tblPr>
  </w:style>
  <w:style w:type="table" w:styleId="1069" w:customStyle="1">
    <w:name w:val="List Table 6 Colorful"/>
    <w:basedOn w:val="905"/>
    <w:uiPriority w:val="99"/>
    <w:qFormat/>
    <w:tblPr>
      <w:tblCellMar>
        <w:left w:w="0" w:type="dxa"/>
        <w:top w:w="0" w:type="dxa"/>
        <w:right w:w="0" w:type="dxa"/>
        <w:bottom w:w="0" w:type="dxa"/>
      </w:tblCellMar>
    </w:tblPr>
  </w:style>
  <w:style w:type="table" w:styleId="1070" w:customStyle="1">
    <w:name w:val="List Table 6 Colorful - Accent 1"/>
    <w:basedOn w:val="905"/>
    <w:uiPriority w:val="99"/>
    <w:qFormat/>
    <w:tblPr>
      <w:tblCellMar>
        <w:left w:w="0" w:type="dxa"/>
        <w:top w:w="0" w:type="dxa"/>
        <w:right w:w="0" w:type="dxa"/>
        <w:bottom w:w="0" w:type="dxa"/>
      </w:tblCellMar>
    </w:tblPr>
  </w:style>
  <w:style w:type="table" w:styleId="1071" w:customStyle="1">
    <w:name w:val="List Table 6 Colorful - Accent 2"/>
    <w:basedOn w:val="905"/>
    <w:uiPriority w:val="99"/>
    <w:qFormat/>
    <w:tblPr>
      <w:tblCellMar>
        <w:left w:w="0" w:type="dxa"/>
        <w:top w:w="0" w:type="dxa"/>
        <w:right w:w="0" w:type="dxa"/>
        <w:bottom w:w="0" w:type="dxa"/>
      </w:tblCellMar>
    </w:tblPr>
  </w:style>
  <w:style w:type="table" w:styleId="1072" w:customStyle="1">
    <w:name w:val="List Table 6 Colorful - Accent 3"/>
    <w:basedOn w:val="905"/>
    <w:uiPriority w:val="99"/>
    <w:qFormat/>
    <w:tblPr>
      <w:tblCellMar>
        <w:left w:w="0" w:type="dxa"/>
        <w:top w:w="0" w:type="dxa"/>
        <w:right w:w="0" w:type="dxa"/>
        <w:bottom w:w="0" w:type="dxa"/>
      </w:tblCellMar>
    </w:tblPr>
  </w:style>
  <w:style w:type="table" w:styleId="1073" w:customStyle="1">
    <w:name w:val="List Table 6 Colorful - Accent 4"/>
    <w:basedOn w:val="905"/>
    <w:uiPriority w:val="99"/>
    <w:qFormat/>
    <w:tblPr>
      <w:tblCellMar>
        <w:left w:w="0" w:type="dxa"/>
        <w:top w:w="0" w:type="dxa"/>
        <w:right w:w="0" w:type="dxa"/>
        <w:bottom w:w="0" w:type="dxa"/>
      </w:tblCellMar>
    </w:tblPr>
  </w:style>
  <w:style w:type="table" w:styleId="1074" w:customStyle="1">
    <w:name w:val="List Table 6 Colorful - Accent 5"/>
    <w:basedOn w:val="905"/>
    <w:uiPriority w:val="99"/>
    <w:qFormat/>
    <w:tblPr>
      <w:tblCellMar>
        <w:left w:w="0" w:type="dxa"/>
        <w:top w:w="0" w:type="dxa"/>
        <w:right w:w="0" w:type="dxa"/>
        <w:bottom w:w="0" w:type="dxa"/>
      </w:tblCellMar>
    </w:tblPr>
  </w:style>
  <w:style w:type="table" w:styleId="1075" w:customStyle="1">
    <w:name w:val="List Table 6 Colorful - Accent 6"/>
    <w:basedOn w:val="905"/>
    <w:uiPriority w:val="99"/>
    <w:qFormat/>
    <w:tblPr>
      <w:tblCellMar>
        <w:left w:w="0" w:type="dxa"/>
        <w:top w:w="0" w:type="dxa"/>
        <w:right w:w="0" w:type="dxa"/>
        <w:bottom w:w="0" w:type="dxa"/>
      </w:tblCellMar>
    </w:tblPr>
  </w:style>
  <w:style w:type="table" w:styleId="1076" w:customStyle="1">
    <w:name w:val="List Table 7 Colorful"/>
    <w:basedOn w:val="905"/>
    <w:uiPriority w:val="99"/>
    <w:qFormat/>
    <w:tblPr>
      <w:tblCellMar>
        <w:left w:w="0" w:type="dxa"/>
        <w:top w:w="0" w:type="dxa"/>
        <w:right w:w="0" w:type="dxa"/>
        <w:bottom w:w="0" w:type="dxa"/>
      </w:tblCellMar>
    </w:tblPr>
  </w:style>
  <w:style w:type="table" w:styleId="1077" w:customStyle="1">
    <w:name w:val="List Table 7 Colorful - Accent 1"/>
    <w:basedOn w:val="905"/>
    <w:uiPriority w:val="99"/>
    <w:qFormat/>
    <w:tblPr>
      <w:tblCellMar>
        <w:left w:w="0" w:type="dxa"/>
        <w:top w:w="0" w:type="dxa"/>
        <w:right w:w="0" w:type="dxa"/>
        <w:bottom w:w="0" w:type="dxa"/>
      </w:tblCellMar>
    </w:tblPr>
  </w:style>
  <w:style w:type="table" w:styleId="1078" w:customStyle="1">
    <w:name w:val="List Table 7 Colorful - Accent 2"/>
    <w:basedOn w:val="905"/>
    <w:uiPriority w:val="99"/>
    <w:qFormat/>
    <w:tblPr>
      <w:tblCellMar>
        <w:left w:w="0" w:type="dxa"/>
        <w:top w:w="0" w:type="dxa"/>
        <w:right w:w="0" w:type="dxa"/>
        <w:bottom w:w="0" w:type="dxa"/>
      </w:tblCellMar>
    </w:tblPr>
  </w:style>
  <w:style w:type="table" w:styleId="1079" w:customStyle="1">
    <w:name w:val="List Table 7 Colorful - Accent 3"/>
    <w:basedOn w:val="905"/>
    <w:uiPriority w:val="99"/>
    <w:qFormat/>
    <w:tblPr>
      <w:tblCellMar>
        <w:left w:w="0" w:type="dxa"/>
        <w:top w:w="0" w:type="dxa"/>
        <w:right w:w="0" w:type="dxa"/>
        <w:bottom w:w="0" w:type="dxa"/>
      </w:tblCellMar>
    </w:tblPr>
  </w:style>
  <w:style w:type="table" w:styleId="1080" w:customStyle="1">
    <w:name w:val="List Table 7 Colorful - Accent 4"/>
    <w:basedOn w:val="905"/>
    <w:uiPriority w:val="99"/>
    <w:qFormat/>
    <w:tblPr>
      <w:tblCellMar>
        <w:left w:w="0" w:type="dxa"/>
        <w:top w:w="0" w:type="dxa"/>
        <w:right w:w="0" w:type="dxa"/>
        <w:bottom w:w="0" w:type="dxa"/>
      </w:tblCellMar>
    </w:tblPr>
  </w:style>
  <w:style w:type="table" w:styleId="1081" w:customStyle="1">
    <w:name w:val="List Table 7 Colorful - Accent 5"/>
    <w:basedOn w:val="905"/>
    <w:uiPriority w:val="99"/>
    <w:qFormat/>
    <w:tblPr>
      <w:tblCellMar>
        <w:left w:w="0" w:type="dxa"/>
        <w:top w:w="0" w:type="dxa"/>
        <w:right w:w="0" w:type="dxa"/>
        <w:bottom w:w="0" w:type="dxa"/>
      </w:tblCellMar>
    </w:tblPr>
  </w:style>
  <w:style w:type="table" w:styleId="1082" w:customStyle="1">
    <w:name w:val="List Table 7 Colorful - Accent 6"/>
    <w:basedOn w:val="905"/>
    <w:uiPriority w:val="99"/>
    <w:qFormat/>
    <w:tblPr>
      <w:tblCellMar>
        <w:left w:w="0" w:type="dxa"/>
        <w:top w:w="0" w:type="dxa"/>
        <w:right w:w="0" w:type="dxa"/>
        <w:bottom w:w="0" w:type="dxa"/>
      </w:tblCellMar>
    </w:tblPr>
  </w:style>
  <w:style w:type="table" w:styleId="1083" w:customStyle="1">
    <w:name w:val="Lined - Accent"/>
    <w:basedOn w:val="905"/>
    <w:uiPriority w:val="99"/>
    <w:qFormat/>
    <w:rPr>
      <w:color w:val="404040"/>
    </w:rPr>
    <w:tblPr>
      <w:tblCellMar>
        <w:left w:w="0" w:type="dxa"/>
        <w:top w:w="0" w:type="dxa"/>
        <w:right w:w="0" w:type="dxa"/>
        <w:bottom w:w="0" w:type="dxa"/>
      </w:tblCellMar>
    </w:tblPr>
  </w:style>
  <w:style w:type="table" w:styleId="1084" w:customStyle="1">
    <w:name w:val="Lined - Accent 1"/>
    <w:basedOn w:val="905"/>
    <w:uiPriority w:val="99"/>
    <w:qFormat/>
    <w:rPr>
      <w:color w:val="404040"/>
    </w:rPr>
    <w:tblPr>
      <w:tblCellMar>
        <w:left w:w="0" w:type="dxa"/>
        <w:top w:w="0" w:type="dxa"/>
        <w:right w:w="0" w:type="dxa"/>
        <w:bottom w:w="0" w:type="dxa"/>
      </w:tblCellMar>
    </w:tblPr>
  </w:style>
  <w:style w:type="table" w:styleId="1085" w:customStyle="1">
    <w:name w:val="Lined - Accent 2"/>
    <w:basedOn w:val="905"/>
    <w:uiPriority w:val="99"/>
    <w:qFormat/>
    <w:rPr>
      <w:color w:val="404040"/>
    </w:rPr>
    <w:tblPr>
      <w:tblCellMar>
        <w:left w:w="0" w:type="dxa"/>
        <w:top w:w="0" w:type="dxa"/>
        <w:right w:w="0" w:type="dxa"/>
        <w:bottom w:w="0" w:type="dxa"/>
      </w:tblCellMar>
    </w:tblPr>
  </w:style>
  <w:style w:type="table" w:styleId="1086" w:customStyle="1">
    <w:name w:val="Lined - Accent 3"/>
    <w:basedOn w:val="905"/>
    <w:uiPriority w:val="99"/>
    <w:qFormat/>
    <w:rPr>
      <w:color w:val="404040"/>
    </w:rPr>
    <w:tblPr>
      <w:tblCellMar>
        <w:left w:w="0" w:type="dxa"/>
        <w:top w:w="0" w:type="dxa"/>
        <w:right w:w="0" w:type="dxa"/>
        <w:bottom w:w="0" w:type="dxa"/>
      </w:tblCellMar>
    </w:tblPr>
  </w:style>
  <w:style w:type="table" w:styleId="1087" w:customStyle="1">
    <w:name w:val="Lined - Accent 4"/>
    <w:basedOn w:val="905"/>
    <w:uiPriority w:val="99"/>
    <w:qFormat/>
    <w:rPr>
      <w:color w:val="404040"/>
    </w:rPr>
    <w:tblPr>
      <w:tblCellMar>
        <w:left w:w="0" w:type="dxa"/>
        <w:top w:w="0" w:type="dxa"/>
        <w:right w:w="0" w:type="dxa"/>
        <w:bottom w:w="0" w:type="dxa"/>
      </w:tblCellMar>
    </w:tblPr>
  </w:style>
  <w:style w:type="table" w:styleId="1088" w:customStyle="1">
    <w:name w:val="Lined - Accent 5"/>
    <w:basedOn w:val="905"/>
    <w:uiPriority w:val="99"/>
    <w:qFormat/>
    <w:rPr>
      <w:color w:val="404040"/>
    </w:rPr>
    <w:tblPr>
      <w:tblCellMar>
        <w:left w:w="0" w:type="dxa"/>
        <w:top w:w="0" w:type="dxa"/>
        <w:right w:w="0" w:type="dxa"/>
        <w:bottom w:w="0" w:type="dxa"/>
      </w:tblCellMar>
    </w:tblPr>
  </w:style>
  <w:style w:type="table" w:styleId="1089" w:customStyle="1">
    <w:name w:val="Lined - Accent 6"/>
    <w:basedOn w:val="905"/>
    <w:uiPriority w:val="99"/>
    <w:qFormat/>
    <w:rPr>
      <w:color w:val="404040"/>
    </w:rPr>
    <w:tblPr>
      <w:tblCellMar>
        <w:left w:w="0" w:type="dxa"/>
        <w:top w:w="0" w:type="dxa"/>
        <w:right w:w="0" w:type="dxa"/>
        <w:bottom w:w="0" w:type="dxa"/>
      </w:tblCellMar>
    </w:tblPr>
  </w:style>
  <w:style w:type="table" w:styleId="1090" w:customStyle="1">
    <w:name w:val="Bordered &amp; Lined - Accent"/>
    <w:basedOn w:val="905"/>
    <w:uiPriority w:val="99"/>
    <w:qFormat/>
    <w:rPr>
      <w:color w:val="404040"/>
    </w:rPr>
    <w:tblPr>
      <w:tblCellMar>
        <w:left w:w="0" w:type="dxa"/>
        <w:top w:w="0" w:type="dxa"/>
        <w:right w:w="0" w:type="dxa"/>
        <w:bottom w:w="0" w:type="dxa"/>
      </w:tblCellMar>
    </w:tblPr>
  </w:style>
  <w:style w:type="table" w:styleId="1091" w:customStyle="1">
    <w:name w:val="Bordered &amp; Lined - Accent 1"/>
    <w:basedOn w:val="905"/>
    <w:uiPriority w:val="99"/>
    <w:qFormat/>
    <w:rPr>
      <w:color w:val="404040"/>
    </w:rPr>
    <w:tblPr>
      <w:tblCellMar>
        <w:left w:w="0" w:type="dxa"/>
        <w:top w:w="0" w:type="dxa"/>
        <w:right w:w="0" w:type="dxa"/>
        <w:bottom w:w="0" w:type="dxa"/>
      </w:tblCellMar>
    </w:tblPr>
  </w:style>
  <w:style w:type="table" w:styleId="1092" w:customStyle="1">
    <w:name w:val="Bordered &amp; Lined - Accent 2"/>
    <w:basedOn w:val="905"/>
    <w:uiPriority w:val="99"/>
    <w:qFormat/>
    <w:rPr>
      <w:color w:val="404040"/>
    </w:rPr>
    <w:tblPr>
      <w:tblCellMar>
        <w:left w:w="0" w:type="dxa"/>
        <w:top w:w="0" w:type="dxa"/>
        <w:right w:w="0" w:type="dxa"/>
        <w:bottom w:w="0" w:type="dxa"/>
      </w:tblCellMar>
    </w:tblPr>
  </w:style>
  <w:style w:type="table" w:styleId="1093" w:customStyle="1">
    <w:name w:val="Bordered &amp; Lined - Accent 3"/>
    <w:basedOn w:val="905"/>
    <w:uiPriority w:val="99"/>
    <w:qFormat/>
    <w:rPr>
      <w:color w:val="404040"/>
    </w:rPr>
    <w:tblPr>
      <w:tblCellMar>
        <w:left w:w="0" w:type="dxa"/>
        <w:top w:w="0" w:type="dxa"/>
        <w:right w:w="0" w:type="dxa"/>
        <w:bottom w:w="0" w:type="dxa"/>
      </w:tblCellMar>
    </w:tblPr>
  </w:style>
  <w:style w:type="table" w:styleId="1094" w:customStyle="1">
    <w:name w:val="Bordered &amp; Lined - Accent 4"/>
    <w:basedOn w:val="905"/>
    <w:uiPriority w:val="99"/>
    <w:qFormat/>
    <w:rPr>
      <w:color w:val="404040"/>
    </w:rPr>
    <w:tblPr>
      <w:tblCellMar>
        <w:left w:w="0" w:type="dxa"/>
        <w:top w:w="0" w:type="dxa"/>
        <w:right w:w="0" w:type="dxa"/>
        <w:bottom w:w="0" w:type="dxa"/>
      </w:tblCellMar>
    </w:tblPr>
  </w:style>
  <w:style w:type="table" w:styleId="1095" w:customStyle="1">
    <w:name w:val="Bordered &amp; Lined - Accent 5"/>
    <w:basedOn w:val="905"/>
    <w:uiPriority w:val="99"/>
    <w:qFormat/>
    <w:rPr>
      <w:color w:val="404040"/>
    </w:rPr>
    <w:tblPr>
      <w:tblCellMar>
        <w:left w:w="0" w:type="dxa"/>
        <w:top w:w="0" w:type="dxa"/>
        <w:right w:w="0" w:type="dxa"/>
        <w:bottom w:w="0" w:type="dxa"/>
      </w:tblCellMar>
    </w:tblPr>
  </w:style>
  <w:style w:type="table" w:styleId="1096" w:customStyle="1">
    <w:name w:val="Bordered &amp; Lined - Accent 6"/>
    <w:basedOn w:val="905"/>
    <w:uiPriority w:val="99"/>
    <w:qFormat/>
    <w:rPr>
      <w:color w:val="404040"/>
    </w:rPr>
    <w:tblPr>
      <w:tblCellMar>
        <w:left w:w="0" w:type="dxa"/>
        <w:top w:w="0" w:type="dxa"/>
        <w:right w:w="0" w:type="dxa"/>
        <w:bottom w:w="0" w:type="dxa"/>
      </w:tblCellMar>
    </w:tblPr>
  </w:style>
  <w:style w:type="table" w:styleId="1097" w:customStyle="1">
    <w:name w:val="Bordered"/>
    <w:basedOn w:val="905"/>
    <w:uiPriority w:val="99"/>
    <w:qFormat/>
    <w:tblPr>
      <w:tblCellMar>
        <w:left w:w="0" w:type="dxa"/>
        <w:top w:w="0" w:type="dxa"/>
        <w:right w:w="0" w:type="dxa"/>
        <w:bottom w:w="0" w:type="dxa"/>
      </w:tblCellMar>
    </w:tblPr>
  </w:style>
  <w:style w:type="table" w:styleId="1098" w:customStyle="1">
    <w:name w:val="Bordered - Accent 1"/>
    <w:basedOn w:val="905"/>
    <w:uiPriority w:val="99"/>
    <w:qFormat/>
    <w:tblPr>
      <w:tblCellMar>
        <w:left w:w="0" w:type="dxa"/>
        <w:top w:w="0" w:type="dxa"/>
        <w:right w:w="0" w:type="dxa"/>
        <w:bottom w:w="0" w:type="dxa"/>
      </w:tblCellMar>
    </w:tblPr>
  </w:style>
  <w:style w:type="table" w:styleId="1099" w:customStyle="1">
    <w:name w:val="Bordered - Accent 2"/>
    <w:basedOn w:val="905"/>
    <w:uiPriority w:val="99"/>
    <w:qFormat/>
    <w:tblPr>
      <w:tblCellMar>
        <w:left w:w="0" w:type="dxa"/>
        <w:top w:w="0" w:type="dxa"/>
        <w:right w:w="0" w:type="dxa"/>
        <w:bottom w:w="0" w:type="dxa"/>
      </w:tblCellMar>
    </w:tblPr>
  </w:style>
  <w:style w:type="table" w:styleId="1100" w:customStyle="1">
    <w:name w:val="Bordered - Accent 3"/>
    <w:basedOn w:val="905"/>
    <w:uiPriority w:val="99"/>
    <w:qFormat/>
    <w:tblPr>
      <w:tblCellMar>
        <w:left w:w="0" w:type="dxa"/>
        <w:top w:w="0" w:type="dxa"/>
        <w:right w:w="0" w:type="dxa"/>
        <w:bottom w:w="0" w:type="dxa"/>
      </w:tblCellMar>
    </w:tblPr>
  </w:style>
  <w:style w:type="table" w:styleId="1101" w:customStyle="1">
    <w:name w:val="Bordered - Accent 4"/>
    <w:basedOn w:val="905"/>
    <w:uiPriority w:val="99"/>
    <w:qFormat/>
    <w:tblPr>
      <w:tblCellMar>
        <w:left w:w="0" w:type="dxa"/>
        <w:top w:w="0" w:type="dxa"/>
        <w:right w:w="0" w:type="dxa"/>
        <w:bottom w:w="0" w:type="dxa"/>
      </w:tblCellMar>
    </w:tblPr>
  </w:style>
  <w:style w:type="table" w:styleId="1102" w:customStyle="1">
    <w:name w:val="Bordered - Accent 5"/>
    <w:basedOn w:val="905"/>
    <w:uiPriority w:val="99"/>
    <w:qFormat/>
    <w:tblPr>
      <w:tblCellMar>
        <w:left w:w="0" w:type="dxa"/>
        <w:top w:w="0" w:type="dxa"/>
        <w:right w:w="0" w:type="dxa"/>
        <w:bottom w:w="0" w:type="dxa"/>
      </w:tblCellMar>
    </w:tblPr>
  </w:style>
  <w:style w:type="table" w:styleId="1103" w:customStyle="1">
    <w:name w:val="Bordered - Accent 6"/>
    <w:basedOn w:val="905"/>
    <w:uiPriority w:val="99"/>
    <w:qFormat/>
    <w:tblPr>
      <w:tblCellMar>
        <w:left w:w="0" w:type="dxa"/>
        <w:top w:w="0" w:type="dxa"/>
        <w:right w:w="0" w:type="dxa"/>
        <w:bottom w:w="0" w:type="dxa"/>
      </w:tblCellMar>
    </w:tblPr>
  </w:style>
  <w:style w:type="paragraph" w:styleId="1104" w:customStyle="1">
    <w:name w:val="TOC 标题1"/>
    <w:uiPriority w:val="39"/>
    <w:unhideWhenUsed/>
    <w:qFormat/>
    <w:rPr>
      <w:rFonts w:hint="default" w:ascii="Times New Roman" w:hAnsi="Times New Roman" w:eastAsia="宋体" w:cs="Times New Roman"/>
      <w:lang w:val="en-US" w:eastAsia="zh-CN" w:bidi="ar-SA"/>
    </w:rPr>
  </w:style>
  <w:style w:type="character" w:styleId="1105" w:customStyle="1">
    <w:name w:val="标题 1 Char1"/>
    <w:link w:val="850"/>
    <w:uiPriority w:val="0"/>
    <w:qFormat/>
    <w:rPr>
      <w:rFonts w:ascii="Times New Roman" w:hAnsi="Times New Roman" w:eastAsia="宋体"/>
      <w:b/>
      <w:bCs/>
      <w:sz w:val="32"/>
      <w:szCs w:val="44"/>
      <w:lang w:val="en-US" w:eastAsia="zh-CN" w:bidi="ar-SA"/>
    </w:rPr>
  </w:style>
  <w:style w:type="character" w:styleId="1106" w:customStyle="1">
    <w:name w:val="标题 2 Char"/>
    <w:link w:val="851"/>
    <w:uiPriority w:val="0"/>
    <w:qFormat/>
    <w:rPr>
      <w:rFonts w:ascii="Cambria" w:hAnsi="Cambria" w:eastAsia="宋体"/>
      <w:b/>
      <w:sz w:val="32"/>
      <w:szCs w:val="24"/>
      <w:lang w:val="en-US" w:eastAsia="zh-CN" w:bidi="ar-SA"/>
    </w:rPr>
  </w:style>
  <w:style w:type="character" w:styleId="1107" w:customStyle="1">
    <w:name w:val="标题 3 Char"/>
    <w:link w:val="852"/>
    <w:uiPriority w:val="0"/>
    <w:semiHidden/>
    <w:qFormat/>
    <w:rPr>
      <w:b/>
      <w:bCs/>
      <w:sz w:val="32"/>
      <w:szCs w:val="32"/>
    </w:rPr>
  </w:style>
  <w:style w:type="character" w:styleId="1108" w:customStyle="1">
    <w:name w:val="标题 4 Char"/>
    <w:link w:val="853"/>
    <w:uiPriority w:val="0"/>
    <w:qFormat/>
    <w:rPr>
      <w:rFonts w:eastAsia="宋体"/>
      <w:b/>
      <w:bCs/>
      <w:sz w:val="28"/>
      <w:szCs w:val="28"/>
      <w:lang w:val="en-US" w:eastAsia="zh-CN" w:bidi="ar-SA"/>
    </w:rPr>
  </w:style>
  <w:style w:type="character" w:styleId="1109" w:customStyle="1">
    <w:name w:val="标题 5 Char"/>
    <w:link w:val="854"/>
    <w:uiPriority w:val="0"/>
    <w:qFormat/>
    <w:rPr>
      <w:rFonts w:eastAsia="宋体"/>
      <w:b/>
      <w:bCs/>
      <w:i/>
      <w:iCs/>
      <w:sz w:val="26"/>
      <w:szCs w:val="26"/>
      <w:lang w:val="en-US" w:eastAsia="zh-CN" w:bidi="ar-SA"/>
    </w:rPr>
  </w:style>
  <w:style w:type="paragraph" w:styleId="1110" w:customStyle="1">
    <w:name w:val="Footer1"/>
    <w:basedOn w:val="849"/>
    <w:link w:val="1111"/>
    <w:uiPriority w:val="99"/>
    <w:qFormat/>
    <w:pPr>
      <w:jc w:val="left"/>
      <w:tabs>
        <w:tab w:val="center" w:pos="4153" w:leader="none"/>
        <w:tab w:val="right" w:pos="8306" w:leader="none"/>
      </w:tabs>
    </w:pPr>
    <w:rPr>
      <w:sz w:val="18"/>
      <w:szCs w:val="18"/>
    </w:rPr>
  </w:style>
  <w:style w:type="character" w:styleId="1111" w:customStyle="1">
    <w:name w:val="页脚 字符"/>
    <w:link w:val="1110"/>
    <w:uiPriority w:val="99"/>
    <w:qFormat/>
    <w:rPr>
      <w:rFonts w:eastAsia="宋体"/>
      <w:sz w:val="18"/>
      <w:szCs w:val="18"/>
      <w:lang w:val="en-US" w:eastAsia="zh-CN" w:bidi="ar-SA"/>
    </w:rPr>
  </w:style>
  <w:style w:type="paragraph" w:styleId="1112" w:customStyle="1">
    <w:name w:val="Header1"/>
    <w:basedOn w:val="849"/>
    <w:link w:val="1113"/>
    <w:uiPriority w:val="99"/>
    <w:qFormat/>
    <w:pPr>
      <w:jc w:val="center"/>
      <w:tabs>
        <w:tab w:val="center" w:pos="4153" w:leader="none"/>
        <w:tab w:val="right" w:pos="8306" w:leader="none"/>
      </w:tabs>
      <w:pBdr>
        <w:bottom w:val="single" w:color="000000" w:sz="6" w:space="1"/>
      </w:pBdr>
    </w:pPr>
    <w:rPr>
      <w:sz w:val="18"/>
      <w:szCs w:val="18"/>
    </w:rPr>
  </w:style>
  <w:style w:type="character" w:styleId="1113" w:customStyle="1">
    <w:name w:val="页眉 字符"/>
    <w:link w:val="1112"/>
    <w:uiPriority w:val="99"/>
    <w:qFormat/>
    <w:rPr>
      <w:rFonts w:eastAsia="宋体"/>
      <w:sz w:val="18"/>
      <w:szCs w:val="18"/>
      <w:lang w:val="en-US" w:eastAsia="zh-CN" w:bidi="ar-SA"/>
    </w:rPr>
  </w:style>
  <w:style w:type="paragraph" w:styleId="1114" w:customStyle="1">
    <w:name w:val="首行缩进"/>
    <w:basedOn w:val="849"/>
    <w:uiPriority w:val="0"/>
    <w:qFormat/>
    <w:pPr>
      <w:ind w:firstLine="480"/>
    </w:pPr>
    <w:rPr>
      <w:szCs w:val="20"/>
      <w:lang w:val="zh-CN"/>
    </w:rPr>
  </w:style>
  <w:style w:type="paragraph" w:styleId="1115" w:customStyle="1">
    <w:name w:val="正文1"/>
    <w:next w:val="849"/>
    <w:uiPriority w:val="0"/>
    <w:qFormat/>
    <w:pPr>
      <w:ind w:firstLine="480"/>
      <w:jc w:val="both"/>
      <w:widowControl w:val="off"/>
    </w:pPr>
    <w:rPr>
      <w:rFonts w:hint="default" w:ascii="宋体" w:hAnsi="宋体" w:eastAsia="宋体" w:cs="Times New Roman"/>
      <w:sz w:val="24"/>
      <w:szCs w:val="24"/>
      <w:lang w:val="en-US" w:eastAsia="zh-CN" w:bidi="ar-SA"/>
    </w:rPr>
  </w:style>
  <w:style w:type="paragraph" w:styleId="1116"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117" w:customStyle="1">
    <w:name w:val="xl35"/>
    <w:next w:val="849"/>
    <w:uiPriority w:val="0"/>
    <w:qFormat/>
    <w:pPr>
      <w:spacing w:before="100" w:beforeAutospacing="1" w:after="100" w:afterAutospacing="1"/>
      <w:pBdr>
        <w:top w:val="single" w:color="000000" w:sz="4" w:space="0"/>
        <w:left w:val="single" w:color="000000" w:sz="4" w:space="0"/>
        <w:bottom w:val="single" w:color="000000" w:sz="8" w:space="0"/>
      </w:pBdr>
    </w:pPr>
    <w:rPr>
      <w:rFonts w:hint="default" w:ascii="宋体" w:hAnsi="宋体" w:eastAsia="宋体" w:cs="Times New Roman"/>
      <w:lang w:val="en-US" w:eastAsia="zh-CN" w:bidi="ar-SA"/>
    </w:rPr>
  </w:style>
  <w:style w:type="paragraph" w:styleId="1118"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9" w:customStyle="1">
    <w:name w:val="Char Char Char Char Char Char Char"/>
    <w:basedOn w:val="849"/>
    <w:uiPriority w:val="0"/>
    <w:qFormat/>
  </w:style>
  <w:style w:type="paragraph" w:styleId="1120" w:customStyle="1">
    <w:name w:val="p0"/>
    <w:basedOn w:val="849"/>
    <w:uiPriority w:val="0"/>
    <w:qFormat/>
    <w:pPr>
      <w:jc w:val="left"/>
      <w:widowControl/>
    </w:pPr>
    <w:rPr>
      <w:sz w:val="24"/>
    </w:rPr>
  </w:style>
  <w:style w:type="paragraph" w:styleId="1121" w:customStyle="1">
    <w:name w:val="Char Char Char Char Char Char Char Char Char1 Char Char Char Char"/>
    <w:basedOn w:val="911"/>
    <w:uiPriority w:val="0"/>
    <w:qFormat/>
    <w:rPr>
      <w:rFonts w:eastAsia="楷体_GB2312"/>
      <w:sz w:val="26"/>
      <w:szCs w:val="20"/>
    </w:rPr>
  </w:style>
  <w:style w:type="paragraph" w:styleId="1122" w:customStyle="1">
    <w:name w:val="格式３"/>
    <w:basedOn w:val="849"/>
    <w:uiPriority w:val="0"/>
    <w:qFormat/>
    <w:pPr>
      <w:ind w:left="600" w:hanging="600"/>
      <w:spacing w:line="420" w:lineRule="exact"/>
    </w:pPr>
    <w:rPr>
      <w:rFonts w:ascii="宋体" w:hAnsi="宋体"/>
      <w:color w:val="000000"/>
      <w:sz w:val="24"/>
      <w:szCs w:val="20"/>
    </w:rPr>
  </w:style>
  <w:style w:type="paragraph" w:styleId="1123" w:customStyle="1">
    <w:name w:val="正文2"/>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1124" w:customStyle="1">
    <w:name w:val="Char1 Char Char Char"/>
    <w:basedOn w:val="849"/>
    <w:uiPriority w:val="0"/>
    <w:qFormat/>
    <w:rPr>
      <w:rFonts w:ascii="Tahoma" w:hAnsi="Tahoma"/>
      <w:sz w:val="24"/>
      <w:szCs w:val="20"/>
    </w:rPr>
  </w:style>
  <w:style w:type="paragraph" w:styleId="1125" w:customStyle="1">
    <w:name w:val="Char Char Char Char Char Char Char Char Char Char"/>
    <w:basedOn w:val="849"/>
    <w:uiPriority w:val="0"/>
    <w:qFormat/>
    <w:pPr>
      <w:ind w:left="420" w:hanging="420"/>
      <w:tabs>
        <w:tab w:val="left" w:pos="420" w:leader="none"/>
      </w:tabs>
    </w:pPr>
    <w:rPr>
      <w:sz w:val="24"/>
    </w:rPr>
  </w:style>
  <w:style w:type="paragraph" w:styleId="1126" w:customStyle="1">
    <w:name w:val="Char Char Char Char"/>
    <w:basedOn w:val="911"/>
    <w:uiPriority w:val="0"/>
    <w:qFormat/>
    <w:rPr>
      <w:sz w:val="24"/>
      <w:szCs w:val="20"/>
    </w:rPr>
  </w:style>
  <w:style w:type="paragraph" w:styleId="1127" w:customStyle="1">
    <w:name w:val="纯文本3"/>
    <w:basedOn w:val="849"/>
    <w:uiPriority w:val="0"/>
    <w:qFormat/>
    <w:rPr>
      <w:rFonts w:ascii="宋体" w:hAnsi="Courier New" w:eastAsia="楷体_GB2312"/>
      <w:sz w:val="28"/>
      <w:szCs w:val="20"/>
    </w:rPr>
  </w:style>
  <w:style w:type="paragraph" w:styleId="1128" w:customStyle="1">
    <w:name w:val="正文21"/>
    <w:basedOn w:val="849"/>
    <w:uiPriority w:val="0"/>
    <w:qFormat/>
    <w:pPr>
      <w:ind w:firstLine="200"/>
      <w:jc w:val="left"/>
      <w:spacing w:after="160"/>
      <w:widowControl/>
    </w:pPr>
    <w:rPr>
      <w:rFonts w:ascii="Verdana" w:hAnsi="Verdana" w:eastAsia="黑体"/>
      <w:szCs w:val="20"/>
      <w:lang w:eastAsia="en-US"/>
    </w:rPr>
  </w:style>
  <w:style w:type="paragraph" w:styleId="1129" w:customStyle="1">
    <w:name w:val="+标题2"/>
    <w:basedOn w:val="851"/>
    <w:link w:val="1130"/>
    <w:uiPriority w:val="0"/>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130" w:customStyle="1">
    <w:name w:val="+标题2 Char Char"/>
    <w:link w:val="1129"/>
    <w:uiPriority w:val="0"/>
    <w:qFormat/>
    <w:rPr>
      <w:rFonts w:eastAsia="宋体"/>
      <w:b/>
      <w:sz w:val="24"/>
      <w:lang w:val="en-US" w:eastAsia="zh-CN" w:bidi="ar-SA"/>
    </w:rPr>
  </w:style>
  <w:style w:type="paragraph" w:styleId="1131" w:customStyle="1">
    <w:name w:val="财政-标题三"/>
    <w:basedOn w:val="849"/>
    <w:uiPriority w:val="0"/>
    <w:qFormat/>
    <w:pPr>
      <w:numPr>
        <w:ilvl w:val="2"/>
        <w:numId w:val="3"/>
      </w:numPr>
      <w:outlineLvl w:val="2"/>
    </w:pPr>
    <w:rPr>
      <w:b/>
      <w:sz w:val="32"/>
      <w:szCs w:val="21"/>
    </w:rPr>
  </w:style>
  <w:style w:type="paragraph" w:styleId="1132">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Char Char Char"/>
    <w:basedOn w:val="911"/>
    <w:uiPriority w:val="0"/>
    <w:qFormat/>
    <w:rPr>
      <w:rFonts w:ascii="Tahoma" w:hAnsi="Tahoma"/>
      <w:sz w:val="24"/>
    </w:rPr>
  </w:style>
  <w:style w:type="paragraph" w:styleId="1134" w:customStyle="1">
    <w:name w:val="+正文"/>
    <w:basedOn w:val="849"/>
    <w:link w:val="1135"/>
    <w:uiPriority w:val="0"/>
    <w:qFormat/>
    <w:pPr>
      <w:ind w:firstLine="200"/>
    </w:pPr>
    <w:rPr>
      <w:sz w:val="24"/>
    </w:rPr>
  </w:style>
  <w:style w:type="character" w:styleId="1135" w:customStyle="1">
    <w:name w:val="+正文 Char3"/>
    <w:link w:val="1134"/>
    <w:uiPriority w:val="0"/>
    <w:qFormat/>
    <w:rPr>
      <w:sz w:val="24"/>
      <w:szCs w:val="24"/>
    </w:rPr>
  </w:style>
  <w:style w:type="paragraph" w:styleId="1136" w:customStyle="1">
    <w:name w:val="图名"/>
    <w:basedOn w:val="849"/>
    <w:uiPriority w:val="0"/>
    <w:qFormat/>
    <w:pPr>
      <w:jc w:val="center"/>
    </w:pPr>
    <w:rPr>
      <w:rFonts w:ascii="宋体" w:hAnsi="宋体"/>
      <w:b/>
      <w:szCs w:val="22"/>
    </w:rPr>
  </w:style>
  <w:style w:type="paragraph" w:styleId="1137" w:customStyle="1">
    <w:name w:val="图片"/>
    <w:basedOn w:val="849"/>
    <w:uiPriority w:val="0"/>
    <w:qFormat/>
    <w:pPr>
      <w:jc w:val="center"/>
    </w:pPr>
    <w:rPr>
      <w:b/>
      <w:szCs w:val="22"/>
    </w:rPr>
  </w:style>
  <w:style w:type="paragraph" w:styleId="1138" w:customStyle="1">
    <w:name w:val="表名"/>
    <w:basedOn w:val="1139"/>
    <w:uiPriority w:val="0"/>
    <w:qFormat/>
    <w:pPr>
      <w:jc w:val="right"/>
    </w:pPr>
    <w:rPr>
      <w:b/>
    </w:rPr>
  </w:style>
  <w:style w:type="paragraph" w:styleId="1139" w:customStyle="1">
    <w:name w:val="表格"/>
    <w:basedOn w:val="849"/>
    <w:uiPriority w:val="0"/>
    <w:qFormat/>
    <w:pPr>
      <w:jc w:val="center"/>
    </w:pPr>
    <w:rPr>
      <w:szCs w:val="22"/>
    </w:rPr>
  </w:style>
  <w:style w:type="paragraph" w:styleId="1140" w:customStyle="1">
    <w:name w:val="表"/>
    <w:basedOn w:val="849"/>
    <w:uiPriority w:val="0"/>
    <w:qFormat/>
    <w:pPr>
      <w:jc w:val="center"/>
    </w:pPr>
    <w:rPr>
      <w:szCs w:val="20"/>
    </w:rPr>
  </w:style>
  <w:style w:type="paragraph" w:styleId="1141" w:customStyle="1">
    <w:name w:val="+列表1"/>
    <w:basedOn w:val="849"/>
    <w:link w:val="1142"/>
    <w:uiPriority w:val="0"/>
    <w:qFormat/>
    <w:pPr>
      <w:jc w:val="center"/>
    </w:pPr>
    <w:rPr>
      <w:sz w:val="24"/>
    </w:rPr>
  </w:style>
  <w:style w:type="character" w:styleId="1142" w:customStyle="1">
    <w:name w:val="+列表1 Char Char Char Char Char Char"/>
    <w:link w:val="1141"/>
    <w:uiPriority w:val="0"/>
    <w:qFormat/>
    <w:rPr>
      <w:rFonts w:eastAsia="宋体"/>
      <w:sz w:val="24"/>
      <w:szCs w:val="24"/>
      <w:lang w:val="en-US" w:eastAsia="zh-CN" w:bidi="ar-SA"/>
    </w:rPr>
  </w:style>
  <w:style w:type="paragraph" w:styleId="1143" w:customStyle="1">
    <w:name w:val="纯文本1"/>
    <w:basedOn w:val="849"/>
    <w:next w:val="878"/>
    <w:uiPriority w:val="0"/>
    <w:qFormat/>
    <w:rPr>
      <w:rFonts w:ascii="宋体" w:hAnsi="Courier New" w:eastAsia="楷体_GB2312"/>
      <w:sz w:val="28"/>
      <w:szCs w:val="20"/>
    </w:rPr>
  </w:style>
  <w:style w:type="paragraph" w:styleId="1144" w:customStyle="1">
    <w:name w:val="Plain Text1"/>
    <w:basedOn w:val="849"/>
    <w:uiPriority w:val="0"/>
    <w:qFormat/>
    <w:rPr>
      <w:rFonts w:ascii="宋体" w:hAnsi="Courier New" w:eastAsia="楷体_GB2312"/>
      <w:sz w:val="26"/>
      <w:szCs w:val="20"/>
    </w:rPr>
  </w:style>
  <w:style w:type="paragraph" w:styleId="1145" w:customStyle="1">
    <w:name w:val="UserStyle_7"/>
    <w:next w:val="84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46" w:customStyle="1">
    <w:name w:val="xl44"/>
    <w:basedOn w:val="849"/>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147" w:customStyle="1">
    <w:name w:val="纯文本2"/>
    <w:basedOn w:val="849"/>
    <w:uiPriority w:val="0"/>
    <w:qFormat/>
    <w:pPr>
      <w:jc w:val="left"/>
      <w:widowControl/>
    </w:pPr>
    <w:rPr>
      <w:rFonts w:ascii="宋体" w:hAnsi="Courier New" w:eastAsia="楷体_GB2312"/>
      <w:sz w:val="26"/>
      <w:szCs w:val="20"/>
    </w:rPr>
  </w:style>
  <w:style w:type="paragraph" w:styleId="1148" w:customStyle="1">
    <w:name w:val="TOC 标题11"/>
    <w:basedOn w:val="850"/>
    <w:next w:val="849"/>
    <w:uiPriority w:val="0"/>
    <w:qFormat/>
    <w:pPr>
      <w:jc w:val="left"/>
      <w:spacing w:before="480" w:after="0" w:line="276" w:lineRule="auto"/>
      <w:widowControl/>
      <w:outlineLvl w:val="9"/>
    </w:pPr>
    <w:rPr>
      <w:rFonts w:ascii="Cambria" w:hAnsi="Cambria"/>
      <w:color w:val="365f91"/>
      <w:sz w:val="28"/>
      <w:szCs w:val="28"/>
    </w:rPr>
  </w:style>
  <w:style w:type="paragraph" w:styleId="1149" w:customStyle="1">
    <w:name w:val="Char Char Char Char Char Char Char Char Char1 Char"/>
    <w:basedOn w:val="911"/>
    <w:uiPriority w:val="0"/>
    <w:qFormat/>
    <w:rPr>
      <w:rFonts w:ascii="Tahoma" w:hAnsi="Tahoma"/>
      <w:sz w:val="24"/>
    </w:rPr>
  </w:style>
  <w:style w:type="paragraph" w:styleId="1150"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51" w:customStyle="1">
    <w:name w:val="正文标准"/>
    <w:basedOn w:val="849"/>
    <w:uiPriority w:val="0"/>
    <w:qFormat/>
    <w:pPr>
      <w:ind w:firstLine="200"/>
    </w:pPr>
    <w:rPr>
      <w:rFonts w:hAnsi="宋体"/>
      <w:sz w:val="24"/>
    </w:rPr>
  </w:style>
  <w:style w:type="paragraph" w:styleId="1152" w:customStyle="1">
    <w:name w:val="纯文本4"/>
    <w:basedOn w:val="849"/>
    <w:link w:val="1153"/>
    <w:uiPriority w:val="0"/>
    <w:qFormat/>
    <w:rPr>
      <w:rFonts w:ascii="宋体" w:hAnsi="Courier New" w:eastAsia="楷体_GB2312"/>
      <w:sz w:val="28"/>
      <w:szCs w:val="20"/>
    </w:rPr>
  </w:style>
  <w:style w:type="character" w:styleId="1153" w:customStyle="1">
    <w:name w:val="Plain Text Char Char"/>
    <w:link w:val="1152"/>
    <w:uiPriority w:val="0"/>
    <w:qFormat/>
    <w:rPr>
      <w:rFonts w:ascii="宋体" w:hAnsi="Courier New" w:eastAsia="楷体_GB2312"/>
      <w:sz w:val="28"/>
      <w:lang w:val="en-US" w:eastAsia="zh-CN" w:bidi="ar-SA"/>
    </w:rPr>
  </w:style>
  <w:style w:type="paragraph" w:styleId="1154" w:customStyle="1">
    <w:name w:val="p25"/>
    <w:basedOn w:val="849"/>
    <w:uiPriority w:val="0"/>
    <w:qFormat/>
    <w:pPr>
      <w:jc w:val="left"/>
      <w:widowControl/>
    </w:pPr>
    <w:rPr>
      <w:rFonts w:ascii="黑体" w:hAnsi="黑体" w:eastAsia="黑体" w:cs="黑体"/>
      <w:sz w:val="26"/>
      <w:szCs w:val="26"/>
    </w:rPr>
  </w:style>
  <w:style w:type="paragraph" w:styleId="1155" w:customStyle="1">
    <w:name w:val="Char"/>
    <w:basedOn w:val="849"/>
    <w:uiPriority w:val="0"/>
    <w:qFormat/>
    <w:pPr>
      <w:ind w:left="420" w:hanging="420"/>
      <w:tabs>
        <w:tab w:val="left" w:pos="420" w:leader="none"/>
      </w:tabs>
    </w:pPr>
    <w:rPr>
      <w:sz w:val="24"/>
    </w:rPr>
  </w:style>
  <w:style w:type="paragraph" w:styleId="1156" w:customStyle="1">
    <w:name w:val="BodyTextIndent31"/>
    <w:basedOn w:val="849"/>
    <w:link w:val="1157"/>
    <w:uiPriority w:val="0"/>
    <w:semiHidden/>
    <w:qFormat/>
    <w:pPr>
      <w:ind w:left="420"/>
      <w:jc w:val="left"/>
      <w:spacing w:after="120"/>
      <w:widowControl/>
    </w:pPr>
    <w:rPr>
      <w:sz w:val="16"/>
      <w:szCs w:val="16"/>
    </w:rPr>
  </w:style>
  <w:style w:type="character" w:styleId="1157" w:customStyle="1">
    <w:name w:val="UserStyle_5"/>
    <w:link w:val="1156"/>
    <w:uiPriority w:val="0"/>
    <w:semiHidden/>
    <w:qFormat/>
    <w:rPr>
      <w:sz w:val="16"/>
      <w:szCs w:val="16"/>
    </w:rPr>
  </w:style>
  <w:style w:type="paragraph" w:styleId="1158" w:customStyle="1">
    <w:name w:val="列表段落1"/>
    <w:basedOn w:val="849"/>
    <w:uiPriority w:val="0"/>
    <w:qFormat/>
    <w:pPr>
      <w:ind w:firstLine="420"/>
      <w:jc w:val="left"/>
    </w:pPr>
    <w:rPr>
      <w:sz w:val="24"/>
      <w:szCs w:val="22"/>
    </w:rPr>
  </w:style>
  <w:style w:type="paragraph" w:styleId="1159" w:customStyle="1">
    <w:name w:val="+● Char Char Char"/>
    <w:basedOn w:val="849"/>
    <w:link w:val="1160"/>
    <w:uiPriority w:val="0"/>
    <w:qFormat/>
    <w:pPr>
      <w:numPr>
        <w:ilvl w:val="0"/>
        <w:numId w:val="4"/>
      </w:numPr>
      <w:ind w:firstLine="480"/>
      <w:tabs>
        <w:tab w:val="left" w:pos="958" w:leader="none"/>
      </w:tabs>
    </w:pPr>
    <w:rPr>
      <w:sz w:val="24"/>
      <w:szCs w:val="28"/>
    </w:rPr>
  </w:style>
  <w:style w:type="character" w:styleId="1160" w:customStyle="1">
    <w:name w:val="+● Char Char Char Char Char Char"/>
    <w:link w:val="1159"/>
    <w:uiPriority w:val="0"/>
    <w:qFormat/>
    <w:rPr>
      <w:rFonts w:eastAsia="宋体"/>
      <w:sz w:val="24"/>
      <w:szCs w:val="28"/>
      <w:lang w:val="en-US" w:eastAsia="zh-CN" w:bidi="ar-SA"/>
    </w:rPr>
  </w:style>
  <w:style w:type="paragraph" w:styleId="1161" w:customStyle="1">
    <w:name w:val="Char Char Char1 Char Char Char Char"/>
    <w:basedOn w:val="849"/>
    <w:uiPriority w:val="0"/>
    <w:qFormat/>
    <w:pPr>
      <w:jc w:val="left"/>
      <w:spacing w:after="160" w:line="240" w:lineRule="exact"/>
      <w:widowControl/>
    </w:pPr>
    <w:rPr>
      <w:sz w:val="24"/>
    </w:rPr>
  </w:style>
  <w:style w:type="paragraph" w:styleId="1162" w:customStyle="1">
    <w:name w:val="方案文档"/>
    <w:link w:val="1163"/>
    <w:uiPriority w:val="0"/>
    <w:qFormat/>
    <w:pPr>
      <w:ind w:firstLine="200"/>
      <w:spacing w:before="156" w:after="156" w:line="360" w:lineRule="auto"/>
    </w:pPr>
    <w:rPr>
      <w:rFonts w:hint="default" w:ascii="Times New Roman" w:hAnsi="Times New Roman" w:eastAsia="Times New Roman" w:cs="Times New Roman"/>
      <w:sz w:val="24"/>
      <w:szCs w:val="24"/>
      <w:lang w:val="en-US" w:eastAsia="zh-CN" w:bidi="ar-SA"/>
    </w:rPr>
  </w:style>
  <w:style w:type="character" w:styleId="1163" w:customStyle="1">
    <w:name w:val="方案文档 Char Char"/>
    <w:link w:val="1162"/>
    <w:uiPriority w:val="0"/>
    <w:qFormat/>
    <w:rPr>
      <w:rFonts w:eastAsia="Times New Roman"/>
      <w:sz w:val="24"/>
      <w:szCs w:val="24"/>
      <w:lang w:val="en-US" w:eastAsia="zh-CN" w:bidi="ar-SA"/>
    </w:rPr>
  </w:style>
  <w:style w:type="character" w:styleId="1164" w:customStyle="1">
    <w:name w:val="NormalCharacter1"/>
    <w:uiPriority w:val="0"/>
    <w:semiHidden/>
    <w:qFormat/>
  </w:style>
  <w:style w:type="character" w:styleId="1165" w:customStyle="1">
    <w:name w:val="Footer Char"/>
    <w:uiPriority w:val="0"/>
    <w:qFormat/>
    <w:rPr>
      <w:rFonts w:ascii="Times New Roman" w:hAnsi="Times New Roman" w:cs="Times New Roman"/>
      <w:sz w:val="18"/>
      <w:szCs w:val="18"/>
    </w:rPr>
  </w:style>
  <w:style w:type="character" w:styleId="1166" w:customStyle="1">
    <w:name w:val="纯文本 Char Char2"/>
    <w:uiPriority w:val="0"/>
    <w:qFormat/>
    <w:rPr>
      <w:rFonts w:ascii="宋体" w:hAnsi="Courier New" w:eastAsia="楷体_GB2312"/>
      <w:sz w:val="26"/>
      <w:szCs w:val="24"/>
      <w:lang w:val="en-US" w:eastAsia="zh-CN" w:bidi="ar-SA"/>
    </w:rPr>
  </w:style>
  <w:style w:type="character" w:styleId="1167" w:customStyle="1">
    <w:name w:val="首行缩进两字 Char2"/>
    <w:uiPriority w:val="0"/>
    <w:qFormat/>
    <w:rPr>
      <w:rFonts w:eastAsia="楷体_GB2312"/>
      <w:sz w:val="24"/>
      <w:lang w:val="en-US" w:eastAsia="zh-CN" w:bidi="ar-SA"/>
    </w:rPr>
  </w:style>
  <w:style w:type="character" w:styleId="1168" w:customStyle="1">
    <w:name w:val="正文缩进 字符"/>
    <w:uiPriority w:val="0"/>
    <w:qFormat/>
    <w:rPr>
      <w:rFonts w:eastAsia="楷体_GB2312"/>
      <w:sz w:val="24"/>
    </w:rPr>
  </w:style>
  <w:style w:type="character" w:styleId="1169" w:customStyle="1">
    <w:name w:val="Char Char17"/>
    <w:uiPriority w:val="0"/>
    <w:qFormat/>
    <w:rPr>
      <w:rFonts w:eastAsia="楷体_GB2312"/>
      <w:sz w:val="24"/>
      <w:lang w:val="en-US" w:eastAsia="zh-CN" w:bidi="ar-SA"/>
    </w:rPr>
  </w:style>
  <w:style w:type="character" w:styleId="1170" w:customStyle="1">
    <w:name w:val="Heading 4 Char"/>
    <w:uiPriority w:val="0"/>
    <w:qFormat/>
    <w:rPr>
      <w:rFonts w:ascii="Times New Roman" w:hAnsi="Times New Roman" w:eastAsia="宋体" w:cs="Times New Roman"/>
      <w:b/>
      <w:bCs/>
      <w:sz w:val="28"/>
      <w:szCs w:val="28"/>
    </w:rPr>
  </w:style>
  <w:style w:type="character" w:styleId="1171" w:customStyle="1">
    <w:name w:val="Header Char"/>
    <w:uiPriority w:val="0"/>
    <w:semiHidden/>
    <w:qFormat/>
    <w:rPr>
      <w:rFonts w:eastAsia="宋体" w:cs="Times New Roman"/>
      <w:sz w:val="18"/>
      <w:szCs w:val="24"/>
      <w:lang w:val="en-US" w:eastAsia="zh-CN"/>
    </w:rPr>
  </w:style>
  <w:style w:type="character" w:styleId="1172" w:customStyle="1">
    <w:name w:val="首行缩进两字 Char1"/>
    <w:uiPriority w:val="0"/>
    <w:qFormat/>
    <w:rPr>
      <w:rFonts w:eastAsia="楷体_GB2312"/>
      <w:sz w:val="24"/>
      <w:lang w:val="en-US" w:eastAsia="zh-CN" w:bidi="ar-SA"/>
    </w:rPr>
  </w:style>
  <w:style w:type="character" w:styleId="1173" w:customStyle="1">
    <w:name w:val="标题 Char1"/>
    <w:uiPriority w:val="0"/>
    <w:qFormat/>
    <w:rPr>
      <w:rFonts w:ascii="Cambria" w:hAnsi="Cambria" w:cs="Times New Roman"/>
      <w:b/>
      <w:bCs/>
      <w:sz w:val="32"/>
      <w:szCs w:val="32"/>
    </w:rPr>
  </w:style>
  <w:style w:type="character" w:styleId="1174" w:customStyle="1">
    <w:name w:val="Heading 3 Char"/>
    <w:uiPriority w:val="0"/>
    <w:qFormat/>
    <w:rPr>
      <w:rFonts w:ascii="Times New Roman" w:hAnsi="Times New Roman" w:cs="Times New Roman"/>
      <w:b/>
      <w:bCs/>
      <w:sz w:val="32"/>
      <w:szCs w:val="32"/>
    </w:rPr>
  </w:style>
  <w:style w:type="character" w:styleId="1175" w:customStyle="1">
    <w:name w:val="c lh15"/>
    <w:basedOn w:val="904"/>
    <w:uiPriority w:val="0"/>
    <w:qFormat/>
  </w:style>
  <w:style w:type="character" w:styleId="1176" w:customStyle="1">
    <w:name w:val="Heading 5 Char"/>
    <w:uiPriority w:val="0"/>
    <w:qFormat/>
    <w:rPr>
      <w:rFonts w:ascii="Times New Roman" w:hAnsi="Times New Roman" w:cs="Times New Roman"/>
      <w:b/>
      <w:bCs/>
      <w:sz w:val="28"/>
      <w:szCs w:val="28"/>
    </w:rPr>
  </w:style>
  <w:style w:type="character" w:styleId="1177" w:customStyle="1">
    <w:name w:val="font11"/>
    <w:basedOn w:val="904"/>
    <w:uiPriority w:val="0"/>
    <w:qFormat/>
    <w:rPr>
      <w:rFonts w:hint="eastAsia" w:ascii="宋体" w:hAnsi="宋体" w:eastAsia="宋体" w:cs="宋体"/>
      <w:color w:val="000000"/>
      <w:sz w:val="24"/>
      <w:szCs w:val="24"/>
      <w:u w:val="none"/>
    </w:rPr>
  </w:style>
  <w:style w:type="character" w:styleId="1178" w:customStyle="1">
    <w:name w:val="font21"/>
    <w:basedOn w:val="904"/>
    <w:uiPriority w:val="0"/>
    <w:qFormat/>
    <w:rPr>
      <w:rFonts w:hint="eastAsia" w:ascii="宋体" w:hAnsi="宋体" w:eastAsia="宋体" w:cs="宋体"/>
      <w:color w:val="000000"/>
      <w:sz w:val="24"/>
      <w:szCs w:val="24"/>
      <w:u w:val="none"/>
    </w:rPr>
  </w:style>
  <w:style w:type="paragraph" w:styleId="1179" w:customStyle="1">
    <w:name w:val="_Style 30"/>
    <w:basedOn w:val="849"/>
    <w:next w:val="1180"/>
    <w:uiPriority w:val="0"/>
    <w:qFormat/>
    <w:rPr>
      <w:rFonts w:ascii="宋体" w:hAnsi="Courier New"/>
    </w:rPr>
  </w:style>
  <w:style w:type="paragraph" w:styleId="1180" w:customStyle="1">
    <w:name w:val="纯文本12"/>
    <w:basedOn w:val="849"/>
    <w:uiPriority w:val="0"/>
    <w:qFormat/>
    <w:rPr>
      <w:rFonts w:ascii="宋体" w:hAnsi="Courier New"/>
    </w:rPr>
  </w:style>
  <w:style w:type="paragraph" w:styleId="1181" w:customStyle="1">
    <w:name w:val="Table Paragraph"/>
    <w:basedOn w:val="849"/>
    <w:uiPriority w:val="1"/>
    <w:qFormat/>
    <w:rPr>
      <w:rFonts w:ascii="宋体" w:hAnsi="宋体" w:cs="宋体"/>
      <w:lang w:val="zh-CN" w:bidi="zh-CN"/>
    </w:rPr>
  </w:style>
  <w:style w:type="paragraph" w:styleId="1182">
    <w:name w:val="List Paragraph"/>
    <w:basedOn w:val="849"/>
    <w:uiPriority w:val="1"/>
    <w:qFormat/>
    <w:pPr>
      <w:ind w:left="317" w:firstLine="480"/>
    </w:pPr>
    <w:rPr>
      <w:rFonts w:ascii="宋体" w:hAnsi="宋体" w:cs="宋体"/>
      <w:lang w:val="zh-CN" w:bidi="zh-CN"/>
    </w:rPr>
  </w:style>
  <w:style w:type="paragraph" w:styleId="1183" w:customStyle="1">
    <w:name w:val="+标题1"/>
    <w:basedOn w:val="850"/>
    <w:uiPriority w:val="0"/>
    <w:qFormat/>
    <w:pPr>
      <w:keepNext w:val="0"/>
      <w:pageBreakBefore/>
      <w:spacing w:before="240" w:after="240" w:line="240" w:lineRule="auto"/>
    </w:pPr>
    <w:rPr>
      <w:rFonts w:ascii="宋体" w:hAnsi="宋体"/>
      <w:color w:val="000000"/>
      <w:sz w:val="36"/>
    </w:rPr>
  </w:style>
  <w:style w:type="paragraph" w:styleId="1184" w:customStyle="1">
    <w:name w:val="纯文本5"/>
    <w:basedOn w:val="849"/>
    <w:uiPriority w:val="0"/>
    <w:qFormat/>
    <w:rPr>
      <w:rFonts w:ascii="宋体" w:hAnsi="Courier New" w:eastAsia="楷体_GB2312"/>
      <w:sz w:val="28"/>
      <w:szCs w:val="20"/>
    </w:rPr>
  </w:style>
  <w:style w:type="paragraph" w:styleId="1185" w:customStyle="1">
    <w:name w:val="WPSOffice手动目录 1"/>
    <w:uiPriority w:val="0"/>
    <w:qFormat/>
    <w:rPr>
      <w:rFonts w:hint="default" w:ascii="Times New Roman" w:hAnsi="Times New Roman" w:eastAsia="宋体" w:cs="Times New Roman"/>
      <w:lang w:val="en-US" w:eastAsia="zh-CN" w:bidi="ar-SA"/>
    </w:rPr>
  </w:style>
  <w:style w:type="paragraph" w:styleId="118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87" w:customStyle="1">
    <w:name w:val="纯文本51"/>
    <w:basedOn w:val="849"/>
    <w:uiPriority w:val="0"/>
    <w:qFormat/>
    <w:rPr>
      <w:rFonts w:ascii="宋体" w:hAnsi="Courier New"/>
    </w:rPr>
  </w:style>
  <w:style w:type="character" w:styleId="1188" w:customStyle="1">
    <w:name w:val="font41"/>
    <w:basedOn w:val="904"/>
    <w:uiPriority w:val="0"/>
    <w:qFormat/>
    <w:rPr>
      <w:rFonts w:hint="eastAsia" w:ascii="宋体" w:hAnsi="宋体" w:eastAsia="宋体" w:cs="宋体"/>
      <w:color w:val="000000"/>
      <w:sz w:val="21"/>
      <w:szCs w:val="21"/>
      <w:u w:val="none"/>
    </w:rPr>
  </w:style>
  <w:style w:type="paragraph" w:styleId="1189" w:customStyle="1">
    <w:name w:val="普通(网站)1"/>
    <w:basedOn w:val="849"/>
    <w:uiPriority w:val="0"/>
    <w:qFormat/>
    <w:pPr>
      <w:jc w:val="left"/>
      <w:spacing w:before="100" w:beforeAutospacing="1" w:after="100" w:afterAutospacing="1"/>
      <w:widowControl/>
    </w:pPr>
    <w:rPr>
      <w:rFonts w:ascii="宋体" w:hAnsi="宋体" w:cs="宋体"/>
      <w:sz w:val="24"/>
    </w:rPr>
  </w:style>
  <w:style w:type="paragraph" w:styleId="1190" w:customStyle="1">
    <w:name w:val="正文 A"/>
    <w:next w:val="901"/>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191" w:customStyle="1">
    <w:name w:val="正文缩进1"/>
    <w:basedOn w:val="849"/>
    <w:uiPriority w:val="0"/>
    <w:qFormat/>
    <w:pPr>
      <w:ind w:firstLine="420"/>
      <w:jc w:val="left"/>
    </w:pPr>
    <w:rPr>
      <w:sz w:val="24"/>
    </w:rPr>
  </w:style>
  <w:style w:type="character" w:styleId="1192" w:customStyle="1">
    <w:name w:val="批注引用1"/>
    <w:uiPriority w:val="0"/>
    <w:semiHidden/>
    <w:qFormat/>
    <w:rPr>
      <w:rFonts w:ascii="Times New Roman" w:hAnsi="Times New Roman" w:eastAsia="宋体" w:cs="Times New Roman"/>
      <w:sz w:val="21"/>
      <w:szCs w:val="24"/>
      <w:lang w:val="en-US" w:eastAsia="zh-CN" w:bidi="ar-SA"/>
    </w:rPr>
  </w:style>
  <w:style w:type="paragraph" w:styleId="1193" w:customStyle="1">
    <w:name w:val="正文文本1"/>
    <w:basedOn w:val="849"/>
    <w:next w:val="849"/>
    <w:uiPriority w:val="0"/>
    <w:qFormat/>
    <w:pPr>
      <w:spacing w:line="400" w:lineRule="exact"/>
    </w:pPr>
    <w:rPr>
      <w:rFonts w:ascii="楷体_GB2312"/>
      <w:sz w:val="28"/>
    </w:rPr>
  </w:style>
  <w:style w:type="character" w:styleId="1194" w:customStyle="1">
    <w:name w:val="NormalCharacter11"/>
    <w:uiPriority w:val="0"/>
    <w:qFormat/>
    <w:rPr>
      <w:rFonts w:ascii="Times New Roman" w:hAnsi="Times New Roman" w:eastAsia="宋体"/>
    </w:rPr>
  </w:style>
  <w:style w:type="paragraph" w:styleId="1195" w:customStyle="1">
    <w:name w:val="标题3"/>
    <w:basedOn w:val="1196"/>
    <w:uiPriority w:val="0"/>
    <w:qFormat/>
    <w:pPr>
      <w:contextualSpacing/>
      <w:jc w:val="center"/>
      <w:spacing w:before="100" w:after="100"/>
    </w:pPr>
    <w:rPr>
      <w:rFonts w:eastAsia="黑体" w:cs="宋体"/>
      <w:bCs/>
      <w:sz w:val="28"/>
    </w:rPr>
  </w:style>
  <w:style w:type="paragraph" w:styleId="1196" w:customStyle="1">
    <w:name w:val="标题 31"/>
    <w:basedOn w:val="849"/>
    <w:next w:val="849"/>
    <w:uiPriority w:val="0"/>
    <w:qFormat/>
    <w:pPr>
      <w:jc w:val="left"/>
      <w:keepLines/>
      <w:keepNext/>
      <w:outlineLvl w:val="2"/>
    </w:pPr>
    <w:rPr>
      <w:b/>
    </w:rPr>
  </w:style>
  <w:style w:type="paragraph" w:styleId="1197" w:customStyle="1">
    <w:name w:val="页眉1"/>
    <w:basedOn w:val="849"/>
    <w:uiPriority w:val="0"/>
    <w:qFormat/>
    <w:pPr>
      <w:tabs>
        <w:tab w:val="center" w:pos="4153" w:leader="none"/>
        <w:tab w:val="right" w:pos="8306" w:leader="none"/>
      </w:tabs>
      <w:pBdr>
        <w:bottom w:val="single" w:color="000000" w:sz="6" w:space="1"/>
      </w:pBdr>
    </w:pPr>
    <w:rPr>
      <w:sz w:val="18"/>
    </w:rPr>
  </w:style>
  <w:style w:type="paragraph" w:styleId="1198" w:customStyle="1">
    <w:name w:val="段落正文"/>
    <w:basedOn w:val="849"/>
    <w:uiPriority w:val="0"/>
    <w:qFormat/>
    <w:pPr>
      <w:ind w:firstLine="880"/>
    </w:pPr>
    <w:rPr>
      <w:szCs w:val="21"/>
    </w:rPr>
  </w:style>
  <w:style w:type="paragraph" w:styleId="1199" w:customStyle="1">
    <w:name w:val="表格正文"/>
    <w:uiPriority w:val="0"/>
    <w:qFormat/>
    <w:pPr>
      <w:spacing w:before="20" w:after="20"/>
    </w:pPr>
    <w:rPr>
      <w:rFonts w:hint="default" w:ascii="Times New Roman" w:hAnsi="Times New Roman" w:eastAsia="宋体" w:cs="Times New Roman"/>
      <w:i/>
      <w:iCs/>
      <w:color w:val="0070c0"/>
      <w:sz w:val="24"/>
      <w:szCs w:val="22"/>
      <w:lang w:val="en-US" w:eastAsia="zh-CN" w:bidi="ar-SA"/>
    </w:rPr>
  </w:style>
  <w:style w:type="paragraph" w:styleId="120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01" w:customStyle="1">
    <w:name w:val="纯文本6"/>
    <w:basedOn w:val="849"/>
    <w:uiPriority w:val="0"/>
    <w:qFormat/>
    <w:rPr>
      <w:rFonts w:ascii="宋体" w:hAnsi="Courier New" w:eastAsia="楷体_GB2312"/>
      <w:sz w:val="28"/>
      <w:szCs w:val="20"/>
    </w:rPr>
  </w:style>
  <w:style w:type="paragraph" w:styleId="1202" w:customStyle="1">
    <w:name w:val="Normal_23"/>
    <w:uiPriority w:val="0"/>
    <w:qFormat/>
    <w:rPr>
      <w:rFonts w:hint="default" w:ascii="Times New Roman" w:hAnsi="Times New Roman" w:eastAsia="Times New Roman" w:cs="Times New Roman"/>
      <w:sz w:val="24"/>
      <w:szCs w:val="24"/>
      <w:lang w:val="en-US" w:eastAsia="zh-CN" w:bidi="ar-SA"/>
    </w:rPr>
  </w:style>
  <w:style w:type="table" w:styleId="1203" w:customStyle="1">
    <w:name w:val="Table Normal"/>
    <w:uiPriority w:val="0"/>
    <w:semiHidden/>
    <w:unhideWhenUsed/>
    <w:qFormat/>
    <w:tblPr>
      <w:tblCellMar>
        <w:left w:w="0" w:type="dxa"/>
        <w:top w:w="0" w:type="dxa"/>
        <w:right w:w="0" w:type="dxa"/>
        <w:bottom w:w="0" w:type="dxa"/>
      </w:tblCellMar>
    </w:tblPr>
  </w:style>
  <w:style w:type="paragraph" w:styleId="1204" w:customStyle="1">
    <w:name w:val="Table Text"/>
    <w:basedOn w:val="849"/>
    <w:uiPriority w:val="0"/>
    <w:semiHidden/>
    <w:qFormat/>
    <w:rPr>
      <w:rFonts w:ascii="Arial" w:hAnsi="Arial" w:eastAsia="Arial" w:cs="Arial"/>
      <w:szCs w:val="21"/>
      <w:lang w:eastAsia="en-US"/>
    </w:rPr>
  </w:style>
  <w:style w:type="paragraph" w:styleId="1205" w:customStyle="1">
    <w:name w:val="列出段落1"/>
    <w:basedOn w:val="849"/>
    <w:uiPriority w:val="34"/>
    <w:qFormat/>
    <w:pPr>
      <w:ind w:firstLine="420"/>
    </w:pPr>
    <w:rPr>
      <w:rFonts w:ascii="Calibri" w:hAnsi="Calibri"/>
      <w:szCs w:val="20"/>
    </w:rPr>
  </w:style>
  <w:style w:type="paragraph" w:styleId="1206" w:customStyle="1">
    <w:name w:val="目录1"/>
    <w:basedOn w:val="849"/>
    <w:next w:val="849"/>
    <w:uiPriority w:val="0"/>
    <w:qFormat/>
    <w:pPr>
      <w:ind w:firstLine="419"/>
      <w:jc w:val="left"/>
      <w:spacing w:after="102" w:line="646" w:lineRule="atLeast"/>
      <w:widowControl/>
      <w:tabs>
        <w:tab w:val="left" w:pos="8492" w:leader="dot"/>
      </w:tabs>
    </w:pPr>
    <w:rPr>
      <w:color w:val="000000"/>
      <w:szCs w:val="20"/>
    </w:rPr>
  </w:style>
  <w:style w:type="paragraph" w:styleId="1207" w:customStyle="1">
    <w:name w:val="节标题"/>
    <w:basedOn w:val="849"/>
    <w:next w:val="849"/>
    <w:uiPriority w:val="0"/>
    <w:qFormat/>
    <w:pPr>
      <w:jc w:val="center"/>
      <w:spacing w:line="867" w:lineRule="atLeast"/>
      <w:widowControl/>
    </w:pPr>
    <w:rPr>
      <w:color w:val="000000"/>
      <w:sz w:val="28"/>
      <w:szCs w:val="20"/>
    </w:rPr>
  </w:style>
  <w:style w:type="character" w:styleId="1208" w:customStyle="1">
    <w:name w:val="font01"/>
    <w:basedOn w:val="859"/>
    <w:uiPriority w:val="0"/>
    <w:qFormat/>
    <w:rPr>
      <w:rFonts w:hint="eastAsia" w:ascii="宋体" w:hAnsi="宋体" w:eastAsia="宋体" w:cs="宋体"/>
      <w:color w:val="000000"/>
      <w:sz w:val="22"/>
      <w:szCs w:val="22"/>
      <w:u w:val="none"/>
    </w:rPr>
  </w:style>
  <w:style w:type="character" w:styleId="1209" w:customStyle="1">
    <w:name w:val="font31"/>
    <w:basedOn w:val="859"/>
    <w:uiPriority w:val="0"/>
    <w:qFormat/>
    <w:rPr>
      <w:rFonts w:ascii="Times New Roman" w:hAnsi="Times New Roman" w:cs="Times New Roman"/>
      <w:b/>
      <w:bCs/>
      <w:color w:val="000000"/>
      <w:sz w:val="21"/>
      <w:szCs w:val="21"/>
      <w:u w:val="none"/>
    </w:rPr>
  </w:style>
  <w:style w:type="character" w:styleId="1210" w:customStyle="1">
    <w:name w:val="纯文本 Char"/>
    <w:basedOn w:val="859"/>
    <w:link w:val="870"/>
    <w:uiPriority w:val="0"/>
    <w:qFormat/>
    <w:rPr>
      <w:rFonts w:ascii="宋体" w:hAnsi="Courier New" w:eastAsia="楷体_GB2312" w:cs="宋体"/>
      <w:sz w:val="28"/>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秋裤小王子๛ก(</dc:creator>
  <cp:lastModifiedBy>朱雪芬</cp:lastModifiedBy>
  <cp:revision>23</cp:revision>
  <dcterms:created xsi:type="dcterms:W3CDTF">2025-09-10T04:58:00Z</dcterms:created>
  <dcterms:modified xsi:type="dcterms:W3CDTF">2026-09-23T01:28:16Z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A7B017DBCF0245318A213CFEBF16EFDE_13</vt:lpwstr>
  </property>
  <property fmtid="{D5CDD505-2E9C-101B-9397-08002B2CF9AE}" pid="4" name="KSOTemplateDocerSaveRecord">
    <vt:lpwstr>eyJoZGlkIjoiNGU4YWMwMWM2MDc4MGY3YzFkYWZkZjkzOGMzMTA5NjQiLCJ1c2VySWQiOiI0OTY3NDE1NjEifQ==</vt:lpwstr>
  </property>
</Properties>
</file>