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2"/>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869"/>
        <w:ind w:firstLine="1606"/>
        <w:rPr>
          <w:rFonts w:hint="eastAsia" w:ascii="Arial" w:hAnsi="Arial" w:cs="Times New Roman"/>
          <w:b/>
          <w:bCs/>
          <w:sz w:val="32"/>
          <w:szCs w:val="24"/>
          <w:highlight w:val="none"/>
          <w:u w:val="single"/>
          <w:lang w:val="en-US" w:eastAsia="zh-CN"/>
        </w:rPr>
      </w:pPr>
      <w:r>
        <w:rPr>
          <w:rFonts w:hint="eastAsia" w:ascii="Arial" w:hAnsi="Arial" w:eastAsia="宋体" w:cs="Times New Roman"/>
          <w:b/>
          <w:bCs/>
          <w:sz w:val="32"/>
          <w:szCs w:val="24"/>
          <w:highlight w:val="none"/>
          <w:lang w:eastAsia="zh-CN"/>
        </w:rPr>
        <w:t xml:space="preserve">项目名称：</w:t>
      </w:r>
      <w:r>
        <w:rPr>
          <w:rFonts w:hint="eastAsia" w:ascii="Arial" w:hAnsi="Arial" w:eastAsia="宋体" w:cs="Times New Roman"/>
          <w:b/>
          <w:bCs/>
          <w:sz w:val="32"/>
          <w:szCs w:val="24"/>
          <w:highlight w:val="none"/>
          <w:lang w:eastAsia="zh-CN"/>
        </w:rPr>
        <w:t xml:space="preserve">北京东路63号人才大厦档案运送货梯更换</w:t>
      </w:r>
      <w:r>
        <w:rPr>
          <w:rFonts w:hint="eastAsia" w:ascii="Times New Roman" w:hAnsi="Times New Roman" w:eastAsia="宋体" w:cs="Times New Roman"/>
          <w:b/>
          <w:bCs w:val="0"/>
          <w:color w:val="0000ff"/>
          <w:sz w:val="32"/>
          <w:szCs w:val="32"/>
          <w:highlight w:val="none"/>
          <w:u w:val="none"/>
          <w:lang w:val="en-US" w:eastAsia="zh-CN"/>
        </w:rPr>
        <w:t xml:space="preserve"> </w:t>
      </w:r>
      <w:r>
        <w:rPr>
          <w:rFonts w:hint="eastAsia" w:ascii="Arial" w:hAnsi="Arial" w:cs="Times New Roman"/>
          <w:b/>
          <w:bCs/>
          <w:sz w:val="32"/>
          <w:szCs w:val="24"/>
          <w:highlight w:val="none"/>
          <w:u w:val="single"/>
          <w:lang w:val="en-US" w:eastAsia="zh-CN"/>
        </w:rPr>
      </w:r>
      <w:r/>
    </w:p>
    <w:p>
      <w:pPr>
        <w:pStyle w:val="869"/>
        <w:ind w:firstLine="1606"/>
        <w:jc w:val="left"/>
        <w:spacing w:before="120" w:after="120" w:line="360" w:lineRule="auto"/>
        <w:rPr>
          <w:color w:val="000000"/>
          <w:highlight w:val="none"/>
          <w:lang w:val="en-US"/>
        </w:rPr>
      </w:pPr>
      <w:r>
        <w:rPr>
          <w:rFonts w:hint="eastAsia" w:ascii="Arial" w:hAnsi="Arial" w:eastAsia="宋体" w:cs="Times New Roman"/>
          <w:b/>
          <w:bCs/>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JSZC-320100-JZCG-T2026-0405</w:t>
      </w:r>
      <w:r>
        <w:rPr>
          <w:color w:val="000000"/>
          <w:highlight w:val="none"/>
          <w:lang w:val="en-US"/>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rPr>
          <w:rFonts w:hint="eastAsia"/>
        </w:rPr>
      </w:pPr>
      <w:r>
        <w:rPr>
          <w:rFonts w:hint="eastAsia"/>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2"/>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9"/>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9"/>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9"/>
        <w:jc w:val="center"/>
        <w:spacing w:line="480" w:lineRule="auto"/>
        <w:rPr>
          <w:rFonts w:ascii="Times New Roman" w:hAnsi="Times New Roman"/>
          <w:szCs w:val="21"/>
          <w:highlight w:val="none"/>
        </w:rPr>
        <w:outlineLvl w:val="0"/>
      </w:pPr>
      <w:r>
        <w:rPr>
          <w:rFonts w:ascii="Times New Roman" w:hAnsi="Times New Roman"/>
          <w:szCs w:val="21"/>
          <w:highlight w:val="none"/>
        </w:rPr>
      </w:r>
      <w:r/>
    </w:p>
    <w:p>
      <w:pPr>
        <w:pStyle w:val="869"/>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869"/>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lang w:eastAsia="zh-CN"/>
        </w:rPr>
      </w:r>
      <w:r/>
    </w:p>
    <w:p>
      <w:pPr>
        <w:pStyle w:val="869"/>
        <w:keepLines w:val="0"/>
        <w:keepNext w:val="0"/>
        <w:pageBreakBefore w:val="0"/>
        <w:spacing w:line="480"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8985263"/>
      <w:r/>
      <w:bookmarkStart w:id="8" w:name="_Toc28359079"/>
      <w:r/>
      <w:bookmarkStart w:id="9" w:name="_Toc35393621"/>
      <w:r/>
      <w:bookmarkStart w:id="10" w:name="_Toc35393790"/>
      <w:r/>
      <w:bookmarkStart w:id="11" w:name="_Hlk24379207"/>
      <w:r/>
      <w:bookmarkStart w:id="12" w:name="_Toc28359080"/>
      <w:r/>
      <w:bookmarkStart w:id="13" w:name="_Toc38985264"/>
      <w:r/>
      <w:bookmarkStart w:id="14" w:name="_Toc35393791"/>
      <w:r/>
      <w:bookmarkStart w:id="15" w:name="_Toc35393622"/>
      <w:r/>
      <w:bookmarkStart w:id="16" w:name="_Toc28359003"/>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olor w:val="000000"/>
          <w:sz w:val="24"/>
          <w:szCs w:val="24"/>
          <w:highlight w:val="none"/>
          <w:lang w:val="en-US"/>
        </w:rPr>
      </w:pPr>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-JZCG-T20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0405</w:t>
      </w:r>
      <w:r>
        <w:rPr>
          <w:rFonts w:ascii="宋体" w:hAnsi="宋体"/>
          <w:color w:val="000000"/>
          <w:sz w:val="24"/>
          <w:szCs w:val="24"/>
          <w:highlight w:val="none"/>
          <w:lang w:val="en-US"/>
        </w:rPr>
      </w:r>
      <w:r/>
    </w:p>
    <w:p>
      <w:pPr>
        <w:pStyle w:val="869"/>
        <w:ind w:firstLine="48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rPr>
        <w:t xml:space="preserve">北京东路63号人才大厦档案运送货梯更换</w:t>
      </w:r>
      <w:r>
        <w:rPr>
          <w:rFonts w:hint="eastAsia" w:ascii="宋体" w:hAnsi="宋体" w:eastAsia="宋体" w:cs="Times New Roman"/>
          <w:sz w:val="24"/>
          <w:szCs w:val="24"/>
          <w:highlight w:val="none"/>
          <w:lang w:eastAsia="zh-CN"/>
        </w:rPr>
      </w:r>
      <w:r/>
    </w:p>
    <w:p>
      <w:pPr>
        <w:pStyle w:val="869"/>
        <w:ind w:firstLine="480"/>
        <w:pageBreakBefore w:val="0"/>
        <w:spacing w:line="240" w:lineRule="auto"/>
        <w:widowControl w:val="off"/>
        <w:rPr>
          <w:rFonts w:ascii="宋体" w:hAnsi="宋体" w:eastAsia="宋体" w:cs="Times New Roman"/>
          <w:sz w:val="24"/>
          <w:szCs w:val="24"/>
          <w:highlight w:val="none"/>
          <w:lang w:val="en-US" w:eastAsia="zh-CN"/>
        </w:rPr>
      </w:pPr>
      <w:r/>
      <w:bookmarkEnd w:id="11"/>
      <w:r>
        <w:rPr>
          <w:rFonts w:hint="eastAsia" w:ascii="宋体" w:hAnsi="宋体" w:eastAsia="宋体" w:cs="Times New Roman"/>
          <w:sz w:val="24"/>
          <w:szCs w:val="24"/>
          <w:highlight w:val="none"/>
        </w:rPr>
        <w:t xml:space="preserve">3.预算金额：</w:t>
      </w:r>
      <w:r>
        <w:rPr>
          <w:rFonts w:hint="eastAsia" w:ascii="宋体" w:hAnsi="宋体" w:eastAsia="宋体" w:cs="Times New Roman"/>
          <w:sz w:val="24"/>
          <w:szCs w:val="24"/>
          <w:highlight w:val="none"/>
          <w:lang w:val="en-US" w:eastAsia="zh-CN"/>
        </w:rPr>
        <w:t xml:space="preserve">5万元</w:t>
      </w:r>
      <w:r>
        <w:rPr>
          <w:rFonts w:ascii="宋体" w:hAnsi="宋体" w:eastAsia="宋体" w:cs="Times New Roman"/>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4.</w:t>
      </w:r>
      <w:r>
        <w:rPr>
          <w:rFonts w:hint="eastAsia" w:ascii="宋体" w:hAnsi="宋体" w:eastAsia="宋体" w:cs="Times New Roman"/>
          <w:sz w:val="24"/>
          <w:szCs w:val="24"/>
          <w:highlight w:val="none"/>
          <w:lang w:val="en-US" w:eastAsia="zh-CN"/>
        </w:rPr>
        <w:t xml:space="preserve">最高限价：</w:t>
      </w:r>
      <w:r>
        <w:rPr>
          <w:rFonts w:hint="eastAsia" w:ascii="宋体" w:hAnsi="宋体" w:eastAsia="宋体" w:cs="Times New Roman"/>
          <w:sz w:val="24"/>
          <w:szCs w:val="24"/>
          <w:highlight w:val="none"/>
          <w:lang w:val="en-US" w:eastAsia="zh-CN"/>
        </w:rPr>
        <w:t xml:space="preserve">5万元</w:t>
      </w:r>
      <w:r>
        <w:rPr>
          <w:rFonts w:hint="eastAsia" w:ascii="宋体" w:hAnsi="宋体" w:eastAsia="宋体" w:cs="Times New Roman"/>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rPr>
          <w:rFonts w:hint="eastAsia" w:ascii="宋体" w:hAnsi="宋体"/>
          <w:sz w:val="24"/>
          <w:szCs w:val="24"/>
          <w:highlight w:val="none"/>
        </w:rPr>
        <w:t xml:space="preserve">5.采购需求（简介）：</w:t>
      </w:r>
      <w:r>
        <w:rPr>
          <w:rFonts w:hint="eastAsia" w:ascii="宋体" w:hAnsi="宋体" w:eastAsia="宋体" w:cs="Times New Roman"/>
          <w:sz w:val="24"/>
          <w:szCs w:val="24"/>
          <w:highlight w:val="none"/>
        </w:rPr>
        <w:t xml:space="preserve">采购</w:t>
      </w:r>
      <w:r>
        <w:rPr>
          <w:rFonts w:hint="eastAsia" w:ascii="宋体" w:hAnsi="宋体" w:eastAsia="宋体" w:cs="Times New Roman"/>
          <w:sz w:val="24"/>
          <w:szCs w:val="24"/>
          <w:highlight w:val="none"/>
          <w:lang w:val="en-US" w:eastAsia="zh-CN"/>
        </w:rPr>
        <w:t xml:space="preserve">杂物</w:t>
      </w:r>
      <w:r>
        <w:rPr>
          <w:rFonts w:hint="eastAsia" w:ascii="宋体" w:hAnsi="宋体" w:eastAsia="宋体" w:cs="Times New Roman"/>
          <w:sz w:val="24"/>
          <w:szCs w:val="24"/>
          <w:highlight w:val="none"/>
        </w:rPr>
        <w:t xml:space="preserve">电梯一部，含设备、旧电梯拆除、新电梯安装、井道钢结构、调试、运输</w:t>
      </w:r>
      <w:r>
        <w:rPr>
          <w:rFonts w:hint="eastAsia" w:ascii="宋体" w:hAnsi="宋体" w:eastAsia="宋体" w:cs="Times New Roman"/>
          <w:sz w:val="24"/>
          <w:szCs w:val="24"/>
          <w:highlight w:val="none"/>
          <w:lang w:val="en-US" w:eastAsia="zh-CN"/>
        </w:rPr>
        <w:t xml:space="preserve">及四年</w:t>
      </w:r>
      <w:r>
        <w:rPr>
          <w:rFonts w:hint="eastAsia" w:ascii="宋体" w:hAnsi="宋体" w:eastAsia="宋体" w:cs="Times New Roman"/>
          <w:sz w:val="24"/>
          <w:szCs w:val="24"/>
          <w:highlight w:val="none"/>
        </w:rPr>
        <w:t xml:space="preserve">质保</w:t>
      </w:r>
      <w:r>
        <w:rPr>
          <w:rFonts w:hint="eastAsia" w:ascii="宋体" w:hAnsi="宋体" w:eastAsia="宋体" w:cs="Times New Roman"/>
          <w:sz w:val="24"/>
          <w:szCs w:val="24"/>
          <w:highlight w:val="none"/>
          <w:lang w:val="en-US" w:eastAsia="zh-CN"/>
        </w:rPr>
        <w:t xml:space="preserve">服务。</w:t>
      </w:r>
      <w:r>
        <w:rPr>
          <w:rFonts w:hint="eastAsia" w:ascii="宋体" w:hAnsi="宋体" w:eastAsia="宋体" w:cs="Times New Roman"/>
          <w:sz w:val="24"/>
          <w:szCs w:val="24"/>
          <w:highlight w:val="none"/>
        </w:rPr>
        <w:t xml:space="preserve">（详细内容见本</w:t>
      </w:r>
      <w:r>
        <w:rPr>
          <w:rFonts w:hint="eastAsia" w:ascii="宋体" w:hAnsi="宋体" w:eastAsia="宋体" w:cs="Times New Roman"/>
          <w:sz w:val="24"/>
          <w:szCs w:val="24"/>
          <w:highlight w:val="none"/>
          <w:lang w:eastAsia="zh-CN"/>
        </w:rPr>
        <w:t xml:space="preserve">谈判</w:t>
      </w:r>
      <w:r>
        <w:rPr>
          <w:rFonts w:hint="eastAsia" w:ascii="宋体" w:hAnsi="宋体" w:eastAsia="宋体" w:cs="Times New Roman"/>
          <w:sz w:val="24"/>
          <w:szCs w:val="24"/>
          <w:highlight w:val="none"/>
        </w:rPr>
        <w:t xml:space="preserve">文件第四章） </w:t>
      </w:r>
      <w:r>
        <w:rPr>
          <w:rFonts w:hint="eastAsia" w:ascii="宋体" w:hAnsi="宋体" w:eastAsia="宋体" w:cs="Times New Roman"/>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sz w:val="24"/>
          <w:szCs w:val="24"/>
          <w:highlight w:val="none"/>
        </w:rPr>
        <w:t xml:space="preserve">6.合同履行期限</w:t>
      </w:r>
      <w:r>
        <w:rPr>
          <w:rFonts w:hint="eastAsia" w:ascii="宋体" w:hAnsi="宋体"/>
          <w:color w:val="000000"/>
          <w:sz w:val="24"/>
          <w:szCs w:val="24"/>
          <w:highlight w:val="none"/>
        </w:rPr>
        <w:t xml:space="preserve">：</w:t>
      </w:r>
      <w:r>
        <w:rPr>
          <w:rFonts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9"/>
        <w:ind w:firstLine="482"/>
        <w:spacing w:line="252"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9.本项目不允许分包。</w:t>
      </w:r>
      <w:r>
        <w:rPr>
          <w:rFonts w:hint="eastAsia" w:ascii="宋体" w:hAnsi="宋体" w:eastAsia="宋体" w:cs="宋体"/>
          <w:b/>
          <w:bCs/>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35393792"/>
      <w:r/>
      <w:bookmarkStart w:id="18" w:name="_Toc35393623"/>
      <w:r/>
      <w:bookmarkStart w:id="19" w:name="_Toc38985265"/>
      <w:r/>
      <w:bookmarkStart w:id="20" w:name="_Toc28359004"/>
      <w:r/>
      <w:bookmarkStart w:id="21" w:name="_Toc28359081"/>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69"/>
        <w:ind w:firstLine="480"/>
        <w:spacing w:line="252"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（1）供应商如为</w:t>
      </w:r>
      <w:r>
        <w:rPr>
          <w:rFonts w:hint="eastAsia" w:ascii="宋体" w:hAnsi="宋体" w:eastAsia="宋体" w:cs="Times New Roman"/>
          <w:color w:val="000000"/>
          <w:sz w:val="24"/>
          <w:szCs w:val="24"/>
          <w:highlight w:val="none"/>
          <w:lang w:val="en-US" w:eastAsia="zh-CN"/>
        </w:rPr>
        <w:t xml:space="preserve">电梯</w:t>
      </w:r>
      <w:r>
        <w:rPr>
          <w:rFonts w:hint="eastAsia" w:ascii="宋体" w:hAnsi="宋体" w:eastAsia="宋体" w:cs="Times New Roman"/>
          <w:color w:val="000000"/>
          <w:sz w:val="24"/>
          <w:szCs w:val="24"/>
          <w:highlight w:val="none"/>
          <w:lang w:val="zh-CN"/>
        </w:rPr>
        <w:t xml:space="preserve">制造商，须具有有效的《中华人民共和国特种设备生产许可证》许可项目电梯制造（含安装、修理、改造；许可子项目</w:t>
      </w:r>
      <w:r>
        <w:rPr>
          <w:rFonts w:hint="eastAsia" w:ascii="宋体" w:hAnsi="宋体" w:eastAsia="宋体" w:cs="Times New Roman"/>
          <w:color w:val="000000"/>
          <w:sz w:val="24"/>
          <w:szCs w:val="24"/>
          <w:highlight w:val="none"/>
          <w:lang w:val="en-US" w:eastAsia="zh-CN"/>
        </w:rPr>
        <w:t xml:space="preserve">杂物电梯</w:t>
      </w:r>
      <w:r>
        <w:rPr>
          <w:rFonts w:hint="eastAsia" w:ascii="宋体" w:hAnsi="宋体" w:eastAsia="宋体" w:cs="Times New Roman"/>
          <w:color w:val="000000"/>
          <w:sz w:val="24"/>
          <w:szCs w:val="24"/>
          <w:highlight w:val="none"/>
          <w:lang w:val="zh-CN"/>
        </w:rPr>
        <w:t xml:space="preserve">）（提供证书或证明文件扫描件）；</w:t>
      </w:r>
      <w:r>
        <w:rPr>
          <w:rFonts w:hint="eastAsia" w:ascii="宋体" w:hAnsi="宋体" w:eastAsia="宋体" w:cs="Times New Roman"/>
          <w:color w:val="000000"/>
          <w:sz w:val="24"/>
          <w:szCs w:val="24"/>
          <w:highlight w:val="none"/>
          <w:lang w:val="zh-CN"/>
        </w:rPr>
      </w:r>
      <w:r/>
    </w:p>
    <w:p>
      <w:pPr>
        <w:pStyle w:val="869"/>
        <w:ind w:firstLine="480"/>
        <w:spacing w:line="252"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（2）供应商如为</w:t>
      </w:r>
      <w:r>
        <w:rPr>
          <w:rFonts w:hint="eastAsia" w:ascii="宋体" w:hAnsi="宋体" w:eastAsia="宋体" w:cs="Times New Roman"/>
          <w:color w:val="000000"/>
          <w:sz w:val="24"/>
          <w:szCs w:val="24"/>
          <w:highlight w:val="none"/>
          <w:lang w:val="en-US" w:eastAsia="zh-CN"/>
        </w:rPr>
        <w:t xml:space="preserve">经销商或</w:t>
      </w:r>
      <w:r>
        <w:rPr>
          <w:rFonts w:hint="eastAsia" w:ascii="宋体" w:hAnsi="宋体" w:eastAsia="宋体" w:cs="Times New Roman"/>
          <w:color w:val="000000"/>
          <w:sz w:val="24"/>
          <w:szCs w:val="24"/>
          <w:highlight w:val="none"/>
          <w:lang w:val="zh-CN"/>
        </w:rPr>
        <w:t xml:space="preserve">代理商，须具有有效的《中华人民共和国特种设备生产许可证》许可项目电梯安装（含修理；许可子项目</w:t>
      </w:r>
      <w:r>
        <w:rPr>
          <w:rFonts w:hint="eastAsia" w:ascii="宋体" w:hAnsi="宋体" w:eastAsia="宋体" w:cs="Times New Roman"/>
          <w:color w:val="000000"/>
          <w:sz w:val="24"/>
          <w:szCs w:val="24"/>
          <w:highlight w:val="none"/>
          <w:lang w:val="en-US" w:eastAsia="zh-CN"/>
        </w:rPr>
        <w:t xml:space="preserve">杂物电梯</w:t>
      </w:r>
      <w:r>
        <w:rPr>
          <w:rFonts w:hint="eastAsia" w:ascii="宋体" w:hAnsi="宋体" w:eastAsia="宋体" w:cs="Times New Roman"/>
          <w:color w:val="000000"/>
          <w:sz w:val="24"/>
          <w:szCs w:val="24"/>
          <w:highlight w:val="none"/>
          <w:lang w:val="zh-CN"/>
        </w:rPr>
        <w:t xml:space="preserve">）；其</w:t>
      </w:r>
      <w:r>
        <w:rPr>
          <w:rFonts w:hint="eastAsia" w:ascii="宋体" w:hAnsi="宋体" w:eastAsia="宋体" w:cs="Times New Roman"/>
          <w:color w:val="000000"/>
          <w:sz w:val="24"/>
          <w:szCs w:val="24"/>
          <w:highlight w:val="none"/>
          <w:lang w:val="en-US" w:eastAsia="zh-CN"/>
        </w:rPr>
        <w:t xml:space="preserve">经销或</w:t>
      </w:r>
      <w:r>
        <w:rPr>
          <w:rFonts w:hint="eastAsia" w:ascii="宋体" w:hAnsi="宋体" w:eastAsia="宋体" w:cs="Times New Roman"/>
          <w:color w:val="000000"/>
          <w:sz w:val="24"/>
          <w:szCs w:val="24"/>
          <w:highlight w:val="none"/>
          <w:lang w:val="zh-CN"/>
        </w:rPr>
        <w:t xml:space="preserve">代理的电梯制造商应具有有效的《中华人民共和国特种设备生产许可证》许可项目电梯制造（含安装、修理、改造；许可子项目</w:t>
      </w:r>
      <w:r>
        <w:rPr>
          <w:rFonts w:hint="eastAsia" w:ascii="宋体" w:hAnsi="宋体" w:eastAsia="宋体" w:cs="Times New Roman"/>
          <w:color w:val="000000"/>
          <w:sz w:val="24"/>
          <w:szCs w:val="24"/>
          <w:highlight w:val="none"/>
          <w:lang w:val="en-US" w:eastAsia="zh-CN"/>
        </w:rPr>
        <w:t xml:space="preserve">杂物电梯</w:t>
      </w:r>
      <w:r>
        <w:rPr>
          <w:rFonts w:hint="eastAsia" w:ascii="宋体" w:hAnsi="宋体" w:eastAsia="宋体" w:cs="Times New Roman"/>
          <w:color w:val="000000"/>
          <w:sz w:val="24"/>
          <w:szCs w:val="24"/>
          <w:highlight w:val="none"/>
          <w:lang w:val="zh-CN"/>
        </w:rPr>
        <w:t xml:space="preserve">）（提供证书或证明文件扫描件）。</w:t>
      </w:r>
      <w:r>
        <w:rPr>
          <w:rFonts w:hint="eastAsia" w:ascii="宋体" w:hAnsi="宋体" w:eastAsia="宋体" w:cs="Times New Roman"/>
          <w:color w:val="000000"/>
          <w:sz w:val="24"/>
          <w:szCs w:val="24"/>
          <w:highlight w:val="none"/>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bookmarkStart w:id="22" w:name="_Toc38985266"/>
      <w:r/>
      <w:bookmarkStart w:id="23" w:name="_Toc28359005"/>
      <w:r/>
      <w:bookmarkStart w:id="24" w:name="_Toc35393624"/>
      <w:r/>
      <w:bookmarkStart w:id="25" w:name="_Toc35393793"/>
      <w:r/>
      <w:bookmarkStart w:id="26" w:name="_Toc28359082"/>
      <w:r>
        <w:rPr>
          <w:rFonts w:hint="eastAsia" w:ascii="宋体" w:hAnsi="宋体" w:eastAsia="宋体" w:cs="Times New Roman"/>
          <w:sz w:val="24"/>
          <w:szCs w:val="24"/>
          <w:highlight w:val="none"/>
        </w:rPr>
        <w:t xml:space="preserve">1.时间：自谈判文件公告发布之日起。</w:t>
      </w:r>
      <w:r>
        <w:rPr>
          <w:rFonts w:hint="eastAsia" w:ascii="宋体" w:hAnsi="宋体" w:eastAsia="宋体" w:cs="Times New Roman"/>
          <w:sz w:val="24"/>
          <w:szCs w:val="24"/>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2.方式：在“江苏政府采购网”免费下载。</w:t>
      </w:r>
      <w:r>
        <w:rPr>
          <w:rFonts w:hint="eastAsia" w:ascii="宋体" w:hAnsi="宋体" w:eastAsia="宋体" w:cs="Times New Roman"/>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3"/>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2"/>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69"/>
        <w:ind w:firstLine="480"/>
        <w:spacing w:line="240" w:lineRule="auto"/>
        <w:rPr>
          <w:rFonts w:hint="eastAsia" w:ascii="宋体" w:hAnsi="宋体" w:eastAsia="宋体" w:cs="Times New Roman"/>
          <w:b w:val="0"/>
          <w:bCs w:val="0"/>
          <w:sz w:val="24"/>
          <w:szCs w:val="24"/>
          <w:highlight w:val="none"/>
          <w:lang w:eastAsia="zh-CN"/>
        </w:rPr>
        <w:outlineLvl w:val="9"/>
      </w:pPr>
      <w:r/>
      <w:bookmarkStart w:id="27" w:name="_Toc35393794"/>
      <w:r/>
      <w:bookmarkStart w:id="28" w:name="_Toc28359007"/>
      <w:r/>
      <w:bookmarkStart w:id="29" w:name="_Toc38985267"/>
      <w:r/>
      <w:bookmarkStart w:id="30" w:name="_Toc28359084"/>
      <w:r/>
      <w:bookmarkStart w:id="31" w:name="_Toc35393625"/>
      <w:r>
        <w:rPr>
          <w:rFonts w:hint="eastAsia" w:ascii="宋体" w:hAnsi="宋体" w:eastAsia="宋体" w:cs="Times New Roman"/>
          <w:b w:val="0"/>
          <w:bCs w:val="0"/>
          <w:color w:val="000000" w:themeColor="text1"/>
          <w:sz w:val="24"/>
          <w:szCs w:val="24"/>
          <w:highlight w:val="none"/>
          <w:u w:val="none"/>
          <w:lang w:val="en-US" w:eastAsia="zh-CN"/>
        </w:rPr>
        <w:t xml:space="preserve">20</w:t>
      </w:r>
      <w:r>
        <w:rPr>
          <w:rFonts w:hint="eastAsia" w:ascii="宋体" w:hAnsi="宋体" w:eastAsia="宋体" w:cs="Times New Roman"/>
          <w:b w:val="0"/>
          <w:bCs w:val="0"/>
          <w:color w:val="000000" w:themeColor="text1"/>
          <w:sz w:val="24"/>
          <w:szCs w:val="24"/>
          <w:highlight w:val="none"/>
          <w:u w:val="none"/>
          <w:lang w:val="en-US" w:eastAsia="zh-CN"/>
        </w:rPr>
        <w:t xml:space="preserve">26</w:t>
      </w:r>
      <w:r>
        <w:rPr>
          <w:rFonts w:hint="eastAsia" w:ascii="宋体" w:hAnsi="宋体" w:eastAsia="宋体" w:cs="Times New Roman"/>
          <w:b w:val="0"/>
          <w:bCs w:val="0"/>
          <w:color w:val="000000" w:themeColor="text1"/>
          <w:sz w:val="24"/>
          <w:szCs w:val="24"/>
          <w:highlight w:val="none"/>
          <w:u w:val="none"/>
        </w:rPr>
        <w:t xml:space="preserve">年</w:t>
      </w:r>
      <w:r>
        <w:rPr>
          <w:rFonts w:hint="eastAsia" w:ascii="宋体" w:hAnsi="宋体" w:eastAsia="宋体" w:cs="Times New Roman"/>
          <w:b w:val="0"/>
          <w:bCs w:val="0"/>
          <w:color w:val="000000" w:themeColor="text1"/>
          <w:sz w:val="24"/>
          <w:szCs w:val="24"/>
          <w:highlight w:val="none"/>
          <w:u w:val="none"/>
          <w:lang w:val="en-US" w:eastAsia="zh-CN"/>
        </w:rPr>
        <w:t xml:space="preserve">10</w:t>
      </w:r>
      <w:r>
        <w:rPr>
          <w:rFonts w:hint="eastAsia" w:ascii="宋体" w:hAnsi="宋体" w:eastAsia="宋体" w:cs="Times New Roman"/>
          <w:b w:val="0"/>
          <w:bCs w:val="0"/>
          <w:color w:val="000000" w:themeColor="text1"/>
          <w:sz w:val="24"/>
          <w:szCs w:val="24"/>
          <w:highlight w:val="none"/>
          <w:u w:val="none"/>
        </w:rPr>
        <w:t xml:space="preserve">月28</w:t>
      </w:r>
      <w:r>
        <w:rPr>
          <w:rFonts w:hint="eastAsia" w:ascii="宋体" w:hAnsi="宋体" w:eastAsia="宋体" w:cs="Times New Roman"/>
          <w:b w:val="0"/>
          <w:bCs w:val="0"/>
          <w:color w:val="000000" w:themeColor="text1"/>
          <w:sz w:val="24"/>
          <w:szCs w:val="24"/>
          <w:highlight w:val="none"/>
          <w:u w:val="none"/>
        </w:rPr>
        <w:t xml:space="preserve">日9</w:t>
      </w:r>
      <w:r>
        <w:rPr>
          <w:rFonts w:hint="eastAsia" w:ascii="宋体" w:hAnsi="宋体" w:eastAsia="宋体" w:cs="Times New Roman"/>
          <w:b w:val="0"/>
          <w:bCs w:val="0"/>
          <w:color w:val="000000" w:themeColor="text1"/>
          <w:sz w:val="24"/>
          <w:szCs w:val="24"/>
          <w:highlight w:val="none"/>
          <w:u w:val="none"/>
          <w:lang w:val="en-US" w:eastAsia="zh-CN"/>
        </w:rPr>
        <w:t xml:space="preserve">时</w:t>
      </w:r>
      <w:r>
        <w:rPr>
          <w:rFonts w:hint="eastAsia" w:ascii="宋体" w:hAnsi="宋体" w:eastAsia="宋体" w:cs="Times New Roman"/>
          <w:b w:val="0"/>
          <w:bCs w:val="0"/>
          <w:color w:val="000000" w:themeColor="text1"/>
          <w:sz w:val="24"/>
          <w:szCs w:val="24"/>
          <w:highlight w:val="none"/>
          <w:u w:val="none"/>
          <w:lang w:val="en-US" w:eastAsia="zh-CN"/>
        </w:rPr>
        <w:t xml:space="preserve">30</w:t>
      </w:r>
      <w:r>
        <w:rPr>
          <w:rFonts w:hint="eastAsia" w:ascii="宋体" w:hAnsi="宋体" w:eastAsia="宋体" w:cs="Times New Roman"/>
          <w:b w:val="0"/>
          <w:bCs w:val="0"/>
          <w:color w:val="000000" w:themeColor="text1"/>
          <w:sz w:val="24"/>
          <w:szCs w:val="24"/>
          <w:highlight w:val="none"/>
          <w:u w:val="none"/>
        </w:rPr>
        <w:t xml:space="preserve">分</w:t>
      </w:r>
      <w:r>
        <w:rPr>
          <w:rFonts w:hint="eastAsia" w:ascii="宋体" w:hAnsi="宋体" w:eastAsia="宋体" w:cs="Times New Roman"/>
          <w:b w:val="0"/>
          <w:bCs w:val="0"/>
          <w:sz w:val="24"/>
          <w:szCs w:val="24"/>
          <w:highlight w:val="none"/>
          <w:u w:val="none"/>
        </w:rPr>
        <w:t xml:space="preserve">（</w:t>
      </w:r>
      <w:r>
        <w:rPr>
          <w:rFonts w:hint="eastAsia" w:ascii="宋体" w:hAnsi="宋体" w:eastAsia="宋体" w:cs="Times New Roman"/>
          <w:b w:val="0"/>
          <w:bCs w:val="0"/>
          <w:sz w:val="24"/>
          <w:szCs w:val="24"/>
          <w:highlight w:val="none"/>
        </w:rPr>
        <w:t xml:space="preserve">北京时间）</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rPr>
      </w:pPr>
      <w:r/>
      <w:bookmarkStart w:id="32" w:name="_Toc35393795"/>
      <w:r/>
      <w:bookmarkStart w:id="33" w:name="_Toc35393626"/>
      <w:r/>
      <w:bookmarkStart w:id="34" w:name="_Toc38985268"/>
      <w:r>
        <w:rPr>
          <w:rFonts w:hint="eastAsia" w:ascii="宋体" w:hAnsi="宋体" w:eastAsia="宋体" w:cs="Times New Roman"/>
          <w:sz w:val="24"/>
          <w:szCs w:val="24"/>
          <w:highlight w:val="none"/>
        </w:rPr>
        <w:t xml:space="preserve">公告期限为自本公告发布之日起3个工作日。</w:t>
      </w:r>
      <w:r>
        <w:rPr>
          <w:rFonts w:hint="eastAsia" w:ascii="宋体" w:hAnsi="宋体" w:eastAsia="宋体" w:cs="Times New Roman"/>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tabs>
          <w:tab w:val="left" w:pos="900" w:leader="none"/>
        </w:tabs>
        <w:rPr>
          <w:rFonts w:hint="eastAsia" w:ascii="宋体" w:hAnsi="宋体"/>
          <w:bCs/>
          <w:sz w:val="24"/>
          <w:szCs w:val="24"/>
          <w:highlight w:val="none"/>
        </w:rPr>
      </w:pPr>
      <w:r/>
      <w:bookmarkStart w:id="35" w:name="_Toc28359008"/>
      <w:r/>
      <w:bookmarkStart w:id="36" w:name="_Toc35393627"/>
      <w:r/>
      <w:bookmarkStart w:id="37" w:name="_Toc35393796"/>
      <w:r/>
      <w:bookmarkStart w:id="38" w:name="_Toc38985269"/>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w:t>
      </w:r>
      <w:r>
        <w:rPr>
          <w:rFonts w:hint="eastAsia" w:ascii="宋体" w:hAnsi="宋体"/>
          <w:bCs/>
          <w:sz w:val="24"/>
          <w:szCs w:val="24"/>
          <w:highlight w:val="none"/>
          <w:lang w:eastAsia="zh-CN"/>
        </w:rPr>
        <w:t xml:space="preserve">谈判</w:t>
      </w:r>
      <w:r>
        <w:rPr>
          <w:rFonts w:hint="eastAsia" w:ascii="宋体" w:hAnsi="宋体"/>
          <w:bCs/>
          <w:sz w:val="24"/>
          <w:szCs w:val="24"/>
          <w:highlight w:val="none"/>
        </w:rPr>
        <w:t xml:space="preserve">不收取</w:t>
      </w:r>
      <w:r>
        <w:rPr>
          <w:rFonts w:hint="eastAsia" w:ascii="宋体" w:hAnsi="宋体"/>
          <w:bCs/>
          <w:sz w:val="24"/>
          <w:szCs w:val="24"/>
          <w:highlight w:val="none"/>
          <w:lang w:eastAsia="zh-CN"/>
        </w:rPr>
        <w:t xml:space="preserve">谈判</w:t>
      </w:r>
      <w:r>
        <w:rPr>
          <w:rFonts w:hint="eastAsia" w:ascii="宋体" w:hAnsi="宋体"/>
          <w:bCs/>
          <w:sz w:val="24"/>
          <w:szCs w:val="24"/>
          <w:highlight w:val="none"/>
        </w:rPr>
        <w:t xml:space="preserve">保证金。</w:t>
      </w:r>
      <w:r>
        <w:rPr>
          <w:rFonts w:hint="eastAsia" w:ascii="宋体" w:hAnsi="宋体"/>
          <w:bCs/>
          <w:sz w:val="24"/>
          <w:szCs w:val="24"/>
          <w:highlight w:val="none"/>
        </w:rPr>
      </w:r>
      <w:r/>
    </w:p>
    <w:p>
      <w:pPr>
        <w:pStyle w:val="869"/>
        <w:ind w:firstLine="480"/>
        <w:pageBreakBefore w:val="0"/>
        <w:spacing w:line="240" w:lineRule="auto"/>
        <w:widowControl w:val="off"/>
        <w:tabs>
          <w:tab w:val="left" w:pos="900"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本项目不组织</w:t>
      </w:r>
      <w:r>
        <w:rPr>
          <w:rFonts w:hint="eastAsia" w:ascii="宋体" w:hAnsi="宋体" w:eastAsia="宋体" w:cs="Times New Roman"/>
          <w:color w:val="000000"/>
          <w:sz w:val="24"/>
          <w:szCs w:val="24"/>
          <w:highlight w:val="none"/>
          <w:lang w:eastAsia="zh-CN"/>
        </w:rPr>
        <w:t xml:space="preserve">勘察及答疑</w:t>
      </w:r>
      <w:r>
        <w:rPr>
          <w:rFonts w:hint="eastAsia" w:ascii="宋体" w:hAnsi="宋体" w:eastAsia="宋体" w:cs="Times New Roman"/>
          <w:color w:val="000000"/>
          <w:sz w:val="24"/>
          <w:szCs w:val="24"/>
          <w:highlight w:val="none"/>
          <w:lang w:val="en-US" w:eastAsia="zh-CN"/>
        </w:rPr>
        <w:t xml:space="preserve">，供应商如对采购需求有疑问，请咨询采购人。 </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采购人《质疑函》收件人：刘先生，收件地址：</w:t>
      </w:r>
      <w:r>
        <w:rPr>
          <w:rFonts w:hint="eastAsia" w:ascii="宋体" w:hAnsi="宋体" w:eastAsia="宋体" w:cs="Times New Roman"/>
          <w:color w:val="000000"/>
          <w:sz w:val="24"/>
          <w:szCs w:val="24"/>
          <w:lang w:val="en-US" w:eastAsia="zh-CN"/>
        </w:rPr>
        <w:t xml:space="preserve">南京市</w:t>
      </w:r>
      <w:r>
        <w:rPr>
          <w:rFonts w:ascii="宋体" w:hAnsi="宋体" w:eastAsia="宋体" w:cs="Times New Roman"/>
          <w:color w:val="000000"/>
          <w:sz w:val="24"/>
          <w:szCs w:val="24"/>
          <w:lang w:val="en-US" w:eastAsia="zh-CN"/>
        </w:rPr>
        <w:t xml:space="preserve">玄武区北京东路63号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lang w:val="en-US" w:eastAsia="zh-CN"/>
        </w:rPr>
        <w:t xml:space="preserve">025-</w:t>
      </w:r>
      <w:r>
        <w:rPr>
          <w:rFonts w:ascii="宋体" w:hAnsi="宋体" w:eastAsia="宋体" w:cs="Times New Roman"/>
          <w:color w:val="000000"/>
          <w:sz w:val="24"/>
          <w:szCs w:val="24"/>
          <w:lang w:val="en-US" w:eastAsia="zh-CN"/>
        </w:rPr>
        <w:t xml:space="preserve">83151916</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69"/>
        <w:ind w:firstLine="480"/>
        <w:spacing w:line="252"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69"/>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称：南京市人才服务中心</w:t>
      </w:r>
      <w:r>
        <w:rPr>
          <w:rFonts w:hint="eastAsia" w:ascii="宋体" w:hAnsi="宋体" w:eastAsia="宋体" w:cs="Times New Roman"/>
          <w:color w:val="000000"/>
          <w:sz w:val="24"/>
          <w:szCs w:val="24"/>
          <w:lang w:val="en-US" w:eastAsia="zh-CN"/>
        </w:rPr>
      </w:r>
      <w:r/>
    </w:p>
    <w:p>
      <w:pPr>
        <w:pStyle w:val="869"/>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w:t>
      </w:r>
      <w:r>
        <w:rPr>
          <w:rFonts w:ascii="宋体" w:hAnsi="宋体" w:eastAsia="宋体" w:cs="Times New Roman"/>
          <w:color w:val="000000"/>
          <w:sz w:val="24"/>
          <w:szCs w:val="24"/>
          <w:lang w:val="en-US" w:eastAsia="zh-CN"/>
        </w:rPr>
        <w:t xml:space="preserve">玄武区北京东路63号</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869"/>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联系人：刘先生 </w:t>
      </w:r>
      <w:r>
        <w:rPr>
          <w:rFonts w:hint="eastAsia" w:ascii="宋体" w:hAnsi="宋体" w:eastAsia="宋体" w:cs="Times New Roman"/>
          <w:color w:val="000000"/>
          <w:sz w:val="24"/>
          <w:szCs w:val="24"/>
          <w:lang w:val="en-US" w:eastAsia="zh-CN"/>
        </w:rPr>
      </w:r>
      <w:r/>
    </w:p>
    <w:p>
      <w:pPr>
        <w:pStyle w:val="869"/>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联系电话：025-</w:t>
      </w:r>
      <w:r>
        <w:rPr>
          <w:rFonts w:ascii="宋体" w:hAnsi="宋体" w:eastAsia="宋体" w:cs="Times New Roman"/>
          <w:color w:val="000000"/>
          <w:sz w:val="24"/>
          <w:szCs w:val="24"/>
          <w:lang w:val="en-US" w:eastAsia="zh-CN"/>
        </w:rPr>
        <w:t xml:space="preserve">83151916</w:t>
      </w:r>
      <w:r>
        <w:rPr>
          <w:rFonts w:hint="eastAsia" w:ascii="宋体" w:hAnsi="宋体" w:eastAsia="宋体" w:cs="Times New Roman"/>
          <w:color w:val="000000"/>
          <w:sz w:val="24"/>
          <w:szCs w:val="24"/>
          <w:lang w:val="en-US" w:eastAsia="zh-CN"/>
        </w:rPr>
        <w:t xml:space="preserve"> </w:t>
      </w:r>
      <w:bookmarkStart w:id="40" w:name="_Toc28359009"/>
      <w:r/>
      <w:bookmarkStart w:id="41" w:name="_Toc28359086"/>
      <w:r>
        <w:rPr>
          <w:rFonts w:hint="eastAsia" w:ascii="宋体" w:hAnsi="宋体" w:eastAsia="宋体" w:cs="Times New Roman"/>
          <w:color w:val="000000"/>
          <w:sz w:val="24"/>
          <w:szCs w:val="24"/>
          <w:lang w:val="en-US" w:eastAsia="zh-CN"/>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pageBreakBefore w:val="0"/>
        <w:spacing w:line="252" w:lineRule="auto"/>
        <w:widowControl w:val="off"/>
        <w:rPr>
          <w:rFonts w:hint="eastAsia"/>
          <w:color w:val="000000"/>
          <w:highlight w:val="none"/>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42" w:name="_Toc12061421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16938519"/>
      <w:r/>
      <w:bookmarkStart w:id="44" w:name="_Toc120614214"/>
      <w:r/>
      <w:bookmarkStart w:id="45" w:name="_Toc513029203"/>
      <w:r/>
      <w:bookmarkStart w:id="46" w:name="_Toc20823275"/>
      <w:r>
        <w:rPr>
          <w:rFonts w:hint="eastAsia" w:ascii="方正黑体_GBK" w:hAnsi="方正黑体_GBK" w:eastAsia="方正黑体_GBK" w:cs="方正黑体_GBK"/>
          <w:b w:val="0"/>
          <w:bCs w:val="0"/>
          <w:color w:val="000000"/>
          <w:sz w:val="30"/>
          <w:szCs w:val="30"/>
          <w:highlight w:val="none"/>
        </w:rPr>
        <w:t xml:space="preserve">一、总则</w:t>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47" w:name="_Hlt16619475"/>
      <w:r/>
      <w:bookmarkEnd w:id="47"/>
      <w:r/>
      <w:bookmarkStart w:id="48" w:name="_Toc458694821"/>
      <w:r/>
      <w:bookmarkStart w:id="49" w:name="_Toc16938520"/>
      <w:r/>
      <w:bookmarkStart w:id="50" w:name="_Toc20823276"/>
      <w:r/>
      <w:bookmarkStart w:id="51" w:name="_Toc513029204"/>
      <w:r>
        <w:rPr>
          <w:rFonts w:hint="eastAsia" w:ascii="方正楷体_GBK" w:hAnsi="方正楷体_GBK" w:eastAsia="方正楷体_GBK" w:cs="方正楷体_GBK"/>
          <w:b/>
          <w:bCs/>
          <w:highlight w:val="none"/>
        </w:rPr>
        <w:t xml:space="preserve">1</w:t>
      </w:r>
      <w:bookmarkEnd w:id="48"/>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采购方式</w:t>
      </w:r>
      <w:bookmarkEnd w:id="49"/>
      <w:r/>
      <w:bookmarkEnd w:id="50"/>
      <w:r/>
      <w:bookmarkEnd w:id="51"/>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52" w:name="_Toc20823277"/>
      <w:r/>
      <w:bookmarkStart w:id="53" w:name="_Toc16938521"/>
      <w:r/>
      <w:bookmarkStart w:id="54" w:name="_Toc5130292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合格的</w:t>
      </w:r>
      <w:bookmarkEnd w:id="52"/>
      <w:r/>
      <w:bookmarkEnd w:id="53"/>
      <w:r/>
      <w:bookmarkEnd w:id="54"/>
      <w:r>
        <w:rPr>
          <w:rFonts w:hint="eastAsia" w:ascii="方正楷体_GBK" w:hAnsi="方正楷体_GBK" w:eastAsia="方正楷体_GBK" w:cs="方正楷体_GBK"/>
          <w:b/>
          <w:bCs/>
          <w:highlight w:val="none"/>
        </w:rPr>
        <w:t xml:space="preserve">供应商</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w:t>
      </w:r>
      <w:r>
        <w:rPr>
          <w:rFonts w:hint="eastAsia" w:ascii="宋体" w:hAnsi="宋体" w:eastAsia="宋体" w:cs="Times New Roman"/>
          <w:color w:val="000000"/>
          <w:sz w:val="24"/>
          <w:highlight w:val="none"/>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55" w:name="_Toc16938522"/>
      <w:r/>
      <w:bookmarkStart w:id="56" w:name="_Toc513029206"/>
      <w:r/>
      <w:bookmarkStart w:id="57" w:name="_Toc20823278"/>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适用法律</w:t>
      </w:r>
      <w:bookmarkEnd w:id="55"/>
      <w:r/>
      <w:bookmarkEnd w:id="56"/>
      <w:r/>
      <w:bookmarkEnd w:id="57"/>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58" w:name="_Toc513029207"/>
      <w:r/>
      <w:bookmarkStart w:id="59" w:name="_Toc462564067"/>
      <w:r/>
      <w:bookmarkStart w:id="60" w:name="_Toc20823279"/>
      <w:r/>
      <w:bookmarkStart w:id="61" w:name="_Toc16938523"/>
      <w:r>
        <w:rPr>
          <w:rFonts w:hint="eastAsia" w:ascii="方正楷体_GBK" w:hAnsi="方正楷体_GBK" w:eastAsia="方正楷体_GBK" w:cs="方正楷体_GBK"/>
          <w:b/>
          <w:bCs/>
          <w:highlight w:val="none"/>
        </w:rPr>
        <w:t xml:space="preserve">4</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谈判费用</w:t>
      </w:r>
      <w:bookmarkEnd w:id="58"/>
      <w:r/>
      <w:bookmarkEnd w:id="59"/>
      <w:r/>
      <w:bookmarkEnd w:id="60"/>
      <w:r/>
      <w:bookmarkEnd w:id="61"/>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有关的费用，交易中心在任何情况下均无义务和责任承担这些费用。</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谈判文件的约束力</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2" w:name="_Toc513029209"/>
      <w:r/>
      <w:bookmarkStart w:id="63" w:name="_Toc20823281"/>
      <w:r/>
      <w:bookmarkStart w:id="64" w:name="_Toc120614215"/>
      <w:r/>
      <w:bookmarkStart w:id="65" w:name="_Toc16938525"/>
      <w:r>
        <w:rPr>
          <w:rFonts w:hint="eastAsia" w:ascii="方正黑体_GBK" w:hAnsi="方正黑体_GBK" w:eastAsia="方正黑体_GBK" w:cs="方正黑体_GBK"/>
          <w:b w:val="0"/>
          <w:bCs w:val="0"/>
          <w:color w:val="000000"/>
          <w:sz w:val="30"/>
          <w:szCs w:val="30"/>
          <w:highlight w:val="none"/>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66" w:name="_Toc513029210"/>
      <w:r/>
      <w:bookmarkStart w:id="67" w:name="_Toc20823282"/>
      <w:r/>
      <w:bookmarkStart w:id="68" w:name="_Toc16938526"/>
      <w:r>
        <w:rPr>
          <w:rFonts w:hint="eastAsia" w:ascii="方正楷体_GBK" w:hAnsi="方正楷体_GBK" w:eastAsia="方正楷体_GBK" w:cs="方正楷体_GBK"/>
          <w:b/>
          <w:bCs/>
          <w:highlight w:val="none"/>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谈判文件构成</w:t>
      </w:r>
      <w:bookmarkEnd w:id="66"/>
      <w:r/>
      <w:bookmarkEnd w:id="67"/>
      <w:r/>
      <w:bookmarkEnd w:id="68"/>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69" w:name="_Toc16938527"/>
      <w:r/>
      <w:bookmarkStart w:id="70" w:name="_Toc20823283"/>
      <w:r/>
      <w:bookmarkStart w:id="71" w:name="_Toc513029211"/>
      <w:r/>
      <w:bookmarkStart w:id="72" w:name="_Toc462564070"/>
      <w:r>
        <w:rPr>
          <w:rFonts w:hint="eastAsia" w:ascii="方正楷体_GBK" w:hAnsi="方正楷体_GBK" w:eastAsia="方正楷体_GBK" w:cs="方正楷体_GBK"/>
          <w:b/>
          <w:bCs/>
          <w:highlight w:val="none"/>
        </w:rPr>
        <w:t xml:space="preserve">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谈判文件的澄清</w:t>
      </w:r>
      <w:bookmarkEnd w:id="69"/>
      <w:r/>
      <w:bookmarkEnd w:id="70"/>
      <w:r/>
      <w:bookmarkEnd w:id="71"/>
      <w:r/>
      <w:bookmarkEnd w:id="72"/>
      <w:r>
        <w:rPr>
          <w:rFonts w:hint="eastAsia" w:ascii="方正楷体_GBK" w:hAnsi="方正楷体_GBK" w:eastAsia="方正楷体_GBK" w:cs="方正楷体_GBK"/>
          <w:b/>
          <w:bCs/>
          <w:highlight w:val="none"/>
          <w:lang w:val="en-US" w:eastAsia="zh-CN"/>
        </w:rPr>
        <w:t xml:space="preserve">或修改</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bookmarkStart w:id="73" w:name="_Toc513029213"/>
      <w:r/>
      <w:bookmarkStart w:id="74" w:name="_Toc16938529"/>
      <w:r/>
      <w:bookmarkStart w:id="75" w:name="_Toc120614216"/>
      <w:r/>
      <w:bookmarkStart w:id="76" w:name="_Toc462564072"/>
      <w:r/>
      <w:bookmarkStart w:id="77" w:name="_Toc20823285"/>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.1 在响应文件提交截止时间前，交易中心可以对</w:t>
      </w:r>
      <w:r>
        <w:rPr>
          <w:rFonts w:hint="eastAsia" w:ascii="宋体" w:hAnsi="宋体" w:eastAsia="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lang w:eastAsia="zh-CN"/>
        </w:rPr>
        <w:t xml:space="preserve">谈判文件进行</w:t>
      </w:r>
      <w:r>
        <w:rPr>
          <w:rFonts w:hint="eastAsia" w:ascii="宋体" w:hAnsi="宋体" w:eastAsia="宋体" w:cs="Times New Roman"/>
          <w:color w:val="000000"/>
          <w:sz w:val="24"/>
          <w:highlight w:val="none"/>
          <w:lang w:val="en-US" w:eastAsia="zh-CN"/>
        </w:rPr>
        <w:t xml:space="preserve">必要的澄清或</w:t>
      </w:r>
      <w:r>
        <w:rPr>
          <w:rFonts w:hint="eastAsia" w:ascii="宋体" w:hAnsi="宋体" w:eastAsia="宋体" w:cs="Times New Roman"/>
          <w:color w:val="000000"/>
          <w:sz w:val="24"/>
          <w:highlight w:val="none"/>
          <w:lang w:eastAsia="zh-CN"/>
        </w:rPr>
        <w:t xml:space="preserve">修改，</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eastAsia="zh-CN"/>
        </w:rPr>
        <w:t xml:space="preserve">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澄清或修改的内容</w:t>
      </w:r>
      <w:r>
        <w:rPr>
          <w:rFonts w:hint="eastAsia" w:ascii="宋体" w:hAnsi="宋体" w:eastAsia="宋体" w:cs="Times New Roman"/>
          <w:color w:val="000000"/>
          <w:sz w:val="24"/>
          <w:highlight w:val="none"/>
          <w:lang w:eastAsia="zh-CN"/>
        </w:rPr>
        <w:t xml:space="preserve">将作为谈判文件的组成部分，并对供应商具有约束力。</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3"/>
      <w:r/>
      <w:bookmarkEnd w:id="74"/>
      <w:r/>
      <w:bookmarkEnd w:id="75"/>
      <w:r/>
      <w:bookmarkEnd w:id="76"/>
      <w:r/>
      <w:bookmarkEnd w:id="77"/>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78" w:name="_Toc16938530"/>
      <w:r/>
      <w:bookmarkStart w:id="79" w:name="_Toc20823286"/>
      <w:r/>
      <w:bookmarkStart w:id="80" w:name="_Toc462564073"/>
      <w:r/>
      <w:bookmarkStart w:id="81" w:name="_Toc513029214"/>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响应文件的语言及度量衡单位</w:t>
      </w:r>
      <w:bookmarkEnd w:id="78"/>
      <w:r/>
      <w:bookmarkEnd w:id="79"/>
      <w:r/>
      <w:bookmarkEnd w:id="80"/>
      <w:r/>
      <w:bookmarkEnd w:id="81"/>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82" w:name="_Toc462564074"/>
      <w:r/>
      <w:bookmarkStart w:id="83" w:name="_Toc20823287"/>
      <w:r/>
      <w:bookmarkStart w:id="84" w:name="_Toc16938531"/>
      <w:r/>
      <w:bookmarkStart w:id="85" w:name="_Toc513029215"/>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响应文件构成</w:t>
      </w:r>
      <w:bookmarkEnd w:id="82"/>
      <w:r/>
      <w:bookmarkEnd w:id="83"/>
      <w:r/>
      <w:bookmarkEnd w:id="84"/>
      <w:r/>
      <w:bookmarkEnd w:id="85"/>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w:t>
      </w:r>
      <w:r>
        <w:rPr>
          <w:rFonts w:hint="eastAsia" w:ascii="宋体" w:hAnsi="宋体" w:eastAsia="宋体" w:cs="Times New Roman"/>
          <w:color w:val="000000"/>
          <w:sz w:val="24"/>
          <w:highlight w:val="none"/>
          <w:lang w:val="en-US" w:eastAsia="zh-CN"/>
        </w:rPr>
        <w:t xml:space="preserve">谈判报价表、</w:t>
      </w:r>
      <w:r>
        <w:rPr>
          <w:rFonts w:hint="eastAsia" w:ascii="宋体" w:hAnsi="宋体" w:eastAsia="宋体" w:cs="Times New Roman"/>
          <w:color w:val="000000"/>
          <w:sz w:val="24"/>
          <w:highlight w:val="none"/>
        </w:rPr>
        <w:t xml:space="preserve">分项报价表、响应及偏离表、谈判响应函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法定代表人授权委托书</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.2 </w:t>
      </w:r>
      <w:r>
        <w:rPr>
          <w:rFonts w:hint="eastAsia" w:ascii="宋体" w:hAnsi="宋体" w:eastAsia="宋体" w:cs="Times New Roman"/>
          <w:b/>
          <w:bCs/>
          <w:color w:val="000000"/>
          <w:sz w:val="24"/>
          <w:highlight w:val="none"/>
        </w:rPr>
        <w:t xml:space="preserve">如标书制作工具与“江苏政府采购网”发布的谈判文件</w:t>
      </w:r>
      <w:r>
        <w:rPr>
          <w:rFonts w:hint="eastAsia" w:ascii="宋体" w:hAnsi="宋体" w:eastAsia="宋体" w:cs="Times New Roman"/>
          <w:b/>
          <w:bCs/>
          <w:color w:val="000000"/>
          <w:sz w:val="24"/>
          <w:highlight w:val="none"/>
          <w:lang w:val="en-US" w:eastAsia="zh-CN"/>
        </w:rPr>
        <w:t xml:space="preserve">内容</w:t>
      </w:r>
      <w:r>
        <w:rPr>
          <w:rFonts w:hint="eastAsia" w:ascii="宋体" w:hAnsi="宋体" w:eastAsia="宋体" w:cs="Times New Roman"/>
          <w:b/>
          <w:bCs/>
          <w:color w:val="000000"/>
          <w:sz w:val="24"/>
          <w:highlight w:val="none"/>
        </w:rPr>
        <w:t xml:space="preserve">不一致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以“江苏政府采购网”发布的谈判文件为准</w:t>
      </w:r>
      <w:r>
        <w:rPr>
          <w:rFonts w:hint="eastAsia" w:ascii="宋体" w:hAnsi="宋体" w:eastAsia="宋体" w:cs="Times New Roman"/>
          <w:color w:val="000000"/>
          <w:sz w:val="24"/>
          <w:highlight w:val="none"/>
        </w:rPr>
        <w:t xml:space="preserve">。</w:t>
      </w:r>
      <w:bookmarkStart w:id="86" w:name="_Toc14577355"/>
      <w:r/>
      <w:bookmarkStart w:id="87" w:name="_Toc49090508"/>
      <w:r>
        <w:rPr>
          <w:rFonts w:hint="eastAsia" w:ascii="宋体" w:hAnsi="宋体" w:eastAsia="宋体" w:cs="Times New Roman"/>
          <w:color w:val="000000"/>
          <w:sz w:val="24"/>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End w:id="86"/>
      <w:r/>
      <w:bookmarkEnd w:id="8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0.谈判</w:t>
      </w:r>
      <w:r>
        <w:rPr>
          <w:rFonts w:hint="eastAsia" w:ascii="方正楷体_GBK" w:hAnsi="方正楷体_GBK" w:eastAsia="方正楷体_GBK" w:cs="方正楷体_GBK"/>
          <w:b/>
          <w:bCs/>
          <w:highlight w:val="none"/>
        </w:rPr>
        <w:t xml:space="preserve">报价</w:t>
      </w:r>
      <w:r>
        <w:rPr>
          <w:rFonts w:hint="eastAsia" w:ascii="方正楷体_GBK" w:hAnsi="方正楷体_GBK" w:eastAsia="方正楷体_GBK" w:cs="方正楷体_GBK"/>
          <w:b/>
          <w:bCs/>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谈判报价表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88" w:name="_Hlt26954731"/>
      <w:r/>
      <w:bookmarkEnd w:id="88"/>
      <w:r/>
      <w:bookmarkStart w:id="89" w:name="_Hlt26954848"/>
      <w:r/>
      <w:bookmarkEnd w:id="89"/>
      <w:r/>
      <w:bookmarkStart w:id="90" w:name="_Hlt26670486"/>
      <w:r/>
      <w:bookmarkEnd w:id="90"/>
      <w:r/>
      <w:bookmarkStart w:id="91" w:name="_Hlt26670482"/>
      <w:r/>
      <w:bookmarkEnd w:id="91"/>
      <w:r/>
      <w:bookmarkStart w:id="92" w:name="_Hlt26954846"/>
      <w:r/>
      <w:bookmarkEnd w:id="92"/>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响应及偏离表</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873"/>
        <w:ind w:firstLine="420"/>
        <w:pageBreakBefore w:val="0"/>
        <w:spacing w:before="0" w:after="0" w:line="240" w:lineRule="auto"/>
        <w:widowControl w:val="off"/>
        <w:rPr>
          <w:rFonts w:ascii="方正楷体_GBK" w:hAnsi="方正楷体_GBK" w:eastAsia="方正楷体_GBK" w:cs="方正楷体_GBK"/>
          <w:b/>
          <w:bCs/>
          <w:highlight w:val="none"/>
          <w:lang w:val="en-US" w:eastAsia="zh-CN"/>
        </w:rPr>
      </w:pPr>
      <w:r/>
      <w:bookmarkStart w:id="93" w:name="_Toc14577359"/>
      <w:r/>
      <w:bookmarkStart w:id="94" w:name="_Toc49090510"/>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2.</w:t>
      </w:r>
      <w:r>
        <w:rPr>
          <w:rFonts w:hint="eastAsia" w:ascii="方正楷体_GBK" w:hAnsi="方正楷体_GBK" w:eastAsia="方正楷体_GBK" w:cs="方正楷体_GBK"/>
          <w:b/>
          <w:bCs/>
          <w:highlight w:val="none"/>
        </w:rPr>
        <w:t xml:space="preserve">谈判响应函</w:t>
      </w:r>
      <w:r>
        <w:rPr>
          <w:rFonts w:hint="eastAsia" w:ascii="方正楷体_GBK" w:hAnsi="方正楷体_GBK" w:eastAsia="方正楷体_GBK" w:cs="方正楷体_GBK"/>
          <w:b/>
          <w:bCs/>
          <w:highlight w:val="none"/>
          <w:lang w:val="en-US" w:eastAsia="zh-CN"/>
        </w:rPr>
        <w:t xml:space="preserve">和授权委托书</w:t>
      </w:r>
      <w:r>
        <w:rPr>
          <w:rFonts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谈判响应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End w:id="93"/>
      <w:r/>
      <w:bookmarkEnd w:id="94"/>
      <w:r/>
      <w:bookmarkStart w:id="95" w:name="_Toc49090511"/>
      <w:r/>
      <w:bookmarkStart w:id="96" w:name="_Toc14577360"/>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谈判有效期</w:t>
      </w:r>
      <w:bookmarkEnd w:id="95"/>
      <w:r/>
      <w:bookmarkEnd w:id="96"/>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谈判有效期的延长</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97" w:name="_Hlt26954852"/>
      <w:r/>
      <w:bookmarkEnd w:id="97"/>
      <w:r/>
      <w:bookmarkStart w:id="98" w:name="_Hlt26954739"/>
      <w:r/>
      <w:bookmarkEnd w:id="98"/>
      <w:r/>
      <w:bookmarkStart w:id="99" w:name="_Toc20823296"/>
      <w:r/>
      <w:bookmarkStart w:id="100" w:name="_Toc120614217"/>
      <w:r/>
      <w:bookmarkStart w:id="101" w:name="_Toc16938540"/>
      <w:r/>
      <w:bookmarkStart w:id="102"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99"/>
      <w:r/>
      <w:bookmarkEnd w:id="100"/>
      <w:r/>
      <w:bookmarkEnd w:id="101"/>
      <w:r/>
      <w:bookmarkEnd w:id="102"/>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103" w:name="_Toc20823297"/>
      <w:r/>
      <w:bookmarkStart w:id="104" w:name="_Toc16938541"/>
      <w:r/>
      <w:bookmarkStart w:id="105" w:name="_Toc513029225"/>
      <w:r/>
      <w:bookmarkStart w:id="106" w:name="_Toc462564084"/>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bookmarkEnd w:id="103"/>
      <w:r/>
      <w:bookmarkEnd w:id="104"/>
      <w:r/>
      <w:bookmarkEnd w:id="105"/>
      <w:r/>
      <w:bookmarkEnd w:id="106"/>
      <w:r>
        <w:rPr>
          <w:rFonts w:hint="eastAsia" w:ascii="方正楷体_GBK" w:hAnsi="方正楷体_GBK" w:eastAsia="方正楷体_GBK" w:cs="方正楷体_GBK"/>
          <w:b/>
          <w:bCs/>
          <w:highlight w:val="none"/>
        </w:rPr>
        <w:t xml:space="preserve">响应文件的递交</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bookmarkStart w:id="107" w:name="_Toc16938542"/>
      <w:r/>
      <w:bookmarkStart w:id="108" w:name="_Toc513029226"/>
      <w:r/>
      <w:bookmarkStart w:id="109"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07"/>
      <w:r/>
      <w:bookmarkEnd w:id="108"/>
      <w:r/>
      <w:bookmarkEnd w:id="109"/>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按照本谈判文件第二章第2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widowControl w:val="off"/>
        <w:rPr>
          <w:rFonts w:ascii="方正楷体_GBK" w:hAnsi="方正楷体_GBK" w:eastAsia="方正楷体_GBK" w:cs="方正楷体_GBK"/>
          <w:b/>
          <w:bCs/>
          <w:highlight w:val="none"/>
          <w:lang w:val="en-US" w:eastAsia="zh-CN"/>
        </w:rPr>
      </w:pPr>
      <w:r/>
      <w:bookmarkStart w:id="110" w:name="_Toc16938543"/>
      <w:r/>
      <w:bookmarkStart w:id="111" w:name="_Toc20823299"/>
      <w:r/>
      <w:bookmarkStart w:id="112" w:name="_Toc513029227"/>
      <w:r>
        <w:rPr>
          <w:rFonts w:hint="eastAsia" w:ascii="方正楷体_GBK" w:hAnsi="方正楷体_GBK" w:eastAsia="方正楷体_GBK" w:cs="方正楷体_GBK"/>
          <w:b/>
          <w:bCs/>
          <w:highlight w:val="none"/>
          <w:lang w:val="en-US" w:eastAsia="zh-CN"/>
        </w:rPr>
        <w:t xml:space="preserve">16.</w:t>
      </w:r>
      <w:r>
        <w:rPr>
          <w:rFonts w:hint="eastAsia" w:ascii="方正楷体_GBK" w:hAnsi="方正楷体_GBK" w:eastAsia="方正楷体_GBK" w:cs="方正楷体_GBK"/>
          <w:b/>
          <w:bCs/>
          <w:highlight w:val="none"/>
        </w:rPr>
        <w:t xml:space="preserve">响应文件</w:t>
      </w:r>
      <w:bookmarkEnd w:id="110"/>
      <w:r/>
      <w:bookmarkEnd w:id="111"/>
      <w:r/>
      <w:bookmarkEnd w:id="112"/>
      <w:r>
        <w:rPr>
          <w:rFonts w:hint="eastAsia" w:ascii="方正楷体_GBK" w:hAnsi="方正楷体_GBK" w:eastAsia="方正楷体_GBK" w:cs="方正楷体_GBK"/>
          <w:b/>
          <w:bCs/>
          <w:highlight w:val="none"/>
        </w:rPr>
        <w:t xml:space="preserve">的</w:t>
      </w:r>
      <w:r>
        <w:rPr>
          <w:rFonts w:hint="eastAsia" w:ascii="方正楷体_GBK" w:hAnsi="方正楷体_GBK" w:eastAsia="方正楷体_GBK" w:cs="方正楷体_GBK"/>
          <w:b/>
          <w:bCs/>
          <w:highlight w:val="none"/>
          <w:lang w:val="en-US" w:eastAsia="zh-CN"/>
        </w:rPr>
        <w:t xml:space="preserve">撤回和修改</w:t>
      </w:r>
      <w:r>
        <w:rPr>
          <w:rFonts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113" w:name="_Toc16938544"/>
      <w:r/>
      <w:bookmarkStart w:id="114" w:name="_Toc513029228"/>
      <w:r/>
      <w:bookmarkStart w:id="115" w:name="_Toc20823300"/>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13"/>
      <w:r/>
      <w:bookmarkEnd w:id="114"/>
      <w:r/>
      <w:bookmarkEnd w:id="115"/>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6" w:name="_Toc16938545"/>
      <w:r/>
      <w:bookmarkStart w:id="117" w:name="_Toc20823301"/>
      <w:r/>
      <w:bookmarkStart w:id="118" w:name="_Toc120614218"/>
      <w:r/>
      <w:bookmarkStart w:id="119"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16"/>
      <w:r/>
      <w:bookmarkEnd w:id="117"/>
      <w:r/>
      <w:bookmarkEnd w:id="118"/>
      <w:r/>
      <w:bookmarkEnd w:id="119"/>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响应文件解密</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供应商应当在苏采云系统规定的时间内对响应文件进行解密。</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lang w:val="en-US" w:eastAsia="zh-CN"/>
        </w:rPr>
      </w:pPr>
      <w:r/>
      <w:bookmarkStart w:id="120" w:name="_Toc513029231"/>
      <w:r/>
      <w:bookmarkStart w:id="121" w:name="_Toc16938547"/>
      <w:r/>
      <w:bookmarkStart w:id="122" w:name="_Toc20823303"/>
      <w:r>
        <w:rPr>
          <w:rFonts w:hint="eastAsia" w:ascii="方正楷体_GBK" w:hAnsi="方正楷体_GBK" w:eastAsia="方正楷体_GBK" w:cs="方正楷体_GBK"/>
          <w:b/>
          <w:bCs/>
          <w:highlight w:val="none"/>
          <w:lang w:val="en-US" w:eastAsia="zh-CN"/>
        </w:rPr>
        <w:t xml:space="preserve">18.评审</w:t>
      </w:r>
      <w:r>
        <w:rPr>
          <w:rFonts w:hint="eastAsia"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评审过程的保密与公正</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20"/>
      <w:r/>
      <w:bookmarkEnd w:id="121"/>
      <w:r/>
      <w:bookmarkEnd w:id="122"/>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123" w:name="_Toc513029232"/>
      <w:r/>
      <w:bookmarkStart w:id="124" w:name="_Toc20823304"/>
      <w:r/>
      <w:bookmarkStart w:id="12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评审过程中的澄清</w:t>
      </w:r>
      <w:bookmarkEnd w:id="123"/>
      <w:r/>
      <w:bookmarkEnd w:id="124"/>
      <w:r/>
      <w:bookmarkEnd w:id="125"/>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rPr>
      </w:pPr>
      <w:r/>
      <w:bookmarkStart w:id="126" w:name="_Toc20823305"/>
      <w:r/>
      <w:bookmarkStart w:id="127" w:name="_Toc16938549"/>
      <w:r/>
      <w:bookmarkStart w:id="128"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响应文件的审</w:t>
      </w:r>
      <w:bookmarkEnd w:id="126"/>
      <w:r/>
      <w:bookmarkEnd w:id="127"/>
      <w:r/>
      <w:bookmarkEnd w:id="128"/>
      <w:r>
        <w:rPr>
          <w:rFonts w:hint="eastAsia" w:ascii="方正楷体_GBK" w:hAnsi="方正楷体_GBK" w:eastAsia="方正楷体_GBK" w:cs="方正楷体_GBK"/>
          <w:b/>
          <w:bCs/>
          <w:highlight w:val="none"/>
        </w:rPr>
        <w:t xml:space="preserve">查</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 响应文件审查分为资格审查和符合性审查。</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21.1.2 符合性审查。谈判小组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highlight w:val="none"/>
          <w:lang w:val="en-US" w:eastAsia="zh-CN"/>
        </w:rPr>
        <w:t xml:space="preserve">响应文件进行符合性审查，以确定是否满足谈判文件的实质性要求。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如果响应文件实质上没有响应谈判文件的要求，谈判小组将予以拒绝，供应商不得通过修改或撤销不符合要求的偏离或保留而使其成为实质性响应的文件。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9"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29"/>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未实质性响应谈判文件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5"/>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谈判文件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谈判文件另有约定的除外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供应商不具备谈判文件中规定的资格要求。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谈判小组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本谈判文件</w:t>
      </w:r>
      <w:r>
        <w:rPr>
          <w:rFonts w:hint="eastAsia" w:ascii="宋体" w:hAnsi="宋体" w:eastAsia="宋体" w:cs="Times New Roman"/>
          <w:sz w:val="24"/>
          <w:szCs w:val="21"/>
          <w:highlight w:val="none"/>
        </w:rPr>
        <w:t xml:space="preserve">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响应文件未按照谈判文件要求加盖电子公章。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法律法规及本谈判文件规定的其他无效响应的情形。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361"/>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bookmarkStart w:id="130" w:name="_Toc20823306"/>
      <w:r/>
      <w:bookmarkStart w:id="131" w:name="_Toc16938550"/>
      <w:r/>
      <w:bookmarkStart w:id="132" w:name="_Toc513029234"/>
      <w:r>
        <w:rPr>
          <w:rFonts w:hint="eastAsia" w:ascii="方正楷体_GBK" w:hAnsi="方正楷体_GBK" w:eastAsia="方正楷体_GBK" w:cs="方正楷体_GBK"/>
          <w:b/>
          <w:bCs/>
          <w:highlight w:val="none"/>
          <w:lang w:val="zh-CN" w:eastAsia="zh-CN"/>
        </w:rPr>
      </w:r>
      <w:r/>
    </w:p>
    <w:p>
      <w:pPr>
        <w:pStyle w:val="873"/>
        <w:ind w:firstLine="420"/>
        <w:pageBreakBefore w:val="0"/>
        <w:spacing w:before="0" w:after="0" w:line="240" w:lineRule="auto"/>
        <w:widowControl w:val="off"/>
        <w:rPr>
          <w:rFonts w:ascii="方正楷体_GBK" w:hAnsi="方正楷体_GBK" w:eastAsia="方正楷体_GBK" w:cs="方正楷体_GBK"/>
          <w:b/>
          <w:bCs/>
          <w:highlight w:val="none"/>
          <w:lang w:val="en-US" w:eastAsia="zh-CN"/>
        </w:rPr>
      </w:pPr>
      <w:r>
        <w:rPr>
          <w:rFonts w:hint="eastAsia" w:ascii="方正楷体_GBK" w:hAnsi="方正楷体_GBK" w:eastAsia="方正楷体_GBK" w:cs="方正楷体_GBK"/>
          <w:b/>
          <w:bCs/>
          <w:highlight w:val="none"/>
          <w:lang w:val="zh-CN" w:eastAsia="zh-CN"/>
        </w:rPr>
        <w:t xml:space="preserve">2</w:t>
      </w:r>
      <w:bookmarkEnd w:id="130"/>
      <w:r/>
      <w:bookmarkEnd w:id="131"/>
      <w:r/>
      <w:bookmarkEnd w:id="132"/>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lang w:val="zh-CN" w:eastAsia="zh-CN"/>
        </w:rPr>
        <w:t xml:space="preserve">谈判程序及</w:t>
      </w:r>
      <w:r>
        <w:rPr>
          <w:rFonts w:hint="eastAsia" w:ascii="方正楷体_GBK" w:hAnsi="方正楷体_GBK" w:eastAsia="方正楷体_GBK" w:cs="方正楷体_GBK"/>
          <w:b/>
          <w:bCs/>
          <w:highlight w:val="none"/>
          <w:lang w:val="en-US" w:eastAsia="zh-CN"/>
        </w:rPr>
        <w:t xml:space="preserve">采购活动终止</w:t>
      </w:r>
      <w:r>
        <w:rPr>
          <w:rFonts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33" w:name="_Toc513029235"/>
      <w:r/>
      <w:bookmarkStart w:id="134" w:name="_Toc120614219"/>
      <w:r/>
      <w:bookmarkStart w:id="135" w:name="_Toc16938551"/>
      <w:r/>
      <w:bookmarkStart w:id="136" w:name="_Toc20823307"/>
      <w:r/>
      <w:bookmarkStart w:id="137" w:name="_Toc513029238"/>
      <w:r/>
      <w:bookmarkStart w:id="138" w:name="_Toc16938554"/>
      <w:r/>
      <w:bookmarkStart w:id="139" w:name="_Toc20823310"/>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eastAsia="zh-CN"/>
        </w:rPr>
        <w:t xml:space="preserve">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highlight w:val="none"/>
          <w:lang w:val="en-US" w:eastAsia="zh-CN"/>
        </w:rPr>
      </w:pPr>
      <w:r>
        <w:rPr>
          <w:rFonts w:hint="eastAsia" w:ascii="方正楷体_GBK" w:hAnsi="方正楷体_GBK" w:eastAsia="方正楷体_GBK" w:cs="方正楷体_GBK"/>
          <w:b/>
          <w:bCs/>
          <w:highlight w:val="none"/>
          <w:lang w:val="en-US" w:eastAsia="zh-CN"/>
        </w:rPr>
        <w:t xml:space="preserve">2</w:t>
      </w:r>
      <w:bookmarkEnd w:id="137"/>
      <w:r>
        <w:rPr>
          <w:rFonts w:hint="eastAsia" w:ascii="方正楷体_GBK" w:hAnsi="方正楷体_GBK" w:eastAsia="方正楷体_GBK" w:cs="方正楷体_GBK"/>
          <w:b/>
          <w:bCs/>
          <w:highlight w:val="none"/>
          <w:lang w:val="en-US" w:eastAsia="zh-CN"/>
        </w:rPr>
        <w:t xml:space="preserve">4.确定</w:t>
      </w:r>
      <w:bookmarkEnd w:id="138"/>
      <w:r/>
      <w:bookmarkEnd w:id="139"/>
      <w:r>
        <w:rPr>
          <w:rFonts w:hint="eastAsia" w:ascii="方正楷体_GBK" w:hAnsi="方正楷体_GBK" w:eastAsia="方正楷体_GBK" w:cs="方正楷体_GBK"/>
          <w:b/>
          <w:bCs/>
          <w:highlight w:val="none"/>
          <w:lang w:val="en-US" w:eastAsia="zh-CN"/>
        </w:rPr>
        <w:t xml:space="preserve">成交单位</w:t>
      </w:r>
      <w:r>
        <w:rPr>
          <w:rFonts w:hint="eastAsia" w:ascii="方正楷体_GBK" w:hAnsi="方正楷体_GBK" w:eastAsia="方正楷体_GBK" w:cs="方正楷体_GBK"/>
          <w:b/>
          <w:bCs/>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.4.1 提供虚假材料谋取成交。</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40" w:name="_Hlt16619369"/>
      <w:r/>
      <w:bookmarkEnd w:id="140"/>
      <w:r/>
      <w:bookmarkStart w:id="141" w:name="_Hlt16619350"/>
      <w:r/>
      <w:bookmarkStart w:id="142" w:name="_Toc120614244"/>
      <w:r/>
      <w:bookmarkStart w:id="143" w:name="_Toc16938590"/>
      <w:r/>
      <w:bookmarkStart w:id="144" w:name="_Toc20823346"/>
      <w:r/>
      <w:bookmarkStart w:id="145" w:name="_Toc462564139"/>
      <w:r/>
      <w:bookmarkStart w:id="146" w:name="_Toc479757211"/>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谈判文件不允许分包或允许分包但供应商未在响应文件中提供分包情况说明及分包意向协议的，成交供应商不得进行分包，否则采购人有权取消成交供应商成交资格或终止合同；</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文件允许分包但供应商未按</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.提出质疑的供应商应当是参与所质疑项目采购活动的供应商，潜在供应商依法获取其可质疑的谈判文件的，可以对谈判文件提出质疑。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.供应商认为谈判文件、采购过程和采购结果使自己的权益受到损害的，可以在知道或应知其权益受到损害之日起七个工作日内，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对谈判文件提出质疑的，为收到谈判文件之日或者谈判文件公告期限届满之日。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质疑答复主体提出质疑，具体详见谈判文件第一章。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ind w:firstLine="422"/>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szCs w:val="22"/>
          <w:highlight w:val="none"/>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w:t>
      </w:r>
      <w:r>
        <w:rPr>
          <w:rFonts w:hint="eastAsia" w:ascii="宋体" w:hAnsi="宋体" w:eastAsia="宋体" w:cs="Times New Roman"/>
          <w:color w:val="000000"/>
          <w:sz w:val="24"/>
          <w:highlight w:val="none"/>
          <w:lang w:val="zh-CN"/>
        </w:rPr>
        <w:t xml:space="preserve">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Times New Roman"/>
          <w:color w:val="000000"/>
          <w:sz w:val="24"/>
          <w:highlight w:val="none"/>
          <w:lang w:val="en-US" w:eastAsia="zh-CN"/>
        </w:rPr>
      </w:r>
      <w:r/>
    </w:p>
    <w:p>
      <w:pPr>
        <w:pStyle w:val="869"/>
        <w:ind w:firstLine="422"/>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3"/>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w:t>
      </w:r>
      <w:r>
        <w:rPr>
          <w:rFonts w:hint="eastAsia" w:ascii="宋体" w:hAnsi="宋体" w:eastAsia="宋体" w:cs="Times New Roman"/>
          <w:color w:val="000000"/>
          <w:sz w:val="24"/>
          <w:highlight w:val="none"/>
          <w:lang w:val="en-US" w:eastAsia="zh-CN"/>
        </w:rPr>
        <w:t xml:space="preserve">参加采购活动</w:t>
      </w:r>
      <w:r>
        <w:rPr>
          <w:rFonts w:hint="eastAsia" w:ascii="宋体" w:hAnsi="宋体" w:eastAsia="宋体" w:cs="Times New Roman"/>
          <w:color w:val="000000"/>
          <w:sz w:val="24"/>
          <w:highlight w:val="none"/>
          <w:lang w:val="zh-CN"/>
        </w:rPr>
        <w:t xml:space="preserve">，签订合同时提供国家确定的认证机构出具的、处于有效期之内的节能产品认证证书。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w:t>
      </w:r>
      <w:r>
        <w:rPr>
          <w:rFonts w:hint="eastAsia" w:ascii="宋体" w:hAnsi="宋体" w:eastAsia="宋体" w:cs="Times New Roman"/>
          <w:color w:val="000000"/>
          <w:sz w:val="24"/>
          <w:highlight w:val="none"/>
          <w:lang w:val="en-US" w:eastAsia="zh-CN"/>
        </w:rPr>
        <w:t xml:space="preserve">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文件执行。谈判文件对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谈判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3"/>
        <w:ind w:firstLine="420"/>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873"/>
        <w:ind w:firstLine="420"/>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873"/>
        <w:ind w:firstLine="420"/>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69"/>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941"/>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941"/>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rPr>
          <w:highlight w:val="none"/>
        </w:rPr>
      </w:pPr>
      <w:r>
        <w:rPr>
          <w:highlight w:val="none"/>
        </w:rPr>
      </w:r>
      <w:r/>
    </w:p>
    <w:p>
      <w:pPr>
        <w:pStyle w:val="869"/>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47" w:name="_Toc16938559"/>
      <w:r/>
      <w:bookmarkStart w:id="148" w:name="_Toc513029243"/>
      <w:r/>
      <w:bookmarkStart w:id="149"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69"/>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谈判</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w:t>
      </w:r>
      <w:r>
        <w:rPr>
          <w:rFonts w:hint="eastAsia" w:ascii="宋体" w:hAnsi="宋体" w:eastAsia="宋体" w:cs="Courier New"/>
          <w:color w:val="000000"/>
          <w:sz w:val="24"/>
          <w:szCs w:val="24"/>
          <w:highlight w:val="none"/>
        </w:rPr>
        <w:t xml:space="preserve">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满足合同约定支付条件且预算资金下达后，甲方收到乙方发票1</w:t>
      </w:r>
      <w:r>
        <w:rPr>
          <w:rFonts w:hint="eastAsia" w:ascii="宋体" w:hAnsi="宋体" w:eastAsia="宋体" w:cs="Courier New"/>
          <w:sz w:val="24"/>
          <w:szCs w:val="24"/>
          <w:highlight w:val="none"/>
          <w:lang w:val="en-US" w:eastAsia="zh-CN"/>
        </w:rPr>
        <w:t xml:space="preserve">0个工作日内，将资金支付到合同约定的乙方账户。 </w:t>
      </w:r>
      <w:r>
        <w:rPr>
          <w:rFonts w:hint="eastAsia" w:ascii="宋体" w:hAnsi="宋体" w:eastAsia="宋体" w:cs="Courier New"/>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1"/>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终身维修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的，应按逾期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中扣除。超过约定日期10个工作日不能</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的，甲方可解除本合同。乙方因逾期交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谈判文件</w:t>
      </w:r>
      <w:r>
        <w:rPr>
          <w:rFonts w:hint="eastAsia" w:ascii="宋体" w:hAnsi="宋体" w:eastAsia="宋体" w:cs="Courier New"/>
          <w:color w:val="000000"/>
          <w:sz w:val="24"/>
          <w:szCs w:val="24"/>
          <w:highlight w:val="none"/>
        </w:rPr>
        <w:t xml:space="preserve">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bookmarkEnd w:id="147"/>
      <w:r/>
      <w:bookmarkEnd w:id="148"/>
      <w:r/>
      <w:bookmarkEnd w:id="149"/>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1"/>
        <w:ind w:firstLine="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黑体" w:hAnsi="Courier New" w:eastAsia="黑体" w:cs="Courier New"/>
          <w:bCs/>
          <w:sz w:val="44"/>
          <w:szCs w:val="21"/>
          <w:highlight w:val="none"/>
        </w:rPr>
        <w:outlineLvl w:val="0"/>
      </w:pPr>
      <w:r>
        <w:rPr>
          <w:rFonts w:ascii="黑体" w:hAnsi="Courier New" w:eastAsia="黑体" w:cs="Courier New"/>
          <w:bCs/>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41"/>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142"/>
      <w:r/>
      <w:bookmarkEnd w:id="143"/>
      <w:r/>
      <w:bookmarkEnd w:id="144"/>
      <w:r/>
      <w:bookmarkStart w:id="150" w:name="_Toc26554093"/>
      <w:r/>
      <w:bookmarkStart w:id="151" w:name="_Toc49090575"/>
      <w:r>
        <w:rPr>
          <w:rFonts w:hint="eastAsia" w:ascii="黑体" w:hAnsi="Courier New" w:eastAsia="黑体" w:cs="Courier New"/>
          <w:bCs/>
          <w:sz w:val="44"/>
          <w:szCs w:val="21"/>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一、项目属性</w:t>
      </w:r>
      <w:r>
        <w:rPr>
          <w:rFonts w:hint="eastAsia" w:ascii="黑体" w:hAnsi="黑体" w:eastAsia="黑体" w:cs="黑体"/>
          <w:bCs w:val="0"/>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货物类项目。</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南京市人才服务中心</w:t>
      </w:r>
      <w:r>
        <w:rPr>
          <w:rFonts w:hint="eastAsia" w:ascii="宋体" w:hAnsi="宋体" w:cs="宋体"/>
          <w:bCs/>
          <w:color w:val="000000"/>
          <w:sz w:val="24"/>
          <w:szCs w:val="24"/>
          <w:highlight w:val="none"/>
          <w:lang w:val="en-US" w:eastAsia="zh-CN"/>
        </w:rPr>
        <w:t xml:space="preserve">杂物梯</w:t>
      </w:r>
      <w:r>
        <w:rPr>
          <w:rFonts w:hint="eastAsia" w:ascii="宋体" w:hAnsi="宋体" w:eastAsia="宋体" w:cs="宋体"/>
          <w:bCs/>
          <w:color w:val="000000"/>
          <w:sz w:val="24"/>
          <w:szCs w:val="24"/>
          <w:highlight w:val="none"/>
          <w:lang w:eastAsia="zh-CN"/>
        </w:rPr>
        <w:t xml:space="preserve">更换</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tbl>
      <w:tblPr>
        <w:tblStyle w:val="988"/>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8"/>
        <w:gridCol w:w="726"/>
        <w:gridCol w:w="695"/>
        <w:gridCol w:w="1055"/>
        <w:gridCol w:w="1196"/>
        <w:gridCol w:w="1030"/>
        <w:gridCol w:w="1200"/>
        <w:gridCol w:w="1280"/>
      </w:tblGrid>
      <w:tr>
        <w:trPr>
          <w:trHeight w:val="470"/>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3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69"/>
              <w:jc w:val="center"/>
              <w:keepLines w:val="0"/>
              <w:keepNext w:val="0"/>
              <w:pageBreakBefore w:val="0"/>
              <w:spacing w:line="264" w:lineRule="auto"/>
              <w:widowControl w:val="off"/>
              <w:rPr>
                <w:rFonts w:hint="eastAsia"/>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元</w:t>
            </w:r>
            <w:r>
              <w:rPr>
                <w:rFonts w:hint="eastAsia" w:ascii="宋体" w:hAnsi="宋体" w:eastAsia="宋体" w:cs="宋体"/>
                <w:bCs/>
                <w:sz w:val="24"/>
                <w:szCs w:val="24"/>
                <w:highlight w:val="none"/>
                <w:lang w:eastAsia="zh-CN"/>
              </w:rPr>
              <w:t xml:space="preserve">）</w:t>
            </w:r>
            <w:r>
              <w:rPr>
                <w:rFonts w:hint="eastAsia"/>
                <w:highlight w:val="none"/>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52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中小企业划分标准</w:t>
            </w:r>
            <w:r>
              <w:rPr>
                <w:rFonts w:hint="eastAsia" w:ascii="宋体" w:hAnsi="宋体" w:eastAsia="宋体" w:cs="宋体"/>
                <w:bCs/>
                <w:sz w:val="24"/>
                <w:szCs w:val="24"/>
                <w:highlight w:val="none"/>
              </w:rPr>
              <w:t xml:space="preserve">所属</w:t>
            </w:r>
            <w:r>
              <w:rPr>
                <w:rFonts w:hint="eastAsia" w:ascii="宋体" w:hAnsi="宋体" w:eastAsia="宋体" w:cs="宋体"/>
                <w:bCs/>
                <w:sz w:val="24"/>
                <w:szCs w:val="24"/>
                <w:highlight w:val="none"/>
                <w:lang w:eastAsia="zh-CN"/>
              </w:rPr>
              <w:t xml:space="preserve">行业</w:t>
            </w:r>
            <w:r>
              <w:rPr>
                <w:rFonts w:hint="eastAsia" w:ascii="宋体" w:hAnsi="宋体" w:eastAsia="宋体" w:cs="宋体"/>
                <w:bCs/>
                <w:sz w:val="24"/>
                <w:szCs w:val="24"/>
                <w:highlight w:val="none"/>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属性</w:t>
            </w:r>
            <w:r>
              <w:rPr>
                <w:rFonts w:hint="eastAsia" w:ascii="宋体" w:hAnsi="宋体" w:eastAsia="宋体" w:cs="宋体"/>
                <w:bCs/>
                <w:sz w:val="24"/>
                <w:szCs w:val="24"/>
                <w:highlight w:val="none"/>
                <w:lang w:eastAsia="zh-CN"/>
              </w:rPr>
            </w:r>
            <w:r/>
          </w:p>
        </w:tc>
        <w:tc>
          <w:tcPr>
            <w:tcW w:w="654"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备注</w:t>
            </w:r>
            <w:r>
              <w:rPr>
                <w:rFonts w:hint="eastAsia" w:ascii="宋体" w:hAnsi="宋体" w:eastAsia="宋体" w:cs="Times New Roman"/>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杂物电梯</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部</w:t>
            </w:r>
            <w:r>
              <w:rPr>
                <w:rFonts w:hint="eastAsia" w:ascii="宋体" w:hAnsi="宋体" w:eastAsia="宋体" w:cs="宋体"/>
                <w:bCs/>
                <w:sz w:val="24"/>
                <w:szCs w:val="24"/>
                <w:highlight w:val="none"/>
                <w:lang w:val="en-US" w:eastAsia="zh-CN"/>
              </w:rPr>
            </w:r>
            <w:r/>
          </w:p>
        </w:tc>
        <w:tc>
          <w:tcPr>
            <w:tcW w:w="53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50000</w:t>
            </w:r>
            <w:r>
              <w:rPr>
                <w:rFonts w:ascii="宋体" w:hAnsi="宋体" w:eastAsia="宋体" w:cs="宋体"/>
                <w:bCs/>
                <w:sz w:val="24"/>
                <w:szCs w:val="24"/>
                <w:highlight w:val="none"/>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主要产品</w:t>
            </w:r>
            <w:r>
              <w:rPr>
                <w:rFonts w:hint="eastAsia" w:ascii="宋体" w:hAnsi="宋体" w:eastAsia="宋体" w:cs="宋体"/>
                <w:bCs/>
                <w:sz w:val="24"/>
                <w:szCs w:val="24"/>
                <w:highlight w:val="none"/>
                <w:lang w:val="en-US" w:eastAsia="zh-CN"/>
              </w:rPr>
            </w:r>
            <w:r/>
          </w:p>
        </w:tc>
        <w:tc>
          <w:tcPr>
            <w:tcW w:w="52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工业</w:t>
            </w:r>
            <w:r>
              <w:rPr>
                <w:rFonts w:hint="eastAsia" w:ascii="宋体" w:hAnsi="宋体" w:eastAsia="宋体" w:cs="宋体"/>
                <w:bCs/>
                <w:sz w:val="24"/>
                <w:szCs w:val="24"/>
                <w:highlight w:val="none"/>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货物</w:t>
            </w:r>
            <w:r>
              <w:rPr>
                <w:rFonts w:hint="eastAsia" w:ascii="宋体" w:hAnsi="宋体" w:eastAsia="宋体" w:cs="宋体"/>
                <w:bCs/>
                <w:sz w:val="24"/>
                <w:szCs w:val="24"/>
                <w:highlight w:val="none"/>
                <w:lang w:val="en-US" w:eastAsia="zh-CN"/>
              </w:rPr>
            </w:r>
            <w:r/>
          </w:p>
        </w:tc>
        <w:tc>
          <w:tcPr>
            <w:tcW w:w="6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窗口式</w:t>
            </w:r>
            <w:r>
              <w:rPr>
                <w:rFonts w:hint="eastAsia" w:ascii="宋体" w:hAnsi="宋体" w:eastAsia="宋体" w:cs="宋体"/>
                <w:bCs/>
                <w:sz w:val="24"/>
                <w:szCs w:val="24"/>
                <w:highlight w:val="none"/>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8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8"/>
        <w:gridCol w:w="3252"/>
        <w:gridCol w:w="5459"/>
      </w:tblGrid>
      <w:tr>
        <w:trPr>
          <w:trHeight w:val="438"/>
        </w:trPr>
        <w:tc>
          <w:tcPr>
            <w:gridSpan w:val="2"/>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技术参数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不低于以下要求</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建筑尺寸</w:t>
            </w:r>
            <w:r>
              <w:rPr>
                <w:rFonts w:hint="eastAsia" w:ascii="宋体" w:hAnsi="宋体" w:eastAsia="宋体" w:cs="宋体"/>
                <w:bCs/>
                <w:sz w:val="24"/>
                <w:szCs w:val="24"/>
                <w:highlight w:val="none"/>
                <w:lang w:val="zh-CN" w:eastAsia="zh-CN"/>
              </w:rPr>
              <w:t xml:space="preserve">（仅供参考，</w:t>
            </w:r>
            <w:r>
              <w:rPr>
                <w:rFonts w:hint="eastAsia" w:ascii="宋体" w:hAnsi="宋体" w:eastAsia="宋体" w:cs="宋体"/>
                <w:bCs/>
                <w:sz w:val="24"/>
                <w:szCs w:val="24"/>
                <w:highlight w:val="none"/>
                <w:lang w:val="en-US" w:eastAsia="zh-CN"/>
              </w:rPr>
              <w:t xml:space="preserve">以现场实际为准</w:t>
            </w:r>
            <w:r>
              <w:rPr>
                <w:rFonts w:hint="eastAsia" w:ascii="宋体" w:hAnsi="宋体" w:eastAsia="宋体" w:cs="宋体"/>
                <w:bCs/>
                <w:sz w:val="24"/>
                <w:szCs w:val="24"/>
                <w:highlight w:val="none"/>
                <w:lang w:val="zh-CN" w:eastAsia="zh-CN"/>
              </w:rPr>
              <w:t xml:space="preserve">）</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井道尺寸（宽*深mm）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1600</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1300</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开门尺寸（宽*高mm）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520*720</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轿厢尺寸（宽*深mm）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500*600</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轿厢净高（mm）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600</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顶层净高（mm）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3200</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机房尺寸(宽×深×高)(mm)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ascii="宋体" w:hAnsi="宋体" w:eastAsia="宋体" w:cs="宋体"/>
                <w:sz w:val="24"/>
                <w:szCs w:val="24"/>
              </w:rPr>
              <w:t xml:space="preserve">根据实际现场尺寸</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底坑深度（mm）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ascii="宋体" w:hAnsi="宋体" w:eastAsia="宋体" w:cs="宋体"/>
                <w:sz w:val="24"/>
                <w:szCs w:val="24"/>
              </w:rPr>
              <w:t xml:space="preserve">根据实际现场尺寸</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配置</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要求</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调速方式</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控制方式</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开门方式</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门保护装置</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电源适应</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额定速度（m/s）</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数量</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层站门数</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额定载重量（kg）</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提升高度（mm）</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变频调速控制</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门外触摸式按钮控制（不锈钢面板）</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手动上下开门</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安全触板</w:t>
            </w:r>
            <w:r>
              <w:rPr>
                <w:rFonts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交流50赫兹，三相 380V、40A，单相220V、5A</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≥0.4m/s</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1台</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2层/2站/2门</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00kg</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ascii="宋体" w:hAnsi="宋体" w:eastAsia="宋体" w:cs="宋体"/>
                <w:bCs/>
                <w:sz w:val="24"/>
                <w:szCs w:val="24"/>
                <w:highlight w:val="none"/>
                <w:lang w:val="en-US" w:eastAsia="zh-CN"/>
              </w:rPr>
            </w:pPr>
            <w:r>
              <w:rPr>
                <w:rFonts w:ascii="宋体" w:hAnsi="宋体" w:eastAsia="宋体" w:cs="宋体"/>
                <w:sz w:val="24"/>
                <w:szCs w:val="24"/>
              </w:rPr>
              <w:t xml:space="preserve">根据实际现场尺寸</w:t>
            </w:r>
            <w:r>
              <w:rPr>
                <w:rFonts w:ascii="宋体" w:hAnsi="宋体" w:eastAsia="宋体" w:cs="宋体"/>
                <w:bCs/>
                <w:sz w:val="24"/>
                <w:szCs w:val="24"/>
                <w:highlight w:val="none"/>
                <w:lang w:val="en-US" w:eastAsia="zh-CN"/>
              </w:rPr>
            </w:r>
            <w:r/>
          </w:p>
        </w:tc>
      </w:tr>
      <w:tr>
        <w:trPr>
          <w:trHeight w:val="86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乘客电梯轿厢运行时垂直方向和水平方向的振动加速度</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平层准确度</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噪声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符合国标</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符合国标</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符合国标</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none" w:color="000000" w:sz="4"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轿厢装饰</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轿厢壁</w:t>
            </w:r>
            <w:r>
              <w:rPr>
                <w:rFonts w:hint="eastAsia" w:ascii="宋体" w:hAnsi="宋体" w:eastAsia="宋体" w:cs="宋体"/>
                <w:bCs/>
                <w:sz w:val="24"/>
                <w:szCs w:val="24"/>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轿厢底板</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tabs>
                <w:tab w:val="left" w:pos="3543"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发纹不锈钢，厚度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r>
            <w:r/>
          </w:p>
        </w:tc>
      </w:tr>
      <w:tr>
        <w:trPr>
          <w:trHeight w:val="438"/>
        </w:trPr>
        <w:tc>
          <w:tcPr>
            <w:tcBorders>
              <w:top w:val="non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发纹不锈钢，厚度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r>
            <w:r/>
          </w:p>
        </w:tc>
      </w:tr>
      <w:tr>
        <w:trPr>
          <w:trHeight w:val="438"/>
        </w:trPr>
        <w:tc>
          <w:tcPr>
            <w:tcBorders>
              <w:top w:val="single" w:color="000000" w:sz="4" w:space="0"/>
              <w:left w:val="single" w:color="000000" w:sz="4" w:space="0"/>
              <w:bottom w:val="none" w:color="000000" w:sz="4" w:space="0"/>
              <w:right w:val="single" w:color="000000" w:sz="4" w:space="0"/>
            </w:tcBorders>
            <w:tcW w:w="1128" w:type="dxa"/>
            <w:vAlign w:val="center"/>
            <w:vMerge w:val="restart"/>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厅门及外召唤</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厅门</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发纹不锈钢，厚度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r>
            <w:r/>
          </w:p>
        </w:tc>
      </w:tr>
      <w:tr>
        <w:trPr>
          <w:trHeight w:val="438"/>
        </w:trPr>
        <w:tc>
          <w:tcPr>
            <w:tcBorders>
              <w:top w:val="none" w:color="000000" w:sz="4" w:space="0"/>
              <w:left w:val="single" w:color="000000" w:sz="4" w:space="0"/>
              <w:bottom w:val="non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厅外召唤</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门外触摸式按钮控制（不锈钢面板，厚度</w:t>
            </w:r>
            <w:r>
              <w:t xml:space="preserve">≥1.5</w:t>
            </w:r>
            <w:r>
              <w:rPr>
                <w:rFonts w:hint="eastAsia" w:ascii="宋体" w:hAnsi="宋体" w:eastAsia="宋体" w:cs="宋体"/>
                <w:bCs/>
                <w:sz w:val="24"/>
                <w:szCs w:val="24"/>
                <w:highlight w:val="none"/>
                <w:lang w:val="en-US" w:eastAsia="zh-CN"/>
              </w:rPr>
              <w:t xml:space="preserve">mm）</w:t>
            </w:r>
            <w:r>
              <w:rPr>
                <w:rFonts w:hint="eastAsia" w:ascii="宋体" w:hAnsi="宋体" w:eastAsia="宋体" w:cs="宋体"/>
                <w:bCs/>
                <w:sz w:val="24"/>
                <w:szCs w:val="24"/>
                <w:highlight w:val="none"/>
                <w:lang w:val="en-US" w:eastAsia="zh-CN"/>
              </w:rPr>
            </w:r>
            <w:r/>
          </w:p>
        </w:tc>
      </w:tr>
      <w:tr>
        <w:trPr>
          <w:trHeight w:val="438"/>
        </w:trPr>
        <w:tc>
          <w:tcPr>
            <w:tcBorders>
              <w:top w:val="non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厅门显示器</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数字显示式</w:t>
            </w:r>
            <w:r>
              <w:rPr>
                <w:rFonts w:hint="eastAsia" w:ascii="宋体" w:hAnsi="宋体" w:eastAsia="宋体" w:cs="宋体"/>
                <w:bCs/>
                <w:sz w:val="24"/>
                <w:szCs w:val="24"/>
                <w:highlight w:val="none"/>
                <w:lang w:val="en-US" w:eastAsia="zh-CN"/>
              </w:rPr>
            </w:r>
            <w:r/>
          </w:p>
        </w:tc>
      </w:tr>
      <w:tr>
        <w:trPr>
          <w:trHeight w:val="636"/>
        </w:trPr>
        <w:tc>
          <w:tcPr>
            <w:gridSpan w:val="2"/>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功能要求</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1、自动平层：轿厢自动运行到呼梯层位置</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2、检修操作：在机房可以控制检修运行</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3、到站提示：具有到站按钮灯提示功能</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4、多站卸货：从某一层装载后可依次卸货</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5、厅外召唤和指令：在厅外呼梯或指令轿厢到其它层</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6、楼层数显功能：数码显示轿厢所在楼层</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7、运行方向显示：运行方向由(↑↓)发光箭头显示</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8、呼梯应答：按下呼梯钮、被呼层灯亮、到站灭</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9、紧急开锁装置：两端站有机械门锁、可用三角钥匙开启</w:t>
            </w:r>
            <w:r>
              <w:rPr>
                <w:rFonts w:hint="eastAsia" w:ascii="宋体" w:hAnsi="宋体" w:eastAsia="宋体" w:cs="宋体"/>
                <w:bCs/>
                <w:sz w:val="24"/>
                <w:szCs w:val="24"/>
                <w:highlight w:val="none"/>
                <w:lang w:val="en-US" w:eastAsia="zh-CN"/>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主要安全装置</w:t>
            </w:r>
            <w:r>
              <w:rPr>
                <w:rFonts w:hint="eastAsia" w:ascii="宋体" w:hAnsi="宋体" w:eastAsia="宋体" w:cs="宋体"/>
                <w:bCs/>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1、动力电源断、错相保护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2、上、下极限保护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3、厅门电器联锁保护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4、厅门机械门锁</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5、电器断路器保护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6、底坑缓冲器</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7、电磁制动器</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8、接触器粘接保护</w:t>
            </w:r>
            <w:r>
              <w:rPr>
                <w:rFonts w:hint="eastAsia" w:ascii="宋体" w:hAnsi="宋体" w:eastAsia="宋体" w:cs="宋体"/>
                <w:bCs/>
                <w:sz w:val="24"/>
                <w:szCs w:val="24"/>
                <w:highlight w:val="none"/>
                <w:lang w:val="en-US" w:eastAsia="zh-CN"/>
              </w:rPr>
            </w:r>
            <w:r/>
          </w:p>
          <w:p>
            <w:pPr>
              <w:pStyle w:val="869"/>
              <w:jc w:val="left"/>
              <w:keepLines w:val="0"/>
              <w:keepNext w:val="0"/>
              <w:pageBreakBefore w:val="0"/>
              <w:spacing w:line="3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9、运行超时保护</w:t>
            </w:r>
            <w:r>
              <w:rPr>
                <w:rFonts w:hint="eastAsia" w:ascii="宋体" w:hAnsi="宋体" w:eastAsia="宋体" w:cs="宋体"/>
                <w:bCs/>
                <w:sz w:val="24"/>
                <w:szCs w:val="24"/>
                <w:highlight w:val="none"/>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Times New Roman"/>
          <w:b w:val="0"/>
          <w:bCs w:val="0"/>
          <w:i w:val="0"/>
          <w:iCs w:val="0"/>
          <w:color w:val="000000"/>
          <w:sz w:val="24"/>
          <w:highlight w:val="none"/>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（3）供应商报价除包含谈判文件中列明的项目外，还应包括保障产品正常使用应当具有的物资和服务，对产品正常使用应当具有的物资和服务理解不一致的以采购人理解为准。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项目报价中，包含原旧电梯（2层2站电梯，含轿厢、钢丝绳、随行电缆、层门、曳引机等附属设备）的设备拆除、拆除现场清理、搬运至指定地点以及配合办理报废手续的费用，供应商在报价时，应自行考虑由此产生的费用，相关费用应包含在本次报价中。</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本项目为交钥匙工程。供应商有义务保证采购人系统的功能性和完整性，未在采购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（2）质量要求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①供应商应保证货物是全新、未使用过的、符合国家质量检测标准的原装合格正品。</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④供应商提供的货物必须符合国家有关质量技术标准及相关法律、法规规定的要求。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①验收标准：供应商提供的设备必须符合我国最新颁布的与之相关的技术规范与标准，同时须符合响应文件承诺。</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④供应商授权的技术人员在采购人指定地点开箱、安装、调试，协同采购人一起进行验收，直至设备技术指标经验收合格，出具验收报告，经采购人同意签字才能正式交付用户使用。</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⑤产品配置必须符合响应文件承诺。</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①质保和维保期限：供应商提供质保和维保服务，本项目整体质保期4年，所有相关费用包含在本次报价中（</w:t>
      </w:r>
      <w:r>
        <w:rPr>
          <w:rFonts w:hint="eastAsia" w:ascii="宋体" w:hAnsi="宋体" w:eastAsia="宋体" w:cs="宋体"/>
          <w:bCs/>
          <w:color w:val="000000"/>
          <w:sz w:val="24"/>
          <w:szCs w:val="24"/>
          <w:highlight w:val="none"/>
          <w:lang w:val="en-US" w:eastAsia="zh-CN"/>
        </w:rPr>
        <w:t xml:space="preserve">自政府部门验收合格后，并取得南京市质监部门出具的验收报告之日起进入质保期，质保和维保服务不得分包与转包</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②质保期内因设备本身缺陷造成各种故障应由供应商提供技术服务和维修（费用包含在总报价中）。</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出现故障损坏时，供应商接到报修通知后的响应时间为10分钟内，安排的维修人员在30分钟内赶到现场，一般故障24小时内解决，现场解决不了的重大故障，须从故障报修的隔天起计，3个自然日内解决。质保期后，供应商提供终身服务，在设备的设计使用寿命周期内，供应商应能保证采购人更换到原厂的备件材料，确保产品的正常使用，维修费用按照材料成本收取。</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质保和维保期内，供应商需按照《电梯维护保养规则》最新版本的要求提供以下服务：每月、每季度、半年、全年实施定期性保养；一梯一档记录；提供年检服务；监护（保驾）服务：当有重大活动时，或有重要领导或重要客人来访时，采购人提前通知供应商，供应商须提前对要使用的电梯进行安全运行方面的检测和确认，并在活动期间派专人对电梯进行现场监护，提醒服务，维修服务等。</w:t>
      </w:r>
      <w:r>
        <w:rPr>
          <w:rFonts w:ascii="宋体" w:hAnsi="宋体" w:eastAsia="宋体" w:cs="宋体"/>
          <w:b w:val="0"/>
          <w:bCs w:val="0"/>
          <w:color w:val="0000ff"/>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52"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谈判文件中要求提供证明材料的，签订合同时供应商应按谈判文件要求和响应文件响应内容提供相应证明材料原件供采购人核验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谈判文件成交标准中涉及的相关证明材料，应在响应文件中提供，由评审小组在评审现场予以确认。签订合同时供应商应按采购人要求提供上述证明材料原件供采购人核验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bookmarkEnd w:id="152"/>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1"/>
        <w:rPr>
          <w:rFonts w:hint="eastAsia"/>
          <w:lang w:val="en-US" w:eastAsia="zh-CN"/>
        </w:rPr>
      </w:pPr>
      <w:r>
        <w:rPr>
          <w:rFonts w:hint="eastAsia"/>
          <w:lang w:val="en-US"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宋体" w:hAnsi="宋体"/>
          <w:color w:val="ff0000"/>
          <w:sz w:val="24"/>
          <w:szCs w:val="21"/>
          <w:highlight w:val="none"/>
        </w:rPr>
        <w:br w:type="page" w:clear="all"/>
      </w:r>
      <w:bookmarkStart w:id="153"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869"/>
        <w:contextualSpacing w:val="0"/>
        <w:ind w:firstLine="420"/>
        <w:jc w:val="left"/>
        <w:keepLines w:val="0"/>
        <w:keepNext w:val="0"/>
        <w:pageBreakBefore w:val="0"/>
        <w:spacing w:before="0" w:after="0" w:line="240" w:lineRule="auto"/>
        <w:widowControl w:val="off"/>
        <w:rPr>
          <w:rFonts w:hint="eastAsia" w:ascii="Times New Roman" w:hAnsi="Times New Roman" w:eastAsia="宋体" w:cs="Times New Roman"/>
          <w:b w:val="0"/>
          <w:bCs w:val="0"/>
          <w:sz w:val="21"/>
          <w:szCs w:val="21"/>
          <w:highlight w:val="none"/>
        </w:rPr>
        <w:suppressLineNumbers w:val="0"/>
      </w:pPr>
      <w:r>
        <w:rPr>
          <w:rFonts w:hint="eastAsia" w:ascii="Times New Roman" w:hAnsi="Times New Roman" w:eastAsia="宋体" w:cs="Times New Roman"/>
          <w:b w:val="0"/>
          <w:bCs w:val="0"/>
          <w:sz w:val="21"/>
          <w:szCs w:val="21"/>
          <w:highlight w:val="none"/>
          <w:lang w:eastAsia="zh-CN"/>
        </w:rPr>
      </w:r>
      <w:r/>
    </w:p>
    <w:p>
      <w:pPr>
        <w:pStyle w:val="869"/>
        <w:contextualSpacing w:val="0"/>
        <w:ind w:firstLine="480"/>
        <w:jc w:val="left"/>
        <w:keepLines w:val="0"/>
        <w:keepNext w:val="0"/>
        <w:pageBreakBefore w:val="0"/>
        <w:spacing w:before="0" w:after="0" w:line="240" w:lineRule="auto"/>
        <w:widowControl w:val="off"/>
        <w:rPr>
          <w:rFonts w:hint="eastAsia" w:ascii="黑体" w:hAnsi="黑体" w:eastAsia="黑体" w:cs="黑体"/>
          <w:b w:val="0"/>
          <w:bCs w:val="0"/>
          <w:color w:val="000000"/>
          <w:sz w:val="24"/>
          <w:szCs w:val="24"/>
          <w:highlight w:val="none"/>
        </w:rPr>
        <w:suppressLineNumbers w:val="0"/>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869"/>
        <w:contextualSpacing w:val="0"/>
        <w:ind w:firstLine="482"/>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sz w:val="24"/>
          <w:szCs w:val="24"/>
          <w:highlight w:val="none"/>
          <w:lang w:val="zh-CN" w:eastAsia="zh-CN"/>
        </w:rPr>
        <w:t xml:space="preserve">谈判</w:t>
      </w:r>
      <w:r>
        <w:rPr>
          <w:rFonts w:hint="eastAsia" w:ascii="宋体" w:hAnsi="宋体" w:eastAsia="宋体" w:cs="宋体"/>
          <w:b/>
          <w:bCs/>
          <w:color w:val="000000"/>
          <w:sz w:val="24"/>
          <w:szCs w:val="24"/>
          <w:highlight w:val="none"/>
          <w:lang w:val="zh-CN" w:eastAsia="zh-CN"/>
        </w:rPr>
        <w:t xml:space="preserve">小组从质量和服务均能满足谈判文件实质性要求的供应商中，按照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99"/>
        <w:contextualSpacing w:val="0"/>
        <w:ind w:firstLine="480"/>
        <w:jc w:val="left"/>
        <w:spacing w:before="0" w:after="0" w:line="240" w:lineRule="auto"/>
        <w:rPr>
          <w:rFonts w:hint="eastAsia" w:ascii="宋体" w:hAnsi="宋体" w:eastAsia="宋体" w:cs="宋体"/>
          <w:color w:val="0000ff"/>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color w:val="0000ff"/>
          <w:sz w:val="24"/>
          <w:szCs w:val="24"/>
          <w:highlight w:val="none"/>
          <w:lang w:val="en-US" w:eastAsia="zh-CN"/>
        </w:rPr>
      </w:r>
      <w:r/>
    </w:p>
    <w:p>
      <w:pPr>
        <w:pStyle w:val="869"/>
        <w:contextualSpacing w:val="0"/>
        <w:ind w:firstLine="480"/>
        <w:jc w:val="left"/>
        <w:spacing w:before="0" w:after="0" w:line="240" w:lineRule="auto"/>
        <w:widowControl w:val="off"/>
        <w:rPr>
          <w:rFonts w:hint="eastAsia" w:ascii="黑体" w:hAnsi="黑体" w:eastAsia="黑体" w:cs="黑体"/>
          <w:color w:val="000000"/>
          <w:sz w:val="24"/>
          <w:szCs w:val="24"/>
          <w:highlight w:val="none"/>
        </w:rPr>
        <w:suppressLineNumbers w:val="0"/>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69"/>
        <w:contextualSpacing w:val="0"/>
        <w:ind w:firstLine="420"/>
        <w:jc w:val="left"/>
        <w:spacing w:before="0" w:after="0" w:line="240" w:lineRule="auto"/>
        <w:rPr>
          <w:rFonts w:hint="eastAsia" w:ascii="宋体" w:hAnsi="宋体" w:eastAsia="宋体" w:cs="Times New Roman"/>
          <w:color w:val="000000"/>
          <w:sz w:val="24"/>
          <w:highlight w:val="none"/>
        </w:rPr>
        <w:suppressLineNumbers w:val="0"/>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869"/>
        <w:contextualSpacing w:val="0"/>
        <w:ind w:firstLine="420"/>
        <w:jc w:val="left"/>
        <w:spacing w:before="0" w:after="0" w:line="240" w:lineRule="auto"/>
        <w:rPr>
          <w:rFonts w:hint="eastAsia" w:ascii="宋体" w:hAnsi="宋体" w:eastAsia="宋体" w:cs="Times New Roman"/>
          <w:i w:val="0"/>
          <w:iCs w:val="0"/>
          <w:caps w:val="0"/>
          <w:color w:val="000000"/>
          <w:spacing w:val="0"/>
          <w:sz w:val="24"/>
          <w:szCs w:val="24"/>
          <w:highlight w:val="none"/>
          <w:shd w:val="clear" w:color="auto" w:fill="auto"/>
        </w:rPr>
        <w:suppressLineNumbers w:val="0"/>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69"/>
        <w:contextualSpacing w:val="0"/>
        <w:ind w:firstLine="420"/>
        <w:jc w:val="left"/>
        <w:spacing w:before="0" w:after="0" w:line="240" w:lineRule="auto"/>
        <w:rPr>
          <w:rFonts w:hint="eastAsia" w:ascii="宋体" w:hAnsi="宋体"/>
          <w:sz w:val="24"/>
          <w:szCs w:val="24"/>
          <w:highlight w:val="none"/>
        </w:rPr>
        <w:suppressLineNumbers w:val="0"/>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按照谈判文件要求在《分项报价表》中作出承诺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sz w:val="24"/>
          <w:szCs w:val="24"/>
          <w:highlight w:val="none"/>
        </w:rPr>
      </w:r>
      <w:r/>
    </w:p>
    <w:p>
      <w:pPr>
        <w:pStyle w:val="869"/>
        <w:contextualSpacing w:val="0"/>
        <w:jc w:val="left"/>
        <w:spacing w:before="0" w:after="0" w:line="240" w:lineRule="auto"/>
        <w:rPr>
          <w:rFonts w:hint="eastAsia" w:ascii="宋体" w:hAnsi="宋体" w:eastAsia="宋体" w:cs="Times New Roman"/>
          <w:color w:val="000000"/>
          <w:sz w:val="24"/>
          <w:szCs w:val="22"/>
          <w:highlight w:val="none"/>
        </w:rPr>
        <w:suppressLineNumbers w:val="0"/>
      </w:pPr>
      <w:r>
        <w:rPr>
          <w:rFonts w:hint="eastAsia" w:ascii="宋体" w:hAnsi="宋体" w:eastAsia="宋体" w:cs="Times New Roman"/>
          <w:color w:val="000000"/>
          <w:sz w:val="24"/>
          <w:highlight w:val="none"/>
          <w:lang w:val="en-US" w:eastAsia="zh-CN"/>
        </w:rPr>
        <w:t xml:space="preserve">3.供应商需按照谈判文件要求提供《关于符合本国产品标准的声明函》，如不提供将不享受本国产品价格评审优惠。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869"/>
        <w:contextualSpacing w:val="0"/>
        <w:ind w:firstLine="420"/>
        <w:jc w:val="left"/>
        <w:keepLines w:val="0"/>
        <w:keepNext w:val="0"/>
        <w:pageBreakBefore w:val="0"/>
        <w:spacing w:before="0" w:after="0" w:line="240" w:lineRule="auto"/>
        <w:widowControl/>
        <w:rPr>
          <w:rFonts w:hint="eastAsia" w:ascii="宋体" w:hAnsi="宋体" w:eastAsia="宋体" w:cs="宋体"/>
          <w:b/>
          <w:bCs/>
          <w:color w:val="0000ff"/>
          <w:sz w:val="24"/>
          <w:szCs w:val="24"/>
          <w:highlight w:val="none"/>
          <w:u w:val="none"/>
        </w:rPr>
        <w:suppressLineNumbers w:val="0"/>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contextualSpacing w:val="0"/>
        <w:ind w:firstLine="480"/>
        <w:jc w:val="left"/>
        <w:spacing w:before="0" w:after="0" w:line="240" w:lineRule="auto"/>
        <w:rPr>
          <w:rFonts w:hint="eastAsia" w:ascii="黑体" w:hAnsi="黑体" w:eastAsia="黑体" w:cs="黑体"/>
          <w:b w:val="0"/>
          <w:bCs w:val="0"/>
          <w:color w:val="000000"/>
          <w:sz w:val="24"/>
          <w:szCs w:val="24"/>
          <w:highlight w:val="none"/>
        </w:rPr>
        <w:suppressLineNumbers w:val="0"/>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contextualSpacing w:val="0"/>
        <w:ind w:firstLine="420"/>
        <w:jc w:val="left"/>
        <w:keepLines w:val="0"/>
        <w:keepNext w:val="0"/>
        <w:pageBreakBefore w:val="0"/>
        <w:spacing w:before="0" w:after="0" w:line="240" w:lineRule="auto"/>
        <w:widowControl w:val="off"/>
        <w:rPr>
          <w:rFonts w:hint="eastAsia" w:ascii="宋体" w:hAnsi="宋体" w:eastAsia="宋体" w:cs="Times New Roman"/>
          <w:color w:val="000000"/>
          <w:sz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Times New Roman"/>
          <w:color w:val="000000"/>
          <w:sz w:val="24"/>
          <w:highlight w:val="none"/>
          <w:lang w:val="zh-CN" w:eastAsia="zh-CN"/>
        </w:rPr>
        <w:t xml:space="preserve">本项目全部货物制造商为小微企业的，</w:t>
      </w:r>
      <w:r>
        <w:rPr>
          <w:rFonts w:hint="eastAsia" w:ascii="宋体" w:hAnsi="宋体" w:eastAsia="宋体" w:cs="Times New Roman"/>
          <w:color w:val="000000"/>
          <w:sz w:val="24"/>
          <w:highlight w:val="none"/>
          <w:lang w:val="en-US" w:eastAsia="zh-CN"/>
        </w:rPr>
        <w:t xml:space="preserve">对报价给予</w:t>
      </w:r>
      <w:r>
        <w:rPr>
          <w:rFonts w:hint="eastAsia" w:ascii="宋体" w:hAnsi="宋体"/>
          <w:color w:val="000000"/>
          <w:sz w:val="24"/>
          <w:szCs w:val="24"/>
          <w:highlight w:val="none"/>
        </w:rPr>
        <w:t xml:space="preserve">10%</w:t>
      </w:r>
      <w:r>
        <w:rPr>
          <w:rFonts w:hint="eastAsia" w:ascii="宋体" w:hAnsi="宋体" w:eastAsia="宋体" w:cs="Times New Roman"/>
          <w:color w:val="000000"/>
          <w:sz w:val="24"/>
          <w:highlight w:val="none"/>
          <w:lang w:val="en-US" w:eastAsia="zh-CN"/>
        </w:rPr>
        <w:t xml:space="preserve">的扣除，用扣除后的价格参与评审。</w:t>
      </w:r>
      <w:r>
        <w:rPr>
          <w:rFonts w:hint="eastAsia" w:ascii="宋体" w:hAnsi="宋体" w:eastAsia="宋体" w:cs="Times New Roman"/>
          <w:color w:val="000000"/>
          <w:sz w:val="24"/>
          <w:highlight w:val="none"/>
          <w:lang w:val="en-US" w:eastAsia="zh-CN"/>
        </w:rPr>
      </w:r>
      <w:r/>
    </w:p>
    <w:p>
      <w:pPr>
        <w:pStyle w:val="869"/>
        <w:contextualSpacing w:val="0"/>
        <w:ind w:firstLine="480"/>
        <w:jc w:val="left"/>
        <w:keepLines w:val="0"/>
        <w:keepNext w:val="0"/>
        <w:pageBreakBefore w:val="0"/>
        <w:spacing w:before="0" w:after="0" w:line="24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150"/>
      <w:r/>
      <w:bookmarkEnd w:id="151"/>
      <w:r/>
      <w:bookmarkEnd w:id="153"/>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869"/>
        <w:jc w:val="center"/>
        <w:rPr>
          <w:rFonts w:hint="eastAsia" w:ascii="宋体" w:hAnsi="宋体"/>
          <w:b/>
          <w:sz w:val="72"/>
          <w:szCs w:val="21"/>
          <w:highlight w:val="none"/>
        </w:rPr>
      </w:pPr>
      <w:r/>
      <w:bookmarkStart w:id="154" w:name="_Hlt26955039"/>
      <w:r/>
      <w:bookmarkEnd w:id="154"/>
      <w:r/>
      <w:bookmarkStart w:id="155" w:name="_Hlt26671244"/>
      <w:r/>
      <w:bookmarkEnd w:id="155"/>
      <w:r/>
      <w:bookmarkStart w:id="156" w:name="_Toc120614282"/>
      <w:r/>
      <w:bookmarkStart w:id="157" w:name="_Toc26554094"/>
      <w:r/>
      <w:bookmarkStart w:id="158" w:name="_Toc49090576"/>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869"/>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869"/>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rPr>
      </w:r>
      <w:r/>
    </w:p>
    <w:p>
      <w:pPr>
        <w:pStyle w:val="869"/>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both"/>
        <w:rPr>
          <w:rFonts w:hint="eastAsia" w:ascii="宋体" w:hAnsi="宋体"/>
          <w:b/>
          <w:bCs/>
          <w:sz w:val="32"/>
          <w:szCs w:val="32"/>
          <w:highlight w:val="none"/>
        </w:rPr>
      </w:pPr>
      <w:r>
        <w:rPr>
          <w:rFonts w:hint="eastAsia" w:ascii="宋体" w:hAnsi="宋体"/>
          <w:b/>
          <w:bCs/>
          <w:sz w:val="32"/>
          <w:szCs w:val="32"/>
          <w:highlight w:val="none"/>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谈判响应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谈判报价表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869"/>
        <w:ind w:firstLine="560"/>
        <w:spacing w:line="600" w:lineRule="exact"/>
        <w:rPr>
          <w:rFonts w:hint="eastAsia" w:ascii="宋体" w:hAnsi="宋体" w:eastAsia="宋体" w:cs="宋体"/>
          <w:i w:val="0"/>
          <w:sz w:val="28"/>
          <w:szCs w:val="28"/>
          <w:highlight w:val="none"/>
          <w:u w:val="none"/>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i w:val="0"/>
          <w:sz w:val="28"/>
          <w:szCs w:val="28"/>
          <w:highlight w:val="none"/>
          <w:u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sz w:val="24"/>
          <w:szCs w:val="21"/>
          <w:highlight w:val="none"/>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的政府采购活动，由其代表我方办理上述项目在响应、谈判、澄清确认过程中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谈判</w:t>
      </w:r>
      <w:r>
        <w:rPr>
          <w:rFonts w:hint="eastAsia"/>
          <w:sz w:val="24"/>
          <w:szCs w:val="24"/>
          <w:highlight w:val="none"/>
        </w:rPr>
        <w:t xml:space="preserve">有效期届满之日止。</w:t>
      </w:r>
      <w:r>
        <w:rPr>
          <w:rFonts w:hint="eastAsia"/>
          <w:sz w:val="24"/>
          <w:szCs w:val="24"/>
          <w:highlight w:val="none"/>
        </w:rPr>
      </w:r>
      <w:r/>
    </w:p>
    <w:p>
      <w:pPr>
        <w:pStyle w:val="96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6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7"/>
        <w:ind w:firstLine="0"/>
        <w:rPr>
          <w:rFonts w:hint="eastAsia"/>
          <w:highlight w:val="none"/>
        </w:rPr>
      </w:pPr>
      <w:r>
        <w:rPr>
          <w:rFonts w:hint="eastAsia"/>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（仅限谈判文件注明允许分支机构</w:t>
      </w:r>
      <w:r>
        <w:rPr>
          <w:rFonts w:hint="eastAsia" w:ascii="Times New Roman" w:hAnsi="Times New Roman" w:eastAsia="宋体" w:cs="Times New Roman"/>
          <w:bCs w:val="0"/>
          <w:sz w:val="24"/>
          <w:szCs w:val="24"/>
          <w:highlight w:val="none"/>
          <w:lang w:val="en-US" w:eastAsia="zh-CN"/>
        </w:rPr>
        <w:t xml:space="preserve">参加谈判</w:t>
      </w:r>
      <w:r>
        <w:rPr>
          <w:rFonts w:hint="eastAsia" w:ascii="Times New Roman" w:hAnsi="Times New Roman" w:eastAsia="宋体" w:cs="Times New Roman"/>
          <w:bCs w:val="0"/>
          <w:sz w:val="24"/>
          <w:szCs w:val="24"/>
          <w:highlight w:val="none"/>
          <w:lang w:eastAsia="zh-CN"/>
        </w:rPr>
        <w:t xml:space="preserve">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w:t>
      </w:r>
      <w:r>
        <w:rPr>
          <w:rFonts w:hint="eastAsia" w:ascii="Times New Roman" w:hAnsi="Times New Roman" w:eastAsia="宋体" w:cs="Times New Roman"/>
          <w:bCs w:val="0"/>
          <w:sz w:val="24"/>
          <w:szCs w:val="24"/>
          <w:highlight w:val="none"/>
          <w:lang w:val="en-US" w:eastAsia="zh-CN"/>
        </w:rPr>
        <w:t xml:space="preserve">签</w:t>
      </w:r>
      <w:r>
        <w:rPr>
          <w:rFonts w:hint="eastAsia" w:ascii="Times New Roman" w:hAnsi="Times New Roman" w:eastAsia="宋体" w:cs="Times New Roman"/>
          <w:bCs w:val="0"/>
          <w:sz w:val="24"/>
          <w:szCs w:val="24"/>
          <w:highlight w:val="none"/>
        </w:rPr>
        <w:t xml:space="preserve">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w:t>
      </w:r>
      <w:r>
        <w:rPr>
          <w:rFonts w:hint="eastAsia" w:ascii="Times New Roman" w:hAnsi="Times New Roman" w:eastAsia="宋体" w:cs="Times New Roman"/>
          <w:bCs w:val="0"/>
          <w:sz w:val="24"/>
          <w:szCs w:val="24"/>
          <w:highlight w:val="none"/>
          <w:lang w:val="en-US" w:eastAsia="zh-CN"/>
        </w:rPr>
        <w:t xml:space="preserve">签</w:t>
      </w:r>
      <w:r>
        <w:rPr>
          <w:rFonts w:hint="eastAsia" w:ascii="Times New Roman" w:hAnsi="Times New Roman" w:eastAsia="宋体" w:cs="Times New Roman"/>
          <w:bCs w:val="0"/>
          <w:sz w:val="24"/>
          <w:szCs w:val="24"/>
          <w:highlight w:val="none"/>
        </w:rPr>
        <w:t xml:space="preserve">章。</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5.未按谈判文件要求和格式提供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楷体" w:hAnsi="楷体" w:eastAsia="楷体"/>
          <w:bCs/>
          <w:sz w:val="24"/>
          <w:szCs w:val="24"/>
          <w:highlight w:val="none"/>
        </w:rPr>
        <w:br w:type="page" w:clear="all"/>
      </w:r>
      <w:bookmarkEnd w:id="156"/>
      <w:r/>
      <w:bookmarkEnd w:id="157"/>
      <w:r/>
      <w:bookmarkEnd w:id="158"/>
      <w:r/>
      <w:bookmarkStart w:id="159" w:name="_Toc120614284"/>
      <w:r>
        <w:rPr>
          <w:rFonts w:hint="eastAsia" w:ascii="黑体" w:hAnsi="黑体" w:eastAsia="黑体" w:cs="Times New Roman"/>
          <w:i w:val="0"/>
          <w:sz w:val="32"/>
          <w:szCs w:val="32"/>
          <w:highlight w:val="none"/>
          <w:u w:val="none"/>
          <w:lang w:val="en-US" w:eastAsia="zh-CN"/>
        </w:rPr>
        <w:t xml:space="preserve">三、谈判响应函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962"/>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96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谈判</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交谈判响应函，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1.按谈判文件规定的各项要求</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向</w:t>
      </w:r>
      <w:r>
        <w:rPr>
          <w:rFonts w:hint="eastAsia" w:ascii="宋体" w:hAnsi="宋体"/>
          <w:szCs w:val="21"/>
          <w:highlight w:val="none"/>
        </w:rPr>
        <w:t xml:space="preserve">贵</w:t>
      </w:r>
      <w:r>
        <w:rPr>
          <w:rFonts w:hint="eastAsia" w:ascii="宋体" w:hAnsi="宋体" w:eastAsia="宋体" w:cs="Times New Roman"/>
          <w:szCs w:val="21"/>
          <w:highlight w:val="none"/>
        </w:rPr>
        <w:t xml:space="preserve">方提供所需货物、服务（包含与货物相关的服务</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与服务相关的货物）。</w:t>
      </w:r>
      <w:r>
        <w:rPr>
          <w:rFonts w:hint="eastAsia" w:ascii="宋体" w:hAnsi="宋体" w:eastAsia="宋体" w:cs="Times New Roman"/>
          <w:szCs w:val="21"/>
          <w:highlight w:val="none"/>
        </w:rPr>
      </w:r>
      <w:r/>
    </w:p>
    <w:p>
      <w:pPr>
        <w:pStyle w:val="96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2.我们已详细审核全部谈判文件及其有效补充文件</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我们知道必须放弃提出含糊不清或误解问题的权利。</w:t>
      </w:r>
      <w:r>
        <w:rPr>
          <w:rFonts w:hint="eastAsia" w:ascii="宋体" w:hAnsi="宋体" w:eastAsia="宋体" w:cs="Times New Roman"/>
          <w:szCs w:val="21"/>
          <w:highlight w:val="none"/>
        </w:rPr>
      </w:r>
      <w:r/>
    </w:p>
    <w:p>
      <w:pPr>
        <w:pStyle w:val="96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3.我们同意从规定的</w:t>
      </w:r>
      <w:r>
        <w:rPr>
          <w:rFonts w:hint="eastAsia" w:ascii="宋体" w:hAnsi="宋体" w:eastAsia="宋体" w:cs="Times New Roman"/>
          <w:szCs w:val="21"/>
          <w:highlight w:val="none"/>
          <w:lang w:eastAsia="zh-CN"/>
        </w:rPr>
        <w:t xml:space="preserve">谈判</w:t>
      </w:r>
      <w:r>
        <w:rPr>
          <w:rFonts w:hint="eastAsia" w:ascii="宋体" w:hAnsi="宋体" w:eastAsia="宋体" w:cs="Times New Roman"/>
          <w:szCs w:val="21"/>
          <w:highlight w:val="none"/>
        </w:rPr>
        <w:t xml:space="preserve">日期起遵循本响应文件</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并在规定的谈判有效期期满之前均具有约束力。</w:t>
      </w:r>
      <w:r>
        <w:rPr>
          <w:rFonts w:hint="eastAsia" w:ascii="宋体" w:hAnsi="宋体" w:eastAsia="宋体" w:cs="Times New Roman"/>
          <w:szCs w:val="21"/>
          <w:highlight w:val="none"/>
        </w:rPr>
      </w:r>
      <w:r/>
    </w:p>
    <w:p>
      <w:pPr>
        <w:pStyle w:val="96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4.同意向贵方提供贵方可能另外要求的与谈判有关的任何证据或资料</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并保证我方已提供和将要提供的文件是真实的、准确的。</w:t>
      </w:r>
      <w:r>
        <w:rPr>
          <w:rFonts w:hint="eastAsia" w:ascii="宋体" w:hAnsi="宋体" w:eastAsia="宋体" w:cs="Times New Roman"/>
          <w:szCs w:val="21"/>
          <w:highlight w:val="none"/>
        </w:rPr>
      </w:r>
      <w:r/>
    </w:p>
    <w:p>
      <w:pPr>
        <w:pStyle w:val="96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5.一旦我方成交,我方将根据谈判文件的规定</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严格履行合同的责任和义务,并保证在谈判文件规定的时间完成项目</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交付贵方验收、使用。</w:t>
      </w:r>
      <w:r>
        <w:rPr>
          <w:rFonts w:hint="eastAsia" w:ascii="宋体" w:hAnsi="宋体" w:eastAsia="宋体" w:cs="Times New Roman"/>
          <w:szCs w:val="21"/>
          <w:highlight w:val="none"/>
        </w:rPr>
      </w:r>
      <w:r/>
    </w:p>
    <w:p>
      <w:pPr>
        <w:pStyle w:val="962"/>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Cs w:val="21"/>
          <w:highlight w:val="none"/>
        </w:rPr>
      </w:r>
      <w:r/>
    </w:p>
    <w:p>
      <w:pPr>
        <w:pStyle w:val="941"/>
        <w:rPr>
          <w:rFonts w:eastAsia="宋体"/>
          <w:highlight w:val="none"/>
          <w:lang w:val="en-US" w:eastAsia="zh-CN"/>
        </w:rPr>
      </w:pPr>
      <w:r>
        <w:rPr>
          <w:rFonts w:hint="eastAsia"/>
          <w:sz w:val="24"/>
          <w:szCs w:val="24"/>
          <w:highlight w:val="none"/>
          <w:lang w:val="en-US" w:eastAsia="zh-CN"/>
        </w:rPr>
        <w:t xml:space="preserve">7.我方为：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2"/>
        <w:spacing w:before="0" w:after="0" w:line="420" w:lineRule="exact"/>
        <w:rPr>
          <w:rFonts w:hint="eastAsia" w:ascii="宋体" w:hAnsi="宋体" w:eastAsia="宋体" w:cs="Times New Roman"/>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eastAsia="宋体" w:cs="Times New Roman"/>
          <w:szCs w:val="21"/>
          <w:highlight w:val="none"/>
        </w:rPr>
        <w:t xml:space="preserve">我方与本谈判有关的正式通讯地址为：</w:t>
      </w:r>
      <w:r>
        <w:rPr>
          <w:rFonts w:hint="eastAsia" w:ascii="宋体" w:hAnsi="宋体" w:eastAsia="宋体" w:cs="Times New Roman"/>
          <w:szCs w:val="21"/>
          <w:highlight w:val="none"/>
        </w:rPr>
      </w:r>
      <w:r/>
    </w:p>
    <w:p>
      <w:pPr>
        <w:pStyle w:val="96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bCs/>
          <w:sz w:val="24"/>
          <w:szCs w:val="21"/>
          <w:highlight w:val="none"/>
        </w:rPr>
        <w:br w:type="page" w:clear="all"/>
      </w:r>
      <w:bookmarkEnd w:id="145"/>
      <w:r/>
      <w:bookmarkEnd w:id="146"/>
      <w:r/>
      <w:bookmarkEnd w:id="159"/>
      <w:r>
        <w:rPr>
          <w:rFonts w:hint="eastAsia" w:ascii="黑体" w:hAnsi="黑体" w:eastAsia="黑体" w:cs="Times New Roman"/>
          <w:i w:val="0"/>
          <w:sz w:val="32"/>
          <w:szCs w:val="32"/>
          <w:highlight w:val="none"/>
          <w:u w:val="none"/>
          <w:lang w:val="en-US" w:eastAsia="zh-CN"/>
        </w:rPr>
        <w:t xml:space="preserve">四、谈判报价表</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rFonts w:hint="eastAsia" w:ascii="宋体" w:hAnsi="宋体"/>
          <w:sz w:val="24"/>
          <w:szCs w:val="24"/>
          <w:highlight w:val="none"/>
        </w:rPr>
      </w:pPr>
      <w:r>
        <w:rPr>
          <w:rFonts w:hint="eastAsia" w:ascii="宋体" w:hAnsi="宋体"/>
          <w:sz w:val="24"/>
          <w:szCs w:val="24"/>
          <w:highlight w:val="none"/>
          <w:lang w:eastAsia="zh-CN"/>
        </w:rPr>
        <w:t xml:space="preserve">供应商名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69"/>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69"/>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rPr>
          <w:rFonts w:ascii="Times New Roman" w:hAnsi="Times New Roman"/>
          <w:sz w:val="24"/>
          <w:szCs w:val="24"/>
          <w:highlight w:val="none"/>
        </w:rPr>
      </w:pPr>
      <w:r>
        <w:rPr>
          <w:rFonts w:ascii="Times New Roman" w:hAnsi="Times New Roman"/>
          <w:sz w:val="24"/>
          <w:szCs w:val="24"/>
          <w:highlight w:val="none"/>
        </w:rPr>
      </w:r>
      <w:r/>
    </w:p>
    <w:p>
      <w:pPr>
        <w:pStyle w:val="869"/>
        <w:rPr>
          <w:highlight w:val="none"/>
        </w:rPr>
      </w:pPr>
      <w:r>
        <w:rPr>
          <w:highlight w:val="none"/>
        </w:rPr>
      </w:r>
      <w:r/>
    </w:p>
    <w:p>
      <w:pPr>
        <w:pStyle w:val="869"/>
        <w:rPr>
          <w:highlight w:val="none"/>
        </w:rPr>
      </w:pPr>
      <w:r>
        <w:rPr>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938"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322"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322"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69"/>
        <w:jc w:val="center"/>
        <w:keepLines w:val="0"/>
        <w:keepNext w:val="0"/>
        <w:pageBreakBefore w:val="0"/>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69"/>
        <w:ind w:firstLine="480"/>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1.“总报价”应包括为完成整个项目所产生的所有费用，谈判文件另有规定的除外。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2.《分项报价表中》“总报价”应当与《谈判报价表》中“总报价”一致。</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color w:val="000000"/>
          <w:sz w:val="24"/>
          <w:szCs w:val="24"/>
          <w:highlight w:val="none"/>
          <w:lang w:val="en-US" w:eastAsia="zh-CN"/>
        </w:rPr>
      </w:r>
      <w:r/>
    </w:p>
    <w:p>
      <w:pPr>
        <w:pStyle w:val="869"/>
        <w:jc w:val="left"/>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eastAsia="宋体" w:cs="宋体"/>
          <w:color w:val="000000"/>
          <w:sz w:val="24"/>
          <w:szCs w:val="24"/>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六、技术要求响应及偏离表</w:t>
      </w:r>
      <w:r>
        <w:rPr>
          <w:rFonts w:hint="eastAsia" w:ascii="黑体" w:hAnsi="黑体" w:eastAsia="黑体" w:cs="Times New Roman"/>
          <w:i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keepLines w:val="0"/>
        <w:keepNext w:val="0"/>
        <w:pageBreakBefore w:val="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69"/>
        <w:rPr>
          <w:highlight w:val="none"/>
        </w:rPr>
      </w:pPr>
      <w:r>
        <w:rPr>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3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2.技术要求中实质性要求及其他要求明确需要提供证明材料的，签订合同时成交供应商应按谈判文件要求和响应文件响应内容提供相应证明材料供采购人核验</w:t>
      </w:r>
      <w:r>
        <w:rPr>
          <w:rFonts w:hint="eastAsia"/>
          <w:b/>
          <w:bCs/>
          <w:highlight w:val="none"/>
        </w:rPr>
        <w:t xml:space="preserve">，</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highlight w:val="none"/>
        </w:rPr>
        <w:br w:type="page" w:clear="all"/>
      </w:r>
      <w:r>
        <w:rPr>
          <w:rFonts w:hint="eastAsia" w:ascii="黑体" w:hAnsi="黑体" w:eastAsia="黑体" w:cs="Times New Roman"/>
          <w:i w:val="0"/>
          <w:sz w:val="32"/>
          <w:szCs w:val="32"/>
          <w:highlight w:val="none"/>
          <w:u w:val="none"/>
          <w:lang w:val="en-US" w:eastAsia="zh-CN"/>
        </w:rPr>
        <w:t xml:space="preserve">七、商务要求响应及偏离表</w:t>
      </w:r>
      <w:r>
        <w:rPr>
          <w:rFonts w:hint="eastAsia" w:ascii="黑体" w:hAnsi="黑体" w:eastAsia="黑体" w:cs="Times New Roman"/>
          <w:i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1.供应商须对谈判文件商务要求中的实质性要求（打“★”内容）做出明确响应，否则视为无效响应。</w:t>
      </w:r>
      <w:r>
        <w:rPr>
          <w:rFonts w:ascii="宋体" w:hAnsi="宋体" w:eastAsia="宋体" w:cs="宋体"/>
          <w:b/>
          <w:bCs/>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rPr>
          <w:highlight w:val="none"/>
        </w:rPr>
      </w:pPr>
      <w:r>
        <w:rPr>
          <w:highlight w:val="none"/>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八、中小企业声明函</w:t>
      </w:r>
      <w:r>
        <w:rPr>
          <w:rFonts w:hint="eastAsia" w:ascii="黑体" w:hAnsi="黑体" w:eastAsia="黑体" w:cs="Times New Roman"/>
          <w:i w:val="0"/>
          <w:iCs w:val="0"/>
          <w:sz w:val="32"/>
          <w:szCs w:val="32"/>
          <w:highlight w:val="none"/>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69"/>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36"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。谈判文件第四章采购需求“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九、残疾人福利性单位声明函</w:t>
      </w:r>
      <w:r>
        <w:rPr>
          <w:rFonts w:hint="eastAsia" w:ascii="黑体" w:hAnsi="黑体" w:eastAsia="黑体"/>
          <w:b w:val="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lang w:eastAsia="zh-CN"/>
        </w:rPr>
        <w:t xml:space="preserve">提供本单位制造的货物，或者提供其他残疾人福利性单位制造的货物（不包括使用非残疾人福利性单位注册商标的货物）。</w:t>
      </w:r>
      <w:r>
        <w:rPr>
          <w:rFonts w:hint="eastAsia" w:ascii="宋体" w:hAnsi="宋体" w:eastAsia="宋体"/>
          <w:color w:val="000000"/>
          <w:sz w:val="24"/>
          <w:szCs w:val="21"/>
          <w:highlight w:val="none"/>
          <w:lang w:eastAsia="zh-CN"/>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51"/>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69"/>
        <w:ind w:firstLine="5760"/>
        <w:spacing w:line="560" w:lineRule="exact"/>
        <w:rPr>
          <w:rFonts w:hint="eastAsia" w:ascii="宋体" w:hAnsi="宋体"/>
          <w:color w:val="0000ff"/>
          <w:sz w:val="24"/>
          <w:szCs w:val="24"/>
          <w:highlight w:val="none"/>
        </w:rPr>
      </w:pPr>
      <w:r>
        <w:rPr>
          <w:rFonts w:hint="eastAsia" w:ascii="宋体" w:hAnsi="宋体"/>
          <w:color w:val="0000ff"/>
          <w:sz w:val="24"/>
          <w:szCs w:val="24"/>
          <w:highlight w:val="none"/>
          <w:lang w:val="en-US" w:eastAsia="zh-CN"/>
        </w:rPr>
        <w:t xml:space="preserve">                                   </w:t>
      </w:r>
      <w:r>
        <w:rPr>
          <w:rFonts w:hint="eastAsia" w:ascii="宋体" w:hAnsi="宋体"/>
          <w:color w:val="0000ff"/>
          <w:sz w:val="24"/>
          <w:szCs w:val="24"/>
          <w:highlight w:val="none"/>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十、联合体协议</w:t>
      </w:r>
      <w:r>
        <w:rPr>
          <w:rFonts w:hint="eastAsia" w:ascii="黑体" w:hAnsi="黑体" w:eastAsia="黑体" w:cs="Times New Roman"/>
          <w:i w:val="0"/>
          <w:iCs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69"/>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869"/>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（供应商2） </w:t>
      </w:r>
      <w:r>
        <w:rPr>
          <w:rFonts w:hint="eastAsia" w:ascii="宋体" w:hAnsi="宋体"/>
          <w:sz w:val="24"/>
          <w:highlight w:val="none"/>
          <w:u w:val="single"/>
          <w:lang w:eastAsia="zh-CN"/>
        </w:rPr>
        <w:t xml:space="preserve">，</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69"/>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869"/>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lang w:eastAsia="zh-CN"/>
        </w:rPr>
        <w:t xml:space="preserve">，</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69"/>
        <w:ind w:firstLine="645"/>
        <w:spacing w:line="560" w:lineRule="exact"/>
        <w:rPr>
          <w:rFonts w:hint="eastAsia" w:ascii="宋体" w:hAnsi="宋体"/>
          <w:sz w:val="24"/>
          <w:highlight w:val="none"/>
        </w:rPr>
      </w:pPr>
      <w:r>
        <w:rPr>
          <w:rFonts w:hint="eastAsia" w:ascii="宋体" w:hAnsi="宋体"/>
          <w:sz w:val="24"/>
          <w:highlight w:val="none"/>
        </w:rPr>
      </w:r>
      <w:r/>
    </w:p>
    <w:p>
      <w:pPr>
        <w:pStyle w:val="869"/>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69"/>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69"/>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69"/>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69"/>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69"/>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69"/>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除另有说明外，本谈判文件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1"/>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69"/>
        <w:rPr>
          <w:rFonts w:hint="eastAsia"/>
          <w:highlight w:val="none"/>
        </w:rPr>
      </w:pPr>
      <w:r>
        <w:rPr>
          <w:rFonts w:hint="eastAsia"/>
          <w:highlight w:val="none"/>
        </w:rPr>
      </w:r>
      <w:r/>
    </w:p>
    <w:p>
      <w:pPr>
        <w:pStyle w:val="869"/>
        <w:ind w:firstLine="645"/>
        <w:spacing w:line="560" w:lineRule="exact"/>
        <w:rPr>
          <w:rFonts w:ascii="宋体" w:hAnsi="宋体"/>
          <w:sz w:val="24"/>
          <w:highlight w:val="none"/>
        </w:rPr>
      </w:pPr>
      <w:r>
        <w:rPr>
          <w:rFonts w:ascii="宋体" w:hAnsi="宋体"/>
          <w:sz w:val="24"/>
          <w:highlight w:val="none"/>
        </w:rPr>
      </w:r>
      <w:r/>
    </w:p>
    <w:p>
      <w:pPr>
        <w:pStyle w:val="869"/>
        <w:numPr>
          <w:ilvl w:val="0"/>
          <w:numId w:val="0"/>
        </w:numPr>
        <w:jc w:val="left"/>
        <w:spacing w:line="360" w:lineRule="auto"/>
        <w:rPr>
          <w:rFonts w:hint="eastAsia" w:ascii="宋体" w:hAnsi="宋体" w:eastAsia="宋体" w:cs="Times New Roman"/>
          <w:sz w:val="24"/>
          <w:highlight w:val="none"/>
          <w:lang w:val="en-US" w:eastAsia="zh-CN"/>
        </w:rPr>
      </w:pPr>
      <w:r>
        <w:rPr>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7"/>
          <w:rFonts w:hint="eastAsia"/>
          <w:i w:val="0"/>
          <w:highlight w:val="none"/>
          <w:u w:val="single"/>
          <w:shd w:val="clear" w:color="auto" w:fill="ffffff"/>
        </w:rPr>
        <w:t xml:space="preserve">（产品名称1）</w:t>
      </w:r>
      <w:r>
        <w:rPr>
          <w:rStyle w:val="947"/>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7"/>
          <w:rFonts w:hint="eastAsia"/>
          <w:i w:val="0"/>
          <w:highlight w:val="none"/>
          <w:u w:val="single"/>
          <w:shd w:val="clear" w:color="auto" w:fill="ffffff"/>
        </w:rPr>
        <w:t xml:space="preserve">（厂名）</w:t>
      </w:r>
      <w:r>
        <w:rPr>
          <w:rStyle w:val="94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Style w:val="947"/>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Style w:val="947"/>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Style w:val="947"/>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5"/>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5"/>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5"/>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5"/>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5"/>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69"/>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69"/>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69"/>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（采购包号）的谈判。拟在成交后将以下非主体、非关键内容进行分包，我单位承诺一旦在该项目中获得采购合同，将按下表所列情况进行分包，同时承诺分包承担主体不再次分包。 </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bl>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869"/>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如本谈判文件载明本项目分包承担主体应具备的相应资质条件，则供应商须在本表中列明分包承担主体的资质等级，并提供资质证书。</w:t>
      </w:r>
      <w:r>
        <w:rPr>
          <w:rFonts w:hint="eastAsia"/>
          <w:highlight w:val="none"/>
          <w:lang w:val="en-US" w:eastAsia="zh-CN"/>
        </w:rPr>
      </w:r>
      <w:r/>
    </w:p>
    <w:p>
      <w:pPr>
        <w:pStyle w:val="869"/>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69"/>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941"/>
        <w:ind w:firstLine="0"/>
        <w:jc w:val="center"/>
        <w:rPr>
          <w:rFonts w:hint="eastAsia" w:ascii="方正小标宋简体" w:hAnsi="方正小标宋简体" w:eastAsia="方正小标宋简体" w:cs="方正小标宋简体"/>
          <w:b w:val="0"/>
          <w:bCs w:val="0"/>
          <w:sz w:val="32"/>
          <w:szCs w:val="32"/>
          <w:highlight w:val="none"/>
        </w:rPr>
      </w:pPr>
      <w:r>
        <w:rPr>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２８</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7"/>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7"/>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1"/>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
    <w:basedOn w:val="869"/>
    <w:next w:val="883"/>
    <w:link w:val="869"/>
    <w:qFormat/>
    <w:pPr>
      <w:ind w:left="420"/>
      <w:spacing w:after="120"/>
    </w:pPr>
  </w:style>
  <w:style w:type="paragraph" w:styleId="883">
    <w:name w:val="寄信人地址1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character" w:styleId="886">
    <w:name w:val="标题 3 Char"/>
    <w:next w:val="886"/>
    <w:link w:val="872"/>
    <w:rPr>
      <w:rFonts w:ascii="Times New Roman" w:hAnsi="Times New Roman" w:eastAsia="宋体" w:cs="Times New Roman"/>
      <w:b/>
      <w:bCs/>
      <w:sz w:val="32"/>
      <w:szCs w:val="32"/>
    </w:rPr>
  </w:style>
  <w:style w:type="paragraph" w:styleId="887">
    <w:name w:val="正文缩进"/>
    <w:basedOn w:val="869"/>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jc w:val="left"/>
    </w:pPr>
  </w:style>
  <w:style w:type="character" w:styleId="900">
    <w:name w:val="批注文字 Char"/>
    <w:basedOn w:val="879"/>
    <w:next w:val="900"/>
    <w:link w:val="899"/>
    <w:uiPriority w:val="99"/>
    <w:semiHidden/>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pPr>
      <w:ind w:left="420"/>
      <w:spacing w:after="120"/>
    </w:pPr>
  </w:style>
  <w:style w:type="character" w:styleId="906">
    <w:name w:val="正文文本缩进 Char"/>
    <w:basedOn w:val="879"/>
    <w:next w:val="906"/>
    <w:link w:val="905"/>
    <w:uiPriority w:val="99"/>
    <w:semiHidden/>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rPr>
      <w:rFonts w:ascii="Times New Roman" w:hAnsi="Times New Roman" w:eastAsia="宋体" w:cs="Times New Roman"/>
      <w:szCs w:val="21"/>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69"/>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0"/>
    <w:next w:val="943"/>
    <w:link w:val="869"/>
    <w:pPr>
      <w:jc w:val="both"/>
      <w:widowControl w:val="off"/>
    </w:pPr>
    <w:rPr>
      <w:rFonts w:ascii="Times New Roman" w:hAnsi="Times New Roman" w:eastAsia="宋体" w:cs="Times New Roman"/>
      <w:sz w:val="20"/>
      <w:szCs w:val="20"/>
    </w:rPr>
    <w:tblPr/>
  </w:style>
  <w:style w:type="character" w:styleId="944">
    <w:name w:val="要点"/>
    <w:next w:val="944"/>
    <w:link w:val="869"/>
    <w:qFormat/>
    <w:rPr>
      <w:b/>
      <w:bCs/>
    </w:rPr>
  </w:style>
  <w:style w:type="character" w:styleId="945">
    <w:name w:val="页码"/>
    <w:next w:val="945"/>
    <w:link w:val="869"/>
  </w:style>
  <w:style w:type="character" w:styleId="946">
    <w:name w:val="已访问的超链接"/>
    <w:next w:val="946"/>
    <w:link w:val="869"/>
    <w:rPr>
      <w:color w:val="800080"/>
      <w:u w:val="single"/>
    </w:rPr>
  </w:style>
  <w:style w:type="character" w:styleId="947">
    <w:name w:val="强调"/>
    <w:next w:val="947"/>
    <w:link w:val="869"/>
    <w:qFormat/>
    <w:rPr>
      <w:i/>
    </w:rPr>
  </w:style>
  <w:style w:type="character" w:styleId="948">
    <w:name w:val="超链接"/>
    <w:next w:val="948"/>
    <w:link w:val="869"/>
    <w:rPr>
      <w:color w:val="0000ff"/>
      <w:u w:val="single"/>
    </w:rPr>
  </w:style>
  <w:style w:type="character" w:styleId="949">
    <w:name w:val="批注引用"/>
    <w:next w:val="949"/>
    <w:link w:val="869"/>
    <w:semiHidden/>
    <w:rPr>
      <w:sz w:val="21"/>
      <w:szCs w:val="21"/>
    </w:rPr>
  </w:style>
  <w:style w:type="paragraph" w:styleId="950">
    <w:name w:val="正文1"/>
    <w:next w:val="950"/>
    <w:link w:val="869"/>
    <w:qFormat/>
    <w:pPr>
      <w:spacing w:after="200" w:line="276" w:lineRule="auto"/>
    </w:pPr>
    <w:rPr>
      <w:rFonts w:ascii="Calibri" w:hAnsi="Calibri" w:eastAsia="宋体" w:cs="Times New Roman"/>
      <w:sz w:val="22"/>
      <w:szCs w:val="22"/>
      <w:lang w:val="en-US" w:eastAsia="en-US" w:bidi="ar-SA"/>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3"/>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7"/>
    <w:next w:val="961"/>
    <w:link w:val="869"/>
    <w:rPr>
      <w:rFonts w:ascii="Tahoma" w:hAnsi="Tahoma"/>
      <w:sz w:val="24"/>
      <w:szCs w:val="24"/>
    </w:rPr>
  </w:style>
  <w:style w:type="paragraph" w:styleId="962">
    <w:name w:val="普通正文"/>
    <w:basedOn w:val="950"/>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7"/>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7"/>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 211"/>
    <w:basedOn w:val="869"/>
    <w:next w:val="989"/>
    <w:link w:val="869"/>
    <w:uiPriority w:val="99"/>
    <w:qFormat/>
    <w:pPr>
      <w:jc w:val="center"/>
    </w:pPr>
    <w:rPr>
      <w:b/>
      <w:bCs/>
      <w:sz w:val="20"/>
      <w:szCs w:val="20"/>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table" w:styleId="991">
    <w:name w:val="网格型1"/>
    <w:basedOn w:val="992"/>
    <w:next w:val="991"/>
    <w:link w:val="869"/>
    <w:qFormat/>
    <w:pPr>
      <w:jc w:val="both"/>
      <w:widowControl w:val="off"/>
    </w:pPr>
    <w:tblPr/>
  </w:style>
  <w:style w:type="table" w:styleId="992">
    <w:name w:val="普通表格1"/>
    <w:next w:val="992"/>
    <w:link w:val="869"/>
    <w:uiPriority w:val="99"/>
    <w:unhideWhenUsed/>
    <w:qFormat/>
    <w:tblPr/>
  </w:style>
  <w:style w:type="paragraph" w:styleId="993">
    <w:name w:val="正文首行缩进 211"/>
    <w:basedOn w:val="994"/>
    <w:next w:val="869"/>
    <w:link w:val="869"/>
    <w:qFormat/>
    <w:pPr>
      <w:ind w:left="0" w:firstLine="420"/>
      <w:spacing w:after="0" w:line="360" w:lineRule="auto"/>
    </w:pPr>
    <w:rPr>
      <w:rFonts w:ascii="宋体" w:hAnsi="宋体" w:eastAsia="宋体" w:cs="Times New Roman"/>
      <w:szCs w:val="20"/>
    </w:rPr>
  </w:style>
  <w:style w:type="paragraph" w:styleId="994">
    <w:name w:val="正文文本缩进11"/>
    <w:basedOn w:val="869"/>
    <w:next w:val="995"/>
    <w:link w:val="869"/>
    <w:unhideWhenUsed/>
    <w:qFormat/>
    <w:pPr>
      <w:ind w:left="420"/>
      <w:spacing w:after="120"/>
    </w:pPr>
  </w:style>
  <w:style w:type="paragraph" w:styleId="995">
    <w:name w:val="寄信人地址1"/>
    <w:basedOn w:val="869"/>
    <w:next w:val="995"/>
    <w:link w:val="869"/>
    <w:qFormat/>
    <w:rPr>
      <w:rFonts w:ascii="Arial" w:hAnsi="Arial" w:eastAsia="宋体" w:cs="宋体"/>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2023-03-27T07:28:00Z</dcterms:created>
  <dcterms:modified xsi:type="dcterms:W3CDTF">2026-10-21T04:19:26Z</dcterms:modified>
</cp:coreProperties>
</file>