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spacing w:line="360" w:lineRule="auto"/>
        <w:rPr>
          <w:rFonts w:hint="eastAsia" w:hAnsi="宋体" w:eastAsia="宋体" w:cs="宋体"/>
          <w:color w:val="auto"/>
          <w:highlight w:val="none"/>
        </w:rPr>
      </w:pPr>
      <w:r>
        <w:rPr>
          <w:rFonts w:hint="eastAsia"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20"/>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20" o:title=""/>
              </v:shape>
            </w:pict>
          </mc:Fallback>
        </mc:AlternateConten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ind w:firstLine="72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18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JSZC-320500-SZZJ-G2026-0029</w:t>
      </w:r>
      <w:r/>
    </w:p>
    <w:p>
      <w:pPr>
        <w:ind w:firstLine="1800"/>
        <w:spacing w:line="360" w:lineRule="auto"/>
        <w:tabs>
          <w:tab w:val="left" w:pos="1744" w:leader="none"/>
        </w:tabs>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人：江苏省苏州中学校</w:t>
      </w:r>
      <w:r/>
    </w:p>
    <w:p>
      <w:pPr>
        <w:ind w:firstLine="18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eastAsia" w:ascii="宋体" w:hAnsi="宋体" w:eastAsia="宋体" w:cs="宋体"/>
          <w:bCs/>
          <w:color w:val="auto"/>
          <w:sz w:val="30"/>
          <w:szCs w:val="30"/>
          <w:highlight w:val="none"/>
          <w:lang w:eastAsia="zh-CN"/>
        </w:rPr>
        <w:t xml:space="preserve">江苏省苏州中学校东校区二期安防</w:t>
      </w:r>
      <w:r/>
    </w:p>
    <w:p>
      <w:pPr>
        <w:ind w:firstLine="1800"/>
        <w:jc w:val="left"/>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项目类别：货物类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1"/>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color w:val="auto"/>
          <w:highlight w:val="none"/>
        </w:rPr>
      </w:r>
      <w:r/>
    </w:p>
    <w:p>
      <w:pPr>
        <w:pStyle w:val="9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苏州正杰招投标咨询服务有限公司</w:t>
      </w:r>
      <w:r/>
    </w:p>
    <w:p>
      <w:pPr>
        <w:ind w:firstLine="60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二○二六年九月</w:t>
      </w:r>
      <w:r/>
    </w:p>
    <w:p>
      <w:pPr>
        <w:pStyle w:val="952"/>
        <w:ind w:firstLine="600"/>
        <w:jc w:val="center"/>
        <w:spacing w:line="360" w:lineRule="auto"/>
        <w:rPr>
          <w:rFonts w:hint="eastAsia" w:ascii="宋体" w:hAnsi="宋体" w:eastAsia="宋体" w:cs="宋体"/>
          <w:color w:val="auto"/>
          <w:sz w:val="30"/>
          <w:szCs w:val="3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30"/>
          <w:szCs w:val="30"/>
          <w:highlight w:val="none"/>
        </w:rPr>
      </w:r>
      <w:r/>
    </w:p>
    <w:p>
      <w:pPr>
        <w:pStyle w:val="952"/>
        <w:ind w:firstLine="1040"/>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52"/>
        <w:ind w:firstLine="1040"/>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52"/>
        <w:ind w:firstLine="600"/>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52"/>
        <w:ind w:firstLine="60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ind w:firstLine="60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ind w:firstLine="60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ind w:firstLine="60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ind w:firstLine="60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ind w:firstLine="60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52"/>
        <w:ind w:firstLine="60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center"/>
        <w:spacing w:line="360" w:lineRule="auto"/>
        <w:widowControl/>
        <w:rPr>
          <w:rFonts w:hint="eastAsia" w:ascii="宋体" w:hAnsi="宋体" w:eastAsia="宋体" w:cs="宋体"/>
          <w:color w:val="auto"/>
          <w:sz w:val="30"/>
          <w:szCs w:val="30"/>
          <w:highlight w:val="none"/>
        </w:rPr>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30"/>
          <w:szCs w:val="30"/>
          <w:highlight w:val="none"/>
        </w:rPr>
      </w:r>
      <w:r/>
    </w:p>
    <w:p>
      <w:pPr>
        <w:jc w:val="center"/>
        <w:spacing w:line="360" w:lineRule="auto"/>
        <w:widowControl/>
        <w:rPr>
          <w:rFonts w:hint="eastAsia"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苏州正杰招投标咨询服务有限公司受江苏省苏州中学校的委托，就其所需的</w:t>
      </w:r>
      <w:r>
        <w:rPr>
          <w:rFonts w:hint="eastAsia" w:ascii="宋体" w:hAnsi="宋体" w:eastAsia="宋体" w:cs="宋体"/>
          <w:color w:val="auto"/>
          <w:sz w:val="24"/>
          <w:szCs w:val="24"/>
          <w:highlight w:val="none"/>
          <w:lang w:eastAsia="zh-CN"/>
        </w:rPr>
        <w:t xml:space="preserve">江苏省苏州中学校东校区二期安防</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JSZC-320500-SZZJ-G2026-0029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江苏省苏州中学校东校区二期安防</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eastAsia="zh-CN"/>
        </w:rPr>
        <w:t xml:space="preserve">2301900.00</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最高限价：人民币2292399.59元（其中硬件部分最高限价：人民币1951079.59元；软件部分最高限价：人民币341320.00元）。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江苏省苏州中学校东校区二期安防</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w:t>
      </w:r>
      <w:r>
        <w:rPr>
          <w:rFonts w:hint="eastAsia" w:ascii="宋体" w:hAnsi="宋体" w:eastAsia="宋体" w:cs="宋体"/>
          <w:color w:val="auto"/>
          <w:sz w:val="24"/>
          <w:szCs w:val="24"/>
          <w:highlight w:val="none"/>
          <w:lang w:eastAsia="zh-CN"/>
        </w:rPr>
        <w:t xml:space="preserve">江苏省苏州中学校东校区二期安防</w:t>
      </w:r>
      <w:r>
        <w:rPr>
          <w:rFonts w:hint="eastAsia" w:ascii="宋体" w:hAnsi="宋体" w:eastAsia="宋体" w:cs="宋体"/>
          <w:color w:val="auto"/>
          <w:szCs w:val="24"/>
          <w:highlight w:val="none"/>
        </w:rPr>
        <w:t xml:space="preserve">。</w:t>
      </w:r>
      <w:r>
        <w:rPr>
          <w:rFonts w:hint="eastAsia" w:ascii="宋体" w:hAnsi="宋体" w:eastAsia="宋体" w:cs="宋体"/>
          <w:color w:val="auto"/>
          <w:sz w:val="24"/>
          <w:szCs w:val="24"/>
          <w:highlight w:val="none"/>
        </w:rPr>
        <w:t xml:space="preserve">具体详见招标文件采购需求。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4、合同履行期限：合同签订后一个月内交货并完成安装调试。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本项目不接受联合体投标、不接受进口产品、不允许分包转包。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二、申请人的资格要求：</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Cs/>
          <w:color w:val="auto"/>
          <w:sz w:val="24"/>
          <w:szCs w:val="24"/>
          <w:highlight w:val="none"/>
        </w:rPr>
        <w:t xml:space="preserve">根据《政府采购促进中小企业发展管理办法》的相关规定，本项目专门面向中小企业，所属行业为工业，供应商所提供货物的制造商应为中小微企业、监狱企业、残疾人福利性单位。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bookmarkStart w:id="0" w:name="OLE_LINK3"/>
      <w:r>
        <w:rPr>
          <w:rFonts w:hint="eastAsia" w:ascii="宋体" w:hAnsi="宋体" w:eastAsia="宋体" w:cs="宋体"/>
          <w:color w:val="auto"/>
          <w:sz w:val="24"/>
          <w:szCs w:val="24"/>
          <w:highlight w:val="none"/>
        </w:rPr>
        <w:t xml:space="preserve">“苏采云”系统目前仅支持“苏采云”系统下的政务CA证书，江苏省内各地区办理的“苏采云”系统下的政务CA证书全省通用。苏州现场办理地址：苏州高新区邓尉路105号狮山科技馆1楼服务大厅，咨询电话：0512-65737699。</w:t>
      </w:r>
      <w:bookmarkEnd w:id="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CA技术咨询服务电话：400-608-6099；</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电子签章技术咨询服务电话025-83633811、025-83633812、15380932027、15371015030；</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苏州市及区县“苏采云”系统使用指导与咨询：联系电话：13914088964、0512-69820854；智能客服：登录苏采云系统后，联系系统右下方智能客服图标进行咨询。</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售价：本项目免费下载电子采购文件。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四、提交投标文件截止时间、开标时间和地点：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月30日13点30分（北京时间）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rFonts w:hint="eastAsia"/>
          <w:color w:val="auto"/>
          <w:highlight w:val="none"/>
        </w:rPr>
        <w:fldChar w:fldCharType="begin"/>
      </w:r>
      <w:r>
        <w:rPr>
          <w:color w:val="auto"/>
          <w:highlight w:val="none"/>
        </w:rPr>
        <w:instrText xml:space="preserve"> HYPERLINK "http://jszfcg.jsczt.cn/）" </w:instrText>
      </w:r>
      <w:r>
        <w:rPr>
          <w:rFonts w:hint="eastAsia"/>
          <w:color w:val="auto"/>
          <w:highlight w:val="none"/>
        </w:rPr>
        <w:fldChar w:fldCharType="separate"/>
      </w:r>
      <w:r>
        <w:rPr>
          <w:rStyle w:val="1002"/>
          <w:rFonts w:hint="eastAsia" w:ascii="宋体" w:hAnsi="宋体" w:eastAsia="宋体" w:cs="宋体"/>
          <w:color w:val="auto"/>
          <w:sz w:val="24"/>
          <w:szCs w:val="24"/>
          <w:highlight w:val="none"/>
        </w:rPr>
        <w:t xml:space="preserve">http://jszfcg.jsczt.cn/）。</w:t>
      </w:r>
      <w:r>
        <w:rPr>
          <w:rStyle w:val="1002"/>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、方式：投标文件网上递交</w:t>
      </w:r>
      <w:bookmarkStart w:id="1" w:name="_Hlk90650305"/>
      <w:r/>
      <w:bookmarkEnd w:id="1"/>
      <w:r/>
      <w:bookmarkStart w:id="2" w:name="_Hlk90650417"/>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rPr>
          <w:rFonts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Cs/>
          <w:color w:val="auto"/>
          <w:sz w:val="24"/>
          <w:szCs w:val="24"/>
          <w:highlight w:val="none"/>
        </w:rPr>
        <w:t xml:space="preserve">开启阶段供应商在【解密环节】必须使用</w:t>
      </w:r>
      <w:r>
        <w:rPr>
          <w:rFonts w:ascii="宋体" w:hAnsi="宋体" w:eastAsia="宋体" w:cs="宋体"/>
          <w:bCs/>
          <w:color w:val="auto"/>
          <w:sz w:val="24"/>
          <w:szCs w:val="24"/>
          <w:highlight w:val="none"/>
        </w:rPr>
        <w:t xml:space="preserve"> CA</w:t>
      </w:r>
      <w:r>
        <w:rPr>
          <w:rFonts w:hint="eastAsia" w:ascii="宋体" w:hAnsi="宋体" w:eastAsia="宋体" w:cs="宋体"/>
          <w:bCs/>
          <w:color w:val="auto"/>
          <w:sz w:val="24"/>
          <w:szCs w:val="24"/>
          <w:highlight w:val="none"/>
        </w:rPr>
        <w:t xml:space="preserve">证书解密电子投标（响应）文件，如在</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苏采云</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系统规定的时间内未能成功解密的视为放弃参与本项目，投标无效。</w:t>
      </w:r>
      <w:r>
        <w:rPr>
          <w:rFonts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w:t>
      </w:r>
      <w:r>
        <w:rPr>
          <w:rFonts w:ascii="宋体" w:hAnsi="宋体" w:eastAsia="宋体" w:cs="宋体"/>
          <w:color w:val="auto"/>
          <w:sz w:val="24"/>
          <w:szCs w:val="24"/>
          <w:highlight w:val="none"/>
        </w:rPr>
        <w:t xml:space="preserve"> </w:t>
      </w:r>
      <w:bookmarkEnd w:id="2"/>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bCs/>
          <w:color w:val="auto"/>
          <w:sz w:val="24"/>
          <w:szCs w:val="24"/>
          <w:highlight w:val="none"/>
        </w:rPr>
        <w:t xml:space="preserve">江苏省苏州中学校</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地址：苏州市姑苏区人民路699号。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联系方式：电话</w:t>
      </w:r>
      <w:r>
        <w:rPr>
          <w:rFonts w:hint="eastAsia" w:ascii="宋体" w:hAnsi="宋体" w:eastAsia="宋体" w:cs="宋体"/>
          <w:color w:val="auto"/>
          <w:sz w:val="24"/>
          <w:szCs w:val="24"/>
          <w:highlight w:val="none"/>
        </w:rPr>
        <w:t xml:space="preserve">0512-65199627</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项目联系人：张静。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电话：0512-65199627。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项目联系人：徐杰、沈鹰、陈晓梦、刘木兰。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电话：0512-62826523。</w:t>
      </w:r>
      <w:r>
        <w:rPr>
          <w:rFonts w:hint="eastAsia" w:ascii="宋体" w:hAnsi="宋体" w:eastAsia="宋体" w:cs="宋体"/>
          <w:color w:val="auto"/>
          <w:sz w:val="24"/>
          <w:highlight w:val="none"/>
        </w:rPr>
        <w:br w:type="page" w:clear="all"/>
      </w:r>
      <w:r/>
    </w:p>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第二章 投标人须知</w:t>
      </w:r>
      <w:r/>
    </w:p>
    <w:p>
      <w:pPr>
        <w:ind w:firstLine="480"/>
        <w:spacing w:line="360" w:lineRule="auto"/>
        <w:tabs>
          <w:tab w:val="left" w:pos="540"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1、总则</w:t>
      </w:r>
      <w:r/>
    </w:p>
    <w:p>
      <w:pPr>
        <w:ind w:firstLine="480"/>
        <w:spacing w:line="360" w:lineRule="auto"/>
        <w:tabs>
          <w:tab w:val="left" w:pos="540"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1.1投标人资格要求</w:t>
      </w:r>
      <w:r/>
    </w:p>
    <w:p>
      <w:pPr>
        <w:ind w:firstLine="480"/>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80"/>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80"/>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80"/>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分包、转包</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本项目不允许分包、转包。</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2、招标文件的说明</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2.1招标文件的获取见第一章投标邀请函。</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2.2招标文件的询问</w:t>
      </w:r>
      <w:r/>
    </w:p>
    <w:p>
      <w:pPr>
        <w:ind w:firstLine="48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，可通过投标邀请函中的联系方式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2.3招标文件的澄清或修改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3、投标文件的说明</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3.1投标保证金：无。</w:t>
      </w:r>
      <w:r/>
    </w:p>
    <w:p>
      <w:pPr>
        <w:ind w:left="525"/>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3.2投标文件的组成</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3.2.4资格审查投标文件：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（2）具有良好的商业信誉和健全的财务会计制度的材料：包括但不限于法人提供2025年度经审计的财务报告或基本开户银行在本年度内出具的资信证明复印件；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3.2.5符合性审查投标文件：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3.2.5.1投标响应函（格式见第三章）；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3.2.5.5投标货物和服务数量、品牌、规格、制造商明细表（不得出现价格，格式见第三章）；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3.2.5.6技术参数响应及偏离表、商务条款响应及偏离表（格式见第三章）；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3.2.5.8对属于《节能产品政府采购品目清单》政府强制采购产品的，须提供该产品有效期内的认证等相关证明材料（若有）；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3.2.6综合评审响应文件；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3.2.6.2《关于符合本国产品标准的声明函》；</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firstLine="480"/>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注：以上3.2.2-3.2.3项为供应商报价的依据，投标供应商必须提供并加盖电子公章，否则，投标文件将被认定为未实质性响应。</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p>
    <w:p>
      <w:pPr>
        <w:ind w:firstLine="480"/>
        <w:spacing w:line="360" w:lineRule="auto"/>
        <w:tabs>
          <w:tab w:val="left" w:pos="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以上3.2.5.1-3.2.5.</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为符合性审查必须提供的资料，投标供应商必须提供并加盖电子公章，否则，投标将被认定为未实质性响应。</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制作电子投标文件时需与投标文件制作软件目录一一对应，将相关资料上传至相应模块。</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供应商应保证上传的投标文件完整、清晰可辨认，若因上传资料过小或模糊不清等无法辨认的都视为该资料未提供。</w:t>
      </w:r>
      <w:r/>
    </w:p>
    <w:p>
      <w:pPr>
        <w:ind w:firstLine="470"/>
        <w:spacing w:line="360" w:lineRule="auto"/>
        <w:tabs>
          <w:tab w:val="left" w:pos="540" w:leader="none"/>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0"/>
        <w:spacing w:line="360" w:lineRule="auto"/>
        <w:tabs>
          <w:tab w:val="left" w:pos="142" w:leader="none"/>
          <w:tab w:val="left" w:pos="60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如不同供应商使用同一台电脑制作的电子</w:t>
      </w:r>
      <w:r>
        <w:rPr>
          <w:rFonts w:hint="eastAsia" w:ascii="宋体" w:hAnsi="宋体" w:eastAsia="宋体" w:cs="宋体"/>
          <w:bCs/>
          <w:color w:val="auto"/>
          <w:sz w:val="24"/>
          <w:szCs w:val="24"/>
          <w:highlight w:val="none"/>
        </w:rPr>
        <w:t xml:space="preserve">投标</w:t>
      </w:r>
      <w:r>
        <w:rPr>
          <w:rFonts w:hint="eastAsia" w:ascii="宋体" w:hAnsi="宋体" w:eastAsia="宋体" w:cs="宋体"/>
          <w:color w:val="auto"/>
          <w:sz w:val="24"/>
          <w:szCs w:val="24"/>
          <w:highlight w:val="none"/>
        </w:rPr>
        <w:t xml:space="preserve">文件的，双方“文件制作机器码”一致的，则其</w:t>
      </w:r>
      <w:r>
        <w:rPr>
          <w:rFonts w:hint="eastAsia" w:ascii="宋体" w:hAnsi="宋体" w:eastAsia="宋体" w:cs="宋体"/>
          <w:bCs/>
          <w:color w:val="auto"/>
          <w:sz w:val="24"/>
          <w:szCs w:val="24"/>
          <w:highlight w:val="none"/>
        </w:rPr>
        <w:t xml:space="preserve">投标</w:t>
      </w:r>
      <w:r>
        <w:rPr>
          <w:rFonts w:hint="eastAsia" w:ascii="宋体" w:hAnsi="宋体" w:eastAsia="宋体" w:cs="宋体"/>
          <w:color w:val="auto"/>
          <w:sz w:val="24"/>
          <w:szCs w:val="24"/>
          <w:highlight w:val="none"/>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3.3投标报价</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3.4电子投标文件的编制与提交</w:t>
      </w:r>
      <w:r/>
    </w:p>
    <w:p>
      <w:pPr>
        <w:ind w:left="5" w:firstLine="518"/>
        <w:spacing w:line="360" w:lineRule="auto"/>
        <w:tabs>
          <w:tab w:val="left" w:pos="851" w:leader="none"/>
        </w:tabs>
        <w:rPr>
          <w:rFonts w:hint="eastAsia" w:ascii="宋体" w:hAnsi="宋体" w:eastAsia="宋体" w:cs="宋体"/>
          <w:color w:val="auto"/>
          <w:sz w:val="24"/>
          <w:szCs w:val="24"/>
          <w:highlight w:val="none"/>
        </w:rPr>
      </w:pPr>
      <w:r/>
      <w:bookmarkStart w:id="3" w:name="_Hlk154589874"/>
      <w:r>
        <w:rPr>
          <w:rFonts w:hint="eastAsia" w:ascii="宋体" w:hAnsi="宋体" w:eastAsia="宋体" w:cs="宋体"/>
          <w:color w:val="auto"/>
          <w:sz w:val="24"/>
          <w:szCs w:val="24"/>
          <w:highlight w:val="none"/>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Cs/>
          <w:color w:val="auto"/>
          <w:sz w:val="24"/>
          <w:szCs w:val="24"/>
          <w:highlight w:val="none"/>
        </w:rPr>
        <w:t xml:space="preserve">否则导致的对供应商不利的后果由供应商自行承担。</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3.5.3供应商在苏采云系统规定的时间内未成功解密电子投标文件的，投标无效。</w:t>
      </w:r>
      <w:r/>
    </w:p>
    <w:p>
      <w:pPr>
        <w:ind w:left="5" w:firstLine="518"/>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3"/>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3.6响应文件的修改和撤回：</w:t>
      </w:r>
      <w:r/>
    </w:p>
    <w:p>
      <w:pPr>
        <w:pStyle w:val="1038"/>
        <w:ind w:firstLine="480"/>
        <w:spacing w:line="360" w:lineRule="auto"/>
        <w:rPr>
          <w:rFonts w:hint="eastAsia"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4、开标和评标：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4.1开标</w:t>
      </w:r>
      <w:r/>
    </w:p>
    <w:p>
      <w:pPr>
        <w:pStyle w:val="1027"/>
        <w:spacing w:line="360" w:lineRule="auto"/>
        <w:rPr>
          <w:rFonts w:ascii="宋体" w:hAnsi="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参加。投标人应当按照《苏采云系统供应商操作手册》规定，参加开标活动和在“苏采云”系统规定的时间内对投标文件进行解密。评标委员会成员不得参加开标活动。</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4.2资格审查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Cs/>
          <w:color w:val="auto"/>
          <w:sz w:val="24"/>
          <w:szCs w:val="24"/>
          <w:highlight w:val="none"/>
        </w:rPr>
        <w:t xml:space="preserve">信用记录属于应依法拒绝供应商参加政府采购的失信信息，存在此类失信信息的投标人的投标无效。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4.4.2.5启动异常低价投标审查后，</w:t>
      </w:r>
      <w:bookmarkStart w:id="4" w:name="OLE_LINK1"/>
      <w:r/>
      <w:bookmarkStart w:id="5" w:name="OLE_LINK2"/>
      <w:r>
        <w:rPr>
          <w:rFonts w:hint="eastAsia" w:ascii="宋体" w:hAnsi="宋体" w:eastAsia="宋体" w:cs="宋体"/>
          <w:color w:val="auto"/>
          <w:sz w:val="24"/>
          <w:szCs w:val="24"/>
          <w:highlight w:val="none"/>
        </w:rPr>
        <w:t xml:space="preserve">评标委员会</w:t>
      </w:r>
      <w:bookmarkEnd w:id="4"/>
      <w:r/>
      <w:bookmarkEnd w:id="5"/>
      <w:r>
        <w:rPr>
          <w:rFonts w:hint="eastAsia" w:ascii="宋体" w:hAnsi="宋体" w:eastAsia="宋体" w:cs="宋体"/>
          <w:color w:val="auto"/>
          <w:sz w:val="24"/>
          <w:szCs w:val="24"/>
          <w:highlight w:val="none"/>
        </w:rPr>
        <w:t xml:space="preserve">应当要求相关供应商在评标现场合理的时间内对投标价格作出解释，提供项目具体成本测算等与报价合理性相关的书面说明及相关证明材料</w:t>
      </w:r>
      <w:bookmarkStart w:id="6" w:name="OLE_LINK9"/>
      <w:r/>
      <w:bookmarkStart w:id="7" w:name="OLE_LINK10"/>
      <w:r>
        <w:rPr>
          <w:rFonts w:hint="eastAsia" w:ascii="宋体" w:hAnsi="宋体" w:eastAsia="宋体" w:cs="宋体"/>
          <w:color w:val="auto"/>
          <w:sz w:val="24"/>
          <w:szCs w:val="24"/>
          <w:highlight w:val="none"/>
        </w:rPr>
        <w:t xml:space="preserve">，</w:t>
      </w:r>
      <w:bookmarkEnd w:id="6"/>
      <w:r/>
      <w:bookmarkEnd w:id="7"/>
      <w:r>
        <w:rPr>
          <w:rFonts w:hint="eastAsia" w:ascii="宋体" w:hAnsi="宋体" w:eastAsia="宋体" w:cs="宋体"/>
          <w:color w:val="auto"/>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5、废标</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5.2废标后，采购人应当将废标理由通知所有投标人。</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8" w:name="_Hlk132385577"/>
      <w:r/>
      <w:bookmarkStart w:id="9" w:name="_Hlk132389804"/>
      <w:r/>
      <w:bookmarkStart w:id="10" w:name="_Hlk132385599"/>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8"/>
      <w:r/>
      <w:bookmarkEnd w:id="9"/>
      <w:r/>
      <w:bookmarkEnd w:id="10"/>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7、履约保证金</w:t>
      </w:r>
      <w:r/>
    </w:p>
    <w:p>
      <w:pPr>
        <w:pStyle w:val="1038"/>
        <w:ind w:firstLine="480"/>
        <w:spacing w:line="360" w:lineRule="auto"/>
        <w:rPr>
          <w:rFonts w:hint="eastAsia" w:cs="宋体"/>
          <w:color w:val="auto"/>
          <w:highlight w:val="none"/>
        </w:rPr>
      </w:pPr>
      <w:r>
        <w:rPr>
          <w:rFonts w:hint="eastAsia" w:cs="宋体"/>
          <w:color w:val="auto"/>
          <w:highlight w:val="none"/>
        </w:rPr>
        <w:t xml:space="preserve">见第五章合同文本履约保证金条款。</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1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18"/>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11、代理服务费：</w:t>
      </w:r>
      <w:r>
        <w:rPr>
          <w:rFonts w:hint="eastAsia" w:ascii="宋体" w:hAnsi="宋体" w:eastAsia="宋体" w:cs="宋体"/>
          <w:b/>
          <w:bCs/>
          <w:color w:val="auto"/>
          <w:sz w:val="24"/>
          <w:szCs w:val="24"/>
          <w:highlight w:val="none"/>
        </w:rPr>
        <w:t xml:space="preserve">由中标单位承担。因为本项目代理服务费是去年财政预算申报时已经包含在采购预算内。</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11.2本项目代理服务费（人民币）：29300.00元。</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11.3代理服务费由中标单位在领取中标通知书时一次性付清并含在其投标报价中。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11.4中标单位如果未按上述规定缴纳中标服务费，采购代理机构将保留诉讼的权利。</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12.2本项目评委费用由采购单位支付。</w:t>
      </w:r>
      <w:r/>
    </w:p>
    <w:p>
      <w:pPr>
        <w:rPr>
          <w:rFonts w:hint="eastAsia"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952"/>
        <w:ind w:firstLine="480"/>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第三章 投标文件格式</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8、如果我们中标，我们愿意在签订合同时按招标文件的规定支付中标服务费。</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9、与本次招标有关的通讯地址：</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                       </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5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号（项目编号）采购项目的开标、评标和合同签订过程中所签署的一切文件和处理与这有关的一切事务，我公司均予以承认。</w:t>
      </w:r>
      <w:r/>
    </w:p>
    <w:p>
      <w:pPr>
        <w:pStyle w:val="95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5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102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5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5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87"/>
        <w:ind w:firstLine="480"/>
        <w:jc w:val="both"/>
        <w:spacing w:line="360" w:lineRule="auto"/>
        <w:rPr>
          <w:rFonts w:cs="宋体"/>
          <w:color w:val="auto"/>
          <w:highlight w:val="none"/>
        </w:rPr>
      </w:pPr>
      <w:r>
        <w:rPr>
          <w:rFonts w:cs="宋体"/>
          <w:color w:val="auto"/>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firstLine="480"/>
        <w:jc w:val="center"/>
        <w:spacing w:line="360" w:lineRule="auto"/>
        <w:rPr>
          <w:rFonts w:hint="eastAsia" w:ascii="宋体" w:hAnsi="宋体" w:eastAsia="宋体" w:cs="宋体"/>
          <w:color w:val="auto"/>
          <w:szCs w:val="24"/>
          <w:highlight w:val="none"/>
        </w:rPr>
        <w:sectPr>
          <w:footerReference w:type="default" r:id="rId17"/>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auto"/>
          <w:szCs w:val="24"/>
          <w:highlight w:val="none"/>
        </w:rPr>
      </w:r>
      <w:r/>
    </w:p>
    <w:p>
      <w:pPr>
        <w:pStyle w:val="952"/>
        <w:ind w:right="420" w:firstLine="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1028"/>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1028"/>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1028"/>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p>
      <w:pPr>
        <w:pStyle w:val="1028"/>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28"/>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28"/>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42"/>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42"/>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42"/>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42"/>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5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tc>
        <w:tc>
          <w:tcPr>
            <w:tcW w:w="1801"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tc>
        <w:tc>
          <w:tcPr>
            <w:tcW w:w="1331" w:type="dxa"/>
            <w:vAlign w:val="center"/>
            <w:textDirection w:val="lrTb"/>
            <w:noWrap w:val="false"/>
          </w:tcPr>
          <w:p>
            <w:pPr>
              <w:pStyle w:val="965"/>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tc>
      </w:tr>
    </w:tbl>
    <w:p>
      <w:pPr>
        <w:pStyle w:val="96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28"/>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28"/>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28"/>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bookmarkStart w:id="11"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bookmarkEnd w:id="11"/>
      <w:r/>
      <w:r/>
    </w:p>
    <w:tbl>
      <w:tblPr>
        <w:tblStyle w:val="95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jc w:val="center"/>
          <w:trHeight w:val="567"/>
        </w:trPr>
        <w:tc>
          <w:tcPr>
            <w:tcW w:w="95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序号</w:t>
            </w:r>
            <w:r/>
          </w:p>
        </w:tc>
        <w:tc>
          <w:tcPr>
            <w:tcW w:w="10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30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W w:w="129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生产厂家</w:t>
            </w:r>
            <w:r/>
          </w:p>
        </w:tc>
        <w:tc>
          <w:tcPr>
            <w:tcW w:w="76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72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31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23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总价（元）</w:t>
            </w:r>
            <w:r/>
          </w:p>
        </w:tc>
        <w:tc>
          <w:tcPr>
            <w:tcW w:w="96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w:t>
            </w:r>
            <w:r/>
          </w:p>
        </w:tc>
      </w:tr>
      <w:tr>
        <w:trPr>
          <w:jc w:val="center"/>
          <w:trHeight w:val="567"/>
        </w:trPr>
        <w:tc>
          <w:tcPr>
            <w:tcW w:w="95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1</w:t>
            </w:r>
            <w:r/>
          </w:p>
        </w:tc>
        <w:tc>
          <w:tcPr>
            <w:tcW w:w="1086"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04"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90"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65"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2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1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3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963"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2</w:t>
            </w:r>
            <w:r/>
          </w:p>
        </w:tc>
        <w:tc>
          <w:tcPr>
            <w:tcW w:w="1086"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04"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90"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65"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2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1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3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963"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3</w:t>
            </w:r>
            <w:r/>
          </w:p>
        </w:tc>
        <w:tc>
          <w:tcPr>
            <w:tcW w:w="1086"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04"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90"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65"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2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1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3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963"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4</w:t>
            </w:r>
            <w:r/>
          </w:p>
        </w:tc>
        <w:tc>
          <w:tcPr>
            <w:tcW w:w="1086"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04"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90"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65"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2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1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3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963"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w:t>
            </w:r>
            <w:r/>
          </w:p>
        </w:tc>
        <w:tc>
          <w:tcPr>
            <w:tcW w:w="1086"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04"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90"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65"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72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319"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1231"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c>
          <w:tcPr>
            <w:tcW w:w="963" w:type="dxa"/>
            <w:vAlign w:val="center"/>
            <w:textDirection w:val="lrTb"/>
            <w:noWrap w:val="false"/>
          </w:tcPr>
          <w:p>
            <w:pPr>
              <w:pStyle w:val="965"/>
              <w:jc w:val="center"/>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tc>
      </w:tr>
      <w:tr>
        <w:trPr>
          <w:jc w:val="center"/>
          <w:trHeight w:val="567"/>
        </w:trPr>
        <w:tc>
          <w:tcPr>
            <w:gridSpan w:val="9"/>
            <w:tcW w:w="9638" w:type="dxa"/>
            <w:vAlign w:val="center"/>
            <w:textDirection w:val="lrTb"/>
            <w:noWrap w:val="false"/>
          </w:tcPr>
          <w:p>
            <w:pPr>
              <w:pStyle w:val="965"/>
              <w:ind w:firstLine="560"/>
              <w:spacing w:line="360" w:lineRule="auto"/>
              <w:rPr>
                <w:rFonts w:hint="eastAsia" w:hAnsi="宋体" w:eastAsia="宋体" w:cs="宋体"/>
                <w:bCs/>
                <w:color w:val="auto"/>
                <w:sz w:val="24"/>
                <w:szCs w:val="24"/>
                <w:highlight w:val="none"/>
              </w:rPr>
            </w:pPr>
            <w:r>
              <w:rPr>
                <w:rFonts w:hint="eastAsia" w:hAnsi="宋体" w:eastAsia="宋体" w:cs="宋体"/>
                <w:color w:val="auto"/>
                <w:spacing w:val="20"/>
                <w:sz w:val="24"/>
                <w:szCs w:val="24"/>
                <w:highlight w:val="none"/>
              </w:rPr>
              <w:t xml:space="preserve">合计金额（人民币）：</w:t>
            </w:r>
            <w:r/>
          </w:p>
        </w:tc>
      </w:tr>
      <w:tr>
        <w:trPr>
          <w:jc w:val="center"/>
          <w:trHeight w:val="567"/>
        </w:trPr>
        <w:tc>
          <w:tcPr>
            <w:gridSpan w:val="9"/>
            <w:tcW w:w="9638" w:type="dxa"/>
            <w:vAlign w:val="center"/>
            <w:textDirection w:val="lrTb"/>
            <w:noWrap w:val="false"/>
          </w:tcPr>
          <w:p>
            <w:pPr>
              <w:pStyle w:val="965"/>
              <w:ind w:firstLine="560"/>
              <w:jc w:val="left"/>
              <w:spacing w:line="360" w:lineRule="auto"/>
              <w:rPr>
                <w:rFonts w:hint="eastAsia" w:hAnsi="宋体" w:eastAsia="宋体" w:cs="宋体"/>
                <w:bCs/>
                <w:color w:val="auto"/>
                <w:sz w:val="24"/>
                <w:szCs w:val="24"/>
                <w:highlight w:val="none"/>
              </w:rPr>
            </w:pPr>
            <w:r>
              <w:rPr>
                <w:rFonts w:hint="eastAsia" w:hAnsi="宋体" w:eastAsia="宋体" w:cs="宋体"/>
                <w:color w:val="auto"/>
                <w:spacing w:val="20"/>
                <w:sz w:val="24"/>
                <w:szCs w:val="24"/>
                <w:highlight w:val="none"/>
              </w:rPr>
              <w:t xml:space="preserve">本采购包中提供的符合本国产品标准的产品成本之和占该采购包提供的全部产品成本之和的比例为</w:t>
            </w:r>
            <w:r>
              <w:rPr>
                <w:rFonts w:hint="eastAsia" w:hAnsi="宋体" w:eastAsia="宋体" w:cs="宋体"/>
                <w:color w:val="auto"/>
                <w:spacing w:val="20"/>
                <w:sz w:val="24"/>
                <w:szCs w:val="24"/>
                <w:highlight w:val="none"/>
                <w:u w:val="single"/>
              </w:rPr>
              <w:t xml:space="preserve">   </w:t>
            </w:r>
            <w:r>
              <w:rPr>
                <w:rFonts w:hint="eastAsia" w:hAnsi="宋体" w:eastAsia="宋体" w:cs="宋体"/>
                <w:color w:val="auto"/>
                <w:spacing w:val="20"/>
                <w:sz w:val="24"/>
                <w:szCs w:val="24"/>
                <w:highlight w:val="none"/>
              </w:rPr>
              <w:t xml:space="preserve">%</w:t>
            </w:r>
            <w:r/>
          </w:p>
        </w:tc>
      </w:tr>
    </w:tbl>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1、报价表包含投标人各项成本核算和投入的成本明细，合计金额应与开标一览表投标总价一致；否则，以开标一览表为准。</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2、各投标人应根据此表格式按项目分别填写报价详细清单，如表格内容不够，可自行添加。</w:t>
      </w:r>
      <w:r/>
    </w:p>
    <w:p>
      <w:pPr>
        <w:pStyle w:val="952"/>
        <w:ind w:right="42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color w:val="auto"/>
          <w:highlight w:val="none"/>
        </w:rPr>
      </w:pPr>
      <w:r>
        <w:rPr>
          <w:color w:val="auto"/>
          <w:highlight w:val="none"/>
        </w:rPr>
      </w:r>
      <w:r/>
    </w:p>
    <w:p>
      <w:pPr>
        <w:pStyle w:val="1028"/>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28"/>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28"/>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2"/>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6、技术参数响应及偏离表</w:t>
      </w:r>
      <w:r/>
    </w:p>
    <w:tbl>
      <w:tblPr>
        <w:tblStyle w:val="95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8"/>
        <w:gridCol w:w="2266"/>
        <w:gridCol w:w="2266"/>
        <w:gridCol w:w="2316"/>
      </w:tblGrid>
      <w:tr>
        <w:trPr>
          <w:jc w:val="center"/>
          <w:trHeight w:val="567"/>
        </w:trPr>
        <w:tc>
          <w:tcPr>
            <w:tcW w:w="1232"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559"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产品名称</w:t>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采购要求</w:t>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投标产品技术参数</w:t>
            </w:r>
            <w:r/>
          </w:p>
        </w:tc>
        <w:tc>
          <w:tcPr>
            <w:tcW w:w="231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偏离情况说明</w:t>
            </w:r>
            <w:r/>
          </w:p>
        </w:tc>
      </w:tr>
      <w:tr>
        <w:trPr>
          <w:jc w:val="center"/>
          <w:trHeight w:val="567"/>
        </w:trPr>
        <w:tc>
          <w:tcPr>
            <w:tcW w:w="1232"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559"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31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p>
        </w:tc>
        <w:tc>
          <w:tcPr>
            <w:tcW w:w="1559"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31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w:t>
            </w:r>
            <w:r/>
          </w:p>
        </w:tc>
        <w:tc>
          <w:tcPr>
            <w:tcW w:w="1559"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31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w:t>
            </w:r>
            <w:r/>
          </w:p>
        </w:tc>
        <w:tc>
          <w:tcPr>
            <w:tcW w:w="1559"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31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bCs/>
                <w:color w:val="auto"/>
                <w:sz w:val="24"/>
                <w:szCs w:val="24"/>
                <w:highlight w:val="none"/>
              </w:rPr>
              <w:t xml:space="preserve">......</w:t>
            </w:r>
            <w:r/>
          </w:p>
        </w:tc>
        <w:tc>
          <w:tcPr>
            <w:tcW w:w="1559"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26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c>
          <w:tcPr>
            <w:tcW w:w="2318" w:type="dxa"/>
            <w:vAlign w:val="center"/>
            <w:textDirection w:val="lrTb"/>
            <w:noWrap/>
          </w:tcPr>
          <w:p>
            <w:pPr>
              <w:pStyle w:val="1042"/>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c>
      </w:tr>
    </w:tbl>
    <w:p>
      <w:pPr>
        <w:pStyle w:val="96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投标产品对招标文件技术要求应作出的详细描述和说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以上表格内容不够的请自行添加。</w:t>
      </w:r>
      <w:r/>
    </w:p>
    <w:p>
      <w:pPr>
        <w:rPr>
          <w:rFonts w:cs="宋体"/>
          <w:bCs/>
          <w:color w:val="auto"/>
          <w:sz w:val="24"/>
          <w:szCs w:val="24"/>
          <w:highlight w:val="none"/>
        </w:rPr>
      </w:pPr>
      <w:r>
        <w:rPr>
          <w:rFonts w:cs="宋体"/>
          <w:bCs/>
          <w:color w:val="auto"/>
          <w:sz w:val="24"/>
          <w:szCs w:val="24"/>
          <w:highlight w:val="none"/>
        </w:rPr>
        <w:br w:type="page" w:clear="all"/>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rPr>
        <w:t xml:space="preserve">商务条款响应及偏离表</w:t>
      </w:r>
      <w:r/>
    </w:p>
    <w:p>
      <w:pPr>
        <w:jc w:val="center"/>
        <w:spacing w:before="100" w:beforeAutospacing="1" w:after="100" w:afterAutospacing="1"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商务条款响应及偏离表</w:t>
      </w:r>
      <w:r/>
    </w:p>
    <w:tbl>
      <w:tblPr>
        <w:tblStyle w:val="951"/>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67"/>
        <w:gridCol w:w="2250"/>
        <w:gridCol w:w="2412"/>
        <w:gridCol w:w="2089"/>
      </w:tblGrid>
      <w:tr>
        <w:trPr>
          <w:trHeight w:val="760"/>
        </w:trPr>
        <w:tc>
          <w:tcPr>
            <w:tcW w:w="7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注：投标人应在本表中对照招标文件商务条款要求逐项对应列出响应内容，并在“偏离说明”项下填写以下内容：优于的，填写“正偏离”；符合的，填写“无偏离”；低于的，填写“负偏离”。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以上表格内容不够的请自行添加。</w:t>
      </w:r>
      <w:r/>
    </w:p>
    <w:p>
      <w:pPr>
        <w:spacing w:line="360" w:lineRule="auto"/>
        <w:rPr>
          <w:rFonts w:cs="宋体"/>
          <w:bCs/>
          <w:color w:val="auto"/>
          <w:sz w:val="24"/>
          <w:szCs w:val="24"/>
          <w:highlight w:val="none"/>
        </w:rPr>
      </w:pPr>
      <w:r>
        <w:rPr>
          <w:rFonts w:cs="宋体"/>
          <w:bCs/>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360" w:lineRule="auto"/>
        <w:rPr>
          <w:rFonts w:hint="eastAsia" w:ascii="宋体" w:hAnsi="宋体" w:eastAsia="宋体" w:cs="宋体"/>
          <w:bCs/>
          <w:color w:val="auto"/>
          <w:sz w:val="24"/>
          <w:szCs w:val="24"/>
          <w:highlight w:val="none"/>
          <w:lang w:val="zh-CN"/>
        </w:rPr>
      </w:pPr>
      <w:r>
        <w:rPr>
          <w:rFonts w:cs="宋体"/>
          <w:bCs/>
          <w:color w:val="auto"/>
          <w:sz w:val="24"/>
          <w:szCs w:val="24"/>
          <w:highlight w:val="none"/>
        </w:rPr>
        <w:br w:type="page" w:clear="all"/>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投标货物和服务数量、品牌、规格、制造商明细表</w:t>
      </w:r>
      <w:r/>
    </w:p>
    <w:tbl>
      <w:tblPr>
        <w:tblStyle w:val="951"/>
        <w:tblW w:w="96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155"/>
        <w:gridCol w:w="1963"/>
        <w:gridCol w:w="1477"/>
        <w:gridCol w:w="2296"/>
        <w:gridCol w:w="985"/>
        <w:gridCol w:w="984"/>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lef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lef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1.本表不得出现价格。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2.供应商应在“投标货物和服务数量、品牌、规格、制造商明细表”中必须列明所有投标产品的品牌、规格/型号、制造商和数量，且数量需满足采购需求，</w:t>
      </w:r>
      <w:r>
        <w:rPr>
          <w:rFonts w:hint="eastAsia" w:ascii="宋体" w:hAnsi="宋体" w:eastAsia="宋体" w:cs="宋体"/>
          <w:color w:val="auto"/>
          <w:sz w:val="24"/>
          <w:szCs w:val="24"/>
          <w:highlight w:val="none"/>
        </w:rPr>
        <w:t xml:space="preserve">否则投标无效。</w:t>
      </w:r>
      <w:r/>
    </w:p>
    <w:p>
      <w:pPr>
        <w:rPr>
          <w:rFonts w:hint="eastAsia" w:hAnsi="宋体" w:eastAsia="宋体" w:cs="宋体"/>
          <w:color w:val="auto"/>
          <w:sz w:val="24"/>
          <w:szCs w:val="24"/>
          <w:highlight w:val="none"/>
        </w:rPr>
      </w:pPr>
      <w:r>
        <w:rPr>
          <w:rFonts w:hint="eastAsia" w:hAnsi="宋体" w:eastAsia="宋体" w:cs="宋体"/>
          <w:color w:val="auto"/>
          <w:sz w:val="24"/>
          <w:szCs w:val="24"/>
          <w:highlight w:val="none"/>
        </w:rPr>
        <w:br w:type="page" w:clear="all"/>
      </w:r>
      <w:r/>
    </w:p>
    <w:p>
      <w:pPr>
        <w:pStyle w:val="1028"/>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9、中小企业声明函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附：中小企业划型标准规定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（十四）物业管理。从业人员1000人以下或营业收入5000万元以下的为中小微型企业。其中，从业人员</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10、残疾人福利性单位声明函</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spacing w:line="360" w:lineRule="auto"/>
        <w:rPr>
          <w:rFonts w:hint="eastAsia"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hAnsi="宋体" w:eastAsia="宋体" w:cs="宋体"/>
          <w:bCs/>
          <w:color w:val="auto"/>
          <w:sz w:val="24"/>
          <w:szCs w:val="24"/>
          <w:highlight w:val="none"/>
        </w:rPr>
      </w:r>
      <w:r/>
    </w:p>
    <w:p>
      <w:pPr>
        <w:spacing w:line="360" w:lineRule="auto"/>
        <w:rPr>
          <w:rFonts w:ascii="方正魏碑_GBK" w:hAnsi="方正魏碑_GBK"/>
          <w:color w:val="auto"/>
          <w:sz w:val="24"/>
          <w:szCs w:val="24"/>
          <w:highlight w:val="none"/>
        </w:rPr>
        <w:outlineLvl w:val="0"/>
      </w:pPr>
      <w:r>
        <w:rPr>
          <w:rFonts w:hint="eastAsia" w:ascii="宋体" w:hAnsi="宋体" w:eastAsia="宋体" w:cs="宋体"/>
          <w:color w:val="auto"/>
          <w:sz w:val="24"/>
          <w:szCs w:val="24"/>
          <w:highlight w:val="none"/>
        </w:rPr>
        <w:t xml:space="preserve">11、关于符合本国产品标准的声明函（采购包号：**）</w:t>
      </w:r>
      <w:r>
        <w:rPr>
          <w:rFonts w:ascii="方正魏碑_GBK" w:hAnsi="方正魏碑_GBK"/>
          <w:color w:val="auto"/>
          <w:sz w:val="24"/>
          <w:szCs w:val="24"/>
          <w:highlight w:val="none"/>
        </w:rPr>
        <w:t xml:space="preserve"> </w:t>
      </w:r>
      <w:r/>
    </w:p>
    <w:p>
      <w:pPr>
        <w:pStyle w:val="987"/>
        <w:ind w:firstLine="480"/>
        <w:spacing w:before="0" w:after="0" w:line="360" w:lineRule="auto"/>
        <w:rPr>
          <w:rFonts w:cs="宋体"/>
          <w:color w:val="auto"/>
          <w:highlight w:val="none"/>
        </w:rPr>
      </w:pPr>
      <w:r>
        <w:rPr>
          <w:rFonts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7"/>
        <w:ind w:firstLine="480"/>
        <w:spacing w:before="0" w:after="30" w:line="360" w:lineRule="auto"/>
        <w:rPr>
          <w:rFonts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shd w:val="clear" w:color="auto" w:fill="ffffff"/>
        </w:rPr>
        <w:t xml:space="preserve">1.</w:t>
      </w:r>
      <w:r>
        <w:rPr>
          <w:rStyle w:val="1088"/>
          <w:rFonts w:hint="eastAsia" w:ascii="宋体" w:hAnsi="宋体" w:cs="宋体"/>
          <w:i w:val="0"/>
          <w:color w:val="auto"/>
          <w:highlight w:val="none"/>
          <w:u w:val="single"/>
          <w:shd w:val="clear" w:color="auto" w:fill="ffffff"/>
        </w:rPr>
        <w:t xml:space="preserve">（产品名称1）</w:t>
      </w:r>
      <w:r>
        <w:rPr>
          <w:rStyle w:val="1088"/>
          <w:rFonts w:hint="eastAsia" w:ascii="宋体" w:hAnsi="宋体" w:cs="宋体"/>
          <w:i w:val="0"/>
          <w:color w:val="auto"/>
          <w:highlight w:val="none"/>
          <w:shd w:val="clear" w:color="auto" w:fill="ffffff"/>
          <w:vertAlign w:val="superscript"/>
        </w:rPr>
        <w:t xml:space="preserve">1</w:t>
      </w:r>
      <w:r>
        <w:rPr>
          <w:rFonts w:cs="宋体"/>
          <w:color w:val="auto"/>
          <w:highlight w:val="none"/>
          <w:shd w:val="clear" w:color="auto" w:fill="ffffff"/>
        </w:rPr>
        <w:t xml:space="preserve">，生产厂为</w:t>
      </w:r>
      <w:r>
        <w:rPr>
          <w:rStyle w:val="1088"/>
          <w:rFonts w:hint="eastAsia" w:ascii="宋体" w:hAnsi="宋体" w:cs="宋体"/>
          <w:i w:val="0"/>
          <w:color w:val="auto"/>
          <w:highlight w:val="none"/>
          <w:u w:val="single"/>
          <w:shd w:val="clear" w:color="auto" w:fill="ffffff"/>
        </w:rPr>
        <w:t xml:space="preserve">（厂名）</w:t>
      </w:r>
      <w:r>
        <w:rPr>
          <w:rStyle w:val="1088"/>
          <w:rFonts w:hint="eastAsia" w:ascii="宋体" w:hAnsi="宋体" w:cs="宋体"/>
          <w:i w:val="0"/>
          <w:color w:val="auto"/>
          <w:highlight w:val="none"/>
          <w:shd w:val="clear" w:color="auto" w:fill="ffffff"/>
          <w:vertAlign w:val="superscript"/>
        </w:rPr>
        <w:t xml:space="preserve">2</w:t>
      </w:r>
      <w:r>
        <w:rPr>
          <w:rFonts w:cs="宋体"/>
          <w:color w:val="auto"/>
          <w:highlight w:val="none"/>
          <w:shd w:val="clear" w:color="auto" w:fill="ffffff"/>
        </w:rPr>
        <w:t xml:space="preserve">，厂址为</w:t>
      </w:r>
      <w:r>
        <w:rPr>
          <w:rStyle w:val="1088"/>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Fonts w:cs="宋体"/>
          <w:color w:val="auto"/>
          <w:highlight w:val="none"/>
          <w:u w:val="single"/>
          <w:shd w:val="clear" w:color="auto" w:fill="ffffff"/>
        </w:rPr>
        <w:t xml:space="preserve"> </w:t>
      </w:r>
      <w:r>
        <w:rPr>
          <w:rStyle w:val="1088"/>
          <w:rFonts w:hint="eastAsia" w:ascii="宋体" w:hAnsi="宋体" w:cs="宋体"/>
          <w:i w:val="0"/>
          <w:color w:val="auto"/>
          <w:highlight w:val="none"/>
          <w:u w:val="single"/>
          <w:shd w:val="clear" w:color="auto" w:fill="ffffff"/>
        </w:rPr>
        <w:t xml:space="preserve">（产品名称1） </w:t>
      </w:r>
      <w:r>
        <w:rPr>
          <w:rFonts w:cs="宋体"/>
          <w:color w:val="auto"/>
          <w:highlight w:val="none"/>
          <w:shd w:val="clear" w:color="auto" w:fill="ffffff"/>
        </w:rPr>
        <w:t xml:space="preserve">的中国境内生产的组件成本占比≥</w:t>
      </w:r>
      <w:r>
        <w:rPr>
          <w:rStyle w:val="1088"/>
          <w:rFonts w:hint="eastAsia" w:ascii="宋体" w:hAnsi="宋体" w:cs="宋体"/>
          <w:i w:val="0"/>
          <w:color w:val="auto"/>
          <w:highlight w:val="none"/>
          <w:u w:val="single"/>
          <w:shd w:val="clear" w:color="auto" w:fill="ffffff"/>
        </w:rPr>
        <w:t xml:space="preserve">（规定比例）</w:t>
      </w:r>
      <w:r>
        <w:rPr>
          <w:rStyle w:val="1088"/>
          <w:rFonts w:hint="eastAsia" w:ascii="宋体" w:hAnsi="宋体" w:cs="宋体"/>
          <w:i w:val="0"/>
          <w:color w:val="auto"/>
          <w:highlight w:val="none"/>
          <w:shd w:val="clear" w:color="auto" w:fill="ffffff"/>
          <w:vertAlign w:val="superscript"/>
        </w:rPr>
        <w:t xml:space="preserve">3</w:t>
      </w:r>
      <w:r>
        <w:rPr>
          <w:rFonts w:cs="宋体"/>
          <w:color w:val="auto"/>
          <w:highlight w:val="none"/>
          <w:shd w:val="clear" w:color="auto" w:fill="ffffff"/>
        </w:rPr>
        <w:t xml:space="preserve">。</w:t>
      </w:r>
      <w:r>
        <w:rPr>
          <w:rStyle w:val="1088"/>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88"/>
          <w:rFonts w:hint="eastAsia" w:ascii="宋体" w:hAnsi="宋体" w:cs="宋体"/>
          <w:i w:val="0"/>
          <w:color w:val="auto"/>
          <w:highlight w:val="none"/>
          <w:u w:val="single"/>
          <w:shd w:val="clear" w:color="auto" w:fill="ffffff"/>
        </w:rPr>
        <w:t xml:space="preserve">（关键组件）</w:t>
      </w:r>
      <w:r>
        <w:rPr>
          <w:rStyle w:val="1088"/>
          <w:rFonts w:hint="eastAsia" w:ascii="宋体" w:hAnsi="宋体" w:cs="宋体"/>
          <w:i w:val="0"/>
          <w:color w:val="auto"/>
          <w:highlight w:val="none"/>
          <w:shd w:val="clear" w:color="auto" w:fill="ffffff"/>
          <w:vertAlign w:val="superscript"/>
        </w:rPr>
        <w:t xml:space="preserve">4</w:t>
      </w:r>
      <w:r>
        <w:rPr>
          <w:rFonts w:cs="宋体"/>
          <w:color w:val="auto"/>
          <w:highlight w:val="none"/>
          <w:shd w:val="clear" w:color="auto" w:fill="ffffff"/>
        </w:rPr>
        <w:t xml:space="preserve">在中国境内生产。</w:t>
      </w:r>
      <w:r>
        <w:rPr>
          <w:rStyle w:val="1088"/>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88"/>
          <w:rFonts w:hint="eastAsia" w:ascii="宋体" w:hAnsi="宋体" w:cs="宋体"/>
          <w:i w:val="0"/>
          <w:color w:val="auto"/>
          <w:highlight w:val="none"/>
          <w:u w:val="single"/>
          <w:shd w:val="clear" w:color="auto" w:fill="ffffff"/>
        </w:rPr>
        <w:t xml:space="preserve">（关键工序）</w:t>
      </w:r>
      <w:r>
        <w:rPr>
          <w:rStyle w:val="1088"/>
          <w:rFonts w:hint="eastAsia" w:ascii="宋体" w:hAnsi="宋体" w:cs="宋体"/>
          <w:i w:val="0"/>
          <w:color w:val="auto"/>
          <w:highlight w:val="none"/>
          <w:shd w:val="clear" w:color="auto" w:fill="ffffff"/>
          <w:vertAlign w:val="superscript"/>
        </w:rPr>
        <w:t xml:space="preserve">5</w:t>
      </w:r>
      <w:r>
        <w:rPr>
          <w:rFonts w:cs="宋体"/>
          <w:color w:val="auto"/>
          <w:highlight w:val="none"/>
          <w:shd w:val="clear" w:color="auto" w:fill="ffffff"/>
        </w:rPr>
        <w:t xml:space="preserve">在中国境内完成。</w:t>
      </w:r>
      <w:r/>
    </w:p>
    <w:p>
      <w:pPr>
        <w:pStyle w:val="987"/>
        <w:ind w:firstLine="480"/>
        <w:spacing w:before="0" w:after="30" w:line="360" w:lineRule="auto"/>
        <w:rPr>
          <w:rFonts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shd w:val="clear" w:color="auto" w:fill="ffffff"/>
        </w:rPr>
        <w:t xml:space="preserve">2.</w:t>
      </w:r>
      <w:r>
        <w:rPr>
          <w:rStyle w:val="1088"/>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，生产厂为</w:t>
      </w:r>
      <w:r>
        <w:rPr>
          <w:rStyle w:val="1088"/>
          <w:rFonts w:hint="eastAsia" w:ascii="宋体" w:hAnsi="宋体" w:cs="宋体"/>
          <w:i w:val="0"/>
          <w:color w:val="auto"/>
          <w:highlight w:val="none"/>
          <w:u w:val="single"/>
          <w:shd w:val="clear" w:color="auto" w:fill="ffffff"/>
        </w:rPr>
        <w:t xml:space="preserve">（厂名）</w:t>
      </w:r>
      <w:r>
        <w:rPr>
          <w:rFonts w:cs="宋体"/>
          <w:color w:val="auto"/>
          <w:highlight w:val="none"/>
          <w:shd w:val="clear" w:color="auto" w:fill="ffffff"/>
        </w:rPr>
        <w:t xml:space="preserve">，厂址为</w:t>
      </w:r>
      <w:r>
        <w:rPr>
          <w:rStyle w:val="1088"/>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Style w:val="1088"/>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的中国境内生产的组件成本占比≥</w:t>
      </w:r>
      <w:r>
        <w:rPr>
          <w:rStyle w:val="1088"/>
          <w:rFonts w:hint="eastAsia" w:ascii="宋体" w:hAnsi="宋体" w:cs="宋体"/>
          <w:i w:val="0"/>
          <w:color w:val="auto"/>
          <w:highlight w:val="none"/>
          <w:u w:val="single"/>
          <w:shd w:val="clear" w:color="auto" w:fill="ffffff"/>
        </w:rPr>
        <w:t xml:space="preserve">（规定比例）</w:t>
      </w:r>
      <w:r>
        <w:rPr>
          <w:rFonts w:cs="宋体"/>
          <w:color w:val="auto"/>
          <w:highlight w:val="none"/>
          <w:shd w:val="clear" w:color="auto" w:fill="ffffff"/>
        </w:rPr>
        <w:t xml:space="preserve">。</w:t>
      </w:r>
      <w:r>
        <w:rPr>
          <w:rStyle w:val="1088"/>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w:t>
      </w:r>
      <w:r>
        <w:rPr>
          <w:rStyle w:val="1088"/>
          <w:rFonts w:hint="eastAsia" w:ascii="宋体" w:hAnsi="宋体" w:cs="宋体"/>
          <w:i w:val="0"/>
          <w:color w:val="auto"/>
          <w:highlight w:val="none"/>
          <w:u w:val="single"/>
          <w:shd w:val="clear" w:color="auto" w:fill="ffffff"/>
        </w:rPr>
        <w:t xml:space="preserve">（关键组件）</w:t>
      </w:r>
      <w:r>
        <w:rPr>
          <w:rFonts w:cs="宋体"/>
          <w:color w:val="auto"/>
          <w:highlight w:val="none"/>
          <w:shd w:val="clear" w:color="auto" w:fill="ffffff"/>
        </w:rPr>
        <w:t xml:space="preserve">在中国境内生产。</w:t>
      </w:r>
      <w:r>
        <w:rPr>
          <w:rStyle w:val="1088"/>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88"/>
          <w:rFonts w:hint="eastAsia" w:ascii="宋体" w:hAnsi="宋体" w:cs="宋体"/>
          <w:i w:val="0"/>
          <w:color w:val="auto"/>
          <w:highlight w:val="none"/>
          <w:u w:val="single"/>
          <w:shd w:val="clear" w:color="auto" w:fill="ffffff"/>
        </w:rPr>
        <w:t xml:space="preserve">（关键工序）</w:t>
      </w:r>
      <w:r>
        <w:rPr>
          <w:rFonts w:cs="宋体"/>
          <w:color w:val="auto"/>
          <w:highlight w:val="none"/>
          <w:shd w:val="clear" w:color="auto" w:fill="ffffff"/>
        </w:rPr>
        <w:t xml:space="preserve">在中国境内完成。</w:t>
      </w:r>
      <w:r/>
    </w:p>
    <w:p>
      <w:pPr>
        <w:pStyle w:val="987"/>
        <w:ind w:firstLine="480"/>
        <w:spacing w:before="30" w:after="30" w:line="360" w:lineRule="auto"/>
        <w:rPr>
          <w:rFonts w:cs="宋体"/>
          <w:color w:val="auto"/>
          <w:highlight w:val="none"/>
        </w:rPr>
      </w:pPr>
      <w:r>
        <w:rPr>
          <w:rFonts w:cs="宋体"/>
          <w:color w:val="auto"/>
          <w:highlight w:val="none"/>
          <w:shd w:val="clear" w:color="auto" w:fill="ffffff"/>
        </w:rPr>
        <w:t xml:space="preserve">……</w:t>
      </w:r>
      <w:r/>
    </w:p>
    <w:p>
      <w:pPr>
        <w:pStyle w:val="987"/>
        <w:ind w:firstLine="480"/>
        <w:spacing w:before="30" w:after="30" w:line="360" w:lineRule="auto"/>
        <w:rPr>
          <w:rFonts w:cs="宋体"/>
          <w:color w:val="auto"/>
          <w:highlight w:val="none"/>
        </w:rPr>
      </w:pPr>
      <w:r>
        <w:rPr>
          <w:rFonts w:cs="宋体"/>
          <w:color w:val="auto"/>
          <w:highlight w:val="none"/>
          <w:shd w:val="clear" w:color="auto" w:fill="ffffff"/>
        </w:rPr>
        <w:t xml:space="preserve">本公司（单位）对上述声明内容的真实性负责。如有虚假，愿承担相应法律责任。</w:t>
      </w:r>
      <w:r/>
    </w:p>
    <w:p>
      <w:pPr>
        <w:pStyle w:val="987"/>
        <w:jc w:val="right"/>
        <w:spacing w:before="30" w:after="30" w:line="360" w:lineRule="auto"/>
        <w:rPr>
          <w:rFonts w:cs="宋体"/>
          <w:color w:val="auto"/>
          <w:highlight w:val="none"/>
        </w:rPr>
      </w:pPr>
      <w:r>
        <w:rPr>
          <w:rFonts w:cs="宋体"/>
          <w:color w:val="auto"/>
          <w:highlight w:val="none"/>
          <w:shd w:val="clear" w:color="auto" w:fill="ffffff"/>
        </w:rPr>
        <w:t xml:space="preserve">公司（单位）名称（盖章）：         </w:t>
      </w:r>
      <w:r/>
    </w:p>
    <w:p>
      <w:pPr>
        <w:pStyle w:val="987"/>
        <w:jc w:val="center"/>
        <w:spacing w:before="30" w:after="30" w:line="360" w:lineRule="auto"/>
        <w:rPr>
          <w:rFonts w:cs="宋体"/>
          <w:color w:val="auto"/>
          <w:highlight w:val="none"/>
        </w:rPr>
      </w:pPr>
      <w:r>
        <w:rPr>
          <w:rFonts w:cs="宋体"/>
          <w:color w:val="auto"/>
          <w:highlight w:val="none"/>
          <w:shd w:val="clear" w:color="auto" w:fill="ffffff"/>
        </w:rPr>
        <w:t xml:space="preserve">                                          日期：    年   月   日         </w:t>
      </w:r>
      <w:r/>
    </w:p>
    <w:p>
      <w:pPr>
        <w:pStyle w:val="987"/>
        <w:spacing w:before="30" w:after="30" w:line="360" w:lineRule="auto"/>
        <w:rPr>
          <w:rFonts w:cs="宋体"/>
          <w:color w:val="auto"/>
          <w:highlight w:val="none"/>
        </w:rPr>
      </w:pPr>
      <w:r>
        <w:rPr>
          <w:rFonts w:cs="宋体"/>
          <w:color w:val="auto"/>
          <w:highlight w:val="none"/>
          <w:shd w:val="clear" w:color="auto" w:fill="ffffff"/>
        </w:rPr>
        <w:t xml:space="preserve">__________________</w:t>
      </w:r>
      <w:r/>
    </w:p>
    <w:p>
      <w:pPr>
        <w:pStyle w:val="987"/>
        <w:spacing w:before="30" w:after="30" w:line="360" w:lineRule="auto"/>
        <w:rPr>
          <w:rFonts w:cs="宋体"/>
          <w:color w:val="auto"/>
          <w:highlight w:val="none"/>
        </w:rPr>
      </w:pPr>
      <w:r>
        <w:rPr>
          <w:rFonts w:cs="宋体"/>
          <w:color w:val="auto"/>
          <w:highlight w:val="none"/>
          <w:shd w:val="clear" w:color="auto" w:fill="ffffff"/>
        </w:rPr>
        <w:t xml:space="preserve">1.产品如有型号，请在“产品名称”栏一并填写。</w:t>
      </w:r>
      <w:r/>
    </w:p>
    <w:p>
      <w:pPr>
        <w:pStyle w:val="987"/>
        <w:spacing w:before="30" w:after="30" w:line="360" w:lineRule="auto"/>
        <w:rPr>
          <w:rFonts w:cs="宋体"/>
          <w:color w:val="auto"/>
          <w:highlight w:val="none"/>
        </w:rPr>
      </w:pPr>
      <w:r>
        <w:rPr>
          <w:rFonts w:cs="宋体"/>
          <w:color w:val="auto"/>
          <w:highlight w:val="none"/>
          <w:shd w:val="clear" w:color="auto" w:fill="ffffff"/>
        </w:rPr>
        <w:t xml:space="preserve">2.生产厂名与厂址应与生产厂营业执照载明的相关信息保持一致。</w:t>
      </w:r>
      <w:r/>
    </w:p>
    <w:p>
      <w:pPr>
        <w:pStyle w:val="987"/>
        <w:spacing w:before="30" w:after="30" w:line="360" w:lineRule="auto"/>
        <w:rPr>
          <w:rFonts w:cs="宋体"/>
          <w:color w:val="auto"/>
          <w:highlight w:val="none"/>
        </w:rPr>
      </w:pPr>
      <w:r>
        <w:rPr>
          <w:rFonts w:cs="宋体"/>
          <w:color w:val="auto"/>
          <w:highlight w:val="none"/>
          <w:shd w:val="clear" w:color="auto" w:fill="ffffff"/>
        </w:rPr>
        <w:t xml:space="preserve">3.该产品的中国境内生产的组件成本占比相关要求实施前，“规定比例”栏可不填，下同。</w:t>
      </w:r>
      <w:r/>
    </w:p>
    <w:p>
      <w:pPr>
        <w:pStyle w:val="987"/>
        <w:spacing w:before="30" w:after="30" w:line="360" w:lineRule="auto"/>
        <w:rPr>
          <w:rFonts w:cs="宋体"/>
          <w:color w:val="auto"/>
          <w:highlight w:val="none"/>
        </w:rPr>
      </w:pPr>
      <w:r>
        <w:rPr>
          <w:rFonts w:cs="宋体"/>
          <w:color w:val="auto"/>
          <w:highlight w:val="none"/>
          <w:shd w:val="clear" w:color="auto" w:fill="ffffff"/>
        </w:rPr>
        <w:t xml:space="preserve">4.该产品的关键组件要求实施前，“关键组件”栏可不填，下同。</w:t>
      </w:r>
      <w:r/>
    </w:p>
    <w:p>
      <w:pPr>
        <w:pStyle w:val="987"/>
        <w:spacing w:before="30" w:after="30" w:line="360" w:lineRule="auto"/>
        <w:rPr>
          <w:rFonts w:cs="宋体"/>
          <w:color w:val="auto"/>
          <w:highlight w:val="none"/>
          <w:shd w:val="clear" w:color="auto" w:fill="ffffff"/>
        </w:rPr>
      </w:pPr>
      <w:r>
        <w:rPr>
          <w:rFonts w:cs="宋体"/>
          <w:color w:val="auto"/>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采购需求</w:t>
      </w:r>
      <w:r/>
    </w:p>
    <w:p>
      <w:pPr>
        <w:ind w:firstLine="480"/>
        <w:spacing w:line="360" w:lineRule="auto"/>
        <w:rPr>
          <w:rFonts w:hint="eastAsia" w:ascii="宋体" w:hAnsi="宋体" w:eastAsia="宋体" w:cs="宋体"/>
          <w:color w:val="auto"/>
          <w:sz w:val="24"/>
          <w:szCs w:val="24"/>
          <w:highlight w:val="none"/>
        </w:rPr>
      </w:pPr>
      <w:r/>
      <w:bookmarkStart w:id="12" w:name="_Toc13642116"/>
      <w:r>
        <w:rPr>
          <w:rFonts w:hint="eastAsia" w:ascii="宋体" w:hAnsi="宋体" w:eastAsia="宋体" w:cs="宋体"/>
          <w:color w:val="auto"/>
          <w:sz w:val="24"/>
          <w:szCs w:val="24"/>
          <w:highlight w:val="none"/>
        </w:rPr>
        <w:t xml:space="preserve">苏州正杰招投标咨询服务有限公司受江苏省苏州中学校的委托，就其所需的</w:t>
      </w:r>
      <w:r>
        <w:rPr>
          <w:rFonts w:hint="eastAsia" w:ascii="宋体" w:hAnsi="宋体" w:eastAsia="宋体" w:cs="宋体"/>
          <w:color w:val="auto"/>
          <w:sz w:val="24"/>
          <w:szCs w:val="24"/>
          <w:highlight w:val="none"/>
          <w:lang w:eastAsia="zh-CN"/>
        </w:rPr>
        <w:t xml:space="preserve">江苏省苏州中学校东校区二期安防</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一、项目编号：</w:t>
      </w:r>
      <w:r>
        <w:rPr>
          <w:rFonts w:hint="eastAsia" w:ascii="宋体" w:hAnsi="宋体" w:eastAsia="宋体" w:cs="宋体"/>
          <w:bCs/>
          <w:color w:val="auto"/>
          <w:sz w:val="24"/>
          <w:szCs w:val="24"/>
          <w:highlight w:val="none"/>
          <w:lang w:eastAsia="zh-CN"/>
        </w:rPr>
        <w:t xml:space="preserve">JSZC-320500-SZZJ-G2026-0029</w:t>
      </w:r>
      <w:r>
        <w:rPr>
          <w:rFonts w:hint="eastAsia" w:ascii="宋体" w:hAnsi="宋体" w:eastAsia="宋体" w:cs="宋体"/>
          <w:bCs/>
          <w:color w:val="auto"/>
          <w:sz w:val="24"/>
          <w:szCs w:val="24"/>
          <w:highlight w:val="none"/>
        </w:rPr>
        <w:t xml:space="preserve">号。</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bookmarkEnd w:id="12"/>
      <w:r/>
      <w:bookmarkStart w:id="13" w:name="_Toc13543213"/>
      <w:r>
        <w:rPr>
          <w:rFonts w:hint="eastAsia" w:ascii="宋体" w:hAnsi="宋体" w:eastAsia="宋体" w:cs="宋体"/>
          <w:bCs/>
          <w:color w:val="auto"/>
          <w:sz w:val="24"/>
          <w:szCs w:val="24"/>
          <w:highlight w:val="none"/>
        </w:rPr>
        <w:t xml:space="preserve">采购需求：</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（一）标的物清单</w:t>
      </w:r>
      <w:r>
        <w:rPr>
          <w:rFonts w:hint="eastAsia" w:ascii="宋体" w:hAnsi="宋体" w:eastAsia="宋体" w:cs="宋体"/>
          <w:color w:val="auto"/>
          <w:sz w:val="24"/>
          <w:szCs w:val="24"/>
          <w:highlight w:val="none"/>
          <w:lang w:eastAsia="zh-CN"/>
        </w:rPr>
        <w:t xml:space="preserve">：</w:t>
      </w:r>
      <w:bookmarkStart w:id="17" w:name="_GoBack"/>
      <w:r/>
      <w:bookmarkEnd w:id="17"/>
      <w:r/>
      <w:r/>
    </w:p>
    <w:tbl>
      <w:tblPr>
        <w:tblStyle w:val="951"/>
        <w:tblW w:w="9638" w:type="dxa"/>
        <w:jc w:val="center"/>
        <w:tblLayout w:type="fixed"/>
        <w:tblCellMar>
          <w:left w:w="108" w:type="dxa"/>
          <w:top w:w="0" w:type="dxa"/>
          <w:right w:w="108" w:type="dxa"/>
          <w:bottom w:w="0" w:type="dxa"/>
        </w:tblCellMar>
        <w:tblLook w:val="04A0" w:firstRow="1" w:lastRow="0" w:firstColumn="1" w:lastColumn="0" w:noHBand="0" w:noVBand="1"/>
      </w:tblPr>
      <w:tblGrid>
        <w:gridCol w:w="667"/>
        <w:gridCol w:w="1125"/>
        <w:gridCol w:w="1095"/>
        <w:gridCol w:w="5415"/>
        <w:gridCol w:w="660"/>
        <w:gridCol w:w="676"/>
      </w:tblGrid>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分类</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数量</w:t>
            </w:r>
            <w:r/>
          </w:p>
        </w:tc>
      </w:tr>
      <w:tr>
        <w:trPr>
          <w:jc w:val="center"/>
          <w:trHeight w:val="567"/>
        </w:trPr>
        <w:tc>
          <w:tcPr>
            <w:gridSpan w:val="6"/>
            <w:tcBorders>
              <w:top w:val="single" w:color="000000" w:sz="4" w:space="0"/>
              <w:left w:val="single" w:color="000000" w:sz="4" w:space="0"/>
              <w:bottom w:val="single" w:color="000000" w:sz="4" w:space="0"/>
              <w:right w:val="single" w:color="000000" w:sz="4" w:space="0"/>
            </w:tcBorders>
            <w:tcW w:w="9638" w:type="dxa"/>
            <w:vAlign w:val="center"/>
            <w:textDirection w:val="lrTb"/>
            <w:noWrap w:val="false"/>
          </w:tcPr>
          <w:p>
            <w:pPr>
              <w:jc w:val="both"/>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硬件部分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红外高清半球摄像机（含支架）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▲半球型网络摄像机，不低于400万像素，最低分辨率可达2688 × 1520 @25 fps，在该分辨率下可输出实时图像;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▲支持Smart侦测：10项事件检测，2项异常检测;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▲支持ROI感兴趣区域增强编码，支持Smart265/264编码，可根据场景情况自适应调整码率分配;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▲支持背光补偿，强光抑制，3D数字降噪，120 dB宽动态适应不同场景;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▲采用高效阵列红外灯，使用寿命长，红外照射距离最远可达30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▲内置麦克风;</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传感器类型：不低于1/3"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最低照度：彩色：≤0.005 Lux @（F1.2，AGC ON），黑白：0 Lux with IR</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宽动态：≥120 dB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调节角度：水平：0°~360°，垂直：0°~75°，旋转：0°~360°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补光灯类型：红外灯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补光距离：最远可达30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红外波长范围：850 nm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防补光过曝：支持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最大图像尺寸：2688 × 1520（默认2560 × 1440）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视频压缩标准：主码流：H.265/H.264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子码流：H.265/H.264/MJPEG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音频：≥1个内置麦克风</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网络：≥1个RJ45 10 M/100 M自适应以太网口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供电方式：DC：12 V ± 25%，拾音器（麦克风）供电由摄像机主板提供，支持防反接保护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IP防护：≥66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红外高清枪式摄像机（带录音）</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枪式网络摄像机，不低于400万像素，分辨率可达2560 × 1440 @25 fps支持SmartIR，防止夜间红外过曝支持背光补偿，强光抑制，3D数字降噪，数字宽动态，适应不同使用环境，支持开放型网络视频接口，SDK，GB28181协议，内置麦克风，智能补光，支持白光/红外双补光，红外光最远可达50 m</w:t>
            </w:r>
            <w:r>
              <w:rPr>
                <w:rFonts w:hint="eastAsia" w:ascii="宋体" w:hAnsi="宋体" w:eastAsia="宋体" w:cs="宋体"/>
                <w:b w:val="0"/>
                <w:bCs w:val="0"/>
                <w:color w:val="auto"/>
                <w:sz w:val="18"/>
                <w:szCs w:val="18"/>
                <w:highlight w:val="none"/>
                <w:lang w:bidi="ar"/>
              </w:rPr>
              <w:t xml:space="preserve">，白光最远可达30 m；可靠性高传感器类型：不低于1/2.7" Progressive Scan CMOS；最低照度：彩色≤0.005 Lux；宽动态：数字宽动态；防补光过曝：支持补光灯类型：智能补光，可切换白光灯、红外灯；视频压缩标准：主码流：H.265 / H.264 / Smart264 / Smart265；子码流：H.265/H.264；音频：内置麦克风；网络：RJ45 10 M/100 M自适应以太网口；供电方式：DC：12 V ± 25%，拾音器（麦克风）供电由摄像机主板提供；IP防护：≥67</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室外低照度一体化标准摄像机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超宽动态护罩一体化网络摄像机，由室外防水护照（带恒温、除雾功能）+超宽动态低照度标准摄像机+可变焦镜头组成，可拆卸/分离，出厂即组装好。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Smart事件模式： 支持越界侦测，区域入侵侦测，进入区域侦测，离开区域侦测，物品遗留侦测，物品拿取侦测，徘徊侦测，人员聚集侦测，快速运动侦测，停车侦测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支持标准的256 GB Micro SD/Micro SDHC/Micro SDXC卡存储，支持10 M/100 M自适应网口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最高分辨率可达400万像素，并在此分辨率下可输出25 fps实时图像，图像更流畅，支持透雾、电子防抖，支持宽动态120 dB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支持开放型网络视频接口，GB/T28181-2016，视图库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音频：1路输入 LINE IN，1路输出 LINE OUT，1个内置麦克风（可关闭），报警：2路输入，2路输出（报警输入支持开关量，报警输出最大支持AC/DC24V 1A）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支持三级用户权限管理，支持授权的用户和密码，支持IP地址过滤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支持三码流技术，支持同时20路取流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传感器类型：≥1/1.8"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最低照度：彩色：≤0.0005 Lux @（F1.2，AGC ON），0 Lux with Light</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黑白：≤0.0001 Lux @（F1.2，AGC ON），0 Lux with IR</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宽动态：120dB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焦距&amp;视场角：3.8~16 mm ：水平视场角：103.8º~28.2º，垂直视场角：58.0º~15.9º，对角线视场角：119.1º~32.3º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防补光过曝：支持防补光过曝开启和关闭，开启下支持自动和手动，手动支持根据距离等级控制补光灯亮度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补光灯类型：红外，850nm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补光距离：普通监控：≥60 m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视频压缩标准：H.265/H.264/MJPEG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SD卡扩展：内置Micro SD/Micro SDHC/Micro SDXC 插槽，最大支持256 GB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电源输出：DC12 V，100 mA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复位：支持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RS-485：采用半双工模式，支持自适应PELCO-P和PELCO-D协议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接口类型：内插式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网络：≥1个RJ45 10 M/100 M自适应以太网口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供电方式：AC：24 V ± 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恢复出厂设置：支持RESET按键，客户端或浏览器恢复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在线升级：支持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防护：≥IP66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67</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多目人脸抓拍枪机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双通道专业智能摄像机，功能:上通道看细节，下通道看全景，采用双舱一体化设计，由双镜头相机与高性能GPU模块组成，聚合多种专为复杂场景设计的深度学习算法，实现全结构化数据精准采集，具备多场景数据融合分析能力，实现全方位态势感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支持4种智能资源模式切换：混合目标检测-全结构化模式（默认）、混合目标检测-比对模式，人脸抓拍，Smart事件</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混合目标检测(抓拍+属性并发提取)：</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a) 抓拍人脸：支持对运动人脸进行抓拍，支持性别、年龄、年龄段、戴眼镜、戴口罩、表情、戴帽子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b) 抓拍人体：支持上衣颜色、下装颜色、性别、戴眼镜、背包、拎东西、戴帽子、戴口罩、长短袖、裤裙、发型属性识别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c) 抓拍非机动车：支持上衣颜色、性别、戴眼镜、背包、戴帽子、戴口罩、长短袖、发型、骑车类型识别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人脸抓拍：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a) 支持最多120个/帧人脸检测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b) 支持对运动人脸进行检测、跟踪、抓拍、评分、筛选，输出最优的人脸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c) 支持人脸去误报、快速抓拍人脸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混合目标检测（比对模式）：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a) 支持前端人脸比对；</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b) 支持最多10个人脸库的管理；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c) 支持最多15万张人脸的导入；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d) 支持合计人脸库的存储空间最大3 GB，单张人脸不超过300 KB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e) 支持不同人脸库不同时间布防；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f) 支持黑名单比对成功报警输出；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g) 支持人脸瞳距20像素以上的人脸检测；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h) 支持人脸快速比对多种比对方式设置；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 通道1：不低于1/1.8" Progressive Scan CMOS; 通道2：不低于1/2.7"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通道1：彩色：≤0.0005 Lux @（F1.2，AGC ON） ; 黑白：≤0.0001 Lux @（F1.2，AGC ON），0 Lux with IR</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通道2：彩色：≤0.0005 Lux @（F1.0，AGC ON） ; 黑白：≤0.0001 Lux @（F1.0，AGC ON），0 Lux with IR</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 ≥120 dB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焦距: 通道1：8~32 mm ；通道2：4 mm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混合补光（支持白光模式和混光模式），750 nm + 暖白光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补光距离: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通道1：人脸：≥20 m，普通监控：≥80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通道2：普通监控：≥30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 通道1：2688 × 1520; 通道2：1920 × 1080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 H.265/H.264/MJPEG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网络存储: 支持标准Micro SD(即TF卡)/Micro SDHC/Micro SDXC（最大256 GB）断网本地存储及断网续传，NAS（NFS，SMB/CIFS均支持）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 ≥3路输入，≥2路输出（报警输出最大支持AC24 V或DC24 V，1A）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音频:≥2路输入（3.5 mm）; ≥1路输出（3.5 mm）; ≥2个内置麦克风（拾音范围最远10 m），≥1个内置扬声器（覆盖范围最大100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支持RS-485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视频输出: ≥1 Vpp Composite Output（75Ω/CVBS）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复位: 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 ≥1个RJ45 10 M/100 M/1000 M自适应以太网口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电源输出: DC12 V，50 mA，拾音器供电使用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加热器: 玻璃加热</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存储温湿度: -30 ℃~60 ℃，湿度小于95%（无凝结）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启动及工作温湿度: -30 ℃~60 ℃，湿度小于95%（无凝结）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供电方式: DC：12 V ± 20%，支持防反接保护;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 ≥IP66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楼道警戒摄像机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枪式智能摄像机，不低于400万像素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1、智能侦测：人员密度检测，支持阈值自定义配置，超阈值报警。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2、报警的同时有语音友好提示，语言内容有适用于楼梯和场馆的两种可供选择（“上下楼梯，请注意安全”，“注意保持秩序，相互礼让，安全通行”）。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支持开放应用平台，可配套线上应用商城和管理平台，对智能应用进行安装、卸载、升级，并可导入第三方智能应用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支持1.5 TOPS算力、60 MB系统内存、400 MB智能内存、2 GB eMMC存储资源共享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支持AI开放平台，支持AI模型的下发和运行，检测结果的生成和上传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设备出厂支持拥挤检测智能APP（默认开启）、周界防范，支持动态加载智能APP，可同时启用1个智能APP，并可查看设备应用资源基本信息，如系统内存、智能内存、FLASH等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分辨率可达2560 × 1440 @25 fps，在该分辨率下可输出实时图像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支持背光补偿，强光抑制，3D数字降噪，120 dB宽动态，适应不同环境</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支持白光/红外双补光，红外光最远可达30 m，白光最远可达20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支持多种事件检测和异常侦测，支持智能警戒，支持联动声音报警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支持开放型网络视频接口，SDK，GB28181协议接入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支持ROI感兴趣区域增强编码，支持Smart265/264编码，可根据场景情况自适应调整码率分配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内置麦克风，内置扬声器，支持双向语音对讲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支持≥1路报警输入/输出（报警输出最大支持DC24 V，1 A或AC24 V，1 A），≥1路音频输入/输出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支持最大512 GB MicroSD/MicroSDHC/MicroSDXC卡本地存储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支持H.265/H.264/MJPEG视频压缩算法，支持多级别视频质量配置、编码复杂度设置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支持DC12 V，100 mA电源输出，用于拾音器供电；支持PoE供电功能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符合IP66防尘防水设计，可靠性高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传感器类型≥1/3"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最低照度：彩色：≤0.005 Lux @（F1.2，AGC ON），0 Lux with Light</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最大图像尺寸：2560 × 1440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快门：1/3 s~1/100,000 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宽动态：120 dB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日夜切换模式：ICR红外滤片式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调节角度：水平：0~360°，垂直：0~75°，旋转：0~360°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最大光圈数：F1.6</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补光灯类型：支持白光，红外补光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红外波长范围：850 nm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基础业务逻辑能力，基础媒体服务能力，深度学习推理加速能力</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提供RTSP服务、HTTP代理服务、License授权服务、端口服务、日志服务等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提供多媒体视频服务和相应图像加速处理工具，包括获取YUV原始数据流、图像缩放、JPEG编解码、OSD叠加等功能，方便搭建差异化的智能处理框架</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提供深度学习推理加速能力、常见图像处理加速能力，包括缩放、颜色空间转换等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主码流：H.265/H.264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子码流：H.265/H.264/MJPEG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视频压缩码率：32 Kbps~8 Mbps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Smart264/Smart265编码：主码流支持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码率控制：定码率，变码率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SVC：支持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音频环境噪声过滤：支持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网络：≥1个RJ45 10 M/100 M自适应以太网口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报警触发：支持移动侦测，遮挡报警，异常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Smart事件：支持区域入侵侦测，越界侦测，进入区域侦测，离开区域侦测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联动方式：上传FTP/SD卡/NAS，上传中心，邮件，录像，抓图，声音报警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支持心跳，密码保护，水印技术，IP地址过滤，像素计算器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恢复出厂设置：支持RESET按键，客户端或浏览器恢复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警戒摄像机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枪式智能摄像机，不低于400万像素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采用深度学习硬件及算法，支持越界侦测，区域入侵侦测，进入区域侦测和离开区域侦测，支持联动声音报警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分辨率可达2688 × 1520 @25 fps，在该分辨率下可输出实时图像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支持背光补偿，强光抑制，3D数字降噪，120 dB宽动态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支持ROI感兴趣区域增强编码，支持Smart265/264编码，可根据场景情况自适应调整码率分配，有效节省存储成本</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≥1个内置麦克风，≥1个内置扬声器，支持双向语音对讲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支持最大256 GB MicroSD/MicroSDHC/MicroSDXC卡本地存储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支持≥1路报警输入，≥1路报警输出（报警输出最大支持AC24 V/DC24 V，1 A），≥1路音频输入，≥1路音频输出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支持：DC12 V，100 mA电源输出，可用于拾音器供电</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支持白光/红外双补光，红外最远可达50 m，白光最远可达30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支持对运动人脸抓拍和属性分析，支持快速抓拍和优选抓拍两种模式，支持对不同目标进行检测、抓拍，最多同时检测10张人脸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传感器类型：≥1/3"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最低照度：彩色：≤0.005 Lux @（F1.2，AGC ON），0 Lux with IR</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宽动态：120 dB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补光灯类型：智能补光，可切换白光灯、红外灯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防补光过曝：支持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最大图像尺寸：2688 × 1520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视频压缩标准：主码流：H.265/H.264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子码流：H.265/H.264/MJPEG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第三码流：H.265/H.264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网络：≥1个RJ45 10 M/100 M自适应以太网口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复位：支持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恢复出厂设置：支持RESET按键，支持客户端或浏览器恢复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防护：≥IP66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9</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烟感式伪装摄像机（含拾音器+伪装护罩）</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豆干型摄像机网口款、方块形小型化设计，尺寸不大于36 × 36 × 21.4 mm，适用于机具嵌入安装</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图像相关：图像鱼眼效果。最高分辨率可达400万像素，并在此分辨率下可输出30 fps（60Hz）实时图像；支持场景模式切换：普通，背光，顺光，低照度，自定义1，自定义2；支持宽动态：120 dB；支持透雾；</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Smart事件：越界侦测，区域入侵侦测，进入/离开区域侦测，徘徊侦测，人员聚集侦测，快速运动侦测，停车侦测，物品遗留/拿取侦测，场景变更侦测，虚焦侦测，音频异常侦测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安全服务：支持三级用户权限管理，支持授权的用户和密码，支持IP地址过滤；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系统功能：开放型网络视频接口，SDK，GB28181，视图库；支持三码流技术，支持同时20路取流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内置麦克风，支持声音录取</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型号为不大于3.7 mm小孔镜头</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电源供应：DC：12 V ± 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人脸抓拍：支持最优抓拍模式、快速抓拍模式可选；支持人脸属性功能：性别、年龄、年龄段、戴眼镜、戴口罩、戴帽子属性；支持人脸曝光功能；支持对运动人脸进行检测、跟踪、抓拍、评分、筛选，输出最优的人脸抓图，最多同时检测30个/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传感器类型：≥1/3"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最低照度：彩色：≤0.005 Lux @（F1.2，AGC ON）</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宽动态：120 dB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视频压缩标准：主码流：H.265/H.264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子码流：H.265/H.264/MJPEG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第三码流：H.265/H.264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最大图像尺寸：2688 × 1520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音频：≥1个内置麦克风</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复位：支持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网络：≥1个RJ45 10 M/100 M自适应以太网口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供电方式：DC：12 V ± 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在线升级：支持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恢复出厂设置：支持RESET按键，客户端或浏览器恢复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高强度墙装支架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1.压铸纯铝合金材质，表面做喷塑处理；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2.支架带出线孔，安装更加美观；</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3.摄像机安装座表面有海绵垫，保证和摄像机底座结合更紧密；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4.摄像机安装座可旋转，方便摄像机角度调整：水平：360°，垂直：-45°~45°；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5.颜色：白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196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围墙L型加强支架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钢质，整体热镀锌，黑色喷漆,高100cm.宽20cm,壁厚2mm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热感应摄像机（含支架）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【功能特性】;热成像像素160 × 120，像元大小17um，NETD &lt; 40 mK (25°C, F1.0);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支持区域入侵探测、越界探测、进入区域探测、离开区域探测、音频异常探测、高温物体检测等功能;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支持测温功能:支持普通测温，专家测温检测；可以画最多10个点，1条线，10个区域检测。测温范围：-20 °C~150 °C，测温精度：±8 °C或者读数的±8%（取最大值）;</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支持吸烟检测、火点检测、烟雾检测;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智能功能资源配置：测温、周界功能支持同时开启。测温、火点检测、烟雾检测支持同时开启。测温、火点检测、AI开放平台支持同时开启。周界功能不支持与火点、吸烟、烟雾检测两两同时开启。;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支持联动白光报警、支持联动声音报警，内置白光灯和扬声器;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支持AI开放平台;</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支持叉车去误报智能功能;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支持线性、直方图、自适应等热成像AGC模式，支持DDE、3D DNR。;</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可通过外接温湿度传感器，在样机OSD界面显示传感器信息;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热成像传感器类型：氧化钒非制冷型探测器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热成像像元尺寸：17μm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热成像分辨率：160 × 120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测温范围：测温范围：-20℃~150℃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测温精度：测温精度：±8℃或者读数的±8%（取最大值）</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人员最远报警距离（以1.8米*0.5米为准）：≥42m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车辆最远报警距离（以4米*1.4米为准）：≥126m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火点最远报警距离（以0.1米*0.1米为准）：≥30m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吸烟检测最远报警距离：≥6m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可见光传感器类型：≥400万星光级1/2.7"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可见光焦距：6~8mm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可见光分辨率：2688×1520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可见光补光功能：红外补光最远可达30米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报警联动：≥1个内置白光灯、≥1个内置扬声器，支持联动白光报警、支持联动声音报警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周界防范检测：热成像通道（默认）：越界侦测，区域入侵侦测，进入/离开区域侦测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可见光通道：越界侦测，区域入侵侦测，进入/离开区域侦测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防火应用检测：支持火点检测、烟雾检测、吸烟检测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报警输入：支持≥2路DC 0~5V报警输入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报警输出：支持≥2路常开型继电器输出，报警类型可设置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音频输入：≥1路3.5mm Mic in/Line in interface. Line input: 2-2.4V[p-p]</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音频输出：≥1路3.5mm Impedance: 600Ω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电源输入：DC 12 V（±25%）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工作温度和湿度：-40℃~70℃，＜95% RH</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防护等级：≥IP67</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全局摄像机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双400万全局摄像机-人脸增强版</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全局摄像机集合定点看全景、动点看细节的优势，采用一体化设计，由双镜头相机与高性能GPU模块组成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支持人员自动检测并联动动点镜头进行快速锁定抓拍，提供满足人脸比对的图片，并进行人体人脸关联</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人体最远检测距离可达40米，人脸最远检测距离可达30米，车辆最远检测距离15米</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支持智能资源模式切换：【全景】全结构化；【细节】全结构化，混合目标比对</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全结构化模式</w:t>
            </w:r>
            <w:r>
              <w:rPr>
                <w:rFonts w:hint="eastAsia" w:ascii="宋体" w:hAnsi="宋体" w:eastAsia="宋体" w:cs="宋体"/>
                <w:b w:val="0"/>
                <w:bCs w:val="0"/>
                <w:color w:val="auto"/>
                <w:sz w:val="18"/>
                <w:szCs w:val="18"/>
                <w:highlight w:val="none"/>
                <w:lang w:bidi="ar"/>
              </w:rPr>
              <w:t xml:space="preserve">：a)抓拍人脸：支持性别、年龄、年龄段、戴眼镜、戴口罩、表情、戴帽子等7种属性识别；b)抓拍人体：支持运动方向、上衣颜色、下装颜色、性别、戴眼镜、背包、拎东西、戴帽子、戴口罩、发型、上衣类型、下装类型等12种属性识别；c)抓拍非机动车：支持上衣颜色、下装颜色、性别、戴眼镜、年龄段、背包、拎东西、戴帽子、戴口罩、发型、上衣类型、下装类型、非机动车类型、车牌号码、车牌颜色、帽子款式、逆行、载人等18种属性识别；d)抓拍机动车：支持车牌识别并抓拍，支持车身颜色、车辆类型、车辆类型、车牌颜色、车牌类型等6种属性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混合目标比对模式：a)支持前端人脸比对；b)支持最多10个人脸库的管理，最多15万张人脸的导入；c)支持合计人脸库的存储空间最大3 GB，单张人脸不超过300 KB；d)支持不同人脸库不同时间布防；e)支持非授权名单比对成功报警输出；f)支持人脸瞳距20像素以上的人脸检测；g)支持人脸快速比对，最佳比对方式设置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支持背景大图图片字符叠加功能，支持设备编号、抓拍时间、监控点信息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全景相机和细节相机内置高效白光全彩阵列灯，夜间能正常进行人体车辆抓拍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AI-ISP降噪功能：采用去噪卷积神经网络将深度结构、学习算法用于图像去噪，最终使画面成像更新清晰，噪点更小图像更干净</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支持算法比对机制,降低人脸抓拍重复率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支持人体、车辆轨迹叠加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支持GB35114安全加密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传感器类型：【全景】≥1/1.8＂ progressive scan CMOS,【细节】≥1/1.8＂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最低照度：【全景】彩色≤0.0005Lux @ (F1.0，AGC ON)，黑白≤0.0001Lux @(F1.0，AGC ON)；【细节】彩色≤0.0005Lux @ (F1.6，AGC ON)，黑白≤0.0001Lux @(F1.6，AGC ON)</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宽动态：≥120 dB超宽动态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焦距：【全景】定焦6 mm，【细节】13 mm~52 mm，4倍光学变倍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防补光过曝：支持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补光灯距离：暖白补光，【全景】50 m监控；【细节】30 m人脸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主码流帧率分辨率：50 Hz：25 fps（2688×1520，2560 × 1440，1920 × 1080，1280 × 960，1280 × 720）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60 Hz：30 fps（2688×1520，2560 × 1440，1920 × 1080，1280 × 960，1280 × 720）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视频压缩标准：主码流：Smart265/H.265/Smart264/H.264  子码流：MJPEG/H.265/H.264  第三码流：MJPEG/H.265/H.264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网络接口：自适应10M/100M/1000M网络数据;RJ45网口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SD卡扩展：内置Micro SD卡插槽;最大支持512GB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报警输入：≥1路报警输入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音频输入：≥1路音频输入，音频峰值：2-2.4V[p-p]，输入阻抗：1 kΩ±10%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RS-485接口：采用半双工模式，支持自适应，PELCO-P和PELCO-D(可添加)协议；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报警输出：≥1路报警输出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音频输出：≥1路音频输出，线性电平，阻抗:600Ω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工作温湿度：-40℃-70℃；湿度小于90%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恢复出厂设置：支持RESET按键，客户端或浏览器恢复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除雾：加热除雾</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供电：DC：36 V ± 25%；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防护：≥IP66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180度全景摄像机（含支架）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全景模式下支持人员密度功能;Smart侦测：支持10项Smart事件检测，2项异常侦测;Smart录像：支持断网续传功能保证录像不丢失，配合Smart NVR/MicroSD卡实现事件录像的智能后检索、分析和浓缩播放;</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Smart编码：支持低码率、低延时、ROI感兴趣区域增强编码、SVC自适应编码技术，支持Smart265编码;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最高分辨率可达800万像素（3840 × 2160），并在此分辨率下可输出30 fps实时图像;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码流平滑设置，适应不同场景下对图像质量、流畅性的不同要求;</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支持H.265/H.264/MJPEG视频压缩算法，支持多级别视频质量配置、编码复杂度设置;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支持GBK字库，支持更多汉字及生僻字叠加，支持OSD颜色自选;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采用高效红外阵列灯，低功耗，照射距离最远可达20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红外增透面板，提高红外光透过率;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Smart IR功能，红外补光均匀，近处物体不过爆，远处物体不遗漏;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支持开放型网络视频接口，GB28181协议接入;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支持防雷、防浪涌、防静电，支持宽压输入;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支持IP67防护，支持防暴等级IK10;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支持10 M/100 M/1000 M自适应网口;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支持标准的256 GB Micro SD/Micro SDHC/Micro SDXC卡存储;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支持≥1对音频输入/输出;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支持≥2对报警输入/输出;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支持三级用户权限管理，支持授权的用户和密码，支持IP地址过滤;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支持HTTPS安全认证，支持创建证书;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设备初次使用需设置密码，保障密码安全;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支持用户登录锁定机制;</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传感器类型：≥1/1.8"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最低照度：彩色：≤0.003 Lux @（F1.2，AGC ON），0 Lux with IR</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宽动态：数字宽动态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调节角度：水平：0°~355°，垂直：0°~90°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焦距&amp;视场角：2.8 mm × 4 @F1.6，水平视场角：180°，垂直视场角：90°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补光灯类型：红外灯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波长范围：850 nm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补光距离：最远可达20 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防补光过曝：支持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视频压缩标准：H.265/H.264/MJPEG（全景+ePTZ模式、全景模式）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H.265/H.264（原始图像模式）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最大图像尺寸：全景+ePTZ模式：全景通道1920 × 1080；ePTZ通道1920 × 1080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全景模式：3840 × 2160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原始图像模式：1920 × 1080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RS485：≥1个RS-485接口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复位：支持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网络：≥1个RJ45 10 M/100 M/1000 M自适应以太网口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启动及工作温湿度：-40 ℃~60 ℃，湿度小于95%（无凝结）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供电方式：DC：12 V ± 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出厂配备电源适配器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防护：≥IP67，IK10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手持终端</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支持人脸认证：采用深度学习算法，支持单人识别，支持照片、视频防假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支持组合认证：人脸+密码，人脸+卡片，卡片+密码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支持视频预览：支持管理中心远程视频预览，支持接入NVR设备，实现7*24H视频监控录像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支持口罩检测：支持戴口罩检测，可配置提醒戴口罩、强制戴口罩（未戴口罩不开门）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支持提示音自定义：集成TTS文字转语音，可自定义配置认证成功和认证失败的提示音及内容。可叠加播报姓名/称呼</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支持充电功能：具备电池仓，内置锂电池，支持Type-C充电</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支持报警功能：支持防拆报警、门被外力开起报警、胁迫卡和胁迫密码报警、事件联动报警等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支持联动配置：支持事件联动、卡号联动、工号联动，可配置联动门开关、联动报警输出、联动抓拍等功能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支持本地功能：支持本地注册人脸、查询、设置、管理设备参数等操作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支持Web端管理：可进行人员管理、参数配置、事件查询、系统维护等操作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尺寸：≥4.3寸竖屏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操作方式：触摸屏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类型：LCD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镜头数量：≥2个，不少于1个可见光、1个红外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有线网络：10M/100M自适应</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无线网络：不支持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网口：≥1个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门锁输出：≥1个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开门按钮：≥1个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门磁输入：≥1个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RS-485：≥1个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USB：type C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读卡类型：IC卡、手机NFC卡、CPU（含加密功能）、身份证卡序列号</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通信频率：13.56MHz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工作温度： -10℃~＋50℃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工作湿度：10~90％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安装方式：手持、桌面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二维码识别：支持动态二维码、静态二维码识别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语音播报：支持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校时功能：支持</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一键报警柱</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单按键可视报警柱</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采用嵌入式Linux操作系统, 嵌入式SOC处理器，系统运行稳定可靠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支持网络自适应、音视频自适应功能，在网络丢包情况下，实现音视频低延迟</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支持语音对讲功能，内置高灵敏度麦克风，可实现5米对讲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支持视频采集功能，内置400W 自动红外超广角高清摄像头，实现全天候24小时实时监控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支持H.264、 H.264SVC和H.265视频编码格式，支持G.711U和G.726音频压缩标准，支持宽动态、强光抑制，场景适应性好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支持多种网络通信协议：TCP/IP、SNMP、RTSP、GB28181(2016)、ONVIF</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支持音频扩展，3.5mm标准音频接口可外接有源音箱和麦克风；</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支持电控机柜锁，支持远程开锁；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报警输入：≥2路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报警输出：≥2路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警号输出：声音110分贝，可独立控制</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警灯输出：红蓝双色警灯，可独立控制</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网络接口：10M/100M自适应网口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音频接口：≥1个音频输入、≥1个音频输出接口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SD卡：标准Micro SD卡插槽，支持 Micro SD/SDHC/SDXC卡（支持128G）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扬声器：内置1路30W扬声器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视频压缩标准：H.264;H.265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帧率：帧率25fps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镜头视场角：水平视场角:128°</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补光方式：红外补光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日夜转换模式：ICR红外滤片式自动切换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音频输入：支持≥1路3.5mm音频插口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音频输出：支持≥1路3.5mm音频插口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音频压缩标准：G.711;G.726</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音频质量：智能噪声抑制;回声消除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音频压缩码率：16Kbps;64Kbps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有线连接：≥2路RJ45接口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IP等级：≥IP65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紧急报警管理机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紧急报警管理机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一体式钢化玻璃面板设计，彩色IPS 触摸屏，扁平化风格UI操作界面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标配鹅颈话筒，具有硬件噪声抑制与回声消除功能，保证通话音质清晰明亮；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实时对讲：支持与报警盒、报警箱、报警柱、门口机、室内机及管理机之间的可视对讲；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监听监视：支持实时预览前端设备的音视频；</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报警功能：实时接收、显示前端设备的报警信息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分组广播：支持对前端设备进行分组广播喊话；支持同时广播50台前端设备，配置TS软件后支持广播最大250台报警盒</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硬件接口：USB接口，支持拓展音箱&amp;指纹模块；支持TF卡，扩展容量，提高安全性；具有HDMI接口可外接显示屏；3.5mm音频输入输出接口可外接麦克风和扬声器；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web管理：具有web管理功能，支持进行参数配置、设备管理、系统维护等操作；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安卓系统，支持第三方app安装，便于三方拓展个性化业务应用；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自带铝合金支架，支持桌面多个角度摆放，同时支持选配壁挂式安装</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接口数量：RS-485≥1，RJ45接口≥1，防区输入≥2，报警输出≥2</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TF卡接口：支持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按键类型：触摸按键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显示屏尺寸：≥10.1英寸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显示屏分辨率：≥1280*800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是否支持触摸：支持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供电方式：DC 12V;标准POE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人脸分析主机（库）</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16盘位嵌入式边缘计算主机，采用存算一体架构，内置高性能AI处理器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【硬件规格】</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存储接口：≥16个SATA接口，支持硬盘热插拔，可满配16TB硬盘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视频接口：≥2×HDMI，2×VGA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网络接口：≥2×RJ45 10/100/1000Mbps自适应以太网口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报警接口：≥16路报警输入，9路报警输出（其中第9路支持CTRL 12V）</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反向供电：≥1路DC12V 1A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串行接口：≥1路RS-232接口，1路全双工RS-485接口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USB接口：≥2×USB 2.0，2×USB 3.0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扩展接口：≥1×eSATA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【产品性能】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输入带宽：≥384Mbps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输出带宽：≥256Mbps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接入能力：≥64路H.264、H.265格式高清码流接入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解码能力：最大支持32×1080P</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显示能力：最大支持8K+1080P、2×4K异源输出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RAID模式：RAID0、RAID1、RAID5、RAID6、RAID10，支持全局热备盘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【智能模式】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产品具备两种工作模式，整机搭载2颗AI引擎，可灵活应对不同的应用需求</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模式一：文搜模式（默认）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1颗文搜引擎，1颗以图搜图引擎</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模式二：非文搜模式（通用智能分析）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2颗引擎均可独立配置（6选1）：目标识别、周界防范、周界大模型二次分析、视频结构化、以图搜图、高空抛物</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【智能应用】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一、智能文搜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支持文搜功能，开放式语义检索，输入文字描述即可查找相关目标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支持人，车，非机动车以及附属物的开放式属性检索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支持秒级检索响应，检索结果快速返回</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视频流（普通IPC）：≥4路视频流（2MP)</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图片流：≥64路图片流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单颗文搜引擎分析能力：≥64路图片流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使用文搜功能需要同时开启以图搜图引擎，单颗以图搜图引擎分析能力：≥64路图片流或4路2MP/2路4MP/1路8MP视频流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二、以图搜图</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支持以图搜图功能，可对视频预览和录像中的目标实现快速检索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图片流：≥64路图片流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单颗AI引擎分析能力：≥64路图片流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三、目标识别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支持目标抓拍、比对报警；支持以图搜图、按姓名检索、按属性检索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目标名单库：支持32个名单库，名单库库容10万张；路人库库容1万张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视频流：≥16路视频流（2MP）</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图片流：≥64路图片流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目标客流：支持客流分析（图片流），支持4个客流统计组去重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目标应用：签到、频次（高频、低频）</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单颗AI引擎分析能力：32路图片流或8路2MP/6路4MP/4路8MP视频流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四、周界防范</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支持周界算法（越界侦测、区域入侵、进入区域、离开区域）事件报警及联动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支持大模型周界的二次分析功能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视频流：≥24路视频流（2MP）</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图片流：≥64路图片流大模型周界防范</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单颗AI引擎分析能力：≥32路图片流或12路2MP/6路4MP/2路8MP视频流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五、视频结构化</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支持目标，人体，车辆，非机动车抓拍，支持人体以图搜图及属性检索，支持车牌识别，车牌库报警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视频流：≥12路视频流（2MP）</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单颗AI引擎分析能力：≥6路2MP/3路4MP/2路8MP视频流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六、高空抛物</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支持后智能高空抛物检测，支持高空抛物轨迹展示、抛物事件录像和图片快速检索溯源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视频流：≥12路视频流（4MP）</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单颗AI引擎分析能力：≥6路4MP/4路8MP视频流</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64路NVR网络录像机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配合平台软件实现异常行为分析报警功能：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人员跨线、区域入侵报警，对跨越视频划线或进入区域的人员进行报警；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人员徘徊滞留预警，对长时间停留、徘徊在校门口的可疑人员进行预警</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硬件规格：</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标准机架式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≥2个HDMI，2个VGA,HDMI+VGA组内同源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≥16盘位，可满配6TB硬盘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≥2个千兆网口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≥2个USB2.0接口、1个USB3.0接口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≥1个eSATA接口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支持RAID0、1、5、10，支持全局热备盘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软件性能：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输入带宽：≥320M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≥64路H.264、H.265混合接入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最大支持16×1080P解码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支持H.265、H.264解码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Smart 2.0/整机热备/ANR/智能检索/智能回放/车牌检索/人脸检索/热度图/客流量统计/分时段回放/超高倍速回放/双系统备份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6T监控专用硬盘</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6TB容量，3.5英寸，SATA3.0接口，5400RPM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CMR传统磁记录</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256MB高速缓存，流畅存储视频有效防止丢帧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MTBF≥100万小时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153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12T监控专用硬盘</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12TB容量，3.5英寸，SATA3.0接口，7200RPM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空气盘， CMR传统磁记录</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传输速率267 MB/s，256MB高速缓存，流畅存储视频有效防止丢帧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MTBF可达2,000,000小时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工业级接入交换机（甲供材，仅安装）</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二层网管交换机，固定接口:≥8个10/100/1000 Mbps自适应以太网接口，2个1G SFP接口，交换容量≥20Gbps，包转发率≥15Mpps，支持壁挂、导轨安装</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17</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24口千兆接入交换机（甲供材，仅安装）</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二层网管交换机，交换容量≥336Gbps，包转发率≥42Mpps，端口满足：24口10/1001000Mbps自适应电口，4个SFP千兆光口，支持VLAN、ACL、端口镜像、端口聚合等功能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工业级千兆光模块（耐高温）</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工业级千兆单模单纤 SFP交换机光纤模块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尾纤跳线</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光纤规格：单模 OS2，纤芯 9/125μm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接头类型：SC-LC 单芯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端面研磨：UPC</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光学损耗</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插入损耗≤0.2dB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回波损耗≥50dB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适配波长：1310nm/1550nm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护套材质：LSZH</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适用传输：20km 及以内单纤双向模块</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长度：2m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室外防雷器(含接地线)</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▲网络</w:t>
            </w:r>
            <w:r>
              <w:rPr>
                <w:rFonts w:ascii="宋体" w:hAnsi="宋体" w:eastAsia="宋体" w:cs="宋体"/>
                <w:b w:val="0"/>
                <w:bCs w:val="0"/>
                <w:color w:val="auto"/>
                <w:sz w:val="18"/>
                <w:szCs w:val="18"/>
                <w:highlight w:val="none"/>
                <w:lang w:bidi="ar"/>
              </w:rPr>
              <w:t xml:space="preserve"> + </w:t>
            </w:r>
            <w:r>
              <w:rPr>
                <w:rFonts w:hint="eastAsia" w:ascii="宋体" w:hAnsi="宋体" w:eastAsia="宋体" w:cs="宋体"/>
                <w:b w:val="0"/>
                <w:bCs w:val="0"/>
                <w:color w:val="auto"/>
                <w:sz w:val="18"/>
                <w:szCs w:val="18"/>
                <w:highlight w:val="none"/>
                <w:lang w:bidi="ar"/>
              </w:rPr>
              <w:t xml:space="preserve">电源二合一浪涌保护器（</w:t>
            </w:r>
            <w:r>
              <w:rPr>
                <w:rFonts w:ascii="宋体" w:hAnsi="宋体" w:eastAsia="宋体" w:cs="宋体"/>
                <w:b w:val="0"/>
                <w:bCs w:val="0"/>
                <w:color w:val="auto"/>
                <w:sz w:val="18"/>
                <w:szCs w:val="18"/>
                <w:highlight w:val="none"/>
                <w:lang w:bidi="ar"/>
              </w:rPr>
              <w:t xml:space="preserve">SPD</w:t>
            </w:r>
            <w:r>
              <w:rPr>
                <w:rFonts w:hint="eastAsia" w:ascii="宋体" w:hAnsi="宋体" w:eastAsia="宋体" w:cs="宋体"/>
                <w:b w:val="0"/>
                <w:bCs w:val="0"/>
                <w:color w:val="auto"/>
                <w:sz w:val="18"/>
                <w:szCs w:val="18"/>
                <w:highlight w:val="none"/>
                <w:lang w:bidi="ar"/>
              </w:rPr>
              <w:t xml:space="preserve">）。</w:t>
            </w:r>
            <w:r/>
          </w:p>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▲网络规格：千兆</w:t>
            </w:r>
            <w:r>
              <w:rPr>
                <w:rFonts w:ascii="宋体" w:hAnsi="宋体" w:eastAsia="宋体" w:cs="宋体"/>
                <w:b w:val="0"/>
                <w:bCs w:val="0"/>
                <w:color w:val="auto"/>
                <w:sz w:val="18"/>
                <w:szCs w:val="18"/>
                <w:highlight w:val="none"/>
                <w:lang w:bidi="ar"/>
              </w:rPr>
              <w:t xml:space="preserve"> 1000Mbps</w:t>
            </w:r>
            <w:r>
              <w:rPr>
                <w:rFonts w:hint="eastAsia" w:ascii="宋体" w:hAnsi="宋体" w:eastAsia="宋体" w:cs="宋体"/>
                <w:b w:val="0"/>
                <w:bCs w:val="0"/>
                <w:color w:val="auto"/>
                <w:sz w:val="18"/>
                <w:szCs w:val="18"/>
                <w:highlight w:val="none"/>
                <w:lang w:bidi="ar"/>
              </w:rPr>
              <w:t xml:space="preserve">，向下兼容百兆。</w:t>
            </w:r>
            <w:r/>
          </w:p>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电源适配：宽电压</w:t>
            </w:r>
            <w:r>
              <w:rPr>
                <w:rFonts w:ascii="宋体" w:hAnsi="宋体" w:eastAsia="宋体" w:cs="宋体"/>
                <w:b w:val="0"/>
                <w:bCs w:val="0"/>
                <w:color w:val="auto"/>
                <w:sz w:val="18"/>
                <w:szCs w:val="18"/>
                <w:highlight w:val="none"/>
                <w:lang w:bidi="ar"/>
              </w:rPr>
              <w:t xml:space="preserve"> 12</w:t>
            </w:r>
            <w:r>
              <w:rPr>
                <w:rFonts w:ascii="Cambria Math" w:hAnsi="Cambria Math" w:eastAsia="宋体" w:cs="Cambria Math"/>
                <w:b w:val="0"/>
                <w:bCs w:val="0"/>
                <w:color w:val="auto"/>
                <w:sz w:val="18"/>
                <w:szCs w:val="18"/>
                <w:highlight w:val="none"/>
                <w:lang w:bidi="ar"/>
              </w:rPr>
              <w:t xml:space="preserve">‑</w:t>
            </w:r>
            <w:r>
              <w:rPr>
                <w:rFonts w:ascii="宋体" w:hAnsi="宋体" w:eastAsia="宋体" w:cs="宋体"/>
                <w:b w:val="0"/>
                <w:bCs w:val="0"/>
                <w:color w:val="auto"/>
                <w:sz w:val="18"/>
                <w:szCs w:val="18"/>
                <w:highlight w:val="none"/>
                <w:lang w:bidi="ar"/>
              </w:rPr>
              <w:t xml:space="preserve">220V</w:t>
            </w:r>
            <w:r/>
          </w:p>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标称放电电流</w:t>
            </w:r>
            <w:r>
              <w:rPr>
                <w:rFonts w:ascii="宋体" w:hAnsi="宋体" w:eastAsia="宋体" w:cs="宋体"/>
                <w:b w:val="0"/>
                <w:bCs w:val="0"/>
                <w:color w:val="auto"/>
                <w:sz w:val="18"/>
                <w:szCs w:val="18"/>
                <w:highlight w:val="none"/>
                <w:lang w:bidi="ar"/>
              </w:rPr>
              <w:t xml:space="preserve"> In (8/20μs)</w:t>
            </w:r>
            <w:r>
              <w:rPr>
                <w:rFonts w:hint="eastAsia" w:ascii="宋体" w:hAnsi="宋体" w:eastAsia="宋体" w:cs="宋体"/>
                <w:b w:val="0"/>
                <w:bCs w:val="0"/>
                <w:color w:val="auto"/>
                <w:sz w:val="18"/>
                <w:szCs w:val="18"/>
                <w:highlight w:val="none"/>
                <w:lang w:bidi="ar"/>
              </w:rPr>
              <w:t xml:space="preserve">：≥</w:t>
            </w:r>
            <w:r>
              <w:rPr>
                <w:rFonts w:ascii="宋体" w:hAnsi="宋体" w:eastAsia="宋体" w:cs="宋体"/>
                <w:b w:val="0"/>
                <w:bCs w:val="0"/>
                <w:color w:val="auto"/>
                <w:sz w:val="18"/>
                <w:szCs w:val="18"/>
                <w:highlight w:val="none"/>
                <w:lang w:bidi="ar"/>
              </w:rPr>
              <w:t xml:space="preserve">5kA</w:t>
            </w:r>
            <w:r/>
          </w:p>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最大放电电流</w:t>
            </w:r>
            <w:r>
              <w:rPr>
                <w:rFonts w:ascii="宋体" w:hAnsi="宋体" w:eastAsia="宋体" w:cs="宋体"/>
                <w:b w:val="0"/>
                <w:bCs w:val="0"/>
                <w:color w:val="auto"/>
                <w:sz w:val="18"/>
                <w:szCs w:val="18"/>
                <w:highlight w:val="none"/>
                <w:lang w:bidi="ar"/>
              </w:rPr>
              <w:t xml:space="preserve"> Imax (8/20μs)</w:t>
            </w:r>
            <w:r>
              <w:rPr>
                <w:rFonts w:hint="eastAsia" w:ascii="宋体" w:hAnsi="宋体" w:eastAsia="宋体" w:cs="宋体"/>
                <w:b w:val="0"/>
                <w:bCs w:val="0"/>
                <w:color w:val="auto"/>
                <w:sz w:val="18"/>
                <w:szCs w:val="18"/>
                <w:highlight w:val="none"/>
                <w:lang w:bidi="ar"/>
              </w:rPr>
              <w:t xml:space="preserve">：≥</w:t>
            </w:r>
            <w:r>
              <w:rPr>
                <w:rFonts w:ascii="宋体" w:hAnsi="宋体" w:eastAsia="宋体" w:cs="宋体"/>
                <w:b w:val="0"/>
                <w:bCs w:val="0"/>
                <w:color w:val="auto"/>
                <w:sz w:val="18"/>
                <w:szCs w:val="18"/>
                <w:highlight w:val="none"/>
                <w:lang w:bidi="ar"/>
              </w:rPr>
              <w:t xml:space="preserve">10kA</w:t>
            </w:r>
            <w:r/>
          </w:p>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响应时间：≤</w:t>
            </w:r>
            <w:r>
              <w:rPr>
                <w:rFonts w:ascii="宋体" w:hAnsi="宋体" w:eastAsia="宋体" w:cs="宋体"/>
                <w:b w:val="0"/>
                <w:bCs w:val="0"/>
                <w:color w:val="auto"/>
                <w:sz w:val="18"/>
                <w:szCs w:val="18"/>
                <w:highlight w:val="none"/>
                <w:lang w:bidi="ar"/>
              </w:rPr>
              <w:t xml:space="preserve">25ns</w:t>
            </w:r>
            <w:r/>
          </w:p>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网络插入损耗：≤</w:t>
            </w:r>
            <w:r>
              <w:rPr>
                <w:rFonts w:ascii="宋体" w:hAnsi="宋体" w:eastAsia="宋体" w:cs="宋体"/>
                <w:b w:val="0"/>
                <w:bCs w:val="0"/>
                <w:color w:val="auto"/>
                <w:sz w:val="18"/>
                <w:szCs w:val="18"/>
                <w:highlight w:val="none"/>
                <w:lang w:bidi="ar"/>
              </w:rPr>
              <w:t xml:space="preserve">0.5dB</w:t>
            </w:r>
            <w:r/>
          </w:p>
          <w:p>
            <w:pPr>
              <w:jc w:val="both"/>
              <w:widowControl/>
              <w:rPr>
                <w:rFonts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保护模式：网线</w:t>
            </w:r>
            <w:r>
              <w:rPr>
                <w:rFonts w:ascii="宋体" w:hAnsi="宋体" w:eastAsia="宋体" w:cs="宋体"/>
                <w:b w:val="0"/>
                <w:bCs w:val="0"/>
                <w:color w:val="auto"/>
                <w:sz w:val="18"/>
                <w:szCs w:val="18"/>
                <w:highlight w:val="none"/>
                <w:lang w:bidi="ar"/>
              </w:rPr>
              <w:t xml:space="preserve"> 8 </w:t>
            </w:r>
            <w:r>
              <w:rPr>
                <w:rFonts w:hint="eastAsia" w:ascii="宋体" w:hAnsi="宋体" w:eastAsia="宋体" w:cs="宋体"/>
                <w:b w:val="0"/>
                <w:bCs w:val="0"/>
                <w:color w:val="auto"/>
                <w:sz w:val="18"/>
                <w:szCs w:val="18"/>
                <w:highlight w:val="none"/>
                <w:lang w:bidi="ar"/>
              </w:rPr>
              <w:t xml:space="preserve">芯全保护、电源两极保护</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外壳：铝合金外壳，壁挂安装，带接地端子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126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室内外防水箱</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定制国标600*800*200 MM，厚度0.8MM 不锈钢（含膨胀螺栓、线管接头、胶布、螺栓、螺母、插座、八字线插头、空开）</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摄像机电源</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220V输入，输出12V，≥150W</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立杆（含基础）</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高3.5m挑臂0.5m-2m 整体热镀锌，壁厚4mm，底部法兰盘圆形：直径 Φ300～Φ400mm、厚 12mm，黑色喷漆；基础：600*600*800 MM，开挖、混凝土浇筑、含地龙</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立杆设备箱</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室外不锈钢约400*300*170 MM，（含膨胀螺栓、线管接头、胶布、螺栓、螺母、插座、八字线插头、空开）</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检修井</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外尺寸约500MM长*500MM宽，开挖、砖砌，水泥井盖</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8口FC盒子</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规格：8口光纤终端盒 满配SC单工耦合器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材料：采用冷轧钢板材料</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结构：含光纤收容盒，方便熔纤操作；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重复插拔：≤0.2dB，每500次插拔</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连接头衰耗：0.2dB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工作温度范围：－40至80度</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配线</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2、配线形式：管内穿线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3、规格：WDZ-RYY2*2.5​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配线</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2、配线形式：管内穿线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3、规格：WDZ-RYY2*1.0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11040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配线</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2、配线形式：管内穿线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3、规格：RVV2*2.5​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配线</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2、配线形式：管内穿线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3、规格：RVV2*1.0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10450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双绞线缆</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1、名称：低烟无卤六类非屏蔽网线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2、敷设方式：管内、槽内穿线</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11285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双绞线缆</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1、名称：六类非屏蔽网线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2、敷设方式：管内、槽内穿线</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10675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2、规格：pvc20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3、配置形式：明配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2、规格：pvc20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3、配置形式：暗配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2、规格：pvc25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3、配置形式：明配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150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2、规格：pvc25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3、配置形式：暗配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350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铁构件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1、名称：配管支架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光缆</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1、名称：室外6芯光缆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2、敷设方式：管内配线</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绿化开挖及恢复</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约30*30cm,绿化开挖及恢复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180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路面开挖及恢复</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约30*30cm,混凝土路面开挖及恢复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数字高清视频监控系统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服务器机柜</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主体：SPCC 冷轧钢板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尺寸：高≥37U，宽≥600mm 深≥900mm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方孔条/安装梁：≥2.0mm 耐指纹敷铝锌板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安装横梁：≥1.5mm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门板/侧门/箱体：≥1.2mm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表面处理：脱脂 + 硅烷化 + 静电喷塑（黑色）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前门：单开≥5mm 钢化玻璃门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后门：单开钣金门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侧门：左右可拆卸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防护等级：≥IP20（防手指侵入）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集中统一管理系统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监控综合管理平台控制主机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1. 处理器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≥Intel® Xeon® Silver 4510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核心数：≥12C</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基础频率：≥2.4GHz</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数量：≥2颗</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架构支持：第4/5代英特尔®至强®可扩展处理器平台</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2. 内存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类型：≥DDR5 RDIMM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单条容量：≥64GB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配置数量：≥4条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总容量：≥256GB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插槽总数：≥16根（可扩展，最大支持至系统上限）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 存储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硬盘位：前置≥12块3.5英寸（兼容2.5英寸）热插拔 + 后置≥2个2.5英寸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本期配置：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硬盘1：SSD 960G≥4块，8盘位，无 RAID；</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硬盘2：SATA 8TB 3.5英寸≥1块，无 RAID；</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阵列卡：HBA 2120（适配8盘位，国产SAS+HBA控制器）≥1块</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4. 网络接口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板载网口：千兆以太网（1GbE）电口 ≥2个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5. 扩展插槽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最大支持≥7个标准PCI-E插槽（含1个OCP 3.0插槽）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6. 电源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额定功率：≥800W</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类型：CRPS高效白金电源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冗余模式：≥1+1热插拔冗余</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输入方式：AC/DC双输入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可选升级：≥1300W CRPS电源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8. 操作系统</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兼容支持：CentOS、Ubuntu、Windows Server等主流操作系统，第三方OS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9.系统基础信息管理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提供系统业务应用依赖的基础资源，包括安保用户管理、安保基础数据管理、安保区域管理、安保系统配置、物联设备管理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统一管理组织、区域、人员、卡片、车辆和物联设备等资源，并提供人车、人卡的关联关系配置能力</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支持组织基础信息的增删改查、导入、导出等功能；应用侧支持人事管理，包括学生管理、教职工管理和非编人员管理等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支持区域基础信息的增删改查、导入、导出等功能；应用侧支持场地管理，包括校区管理、楼栋楼层管理、用房管理及相关责任人管理等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支持人员信息的增删改查、导入、导出，包括人脸、指纹采集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支持人员基础信息自定义扩展</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支持卡片基本信息的增删改查、导入、导出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支持人员开卡、退卡、挂失、解挂、换卡及卡扇区加密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支持车辆基本信息的增删改查、导入、导出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提供设备统一接入管理，包括：视频设备、出入口设备、门禁设备、食堂消费设备、卡口设备、、报警设备等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支持账户基本信息和角色信息的增删改查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支持配置不同角色权限，包括菜单权限、组织权限、区域权限、资源权限、功能控制权限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支持用户组权限分配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支持用户安全管理，可绑定用户mac地址及IP，可自行修改用户密码或者管理员重置密码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支持从Windows域同步用户信息，用于域账户进行平台登录</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低代码引擎，支持流程表单引擎和界面编排能力用作简单业务的二次开发</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综合显示控制系统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16路解码器</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超高清解码器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支持电脑、视频会议终端等视频输入信号源，支持2路1080P@50/60 或1路4K@30，通过HDMI 1.4本地输入，HDMI可内嵌音频</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支持网络IPC、NVR等设备类型作为网络信号源输入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支持HDMI 1.4视频信号输出，支持4K分辨率（3840 × 2160@30 Hz）超高清输出；支持对接LED显示系统，视频输出最大的LED带载能力为单口260 W</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 支持两种音频输出方式：HDMI内嵌音频和外置音频输出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视频编解码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采用H.264/H.265编码标准，默认采用H.265，支持子码流及主码流编码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支持网络设备解码，支持H.264、H.265、Smart264、Smart265、MJPEG、HIK264等主流码流格式，支持PS、TS、ES、RTP等主流封装格式，支持子码流及主码流切换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最大支持3200w分辨率解码，具有256个解码通道，支持128路200W，或256路720P视频同时解码上墙</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支持加密码流、多轨码流、智能码流解码；支持码流修改和切换；支持解码异常提示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电视墙功能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支持单面电视墙拼接、开窗、窗口跨屏漫游、场景轮巡和窗口轮巡功能，单屏支持4个1080P或2个4K图层，单窗口支持1/4/6/8/9/16/25/36窗口分屏功能，整机最大支持64个场景，整机支持256个平台预案轮巡组</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支持RTP\RTSP协议进行网络源预览，可通过客户端进行桌面投屏上墙</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支持电视墙界面对网络信号源云台八个方向、自动扫描、光圈、调焦、聚焦、调用预置点等操作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支持电视墙窗口开始/停止预览、开始/停止解码、开始/停止轮巡、打开/关闭声音、置顶、置底等操作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视频解码格式：H.264，H.265，Smart264，Smart265，MJPEG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解码分辨率：最高3200W像素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视频解码通道：≥256</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视频解码能力：H.264/H.265：支持8路3200 W，或8路2400 W，或16路1200 W，或32路800 W，或40路600W，或64路400 W，或128路1080P，或256路720P及以下分辨率实时解码（每4个输出口一组，共享解码能力）</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MJPEG：16路1080P及以下分辨率实时解码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单口画面分割数：1,2,4,6,8,9,12,16,25,36</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场景数量：≥64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视频输出分辨率：3840 × 2160@30 Hz、2560 × 1440@30 Hz、1920 × 1200@60 Hz、1920 × 1080@60 Hz、1920 × 1080@50 Hz、1680 × 1050@60 Hz、1600 × 1200@60 Hz、1280 × 1024@60 Hz、1280 × 720@60 Hz、1280 × 720@50 Hz、1024 × 768@60 Hz</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视频输出LED带载能力：单口带载260W，宽度144～4096，高度144～2160，宽度2对齐，高度2对齐</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视频输出接口类型：≥16路HDMI 1.4，支持4K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视频输入分辨率：3840×2160@30Hz、1920×1200@60Hz、1920×1080@60Hz、1920×1080@50Hz、1280×720@60Hz、1280×720@50Hz、1600×1200@60Hz、1280×960@60Hz、1680×1050@60Hz、1440×900@60Hz、1366×768@60Hz、1280×1024@60Hz、1024×768@60Hz</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【自定义分辨率】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1.60Hz，宽度800~1920，高度600~1200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2.30Hz，宽度800~3840，高度600~2160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视频输入接口：≥2路HDMI 1.4，最大支持4K（仅奇数口）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音频输入接口：≥2路HDMI内嵌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音频输出接口：≥16路HDMI内嵌或DB15转BNC独立音频输出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音频解码格式：G711-A，G711-U，G722.1，G726-16/U/A，MPEG，AAC-LC</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访客登记系统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访客登记系统</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桌面式访客机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高清双屏显示，带有≥15.6寸电容触摸显示屏和≥11.6寸液晶显示屏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具有≥200万高清摄像头，支持访客的照片采集，同时支持白光补光，可适应光线差的环境。</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内置居民身份证阅读器，支持人证（身份证）比对功能，即将访客现场抓拍的人脸照片与身份证内人脸小图进行比对，验证是否为本人，核实通过后才能完成登记流程；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内置二维码扫描仪，可识别访客预约码，完成访客登记，或识别访客凭条的二维码，方便访客签离。</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支持打印访客凭条，当访客登记成功后，由访客机打印访客登记信息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操作方式：主屏触摸，副屏显示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镜头数量：≥2</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有线网络：支持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Wi-Fi：支持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网口：≥1个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开门按钮：支持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RS-485：支持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RS-232：支持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USB：支持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安装方式：桌面式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使用环境：室内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真人检测：支持</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主出入口双向人脸识别摆闸系统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单机芯左边道</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rPr>
              <w:t xml:space="preserve">通行模式：设备支持进出方向通行状态（受控、常开、常闭、感应、无障碍）的灵活配置</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rPr>
              <w:t xml:space="preserve">交叉通行：一方通行后在未关门前对向认证通过，门翼保持不动，由对向人员通行结束门翼再关闭；</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自动复位：设备具有自动复位功能，开门后在规定的时间内未通行，系统将自动取消用户的本次通行的权限，可设定通行时间；</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记忆模式：设备支持记忆模式，可实现连续快速通行；</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消防联动：设备具有消防联动接口，当消防信号触发时，门翼自动打开，快速引导人员疏散；</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断电通行：设备标配超级电容，断电时门翼自动打开，人员可自由通行，防止恐慌；</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激光雷达防夹：设备具备激光雷达防夹功能，在门翼复位的过程中检测到激光雷达触发时电机自动停止工作</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防止人员受伤；</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防冲撞：设备具备防冲撞功能，在没有接收到开门信号时，若受到不超过</w:t>
            </w:r>
            <w:r>
              <w:rPr>
                <w:rFonts w:ascii="宋体" w:hAnsi="宋体" w:eastAsia="宋体" w:cs="宋体"/>
                <w:b w:val="0"/>
                <w:bCs w:val="0"/>
                <w:color w:val="auto"/>
                <w:sz w:val="18"/>
                <w:szCs w:val="18"/>
                <w:highlight w:val="none"/>
              </w:rPr>
              <w:t xml:space="preserve">120N•m</w:t>
            </w:r>
            <w:r>
              <w:rPr>
                <w:rFonts w:hint="eastAsia" w:ascii="宋体" w:hAnsi="宋体" w:eastAsia="宋体" w:cs="宋体"/>
                <w:b w:val="0"/>
                <w:bCs w:val="0"/>
                <w:color w:val="auto"/>
                <w:sz w:val="18"/>
                <w:szCs w:val="18"/>
                <w:highlight w:val="none"/>
              </w:rPr>
              <w:t xml:space="preserve">的冲击力，门翼保持锁止状态；</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人数统计：设备支持人数统计功能配置，可实时获取设备进出方向总人数；</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人机互动：设备支持通道指示灯、认证指示灯、门翼灯，支持认证结果语音自定义</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管控模式：设备可根据实际管控需求设置警戒模式与宽松模式，默认为宽松模式</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远程控制：设备可选配遥控器或遥控平板支持远程控制</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机械防夹：设备具备防夹功能，在门翼复位的过程中遇阻时电机自动停止工作</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防止人员受伤</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语音控制：具备文字转语音（</w:t>
            </w:r>
            <w:r>
              <w:rPr>
                <w:rFonts w:ascii="宋体" w:hAnsi="宋体" w:eastAsia="宋体" w:cs="宋体"/>
                <w:b w:val="0"/>
                <w:bCs w:val="0"/>
                <w:color w:val="auto"/>
                <w:sz w:val="18"/>
                <w:szCs w:val="18"/>
                <w:highlight w:val="none"/>
              </w:rPr>
              <w:t xml:space="preserve">TTS</w:t>
            </w:r>
            <w:r>
              <w:rPr>
                <w:rFonts w:hint="eastAsia" w:ascii="宋体" w:hAnsi="宋体" w:eastAsia="宋体" w:cs="宋体"/>
                <w:b w:val="0"/>
                <w:bCs w:val="0"/>
                <w:color w:val="auto"/>
                <w:sz w:val="18"/>
                <w:szCs w:val="18"/>
                <w:highlight w:val="none"/>
              </w:rPr>
              <w:t xml:space="preserve">）和语音合成技术</w:t>
            </w:r>
            <w:r/>
          </w:p>
          <w:p>
            <w:pPr>
              <w:jc w:val="both"/>
              <w:widowControl/>
              <w:rPr>
                <w:rFonts w:hint="eastAsia" w:ascii="宋体" w:hAnsi="宋体" w:eastAsia="宋体" w:cs="宋体"/>
                <w:b w:val="0"/>
                <w:bCs w:val="0"/>
                <w:color w:val="auto"/>
                <w:sz w:val="18"/>
                <w:szCs w:val="18"/>
                <w:highlight w:val="none"/>
              </w:rPr>
            </w:pPr>
            <w:r>
              <w:rPr>
                <w:rFonts w:ascii="宋体" w:hAnsi="宋体" w:eastAsia="宋体" w:cs="宋体"/>
                <w:b w:val="0"/>
                <w:bCs w:val="0"/>
                <w:color w:val="auto"/>
                <w:sz w:val="18"/>
                <w:szCs w:val="18"/>
                <w:highlight w:val="none"/>
              </w:rPr>
              <w:t xml:space="preserve">WEB</w:t>
            </w:r>
            <w:r>
              <w:rPr>
                <w:rFonts w:hint="eastAsia" w:ascii="宋体" w:hAnsi="宋体" w:eastAsia="宋体" w:cs="宋体"/>
                <w:b w:val="0"/>
                <w:bCs w:val="0"/>
                <w:color w:val="auto"/>
                <w:sz w:val="18"/>
                <w:szCs w:val="18"/>
                <w:highlight w:val="none"/>
              </w:rPr>
              <w:t xml:space="preserve">管理：支持手机</w:t>
            </w:r>
            <w:r>
              <w:rPr>
                <w:rFonts w:ascii="宋体" w:hAnsi="宋体" w:eastAsia="宋体" w:cs="宋体"/>
                <w:b w:val="0"/>
                <w:bCs w:val="0"/>
                <w:color w:val="auto"/>
                <w:sz w:val="18"/>
                <w:szCs w:val="18"/>
                <w:highlight w:val="none"/>
              </w:rPr>
              <w:t xml:space="preserve">Web</w:t>
            </w:r>
            <w:r>
              <w:rPr>
                <w:rFonts w:hint="eastAsia" w:ascii="宋体" w:hAnsi="宋体" w:eastAsia="宋体" w:cs="宋体"/>
                <w:b w:val="0"/>
                <w:bCs w:val="0"/>
                <w:color w:val="auto"/>
                <w:sz w:val="18"/>
                <w:szCs w:val="18"/>
                <w:highlight w:val="none"/>
              </w:rPr>
              <w:t xml:space="preserve">（手机通过</w:t>
            </w:r>
            <w:r>
              <w:rPr>
                <w:rFonts w:ascii="宋体" w:hAnsi="宋体" w:eastAsia="宋体" w:cs="宋体"/>
                <w:b w:val="0"/>
                <w:bCs w:val="0"/>
                <w:color w:val="auto"/>
                <w:sz w:val="18"/>
                <w:szCs w:val="18"/>
                <w:highlight w:val="none"/>
              </w:rPr>
              <w:t xml:space="preserve">WIFI</w:t>
            </w:r>
            <w:r>
              <w:rPr>
                <w:rFonts w:hint="eastAsia" w:ascii="宋体" w:hAnsi="宋体" w:eastAsia="宋体" w:cs="宋体"/>
                <w:b w:val="0"/>
                <w:bCs w:val="0"/>
                <w:color w:val="auto"/>
                <w:sz w:val="18"/>
                <w:szCs w:val="18"/>
                <w:highlight w:val="none"/>
              </w:rPr>
              <w:t xml:space="preserve">连接设备）与</w:t>
            </w:r>
            <w:r>
              <w:rPr>
                <w:rFonts w:ascii="宋体" w:hAnsi="宋体" w:eastAsia="宋体" w:cs="宋体"/>
                <w:b w:val="0"/>
                <w:bCs w:val="0"/>
                <w:color w:val="auto"/>
                <w:sz w:val="18"/>
                <w:szCs w:val="18"/>
                <w:highlight w:val="none"/>
              </w:rPr>
              <w:t xml:space="preserve">PC Web</w:t>
            </w:r>
            <w:r>
              <w:rPr>
                <w:rFonts w:hint="eastAsia" w:ascii="宋体" w:hAnsi="宋体" w:eastAsia="宋体" w:cs="宋体"/>
                <w:b w:val="0"/>
                <w:bCs w:val="0"/>
                <w:color w:val="auto"/>
                <w:sz w:val="18"/>
                <w:szCs w:val="18"/>
                <w:highlight w:val="none"/>
              </w:rPr>
              <w:t xml:space="preserve">管理，可进行人员管理、参数配置、事件查询、系统维护等操作</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使用环境：室内外</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电机类型：无刷直流伺服电机</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设备容量：支持≥</w:t>
            </w:r>
            <w:r>
              <w:rPr>
                <w:rFonts w:ascii="宋体" w:hAnsi="宋体" w:eastAsia="宋体" w:cs="宋体"/>
                <w:b w:val="0"/>
                <w:bCs w:val="0"/>
                <w:color w:val="auto"/>
                <w:sz w:val="18"/>
                <w:szCs w:val="18"/>
                <w:highlight w:val="none"/>
              </w:rPr>
              <w:t xml:space="preserve">50</w:t>
            </w:r>
            <w:r>
              <w:rPr>
                <w:rFonts w:hint="eastAsia" w:ascii="宋体" w:hAnsi="宋体" w:eastAsia="宋体" w:cs="宋体"/>
                <w:b w:val="0"/>
                <w:bCs w:val="0"/>
                <w:color w:val="auto"/>
                <w:sz w:val="18"/>
                <w:szCs w:val="18"/>
                <w:highlight w:val="none"/>
              </w:rPr>
              <w:t xml:space="preserve">万人员，≥</w:t>
            </w:r>
            <w:r>
              <w:rPr>
                <w:rFonts w:ascii="宋体" w:hAnsi="宋体" w:eastAsia="宋体" w:cs="宋体"/>
                <w:b w:val="0"/>
                <w:bCs w:val="0"/>
                <w:color w:val="auto"/>
                <w:sz w:val="18"/>
                <w:szCs w:val="18"/>
                <w:highlight w:val="none"/>
              </w:rPr>
              <w:t xml:space="preserve">50</w:t>
            </w:r>
            <w:r>
              <w:rPr>
                <w:rFonts w:hint="eastAsia" w:ascii="宋体" w:hAnsi="宋体" w:eastAsia="宋体" w:cs="宋体"/>
                <w:b w:val="0"/>
                <w:bCs w:val="0"/>
                <w:color w:val="auto"/>
                <w:sz w:val="18"/>
                <w:szCs w:val="18"/>
                <w:highlight w:val="none"/>
              </w:rPr>
              <w:t xml:space="preserve">万卡，≥</w:t>
            </w:r>
            <w:r>
              <w:rPr>
                <w:rFonts w:ascii="宋体" w:hAnsi="宋体" w:eastAsia="宋体" w:cs="宋体"/>
                <w:b w:val="0"/>
                <w:bCs w:val="0"/>
                <w:color w:val="auto"/>
                <w:sz w:val="18"/>
                <w:szCs w:val="18"/>
                <w:highlight w:val="none"/>
              </w:rPr>
              <w:t xml:space="preserve">50</w:t>
            </w:r>
            <w:r>
              <w:rPr>
                <w:rFonts w:hint="eastAsia" w:ascii="宋体" w:hAnsi="宋体" w:eastAsia="宋体" w:cs="宋体"/>
                <w:b w:val="0"/>
                <w:bCs w:val="0"/>
                <w:color w:val="auto"/>
                <w:sz w:val="18"/>
                <w:szCs w:val="18"/>
                <w:highlight w:val="none"/>
              </w:rPr>
              <w:t xml:space="preserve">万事件</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激光雷达：≥</w:t>
            </w:r>
            <w:r>
              <w:rPr>
                <w:rFonts w:ascii="宋体" w:hAnsi="宋体" w:eastAsia="宋体" w:cs="宋体"/>
                <w:b w:val="0"/>
                <w:bCs w:val="0"/>
                <w:color w:val="auto"/>
                <w:sz w:val="18"/>
                <w:szCs w:val="18"/>
                <w:highlight w:val="none"/>
              </w:rPr>
              <w:t xml:space="preserve">12</w:t>
            </w:r>
            <w:r>
              <w:rPr>
                <w:rFonts w:hint="eastAsia" w:ascii="宋体" w:hAnsi="宋体" w:eastAsia="宋体" w:cs="宋体"/>
                <w:b w:val="0"/>
                <w:bCs w:val="0"/>
                <w:color w:val="auto"/>
                <w:sz w:val="18"/>
                <w:szCs w:val="18"/>
                <w:highlight w:val="none"/>
              </w:rPr>
              <w:t xml:space="preserve">对（右边道或者左边道有此配置均可）</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通道宽度：</w:t>
            </w:r>
            <w:r>
              <w:rPr>
                <w:rFonts w:ascii="宋体" w:hAnsi="宋体" w:eastAsia="宋体" w:cs="宋体"/>
                <w:b w:val="0"/>
                <w:bCs w:val="0"/>
                <w:color w:val="auto"/>
                <w:sz w:val="18"/>
                <w:szCs w:val="18"/>
                <w:highlight w:val="none"/>
              </w:rPr>
              <w:t xml:space="preserve">550-950mm,</w:t>
            </w:r>
            <w:r>
              <w:rPr>
                <w:rFonts w:hint="eastAsia" w:ascii="宋体" w:hAnsi="宋体" w:eastAsia="宋体" w:cs="宋体"/>
                <w:b w:val="0"/>
                <w:bCs w:val="0"/>
                <w:color w:val="auto"/>
                <w:sz w:val="18"/>
                <w:szCs w:val="18"/>
                <w:highlight w:val="none"/>
              </w:rPr>
              <w:t xml:space="preserve">以</w:t>
            </w:r>
            <w:r>
              <w:rPr>
                <w:rFonts w:ascii="宋体" w:hAnsi="宋体" w:eastAsia="宋体" w:cs="宋体"/>
                <w:b w:val="0"/>
                <w:bCs w:val="0"/>
                <w:color w:val="auto"/>
                <w:sz w:val="18"/>
                <w:szCs w:val="18"/>
                <w:highlight w:val="none"/>
              </w:rPr>
              <w:t xml:space="preserve">50mm</w:t>
            </w:r>
            <w:r>
              <w:rPr>
                <w:rFonts w:hint="eastAsia" w:ascii="宋体" w:hAnsi="宋体" w:eastAsia="宋体" w:cs="宋体"/>
                <w:b w:val="0"/>
                <w:bCs w:val="0"/>
                <w:color w:val="auto"/>
                <w:sz w:val="18"/>
                <w:szCs w:val="18"/>
                <w:highlight w:val="none"/>
              </w:rPr>
              <w:t xml:space="preserve">为一档</w:t>
            </w:r>
            <w:r>
              <w:rPr>
                <w:rFonts w:ascii="宋体" w:hAnsi="宋体" w:eastAsia="宋体" w:cs="宋体"/>
                <w:b w:val="0"/>
                <w:bCs w:val="0"/>
                <w:color w:val="auto"/>
                <w:sz w:val="18"/>
                <w:szCs w:val="18"/>
                <w:highlight w:val="none"/>
              </w:rPr>
              <w:t xml:space="preserve">;1000-1100mm,</w:t>
            </w:r>
            <w:r>
              <w:rPr>
                <w:rFonts w:hint="eastAsia" w:ascii="宋体" w:hAnsi="宋体" w:eastAsia="宋体" w:cs="宋体"/>
                <w:b w:val="0"/>
                <w:bCs w:val="0"/>
                <w:color w:val="auto"/>
                <w:sz w:val="18"/>
                <w:szCs w:val="18"/>
                <w:highlight w:val="none"/>
              </w:rPr>
              <w:t xml:space="preserve">以</w:t>
            </w:r>
            <w:r>
              <w:rPr>
                <w:rFonts w:ascii="宋体" w:hAnsi="宋体" w:eastAsia="宋体" w:cs="宋体"/>
                <w:b w:val="0"/>
                <w:bCs w:val="0"/>
                <w:color w:val="auto"/>
                <w:sz w:val="18"/>
                <w:szCs w:val="18"/>
                <w:highlight w:val="none"/>
              </w:rPr>
              <w:t xml:space="preserve">100mm</w:t>
            </w:r>
            <w:r>
              <w:rPr>
                <w:rFonts w:hint="eastAsia" w:ascii="宋体" w:hAnsi="宋体" w:eastAsia="宋体" w:cs="宋体"/>
                <w:b w:val="0"/>
                <w:bCs w:val="0"/>
                <w:color w:val="auto"/>
                <w:sz w:val="18"/>
                <w:szCs w:val="18"/>
                <w:highlight w:val="none"/>
              </w:rPr>
              <w:t xml:space="preserve">为一档</w:t>
            </w:r>
            <w:r>
              <w:rPr>
                <w:rFonts w:ascii="宋体" w:hAnsi="宋体" w:eastAsia="宋体" w:cs="宋体"/>
                <w:b w:val="0"/>
                <w:bCs w:val="0"/>
                <w:color w:val="auto"/>
                <w:sz w:val="18"/>
                <w:szCs w:val="18"/>
                <w:highlight w:val="none"/>
              </w:rPr>
              <w:t xml:space="preserve">, </w:t>
            </w:r>
            <w:r>
              <w:rPr>
                <w:rFonts w:hint="eastAsia" w:ascii="宋体" w:hAnsi="宋体" w:eastAsia="宋体" w:cs="宋体"/>
                <w:b w:val="0"/>
                <w:bCs w:val="0"/>
                <w:color w:val="auto"/>
                <w:sz w:val="18"/>
                <w:szCs w:val="18"/>
                <w:highlight w:val="none"/>
              </w:rPr>
              <w:t xml:space="preserve">门翼间隙：</w:t>
            </w:r>
            <w:r>
              <w:rPr>
                <w:rFonts w:ascii="宋体" w:hAnsi="宋体" w:eastAsia="宋体" w:cs="宋体"/>
                <w:b w:val="0"/>
                <w:bCs w:val="0"/>
                <w:color w:val="auto"/>
                <w:sz w:val="18"/>
                <w:szCs w:val="18"/>
                <w:highlight w:val="none"/>
              </w:rPr>
              <w:t xml:space="preserve">50mm</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箱体材质：</w:t>
            </w:r>
            <w:r>
              <w:rPr>
                <w:rFonts w:ascii="宋体" w:hAnsi="宋体" w:eastAsia="宋体" w:cs="宋体"/>
                <w:b w:val="0"/>
                <w:bCs w:val="0"/>
                <w:color w:val="auto"/>
                <w:sz w:val="18"/>
                <w:szCs w:val="18"/>
                <w:highlight w:val="none"/>
              </w:rPr>
              <w:t xml:space="preserve">SUS304</w:t>
            </w:r>
            <w:r>
              <w:rPr>
                <w:rFonts w:hint="eastAsia" w:ascii="宋体" w:hAnsi="宋体" w:eastAsia="宋体" w:cs="宋体"/>
                <w:b w:val="0"/>
                <w:bCs w:val="0"/>
                <w:color w:val="auto"/>
                <w:sz w:val="18"/>
                <w:szCs w:val="18"/>
                <w:highlight w:val="none"/>
              </w:rPr>
              <w:t xml:space="preserve">拉丝不锈钢</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顶盖厚度</w:t>
            </w:r>
            <w:r>
              <w:rPr>
                <w:rFonts w:ascii="宋体" w:hAnsi="宋体" w:eastAsia="宋体" w:cs="宋体"/>
                <w:b w:val="0"/>
                <w:bCs w:val="0"/>
                <w:color w:val="auto"/>
                <w:sz w:val="18"/>
                <w:szCs w:val="18"/>
                <w:highlight w:val="none"/>
              </w:rPr>
              <w:t xml:space="preserve">1.5mm±0.12 mm,</w:t>
            </w:r>
            <w:r>
              <w:rPr>
                <w:rFonts w:hint="eastAsia" w:ascii="宋体" w:hAnsi="宋体" w:eastAsia="宋体" w:cs="宋体"/>
                <w:b w:val="0"/>
                <w:bCs w:val="0"/>
                <w:color w:val="auto"/>
                <w:sz w:val="18"/>
                <w:szCs w:val="18"/>
                <w:highlight w:val="none"/>
              </w:rPr>
              <w:t xml:space="preserve">箱体厚度</w:t>
            </w:r>
            <w:r>
              <w:rPr>
                <w:rFonts w:ascii="宋体" w:hAnsi="宋体" w:eastAsia="宋体" w:cs="宋体"/>
                <w:b w:val="0"/>
                <w:bCs w:val="0"/>
                <w:color w:val="auto"/>
                <w:sz w:val="18"/>
                <w:szCs w:val="18"/>
                <w:highlight w:val="none"/>
              </w:rPr>
              <w:t xml:space="preserve">1.2mm±0.12 mm,</w:t>
            </w:r>
            <w:r>
              <w:rPr>
                <w:rFonts w:hint="eastAsia" w:ascii="宋体" w:hAnsi="宋体" w:eastAsia="宋体" w:cs="宋体"/>
                <w:b w:val="0"/>
                <w:bCs w:val="0"/>
                <w:color w:val="auto"/>
                <w:sz w:val="18"/>
                <w:szCs w:val="18"/>
                <w:highlight w:val="none"/>
              </w:rPr>
              <w:t xml:space="preserve">不锈钢侧挡板厚度</w:t>
            </w:r>
            <w:r>
              <w:rPr>
                <w:rFonts w:ascii="宋体" w:hAnsi="宋体" w:eastAsia="宋体" w:cs="宋体"/>
                <w:b w:val="0"/>
                <w:bCs w:val="0"/>
                <w:color w:val="auto"/>
                <w:sz w:val="18"/>
                <w:szCs w:val="18"/>
                <w:highlight w:val="none"/>
              </w:rPr>
              <w:t xml:space="preserve">1.0±0.12 mm</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门翼材质：亚克力</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不锈钢</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其中亚克力厚度</w:t>
            </w:r>
            <w:r>
              <w:rPr>
                <w:rFonts w:ascii="宋体" w:hAnsi="宋体" w:eastAsia="宋体" w:cs="宋体"/>
                <w:b w:val="0"/>
                <w:bCs w:val="0"/>
                <w:color w:val="auto"/>
                <w:sz w:val="18"/>
                <w:szCs w:val="18"/>
                <w:highlight w:val="none"/>
              </w:rPr>
              <w:t xml:space="preserve">8mm</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通行速率：</w:t>
            </w:r>
            <w:r>
              <w:rPr>
                <w:rFonts w:ascii="宋体" w:hAnsi="宋体" w:eastAsia="宋体" w:cs="宋体"/>
                <w:b w:val="0"/>
                <w:bCs w:val="0"/>
                <w:color w:val="auto"/>
                <w:sz w:val="18"/>
                <w:szCs w:val="18"/>
                <w:highlight w:val="none"/>
              </w:rPr>
              <w:t xml:space="preserve">20-60</w:t>
            </w:r>
            <w:r>
              <w:rPr>
                <w:rFonts w:hint="eastAsia" w:ascii="宋体" w:hAnsi="宋体" w:eastAsia="宋体" w:cs="宋体"/>
                <w:b w:val="0"/>
                <w:bCs w:val="0"/>
                <w:color w:val="auto"/>
                <w:sz w:val="18"/>
                <w:szCs w:val="18"/>
                <w:highlight w:val="none"/>
              </w:rPr>
              <w:t xml:space="preserve">人</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分钟，受人员情况和通行模式影响</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电源电压：</w:t>
            </w:r>
            <w:r>
              <w:rPr>
                <w:rFonts w:ascii="宋体" w:hAnsi="宋体" w:eastAsia="宋体" w:cs="宋体"/>
                <w:b w:val="0"/>
                <w:bCs w:val="0"/>
                <w:color w:val="auto"/>
                <w:sz w:val="18"/>
                <w:szCs w:val="18"/>
                <w:highlight w:val="none"/>
              </w:rPr>
              <w:t xml:space="preserve">AC 200-240 V</w:t>
            </w:r>
            <w:r>
              <w:rPr>
                <w:rFonts w:hint="eastAsia" w:ascii="宋体" w:hAnsi="宋体" w:eastAsia="宋体" w:cs="宋体"/>
                <w:b w:val="0"/>
                <w:bCs w:val="0"/>
                <w:color w:val="auto"/>
                <w:sz w:val="18"/>
                <w:szCs w:val="18"/>
                <w:highlight w:val="none"/>
              </w:rPr>
              <w:t xml:space="preserve">，</w:t>
            </w:r>
            <w:r>
              <w:rPr>
                <w:rFonts w:ascii="宋体" w:hAnsi="宋体" w:eastAsia="宋体" w:cs="宋体"/>
                <w:b w:val="0"/>
                <w:bCs w:val="0"/>
                <w:color w:val="auto"/>
                <w:sz w:val="18"/>
                <w:szCs w:val="18"/>
                <w:highlight w:val="none"/>
              </w:rPr>
              <w:t xml:space="preserve">50/60 Hz</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工作温度：</w:t>
            </w:r>
            <w:r>
              <w:rPr>
                <w:rFonts w:ascii="宋体" w:hAnsi="宋体" w:eastAsia="宋体" w:cs="宋体"/>
                <w:b w:val="0"/>
                <w:bCs w:val="0"/>
                <w:color w:val="auto"/>
                <w:sz w:val="18"/>
                <w:szCs w:val="18"/>
                <w:highlight w:val="none"/>
              </w:rPr>
              <w:t xml:space="preserve">-20</w:t>
            </w:r>
            <w:r>
              <w:rPr>
                <w:rFonts w:hint="eastAsia" w:ascii="宋体" w:hAnsi="宋体" w:eastAsia="宋体" w:cs="宋体"/>
                <w:b w:val="0"/>
                <w:bCs w:val="0"/>
                <w:color w:val="auto"/>
                <w:sz w:val="18"/>
                <w:szCs w:val="18"/>
                <w:highlight w:val="none"/>
              </w:rPr>
              <w:t xml:space="preserve">℃</w:t>
            </w:r>
            <w:r>
              <w:rPr>
                <w:rFonts w:ascii="宋体" w:hAnsi="宋体" w:eastAsia="宋体" w:cs="宋体"/>
                <w:b w:val="0"/>
                <w:bCs w:val="0"/>
                <w:color w:val="auto"/>
                <w:sz w:val="18"/>
                <w:szCs w:val="18"/>
                <w:highlight w:val="none"/>
              </w:rPr>
              <w:t xml:space="preserve">-+70</w:t>
            </w:r>
            <w:r>
              <w:rPr>
                <w:rFonts w:hint="eastAsia" w:ascii="宋体" w:hAnsi="宋体" w:eastAsia="宋体" w:cs="宋体"/>
                <w:b w:val="0"/>
                <w:bCs w:val="0"/>
                <w:color w:val="auto"/>
                <w:sz w:val="18"/>
                <w:szCs w:val="18"/>
                <w:highlight w:val="none"/>
              </w:rPr>
              <w:t xml:space="preserve">℃</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温度低于</w:t>
            </w:r>
            <w:r>
              <w:rPr>
                <w:rFonts w:ascii="宋体" w:hAnsi="宋体" w:eastAsia="宋体" w:cs="宋体"/>
                <w:b w:val="0"/>
                <w:bCs w:val="0"/>
                <w:color w:val="auto"/>
                <w:sz w:val="18"/>
                <w:szCs w:val="18"/>
                <w:highlight w:val="none"/>
              </w:rPr>
              <w:t xml:space="preserve">-20</w:t>
            </w:r>
            <w:r>
              <w:rPr>
                <w:rFonts w:hint="eastAsia" w:ascii="宋体" w:hAnsi="宋体" w:eastAsia="宋体" w:cs="宋体"/>
                <w:b w:val="0"/>
                <w:bCs w:val="0"/>
                <w:color w:val="auto"/>
                <w:sz w:val="18"/>
                <w:szCs w:val="18"/>
                <w:highlight w:val="none"/>
              </w:rPr>
              <w:t xml:space="preserve">℃时增配加热模块可支持到</w:t>
            </w:r>
            <w:r>
              <w:rPr>
                <w:rFonts w:ascii="宋体" w:hAnsi="宋体" w:eastAsia="宋体" w:cs="宋体"/>
                <w:b w:val="0"/>
                <w:bCs w:val="0"/>
                <w:color w:val="auto"/>
                <w:sz w:val="18"/>
                <w:szCs w:val="18"/>
                <w:highlight w:val="none"/>
              </w:rPr>
              <w:t xml:space="preserve">-40</w:t>
            </w:r>
            <w:r>
              <w:rPr>
                <w:rFonts w:hint="eastAsia" w:ascii="宋体" w:hAnsi="宋体" w:eastAsia="宋体" w:cs="宋体"/>
                <w:b w:val="0"/>
                <w:bCs w:val="0"/>
                <w:color w:val="auto"/>
                <w:sz w:val="18"/>
                <w:szCs w:val="18"/>
                <w:highlight w:val="none"/>
              </w:rPr>
              <w:t xml:space="preserve">℃</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工作湿度：</w:t>
            </w:r>
            <w:r>
              <w:rPr>
                <w:rFonts w:ascii="宋体" w:hAnsi="宋体" w:eastAsia="宋体" w:cs="宋体"/>
                <w:b w:val="0"/>
                <w:bCs w:val="0"/>
                <w:color w:val="auto"/>
                <w:sz w:val="18"/>
                <w:szCs w:val="18"/>
                <w:highlight w:val="none"/>
              </w:rPr>
              <w:t xml:space="preserve">0%</w:t>
            </w:r>
            <w:r>
              <w:rPr>
                <w:rFonts w:hint="eastAsia" w:ascii="宋体" w:hAnsi="宋体" w:eastAsia="宋体" w:cs="宋体"/>
                <w:b w:val="0"/>
                <w:bCs w:val="0"/>
                <w:color w:val="auto"/>
                <w:sz w:val="18"/>
                <w:szCs w:val="18"/>
                <w:highlight w:val="none"/>
              </w:rPr>
              <w:t xml:space="preserve">至</w:t>
            </w:r>
            <w:r>
              <w:rPr>
                <w:rFonts w:ascii="宋体" w:hAnsi="宋体" w:eastAsia="宋体" w:cs="宋体"/>
                <w:b w:val="0"/>
                <w:bCs w:val="0"/>
                <w:color w:val="auto"/>
                <w:sz w:val="18"/>
                <w:szCs w:val="18"/>
                <w:highlight w:val="none"/>
              </w:rPr>
              <w:t xml:space="preserve">95%</w:t>
            </w:r>
            <w:r>
              <w:rPr>
                <w:rFonts w:hint="eastAsia" w:ascii="宋体" w:hAnsi="宋体" w:eastAsia="宋体" w:cs="宋体"/>
                <w:b w:val="0"/>
                <w:bCs w:val="0"/>
                <w:color w:val="auto"/>
                <w:sz w:val="18"/>
                <w:szCs w:val="18"/>
                <w:highlight w:val="none"/>
              </w:rPr>
              <w:t xml:space="preserve">（不凝聚成水滴）</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主出入口双向人脸识别摆闸系统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单机芯右边道</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通行模式：设备支持进出方向通行状态（受控、常开、常闭、感应、无障碍）的灵活配置</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交叉通行：一方通行后在未关门前对向认证通过，门翼保持不动，由对向人员通行结束门翼再关闭；</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自动复位：设备具有自动复位功能，开门后在规定的时间内未通行，系统将自动取消用户的本次通行的权限，可设定通行时间；</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记忆模式：设备支持记忆模式，可实现连续快速通行；</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消防联动：设备具有消防联动接口，当消防信号触发时，门翼自动打开，快速引导人员疏散；</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断电通行：设备标配超级电容，断电时门翼自动打开，人员可自由通行，防止恐慌；</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激光雷达防夹：设备具备激光雷达防夹功能，在门翼复位的过程中检测到激光雷达触发时电机自动停止工作</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防止人员受伤；</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防冲撞：设备具备防冲撞功能，在没有接收到开门信号时，若受到不超过</w:t>
            </w:r>
            <w:r>
              <w:rPr>
                <w:rFonts w:ascii="宋体" w:hAnsi="宋体" w:eastAsia="宋体" w:cs="宋体"/>
                <w:b w:val="0"/>
                <w:bCs w:val="0"/>
                <w:color w:val="auto"/>
                <w:sz w:val="18"/>
                <w:szCs w:val="18"/>
                <w:highlight w:val="none"/>
              </w:rPr>
              <w:t xml:space="preserve">120N•m</w:t>
            </w:r>
            <w:r>
              <w:rPr>
                <w:rFonts w:hint="eastAsia" w:ascii="宋体" w:hAnsi="宋体" w:eastAsia="宋体" w:cs="宋体"/>
                <w:b w:val="0"/>
                <w:bCs w:val="0"/>
                <w:color w:val="auto"/>
                <w:sz w:val="18"/>
                <w:szCs w:val="18"/>
                <w:highlight w:val="none"/>
              </w:rPr>
              <w:t xml:space="preserve">的冲击力，门翼保持锁止状态；</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人数统计：设备支持人数统计功能配置，可实时获取设备进出方向总人数；</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人机互动：设备支持通道指示灯、认证指示灯、门翼灯，支持认证结果语音自定义</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管控模式：设备可根据实际管控需求设置警戒模式与宽松模式，默认为宽松模式</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远程控制：设备可选配遥控器或遥控平板支持远程控制</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机械防夹：设备具备防夹功能，在门翼复位的过程中遇阻时电机自动停止工作</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防止人员受伤</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语音控制：具备文字转语音（</w:t>
            </w:r>
            <w:r>
              <w:rPr>
                <w:rFonts w:ascii="宋体" w:hAnsi="宋体" w:eastAsia="宋体" w:cs="宋体"/>
                <w:b w:val="0"/>
                <w:bCs w:val="0"/>
                <w:color w:val="auto"/>
                <w:sz w:val="18"/>
                <w:szCs w:val="18"/>
                <w:highlight w:val="none"/>
              </w:rPr>
              <w:t xml:space="preserve">TTS</w:t>
            </w:r>
            <w:r>
              <w:rPr>
                <w:rFonts w:hint="eastAsia" w:ascii="宋体" w:hAnsi="宋体" w:eastAsia="宋体" w:cs="宋体"/>
                <w:b w:val="0"/>
                <w:bCs w:val="0"/>
                <w:color w:val="auto"/>
                <w:sz w:val="18"/>
                <w:szCs w:val="18"/>
                <w:highlight w:val="none"/>
              </w:rPr>
              <w:t xml:space="preserve">）和语音合成技术</w:t>
            </w:r>
            <w:r/>
          </w:p>
          <w:p>
            <w:pPr>
              <w:jc w:val="both"/>
              <w:widowControl/>
              <w:rPr>
                <w:rFonts w:hint="eastAsia" w:ascii="宋体" w:hAnsi="宋体" w:eastAsia="宋体" w:cs="宋体"/>
                <w:b w:val="0"/>
                <w:bCs w:val="0"/>
                <w:color w:val="auto"/>
                <w:sz w:val="18"/>
                <w:szCs w:val="18"/>
                <w:highlight w:val="none"/>
              </w:rPr>
            </w:pPr>
            <w:r>
              <w:rPr>
                <w:rFonts w:ascii="宋体" w:hAnsi="宋体" w:eastAsia="宋体" w:cs="宋体"/>
                <w:b w:val="0"/>
                <w:bCs w:val="0"/>
                <w:color w:val="auto"/>
                <w:sz w:val="18"/>
                <w:szCs w:val="18"/>
                <w:highlight w:val="none"/>
              </w:rPr>
              <w:t xml:space="preserve">WEB</w:t>
            </w:r>
            <w:r>
              <w:rPr>
                <w:rFonts w:hint="eastAsia" w:ascii="宋体" w:hAnsi="宋体" w:eastAsia="宋体" w:cs="宋体"/>
                <w:b w:val="0"/>
                <w:bCs w:val="0"/>
                <w:color w:val="auto"/>
                <w:sz w:val="18"/>
                <w:szCs w:val="18"/>
                <w:highlight w:val="none"/>
              </w:rPr>
              <w:t xml:space="preserve">管理：支持手机</w:t>
            </w:r>
            <w:r>
              <w:rPr>
                <w:rFonts w:ascii="宋体" w:hAnsi="宋体" w:eastAsia="宋体" w:cs="宋体"/>
                <w:b w:val="0"/>
                <w:bCs w:val="0"/>
                <w:color w:val="auto"/>
                <w:sz w:val="18"/>
                <w:szCs w:val="18"/>
                <w:highlight w:val="none"/>
              </w:rPr>
              <w:t xml:space="preserve">Web</w:t>
            </w:r>
            <w:r>
              <w:rPr>
                <w:rFonts w:hint="eastAsia" w:ascii="宋体" w:hAnsi="宋体" w:eastAsia="宋体" w:cs="宋体"/>
                <w:b w:val="0"/>
                <w:bCs w:val="0"/>
                <w:color w:val="auto"/>
                <w:sz w:val="18"/>
                <w:szCs w:val="18"/>
                <w:highlight w:val="none"/>
              </w:rPr>
              <w:t xml:space="preserve">（手机通过</w:t>
            </w:r>
            <w:r>
              <w:rPr>
                <w:rFonts w:ascii="宋体" w:hAnsi="宋体" w:eastAsia="宋体" w:cs="宋体"/>
                <w:b w:val="0"/>
                <w:bCs w:val="0"/>
                <w:color w:val="auto"/>
                <w:sz w:val="18"/>
                <w:szCs w:val="18"/>
                <w:highlight w:val="none"/>
              </w:rPr>
              <w:t xml:space="preserve">WIFI</w:t>
            </w:r>
            <w:r>
              <w:rPr>
                <w:rFonts w:hint="eastAsia" w:ascii="宋体" w:hAnsi="宋体" w:eastAsia="宋体" w:cs="宋体"/>
                <w:b w:val="0"/>
                <w:bCs w:val="0"/>
                <w:color w:val="auto"/>
                <w:sz w:val="18"/>
                <w:szCs w:val="18"/>
                <w:highlight w:val="none"/>
              </w:rPr>
              <w:t xml:space="preserve">连接设备）与</w:t>
            </w:r>
            <w:r>
              <w:rPr>
                <w:rFonts w:ascii="宋体" w:hAnsi="宋体" w:eastAsia="宋体" w:cs="宋体"/>
                <w:b w:val="0"/>
                <w:bCs w:val="0"/>
                <w:color w:val="auto"/>
                <w:sz w:val="18"/>
                <w:szCs w:val="18"/>
                <w:highlight w:val="none"/>
              </w:rPr>
              <w:t xml:space="preserve">PC Web</w:t>
            </w:r>
            <w:r>
              <w:rPr>
                <w:rFonts w:hint="eastAsia" w:ascii="宋体" w:hAnsi="宋体" w:eastAsia="宋体" w:cs="宋体"/>
                <w:b w:val="0"/>
                <w:bCs w:val="0"/>
                <w:color w:val="auto"/>
                <w:sz w:val="18"/>
                <w:szCs w:val="18"/>
                <w:highlight w:val="none"/>
              </w:rPr>
              <w:t xml:space="preserve">管理，可进行人员管理、参数配置、事件查询、系统维护等操作</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使用环境：室内外</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电机类型：无刷直流伺服电机</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设备容量：支持≥</w:t>
            </w:r>
            <w:r>
              <w:rPr>
                <w:rFonts w:ascii="宋体" w:hAnsi="宋体" w:eastAsia="宋体" w:cs="宋体"/>
                <w:b w:val="0"/>
                <w:bCs w:val="0"/>
                <w:color w:val="auto"/>
                <w:sz w:val="18"/>
                <w:szCs w:val="18"/>
                <w:highlight w:val="none"/>
              </w:rPr>
              <w:t xml:space="preserve">50</w:t>
            </w:r>
            <w:r>
              <w:rPr>
                <w:rFonts w:hint="eastAsia" w:ascii="宋体" w:hAnsi="宋体" w:eastAsia="宋体" w:cs="宋体"/>
                <w:b w:val="0"/>
                <w:bCs w:val="0"/>
                <w:color w:val="auto"/>
                <w:sz w:val="18"/>
                <w:szCs w:val="18"/>
                <w:highlight w:val="none"/>
              </w:rPr>
              <w:t xml:space="preserve">万人员，≥</w:t>
            </w:r>
            <w:r>
              <w:rPr>
                <w:rFonts w:ascii="宋体" w:hAnsi="宋体" w:eastAsia="宋体" w:cs="宋体"/>
                <w:b w:val="0"/>
                <w:bCs w:val="0"/>
                <w:color w:val="auto"/>
                <w:sz w:val="18"/>
                <w:szCs w:val="18"/>
                <w:highlight w:val="none"/>
              </w:rPr>
              <w:t xml:space="preserve">50</w:t>
            </w:r>
            <w:r>
              <w:rPr>
                <w:rFonts w:hint="eastAsia" w:ascii="宋体" w:hAnsi="宋体" w:eastAsia="宋体" w:cs="宋体"/>
                <w:b w:val="0"/>
                <w:bCs w:val="0"/>
                <w:color w:val="auto"/>
                <w:sz w:val="18"/>
                <w:szCs w:val="18"/>
                <w:highlight w:val="none"/>
              </w:rPr>
              <w:t xml:space="preserve">万卡，≥</w:t>
            </w:r>
            <w:r>
              <w:rPr>
                <w:rFonts w:ascii="宋体" w:hAnsi="宋体" w:eastAsia="宋体" w:cs="宋体"/>
                <w:b w:val="0"/>
                <w:bCs w:val="0"/>
                <w:color w:val="auto"/>
                <w:sz w:val="18"/>
                <w:szCs w:val="18"/>
                <w:highlight w:val="none"/>
              </w:rPr>
              <w:t xml:space="preserve">50</w:t>
            </w:r>
            <w:r>
              <w:rPr>
                <w:rFonts w:hint="eastAsia" w:ascii="宋体" w:hAnsi="宋体" w:eastAsia="宋体" w:cs="宋体"/>
                <w:b w:val="0"/>
                <w:bCs w:val="0"/>
                <w:color w:val="auto"/>
                <w:sz w:val="18"/>
                <w:szCs w:val="18"/>
                <w:highlight w:val="none"/>
              </w:rPr>
              <w:t xml:space="preserve">万事件</w:t>
            </w:r>
            <w:r/>
          </w:p>
          <w:p>
            <w:pPr>
              <w:jc w:val="both"/>
              <w:widowControl/>
              <w:rPr>
                <w:rFonts w:hint="eastAsia" w:ascii="宋体" w:hAnsi="宋体" w:eastAsia="宋体" w:cs="宋体"/>
                <w:b w:val="0"/>
                <w:bCs w:val="0"/>
                <w:color w:val="auto"/>
                <w:sz w:val="18"/>
                <w:szCs w:val="18"/>
                <w:highlight w:val="none"/>
              </w:rPr>
            </w:pPr>
            <w:r/>
            <w:bookmarkStart w:id="14" w:name="OLE_LINK4"/>
            <w:r>
              <w:rPr>
                <w:rFonts w:hint="eastAsia" w:ascii="宋体" w:hAnsi="宋体" w:eastAsia="宋体" w:cs="宋体"/>
                <w:b w:val="0"/>
                <w:bCs w:val="0"/>
                <w:color w:val="auto"/>
                <w:sz w:val="18"/>
                <w:szCs w:val="18"/>
                <w:highlight w:val="none"/>
              </w:rPr>
              <w:t xml:space="preserve">激光雷达：≥12对（右边道或者左边道有此配置均可）</w:t>
            </w:r>
            <w:bookmarkEnd w:id="14"/>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通道宽度：</w:t>
            </w:r>
            <w:r>
              <w:rPr>
                <w:rFonts w:ascii="宋体" w:hAnsi="宋体" w:eastAsia="宋体" w:cs="宋体"/>
                <w:b w:val="0"/>
                <w:bCs w:val="0"/>
                <w:color w:val="auto"/>
                <w:sz w:val="18"/>
                <w:szCs w:val="18"/>
                <w:highlight w:val="none"/>
              </w:rPr>
              <w:t xml:space="preserve">550-950mm,</w:t>
            </w:r>
            <w:r>
              <w:rPr>
                <w:rFonts w:hint="eastAsia" w:ascii="宋体" w:hAnsi="宋体" w:eastAsia="宋体" w:cs="宋体"/>
                <w:b w:val="0"/>
                <w:bCs w:val="0"/>
                <w:color w:val="auto"/>
                <w:sz w:val="18"/>
                <w:szCs w:val="18"/>
                <w:highlight w:val="none"/>
              </w:rPr>
              <w:t xml:space="preserve">以</w:t>
            </w:r>
            <w:r>
              <w:rPr>
                <w:rFonts w:ascii="宋体" w:hAnsi="宋体" w:eastAsia="宋体" w:cs="宋体"/>
                <w:b w:val="0"/>
                <w:bCs w:val="0"/>
                <w:color w:val="auto"/>
                <w:sz w:val="18"/>
                <w:szCs w:val="18"/>
                <w:highlight w:val="none"/>
              </w:rPr>
              <w:t xml:space="preserve">50mm</w:t>
            </w:r>
            <w:r>
              <w:rPr>
                <w:rFonts w:hint="eastAsia" w:ascii="宋体" w:hAnsi="宋体" w:eastAsia="宋体" w:cs="宋体"/>
                <w:b w:val="0"/>
                <w:bCs w:val="0"/>
                <w:color w:val="auto"/>
                <w:sz w:val="18"/>
                <w:szCs w:val="18"/>
                <w:highlight w:val="none"/>
              </w:rPr>
              <w:t xml:space="preserve">为一档</w:t>
            </w:r>
            <w:r>
              <w:rPr>
                <w:rFonts w:ascii="宋体" w:hAnsi="宋体" w:eastAsia="宋体" w:cs="宋体"/>
                <w:b w:val="0"/>
                <w:bCs w:val="0"/>
                <w:color w:val="auto"/>
                <w:sz w:val="18"/>
                <w:szCs w:val="18"/>
                <w:highlight w:val="none"/>
              </w:rPr>
              <w:t xml:space="preserve">;1000-1100mm,</w:t>
            </w:r>
            <w:r>
              <w:rPr>
                <w:rFonts w:hint="eastAsia" w:ascii="宋体" w:hAnsi="宋体" w:eastAsia="宋体" w:cs="宋体"/>
                <w:b w:val="0"/>
                <w:bCs w:val="0"/>
                <w:color w:val="auto"/>
                <w:sz w:val="18"/>
                <w:szCs w:val="18"/>
                <w:highlight w:val="none"/>
              </w:rPr>
              <w:t xml:space="preserve">以</w:t>
            </w:r>
            <w:r>
              <w:rPr>
                <w:rFonts w:ascii="宋体" w:hAnsi="宋体" w:eastAsia="宋体" w:cs="宋体"/>
                <w:b w:val="0"/>
                <w:bCs w:val="0"/>
                <w:color w:val="auto"/>
                <w:sz w:val="18"/>
                <w:szCs w:val="18"/>
                <w:highlight w:val="none"/>
              </w:rPr>
              <w:t xml:space="preserve">100mm</w:t>
            </w:r>
            <w:r>
              <w:rPr>
                <w:rFonts w:hint="eastAsia" w:ascii="宋体" w:hAnsi="宋体" w:eastAsia="宋体" w:cs="宋体"/>
                <w:b w:val="0"/>
                <w:bCs w:val="0"/>
                <w:color w:val="auto"/>
                <w:sz w:val="18"/>
                <w:szCs w:val="18"/>
                <w:highlight w:val="none"/>
              </w:rPr>
              <w:t xml:space="preserve">为一档</w:t>
            </w:r>
            <w:r>
              <w:rPr>
                <w:rFonts w:ascii="宋体" w:hAnsi="宋体" w:eastAsia="宋体" w:cs="宋体"/>
                <w:b w:val="0"/>
                <w:bCs w:val="0"/>
                <w:color w:val="auto"/>
                <w:sz w:val="18"/>
                <w:szCs w:val="18"/>
                <w:highlight w:val="none"/>
              </w:rPr>
              <w:t xml:space="preserve">, </w:t>
            </w:r>
            <w:r>
              <w:rPr>
                <w:rFonts w:hint="eastAsia" w:ascii="宋体" w:hAnsi="宋体" w:eastAsia="宋体" w:cs="宋体"/>
                <w:b w:val="0"/>
                <w:bCs w:val="0"/>
                <w:color w:val="auto"/>
                <w:sz w:val="18"/>
                <w:szCs w:val="18"/>
                <w:highlight w:val="none"/>
              </w:rPr>
              <w:t xml:space="preserve">门翼间隙：</w:t>
            </w:r>
            <w:r>
              <w:rPr>
                <w:rFonts w:ascii="宋体" w:hAnsi="宋体" w:eastAsia="宋体" w:cs="宋体"/>
                <w:b w:val="0"/>
                <w:bCs w:val="0"/>
                <w:color w:val="auto"/>
                <w:sz w:val="18"/>
                <w:szCs w:val="18"/>
                <w:highlight w:val="none"/>
              </w:rPr>
              <w:t xml:space="preserve">50mm</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箱体材质：</w:t>
            </w:r>
            <w:r>
              <w:rPr>
                <w:rFonts w:ascii="宋体" w:hAnsi="宋体" w:eastAsia="宋体" w:cs="宋体"/>
                <w:b w:val="0"/>
                <w:bCs w:val="0"/>
                <w:color w:val="auto"/>
                <w:sz w:val="18"/>
                <w:szCs w:val="18"/>
                <w:highlight w:val="none"/>
              </w:rPr>
              <w:t xml:space="preserve">SUS304</w:t>
            </w:r>
            <w:r>
              <w:rPr>
                <w:rFonts w:hint="eastAsia" w:ascii="宋体" w:hAnsi="宋体" w:eastAsia="宋体" w:cs="宋体"/>
                <w:b w:val="0"/>
                <w:bCs w:val="0"/>
                <w:color w:val="auto"/>
                <w:sz w:val="18"/>
                <w:szCs w:val="18"/>
                <w:highlight w:val="none"/>
              </w:rPr>
              <w:t xml:space="preserve">拉丝不锈钢</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顶盖厚度</w:t>
            </w:r>
            <w:r>
              <w:rPr>
                <w:rFonts w:ascii="宋体" w:hAnsi="宋体" w:eastAsia="宋体" w:cs="宋体"/>
                <w:b w:val="0"/>
                <w:bCs w:val="0"/>
                <w:color w:val="auto"/>
                <w:sz w:val="18"/>
                <w:szCs w:val="18"/>
                <w:highlight w:val="none"/>
              </w:rPr>
              <w:t xml:space="preserve">1.5mm±0.12 mm,</w:t>
            </w:r>
            <w:r>
              <w:rPr>
                <w:rFonts w:hint="eastAsia" w:ascii="宋体" w:hAnsi="宋体" w:eastAsia="宋体" w:cs="宋体"/>
                <w:b w:val="0"/>
                <w:bCs w:val="0"/>
                <w:color w:val="auto"/>
                <w:sz w:val="18"/>
                <w:szCs w:val="18"/>
                <w:highlight w:val="none"/>
              </w:rPr>
              <w:t xml:space="preserve">箱体厚度</w:t>
            </w:r>
            <w:r>
              <w:rPr>
                <w:rFonts w:ascii="宋体" w:hAnsi="宋体" w:eastAsia="宋体" w:cs="宋体"/>
                <w:b w:val="0"/>
                <w:bCs w:val="0"/>
                <w:color w:val="auto"/>
                <w:sz w:val="18"/>
                <w:szCs w:val="18"/>
                <w:highlight w:val="none"/>
              </w:rPr>
              <w:t xml:space="preserve">1.2mm±0.12 mm,</w:t>
            </w:r>
            <w:r>
              <w:rPr>
                <w:rFonts w:hint="eastAsia" w:ascii="宋体" w:hAnsi="宋体" w:eastAsia="宋体" w:cs="宋体"/>
                <w:b w:val="0"/>
                <w:bCs w:val="0"/>
                <w:color w:val="auto"/>
                <w:sz w:val="18"/>
                <w:szCs w:val="18"/>
                <w:highlight w:val="none"/>
              </w:rPr>
              <w:t xml:space="preserve">不锈钢侧挡板厚度</w:t>
            </w:r>
            <w:r>
              <w:rPr>
                <w:rFonts w:ascii="宋体" w:hAnsi="宋体" w:eastAsia="宋体" w:cs="宋体"/>
                <w:b w:val="0"/>
                <w:bCs w:val="0"/>
                <w:color w:val="auto"/>
                <w:sz w:val="18"/>
                <w:szCs w:val="18"/>
                <w:highlight w:val="none"/>
              </w:rPr>
              <w:t xml:space="preserve">1.0±0.12 mm</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门翼材质：亚克力</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不锈钢</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其中亚克力厚度</w:t>
            </w:r>
            <w:r>
              <w:rPr>
                <w:rFonts w:ascii="宋体" w:hAnsi="宋体" w:eastAsia="宋体" w:cs="宋体"/>
                <w:b w:val="0"/>
                <w:bCs w:val="0"/>
                <w:color w:val="auto"/>
                <w:sz w:val="18"/>
                <w:szCs w:val="18"/>
                <w:highlight w:val="none"/>
              </w:rPr>
              <w:t xml:space="preserve">8mm</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通行速率：</w:t>
            </w:r>
            <w:r>
              <w:rPr>
                <w:rFonts w:ascii="宋体" w:hAnsi="宋体" w:eastAsia="宋体" w:cs="宋体"/>
                <w:b w:val="0"/>
                <w:bCs w:val="0"/>
                <w:color w:val="auto"/>
                <w:sz w:val="18"/>
                <w:szCs w:val="18"/>
                <w:highlight w:val="none"/>
              </w:rPr>
              <w:t xml:space="preserve">20-60</w:t>
            </w:r>
            <w:r>
              <w:rPr>
                <w:rFonts w:hint="eastAsia" w:ascii="宋体" w:hAnsi="宋体" w:eastAsia="宋体" w:cs="宋体"/>
                <w:b w:val="0"/>
                <w:bCs w:val="0"/>
                <w:color w:val="auto"/>
                <w:sz w:val="18"/>
                <w:szCs w:val="18"/>
                <w:highlight w:val="none"/>
              </w:rPr>
              <w:t xml:space="preserve">人</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分钟，受人员情况和通行模式影响</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电源电压：</w:t>
            </w:r>
            <w:r>
              <w:rPr>
                <w:rFonts w:ascii="宋体" w:hAnsi="宋体" w:eastAsia="宋体" w:cs="宋体"/>
                <w:b w:val="0"/>
                <w:bCs w:val="0"/>
                <w:color w:val="auto"/>
                <w:sz w:val="18"/>
                <w:szCs w:val="18"/>
                <w:highlight w:val="none"/>
              </w:rPr>
              <w:t xml:space="preserve">AC 200-240 V</w:t>
            </w:r>
            <w:r>
              <w:rPr>
                <w:rFonts w:hint="eastAsia" w:ascii="宋体" w:hAnsi="宋体" w:eastAsia="宋体" w:cs="宋体"/>
                <w:b w:val="0"/>
                <w:bCs w:val="0"/>
                <w:color w:val="auto"/>
                <w:sz w:val="18"/>
                <w:szCs w:val="18"/>
                <w:highlight w:val="none"/>
              </w:rPr>
              <w:t xml:space="preserve">，</w:t>
            </w:r>
            <w:r>
              <w:rPr>
                <w:rFonts w:ascii="宋体" w:hAnsi="宋体" w:eastAsia="宋体" w:cs="宋体"/>
                <w:b w:val="0"/>
                <w:bCs w:val="0"/>
                <w:color w:val="auto"/>
                <w:sz w:val="18"/>
                <w:szCs w:val="18"/>
                <w:highlight w:val="none"/>
              </w:rPr>
              <w:t xml:space="preserve">50/60 Hz</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工作温度：</w:t>
            </w:r>
            <w:r>
              <w:rPr>
                <w:rFonts w:ascii="宋体" w:hAnsi="宋体" w:eastAsia="宋体" w:cs="宋体"/>
                <w:b w:val="0"/>
                <w:bCs w:val="0"/>
                <w:color w:val="auto"/>
                <w:sz w:val="18"/>
                <w:szCs w:val="18"/>
                <w:highlight w:val="none"/>
              </w:rPr>
              <w:t xml:space="preserve">-20</w:t>
            </w:r>
            <w:r>
              <w:rPr>
                <w:rFonts w:hint="eastAsia" w:ascii="宋体" w:hAnsi="宋体" w:eastAsia="宋体" w:cs="宋体"/>
                <w:b w:val="0"/>
                <w:bCs w:val="0"/>
                <w:color w:val="auto"/>
                <w:sz w:val="18"/>
                <w:szCs w:val="18"/>
                <w:highlight w:val="none"/>
              </w:rPr>
              <w:t xml:space="preserve">℃</w:t>
            </w:r>
            <w:r>
              <w:rPr>
                <w:rFonts w:ascii="宋体" w:hAnsi="宋体" w:eastAsia="宋体" w:cs="宋体"/>
                <w:b w:val="0"/>
                <w:bCs w:val="0"/>
                <w:color w:val="auto"/>
                <w:sz w:val="18"/>
                <w:szCs w:val="18"/>
                <w:highlight w:val="none"/>
              </w:rPr>
              <w:t xml:space="preserve">-+70</w:t>
            </w:r>
            <w:r>
              <w:rPr>
                <w:rFonts w:hint="eastAsia" w:ascii="宋体" w:hAnsi="宋体" w:eastAsia="宋体" w:cs="宋体"/>
                <w:b w:val="0"/>
                <w:bCs w:val="0"/>
                <w:color w:val="auto"/>
                <w:sz w:val="18"/>
                <w:szCs w:val="18"/>
                <w:highlight w:val="none"/>
              </w:rPr>
              <w:t xml:space="preserve">℃</w:t>
            </w:r>
            <w:r>
              <w:rPr>
                <w:rFonts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rPr>
              <w:t xml:space="preserve">温度低于</w:t>
            </w:r>
            <w:r>
              <w:rPr>
                <w:rFonts w:ascii="宋体" w:hAnsi="宋体" w:eastAsia="宋体" w:cs="宋体"/>
                <w:b w:val="0"/>
                <w:bCs w:val="0"/>
                <w:color w:val="auto"/>
                <w:sz w:val="18"/>
                <w:szCs w:val="18"/>
                <w:highlight w:val="none"/>
              </w:rPr>
              <w:t xml:space="preserve">-20</w:t>
            </w:r>
            <w:r>
              <w:rPr>
                <w:rFonts w:hint="eastAsia" w:ascii="宋体" w:hAnsi="宋体" w:eastAsia="宋体" w:cs="宋体"/>
                <w:b w:val="0"/>
                <w:bCs w:val="0"/>
                <w:color w:val="auto"/>
                <w:sz w:val="18"/>
                <w:szCs w:val="18"/>
                <w:highlight w:val="none"/>
              </w:rPr>
              <w:t xml:space="preserve">℃时增配加热模块可支持到</w:t>
            </w:r>
            <w:r>
              <w:rPr>
                <w:rFonts w:ascii="宋体" w:hAnsi="宋体" w:eastAsia="宋体" w:cs="宋体"/>
                <w:b w:val="0"/>
                <w:bCs w:val="0"/>
                <w:color w:val="auto"/>
                <w:sz w:val="18"/>
                <w:szCs w:val="18"/>
                <w:highlight w:val="none"/>
              </w:rPr>
              <w:t xml:space="preserve">-40</w:t>
            </w:r>
            <w:r>
              <w:rPr>
                <w:rFonts w:hint="eastAsia" w:ascii="宋体" w:hAnsi="宋体" w:eastAsia="宋体" w:cs="宋体"/>
                <w:b w:val="0"/>
                <w:bCs w:val="0"/>
                <w:color w:val="auto"/>
                <w:sz w:val="18"/>
                <w:szCs w:val="18"/>
                <w:highlight w:val="none"/>
              </w:rPr>
              <w:t xml:space="preserve">℃</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 xml:space="preserve">工作湿度：</w:t>
            </w:r>
            <w:r>
              <w:rPr>
                <w:rFonts w:ascii="宋体" w:hAnsi="宋体" w:eastAsia="宋体" w:cs="宋体"/>
                <w:b w:val="0"/>
                <w:bCs w:val="0"/>
                <w:color w:val="auto"/>
                <w:sz w:val="18"/>
                <w:szCs w:val="18"/>
                <w:highlight w:val="none"/>
              </w:rPr>
              <w:t xml:space="preserve">0%</w:t>
            </w:r>
            <w:r>
              <w:rPr>
                <w:rFonts w:hint="eastAsia" w:ascii="宋体" w:hAnsi="宋体" w:eastAsia="宋体" w:cs="宋体"/>
                <w:b w:val="0"/>
                <w:bCs w:val="0"/>
                <w:color w:val="auto"/>
                <w:sz w:val="18"/>
                <w:szCs w:val="18"/>
                <w:highlight w:val="none"/>
              </w:rPr>
              <w:t xml:space="preserve">至</w:t>
            </w:r>
            <w:r>
              <w:rPr>
                <w:rFonts w:ascii="宋体" w:hAnsi="宋体" w:eastAsia="宋体" w:cs="宋体"/>
                <w:b w:val="0"/>
                <w:bCs w:val="0"/>
                <w:color w:val="auto"/>
                <w:sz w:val="18"/>
                <w:szCs w:val="18"/>
                <w:highlight w:val="none"/>
              </w:rPr>
              <w:t xml:space="preserve">95%</w:t>
            </w:r>
            <w:r>
              <w:rPr>
                <w:rFonts w:hint="eastAsia" w:ascii="宋体" w:hAnsi="宋体" w:eastAsia="宋体" w:cs="宋体"/>
                <w:b w:val="0"/>
                <w:bCs w:val="0"/>
                <w:color w:val="auto"/>
                <w:sz w:val="18"/>
                <w:szCs w:val="18"/>
                <w:highlight w:val="none"/>
              </w:rPr>
              <w:t xml:space="preserve">（不凝聚成水滴）</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主出入口双向人脸识别摆闸系统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人脸识别模块/组件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bookmarkStart w:id="15" w:name="OLE_LINK5"/>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操作系统：嵌入式Linux操作系统；屏幕参数：≥7英寸触摸显示屏，屏幕比例9:16，屏幕分辨率600*1024；摄像头参数：采用宽动态≥200万双目摄像头；认证方式：支持人脸、刷卡（IC卡、手机NFC卡、CPU卡序列号/内容、身份证卡序列号）、密码认证方式，可外接身份证、指纹、蓝牙、二维码功能模块；人脸验证：采用深度学习算法，支持单人或多人识别（最多5人同时认证）功能；支持照片、视频防假；1:N人脸验证速度≤0.2s，人脸验证准确率≥99%；</w:t>
            </w:r>
            <w:bookmarkEnd w:id="15"/>
            <w:r>
              <w:rPr>
                <w:rFonts w:hint="eastAsia" w:ascii="宋体" w:hAnsi="宋体" w:eastAsia="宋体" w:cs="宋体"/>
                <w:b w:val="0"/>
                <w:bCs w:val="0"/>
                <w:color w:val="auto"/>
                <w:sz w:val="18"/>
                <w:szCs w:val="18"/>
                <w:highlight w:val="none"/>
                <w:lang w:bidi="ar"/>
              </w:rPr>
              <w:t xml:space="preserve">存储容量：本地支持10000人脸库、50000张卡，15万条事件记录；硬件接口：LAN≥1、RS485≥1、Wiegand≥1(支持双向)、typeC类型USB接口≥1、电锁≥1、门磁≥1、报警输入≥2、报警输出≥1、开门按钮≥1、SD卡槽≥1（最大支持512GB）、3.5mm音频输出接口≥1；通信方式及网络协议：有线网络；使用环境：IP65，室内外环境（室外使用必须搭配遮阳罩）；工作电压： DC12V~24V/2A（电源需另配）；功能介绍：可视对讲：支持和云平台、客户端、室内机、管理机进行可视对讲；支持配</w:t>
            </w:r>
            <w:r>
              <w:rPr>
                <w:rFonts w:hint="eastAsia" w:ascii="宋体" w:hAnsi="宋体" w:eastAsia="宋体" w:cs="宋体"/>
                <w:b w:val="0"/>
                <w:bCs w:val="0"/>
                <w:color w:val="auto"/>
                <w:sz w:val="18"/>
                <w:szCs w:val="18"/>
                <w:highlight w:val="none"/>
                <w:lang w:bidi="ar"/>
              </w:rPr>
              <w:t xml:space="preserve">置一键呼叫室内机或管理机；支持副门口机或围墙机模式；视频预览：支持管理中心远程视频预览，支持接入NVR设备，实现视频录像，编码格式H.264；口罩检测：支持口罩检测模式，可配置提醒戴口罩模式、强制戴口罩模式，关联门禁控制；安全帽检测：支持工地安全帽检测功能，可配置提醒安全帽模式、强制戴安全帽模式，关联门禁控制；识别界面可配：识别主界面的“呼叫”、“二维码”、“密码”的按键图标可分别配置是否显示；认证结果显示可配：支持认证成功界面的“照片”、“姓名”、“工号”信息可配置是否显示；认证结果语音自定义：集成文字转</w:t>
            </w:r>
            <w:r>
              <w:rPr>
                <w:rFonts w:hint="eastAsia" w:ascii="宋体" w:hAnsi="宋体" w:eastAsia="宋体" w:cs="宋体"/>
                <w:b w:val="0"/>
                <w:bCs w:val="0"/>
                <w:color w:val="auto"/>
                <w:sz w:val="18"/>
                <w:szCs w:val="18"/>
                <w:highlight w:val="none"/>
                <w:lang w:bidi="ar"/>
              </w:rPr>
              <w:t xml:space="preserve">语音（TTS）和语音合成技术，认证成功和认证失败的语音可以分别配置4个时间段进行自定义播报，同时认证成功的语音可叠加播报姓名；工作模式：支持广告模式、简洁模式主题模式外接安全模块：支持通过RS485接入门控安全模块，防止主机被恶意破坏的情况下，门锁不被打开；外接读卡器：支持通过RS485或韦根（W26/W34）接口外接1个读卡器，同时可实现单门反潜回功能；读卡器模式：支持通过RS485或韦根（W26/W34）接入门禁控制器，作为读卡器模式使用；门禁计划模板：支持255组计划模板管理，128个周计划，1024</w:t>
            </w:r>
            <w:r>
              <w:rPr>
                <w:rFonts w:hint="eastAsia" w:ascii="宋体" w:hAnsi="宋体" w:eastAsia="宋体" w:cs="宋体"/>
                <w:b w:val="0"/>
                <w:bCs w:val="0"/>
                <w:color w:val="auto"/>
                <w:sz w:val="18"/>
                <w:szCs w:val="18"/>
                <w:highlight w:val="none"/>
                <w:lang w:bidi="ar"/>
              </w:rPr>
              <w:t xml:space="preserve">个假日计划；支持常开、常闭时段管理；组合认证：刷卡+密码、刷卡+人脸、人脸+密码等组合认证方式多重认证：支持多个人员认证（人脸、刷卡等）通过后才开门；报警功能：设备支持防拆报警、门被外力开起报警、胁迫卡和胁迫密码报警等；事件上传：在线状态下将设备认证结果信息及联动抓拍照片实时上传给平台，支持断网续传功能，设备离线状态下产生事件在与平台连接后会重新上传；单机使用：设备可进行本地管理，支持本地注册人脸、查询、设置、管理设备参数等；WEB管理：支持Web端管理，可进行人员管理、参数配置、事件查询、系统维护等操作。</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报警通信主机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可编地址码的大型报警控制通讯主机。主机自带8个防区，最多可扩展到248个；而且可提供多种类型的报警输入和本地报警输出，遥控编程，90个用户码，键盘编程，事件记忆，8个分区，带总线驱动器。</w:t>
            </w:r>
            <w:r>
              <w:rPr>
                <w:rFonts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★当报警控制通讯主机处于设防状态时，在退出延时期间，设置为退出时延时响应的探测回路被触发时，不应立即给出报警信号和</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或信息。</w:t>
            </w:r>
            <w:r>
              <w:rPr>
                <w:rFonts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★当报警控制通讯主机处于设防状态时，设置为进入时延时响应的探测回路被触发时，不应立即给出报警信号和</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或信息，延时结束后，若仍未撤防，则应立即给出入侵报警信号和</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或信息。</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操作控制键盘</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与报警通信主机配套使用。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显示屏：蓝屏中文 LCD，可显示防区、分区、报警 / 故障信息。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按键：（0-9）数字键 + 功能键：布防、撤防、菜单、确认、方向键。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通讯接口：RS485 总线，4 芯排线（KEY+、GND、A、B）。</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环境：-20℃～+55℃；湿度 ≤95% RH（无凝露）。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功能：≥8 分区独立控制、≥250 防区显示、事件查询、密码权限管理。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报警网络数据模块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报警主机与电脑相连，界面：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(1).本系统采用了下拉式菜单，使每一步操作都很简单、清晰。</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(2).提供万能通用查询，能根据输入的条件查询所需的信息。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(3).提供了智能化的输入界面。</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(4).在使用中对所有可能想到的操作错误进行警告和提示，以避免误操作。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(5).窗口可缩放，为用户提供最佳浏览效果。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2.明确的电子地图展示，在警戒状态下能实时监视各用户的报警情况，在有报警时能立即展示报警的方位。</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3.能根据你的选择打印报表，在资料打印中提供打印预视功能，实现所见即所打。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4.提供了简单而有效的管理机制：提供设防区域管理、客户管理。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5.在警戒管理的状态下，电脑系统接收主机传来的报警信号，在电脑上显示报警信号在设防区域图上的方位，并可根据集中管理中心的要求，确定电脑主机是否发出报警音，是否在一有报警即刻打印该客户的《报警核查单》。并可显示当前报警客户的详细信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6.报警日志至少可保留30天，保留天数可根据报警中心的需要进行设置。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7.在电子地图上除了显示当前的设防点以外，还能够显示其他的设防点。</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8.可统计一段时间内各防区的报警信息。</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双防区振动光缆探测器</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该设备具有自适应功能，运行24小时后自动调整相应参数，无需复杂调试。</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应用在多种复杂的场合:围栏上安装、埋地安装、围墙.上安装，实现对各种不规则周界的防护。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具有高探测能力和低误报率。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光缆是无源探测器，可有效避雷电造成的设备损坏，也可用于易燃易爆以及强电磁干扰等场所。</w:t>
            </w:r>
            <w:r>
              <w:rPr>
                <w:rFonts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★当探测器被触发时，应能在不大于</w:t>
            </w:r>
            <w:r>
              <w:rPr>
                <w:rFonts w:ascii="宋体" w:hAnsi="宋体" w:eastAsia="宋体" w:cs="宋体"/>
                <w:b w:val="0"/>
                <w:bCs w:val="0"/>
                <w:color w:val="auto"/>
                <w:sz w:val="18"/>
                <w:szCs w:val="18"/>
                <w:highlight w:val="none"/>
                <w:lang w:bidi="ar"/>
              </w:rPr>
              <w:t xml:space="preserve">3s</w:t>
            </w:r>
            <w:r>
              <w:rPr>
                <w:rFonts w:hint="eastAsia" w:ascii="宋体" w:hAnsi="宋体" w:eastAsia="宋体" w:cs="宋体"/>
                <w:b w:val="0"/>
                <w:bCs w:val="0"/>
                <w:color w:val="auto"/>
                <w:sz w:val="18"/>
                <w:szCs w:val="18"/>
                <w:highlight w:val="none"/>
                <w:lang w:bidi="ar"/>
              </w:rPr>
              <w:t xml:space="preserve">的时间内通过信号处理器输出入侵报警信号，该信号的输出形式应在说明书中明示且应区别于其他报警信号。</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★当探测器被触发时，应能在信号处理器或显示</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指示单元上指示出入侵发生的区域（位置）。当区域型探测器的多个光纤振动传感器或定位型探测器同一个光纤振动传感器的多个位置同时被触发时，不应漏掉指示任意一个区域（位置）。</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输入电压：DC12V～24V</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主机防区：双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工作温度：-20℃～+55℃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消耗电流：450mA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使用湿度：≤95%RH</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输出端口：TCP/IP+开关信号输出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安装方式：壁挂</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机箱材质：铸铁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报警输出：12V</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光缆</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1、名称：4芯户外铠装光纤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2、规格：GYXTW中心束管式光缆由光纤 缆芯填充油膏 扎纹钢带PE护套 双平行钢丝 松套管构成GYXTW型光缆，适用于管道、架空及直埋敷设。</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3、敷设方式：管内配线</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480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室外光纤终端盒（含配套组件）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操作方便，密封性能可靠，重复开启方便，接地保护可靠，强度高、可直埋或架空安装使用全程保护光缆。环境温度：-40℃～+60℃，抗拉伸力：&gt;1000N，耐电压强度：15KV（DC）；六芯，两进两出。含耦合器6套、波分复用器3套、光纤跳线12根、延长线12根、法兰3套等组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不锈钢防水箱</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约长*宽*高(450mm*220mm*550mm)（含膨胀螺栓、线管接头、胶布、螺栓、螺母、插座、八字线插头、空开）</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张力式双防区控制器（自动收紧）</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1.</w:t>
            </w:r>
            <w:r>
              <w:rPr>
                <w:rFonts w:hint="eastAsia" w:ascii="宋体" w:hAnsi="宋体" w:eastAsia="宋体" w:cs="宋体"/>
                <w:b w:val="0"/>
                <w:bCs w:val="0"/>
                <w:color w:val="auto"/>
                <w:sz w:val="18"/>
                <w:szCs w:val="18"/>
                <w:highlight w:val="none"/>
                <w:lang w:bidi="ar"/>
              </w:rPr>
              <w:t xml:space="preserve">张力控制器与传感器一体化设计，须自带自动收紧电机，方便安装、调试与售后；</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24"/>
                <w:szCs w:val="24"/>
                <w:highlight w:val="none"/>
              </w:rPr>
              <w:t xml:space="preserve">▲</w:t>
            </w:r>
            <w:r>
              <w:rPr>
                <w:rFonts w:ascii="宋体" w:hAnsi="宋体" w:eastAsia="宋体" w:cs="宋体"/>
                <w:b w:val="0"/>
                <w:bCs w:val="0"/>
                <w:color w:val="auto"/>
                <w:sz w:val="18"/>
                <w:szCs w:val="18"/>
                <w:highlight w:val="none"/>
                <w:lang w:bidi="ar"/>
              </w:rPr>
              <w:t xml:space="preserve">2.</w:t>
            </w:r>
            <w:r>
              <w:rPr>
                <w:rFonts w:hint="eastAsia" w:ascii="宋体" w:hAnsi="宋体" w:eastAsia="宋体" w:cs="宋体"/>
                <w:b w:val="0"/>
                <w:bCs w:val="0"/>
                <w:color w:val="auto"/>
                <w:sz w:val="18"/>
                <w:szCs w:val="18"/>
                <w:highlight w:val="none"/>
                <w:lang w:bidi="ar"/>
              </w:rPr>
              <w:t xml:space="preserve">可显示围栏线制、拉力值、报警阈值、报警状态（拉紧、松弛、断线报警）等信息；</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24"/>
                <w:szCs w:val="24"/>
                <w:highlight w:val="none"/>
              </w:rPr>
              <w:t xml:space="preserve">▲</w:t>
            </w:r>
            <w:r>
              <w:rPr>
                <w:rFonts w:ascii="宋体" w:hAnsi="宋体" w:eastAsia="宋体" w:cs="宋体"/>
                <w:b w:val="0"/>
                <w:bCs w:val="0"/>
                <w:color w:val="auto"/>
                <w:sz w:val="18"/>
                <w:szCs w:val="18"/>
                <w:highlight w:val="none"/>
                <w:lang w:bidi="ar"/>
              </w:rPr>
              <w:t xml:space="preserve">3.</w:t>
            </w:r>
            <w:r>
              <w:rPr>
                <w:rFonts w:hint="eastAsia" w:ascii="宋体" w:hAnsi="宋体" w:eastAsia="宋体" w:cs="宋体"/>
                <w:b w:val="0"/>
                <w:bCs w:val="0"/>
                <w:color w:val="auto"/>
                <w:sz w:val="18"/>
                <w:szCs w:val="18"/>
                <w:highlight w:val="none"/>
                <w:lang w:bidi="ar"/>
              </w:rPr>
              <w:t xml:space="preserve">拉紧、松弛、断线报警可精确定位到某根线；</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4.</w:t>
            </w:r>
            <w:r>
              <w:rPr>
                <w:rFonts w:hint="eastAsia" w:ascii="宋体" w:hAnsi="宋体" w:eastAsia="宋体" w:cs="宋体"/>
                <w:b w:val="0"/>
                <w:bCs w:val="0"/>
                <w:color w:val="auto"/>
                <w:sz w:val="18"/>
                <w:szCs w:val="18"/>
                <w:highlight w:val="none"/>
                <w:lang w:bidi="ar"/>
              </w:rPr>
              <w:t xml:space="preserve">可定时控制报警阈值和布</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撤防；</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5.</w:t>
            </w:r>
            <w:r>
              <w:rPr>
                <w:rFonts w:hint="eastAsia" w:ascii="宋体" w:hAnsi="宋体" w:eastAsia="宋体" w:cs="宋体"/>
                <w:b w:val="0"/>
                <w:bCs w:val="0"/>
                <w:color w:val="auto"/>
                <w:sz w:val="18"/>
                <w:szCs w:val="18"/>
                <w:highlight w:val="none"/>
                <w:lang w:bidi="ar"/>
              </w:rPr>
              <w:t xml:space="preserve">支持攀爬报警；</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6.</w:t>
            </w:r>
            <w:r>
              <w:rPr>
                <w:rFonts w:hint="eastAsia" w:ascii="宋体" w:hAnsi="宋体" w:eastAsia="宋体" w:cs="宋体"/>
                <w:b w:val="0"/>
                <w:bCs w:val="0"/>
                <w:color w:val="auto"/>
                <w:sz w:val="18"/>
                <w:szCs w:val="18"/>
                <w:highlight w:val="none"/>
                <w:lang w:bidi="ar"/>
              </w:rPr>
              <w:t xml:space="preserve">支持防拆、故障报警；</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7.</w:t>
            </w:r>
            <w:r>
              <w:rPr>
                <w:rFonts w:hint="eastAsia" w:ascii="宋体" w:hAnsi="宋体" w:eastAsia="宋体" w:cs="宋体"/>
                <w:b w:val="0"/>
                <w:bCs w:val="0"/>
                <w:color w:val="auto"/>
                <w:sz w:val="18"/>
                <w:szCs w:val="18"/>
                <w:highlight w:val="none"/>
                <w:lang w:bidi="ar"/>
              </w:rPr>
              <w:t xml:space="preserve">防区可设置</w:t>
            </w:r>
            <w:r>
              <w:rPr>
                <w:rFonts w:ascii="宋体" w:hAnsi="宋体" w:eastAsia="宋体" w:cs="宋体"/>
                <w:b w:val="0"/>
                <w:bCs w:val="0"/>
                <w:color w:val="auto"/>
                <w:sz w:val="18"/>
                <w:szCs w:val="18"/>
                <w:highlight w:val="none"/>
                <w:lang w:bidi="ar"/>
              </w:rPr>
              <w:t xml:space="preserve">24</w:t>
            </w:r>
            <w:r>
              <w:rPr>
                <w:rFonts w:hint="eastAsia" w:ascii="宋体" w:hAnsi="宋体" w:eastAsia="宋体" w:cs="宋体"/>
                <w:b w:val="0"/>
                <w:bCs w:val="0"/>
                <w:color w:val="auto"/>
                <w:sz w:val="18"/>
                <w:szCs w:val="18"/>
                <w:highlight w:val="none"/>
                <w:lang w:bidi="ar"/>
              </w:rPr>
              <w:t xml:space="preserve">小时禁止撤防模式；</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8.</w:t>
            </w:r>
            <w:r>
              <w:rPr>
                <w:rFonts w:hint="eastAsia" w:ascii="宋体" w:hAnsi="宋体" w:eastAsia="宋体" w:cs="宋体"/>
                <w:b w:val="0"/>
                <w:bCs w:val="0"/>
                <w:color w:val="auto"/>
                <w:sz w:val="18"/>
                <w:szCs w:val="18"/>
                <w:highlight w:val="none"/>
                <w:lang w:bidi="ar"/>
              </w:rPr>
              <w:t xml:space="preserve">支持</w:t>
            </w:r>
            <w:r>
              <w:rPr>
                <w:rFonts w:ascii="宋体" w:hAnsi="宋体" w:eastAsia="宋体" w:cs="宋体"/>
                <w:b w:val="0"/>
                <w:bCs w:val="0"/>
                <w:color w:val="auto"/>
                <w:sz w:val="18"/>
                <w:szCs w:val="18"/>
                <w:highlight w:val="none"/>
                <w:lang w:bidi="ar"/>
              </w:rPr>
              <w:t xml:space="preserve">DC12V</w:t>
            </w:r>
            <w:r>
              <w:rPr>
                <w:rFonts w:hint="eastAsia" w:ascii="宋体" w:hAnsi="宋体" w:eastAsia="宋体" w:cs="宋体"/>
                <w:b w:val="0"/>
                <w:bCs w:val="0"/>
                <w:color w:val="auto"/>
                <w:sz w:val="18"/>
                <w:szCs w:val="18"/>
                <w:highlight w:val="none"/>
                <w:lang w:bidi="ar"/>
              </w:rPr>
              <w:t xml:space="preserve">辅助电源输出接口，连接警灯时无需再增加辅助电源；</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9.</w:t>
            </w:r>
            <w:r>
              <w:rPr>
                <w:rFonts w:hint="eastAsia" w:ascii="宋体" w:hAnsi="宋体" w:eastAsia="宋体" w:cs="宋体"/>
                <w:b w:val="0"/>
                <w:bCs w:val="0"/>
                <w:color w:val="auto"/>
                <w:sz w:val="18"/>
                <w:szCs w:val="18"/>
                <w:highlight w:val="none"/>
                <w:lang w:bidi="ar"/>
              </w:rPr>
              <w:t xml:space="preserve">可外接蓄电池或</w:t>
            </w:r>
            <w:r>
              <w:rPr>
                <w:rFonts w:ascii="宋体" w:hAnsi="宋体" w:eastAsia="宋体" w:cs="宋体"/>
                <w:b w:val="0"/>
                <w:bCs w:val="0"/>
                <w:color w:val="auto"/>
                <w:sz w:val="18"/>
                <w:szCs w:val="18"/>
                <w:highlight w:val="none"/>
                <w:lang w:bidi="ar"/>
              </w:rPr>
              <w:t xml:space="preserve">UPS</w:t>
            </w:r>
            <w:r>
              <w:rPr>
                <w:rFonts w:hint="eastAsia" w:ascii="宋体" w:hAnsi="宋体" w:eastAsia="宋体" w:cs="宋体"/>
                <w:b w:val="0"/>
                <w:bCs w:val="0"/>
                <w:color w:val="auto"/>
                <w:sz w:val="18"/>
                <w:szCs w:val="18"/>
                <w:highlight w:val="none"/>
                <w:lang w:bidi="ar"/>
              </w:rPr>
              <w:t xml:space="preserve">，系统断电可正常工作</w:t>
            </w:r>
            <w:r>
              <w:rPr>
                <w:rFonts w:ascii="宋体" w:hAnsi="宋体" w:eastAsia="宋体" w:cs="宋体"/>
                <w:b w:val="0"/>
                <w:bCs w:val="0"/>
                <w:color w:val="auto"/>
                <w:sz w:val="18"/>
                <w:szCs w:val="18"/>
                <w:highlight w:val="none"/>
                <w:lang w:bidi="ar"/>
              </w:rPr>
              <w:t xml:space="preserve">12</w:t>
            </w:r>
            <w:r>
              <w:rPr>
                <w:rFonts w:hint="eastAsia" w:ascii="宋体" w:hAnsi="宋体" w:eastAsia="宋体" w:cs="宋体"/>
                <w:b w:val="0"/>
                <w:bCs w:val="0"/>
                <w:color w:val="auto"/>
                <w:sz w:val="18"/>
                <w:szCs w:val="18"/>
                <w:highlight w:val="none"/>
                <w:lang w:bidi="ar"/>
              </w:rPr>
              <w:t xml:space="preserve">小时以上；</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10.</w:t>
            </w:r>
            <w:r>
              <w:rPr>
                <w:rFonts w:hint="eastAsia" w:ascii="宋体" w:hAnsi="宋体" w:eastAsia="宋体" w:cs="宋体"/>
                <w:b w:val="0"/>
                <w:bCs w:val="0"/>
                <w:color w:val="auto"/>
                <w:sz w:val="18"/>
                <w:szCs w:val="18"/>
                <w:highlight w:val="none"/>
                <w:lang w:bidi="ar"/>
              </w:rPr>
              <w:t xml:space="preserve">自带收紧电机，应无需手动紧线，可控制电机自动调整张力线。可设置警戒张力值，由于环境、气候等变化导致张力值变化，电动电机自动收紧或放松张力线；</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输入电压：</w:t>
            </w:r>
            <w:r>
              <w:rPr>
                <w:rFonts w:ascii="宋体" w:hAnsi="宋体" w:eastAsia="宋体" w:cs="宋体"/>
                <w:b w:val="0"/>
                <w:bCs w:val="0"/>
                <w:color w:val="auto"/>
                <w:sz w:val="18"/>
                <w:szCs w:val="18"/>
                <w:highlight w:val="none"/>
                <w:lang w:bidi="ar"/>
              </w:rPr>
              <w:t xml:space="preserve">AC24V</w:t>
            </w:r>
            <w:r>
              <w:rPr>
                <w:rFonts w:hint="eastAsia" w:ascii="宋体" w:hAnsi="宋体" w:eastAsia="宋体" w:cs="宋体"/>
                <w:b w:val="0"/>
                <w:bCs w:val="0"/>
                <w:color w:val="auto"/>
                <w:sz w:val="18"/>
                <w:szCs w:val="18"/>
                <w:highlight w:val="none"/>
                <w:lang w:bidi="ar"/>
              </w:rPr>
              <w:t xml:space="preserve">或</w:t>
            </w:r>
            <w:r>
              <w:rPr>
                <w:rFonts w:ascii="宋体" w:hAnsi="宋体" w:eastAsia="宋体" w:cs="宋体"/>
                <w:b w:val="0"/>
                <w:bCs w:val="0"/>
                <w:color w:val="auto"/>
                <w:sz w:val="18"/>
                <w:szCs w:val="18"/>
                <w:highlight w:val="none"/>
                <w:lang w:bidi="ar"/>
              </w:rPr>
              <w:t xml:space="preserve">DC24V</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防区线制：</w:t>
            </w:r>
            <w:r>
              <w:rPr>
                <w:rFonts w:ascii="宋体" w:hAnsi="宋体" w:eastAsia="宋体" w:cs="宋体"/>
                <w:b w:val="0"/>
                <w:bCs w:val="0"/>
                <w:color w:val="auto"/>
                <w:sz w:val="18"/>
                <w:szCs w:val="18"/>
                <w:highlight w:val="none"/>
                <w:lang w:bidi="ar"/>
              </w:rPr>
              <w:t xml:space="preserve">6</w:t>
            </w:r>
            <w:r>
              <w:rPr>
                <w:rFonts w:hint="eastAsia" w:ascii="宋体" w:hAnsi="宋体" w:eastAsia="宋体" w:cs="宋体"/>
                <w:b w:val="0"/>
                <w:bCs w:val="0"/>
                <w:color w:val="auto"/>
                <w:sz w:val="18"/>
                <w:szCs w:val="18"/>
                <w:highlight w:val="none"/>
                <w:lang w:bidi="ar"/>
              </w:rPr>
              <w:t xml:space="preserve">线</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主机防区：双</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机箱材质：铝合金</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工作温度：</w:t>
            </w:r>
            <w:r>
              <w:rPr>
                <w:rFonts w:ascii="宋体" w:hAnsi="宋体" w:eastAsia="宋体" w:cs="宋体"/>
                <w:b w:val="0"/>
                <w:bCs w:val="0"/>
                <w:color w:val="auto"/>
                <w:sz w:val="18"/>
                <w:szCs w:val="18"/>
                <w:highlight w:val="none"/>
                <w:lang w:bidi="ar"/>
              </w:rPr>
              <w:t xml:space="preserve">-20</w:t>
            </w:r>
            <w:r>
              <w:rPr>
                <w:rFonts w:hint="eastAsia" w:ascii="宋体" w:hAnsi="宋体" w:eastAsia="宋体" w:cs="宋体"/>
                <w:b w:val="0"/>
                <w:bCs w:val="0"/>
                <w:color w:val="auto"/>
                <w:sz w:val="18"/>
                <w:szCs w:val="18"/>
                <w:highlight w:val="none"/>
                <w:lang w:bidi="ar"/>
              </w:rPr>
              <w:t xml:space="preserve">℃</w:t>
            </w:r>
            <w:r>
              <w:rPr>
                <w:rFonts w:ascii="宋体" w:hAnsi="宋体" w:eastAsia="宋体" w:cs="宋体"/>
                <w:b w:val="0"/>
                <w:bCs w:val="0"/>
                <w:color w:val="auto"/>
                <w:sz w:val="18"/>
                <w:szCs w:val="18"/>
                <w:highlight w:val="none"/>
                <w:lang w:bidi="ar"/>
              </w:rPr>
              <w:t xml:space="preserve">~+55</w:t>
            </w:r>
            <w:r>
              <w:rPr>
                <w:rFonts w:hint="eastAsia" w:ascii="宋体" w:hAnsi="宋体" w:eastAsia="宋体" w:cs="宋体"/>
                <w:b w:val="0"/>
                <w:bCs w:val="0"/>
                <w:color w:val="auto"/>
                <w:sz w:val="18"/>
                <w:szCs w:val="18"/>
                <w:highlight w:val="none"/>
                <w:lang w:bidi="ar"/>
              </w:rPr>
              <w:t xml:space="preserve">℃</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使用湿度：≤</w:t>
            </w:r>
            <w:r>
              <w:rPr>
                <w:rFonts w:ascii="宋体" w:hAnsi="宋体" w:eastAsia="宋体" w:cs="宋体"/>
                <w:b w:val="0"/>
                <w:bCs w:val="0"/>
                <w:color w:val="auto"/>
                <w:sz w:val="18"/>
                <w:szCs w:val="18"/>
                <w:highlight w:val="none"/>
                <w:lang w:bidi="ar"/>
              </w:rPr>
              <w:t xml:space="preserve">95%</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输出端口：</w:t>
            </w:r>
            <w:r>
              <w:rPr>
                <w:rFonts w:ascii="宋体" w:hAnsi="宋体" w:eastAsia="宋体" w:cs="宋体"/>
                <w:b w:val="0"/>
                <w:bCs w:val="0"/>
                <w:color w:val="auto"/>
                <w:sz w:val="18"/>
                <w:szCs w:val="18"/>
                <w:highlight w:val="none"/>
                <w:lang w:bidi="ar"/>
              </w:rPr>
              <w:t xml:space="preserve">1</w:t>
            </w:r>
            <w:r>
              <w:rPr>
                <w:rFonts w:hint="eastAsia" w:ascii="宋体" w:hAnsi="宋体" w:eastAsia="宋体" w:cs="宋体"/>
                <w:b w:val="0"/>
                <w:bCs w:val="0"/>
                <w:color w:val="auto"/>
                <w:sz w:val="18"/>
                <w:szCs w:val="18"/>
                <w:highlight w:val="none"/>
                <w:lang w:bidi="ar"/>
              </w:rPr>
              <w:t xml:space="preserve">路总线</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开关信号输出</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报警输出：</w:t>
            </w:r>
            <w:r>
              <w:rPr>
                <w:rFonts w:ascii="宋体" w:hAnsi="宋体" w:eastAsia="宋体" w:cs="宋体"/>
                <w:b w:val="0"/>
                <w:bCs w:val="0"/>
                <w:color w:val="auto"/>
                <w:sz w:val="18"/>
                <w:szCs w:val="18"/>
                <w:highlight w:val="none"/>
                <w:lang w:bidi="ar"/>
              </w:rPr>
              <w:t xml:space="preserve">12V</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张力式单防区控制器（自动收紧）</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1.</w:t>
            </w:r>
            <w:r>
              <w:rPr>
                <w:rFonts w:hint="eastAsia" w:ascii="宋体" w:hAnsi="宋体" w:eastAsia="宋体" w:cs="宋体"/>
                <w:b w:val="0"/>
                <w:bCs w:val="0"/>
                <w:color w:val="auto"/>
                <w:sz w:val="18"/>
                <w:szCs w:val="18"/>
                <w:highlight w:val="none"/>
                <w:lang w:bidi="ar"/>
              </w:rPr>
              <w:t xml:space="preserve">张力控制器与传感器一体化设计，须自带自动收紧电机，方便安装、调试与售后；</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2.</w:t>
            </w:r>
            <w:r>
              <w:rPr>
                <w:rFonts w:hint="eastAsia" w:ascii="宋体" w:hAnsi="宋体" w:eastAsia="宋体" w:cs="宋体"/>
                <w:b w:val="0"/>
                <w:bCs w:val="0"/>
                <w:color w:val="auto"/>
                <w:sz w:val="18"/>
                <w:szCs w:val="18"/>
                <w:highlight w:val="none"/>
                <w:lang w:bidi="ar"/>
              </w:rPr>
              <w:t xml:space="preserve">可显示围栏线制、拉力值、报警阈值、报警状态（拉紧、松弛、断线报警）等信息；</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3.</w:t>
            </w:r>
            <w:r>
              <w:rPr>
                <w:rFonts w:hint="eastAsia" w:ascii="宋体" w:hAnsi="宋体" w:eastAsia="宋体" w:cs="宋体"/>
                <w:b w:val="0"/>
                <w:bCs w:val="0"/>
                <w:color w:val="auto"/>
                <w:sz w:val="18"/>
                <w:szCs w:val="18"/>
                <w:highlight w:val="none"/>
                <w:lang w:bidi="ar"/>
              </w:rPr>
              <w:t xml:space="preserve">拉紧、松弛、断线报警可精确定位到某根线；</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4.</w:t>
            </w:r>
            <w:r>
              <w:rPr>
                <w:rFonts w:hint="eastAsia" w:ascii="宋体" w:hAnsi="宋体" w:eastAsia="宋体" w:cs="宋体"/>
                <w:b w:val="0"/>
                <w:bCs w:val="0"/>
                <w:color w:val="auto"/>
                <w:sz w:val="18"/>
                <w:szCs w:val="18"/>
                <w:highlight w:val="none"/>
                <w:lang w:bidi="ar"/>
              </w:rPr>
              <w:t xml:space="preserve">可定时控制报警阈值和布</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撤防；</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5.</w:t>
            </w:r>
            <w:r>
              <w:rPr>
                <w:rFonts w:hint="eastAsia" w:ascii="宋体" w:hAnsi="宋体" w:eastAsia="宋体" w:cs="宋体"/>
                <w:b w:val="0"/>
                <w:bCs w:val="0"/>
                <w:color w:val="auto"/>
                <w:sz w:val="18"/>
                <w:szCs w:val="18"/>
                <w:highlight w:val="none"/>
                <w:lang w:bidi="ar"/>
              </w:rPr>
              <w:t xml:space="preserve">支持攀爬报警；</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6.</w:t>
            </w:r>
            <w:r>
              <w:rPr>
                <w:rFonts w:hint="eastAsia" w:ascii="宋体" w:hAnsi="宋体" w:eastAsia="宋体" w:cs="宋体"/>
                <w:b w:val="0"/>
                <w:bCs w:val="0"/>
                <w:color w:val="auto"/>
                <w:sz w:val="18"/>
                <w:szCs w:val="18"/>
                <w:highlight w:val="none"/>
                <w:lang w:bidi="ar"/>
              </w:rPr>
              <w:t xml:space="preserve">支持防拆、故障报警；</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7.</w:t>
            </w:r>
            <w:r>
              <w:rPr>
                <w:rFonts w:hint="eastAsia" w:ascii="宋体" w:hAnsi="宋体" w:eastAsia="宋体" w:cs="宋体"/>
                <w:b w:val="0"/>
                <w:bCs w:val="0"/>
                <w:color w:val="auto"/>
                <w:sz w:val="18"/>
                <w:szCs w:val="18"/>
                <w:highlight w:val="none"/>
                <w:lang w:bidi="ar"/>
              </w:rPr>
              <w:t xml:space="preserve">防区可设置</w:t>
            </w:r>
            <w:r>
              <w:rPr>
                <w:rFonts w:ascii="宋体" w:hAnsi="宋体" w:eastAsia="宋体" w:cs="宋体"/>
                <w:b w:val="0"/>
                <w:bCs w:val="0"/>
                <w:color w:val="auto"/>
                <w:sz w:val="18"/>
                <w:szCs w:val="18"/>
                <w:highlight w:val="none"/>
                <w:lang w:bidi="ar"/>
              </w:rPr>
              <w:t xml:space="preserve">24</w:t>
            </w:r>
            <w:r>
              <w:rPr>
                <w:rFonts w:hint="eastAsia" w:ascii="宋体" w:hAnsi="宋体" w:eastAsia="宋体" w:cs="宋体"/>
                <w:b w:val="0"/>
                <w:bCs w:val="0"/>
                <w:color w:val="auto"/>
                <w:sz w:val="18"/>
                <w:szCs w:val="18"/>
                <w:highlight w:val="none"/>
                <w:lang w:bidi="ar"/>
              </w:rPr>
              <w:t xml:space="preserve">小时禁止撤防模式；</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8.</w:t>
            </w:r>
            <w:r>
              <w:rPr>
                <w:rFonts w:hint="eastAsia" w:ascii="宋体" w:hAnsi="宋体" w:eastAsia="宋体" w:cs="宋体"/>
                <w:b w:val="0"/>
                <w:bCs w:val="0"/>
                <w:color w:val="auto"/>
                <w:sz w:val="18"/>
                <w:szCs w:val="18"/>
                <w:highlight w:val="none"/>
                <w:lang w:bidi="ar"/>
              </w:rPr>
              <w:t xml:space="preserve">支持</w:t>
            </w:r>
            <w:r>
              <w:rPr>
                <w:rFonts w:ascii="宋体" w:hAnsi="宋体" w:eastAsia="宋体" w:cs="宋体"/>
                <w:b w:val="0"/>
                <w:bCs w:val="0"/>
                <w:color w:val="auto"/>
                <w:sz w:val="18"/>
                <w:szCs w:val="18"/>
                <w:highlight w:val="none"/>
                <w:lang w:bidi="ar"/>
              </w:rPr>
              <w:t xml:space="preserve">DC12V</w:t>
            </w:r>
            <w:r>
              <w:rPr>
                <w:rFonts w:hint="eastAsia" w:ascii="宋体" w:hAnsi="宋体" w:eastAsia="宋体" w:cs="宋体"/>
                <w:b w:val="0"/>
                <w:bCs w:val="0"/>
                <w:color w:val="auto"/>
                <w:sz w:val="18"/>
                <w:szCs w:val="18"/>
                <w:highlight w:val="none"/>
                <w:lang w:bidi="ar"/>
              </w:rPr>
              <w:t xml:space="preserve">辅助电源输出接口，连接警灯时无需再增加辅助电源；</w:t>
            </w:r>
            <w:r/>
          </w:p>
          <w:p>
            <w:pPr>
              <w:jc w:val="both"/>
              <w:widowControl/>
              <w:rPr>
                <w:rFonts w:hint="eastAsia" w:ascii="宋体" w:hAnsi="宋体" w:eastAsia="宋体" w:cs="宋体"/>
                <w:b w:val="0"/>
                <w:bCs w:val="0"/>
                <w:color w:val="auto"/>
                <w:sz w:val="18"/>
                <w:szCs w:val="18"/>
                <w:highlight w:val="none"/>
                <w:lang w:bidi="ar"/>
              </w:rPr>
            </w:pPr>
            <w:r>
              <w:rPr>
                <w:rFonts w:ascii="宋体" w:hAnsi="宋体" w:eastAsia="宋体" w:cs="宋体"/>
                <w:b w:val="0"/>
                <w:bCs w:val="0"/>
                <w:color w:val="auto"/>
                <w:sz w:val="18"/>
                <w:szCs w:val="18"/>
                <w:highlight w:val="none"/>
                <w:lang w:bidi="ar"/>
              </w:rPr>
              <w:t xml:space="preserve">9.</w:t>
            </w:r>
            <w:r>
              <w:rPr>
                <w:rFonts w:hint="eastAsia" w:ascii="宋体" w:hAnsi="宋体" w:eastAsia="宋体" w:cs="宋体"/>
                <w:b w:val="0"/>
                <w:bCs w:val="0"/>
                <w:color w:val="auto"/>
                <w:sz w:val="18"/>
                <w:szCs w:val="18"/>
                <w:highlight w:val="none"/>
                <w:lang w:bidi="ar"/>
              </w:rPr>
              <w:t xml:space="preserve">可外接蓄电池或</w:t>
            </w:r>
            <w:r>
              <w:rPr>
                <w:rFonts w:ascii="宋体" w:hAnsi="宋体" w:eastAsia="宋体" w:cs="宋体"/>
                <w:b w:val="0"/>
                <w:bCs w:val="0"/>
                <w:color w:val="auto"/>
                <w:sz w:val="18"/>
                <w:szCs w:val="18"/>
                <w:highlight w:val="none"/>
                <w:lang w:bidi="ar"/>
              </w:rPr>
              <w:t xml:space="preserve">UPS</w:t>
            </w:r>
            <w:r>
              <w:rPr>
                <w:rFonts w:hint="eastAsia" w:ascii="宋体" w:hAnsi="宋体" w:eastAsia="宋体" w:cs="宋体"/>
                <w:b w:val="0"/>
                <w:bCs w:val="0"/>
                <w:color w:val="auto"/>
                <w:sz w:val="18"/>
                <w:szCs w:val="18"/>
                <w:highlight w:val="none"/>
                <w:lang w:bidi="ar"/>
              </w:rPr>
              <w:t xml:space="preserve">，系统断电可正常工作</w:t>
            </w:r>
            <w:r>
              <w:rPr>
                <w:rFonts w:ascii="宋体" w:hAnsi="宋体" w:eastAsia="宋体" w:cs="宋体"/>
                <w:b w:val="0"/>
                <w:bCs w:val="0"/>
                <w:color w:val="auto"/>
                <w:sz w:val="18"/>
                <w:szCs w:val="18"/>
                <w:highlight w:val="none"/>
                <w:lang w:bidi="ar"/>
              </w:rPr>
              <w:t xml:space="preserve">12</w:t>
            </w:r>
            <w:r>
              <w:rPr>
                <w:rFonts w:hint="eastAsia" w:ascii="宋体" w:hAnsi="宋体" w:eastAsia="宋体" w:cs="宋体"/>
                <w:b w:val="0"/>
                <w:bCs w:val="0"/>
                <w:color w:val="auto"/>
                <w:sz w:val="18"/>
                <w:szCs w:val="18"/>
                <w:highlight w:val="none"/>
                <w:lang w:bidi="ar"/>
              </w:rPr>
              <w:t xml:space="preserve">小时以上；</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w:t>
            </w:r>
            <w:r>
              <w:rPr>
                <w:rFonts w:ascii="宋体" w:hAnsi="宋体" w:eastAsia="宋体" w:cs="宋体"/>
                <w:b w:val="0"/>
                <w:bCs w:val="0"/>
                <w:color w:val="auto"/>
                <w:sz w:val="18"/>
                <w:szCs w:val="18"/>
                <w:highlight w:val="none"/>
                <w:lang w:bidi="ar"/>
              </w:rPr>
              <w:t xml:space="preserve">10.</w:t>
            </w:r>
            <w:r>
              <w:rPr>
                <w:rFonts w:hint="eastAsia" w:ascii="宋体" w:hAnsi="宋体" w:eastAsia="宋体" w:cs="宋体"/>
                <w:b w:val="0"/>
                <w:bCs w:val="0"/>
                <w:color w:val="auto"/>
                <w:sz w:val="18"/>
                <w:szCs w:val="18"/>
                <w:highlight w:val="none"/>
                <w:lang w:bidi="ar"/>
              </w:rPr>
              <w:t xml:space="preserve">自带收紧电机，应无需手动紧线，可控制电机自动调整张力线。可设置警戒张力值，由于环境、气候等变化导致张力值变化，电动电机自动收紧或放松张力线；</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输入电压：</w:t>
            </w:r>
            <w:r>
              <w:rPr>
                <w:rFonts w:ascii="宋体" w:hAnsi="宋体" w:eastAsia="宋体" w:cs="宋体"/>
                <w:b w:val="0"/>
                <w:bCs w:val="0"/>
                <w:color w:val="auto"/>
                <w:sz w:val="18"/>
                <w:szCs w:val="18"/>
                <w:highlight w:val="none"/>
                <w:lang w:bidi="ar"/>
              </w:rPr>
              <w:t xml:space="preserve">AC24V</w:t>
            </w:r>
            <w:r>
              <w:rPr>
                <w:rFonts w:hint="eastAsia" w:ascii="宋体" w:hAnsi="宋体" w:eastAsia="宋体" w:cs="宋体"/>
                <w:b w:val="0"/>
                <w:bCs w:val="0"/>
                <w:color w:val="auto"/>
                <w:sz w:val="18"/>
                <w:szCs w:val="18"/>
                <w:highlight w:val="none"/>
                <w:lang w:bidi="ar"/>
              </w:rPr>
              <w:t xml:space="preserve">或</w:t>
            </w:r>
            <w:r>
              <w:rPr>
                <w:rFonts w:ascii="宋体" w:hAnsi="宋体" w:eastAsia="宋体" w:cs="宋体"/>
                <w:b w:val="0"/>
                <w:bCs w:val="0"/>
                <w:color w:val="auto"/>
                <w:sz w:val="18"/>
                <w:szCs w:val="18"/>
                <w:highlight w:val="none"/>
                <w:lang w:bidi="ar"/>
              </w:rPr>
              <w:t xml:space="preserve">DC24V</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防区线制：</w:t>
            </w:r>
            <w:r>
              <w:rPr>
                <w:rFonts w:ascii="宋体" w:hAnsi="宋体" w:eastAsia="宋体" w:cs="宋体"/>
                <w:b w:val="0"/>
                <w:bCs w:val="0"/>
                <w:color w:val="auto"/>
                <w:sz w:val="18"/>
                <w:szCs w:val="18"/>
                <w:highlight w:val="none"/>
                <w:lang w:bidi="ar"/>
              </w:rPr>
              <w:t xml:space="preserve">6</w:t>
            </w:r>
            <w:r>
              <w:rPr>
                <w:rFonts w:hint="eastAsia" w:ascii="宋体" w:hAnsi="宋体" w:eastAsia="宋体" w:cs="宋体"/>
                <w:b w:val="0"/>
                <w:bCs w:val="0"/>
                <w:color w:val="auto"/>
                <w:sz w:val="18"/>
                <w:szCs w:val="18"/>
                <w:highlight w:val="none"/>
                <w:lang w:bidi="ar"/>
              </w:rPr>
              <w:t xml:space="preserve">线</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主机防区：单</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机箱材质：铝合金</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工作温度：</w:t>
            </w:r>
            <w:r>
              <w:rPr>
                <w:rFonts w:ascii="宋体" w:hAnsi="宋体" w:eastAsia="宋体" w:cs="宋体"/>
                <w:b w:val="0"/>
                <w:bCs w:val="0"/>
                <w:color w:val="auto"/>
                <w:sz w:val="18"/>
                <w:szCs w:val="18"/>
                <w:highlight w:val="none"/>
                <w:lang w:bidi="ar"/>
              </w:rPr>
              <w:t xml:space="preserve">-20</w:t>
            </w:r>
            <w:r>
              <w:rPr>
                <w:rFonts w:hint="eastAsia" w:ascii="宋体" w:hAnsi="宋体" w:eastAsia="宋体" w:cs="宋体"/>
                <w:b w:val="0"/>
                <w:bCs w:val="0"/>
                <w:color w:val="auto"/>
                <w:sz w:val="18"/>
                <w:szCs w:val="18"/>
                <w:highlight w:val="none"/>
                <w:lang w:bidi="ar"/>
              </w:rPr>
              <w:t xml:space="preserve">℃</w:t>
            </w:r>
            <w:r>
              <w:rPr>
                <w:rFonts w:ascii="宋体" w:hAnsi="宋体" w:eastAsia="宋体" w:cs="宋体"/>
                <w:b w:val="0"/>
                <w:bCs w:val="0"/>
                <w:color w:val="auto"/>
                <w:sz w:val="18"/>
                <w:szCs w:val="18"/>
                <w:highlight w:val="none"/>
                <w:lang w:bidi="ar"/>
              </w:rPr>
              <w:t xml:space="preserve">~+55</w:t>
            </w:r>
            <w:r>
              <w:rPr>
                <w:rFonts w:hint="eastAsia" w:ascii="宋体" w:hAnsi="宋体" w:eastAsia="宋体" w:cs="宋体"/>
                <w:b w:val="0"/>
                <w:bCs w:val="0"/>
                <w:color w:val="auto"/>
                <w:sz w:val="18"/>
                <w:szCs w:val="18"/>
                <w:highlight w:val="none"/>
                <w:lang w:bidi="ar"/>
              </w:rPr>
              <w:t xml:space="preserve">℃</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使用湿度：≤</w:t>
            </w:r>
            <w:r>
              <w:rPr>
                <w:rFonts w:ascii="宋体" w:hAnsi="宋体" w:eastAsia="宋体" w:cs="宋体"/>
                <w:b w:val="0"/>
                <w:bCs w:val="0"/>
                <w:color w:val="auto"/>
                <w:sz w:val="18"/>
                <w:szCs w:val="18"/>
                <w:highlight w:val="none"/>
                <w:lang w:bidi="ar"/>
              </w:rPr>
              <w:t xml:space="preserve">95%</w:t>
            </w:r>
            <w:r/>
          </w:p>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输出端口：</w:t>
            </w:r>
            <w:r>
              <w:rPr>
                <w:rFonts w:ascii="宋体" w:hAnsi="宋体" w:eastAsia="宋体" w:cs="宋体"/>
                <w:b w:val="0"/>
                <w:bCs w:val="0"/>
                <w:color w:val="auto"/>
                <w:sz w:val="18"/>
                <w:szCs w:val="18"/>
                <w:highlight w:val="none"/>
                <w:lang w:bidi="ar"/>
              </w:rPr>
              <w:t xml:space="preserve">1</w:t>
            </w:r>
            <w:r>
              <w:rPr>
                <w:rFonts w:hint="eastAsia" w:ascii="宋体" w:hAnsi="宋体" w:eastAsia="宋体" w:cs="宋体"/>
                <w:b w:val="0"/>
                <w:bCs w:val="0"/>
                <w:color w:val="auto"/>
                <w:sz w:val="18"/>
                <w:szCs w:val="18"/>
                <w:highlight w:val="none"/>
                <w:lang w:bidi="ar"/>
              </w:rPr>
              <w:t xml:space="preserve">路总线</w:t>
            </w:r>
            <w:r>
              <w:rPr>
                <w:rFonts w:ascii="宋体" w:hAnsi="宋体" w:eastAsia="宋体" w:cs="宋体"/>
                <w:b w:val="0"/>
                <w:bCs w:val="0"/>
                <w:color w:val="auto"/>
                <w:sz w:val="18"/>
                <w:szCs w:val="18"/>
                <w:highlight w:val="none"/>
                <w:lang w:bidi="ar"/>
              </w:rPr>
              <w:t xml:space="preserve">+</w:t>
            </w:r>
            <w:r>
              <w:rPr>
                <w:rFonts w:hint="eastAsia" w:ascii="宋体" w:hAnsi="宋体" w:eastAsia="宋体" w:cs="宋体"/>
                <w:b w:val="0"/>
                <w:bCs w:val="0"/>
                <w:color w:val="auto"/>
                <w:sz w:val="18"/>
                <w:szCs w:val="18"/>
                <w:highlight w:val="none"/>
                <w:lang w:bidi="ar"/>
              </w:rPr>
              <w:t xml:space="preserve">开关信号输出</w:t>
            </w:r>
            <w:r/>
          </w:p>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报警输出：</w:t>
            </w:r>
            <w:r>
              <w:rPr>
                <w:rFonts w:ascii="宋体" w:hAnsi="宋体" w:eastAsia="宋体" w:cs="宋体"/>
                <w:b w:val="0"/>
                <w:bCs w:val="0"/>
                <w:color w:val="auto"/>
                <w:sz w:val="18"/>
                <w:szCs w:val="18"/>
                <w:highlight w:val="none"/>
                <w:lang w:bidi="ar"/>
              </w:rPr>
              <w:t xml:space="preserve">12V</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张力终端受力杆（6线含全套配件）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铝合金材质，有防锈和耐腐蚀措施,方管，高度：1200mm±5%，壁厚≥4mm，张力围栏防区末端/起点 /转角承力、固定张力线、安装收紧器 / 弹簧，安装角度可调，带6个过线装置，含SUS304固定件、底座、不锈钢固定螺丝、螺母。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19</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张力式过线杆(6线含全套配件）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铝合金材质，高度：1200mm±5%，张力围栏中间支撑、过线、防下垂，不承力，仅托举张力线，安装角度可调，含SUS304固定件、底座、不锈钢固定螺丝、螺母，带6个过线装置。</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多股张力线（含配件）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优质不锈钢SUS316材质，有防锈和耐腐蚀措施，高于标准，小卷500米/卷，大卷1000米/卷，Φ1.2mm（符合国标）永不生锈。含转角用滑轮*60、不锈钢弹簧*66等组件。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1164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不锈钢收紧器</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不锈钢SUS304+精密单向组件，精密紧线，无极变速，解决紧线器倒转</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警示牌（精装）</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PVC材料，尺寸不小于220×120双面，字夜光型</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高压避雷器（含接地）</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复合材料，当感应雷电压超过额定值时，避雷器内部电阻变为零，直接把雷引入大地，更好地起到避雷作用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对射器（含支架）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光束：双光束，数字脉冲红外</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警戒距离：室外≥30m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工作电压：DC 10.5～28V（无极性）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感应速度：35～700msec（可调）</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光轴调整：水平 ±90°（共 180°）；垂直 ±8°（共 16°）</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报警输出：继电器 ≥1C 触点</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防拆输出：≥1B 触点</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防雷设计、自动增益、恶劣天气适应强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含2支 不锈钢T/L型≥30CM高支架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9</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光栅探测器</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光束数：6光束</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警戒距离：室外≥30m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工作电压：DC 9～30V（宽压）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工作电流：发射器≤80mA；接收器≤120mA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光源：940nm 红外，不可见光，抗白光干扰≥10000Lux</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报警输出：继电器常开 / 常闭（1C），触点容量 30V/0.5A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防拆：带防拆开关，NC 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响应时间：≤100ms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环境：-35℃～+70℃，湿度≤98% RH</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防护等级：≥IP66（防尘防水）</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材质：铝合金外壳 + PC 透镜，抗老化、防锈</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安装：墙面 / 立杆，水平 180° 可调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单防区地址模块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485总线报警系统扩展有线防区，接常开/常闭探测器（对射、光栅、张力、门磁等）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通讯方式：RS485 总线（A/B 差分，无极性）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工作电压：DC 12V（主机供电）</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工作电流：静态≤20mA；报警≤30mA</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防区输入：1路，支持常开NO/常闭NC（默认 NC，带断线 / 短路检测）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检线电阻：默认2.2kΩ（探测器端并联）</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地址设置：8位拨码开关，二进制编码，地址 1～254（0/255 无效）</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LED 指示：绿色（正常/通讯）、红色（防区报警/故障）</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室外警灯</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闪动次数 ≥120（次/分钟），额定电压 12/ 24/220（V）可选，  额定电流≥ 3（mA），功率 10W</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电子地图</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配合总线报警主机，实时显示各防区布撤防/报警/故障状态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工作电压：DC 12V</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通讯接口：RS485 总线（A/B，无极性）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显示方式：每防区1路双色 LED（红/绿）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绿色：正常/布防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红色：报警/短路/断路/防拆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响应时间：≤200ms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尺寸：1平方米±5%铝合金边框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亚克力面板</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电子地图联动模块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可接32路联动模拟电子地图，也可输出12V电压信号直接联动电子地图，是一块多功能的驱动模块，可以作为串口模块与电脑连接，也可作为打印机输出模块接微型打印机。</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视频联动模块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周界报警装置与视频监控系统联动模块，每个模块可供16路视频联动，极速弹屏。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配线</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1、名称：信号线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2、配线形式：管内穿线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3、规格：RVVP4×1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2、规格：pvc25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3、配置形式：明配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1、名称：配管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2、规格：pvc25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3、配置形式：暗配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绿化开挖及恢复</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约30*30cm,绿化开挖及恢复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电子围栏局部补足</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3米电子围栏立杆（含基础）</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方管：长：3m±5%、宽：70mm±5%、厚70mm±5%，壁厚≥3mm，底部法兰盘圆形：直径 Φ300～Φ400mm、厚 12mm，材质：钢质，整体热镀锌处理，黑色喷漆。基础：500*500*600，含地笼，混凝土浇注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车辆抓拍识别系统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抓拍显示一体机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LED抓拍显示一体机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高清晰：≥400万像素高清摄像机，最大分辨率可达2688*1520，帧率高达25fps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集成度高：集摄像机、显示屏、补光灯、镜头、喇叭功放于一体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支持LED显示屏</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内置高亮LED灯，白光/红外二合一，智能环保补光技术，满足不同场景需求</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支持电动变焦镜头，便于调试</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识别车牌种类多：支持识别符合GA 36《中华人民共和国机动车号牌》标准的车牌类型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支持中国大陆，中国香港，中国澳门车牌识别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支持车型识别，车标识别，车身颜色识别，子品牌检测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授权名单控制：支持授权名单的导入及对比，可直接联动道闸开闸，支持脱机运行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支持智能化视频检测抓拍，实现机动车精准抓拍识别，准确率99.9%以上</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支持跟车不落杆，实现快速通行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机箱表面采用抗紫外线静电喷塑工艺，不起皮，不褪色，防尘防水等级符合室外设备IP54级别要求</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支持玻璃加热功能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传感器类型：≥1/3" Progressive Scan CMOS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最低照度：彩色：≤0.04Lux @(F2.0, AGC ON)</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黑白：≤0.02Lux @(F2.0, AGC ON)</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快门：1/25秒至1/40,000秒</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镜头：3.1~6mm电动变焦镜头</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自动光圈：DC驱动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数字降噪：3D数字降噪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视频压缩标准：H.264/H.265/MJPEG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视频压缩码率：32 Kbps~16 Mbps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图像格式：JPEG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最大图像尺寸：2688 × 1520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帧率：25 fps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图像设置：饱和度，亮度，对比度，白平衡，增益，3D降噪通过软件可调；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通用功能：心跳，密码保护，NTP校时；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图片格式：采用JPEG编码，图片质量可设</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智能识别：车牌识别、车型识别、车标识别、车辆子品牌，车身颜色识别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补光灯控制：补光灯自动光控、时控可选；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通讯接口：≥1个RJ45 10M/100M 自适应以太网口，≥1个RS-232接口；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补光灯：内置9颗LED补光灯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外部接口：≥2路触发输入；≥2路继电器输出，支持道闸开、关、停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工作温度和湿度：-30℃~70℃，湿度小于90%(无凝结)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防护等级：IP54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分辨率：32 × 64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屏幕类型：LED</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亮度：最大1200cd/m²</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显示屏尺寸：不小于304 mm × 152 mm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车辆抓拍识别系统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识别管控主机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【显示一体机】【含键鼠】</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双千兆网卡，支持网络容错以及双网络IP设定、双网隔离等应用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支持大容量图片存储，可选配一块2.5寸机械硬盘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3.5mm标准音频孔设计，便于接入标准接口音频设备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发热量小，优良散热设计，可在-0℃~+40℃温度下运行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屏幕尺寸：≥21.5英寸，LCD显示器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分辨率：1080P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存储功能：≥128G SSD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音频输入：3.5MM标准输入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音频输出：3.5MM标准输出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报警输入：≥4路报警输入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报警输出：≥4路报警输出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RS232接口：≥2路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RS485接口：≥1路</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USB接口：≥4个USB接口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网络接口：≥1个外网千兆网口+5个内网百兆网口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CPU：性能不低于N5095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内存：≥4G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HDMI：≥1路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配件：标配鼠标键盘套装</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车辆抓拍识别系统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栅栏式自动道闸</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5米栅栏杆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采用一体化机芯，平行齿轮减速连杆传动，传动平稳、效率高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侧贴式安装，安装方便、结构紧凑</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齿轮碳钢材质，淬火处理工艺，抗磨损、抗冲击，寿命长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直流无刷电机、输出力矩大、体积小，噪音低，精确智能控制</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支持遇阻反弹，开优先保护功能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直流变频控制，快速抬杆慢速落杆，运行平稳</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事件日志记录、方便操作追踪</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支持红外，地感，雷达等多种防砸</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支持故障码数码管检测，日志记录、丰富状态指示，故障码数码管显示、问题定位快捷、方便维护</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手动开闸功能：停电时可转动手轮，使道闸保持开状态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栅栏杆最外支撑脚（带缓冲50CM可调）</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 RS485接口：支持远程运维【道闸，相机，雷达485连接】 ，MODBUS协议【三方控制道闸，协议资料下载内】</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杆子壁厚1.4mm,竖杆间隙300mm设计，减小横风阻力提升抗风力</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机箱壁厚1.5mm，配2根压条现场施工安装方便</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有效通行宽度：≥4630mm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开/关到位输出接口：各≥1组</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开/关/停控制信号接口：各≥1组</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红外/地感防砸信号接口：≥1组</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485控制接口：≥1组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防护等级：≥IP54</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工作电压：AC220V</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电机类型：直流无刷</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运行速度：抬杆：5s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落杆：5s  5.5s 6s（默认5s）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机箱材质：SECC</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车辆前排人员抓拍系统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车辆前排人员抓拍摄像机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出入口人脸抓拍单元、采用2/3英寸500万像素高帧率彩色全局曝光CMOS高清智能摄像机，最大分辨率可达2448×2048，帧率高达25帧。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多种触发模式：支持线圈触发、视频触发等多种触发模式；捕获率高，纯视频识别，纯视频抓拍时可捕获无车牌。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可同时支持控制爆闪灯和LED频闪灯同步补光。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支持车窗人脸检测。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深度学习智能识别，可以对车辆的车牌、车身颜色、车型、主品牌及子品牌等信息进行检测。</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支持10种车身颜色，8种车型，220种车标和3000种子品牌识别等车辆特征识别。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防跟车模式：对于连续过车的场景，可实现跟车不落杆，有效解决拥堵问题。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授权名单控制，可选配TF卡，支持授权名单的导入及对比，可直接联动道闸开闸，支持脱机运行。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传感器类型：≥2/3” Global shutter CMOS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视频编码格式：H.264/H265/MJPEG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图像格式：JPEG</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最大图像尺寸：2448(H)×2048(V)</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帧率：25fps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智能识别：支持车牌识别、车型识别、车标识别、车辆子品牌，车身颜色识别</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车牌识别种类：民用车牌，新能源车牌</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人脸检测：车窗人脸检测功能，支持主、副驾驶的人脸扣取和图片输出。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车型识别种类：支持客车，大货车，轿车，面包车，小货车，SUV/MPV，中型客车，皮卡等车型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通讯接口：≥2个100M/1000M 自适应RJ45 接口</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音频输入：≥1路音频输入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音频输出：≥1路音频输出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触发输出：≥2路IO输出；2路继电器输出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补光灯：支持闪光灯或LED 频闪灯同步补光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电源：100VAC～240VAC；频率：48Hz～52Hz</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工作环境温度：-30℃～+60℃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工作环境湿度：5%~95%@40℃，无凝结</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防护等级：≥IP65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车牌识别准确率：≥99%</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车辆前排人员抓拍系统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车内目标专用爆闪补光</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【车内目标专用爆闪补光】</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闪光能量：60J。</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色温：5600K。</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回电时间：＜500ms。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峰值闪光持续时间：＜0.1ms。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工作寿命：≥300万次。</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触发方式：电平，+5VDC。</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覆盖范围:3m～4m@10m处。</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有效补光距离:10m～16m。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电压:154VAC～265VAC；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频率:48Hz～52Hz。</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功耗:平均＜16W（@1闪/s）。</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工作环境温度:-20℃～60℃。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防护等级:IP65。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功能特性：白光闪光灯,覆盖1车道,220VAC,3m～4m@10m处,同时支持电平量或开关量触发</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车辆前排人员抓拍系统</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抓拍管控主机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bidi="ar"/>
              </w:rPr>
              <w:t xml:space="preserve">终端服务器</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支持4个IP摄像机（单路码率10M）的过车记录存储、图片存储、视频存储、数据上传、视频流转发</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可混合接入普通监控用摄像机、智慧监控摄像机、卡口电子警察抓拍机、网络球机等多种前端设备</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坚固紧凑无风扇设计，体积小巧，适合在路边机柜及抱杆机柜使用，单面接口设计，更便于施工操作</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最大支持4TB硬盘存储，图片与录像可设置配额</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Web操作，完善的SDK支持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触发输入：≥1个报警输入</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触发输出：≥1个报警输出</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支持GPS：不支持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支持4G：不支持</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接口数量：光纤接口数量≥2，硬盘盘位数量≥1，USB数量≥1，RJ45接口≥4个100M以太网接口，≥2个10/100/1000M自适应以太网接口，RS485接口≥1，RS232接口≥2 ，工作指示灯≥4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视频压缩标准：H.264;H.265</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通用功能：心跳,密码保护,NTP校时</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接入路数：≥4 </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工作温度：温度-30℃~70℃</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工作湿度：湿度5%~95%@40℃，无凝结</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gridSpan w:val="6"/>
            <w:tcBorders>
              <w:top w:val="single" w:color="000000" w:sz="4" w:space="0"/>
              <w:left w:val="single" w:color="000000" w:sz="4" w:space="0"/>
              <w:bottom w:val="single" w:color="000000" w:sz="4" w:space="0"/>
              <w:right w:val="single" w:color="000000" w:sz="4" w:space="0"/>
            </w:tcBorders>
            <w:tcW w:w="9638" w:type="dxa"/>
            <w:vAlign w:val="center"/>
            <w:textDirection w:val="lrTb"/>
            <w:noWrap/>
          </w:tcPr>
          <w:p>
            <w:pPr>
              <w:jc w:val="both"/>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软件部分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ind w:firstLine="361"/>
              <w:jc w:val="both"/>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数量</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视频监控接入模块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800路编码设备通过网络SDK协议、GB28181协议、ONVIF协议接入平台，实现视频预览、录像回放、视频上墙、视频事件监控服务能力，并且在网络带宽不足、有流量限制的网络环境下可以通过以图片替代视频的模式提供监控服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视频联网接入模块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支持平台域间视频联网，基于视频通用标准协议（GB/T28181-2011, GB/T28181-2016）与外域平台互联互通，实现平台视频资源点位推送等操作控制。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设备网络管理接入模块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支持≥800路接入平台的视频设备、门禁设备、梯控设备，可视对讲设备进行在线巡检，及时发现故障设备和掉线设备，使运维工作更加高效，便利。</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视频质量诊断接入模块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支持≥800路视频图像诊断和监测服务。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门禁管理接入模块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基础门禁管理，支持接入≥60路多种门禁设备，利用卡片、人脸、指纹介质，实现出入管控等智能应用，主要提供门禁权限管理、事件管理、门禁状态查看、门禁远程控制、人员出入记录实时展示、远程呼叫对讲等应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校门口考勤接入模块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支持对在规定时间内进出校门的学生进行考勤统计。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园区卡口接入模块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20路道路上行驶车辆的抓拍识别，包含车牌号码、车牌类型、车牌颜色、车辆类型、车辆颜色、车辆品牌等属性识别，并提供嫌疑车辆行驶轨迹信息。支持车辆超速、逆行、压线、违停等违规行为检测抓拍和违规数据统计。当车辆违规后，将违规信息发布至LED屏；违规次数超过阈值后在园区停车场出入口禁止通行并被挪动至“车辆违规管控”模块</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出入口车辆放行管理接入模块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接入不少于8路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宿管考勤接入模块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支持面向学院/年级、面向后勤楼栋/宿舍的权限管理。支持院系组织人员管理、宿舍楼管理、可入住房源管理、入住管理、入住实况、来访管理、考勤查询、违规通行查询等功能。支持不少于300间宿舍管理。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检索中心-人车融合检索接入模块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1、支持园区找人场景，基于智能视频设备、门禁设备等，以人员特征、以图搜图等方式找到目标，改善传统录像找目标效率低下的问题，提高人员检索效率。同时支持移动端检索、1V1比对等扩展功能。</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2、支持园区找车场景，基于智能视频设备、停车场、卡口等，以车牌查询、以图搜图等方式找到目标，改善传统录像找目标效率低下的问题，提高车辆检索效率。同时支持移动端检索。</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人员布控接入模块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人员布控应用以人脸识别技术为核心，通过前端视频和后端比对分析设备，对人脸进行抓拍、分析，实现人脸自动识别，提供人员布控服务能力。</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1、支持重点人员、陌生人、高频人员信息管理能力；</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2、支持重点人员识别计划、陌生人识别计划、高频人员识别计划管理能力，实现人员实时布控；</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3、支持重点人员、陌生人、高频人员识别记录管理及轨迹追踪能力"</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事件中心模块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提供系统报警事件接收、事件处理、事件联动、事件检索能力，提供场景化的事件联动应用（在“特定条件”下执行“特定动作”），报警事件产生时，可以通过多种方式、多种联动场景提醒安保人员，联动方式包含视频弹窗、视频上墙、录像联动、云台联动、短信联动、邮箱联动、IO联动、抓图联动、门禁反控联动等。一、事件联动管理1、支持事件联动规则配置管理，包括规则增删改查，支持自定义联动规则模板；2、支持事件规则计划模板，包括全天候模式、工作日模式、周末模式及自定义模式；3、支持多种报警事件配置联动，包括：视频</w:t>
            </w:r>
            <w:r>
              <w:rPr>
                <w:rFonts w:hint="eastAsia" w:ascii="宋体" w:hAnsi="宋体" w:eastAsia="宋体" w:cs="宋体"/>
                <w:b w:val="0"/>
                <w:bCs w:val="0"/>
                <w:color w:val="auto"/>
                <w:sz w:val="18"/>
                <w:szCs w:val="18"/>
                <w:highlight w:val="none"/>
                <w:lang w:bidi="ar"/>
              </w:rPr>
              <w:t xml:space="preserve">事件、入侵报警事件、IO事件、门禁事件、停车场事件、可视对讲事件、行车监控事件、梯控事件、动环事件、紧急报警事件、人脸事件、卡口事件、消防事件、测温事件等事件联动动作配置；4、提供7种高级联动规则模版配置，支持配置满足在指定时间段存在多个触发事件类型而联动多个并发动作的场景。二、事件检索管理1、支持报警事件自定义时间存储，最长支持36个月存储；2、支持多种维度检索报警事件，包括：区域、位置、事件源、事件等级、时间、状态等维度；3、支持事件详情查看，包括抓图、录像等；4、支持对报警事件进行标记、处理以及导出。</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访客登记接入模块</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访客管理提供访客预约、访客登记、人证比对、访客签离、访客权限管理、短信通知、来访记录查看等功能。针对不同的场景可自定义访客单内容、短信内容、访客信息字段等。</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数据对接</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18"/>
                <w:szCs w:val="18"/>
                <w:highlight w:val="none"/>
                <w:lang w:bidi="ar"/>
              </w:rPr>
              <w:t xml:space="preserve">含门禁管理、校门口考勤、宿管考勤、园区卡口、出入口车辆管理、人脸库、人员布控、事件中心、访客登记等数据对接，并与本部平台数据对接实时同步。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原有监控摄像机拆除、移位、安装调试</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both"/>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1、室外拆除95台摄像机：室外原有围墙43台警戒摄像机拆除，室外52台摄像机拆除（31台警戒摄像机，6台人脸抓拍摄像机，4台多目摄像机，4台半球红外摄像机，7台红外枪式摄像机），墙体小型壁挂支架、围墙 L 型支架合理分配安装（部分围墙L型支架底座需要墙体加固处理）。</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2、室内安装84台摄像机：73台警戒摄像机安装于地下停车场，1台警戒摄像机安装于综合楼，6台红外枪式摄像机分别安装于生活中心、5号楼、7号楼，4台红外半球摄像机安装于11号楼。</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3、本次拆装未继续使用的监控摄像机及相关设备，根据甲方要求放置合理区域保存。</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4、原有室外非工业级交换机更换为工业级交换机（甲方提供），安装并调试。</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5、本次移位室内安装管线敷设：室内六类非屏蔽网线（低烟无卤）13箱，室内2.5平方电源线（低烟无卤）500m，室内1平方电源线（低烟无卤）2750m，20优质PVC管3250m，六芯室外光缆500m。</w:t>
            </w:r>
            <w:r>
              <w:rPr>
                <w:rFonts w:hint="eastAsia" w:ascii="宋体" w:hAnsi="宋体" w:eastAsia="宋体" w:cs="宋体"/>
                <w:b w:val="0"/>
                <w:bCs w:val="0"/>
                <w:color w:val="auto"/>
                <w:sz w:val="18"/>
                <w:szCs w:val="18"/>
                <w:highlight w:val="none"/>
                <w:lang w:bidi="ar"/>
              </w:rPr>
              <w:br/>
            </w:r>
            <w:r>
              <w:rPr>
                <w:rFonts w:hint="eastAsia" w:ascii="宋体" w:hAnsi="宋体" w:eastAsia="宋体" w:cs="宋体"/>
                <w:b w:val="0"/>
                <w:bCs w:val="0"/>
                <w:color w:val="auto"/>
                <w:sz w:val="18"/>
                <w:szCs w:val="18"/>
                <w:highlight w:val="none"/>
                <w:lang w:bidi="ar"/>
              </w:rPr>
              <w:t xml:space="preserve">6、本次移位所需室内设备箱、交换机（甲方提供）、高强度墙装支架、移位摄像机安装调试，全部统一接入综合管理平台，实现所有点位视频资源集中调取、统一运维管理。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widowControl/>
              <w:rPr>
                <w:rFonts w:hint="eastAsia" w:ascii="宋体" w:hAnsi="宋体" w:eastAsia="宋体" w:cs="宋体"/>
                <w:b w:val="0"/>
                <w:bCs w:val="0"/>
                <w:color w:val="auto"/>
                <w:sz w:val="18"/>
                <w:szCs w:val="18"/>
                <w:highlight w:val="none"/>
                <w:lang w:bidi="ar"/>
              </w:rPr>
            </w:pPr>
            <w:r>
              <w:rPr>
                <w:rFonts w:hint="eastAsia" w:ascii="宋体" w:hAnsi="宋体" w:eastAsia="宋体" w:cs="宋体"/>
                <w:b w:val="0"/>
                <w:bCs w:val="0"/>
                <w:color w:val="auto"/>
                <w:sz w:val="18"/>
                <w:szCs w:val="18"/>
                <w:highlight w:val="none"/>
                <w:lang w:bidi="ar"/>
              </w:rPr>
              <w:t xml:space="preserve">1</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本项目核心产品：硬件部分：序号59项：张力式双防区控制器（自动收紧）；序号60项：张力式单防区控制器（自动收紧）。</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注：中标单位必须严格按照《苏州市智慧安防校园建设标准》三级标准进行施工建设，否则由此造成的后果由中标单位承担。</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（二）安装及调试要求：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1、安装说明：</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所有安装操作材料质量及项目质量必须严格按照国家规范及江苏省、苏州市相应地方规范、招标文件、材料厂家的技术规范的有关要求执行，如果在合同履行过程中有新的国家或行业（部）规范和标准出台的，则中标单位应确保该合同产品达到并符合新的国家或行业（部）规范和标准，因此而增加的费用及风险由中标单位自行承担。</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中标单位须在项目实施前把详细的项目实施方案报送采购人审批，经批准同意后方可以组织操作。在项目实施期间中标单位应遵守项目现场及采购人的各项规章制度，所有产品根据采购人要求安装到位。</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中标单位在项目实施期间应无条件的接受采购人的监督管理，提出的质量问题要及时整改，整改完毕后通知采购人检查验收，合格后书面报送采购人备案。</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中标单位须按照设计要求和技术标准施工，不得擅自修改设计，不得偷工减料。</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中标单位负责项目实施过程中的脚手架搭拆。</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 中标单位须建立健全质量检查制度，严格工序管理，隐蔽工程在隐蔽前应通知采购人检查验收，须采取切实有效的产品保护措施，并编制相应的产品保护方案报采购人批准同意后组织实施。</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保证投标文件所有材料的真实性及中标后所供产品的一致性。中标后，采购人有权对供货产品质量进行随机抽样检测，由此产生的所有费用由采购人承担，对产品进行合理的破坏性检测后中标单位须无偿补全该产品，如检测不合格，采购人有权要求整改到位，并不予结算相关费用或终止合同，相关损失和责任由中标供应商承担。</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本项目实施过程，根据项目需要，如需对原建筑或设施进行必要破拆的，须负责修复原样，相关费用由中标单位承担；如非操作需要对原建筑、设施或物品造成破坏，须照价赔偿，并根据情节严重程度，采购人有权通过法律途径追究中标单位的相关责任。在项目实施过程中的相关人员、财产的风险和责任均由中标单位承担，采购人概不负责。</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4、本次采购项目的产品质量、安装质量及与此相关的所有项目质量安全问题均由中标单位负责，如因上述原因造成的一切后果均由中标单位自行承担。</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5、供应商应针对本项目配置专业的安装实施技术人员，如有涉及专业资质要求的则须配置具有对应专业资质的人员负责，持证上岗。项目实施过程中的安全及环保责任问题一律由中标单位自行承担。</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6、中标单位应对安装施工质量、安全全面负责，如中标单位原因造成质量、安全事故、中标单位承担一切经济法律责任。</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7、中标单位必须定期参加现场会议，与买方讨论关于设施的所有问题，在每次会议上，中标单位应说明将来的工作计划、影响因素以及由于相邻的其他工作而使其工作延误的原因。</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8、中标单位须根据采购单位的项目进度、实施方案的要求，随时提供技术人员实施安装、调试等工作，并提供相关调试工具和材料。</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9、负责通过国家相关法定部门的验收及费用（如果有的话）。</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10、中标单位不得转包或分包。如发现有转包、违法分包现象或中标单位临时拼凑的工程队伍进行施工的情况，采购人有权立即终止合同， 由此造成的其他一切经济损失，由中标单位负责赔偿。</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11、中标单位在施工过程中，应遵守有关环境保护的法律，履行合同约定的环境保护义务，并对违反法律和合同约定义务所造成的环境破坏、人身伤害和财产损失负责。</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中标单位应按照有关规定和施工环保措施计划有序地堆放和处理施工废弃物，避免对环境造成破坏。因中标单位任意堆放或弃置施工废弃物造成妨碍公共交通、影响采购人正常办公秩序、危及民众安全、破坏周边环境，或者影响其他中标单位施工等后果的，中标单位应承担责任。</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13、中标单位应按照文明施工的要求，应加强对噪声、粉尘、废气、废水和废油的控制，努力降低噪声，控制粉尘和废气浓度，做好废水和废油的治理和排放，负责施工场地清洁卫生工作。</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14、中标单位应负责施工场地清洁卫生工作。</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采购单位保留在投标方中标后，委托第三方对中标设备进行测试、检验、以及对项目实施后验收的权利，在验收或使用过程中如发现不能满足招标文件中要求的性能指标或投标文件中响应的性能指标，经第三方验证确实，采购单位有权要求中标单位无条件退货，并依据合同进行相关处罚。</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16、供应商根据按照招标要求提供的技术响应表格式对技术指标逐条进行应答，性能要求达到具体数值的条款中必须明确列出具体数值。所提供的产 品资料说明可以证明应答参数的真实性。供应商和应标产品厂商共同对所有技术应答负责，一经查实有虚假响应招标要求的情况，视为不实质性响应招标文件，并参照《中华人民共和国政府采购法》第七十七条之规定进行处理。</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（三）设备交付、验收</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1、交货及安装</w:t>
      </w:r>
      <w:r>
        <w:rPr>
          <w:rFonts w:hint="eastAsia" w:ascii="宋体" w:hAnsi="宋体" w:eastAsia="宋体" w:cs="宋体"/>
          <w:color w:val="auto"/>
          <w:sz w:val="24"/>
          <w:szCs w:val="24"/>
          <w:highlight w:val="none"/>
          <w:lang w:val="zh-CN"/>
        </w:rPr>
        <w:t xml:space="preserve">期限：</w:t>
      </w:r>
      <w:r>
        <w:rPr>
          <w:rFonts w:hint="eastAsia" w:ascii="宋体" w:hAnsi="宋体" w:eastAsia="宋体" w:cs="宋体"/>
          <w:color w:val="auto"/>
          <w:sz w:val="24"/>
          <w:szCs w:val="24"/>
          <w:highlight w:val="none"/>
        </w:rPr>
        <w:t xml:space="preserve">合同签订后一个月内交货并完成安装调试。</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2、交货</w:t>
      </w:r>
      <w:r>
        <w:rPr>
          <w:rFonts w:hint="eastAsia" w:ascii="宋体" w:hAnsi="宋体" w:eastAsia="宋体" w:cs="宋体"/>
          <w:color w:val="auto"/>
          <w:sz w:val="24"/>
          <w:szCs w:val="24"/>
          <w:highlight w:val="none"/>
          <w:lang w:val="zh-CN"/>
        </w:rPr>
        <w:t xml:space="preserve">地点：</w:t>
      </w:r>
      <w:r>
        <w:rPr>
          <w:rFonts w:hint="eastAsia" w:ascii="宋体" w:hAnsi="宋体" w:eastAsia="宋体" w:cs="宋体"/>
          <w:bCs/>
          <w:color w:val="auto"/>
          <w:sz w:val="24"/>
          <w:szCs w:val="24"/>
          <w:highlight w:val="none"/>
        </w:rPr>
        <w:t xml:space="preserve">江苏省苏州中学校（采购人指定地址）</w:t>
      </w:r>
      <w:r>
        <w:rPr>
          <w:rFonts w:hint="eastAsia" w:ascii="宋体" w:hAnsi="宋体" w:eastAsia="宋体" w:cs="宋体"/>
          <w:bCs/>
          <w:color w:val="auto"/>
          <w:sz w:val="24"/>
          <w:szCs w:val="24"/>
          <w:highlight w:val="none"/>
          <w:lang w:val="zh-CN"/>
        </w:rPr>
        <w:t xml:space="preserve">。</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3、设备的到货、安装：</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（1）所供设备在现场进行到货验收时,由中标单位负责，采购单位派员参加,如发现问题应及时处理直至使采购单位满意,其中费用由中标单位支付、设备的存放点由采购单位提供、中标单位负责保管。</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（2）中标单位负责保管、看护进场的设备及附配件；</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（3）中标单位应对设备、安装设备（工具）等提供适当的保护、包装或覆盖等处理，以免受损；</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（4）中标单位承担安装调试期间安装场所的安全以及设备和安装调试人员的安全责任；</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4、调试、质量保证：</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（1）需要制定服务计划的，中标单位要制订计划并将服务计划送采购单位确认；具体服务内容按照经确认的计划进行；</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（2）技术服务工程师到达用户现场后，向采购单位提交本次技术服务内容清单，交用户确认；</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（3）安装调试过程中形成的服务记录须提交采购单位签字确认；</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（4）中标单位质检部门应不定期对技术服务工程师的服务水平、服务态度和服务效果及采购单位满意度进行调查，以便及时发现服务过程中存在的问题并及时解决；</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5、验收标准：</w:t>
      </w:r>
      <w:r>
        <w:rPr>
          <w:rFonts w:hint="eastAsia" w:ascii="宋体" w:hAnsi="宋体" w:eastAsia="宋体" w:cs="宋体"/>
          <w:bCs/>
          <w:color w:val="auto"/>
          <w:sz w:val="24"/>
          <w:szCs w:val="24"/>
          <w:highlight w:val="none"/>
        </w:rPr>
        <w:t xml:space="preserve">供应商应需在投标文件中提供一份验收大纲，在采购单位确认后作为验收的依据。满足招标文件、国标或行业标准，对于设备材料需达到国标或行业标准中一等品的技术标准。交付验收标准依次序对照适用标准为：①符合中华人民共和国国家安全质量标准、环保标准或行业标准；②符合招标文件和响应承诺中采购人认可的合理最佳配置、参数及各项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6、验收方法：</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（1）中标单位供货安装完成后，采购人有权邀请相关管理部门等进行验收。</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单位须保证项目中所使用的材料、提供的设备为优质产品并完全符合国家质量检验标准。验收时采用的检验方法将按照制造厂商生产的产品验收标准和中华人民共和国有关标准以及招标文件规定的技术要求进行验收。</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单位提供的材料、设备全部或部分到货后，采购人有权从每种产品中随机选定一两件产品，由质量技术监督部门进行检验，各项指标必须符合现行国家和行业标准、招标文件规定及投标文件的承诺。检验相关全部费用（含运费、检验费等）完全由中标单位承担。若检验结果不合格，则采购人有权按招标文件相关条款处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7、售后服务</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（1）本项目免费质保期：产品安装调试完毕验收合格之日起计算，免费质保期不低于2年。</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（2）质保期内提供免费维修、保养、非人为原因损坏更换服务，乙方保证接到故障电话后能保证</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小时内到现场，</w:t>
      </w: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小时内完成采购方提出维修要求，如在</w:t>
      </w: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小时内不能解决问题，应免费用同样品牌、规格或更高的部件更换到位，更换设备或送修，必须在</w:t>
      </w:r>
      <w:r>
        <w:rPr>
          <w:rFonts w:ascii="宋体" w:hAnsi="宋体" w:eastAsia="宋体" w:cs="宋体"/>
          <w:bCs/>
          <w:color w:val="auto"/>
          <w:sz w:val="24"/>
          <w:szCs w:val="24"/>
          <w:highlight w:val="none"/>
        </w:rPr>
        <w:t xml:space="preserve">48</w:t>
      </w:r>
      <w:r>
        <w:rPr>
          <w:rFonts w:hint="eastAsia" w:ascii="宋体" w:hAnsi="宋体" w:eastAsia="宋体" w:cs="宋体"/>
          <w:bCs/>
          <w:color w:val="auto"/>
          <w:sz w:val="24"/>
          <w:szCs w:val="24"/>
          <w:highlight w:val="none"/>
        </w:rPr>
        <w:t xml:space="preserve">小时内负责解决，且更换维修期间须提供备用设备以保证系统的正常运行。</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（3）备品备件：</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A、中标单位应充分保证备件供应。</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B、中标单位应针对产品的隐患准备备件，并立即进行更换。</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C、中标单位应严格遵守服务合约的目标在最短时间内恢复正常运行。</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D、更换的备件的型号和规格应与被更换的完全一样，更换下的备件应退还中标单位。</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8、其他要求：</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（1）供应商必须满足所有要求，有义务保证所投产品的完整性，部分连接运行配件未在招标书中明示的，供应商应在投标时予以补充。</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承诺在投标文件中说明的所投产品的参数指标、产品资料、按照招标文件要求提供的服务承诺及实施方案等是真实的，投标文件中承诺，一旦由专家或者采购人或者产品到货后或者使用中发现参数指标、产品资料、服务承诺等与投标文件说明不符，采购单位有权上报相关部门进行审核，并依据相关法律进行处理。</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（3）供应商必须承诺如果因为供应商自身的原因造成所招产品不能按时上线或产品安装进度拖延，采购人有权对供应商进行索赔，因此发生的费用无条件由供应商支付。</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（4）培训要求</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所有设备安装完成后，中标单位应负责对采购人进行不少于3个工作日的日常使用方面的培训，培训对象主要包括系统管理员及使用人员。项目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pStyle w:val="1026"/>
        <w:ind w:firstLine="480"/>
        <w:spacing w:line="360" w:lineRule="auto"/>
        <w:rPr>
          <w:rStyle w:val="995"/>
          <w:rFonts w:hint="eastAsia" w:ascii="宋体" w:hAnsi="宋体" w:eastAsia="宋体" w:cs="宋体"/>
          <w:bCs/>
          <w:color w:val="auto"/>
          <w:sz w:val="24"/>
          <w:szCs w:val="24"/>
          <w:highlight w:val="none"/>
        </w:rPr>
      </w:pPr>
      <w:r>
        <w:rPr>
          <w:rStyle w:val="995"/>
          <w:rFonts w:hint="eastAsia" w:ascii="宋体" w:hAnsi="宋体" w:eastAsia="宋体" w:cs="宋体"/>
          <w:bCs/>
          <w:color w:val="auto"/>
          <w:sz w:val="24"/>
          <w:szCs w:val="24"/>
          <w:highlight w:val="none"/>
        </w:rPr>
        <w:t xml:space="preserve">（5）现场踏勘：</w:t>
      </w:r>
      <w:r/>
    </w:p>
    <w:p>
      <w:pPr>
        <w:pStyle w:val="1026"/>
        <w:ind w:firstLine="480"/>
        <w:spacing w:line="360" w:lineRule="auto"/>
        <w:rPr>
          <w:rStyle w:val="995"/>
          <w:rFonts w:hint="eastAsia" w:ascii="宋体" w:hAnsi="宋体" w:eastAsia="宋体" w:cs="宋体"/>
          <w:color w:val="auto"/>
          <w:sz w:val="24"/>
          <w:szCs w:val="24"/>
          <w:highlight w:val="none"/>
        </w:rPr>
      </w:pPr>
      <w:r>
        <w:rPr>
          <w:rStyle w:val="995"/>
          <w:rFonts w:hint="eastAsia" w:ascii="宋体" w:hAnsi="宋体" w:eastAsia="宋体" w:cs="宋体"/>
          <w:color w:val="auto"/>
          <w:sz w:val="24"/>
          <w:szCs w:val="24"/>
          <w:highlight w:val="none"/>
        </w:rPr>
        <w:t xml:space="preserve">为便于投标人实地了解项目现场情况，采购人将组织统一现场踏勘，具体信息如下：</w:t>
      </w:r>
      <w:r/>
    </w:p>
    <w:p>
      <w:pPr>
        <w:pStyle w:val="1026"/>
        <w:ind w:firstLine="480"/>
        <w:spacing w:line="360" w:lineRule="auto"/>
        <w:rPr>
          <w:rStyle w:val="995"/>
          <w:rFonts w:hint="eastAsia" w:ascii="宋体" w:hAnsi="宋体" w:eastAsia="宋体" w:cs="宋体"/>
          <w:color w:val="auto"/>
          <w:sz w:val="24"/>
          <w:szCs w:val="24"/>
          <w:highlight w:val="none"/>
        </w:rPr>
      </w:pPr>
      <w:r>
        <w:rPr>
          <w:rStyle w:val="995"/>
          <w:rFonts w:hint="eastAsia" w:ascii="宋体" w:hAnsi="宋体" w:eastAsia="宋体" w:cs="宋体"/>
          <w:color w:val="auto"/>
          <w:sz w:val="24"/>
          <w:szCs w:val="24"/>
          <w:highlight w:val="none"/>
        </w:rPr>
        <w:t xml:space="preserve">现场踏勘集合时间：2026年</w:t>
      </w:r>
      <w:r>
        <w:rPr>
          <w:rStyle w:val="995"/>
          <w:rFonts w:hint="eastAsia" w:ascii="宋体" w:hAnsi="宋体" w:eastAsia="宋体" w:cs="宋体"/>
          <w:color w:val="auto"/>
          <w:sz w:val="24"/>
          <w:szCs w:val="24"/>
          <w:highlight w:val="none"/>
          <w:lang w:val="en-US" w:eastAsia="zh-CN"/>
        </w:rPr>
        <w:t xml:space="preserve">9</w:t>
      </w:r>
      <w:r>
        <w:rPr>
          <w:rStyle w:val="995"/>
          <w:rFonts w:hint="eastAsia" w:ascii="宋体" w:hAnsi="宋体" w:eastAsia="宋体" w:cs="宋体"/>
          <w:color w:val="auto"/>
          <w:sz w:val="24"/>
          <w:szCs w:val="24"/>
          <w:highlight w:val="none"/>
        </w:rPr>
        <w:t xml:space="preserve">月</w:t>
      </w:r>
      <w:r>
        <w:rPr>
          <w:rStyle w:val="995"/>
          <w:rFonts w:hint="eastAsia" w:ascii="宋体" w:hAnsi="宋体" w:eastAsia="宋体" w:cs="宋体"/>
          <w:color w:val="auto"/>
          <w:sz w:val="24"/>
          <w:szCs w:val="24"/>
          <w:highlight w:val="none"/>
          <w:lang w:val="en-US" w:eastAsia="zh-CN"/>
        </w:rPr>
        <w:t xml:space="preserve">17</w:t>
      </w:r>
      <w:r>
        <w:rPr>
          <w:rStyle w:val="995"/>
          <w:rFonts w:hint="eastAsia" w:ascii="宋体" w:hAnsi="宋体" w:eastAsia="宋体" w:cs="宋体"/>
          <w:color w:val="auto"/>
          <w:sz w:val="24"/>
          <w:szCs w:val="24"/>
          <w:highlight w:val="none"/>
        </w:rPr>
        <w:t xml:space="preserve">日9点30分，过期过时不候。   </w:t>
      </w:r>
      <w:r/>
    </w:p>
    <w:p>
      <w:pPr>
        <w:pStyle w:val="1026"/>
        <w:ind w:firstLine="480"/>
        <w:spacing w:line="360" w:lineRule="auto"/>
        <w:rPr>
          <w:rStyle w:val="995"/>
          <w:rFonts w:hint="eastAsia" w:ascii="宋体" w:hAnsi="宋体" w:eastAsia="宋体" w:cs="宋体"/>
          <w:color w:val="auto"/>
          <w:sz w:val="24"/>
          <w:szCs w:val="24"/>
          <w:highlight w:val="none"/>
        </w:rPr>
      </w:pPr>
      <w:r>
        <w:rPr>
          <w:rStyle w:val="995"/>
          <w:rFonts w:hint="eastAsia" w:ascii="宋体" w:hAnsi="宋体" w:eastAsia="宋体" w:cs="宋体"/>
          <w:color w:val="auto"/>
          <w:sz w:val="24"/>
          <w:szCs w:val="24"/>
          <w:highlight w:val="none"/>
        </w:rPr>
        <w:t xml:space="preserve">现场踏勘集合地点：苏州市人民路699号。 </w:t>
      </w:r>
      <w:r/>
    </w:p>
    <w:p>
      <w:pPr>
        <w:pStyle w:val="1026"/>
        <w:ind w:firstLine="480"/>
        <w:spacing w:line="360" w:lineRule="auto"/>
        <w:rPr>
          <w:rStyle w:val="995"/>
          <w:rFonts w:hint="eastAsia" w:ascii="宋体" w:hAnsi="宋体" w:eastAsia="宋体" w:cs="宋体"/>
          <w:color w:val="auto"/>
          <w:sz w:val="24"/>
          <w:szCs w:val="24"/>
          <w:highlight w:val="none"/>
        </w:rPr>
      </w:pPr>
      <w:r>
        <w:rPr>
          <w:rStyle w:val="995"/>
          <w:rFonts w:hint="eastAsia" w:ascii="宋体" w:hAnsi="宋体" w:eastAsia="宋体" w:cs="宋体"/>
          <w:color w:val="auto"/>
          <w:sz w:val="24"/>
          <w:szCs w:val="24"/>
          <w:highlight w:val="none"/>
        </w:rPr>
        <w:t xml:space="preserve">现场勘查联系方式：</w:t>
      </w:r>
      <w:r/>
    </w:p>
    <w:p>
      <w:pPr>
        <w:pStyle w:val="1026"/>
        <w:ind w:firstLine="480"/>
        <w:spacing w:line="360" w:lineRule="auto"/>
        <w:rPr>
          <w:rStyle w:val="995"/>
          <w:rFonts w:hint="eastAsia" w:ascii="宋体" w:hAnsi="宋体" w:eastAsia="宋体" w:cs="宋体"/>
          <w:color w:val="auto"/>
          <w:sz w:val="24"/>
          <w:szCs w:val="24"/>
          <w:highlight w:val="none"/>
        </w:rPr>
      </w:pPr>
      <w:r>
        <w:rPr>
          <w:rStyle w:val="995"/>
          <w:rFonts w:hint="eastAsia" w:ascii="宋体" w:hAnsi="宋体" w:eastAsia="宋体" w:cs="宋体"/>
          <w:color w:val="auto"/>
          <w:sz w:val="24"/>
          <w:szCs w:val="24"/>
          <w:highlight w:val="none"/>
        </w:rPr>
        <w:t xml:space="preserve">采购人：张静，0512-65199627。</w:t>
      </w:r>
      <w:r/>
    </w:p>
    <w:p>
      <w:pPr>
        <w:pStyle w:val="1026"/>
        <w:ind w:firstLine="480"/>
        <w:spacing w:line="360" w:lineRule="auto"/>
        <w:rPr>
          <w:rFonts w:hint="eastAsia" w:ascii="宋体" w:hAnsi="宋体" w:eastAsia="宋体" w:cs="宋体"/>
          <w:bCs/>
          <w:color w:val="auto"/>
          <w:sz w:val="24"/>
          <w:highlight w:val="none"/>
        </w:rPr>
      </w:pPr>
      <w:r>
        <w:rPr>
          <w:rStyle w:val="995"/>
          <w:rFonts w:hint="eastAsia" w:ascii="宋体" w:hAnsi="宋体" w:eastAsia="宋体" w:cs="宋体"/>
          <w:color w:val="auto"/>
          <w:sz w:val="24"/>
          <w:szCs w:val="24"/>
          <w:highlight w:val="none"/>
        </w:rPr>
        <w:t xml:space="preserve">注：现场踏勘不要求投标人提供任何单位或个人的相关信息，投标人须在现场踏勘集合时间截止前到达现场踏勘集合地点，逾时不候，且不再重新组织现场踏勘。投标人应充分重视和仔细地进行现场踏勘，并对经现场踏勘得出的任何推论、理解和结论自行负责。投标人须承担参加现场踏勘的所有费用，并同时承担在现场勘查期间由于投标人行为所造成的人身伤害、财产损失或损坏，以及其他任何原因造成的损失、损坏或费用，投标人不得因此使采购人承担有关的责任和蒙受损失。</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三、其他说明</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2、投标人应针对本项目制定全面具体的培训方案，包括培训内容、时间、地点、人次、安装维护、调试、配置及使用技能、业务人员培训、应用操作及使用等。</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3、投标人应针对本项目制定全面具体的售后服务方案，包括售后服务人员、服务机制、响应时间、故障解决等内容。</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4、投标人应针对本项目制定全面具体服务体系，需体现投标人服务体系的完备性、技术力量储备等内容。</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5、投标人应配备专业的团队负责本项目，包括项目负责人1名，技术负责人1名，其他专业人员不少于3名。</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四、绿色采购</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1、采购人本次采购产品均不属于《节能产品政府采购品目清单》范围内的强制采购节能产品。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采购人本次采购产品均不属于《节能产品政府采购品目清单》范围内实施优先采购的产品。</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2、采购人本次采购产品均不属于《环境标志产品政府采购品目清单》范围内的产品。</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五、综合说明及要求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招标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2、中标人</w:t>
      </w:r>
      <w:r>
        <w:rPr>
          <w:rFonts w:hint="eastAsia" w:ascii="宋体" w:hAnsi="宋体" w:eastAsia="宋体" w:cs="宋体"/>
          <w:color w:val="auto"/>
          <w:sz w:val="24"/>
          <w:szCs w:val="24"/>
          <w:highlight w:val="none"/>
          <w:lang w:val="zh-CN"/>
        </w:rPr>
        <w:t xml:space="preserve">必须对所提供货物和服务等知识产权方面的一切产权关系负全部责任，由此而引起的法律纠纷以及费用由中标人全部承担。</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交钥匙项目，中标单位的投标报价包含了采购单位现有场地条件下，进行中标设备的安装调试达到可使用状态，并验收合格前的所有费用。中标后须按采购人要求进行安装，因场外可能的变化而引起的数量变化，以实际安装数量进行结算，变化部分的价格按中标价执行，因此而引起辅材数量有变动的，也可按实际使用数量结算，但增加的金额不得超过本招标文件的相关规定。</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4、投标文件中应明确所投产品的型号、规格及一些必须说明的技术参数，以及设备配置清单，同时明确生产厂家、型号规格等，并提供详细的技术参数及性能说明书。</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要求中若涉及品牌型号的仅作参考，供应商可自行提供满足招标技术要求的产品进行投标。供应商必须承诺招标文件中提出的全部技术规格与要求，如果以其中某些条款不响应时，应在文件中逐条列出，未列出的视同响应招标文件要求。供应商提供的材料如有虚假，视为不实质性响应招标文件要求，已中标的取消其中标资格，并参照《中华人民共和国政府采购法》第七十七条“提供虚假材料谋取中标 ”相关处理办法处理。</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6、若招标文件中的采购清单和技术要求与图纸资料不一致时，以招标文件为准。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应严格履行招标文件中规定的每一项要求，严格履行合同的责任和义务，保证按期、按质履行合同，完成合同内容所规定的全部工作，如果对其中某些条款不响应时，应在投标文件中逐条列出，未列出的视同响应。</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8、凡涉及招标文件的补充说明和修改，均以苏州市政府采购网上公示信息为准。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0"/>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360" w:lineRule="auto"/>
        <w:tabs>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合同主要条款</w:t>
      </w:r>
      <w:bookmarkEnd w:id="1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江苏省苏州中学校东校区二期安防</w:t>
      </w:r>
      <w:r>
        <w:rPr>
          <w:rFonts w:hint="eastAsia" w:ascii="宋体" w:hAnsi="宋体" w:eastAsia="宋体" w:cs="宋体"/>
          <w:color w:val="auto"/>
          <w:sz w:val="24"/>
          <w:szCs w:val="24"/>
          <w:highlight w:val="none"/>
        </w:rPr>
        <w:t xml:space="preserve">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JSZC-320500-SZZJ-G2026-0029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甲方（项目采购人）：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eastAsia="zh-CN"/>
        </w:rPr>
        <w:t xml:space="preserve">江苏省苏州中学校东校区二期安防</w:t>
      </w:r>
      <w:r>
        <w:rPr>
          <w:rFonts w:hint="eastAsia" w:ascii="宋体" w:hAnsi="宋体" w:eastAsia="宋体" w:cs="宋体"/>
          <w:color w:val="auto"/>
          <w:sz w:val="24"/>
          <w:szCs w:val="24"/>
          <w:highlight w:val="none"/>
        </w:rPr>
        <w:t xml:space="preserve">项目经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一、定义：以下术语有特定的含义：</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合同价是指根据中标的投标文件和合同规定，乙方在正确地履行合同义务后甲方应支付给乙方的价款。</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甲方是指合同中明确规定的实际购买货物和接受服务的单位。</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乙方是指合同中规定的提供货物和提供服务的单位。</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0"/>
          <w:numId w:val="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三、合同总价款：大写人民币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对于甲方在招标文件中所要求的及乙方在投标文件和合同中所承诺提供的功能，乙方应无条件提供，由于设计及其他原因所造成的额外费用由乙方自行承担。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四、交货地点、时间、方式：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1.交货地点：乙方交货至甲方指定地点，所发生的运输等费用及货物的损坏造成的损失由乙方承担。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2.交货时间：合同签订后一个月内交货。本项目经甲方验收合格后，乙方将提供贰年质量保证期。质量保证期内，乙方负责对其提供的货物实行免费维修。 </w:t>
      </w:r>
      <w:r>
        <w:rPr>
          <w:rFonts w:ascii="宋体" w:hAnsi="宋体" w:eastAsia="宋体" w:cs="宋体"/>
          <w:color w:val="auto"/>
          <w:sz w:val="24"/>
          <w:szCs w:val="24"/>
          <w:highlight w:val="none"/>
        </w:rPr>
        <w:t xml:space="preserve">因甲方原因、政府管控、不可抗力导致</w:t>
      </w:r>
      <w:r>
        <w:rPr>
          <w:rFonts w:hint="eastAsia" w:ascii="宋体" w:hAnsi="宋体" w:eastAsia="宋体" w:cs="宋体"/>
          <w:color w:val="auto"/>
          <w:sz w:val="24"/>
          <w:szCs w:val="24"/>
          <w:highlight w:val="none"/>
        </w:rPr>
        <w:t xml:space="preserve">交货时间</w:t>
      </w:r>
      <w:r>
        <w:rPr>
          <w:rFonts w:ascii="宋体" w:hAnsi="宋体" w:eastAsia="宋体" w:cs="宋体"/>
          <w:color w:val="auto"/>
          <w:sz w:val="24"/>
          <w:szCs w:val="24"/>
          <w:highlight w:val="none"/>
        </w:rPr>
        <w:t xml:space="preserve">延误的，乙方可</w:t>
      </w:r>
      <w:r>
        <w:rPr>
          <w:rFonts w:hint="eastAsia" w:ascii="宋体" w:hAnsi="宋体" w:eastAsia="宋体" w:cs="宋体"/>
          <w:color w:val="auto"/>
          <w:sz w:val="24"/>
          <w:szCs w:val="24"/>
          <w:highlight w:val="none"/>
        </w:rPr>
        <w:t xml:space="preserve">在前述交货时间届满前</w:t>
      </w:r>
      <w:r>
        <w:rPr>
          <w:rFonts w:ascii="宋体" w:hAnsi="宋体" w:eastAsia="宋体" w:cs="宋体"/>
          <w:color w:val="auto"/>
          <w:sz w:val="24"/>
          <w:szCs w:val="24"/>
          <w:highlight w:val="none"/>
        </w:rPr>
        <w:t xml:space="preserve">书面申请顺延</w:t>
      </w:r>
      <w:r>
        <w:rPr>
          <w:rFonts w:hint="eastAsia" w:ascii="宋体" w:hAnsi="宋体" w:eastAsia="宋体" w:cs="宋体"/>
          <w:color w:val="auto"/>
          <w:sz w:val="24"/>
          <w:szCs w:val="24"/>
          <w:highlight w:val="none"/>
        </w:rPr>
        <w:t xml:space="preserve">交货时间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双方协商确定顺延交货时间。</w:t>
      </w:r>
      <w:r>
        <w:rPr>
          <w:rFonts w:ascii="宋体" w:hAnsi="宋体" w:eastAsia="宋体" w:cs="宋体"/>
          <w:color w:val="auto"/>
          <w:sz w:val="24"/>
          <w:szCs w:val="24"/>
          <w:highlight w:val="none"/>
        </w:rPr>
        <w:t xml:space="preserve">顺延期间不计入交货期限，乙方不承担误期赔偿责任。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3.交货方式：乙方负责将货物安全完好运抵交货地点、安装调试并保证验收合格。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（1）合同签订后，安装完毕，公安验收合格后十五个工作日内支付合同金额的95%，免费质保期满后十五个工作日内付清剩余合同金额的5%。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（2）乙方提请甲方付款前，应提供以下资料：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A、甲方签收的送货回单。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B、合格销售发票。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C、由甲乙双方签章的《苏州市政府采购合同履行验收报告》。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支付方式：银行转账。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乙方账户信息如下：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上述信息为乙方指定的接受甲方付款的账户信息。如乙方银行账户或付款方式需变更，乙方应于付款期限届满前10个工作日内书面通知甲方，否则产生的一切责任、因变更引起的额外费用由乙方承担</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六、验收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1.乙方提交的货物由甲方负责验收。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根据合同的规定接收货物，在接收时对货物的品种、规格、性能、质量、数量、外观以及配件等进行验收。甲方对货物的规格技术指标如有异议，应从验收之日起30个工作日内以书面形式提出。逾期未提出异议的，视为货物已验收合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七、保修期：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本项目经甲方验收合格后，乙方将提供</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年质量保证期。质量保证期内，乙方负责对其提供的货物实行免费维修。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八、伴随服务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1.乙方应提供所交付货物的全套技术文件资料，包括产品目录、软件备份、图纸、操作手册、使用说明、维护手册和服务指南等。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2.乙方还应提供下列服务：货物的现场安装、启动和试运行；提供货物组装和维修所需的工具；在质量保证期内对所交付货物提供运行监督、维修、保养等。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3.上述伴随服务的费用应包含在合同价中，不单独进行支付。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4.货物的包装、储运、安装按国家有关规定执行。</w:t>
      </w:r>
      <w:r/>
    </w:p>
    <w:p>
      <w:pPr>
        <w:pStyle w:val="105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九、履约保证金</w:t>
      </w:r>
      <w:r/>
    </w:p>
    <w:p>
      <w:pPr>
        <w:pStyle w:val="105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w:t>
      </w:r>
      <w:r>
        <w:rPr>
          <w:rFonts w:ascii="Wingdings 2" w:hAnsi="Wingdings 2" w:eastAsia="Wingdings 2" w:cs="Wingdings 2"/>
          <w:color w:val="auto"/>
          <w:sz w:val="24"/>
          <w:szCs w:val="24"/>
          <w:highlight w:val="none"/>
        </w:rPr>
        <w:t xml:space="preserve">£</w:t>
      </w:r>
      <w:r>
        <w:rPr>
          <w:rFonts w:hint="eastAsia" w:ascii="宋体" w:hAnsi="宋体"/>
          <w:color w:val="auto"/>
          <w:sz w:val="24"/>
          <w:szCs w:val="24"/>
          <w:highlight w:val="none"/>
        </w:rPr>
        <w:t xml:space="preserve">不要求提交履约保证金</w:t>
      </w:r>
      <w:r/>
    </w:p>
    <w:p>
      <w:pPr>
        <w:pStyle w:val="1057"/>
        <w:ind w:firstLine="480"/>
        <w:spacing w:line="360" w:lineRule="auto"/>
        <w:rPr>
          <w:rFonts w:hint="eastAsia" w:ascii="宋体" w:hAnsi="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olor w:val="auto"/>
          <w:sz w:val="24"/>
          <w:szCs w:val="24"/>
          <w:highlight w:val="none"/>
        </w:rPr>
        <w:t xml:space="preserve">要求提交履约保证金，金额：合同金额的10%，要求如下：</w:t>
      </w:r>
      <w:r/>
    </w:p>
    <w:p>
      <w:pPr>
        <w:pStyle w:val="105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1、在签订合同前，</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单位应当以支票、汇票、本票或者金融机构、担保机构出具的保函等非现金形式提交。联合体</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的，其履约保证金以联合体各方或者联合体中牵头人的名义提交。履约保证金的数额不超过合同金额的10%。</w:t>
      </w:r>
      <w:r/>
    </w:p>
    <w:p>
      <w:pPr>
        <w:pStyle w:val="105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2、中标单位无故拖延或拒不提交履约保证金的，视为拒绝与采购人签订合同。</w:t>
      </w:r>
      <w:r/>
    </w:p>
    <w:p>
      <w:pPr>
        <w:pStyle w:val="105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3、履约保证金将在</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供应商合同履行完毕且验收合格后，采购人在五个工作日内退返</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供应商。</w:t>
      </w:r>
      <w:r/>
    </w:p>
    <w:p>
      <w:pPr>
        <w:pStyle w:val="105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4、履约保证金（无息）在服务期满且服务缺陷更正，并配合甲方和新中标单位办理移交手续后退还。如乙方对服务缺陷不予更正，甲方有权另请其他单位更正，所发生的费用在履约保证金中扣除。</w:t>
      </w:r>
      <w:r/>
    </w:p>
    <w:p>
      <w:pPr>
        <w:pStyle w:val="1057"/>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520"/>
        <w:spacing w:line="360" w:lineRule="auto"/>
        <w:rPr>
          <w:rFonts w:hint="eastAsia" w:ascii="宋体" w:hAnsi="宋体" w:eastAsia="宋体" w:cs="宋体"/>
          <w:bCs/>
          <w:color w:val="auto"/>
          <w:sz w:val="24"/>
          <w:szCs w:val="24"/>
          <w:highlight w:val="none"/>
        </w:rPr>
      </w:pPr>
      <w:r>
        <w:rPr>
          <w:rFonts w:hint="eastAsia" w:eastAsia="宋体"/>
          <w:bCs/>
          <w:color w:val="auto"/>
          <w:highlight w:val="none"/>
        </w:rPr>
        <w:t xml:space="preserve">十</w:t>
      </w:r>
      <w:r>
        <w:rPr>
          <w:rFonts w:hint="eastAsia" w:ascii="宋体" w:hAnsi="宋体" w:eastAsia="宋体" w:cs="宋体"/>
          <w:bCs/>
          <w:color w:val="auto"/>
          <w:sz w:val="24"/>
          <w:szCs w:val="24"/>
          <w:highlight w:val="none"/>
        </w:rPr>
        <w:t xml:space="preserve">、质量保证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1.乙方应保证所提供的货物是原制造厂商制造的、经过合法销售渠道取得的、全新的、未使用过的，并完全符合合同规定的品牌、规格型号、技术性能、配置、质量、数量等要求。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十一、索赔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1.甲方有权根据当地国家技术监督局、进出口商品检验局或其他具有法定资格的质检机构出具的检验证书向乙方提出索赔。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.乙方在收到索赔通知后可以与甲方协商，双方共同委托具有法定资格的质检机构检测，依据检测结论确认责任。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3.如果乙方对缺陷负有责任而甲方提出索赔，乙方应按照甲方同意的下列一种或多种方式解决索赔事宜：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（2）根据货物低劣、损坏程度以及甲方所遭受损失的金额，经双方商定降低货物的价格。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在乙方收到索赔通知后十五天内乙方未作答复，上述索赔应视为已被乙方接受。如乙方未能在接到甲方索赔通知后十五天内或甲方同意的延长期限内，按照上述规定的任何一种或多种方式解决索赔事宜并征得甲方同意，甲方有权从应付货款中扣回索赔金额，并拥有对赔偿不足部分进一步索赔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十二、履约延误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1.乙方应按照合同规定的时间、地点交货和提供服务；甲方应按照合同规定的时间、地点接收货物和接受服务。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2.如果乙方无正当理由拖延交货，将受到以下制裁：加收误期赔偿费、赔偿甲方因乙方拖延交货造成的损失；如果甲方无正当理由拖延接收货物和接受服务，应承担相应责任。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四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2.误期赔偿费可从应付货款中扣除。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3.收取误期赔偿费不影响甲方采取合同规定的其他补救措施的权利。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延期交货时间超过十五天或交货不符合合同约定满三次的，视为乙方严重违约，甲方有权立即解除合同，乙方仍需向甲方支付全部误期赔偿费，误期赔偿费不足以赔偿甲方因乙方违约造成的损失的，乙方仍需赔偿相应损失。</w:t>
      </w:r>
      <w:r>
        <w:rPr>
          <w:rFonts w:ascii="宋体" w:hAnsi="宋体" w:eastAsia="宋体" w:cs="宋体"/>
          <w:color w:val="auto"/>
          <w:sz w:val="24"/>
          <w:szCs w:val="24"/>
          <w:highlight w:val="none"/>
        </w:rPr>
        <w:t xml:space="preserve">合同解除后，对于乙方已完成供货、安装、调试且验收合格的部分，甲方应据实结算对应款项，乙方仅就未履约部分承担返还及违约责任。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5.质保服务期间内，乙方对甲方提出的服务要求未及时响应的，甲方向乙方寄送书面催告函，明确重申约定：</w:t>
      </w:r>
      <w:r>
        <w:rPr>
          <w:rFonts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rPr>
        <w:t xml:space="preserve">小时到场、</w:t>
      </w:r>
      <w:r>
        <w:rPr>
          <w:rFonts w:ascii="宋体" w:hAnsi="宋体" w:eastAsia="宋体" w:cs="宋体"/>
          <w:color w:val="auto"/>
          <w:sz w:val="24"/>
          <w:szCs w:val="24"/>
          <w:highlight w:val="none"/>
        </w:rPr>
        <w:t xml:space="preserve">48 </w:t>
      </w:r>
      <w:r>
        <w:rPr>
          <w:rFonts w:hint="eastAsia" w:ascii="宋体" w:hAnsi="宋体" w:eastAsia="宋体" w:cs="宋体"/>
          <w:color w:val="auto"/>
          <w:sz w:val="24"/>
          <w:szCs w:val="24"/>
          <w:highlight w:val="none"/>
        </w:rPr>
        <w:t xml:space="preserve">小时办结维修更换、维修期提供备用机，限定限期完成维修，写明逾期将启动扣款、第三方代修、索赔等措施，抄送招标代理机构；政府采购项目可同步抄送属地财政采购监管部门。乙方逾期拒不配合时，甲方可直接委托第三方进场维修、采购备用设备，产生的工时、配件、备用设备租赁采购等全部费用，优先从质保金</w:t>
      </w:r>
      <w:r>
        <w:rPr>
          <w:rFonts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rPr>
        <w:t xml:space="preserve">履约保证金</w:t>
      </w:r>
      <w:r>
        <w:rPr>
          <w:rFonts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rPr>
        <w:t xml:space="preserve">未结尾款抵扣，抵扣不足的部分继续向乙方追偿。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十五、争端的解决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十六、违约终止合同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1.在甲方因乙方违约而按合同约定采取的任何补救措施不受影响的情况下，甲方可在下列情况下向乙方发出书面通知，要求乙方在合理期限内予以整改，</w:t>
      </w:r>
      <w:r>
        <w:rPr>
          <w:rFonts w:ascii="宋体" w:hAnsi="宋体" w:eastAsia="宋体" w:cs="宋体"/>
          <w:color w:val="auto"/>
          <w:sz w:val="24"/>
          <w:szCs w:val="24"/>
          <w:highlight w:val="none"/>
        </w:rPr>
        <w:t xml:space="preserve">乙方逾期仍未整改的，甲方可</w:t>
      </w:r>
      <w:r>
        <w:rPr>
          <w:rFonts w:hint="eastAsia" w:ascii="宋体" w:hAnsi="宋体" w:eastAsia="宋体" w:cs="宋体"/>
          <w:color w:val="auto"/>
          <w:sz w:val="24"/>
          <w:szCs w:val="24"/>
          <w:highlight w:val="none"/>
        </w:rPr>
        <w:t xml:space="preserve">提出终止部分或全部合同。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（1）如果乙方未能在合同规定的限期或甲方同意延长的限期内提供部分或全部货物和服务。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（2）如果乙方未能履行合同规定的其它任何义务。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十七、破产终止合同：如果乙方破产或丧失清偿能力，甲方可在任何时候以书面形式通知乙方终止合同而不给乙方补偿。该终止合同将不损害或影响甲方已经采取或将要采取任何补救措施的权力。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十八、</w:t>
      </w:r>
      <w:r>
        <w:rPr>
          <w:rFonts w:hint="eastAsia" w:ascii="宋体" w:hAnsi="宋体" w:eastAsia="宋体" w:cs="宋体"/>
          <w:color w:val="auto"/>
          <w:sz w:val="24"/>
          <w:szCs w:val="24"/>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十九、合同转让和分包：</w:t>
      </w:r>
      <w:r>
        <w:rPr>
          <w:rFonts w:ascii="宋体" w:hAnsi="宋体" w:eastAsia="宋体" w:cs="宋体"/>
          <w:color w:val="auto"/>
          <w:sz w:val="24"/>
          <w:szCs w:val="24"/>
          <w:highlight w:val="none"/>
        </w:rPr>
        <w:t xml:space="preserve">本项目禁止整体转包、主体工作分包；乙方如需将非主体、非关键性辅助工作分包给具备资质的第三方，应提前将分包单位资质、分包内容书面报甲方审核同意，分包后乙方仍对全部合同义务承担</w:t>
      </w:r>
      <w:r>
        <w:rPr>
          <w:rFonts w:hint="eastAsia" w:ascii="宋体" w:hAnsi="宋体" w:eastAsia="宋体" w:cs="宋体"/>
          <w:color w:val="auto"/>
          <w:sz w:val="24"/>
          <w:szCs w:val="24"/>
          <w:highlight w:val="none"/>
        </w:rPr>
        <w:t xml:space="preserve">责任</w:t>
      </w:r>
      <w:r>
        <w:rPr>
          <w:rFonts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二十、需要补充的合同条款：（根据评标过程中或者商务谈判时商定的条款和条件在订立合同时标明）。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二十一、合同生效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2.本合同系指本文件及其附件中的所有部分，招标文件、中标的投标文件、中标通知书、中标人在招标过程中的澄清和承诺等为本合同不可缺少的组成部分。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olor w:val="auto"/>
          <w:sz w:val="24"/>
          <w:szCs w:val="24"/>
          <w:highlight w:val="none"/>
        </w:rPr>
        <w:t xml:space="preserve">本合同壹式肆份，甲乙双方各执壹份，招标代理机构贰份，具有同等法律效力</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本合同未尽事宜应按照《中华人民共和国民法典》、《中华人民共和国政府采购法》之规定解释。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名称(公章)：                          名称(公章)：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法定代表人/负责人：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或授权代理人                          或授权代理人：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jc w:val="center"/>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评分方法和评分标准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一、评分方法：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组织以抽签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二、评分标准：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总分值为100分，评审因素及各比重如下：价格分值占总分值的比重为30％（权重），技术及其他分值占总分值的比重为70％（权重）。</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（一）价格分（30分）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第一步：投标报价不高于采购预算的为有效报价，超出此范围的投标报价为无效报价，其投标文件不予评审，也不得标。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第二步：以满足采购文件实质性要求且投标价格最低的投标有效报价为评标基准价，其价格分为满分，即3</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投标报价得分＝（基准报价/投标报价）×30％×100</w:t>
      </w:r>
      <w:r/>
    </w:p>
    <w:p>
      <w:pPr>
        <w:ind w:firstLine="482"/>
        <w:jc w:val="lef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（二）产品技术参数符合性（16分）</w:t>
      </w:r>
      <w:r/>
    </w:p>
    <w:p>
      <w:pPr>
        <w:ind w:firstLine="480"/>
        <w:jc w:val="left"/>
        <w:spacing w:line="360" w:lineRule="auto"/>
        <w:rPr>
          <w:rFonts w:hint="eastAsia" w:ascii="宋体" w:hAnsi="宋体" w:eastAsia="宋体" w:cs="宋体"/>
          <w:color w:val="auto"/>
          <w:sz w:val="24"/>
          <w:szCs w:val="24"/>
          <w:highlight w:val="none"/>
          <w:lang w:val="zh-CN"/>
        </w:rPr>
      </w:pPr>
      <w:r/>
      <w:bookmarkStart w:id="16" w:name="_Hlk51619939"/>
      <w:r>
        <w:rPr>
          <w:rFonts w:hint="eastAsia" w:ascii="宋体" w:hAnsi="宋体" w:eastAsia="宋体" w:cs="宋体"/>
          <w:color w:val="auto"/>
          <w:sz w:val="24"/>
          <w:szCs w:val="24"/>
          <w:highlight w:val="none"/>
        </w:rPr>
        <w:t xml:space="preserve">A、标的物清单</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中标注“▲”项为实质性响应要求，不得偏离。</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val="zh-CN"/>
        </w:rPr>
        <w:t xml:space="preserve">投标单位所投产品的技术参数满足或高于招标文件中所有技术指标要求的得最高分</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中标注“★”其他技术参数，</w:t>
      </w:r>
      <w:r>
        <w:rPr>
          <w:rFonts w:hint="eastAsia" w:ascii="宋体" w:hAnsi="宋体" w:eastAsia="宋体" w:cs="宋体"/>
          <w:color w:val="auto"/>
          <w:sz w:val="24"/>
          <w:szCs w:val="24"/>
          <w:highlight w:val="none"/>
          <w:lang w:val="zh-CN"/>
        </w:rPr>
        <w:t xml:space="preserve">如有负偏离的，每负偏离</w:t>
      </w:r>
      <w:r>
        <w:rPr>
          <w:rFonts w:hint="eastAsia" w:ascii="宋体" w:hAnsi="宋体" w:eastAsia="宋体" w:cs="宋体"/>
          <w:color w:val="auto"/>
          <w:sz w:val="24"/>
          <w:szCs w:val="24"/>
          <w:highlight w:val="none"/>
        </w:rPr>
        <w:t xml:space="preserve">一项在最高分基础上</w:t>
      </w:r>
      <w:r>
        <w:rPr>
          <w:rFonts w:hint="eastAsia" w:ascii="宋体" w:hAnsi="宋体" w:eastAsia="宋体" w:cs="宋体"/>
          <w:color w:val="auto"/>
          <w:sz w:val="24"/>
          <w:szCs w:val="24"/>
          <w:highlight w:val="none"/>
          <w:lang w:val="zh-CN"/>
        </w:rPr>
        <w:t xml:space="preserve">扣</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其他未有标注的技术参数，</w:t>
      </w:r>
      <w:r>
        <w:rPr>
          <w:rFonts w:hint="eastAsia" w:ascii="宋体" w:hAnsi="宋体" w:eastAsia="宋体" w:cs="宋体"/>
          <w:color w:val="auto"/>
          <w:sz w:val="24"/>
          <w:szCs w:val="24"/>
          <w:highlight w:val="none"/>
          <w:lang w:val="zh-CN"/>
        </w:rPr>
        <w:t xml:space="preserve">每负偏离</w:t>
      </w:r>
      <w:r>
        <w:rPr>
          <w:rFonts w:hint="eastAsia" w:ascii="宋体" w:hAnsi="宋体" w:eastAsia="宋体" w:cs="宋体"/>
          <w:color w:val="auto"/>
          <w:sz w:val="24"/>
          <w:szCs w:val="24"/>
          <w:highlight w:val="none"/>
        </w:rPr>
        <w:t xml:space="preserve">一项在最高分基础上</w:t>
      </w:r>
      <w:r>
        <w:rPr>
          <w:rFonts w:hint="eastAsia" w:ascii="宋体" w:hAnsi="宋体" w:eastAsia="宋体" w:cs="宋体"/>
          <w:color w:val="auto"/>
          <w:sz w:val="24"/>
          <w:szCs w:val="24"/>
          <w:highlight w:val="none"/>
          <w:lang w:val="zh-CN"/>
        </w:rPr>
        <w:t xml:space="preserve">扣</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val="zh-CN"/>
        </w:rPr>
        <w:t xml:space="preserve">。</w:t>
      </w:r>
      <w:bookmarkEnd w:id="16"/>
      <w:r/>
      <w:r/>
    </w:p>
    <w:p>
      <w:pPr>
        <w:ind w:firstLine="480"/>
        <w:jc w:val="left"/>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注：标准“★”技术条款，投标文件中必须提供具有检验检测资质的检测单位出具的可清晰辨识的检验（检测）报告复印件或投标产品生产制造商盖章确认的技术参数证明材料，否则不予认可，对应项不得分。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C、人脸分析主机（库）功能演示：</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分，功能全部演示的得</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分，无演示或者演示功能不符合要求的不得分，扣完为止。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）设备支持以文搜图功能，可通过文字语义描述，快速检索目标对象或内容；并可基于以文搜图快速检索的结果，对目标进行图搜的二次精准检索定位。（</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设备支持独立的智能以文搜图应用模块，应用内置以文搜图高频热词，如：人的上衣颜色、下装颜色、随身物品、性别；车的颜色、类型、品牌；其他的抽烟、打电话、玩手机等，支持用户选择高频词后，设备可自动填充描述成句。（</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rPr>
          <w:rFonts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热感应摄像机火点检测能力：</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分，功能全部演示的得</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分，无演示或者演示功能不符合要求的不得分，扣完为止。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支持火点检测功能：设备支持深度学习算法，可以利用图像</w:t>
      </w:r>
      <w:r>
        <w:rPr>
          <w:rFonts w:ascii="宋体" w:hAnsi="宋体" w:eastAsia="宋体" w:cs="宋体"/>
          <w:color w:val="auto"/>
          <w:sz w:val="24"/>
          <w:szCs w:val="24"/>
          <w:highlight w:val="none"/>
        </w:rPr>
        <w:t xml:space="preserve">AI</w:t>
      </w:r>
      <w:r>
        <w:rPr>
          <w:rFonts w:hint="eastAsia" w:ascii="宋体" w:hAnsi="宋体" w:eastAsia="宋体" w:cs="宋体"/>
          <w:color w:val="auto"/>
          <w:sz w:val="24"/>
          <w:szCs w:val="24"/>
          <w:highlight w:val="none"/>
        </w:rPr>
        <w:t xml:space="preserve">识别，并且可以通过温度进行复核（视频画面叠加温度），探测精准火点，发现火情后可联动平台进行视频弹窗。（</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（注：1.供应商根据采购文件要求进行演示，演示时间不超过5分钟。 2.供应商需在“苏采云系统”上传电子档演示文件，单个视频附件压缩包大小不得超过50M，整体附件压缩包不得超过300M，视频文件格式建议采用MP4、MKV、MOV、AVI格式。 3.演示内容确保真实且作为项目履约验收的重要参考依据。因供应商上传文件本身损坏等自身原因导致演示资料无法正常读取的视为无效演示，本项不得分，由供应商自行承担责任。）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（三）供货、调试、验收方案（25分）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（1）对本项目的分析概述（5分）：对本项目内容理解完整、准确的得5分；对本项目内容理解完整，但不够准确的得3分；对本项目内容不太理解、不太准确的得1分。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（2）具体安装调试方案（5分）：调试方案内容精细、详尽，可操作性强得5分；调试方案内容完整，但不够详尽，操作性较强得3分；内容简单，操作性一般得1分。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（3）安装进度（5分）：进度安排紧凑、先进可行得5分；进度安排较为合理的得3分；进度安排可行性操作性一般的得1分。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文明安全生产施工措施（5分）：安全文明施工措施内容详尽、与项目切合度高，科学合理，操作性强得5分；安全文明施工措施内容完整，与本项目切合度较高，较为科学合理得3分；安全文明施工措施内容简单，操作性一般的得1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（5）施工、安装应急方案（5分）：针对本项目的施工、安装应急方案与项目切合度高，内容详尽、精细，操作性强得5分；与项目切合度较高，内容完整的，操作性较强得3分；内容简单，操作性一般的得1分。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（四）投标单位对本项目实施的重点难点说明（10分）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（1）重点说明（5分）：针对本项目的实施重点，阐述精确，分析精准得5分；对本项目实施重点，关键点切合略有偏差，不够详尽的得3分；对本项目实施重点不太理解的得1分。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（2）难点说明（5分）：难点分析精确，符合项目特征，应对措施先进可行得5分；难点分析较为完整，应对措施较为可行的得3分；对本项目难点分析梳理不清或没有可行应对措施的得1分。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（五）售后服务（10分）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服务方式、响应时间、零配件供应等承诺酌情评定：服务方式先进可行，响应时间最快，零配件供应充足的得5分；服务方式较为可行，响应时间稍快的，零配件供应较为有保障得3分；服务方式能内容较差或无具体描述的本项不得分。（5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（2）对采购方人员的培训计划，内容先进合理，操作性强得5分；内容较为合理，操作性一般得3分；内容差或无具体描述，本项不得分。（5分）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（六）对投标单位服务能力的评价（9分）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（1）投标单位具有与本项目相关（智慧监控运行管理系统类）软件著作权证书的得3分。（3分）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（2）投标单位2023年1月1日以来（以合同签订时间为准）具有类似项目业绩，有一份得1分，最高6分。（投标响应文件中提供完整合同复印件及其任意一期发票复印件，否则不予得分）。（6分）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评审说明：其他评审未尽事宜由评审委员会根据有关规定讨论决定。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三、政府采购政策：</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color w:val="auto"/>
          <w:sz w:val="24"/>
          <w:szCs w:val="24"/>
          <w:highlight w:val="none"/>
          <w:u w:val="single"/>
        </w:rPr>
        <w:t xml:space="preserve">工业。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67"/>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6、实施本国产品标准及相关政策：</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（5）供应商需按照采购文件的要求提供《关于符合本国产品标准的声明函》（以下简称《声明函》）或财政部会同有关部门规定的有关证明文件的，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eastAsia="宋体" w:cs="宋体"/>
          <w:b/>
          <w:color w:val="auto"/>
          <w:sz w:val="24"/>
          <w:szCs w:val="24"/>
          <w:highlight w:val="none"/>
        </w:rPr>
        <w:t xml:space="preserve">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ambria Math">
    <w:panose1 w:val="02040503050406030204"/>
  </w:font>
  <w:font w:name="方正魏碑_GBK">
    <w:panose1 w:val="020B0503020202020204"/>
  </w:font>
  <w:font w:name="Wingdings">
    <w:panose1 w:val="05000000000000000000"/>
  </w:font>
  <w:font w:name="TimesNewRomanPSMT">
    <w:panose1 w:val="02020603050405020304"/>
  </w:font>
  <w:font w:name="仿宋">
    <w:panose1 w:val="02010609060101010101"/>
  </w:font>
  <w:font w:name="微软雅黑">
    <w:panose1 w:val="020B0503020204020204"/>
  </w:font>
  <w:font w:name="Calibri">
    <w:panose1 w:val="020F0502020204030204"/>
  </w:font>
  <w:font w:name="华文细黑">
    <w:panose1 w:val="02010600040101010101"/>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5"/>
      </w:rPr>
      <w:framePr w:wrap="around" w:vAnchor="text" w:hAnchor="margin" w:xAlign="right" w:y="1"/>
    </w:pPr>
    <w:r>
      <w:fldChar w:fldCharType="begin"/>
    </w:r>
    <w:r>
      <w:rPr>
        <w:rStyle w:val="995"/>
      </w:rPr>
      <w:instrText xml:space="preserve">PAGE  </w:instrText>
    </w:r>
    <w:r>
      <w:fldChar w:fldCharType="end"/>
    </w:r>
    <w:r/>
  </w:p>
  <w:p>
    <w:pPr>
      <w:pStyle w:val="9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right="360" w:firstLine="342"/>
    </w:pPr>
    <w:r>
      <w:rPr>
        <w:rFonts w:hint="eastAsia"/>
      </w:rPr>
      <w:t xml:space="preserve">苏州正杰招投标咨询服务有限公司</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71"/>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1"/>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right="360"/>
      <w:rPr>
        <w:rFonts w:hint="eastAsia"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66</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66</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rPr>
        <w:rFonts w:hint="eastAsia" w:ascii="宋体" w:hAnsi="宋体" w:eastAsia="宋体" w:cs="宋体"/>
        <w:sz w:val="21"/>
        <w:szCs w:val="21"/>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JSZC-320500-SZZJ-G2026-0029</w:t>
    </w:r>
    <w:r>
      <w:rPr>
        <w:rFonts w:hint="eastAsia" w:ascii="宋体" w:hAnsi="宋体" w:eastAsia="宋体" w:cs="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pStyle w:val="102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45"/>
      <w:isLgl w:val="false"/>
      <w:suff w:val="tab"/>
      <w:lvlText w:val="%1.%2.%3.%4.%5"/>
      <w:lvlJc w:val="left"/>
      <w:pPr>
        <w:ind w:left="1008" w:hanging="1008"/>
        <w:tabs>
          <w:tab w:val="left" w:pos="1008" w:leader="none"/>
        </w:tabs>
      </w:pPr>
    </w:lvl>
    <w:lvl w:ilvl="5">
      <w:start w:val="1"/>
      <w:numFmt w:val="decimal"/>
      <w:pStyle w:val="946"/>
      <w:isLgl w:val="false"/>
      <w:suff w:val="tab"/>
      <w:lvlText w:val="%1.%2.%3.%4.%5.%6"/>
      <w:lvlJc w:val="left"/>
      <w:pPr>
        <w:ind w:left="1152" w:hanging="1152"/>
        <w:tabs>
          <w:tab w:val="left" w:pos="1152" w:leader="none"/>
        </w:tabs>
      </w:pPr>
    </w:lvl>
    <w:lvl w:ilvl="6">
      <w:start w:val="1"/>
      <w:numFmt w:val="decimal"/>
      <w:pStyle w:val="947"/>
      <w:isLgl w:val="false"/>
      <w:suff w:val="tab"/>
      <w:lvlText w:val="%1.%2.%3.%4.%5.%6.%7"/>
      <w:lvlJc w:val="left"/>
      <w:pPr>
        <w:ind w:left="1296" w:hanging="1296"/>
        <w:tabs>
          <w:tab w:val="left" w:pos="1296" w:leader="none"/>
        </w:tabs>
      </w:pPr>
    </w:lvl>
    <w:lvl w:ilvl="7">
      <w:start w:val="1"/>
      <w:numFmt w:val="decimal"/>
      <w:pStyle w:val="948"/>
      <w:isLgl w:val="false"/>
      <w:suff w:val="tab"/>
      <w:lvlText w:val="%1.%2.%3.%4.%5.%6.%7.%8"/>
      <w:lvlJc w:val="left"/>
      <w:pPr>
        <w:ind w:left="1440" w:hanging="1440"/>
        <w:tabs>
          <w:tab w:val="left" w:pos="1440" w:leader="none"/>
        </w:tabs>
      </w:pPr>
    </w:lvl>
    <w:lvl w:ilvl="8">
      <w:start w:val="1"/>
      <w:numFmt w:val="decimal"/>
      <w:pStyle w:val="949"/>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0"/>
    <w:link w:val="941"/>
    <w:uiPriority w:val="9"/>
    <w:rPr>
      <w:rFonts w:ascii="Arial" w:hAnsi="Arial" w:eastAsia="Arial" w:cs="Arial"/>
      <w:sz w:val="40"/>
      <w:szCs w:val="40"/>
    </w:rPr>
  </w:style>
  <w:style w:type="character" w:styleId="791">
    <w:name w:val="Heading 2 Char"/>
    <w:basedOn w:val="950"/>
    <w:link w:val="942"/>
    <w:uiPriority w:val="9"/>
    <w:rPr>
      <w:rFonts w:ascii="Arial" w:hAnsi="Arial" w:eastAsia="Arial" w:cs="Arial"/>
      <w:sz w:val="34"/>
    </w:rPr>
  </w:style>
  <w:style w:type="character" w:styleId="792">
    <w:name w:val="Heading 3 Char"/>
    <w:basedOn w:val="950"/>
    <w:link w:val="943"/>
    <w:uiPriority w:val="9"/>
    <w:rPr>
      <w:rFonts w:ascii="Arial" w:hAnsi="Arial" w:eastAsia="Arial" w:cs="Arial"/>
      <w:sz w:val="30"/>
      <w:szCs w:val="30"/>
    </w:rPr>
  </w:style>
  <w:style w:type="character" w:styleId="793">
    <w:name w:val="Heading 4 Char"/>
    <w:basedOn w:val="950"/>
    <w:link w:val="1009"/>
    <w:uiPriority w:val="9"/>
    <w:rPr>
      <w:rFonts w:ascii="Arial" w:hAnsi="Arial" w:eastAsia="Arial" w:cs="Arial"/>
      <w:b/>
      <w:bCs/>
      <w:sz w:val="26"/>
      <w:szCs w:val="26"/>
    </w:rPr>
  </w:style>
  <w:style w:type="character" w:styleId="794">
    <w:name w:val="Heading 5 Char"/>
    <w:basedOn w:val="950"/>
    <w:link w:val="945"/>
    <w:uiPriority w:val="9"/>
    <w:rPr>
      <w:rFonts w:ascii="Arial" w:hAnsi="Arial" w:eastAsia="Arial" w:cs="Arial"/>
      <w:b/>
      <w:bCs/>
      <w:sz w:val="24"/>
      <w:szCs w:val="24"/>
    </w:rPr>
  </w:style>
  <w:style w:type="character" w:styleId="795">
    <w:name w:val="Heading 6 Char"/>
    <w:basedOn w:val="950"/>
    <w:link w:val="946"/>
    <w:uiPriority w:val="9"/>
    <w:rPr>
      <w:rFonts w:ascii="Arial" w:hAnsi="Arial" w:eastAsia="Arial" w:cs="Arial"/>
      <w:b/>
      <w:bCs/>
      <w:sz w:val="22"/>
      <w:szCs w:val="22"/>
    </w:rPr>
  </w:style>
  <w:style w:type="character" w:styleId="796">
    <w:name w:val="Heading 7 Char"/>
    <w:basedOn w:val="950"/>
    <w:link w:val="947"/>
    <w:uiPriority w:val="9"/>
    <w:rPr>
      <w:rFonts w:ascii="Arial" w:hAnsi="Arial" w:eastAsia="Arial" w:cs="Arial"/>
      <w:b/>
      <w:bCs/>
      <w:i/>
      <w:iCs/>
      <w:sz w:val="22"/>
      <w:szCs w:val="22"/>
    </w:rPr>
  </w:style>
  <w:style w:type="character" w:styleId="797">
    <w:name w:val="Heading 8 Char"/>
    <w:basedOn w:val="950"/>
    <w:link w:val="948"/>
    <w:uiPriority w:val="9"/>
    <w:rPr>
      <w:rFonts w:ascii="Arial" w:hAnsi="Arial" w:eastAsia="Arial" w:cs="Arial"/>
      <w:i/>
      <w:iCs/>
      <w:sz w:val="22"/>
      <w:szCs w:val="22"/>
    </w:rPr>
  </w:style>
  <w:style w:type="character" w:styleId="798">
    <w:name w:val="Heading 9 Char"/>
    <w:basedOn w:val="950"/>
    <w:link w:val="949"/>
    <w:uiPriority w:val="9"/>
    <w:rPr>
      <w:rFonts w:ascii="Arial" w:hAnsi="Arial" w:eastAsia="Arial" w:cs="Arial"/>
      <w:i/>
      <w:iCs/>
      <w:sz w:val="21"/>
      <w:szCs w:val="21"/>
    </w:rPr>
  </w:style>
  <w:style w:type="character" w:styleId="799">
    <w:name w:val="Title Char"/>
    <w:basedOn w:val="950"/>
    <w:link w:val="989"/>
    <w:uiPriority w:val="10"/>
    <w:rPr>
      <w:sz w:val="48"/>
      <w:szCs w:val="48"/>
    </w:rPr>
  </w:style>
  <w:style w:type="paragraph" w:styleId="800">
    <w:name w:val="Subtitle"/>
    <w:basedOn w:val="940"/>
    <w:next w:val="940"/>
    <w:link w:val="801"/>
    <w:uiPriority w:val="11"/>
    <w:qFormat/>
    <w:pPr>
      <w:spacing w:before="200" w:after="200"/>
    </w:pPr>
    <w:rPr>
      <w:sz w:val="24"/>
      <w:szCs w:val="24"/>
    </w:rPr>
  </w:style>
  <w:style w:type="character" w:styleId="801">
    <w:name w:val="Subtitle Char"/>
    <w:basedOn w:val="950"/>
    <w:link w:val="800"/>
    <w:uiPriority w:val="11"/>
    <w:rPr>
      <w:sz w:val="24"/>
      <w:szCs w:val="24"/>
    </w:rPr>
  </w:style>
  <w:style w:type="paragraph" w:styleId="802">
    <w:name w:val="Quote"/>
    <w:basedOn w:val="940"/>
    <w:next w:val="940"/>
    <w:link w:val="803"/>
    <w:uiPriority w:val="29"/>
    <w:qFormat/>
    <w:pPr>
      <w:ind w:left="720" w:right="720"/>
    </w:pPr>
    <w:rPr>
      <w:i/>
    </w:rPr>
  </w:style>
  <w:style w:type="character" w:styleId="803">
    <w:name w:val="Quote Char"/>
    <w:link w:val="802"/>
    <w:uiPriority w:val="29"/>
    <w:rPr>
      <w:i/>
    </w:rPr>
  </w:style>
  <w:style w:type="paragraph" w:styleId="804">
    <w:name w:val="Intense Quote"/>
    <w:basedOn w:val="940"/>
    <w:next w:val="940"/>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0"/>
    <w:link w:val="973"/>
    <w:uiPriority w:val="99"/>
  </w:style>
  <w:style w:type="character" w:styleId="807">
    <w:name w:val="Footer Char"/>
    <w:basedOn w:val="950"/>
    <w:link w:val="971"/>
    <w:uiPriority w:val="99"/>
  </w:style>
  <w:style w:type="paragraph" w:styleId="808">
    <w:name w:val="Caption"/>
    <w:basedOn w:val="940"/>
    <w:next w:val="940"/>
    <w:uiPriority w:val="35"/>
    <w:semiHidden/>
    <w:unhideWhenUsed/>
    <w:qFormat/>
    <w:pPr>
      <w:spacing w:line="276" w:lineRule="auto"/>
    </w:pPr>
    <w:rPr>
      <w:b/>
      <w:bCs/>
      <w:color w:val="4f81bd" w:themeColor="accent1"/>
      <w:sz w:val="18"/>
      <w:szCs w:val="18"/>
    </w:rPr>
  </w:style>
  <w:style w:type="character" w:styleId="809">
    <w:name w:val="Caption Char"/>
    <w:basedOn w:val="808"/>
    <w:link w:val="971"/>
    <w:uiPriority w:val="99"/>
  </w:style>
  <w:style w:type="table" w:styleId="810">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6">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7">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8">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9">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0">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1">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8">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2">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3">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4">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5">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6">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8">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9">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0">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1">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2">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3">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2">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3">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4">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5">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6">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7">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9">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0">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1">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2">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3">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4">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3">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4">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5">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6">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7">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8">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Footnote Text Char"/>
    <w:link w:val="978"/>
    <w:uiPriority w:val="99"/>
    <w:rPr>
      <w:sz w:val="18"/>
    </w:rPr>
  </w:style>
  <w:style w:type="paragraph" w:styleId="936">
    <w:name w:val="endnote text"/>
    <w:basedOn w:val="94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0"/>
    <w:uiPriority w:val="99"/>
    <w:semiHidden/>
    <w:unhideWhenUsed/>
    <w:rPr>
      <w:vertAlign w:val="superscript"/>
    </w:rPr>
  </w:style>
  <w:style w:type="paragraph" w:styleId="939">
    <w:name w:val="TOC Heading"/>
    <w:uiPriority w:val="39"/>
    <w:unhideWhenUsed/>
  </w:style>
  <w:style w:type="paragraph" w:styleId="94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1">
    <w:name w:val="Heading 1"/>
    <w:basedOn w:val="940"/>
    <w:next w:val="940"/>
    <w:link w:val="1076"/>
    <w:uiPriority w:val="0"/>
    <w:qFormat/>
    <w:pPr>
      <w:keepLines/>
      <w:keepNext/>
      <w:spacing w:before="340" w:after="330" w:line="578" w:lineRule="auto"/>
      <w:outlineLvl w:val="0"/>
    </w:pPr>
    <w:rPr>
      <w:b/>
      <w:sz w:val="44"/>
    </w:rPr>
  </w:style>
  <w:style w:type="paragraph" w:styleId="942">
    <w:name w:val="Heading 2"/>
    <w:basedOn w:val="940"/>
    <w:next w:val="940"/>
    <w:uiPriority w:val="0"/>
    <w:qFormat/>
    <w:pPr>
      <w:jc w:val="left"/>
      <w:keepLines/>
      <w:keepNext/>
      <w:outlineLvl w:val="1"/>
    </w:pPr>
    <w:rPr>
      <w:rFonts w:ascii="宋体" w:hAnsi="宋体"/>
      <w:b/>
    </w:rPr>
  </w:style>
  <w:style w:type="paragraph" w:styleId="943">
    <w:name w:val="Heading 3"/>
    <w:basedOn w:val="940"/>
    <w:next w:val="940"/>
    <w:uiPriority w:val="0"/>
    <w:qFormat/>
    <w:pPr>
      <w:jc w:val="left"/>
      <w:keepLines/>
      <w:keepNext/>
      <w:outlineLvl w:val="2"/>
    </w:pPr>
    <w:rPr>
      <w:b/>
    </w:rPr>
  </w:style>
  <w:style w:type="paragraph" w:styleId="944">
    <w:name w:val="Heading 4"/>
    <w:basedOn w:val="940"/>
    <w:next w:val="940"/>
    <w:uiPriority w:val="9"/>
    <w:qFormat/>
    <w:pPr>
      <w:keepLines/>
      <w:keepNext/>
      <w:spacing w:before="280" w:after="290" w:line="376" w:lineRule="auto"/>
      <w:outlineLvl w:val="3"/>
    </w:pPr>
    <w:rPr>
      <w:rFonts w:ascii="Cambria" w:hAnsi="Cambria"/>
      <w:bCs/>
      <w:szCs w:val="28"/>
    </w:rPr>
  </w:style>
  <w:style w:type="paragraph" w:styleId="945">
    <w:name w:val="Heading 5"/>
    <w:basedOn w:val="940"/>
    <w:next w:val="952"/>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46">
    <w:name w:val="Heading 6"/>
    <w:basedOn w:val="940"/>
    <w:next w:val="940"/>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47">
    <w:name w:val="Heading 7"/>
    <w:basedOn w:val="940"/>
    <w:next w:val="952"/>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48">
    <w:name w:val="Heading 8"/>
    <w:basedOn w:val="940"/>
    <w:next w:val="952"/>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49">
    <w:name w:val="Heading 9"/>
    <w:basedOn w:val="940"/>
    <w:next w:val="952"/>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Normal Indent"/>
    <w:basedOn w:val="940"/>
    <w:next w:val="940"/>
    <w:link w:val="1014"/>
    <w:uiPriority w:val="0"/>
    <w:qFormat/>
    <w:pPr>
      <w:ind w:firstLine="420"/>
      <w:jc w:val="left"/>
    </w:pPr>
    <w:rPr>
      <w:sz w:val="24"/>
    </w:rPr>
  </w:style>
  <w:style w:type="paragraph" w:styleId="953">
    <w:name w:val="toc 7"/>
    <w:basedOn w:val="940"/>
    <w:next w:val="940"/>
    <w:uiPriority w:val="0"/>
    <w:qFormat/>
    <w:pPr>
      <w:ind w:left="2520"/>
    </w:pPr>
  </w:style>
  <w:style w:type="paragraph" w:styleId="954">
    <w:name w:val="index 8"/>
    <w:basedOn w:val="940"/>
    <w:next w:val="940"/>
    <w:uiPriority w:val="0"/>
    <w:qFormat/>
    <w:pPr>
      <w:ind w:left="2940"/>
    </w:pPr>
  </w:style>
  <w:style w:type="paragraph" w:styleId="955">
    <w:name w:val="index 5"/>
    <w:basedOn w:val="940"/>
    <w:next w:val="940"/>
    <w:uiPriority w:val="0"/>
    <w:qFormat/>
    <w:pPr>
      <w:ind w:left="1680"/>
    </w:pPr>
  </w:style>
  <w:style w:type="paragraph" w:styleId="956">
    <w:name w:val="Document Map"/>
    <w:basedOn w:val="940"/>
    <w:uiPriority w:val="0"/>
    <w:qFormat/>
    <w:pPr>
      <w:shd w:val="clear" w:color="auto" w:fill="000080"/>
    </w:pPr>
  </w:style>
  <w:style w:type="paragraph" w:styleId="957">
    <w:name w:val="annotation text"/>
    <w:basedOn w:val="940"/>
    <w:link w:val="1066"/>
    <w:uiPriority w:val="0"/>
    <w:qFormat/>
    <w:pPr>
      <w:jc w:val="left"/>
    </w:pPr>
  </w:style>
  <w:style w:type="paragraph" w:styleId="958">
    <w:name w:val="index 6"/>
    <w:basedOn w:val="940"/>
    <w:next w:val="940"/>
    <w:uiPriority w:val="0"/>
    <w:qFormat/>
    <w:pPr>
      <w:ind w:left="2100"/>
    </w:pPr>
  </w:style>
  <w:style w:type="paragraph" w:styleId="959">
    <w:name w:val="Body Text"/>
    <w:basedOn w:val="940"/>
    <w:next w:val="940"/>
    <w:uiPriority w:val="0"/>
    <w:qFormat/>
    <w:pPr>
      <w:spacing w:line="400" w:lineRule="exact"/>
    </w:pPr>
    <w:rPr>
      <w:rFonts w:ascii="楷体_GB2312"/>
      <w:sz w:val="28"/>
    </w:rPr>
  </w:style>
  <w:style w:type="paragraph" w:styleId="960">
    <w:name w:val="Body Text Indent"/>
    <w:basedOn w:val="940"/>
    <w:next w:val="940"/>
    <w:uiPriority w:val="0"/>
    <w:qFormat/>
    <w:pPr>
      <w:ind w:left="570"/>
      <w:spacing w:line="520" w:lineRule="exact"/>
    </w:pPr>
    <w:rPr>
      <w:rFonts w:ascii="方正仿宋简体" w:hAnsi="创艺简仿宋" w:eastAsia="方正仿宋简体"/>
      <w:sz w:val="24"/>
    </w:rPr>
  </w:style>
  <w:style w:type="paragraph" w:styleId="961">
    <w:name w:val="List Continue"/>
    <w:basedOn w:val="940"/>
    <w:uiPriority w:val="99"/>
    <w:unhideWhenUsed/>
    <w:qFormat/>
    <w:pPr>
      <w:ind w:left="200"/>
      <w:spacing w:after="120"/>
    </w:pPr>
    <w:rPr>
      <w:rFonts w:ascii="宋体" w:hAnsi="宋体" w:cs="Symbol"/>
      <w:sz w:val="28"/>
    </w:rPr>
  </w:style>
  <w:style w:type="paragraph" w:styleId="962">
    <w:name w:val="index 4"/>
    <w:basedOn w:val="940"/>
    <w:next w:val="940"/>
    <w:uiPriority w:val="0"/>
    <w:qFormat/>
    <w:pPr>
      <w:ind w:left="1260"/>
    </w:pPr>
  </w:style>
  <w:style w:type="paragraph" w:styleId="963">
    <w:name w:val="toc 5"/>
    <w:basedOn w:val="940"/>
    <w:next w:val="940"/>
    <w:uiPriority w:val="0"/>
    <w:qFormat/>
    <w:pPr>
      <w:ind w:left="1680"/>
    </w:pPr>
  </w:style>
  <w:style w:type="paragraph" w:styleId="964">
    <w:name w:val="toc 3"/>
    <w:basedOn w:val="940"/>
    <w:next w:val="940"/>
    <w:uiPriority w:val="0"/>
    <w:qFormat/>
    <w:pPr>
      <w:ind w:left="840"/>
    </w:pPr>
  </w:style>
  <w:style w:type="paragraph" w:styleId="965">
    <w:name w:val="Plain Text"/>
    <w:basedOn w:val="940"/>
    <w:link w:val="1018"/>
    <w:uiPriority w:val="0"/>
    <w:qFormat/>
    <w:rPr>
      <w:rFonts w:ascii="宋体" w:hAnsi="Courier New"/>
    </w:rPr>
  </w:style>
  <w:style w:type="paragraph" w:styleId="966">
    <w:name w:val="toc 8"/>
    <w:basedOn w:val="940"/>
    <w:next w:val="940"/>
    <w:uiPriority w:val="0"/>
    <w:qFormat/>
    <w:pPr>
      <w:ind w:left="2940"/>
    </w:pPr>
  </w:style>
  <w:style w:type="paragraph" w:styleId="967">
    <w:name w:val="index 3"/>
    <w:basedOn w:val="940"/>
    <w:next w:val="940"/>
    <w:uiPriority w:val="0"/>
    <w:qFormat/>
    <w:pPr>
      <w:ind w:left="840"/>
    </w:pPr>
  </w:style>
  <w:style w:type="paragraph" w:styleId="968">
    <w:name w:val="Date"/>
    <w:basedOn w:val="940"/>
    <w:next w:val="940"/>
    <w:link w:val="1019"/>
    <w:uiPriority w:val="0"/>
    <w:qFormat/>
    <w:rPr>
      <w:rFonts w:ascii="宋体" w:hAnsi="宋体"/>
      <w:sz w:val="24"/>
    </w:rPr>
  </w:style>
  <w:style w:type="paragraph" w:styleId="969">
    <w:name w:val="Body Text Indent 2"/>
    <w:basedOn w:val="940"/>
    <w:uiPriority w:val="0"/>
    <w:qFormat/>
    <w:pPr>
      <w:ind w:firstLine="502"/>
      <w:spacing w:line="360" w:lineRule="auto"/>
      <w:tabs>
        <w:tab w:val="left" w:pos="0" w:leader="none"/>
      </w:tabs>
    </w:pPr>
    <w:rPr>
      <w:rFonts w:ascii="宋体" w:eastAsia="宋体"/>
      <w:b/>
      <w:bCs/>
      <w:sz w:val="24"/>
    </w:rPr>
  </w:style>
  <w:style w:type="paragraph" w:styleId="970">
    <w:name w:val="Balloon Text"/>
    <w:basedOn w:val="940"/>
    <w:uiPriority w:val="0"/>
    <w:qFormat/>
    <w:rPr>
      <w:sz w:val="18"/>
      <w:szCs w:val="18"/>
    </w:rPr>
  </w:style>
  <w:style w:type="paragraph" w:styleId="971">
    <w:name w:val="Footer"/>
    <w:basedOn w:val="940"/>
    <w:link w:val="1074"/>
    <w:uiPriority w:val="99"/>
    <w:qFormat/>
    <w:pPr>
      <w:jc w:val="left"/>
      <w:tabs>
        <w:tab w:val="center" w:pos="4153" w:leader="none"/>
        <w:tab w:val="right" w:pos="8306" w:leader="none"/>
      </w:tabs>
    </w:pPr>
    <w:rPr>
      <w:sz w:val="18"/>
    </w:rPr>
  </w:style>
  <w:style w:type="paragraph" w:styleId="972">
    <w:name w:val="envelope return"/>
    <w:basedOn w:val="940"/>
    <w:uiPriority w:val="0"/>
    <w:qFormat/>
    <w:rPr>
      <w:rFonts w:ascii="Arial" w:hAnsi="Arial"/>
    </w:rPr>
  </w:style>
  <w:style w:type="paragraph" w:styleId="973">
    <w:name w:val="Header"/>
    <w:basedOn w:val="940"/>
    <w:link w:val="1075"/>
    <w:uiPriority w:val="99"/>
    <w:qFormat/>
    <w:pPr>
      <w:jc w:val="center"/>
      <w:tabs>
        <w:tab w:val="center" w:pos="4153" w:leader="none"/>
        <w:tab w:val="right" w:pos="8306" w:leader="none"/>
      </w:tabs>
      <w:pBdr>
        <w:bottom w:val="single" w:color="auto" w:sz="6" w:space="1"/>
      </w:pBdr>
    </w:pPr>
    <w:rPr>
      <w:sz w:val="18"/>
    </w:rPr>
  </w:style>
  <w:style w:type="paragraph" w:styleId="974">
    <w:name w:val="toc 1"/>
    <w:basedOn w:val="940"/>
    <w:next w:val="940"/>
    <w:uiPriority w:val="0"/>
    <w:qFormat/>
    <w:pPr>
      <w:tabs>
        <w:tab w:val="right" w:pos="9026" w:leader="dot"/>
      </w:tabs>
    </w:pPr>
    <w:rPr>
      <w:rFonts w:ascii="宋体" w:hAnsi="宋体" w:eastAsia="宋体"/>
      <w:sz w:val="24"/>
    </w:rPr>
  </w:style>
  <w:style w:type="paragraph" w:styleId="975">
    <w:name w:val="toc 4"/>
    <w:basedOn w:val="940"/>
    <w:next w:val="940"/>
    <w:uiPriority w:val="0"/>
    <w:qFormat/>
    <w:pPr>
      <w:ind w:left="1260"/>
    </w:pPr>
  </w:style>
  <w:style w:type="paragraph" w:styleId="976">
    <w:name w:val="index heading"/>
    <w:basedOn w:val="940"/>
    <w:next w:val="977"/>
    <w:uiPriority w:val="0"/>
    <w:qFormat/>
  </w:style>
  <w:style w:type="paragraph" w:styleId="977">
    <w:name w:val="index 1"/>
    <w:basedOn w:val="940"/>
    <w:next w:val="940"/>
    <w:uiPriority w:val="0"/>
    <w:qFormat/>
  </w:style>
  <w:style w:type="paragraph" w:styleId="978">
    <w:name w:val="footnote text"/>
    <w:basedOn w:val="940"/>
    <w:uiPriority w:val="0"/>
    <w:qFormat/>
    <w:pPr>
      <w:jc w:val="left"/>
    </w:pPr>
    <w:rPr>
      <w:sz w:val="18"/>
    </w:rPr>
  </w:style>
  <w:style w:type="paragraph" w:styleId="979">
    <w:name w:val="toc 6"/>
    <w:basedOn w:val="940"/>
    <w:next w:val="940"/>
    <w:uiPriority w:val="0"/>
    <w:qFormat/>
    <w:pPr>
      <w:ind w:left="2100"/>
    </w:pPr>
  </w:style>
  <w:style w:type="paragraph" w:styleId="980">
    <w:name w:val="Body Text Indent 3"/>
    <w:basedOn w:val="940"/>
    <w:uiPriority w:val="0"/>
    <w:qFormat/>
    <w:pPr>
      <w:ind w:firstLine="617"/>
      <w:spacing w:line="360" w:lineRule="auto"/>
    </w:pPr>
    <w:rPr>
      <w:rFonts w:eastAsia="宋体"/>
      <w:sz w:val="24"/>
      <w:szCs w:val="24"/>
    </w:rPr>
  </w:style>
  <w:style w:type="paragraph" w:styleId="981">
    <w:name w:val="index 7"/>
    <w:basedOn w:val="940"/>
    <w:next w:val="940"/>
    <w:uiPriority w:val="0"/>
    <w:qFormat/>
    <w:pPr>
      <w:ind w:left="2520"/>
    </w:pPr>
  </w:style>
  <w:style w:type="paragraph" w:styleId="982">
    <w:name w:val="index 9"/>
    <w:basedOn w:val="940"/>
    <w:next w:val="940"/>
    <w:uiPriority w:val="0"/>
    <w:qFormat/>
    <w:pPr>
      <w:ind w:left="3360"/>
    </w:pPr>
  </w:style>
  <w:style w:type="paragraph" w:styleId="983">
    <w:name w:val="table of figures"/>
    <w:basedOn w:val="940"/>
    <w:next w:val="940"/>
    <w:uiPriority w:val="0"/>
    <w:qFormat/>
    <w:pPr>
      <w:ind w:left="420" w:hanging="420"/>
      <w:jc w:val="left"/>
    </w:pPr>
    <w:rPr>
      <w:smallCaps/>
      <w:sz w:val="24"/>
    </w:rPr>
  </w:style>
  <w:style w:type="paragraph" w:styleId="984">
    <w:name w:val="toc 2"/>
    <w:basedOn w:val="940"/>
    <w:next w:val="940"/>
    <w:uiPriority w:val="0"/>
    <w:qFormat/>
    <w:pPr>
      <w:ind w:left="420"/>
    </w:pPr>
  </w:style>
  <w:style w:type="paragraph" w:styleId="985">
    <w:name w:val="toc 9"/>
    <w:basedOn w:val="940"/>
    <w:next w:val="940"/>
    <w:uiPriority w:val="0"/>
    <w:qFormat/>
    <w:pPr>
      <w:ind w:left="3360"/>
    </w:pPr>
  </w:style>
  <w:style w:type="paragraph" w:styleId="986">
    <w:name w:val="HTML Preformatted"/>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87">
    <w:name w:val="Normal (Web)"/>
    <w:basedOn w:val="940"/>
    <w:uiPriority w:val="99"/>
    <w:qFormat/>
    <w:pPr>
      <w:jc w:val="left"/>
      <w:spacing w:before="100" w:beforeAutospacing="1" w:after="100" w:afterAutospacing="1"/>
      <w:widowControl/>
    </w:pPr>
    <w:rPr>
      <w:rFonts w:hint="eastAsia" w:ascii="宋体" w:hAnsi="宋体" w:eastAsia="宋体"/>
      <w:sz w:val="24"/>
      <w:szCs w:val="24"/>
    </w:rPr>
  </w:style>
  <w:style w:type="paragraph" w:styleId="988">
    <w:name w:val="index 2"/>
    <w:basedOn w:val="940"/>
    <w:next w:val="940"/>
    <w:uiPriority w:val="0"/>
    <w:qFormat/>
    <w:pPr>
      <w:ind w:left="420"/>
    </w:pPr>
  </w:style>
  <w:style w:type="paragraph" w:styleId="989">
    <w:name w:val="Title"/>
    <w:basedOn w:val="940"/>
    <w:next w:val="940"/>
    <w:link w:val="1077"/>
    <w:uiPriority w:val="10"/>
    <w:qFormat/>
    <w:pPr>
      <w:jc w:val="center"/>
    </w:pPr>
    <w:rPr>
      <w:rFonts w:ascii="黑体" w:hAnsi="黑体" w:eastAsia="黑体"/>
      <w:sz w:val="28"/>
      <w:szCs w:val="24"/>
    </w:rPr>
  </w:style>
  <w:style w:type="paragraph" w:styleId="990">
    <w:name w:val="annotation subject"/>
    <w:basedOn w:val="957"/>
    <w:next w:val="957"/>
    <w:uiPriority w:val="0"/>
    <w:qFormat/>
    <w:rPr>
      <w:bCs/>
    </w:rPr>
  </w:style>
  <w:style w:type="paragraph" w:styleId="991">
    <w:name w:val="Body Text First Indent"/>
    <w:basedOn w:val="959"/>
    <w:uiPriority w:val="0"/>
    <w:qFormat/>
    <w:pPr>
      <w:ind w:firstLine="420"/>
      <w:spacing w:after="120" w:line="300" w:lineRule="auto"/>
    </w:pPr>
    <w:rPr>
      <w:rFonts w:ascii="Times New Roman" w:eastAsia="宋体"/>
      <w:sz w:val="24"/>
      <w:szCs w:val="24"/>
    </w:rPr>
  </w:style>
  <w:style w:type="paragraph" w:styleId="992">
    <w:name w:val="Body Text First Indent 2"/>
    <w:basedOn w:val="960"/>
    <w:next w:val="991"/>
    <w:uiPriority w:val="99"/>
    <w:semiHidden/>
    <w:unhideWhenUsed/>
    <w:qFormat/>
    <w:pPr>
      <w:ind w:firstLine="420"/>
    </w:pPr>
  </w:style>
  <w:style w:type="table" w:styleId="993">
    <w:name w:val="Table Grid"/>
    <w:basedOn w:val="951"/>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basedOn w:val="950"/>
    <w:uiPriority w:val="22"/>
    <w:qFormat/>
    <w:rPr>
      <w:b/>
      <w:bCs/>
    </w:rPr>
  </w:style>
  <w:style w:type="character" w:styleId="995">
    <w:name w:val="page number"/>
    <w:basedOn w:val="950"/>
    <w:uiPriority w:val="0"/>
    <w:qFormat/>
  </w:style>
  <w:style w:type="character" w:styleId="996">
    <w:name w:val="FollowedHyperlink"/>
    <w:basedOn w:val="950"/>
    <w:uiPriority w:val="99"/>
    <w:semiHidden/>
    <w:unhideWhenUsed/>
    <w:qFormat/>
    <w:rPr>
      <w:color w:val="333333"/>
      <w:u w:val="none"/>
    </w:rPr>
  </w:style>
  <w:style w:type="character" w:styleId="997">
    <w:name w:val="Emphasis"/>
    <w:basedOn w:val="950"/>
    <w:uiPriority w:val="20"/>
    <w:qFormat/>
  </w:style>
  <w:style w:type="character" w:styleId="998">
    <w:name w:val="HTML Definition"/>
    <w:basedOn w:val="950"/>
    <w:uiPriority w:val="99"/>
    <w:semiHidden/>
    <w:unhideWhenUsed/>
    <w:qFormat/>
  </w:style>
  <w:style w:type="character" w:styleId="999">
    <w:name w:val="HTML Typewriter"/>
    <w:basedOn w:val="950"/>
    <w:uiPriority w:val="99"/>
    <w:semiHidden/>
    <w:unhideWhenUsed/>
    <w:qFormat/>
    <w:rPr>
      <w:rFonts w:hint="default" w:ascii="monospace" w:hAnsi="monospace" w:eastAsia="monospace" w:cs="monospace"/>
      <w:sz w:val="20"/>
    </w:rPr>
  </w:style>
  <w:style w:type="character" w:styleId="1000">
    <w:name w:val="HTML Acronym"/>
    <w:basedOn w:val="950"/>
    <w:uiPriority w:val="99"/>
    <w:semiHidden/>
    <w:unhideWhenUsed/>
    <w:qFormat/>
  </w:style>
  <w:style w:type="character" w:styleId="1001">
    <w:name w:val="HTML Variable"/>
    <w:basedOn w:val="950"/>
    <w:uiPriority w:val="99"/>
    <w:semiHidden/>
    <w:unhideWhenUsed/>
    <w:qFormat/>
  </w:style>
  <w:style w:type="character" w:styleId="1002">
    <w:name w:val="Hyperlink"/>
    <w:basedOn w:val="950"/>
    <w:uiPriority w:val="99"/>
    <w:unhideWhenUsed/>
    <w:qFormat/>
    <w:rPr>
      <w:color w:val="0000ff"/>
      <w:u w:val="none"/>
    </w:rPr>
  </w:style>
  <w:style w:type="character" w:styleId="1003">
    <w:name w:val="HTML Code"/>
    <w:basedOn w:val="950"/>
    <w:uiPriority w:val="99"/>
    <w:semiHidden/>
    <w:unhideWhenUsed/>
    <w:qFormat/>
    <w:rPr>
      <w:rFonts w:hint="default" w:ascii="monospace" w:hAnsi="monospace" w:eastAsia="monospace" w:cs="monospace"/>
      <w:sz w:val="20"/>
    </w:rPr>
  </w:style>
  <w:style w:type="character" w:styleId="1004">
    <w:name w:val="annotation reference"/>
    <w:uiPriority w:val="0"/>
    <w:qFormat/>
    <w:rPr>
      <w:sz w:val="21"/>
      <w:szCs w:val="21"/>
    </w:rPr>
  </w:style>
  <w:style w:type="character" w:styleId="1005">
    <w:name w:val="HTML Cite"/>
    <w:basedOn w:val="950"/>
    <w:uiPriority w:val="99"/>
    <w:semiHidden/>
    <w:unhideWhenUsed/>
    <w:qFormat/>
  </w:style>
  <w:style w:type="character" w:styleId="1006">
    <w:name w:val="footnote reference"/>
    <w:uiPriority w:val="0"/>
    <w:qFormat/>
    <w:rPr>
      <w:vertAlign w:val="superscript"/>
    </w:rPr>
  </w:style>
  <w:style w:type="character" w:styleId="1007">
    <w:name w:val="HTML Keyboard"/>
    <w:basedOn w:val="950"/>
    <w:uiPriority w:val="99"/>
    <w:semiHidden/>
    <w:unhideWhenUsed/>
    <w:qFormat/>
    <w:rPr>
      <w:rFonts w:ascii="monospace" w:hAnsi="monospace" w:eastAsia="monospace" w:cs="monospace"/>
      <w:sz w:val="20"/>
    </w:rPr>
  </w:style>
  <w:style w:type="character" w:styleId="1008">
    <w:name w:val="HTML Sample"/>
    <w:basedOn w:val="950"/>
    <w:uiPriority w:val="99"/>
    <w:semiHidden/>
    <w:unhideWhenUsed/>
    <w:qFormat/>
    <w:rPr>
      <w:rFonts w:hint="default" w:ascii="monospace" w:hAnsi="monospace" w:eastAsia="monospace" w:cs="monospace"/>
    </w:rPr>
  </w:style>
  <w:style w:type="paragraph" w:styleId="1009" w:customStyle="1">
    <w:name w:val="Heading 4"/>
    <w:basedOn w:val="940"/>
    <w:next w:val="1010"/>
    <w:uiPriority w:val="0"/>
    <w:qFormat/>
    <w:pPr>
      <w:keepLines/>
      <w:keepNext/>
      <w:spacing w:before="120" w:after="120"/>
    </w:pPr>
    <w:rPr>
      <w:rFonts w:ascii="Cambria" w:hAnsi="Cambria" w:eastAsia="华文细黑"/>
      <w:b/>
      <w:sz w:val="28"/>
    </w:rPr>
  </w:style>
  <w:style w:type="paragraph" w:styleId="1010" w:customStyle="1">
    <w:name w:val="NormalIndent"/>
    <w:basedOn w:val="940"/>
    <w:uiPriority w:val="0"/>
    <w:qFormat/>
    <w:pPr>
      <w:ind w:firstLine="420"/>
    </w:pPr>
  </w:style>
  <w:style w:type="paragraph" w:styleId="1011" w:customStyle="1">
    <w:name w:val="正文1"/>
    <w:next w:val="940"/>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1012" w:customStyle="1">
    <w:name w:val="目录 51"/>
    <w:next w:val="940"/>
    <w:uiPriority w:val="0"/>
    <w:qFormat/>
    <w:pPr>
      <w:ind w:left="1275"/>
      <w:jc w:val="both"/>
    </w:pPr>
    <w:rPr>
      <w:rFonts w:ascii="Times New Roman" w:hAnsi="Times New Roman" w:eastAsia="宋体" w:cs="Times New Roman"/>
      <w:sz w:val="21"/>
      <w:lang w:val="en-US" w:eastAsia="zh-CN" w:bidi="ar-SA"/>
    </w:rPr>
  </w:style>
  <w:style w:type="paragraph" w:styleId="1013" w:customStyle="1">
    <w:name w:val="段"/>
    <w:next w:val="940"/>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1014" w:customStyle="1">
    <w:name w:val="正文缩进 字符"/>
    <w:link w:val="952"/>
    <w:uiPriority w:val="0"/>
    <w:qFormat/>
    <w:rPr>
      <w:rFonts w:eastAsia="楷体_GB2312"/>
      <w:sz w:val="24"/>
      <w:lang w:val="en-US" w:eastAsia="zh-CN" w:bidi="ar-SA"/>
    </w:rPr>
  </w:style>
  <w:style w:type="character" w:styleId="1015" w:customStyle="1">
    <w:name w:val="列出段落 Char"/>
    <w:link w:val="1016"/>
    <w:uiPriority w:val="0"/>
    <w:qFormat/>
    <w:rPr>
      <w:rFonts w:eastAsia="楷体_GB2312"/>
      <w:sz w:val="26"/>
      <w:lang w:val="zh-CN" w:eastAsia="zh-CN" w:bidi="ar-SA"/>
    </w:rPr>
  </w:style>
  <w:style w:type="paragraph" w:styleId="1016" w:customStyle="1">
    <w:name w:val="序号"/>
    <w:basedOn w:val="940"/>
    <w:next w:val="1017"/>
    <w:link w:val="1015"/>
    <w:uiPriority w:val="0"/>
    <w:qFormat/>
    <w:pPr>
      <w:ind w:firstLine="420"/>
    </w:pPr>
    <w:rPr>
      <w:lang w:val="zh-CN"/>
    </w:rPr>
  </w:style>
  <w:style w:type="paragraph" w:styleId="1017" w:customStyle="1">
    <w:name w:val="列表段落1"/>
    <w:basedOn w:val="940"/>
    <w:uiPriority w:val="34"/>
    <w:qFormat/>
    <w:pPr>
      <w:ind w:firstLine="420"/>
    </w:pPr>
  </w:style>
  <w:style w:type="character" w:styleId="1018" w:customStyle="1">
    <w:name w:val="纯文本 字符"/>
    <w:link w:val="965"/>
    <w:uiPriority w:val="0"/>
    <w:qFormat/>
    <w:rPr>
      <w:rFonts w:ascii="宋体" w:hAnsi="Courier New" w:eastAsia="楷体_GB2312"/>
      <w:sz w:val="26"/>
      <w:lang w:val="en-US" w:eastAsia="zh-CN" w:bidi="ar-SA"/>
    </w:rPr>
  </w:style>
  <w:style w:type="character" w:styleId="1019" w:customStyle="1">
    <w:name w:val="日期 字符"/>
    <w:link w:val="968"/>
    <w:uiPriority w:val="0"/>
    <w:qFormat/>
    <w:rPr>
      <w:rFonts w:ascii="宋体" w:hAnsi="宋体" w:eastAsia="楷体_GB2312"/>
      <w:sz w:val="24"/>
      <w:lang w:val="en-US" w:eastAsia="zh-CN" w:bidi="ar-SA"/>
    </w:rPr>
  </w:style>
  <w:style w:type="character" w:styleId="1020" w:customStyle="1">
    <w:name w:val="表格正文 字符"/>
    <w:link w:val="1021"/>
    <w:uiPriority w:val="0"/>
    <w:qFormat/>
    <w:rPr>
      <w:rFonts w:ascii="宋体" w:hAnsi="宋体" w:eastAsia="楷体_GB2312"/>
      <w:sz w:val="26"/>
      <w:szCs w:val="24"/>
      <w:lang w:val="en-US" w:eastAsia="zh-CN" w:bidi="ar-SA"/>
    </w:rPr>
  </w:style>
  <w:style w:type="paragraph" w:styleId="1021" w:customStyle="1">
    <w:name w:val="表格正文"/>
    <w:basedOn w:val="940"/>
    <w:next w:val="940"/>
    <w:link w:val="1020"/>
    <w:uiPriority w:val="0"/>
    <w:qFormat/>
    <w:rPr>
      <w:rFonts w:ascii="宋体" w:hAnsi="宋体"/>
      <w:szCs w:val="24"/>
    </w:rPr>
  </w:style>
  <w:style w:type="character" w:styleId="1022" w:customStyle="1">
    <w:name w:val="缩进正文 字符"/>
    <w:link w:val="1023"/>
    <w:uiPriority w:val="0"/>
    <w:qFormat/>
    <w:rPr>
      <w:rFonts w:ascii="Calibri" w:hAnsi="Calibri" w:eastAsia="楷体_GB2312"/>
      <w:sz w:val="26"/>
      <w:szCs w:val="24"/>
      <w:lang w:val="en-US" w:eastAsia="zh-CN" w:bidi="ar-SA"/>
    </w:rPr>
  </w:style>
  <w:style w:type="paragraph" w:styleId="1023" w:customStyle="1">
    <w:name w:val="缩进正文"/>
    <w:basedOn w:val="940"/>
    <w:link w:val="1022"/>
    <w:uiPriority w:val="0"/>
    <w:qFormat/>
    <w:pPr>
      <w:ind w:firstLine="200"/>
    </w:pPr>
    <w:rPr>
      <w:rFonts w:ascii="Calibri" w:hAnsi="Calibri"/>
      <w:szCs w:val="24"/>
    </w:rPr>
  </w:style>
  <w:style w:type="paragraph" w:styleId="1024" w:customStyle="1">
    <w:name w:val="Char Char Char"/>
    <w:basedOn w:val="940"/>
    <w:uiPriority w:val="0"/>
    <w:qFormat/>
    <w:pPr>
      <w:numPr>
        <w:ilvl w:val="0"/>
        <w:numId w:val="1"/>
      </w:numPr>
      <w:tabs>
        <w:tab w:val="clear" w:pos="432" w:leader="none"/>
        <w:tab w:val="left" w:pos="840" w:leader="none"/>
      </w:tabs>
    </w:pPr>
    <w:rPr>
      <w:rFonts w:eastAsia="宋体"/>
      <w:sz w:val="21"/>
      <w:szCs w:val="24"/>
    </w:rPr>
  </w:style>
  <w:style w:type="paragraph" w:styleId="1025" w:customStyle="1">
    <w:name w:val="Char Char Char1 Char Char Char Char"/>
    <w:basedOn w:val="940"/>
    <w:uiPriority w:val="0"/>
    <w:qFormat/>
    <w:pPr>
      <w:jc w:val="left"/>
      <w:spacing w:after="160" w:line="240" w:lineRule="exact"/>
      <w:widowControl/>
    </w:pPr>
    <w:rPr>
      <w:rFonts w:eastAsia="宋体"/>
      <w:sz w:val="24"/>
      <w:szCs w:val="24"/>
    </w:rPr>
  </w:style>
  <w:style w:type="paragraph" w:styleId="1026"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027" w:customStyle="1">
    <w:name w:val="首行缩进"/>
    <w:basedOn w:val="940"/>
    <w:uiPriority w:val="0"/>
    <w:qFormat/>
    <w:pPr>
      <w:ind w:firstLine="480"/>
    </w:pPr>
    <w:rPr>
      <w:lang w:val="zh-CN"/>
    </w:rPr>
  </w:style>
  <w:style w:type="paragraph" w:styleId="1028" w:customStyle="1">
    <w:name w:val="纯文本1"/>
    <w:basedOn w:val="940"/>
    <w:uiPriority w:val="0"/>
    <w:qFormat/>
    <w:rPr>
      <w:rFonts w:ascii="宋体" w:hAnsi="Courier New"/>
    </w:rPr>
  </w:style>
  <w:style w:type="paragraph" w:styleId="1029" w:customStyle="1">
    <w:name w:val="_Style 1"/>
    <w:basedOn w:val="940"/>
    <w:uiPriority w:val="34"/>
    <w:qFormat/>
    <w:pPr>
      <w:ind w:firstLine="420"/>
      <w:spacing w:line="312" w:lineRule="auto"/>
    </w:pPr>
  </w:style>
  <w:style w:type="paragraph" w:styleId="1030" w:customStyle="1">
    <w:name w:val="_Style 12"/>
    <w:basedOn w:val="956"/>
    <w:uiPriority w:val="0"/>
    <w:qFormat/>
    <w:pPr>
      <w:spacing w:line="360" w:lineRule="auto"/>
    </w:pPr>
  </w:style>
  <w:style w:type="paragraph" w:styleId="1031" w:customStyle="1">
    <w:name w:val="列出段落1"/>
    <w:basedOn w:val="940"/>
    <w:uiPriority w:val="0"/>
    <w:qFormat/>
    <w:pPr>
      <w:ind w:firstLine="420"/>
    </w:pPr>
    <w:rPr>
      <w:rFonts w:ascii="Calibri" w:hAnsi="Calibri"/>
      <w:szCs w:val="21"/>
    </w:rPr>
  </w:style>
  <w:style w:type="paragraph" w:styleId="1032" w:customStyle="1">
    <w:name w:val="缩进正文-"/>
    <w:basedOn w:val="940"/>
    <w:uiPriority w:val="0"/>
    <w:qFormat/>
    <w:pPr>
      <w:ind w:firstLine="200"/>
      <w:spacing w:before="100" w:beforeAutospacing="1" w:line="360" w:lineRule="auto"/>
    </w:pPr>
    <w:rPr>
      <w:rFonts w:ascii="宋体" w:hAnsi="宋体" w:eastAsia="宋体"/>
      <w:color w:val="000000"/>
      <w:sz w:val="24"/>
      <w:szCs w:val="21"/>
    </w:rPr>
  </w:style>
  <w:style w:type="paragraph" w:styleId="1033" w:customStyle="1">
    <w:name w:val="*正文"/>
    <w:basedOn w:val="940"/>
    <w:uiPriority w:val="0"/>
    <w:qFormat/>
    <w:pPr>
      <w:ind w:firstLine="200"/>
      <w:spacing w:line="360" w:lineRule="auto"/>
      <w:widowControl/>
    </w:pPr>
    <w:rPr>
      <w:rFonts w:ascii="仿宋_GB2312" w:hAnsi="Calibri" w:eastAsia="仿宋_GB2312"/>
      <w:sz w:val="24"/>
      <w:szCs w:val="28"/>
    </w:rPr>
  </w:style>
  <w:style w:type="paragraph" w:styleId="1034" w:customStyle="1">
    <w:name w:val="纯文本11"/>
    <w:basedOn w:val="940"/>
    <w:uiPriority w:val="99"/>
    <w:qFormat/>
    <w:rPr>
      <w:rFonts w:ascii="宋体" w:hAnsi="Courier New"/>
    </w:rPr>
  </w:style>
  <w:style w:type="paragraph" w:styleId="1035" w:customStyle="1">
    <w:name w:val="Char Char Char1 Char"/>
    <w:basedOn w:val="940"/>
    <w:uiPriority w:val="0"/>
    <w:semiHidden/>
    <w:qFormat/>
    <w:pPr>
      <w:ind w:firstLine="200"/>
      <w:spacing w:line="360" w:lineRule="auto"/>
    </w:pPr>
    <w:rPr>
      <w:rFonts w:ascii="宋体" w:hAnsi="宋体" w:cs="宋体"/>
      <w:sz w:val="24"/>
    </w:rPr>
  </w:style>
  <w:style w:type="paragraph" w:styleId="1036" w:customStyle="1">
    <w:name w:val="Char Char1 Char Char Char Char"/>
    <w:basedOn w:val="956"/>
    <w:uiPriority w:val="0"/>
    <w:qFormat/>
    <w:pPr>
      <w:spacing w:line="360" w:lineRule="auto"/>
    </w:pPr>
    <w:rPr>
      <w:rFonts w:ascii="Tahoma" w:hAnsi="Tahoma" w:eastAsia="宋体"/>
      <w:sz w:val="24"/>
      <w:szCs w:val="24"/>
    </w:rPr>
  </w:style>
  <w:style w:type="paragraph" w:styleId="1037" w:customStyle="1">
    <w:name w:val="p0"/>
    <w:basedOn w:val="940"/>
    <w:uiPriority w:val="0"/>
    <w:qFormat/>
    <w:rPr>
      <w:rFonts w:hint="eastAsia"/>
    </w:rPr>
  </w:style>
  <w:style w:type="paragraph" w:styleId="1038">
    <w:name w:val="List Paragraph"/>
    <w:basedOn w:val="940"/>
    <w:uiPriority w:val="34"/>
    <w:qFormat/>
    <w:pPr>
      <w:ind w:firstLine="420"/>
    </w:pPr>
    <w:rPr>
      <w:rFonts w:ascii="宋体" w:hAnsi="宋体" w:eastAsia="宋体"/>
      <w:sz w:val="24"/>
      <w:szCs w:val="24"/>
    </w:rPr>
  </w:style>
  <w:style w:type="paragraph" w:styleId="1039" w:customStyle="1">
    <w:name w:val="Char"/>
    <w:basedOn w:val="940"/>
    <w:uiPriority w:val="0"/>
    <w:qFormat/>
    <w:rPr>
      <w:rFonts w:ascii="Tahoma" w:hAnsi="Tahoma" w:eastAsia="宋体"/>
      <w:sz w:val="24"/>
    </w:rPr>
  </w:style>
  <w:style w:type="paragraph" w:styleId="1040" w:customStyle="1">
    <w:name w:val="列出段落2"/>
    <w:basedOn w:val="940"/>
    <w:uiPriority w:val="34"/>
    <w:qFormat/>
    <w:pPr>
      <w:ind w:firstLine="420"/>
    </w:pPr>
  </w:style>
  <w:style w:type="paragraph" w:styleId="1041" w:customStyle="1">
    <w:name w:val="纯文本12"/>
    <w:basedOn w:val="940"/>
    <w:uiPriority w:val="0"/>
    <w:qFormat/>
    <w:rPr>
      <w:rFonts w:ascii="宋体" w:hAnsi="Courier New"/>
    </w:rPr>
  </w:style>
  <w:style w:type="paragraph" w:styleId="1042" w:customStyle="1">
    <w:name w:val="纯文本2"/>
    <w:basedOn w:val="940"/>
    <w:uiPriority w:val="0"/>
    <w:qFormat/>
    <w:rPr>
      <w:rFonts w:ascii="宋体" w:hAnsi="Courier New"/>
    </w:rPr>
  </w:style>
  <w:style w:type="paragraph" w:styleId="1043" w:customStyle="1">
    <w:name w:val="Char1"/>
    <w:basedOn w:val="940"/>
    <w:uiPriority w:val="0"/>
    <w:qFormat/>
    <w:rPr>
      <w:rFonts w:ascii="Tahoma" w:hAnsi="Tahoma" w:eastAsia="宋体"/>
      <w:sz w:val="24"/>
    </w:rPr>
  </w:style>
  <w:style w:type="paragraph" w:styleId="1044" w:customStyle="1">
    <w:name w:val="表格内容"/>
    <w:basedOn w:val="940"/>
    <w:uiPriority w:val="0"/>
    <w:qFormat/>
    <w:pPr>
      <w:jc w:val="left"/>
      <w:spacing w:before="100" w:beforeAutospacing="1" w:after="100" w:afterAutospacing="1" w:line="360" w:lineRule="auto"/>
    </w:pPr>
    <w:rPr>
      <w:rFonts w:ascii="宋体" w:hAnsi="宋体" w:eastAsia="宋体"/>
      <w:bCs/>
      <w:sz w:val="21"/>
      <w:szCs w:val="21"/>
    </w:rPr>
  </w:style>
  <w:style w:type="paragraph" w:styleId="1045" w:customStyle="1">
    <w:name w:val="纯文本3"/>
    <w:basedOn w:val="940"/>
    <w:uiPriority w:val="0"/>
    <w:qFormat/>
    <w:rPr>
      <w:rFonts w:ascii="宋体" w:hAnsi="Courier New"/>
      <w:sz w:val="28"/>
    </w:rPr>
  </w:style>
  <w:style w:type="paragraph" w:styleId="1046" w:customStyle="1">
    <w:name w:val="font7"/>
    <w:basedOn w:val="940"/>
    <w:uiPriority w:val="0"/>
    <w:qFormat/>
    <w:pPr>
      <w:jc w:val="left"/>
      <w:spacing w:before="100" w:beforeAutospacing="1" w:after="100" w:afterAutospacing="1"/>
      <w:widowControl/>
    </w:pPr>
    <w:rPr>
      <w:rFonts w:eastAsia="宋体"/>
      <w:sz w:val="20"/>
    </w:rPr>
  </w:style>
  <w:style w:type="paragraph" w:styleId="1047" w:customStyle="1">
    <w:name w:val="纯文本4"/>
    <w:basedOn w:val="940"/>
    <w:uiPriority w:val="0"/>
    <w:qFormat/>
    <w:rPr>
      <w:rFonts w:ascii="宋体" w:hAnsi="Courier New"/>
    </w:rPr>
  </w:style>
  <w:style w:type="paragraph" w:styleId="1048" w:customStyle="1">
    <w:name w:val="纯文本5"/>
    <w:basedOn w:val="940"/>
    <w:uiPriority w:val="0"/>
    <w:qFormat/>
    <w:rPr>
      <w:rFonts w:ascii="宋体" w:hAnsi="Courier New"/>
      <w:sz w:val="28"/>
    </w:rPr>
  </w:style>
  <w:style w:type="paragraph" w:styleId="1049" w:customStyle="1">
    <w:name w:val="Default"/>
    <w:next w:val="958"/>
    <w:uiPriority w:val="0"/>
    <w:qFormat/>
    <w:pPr>
      <w:widowControl w:val="off"/>
    </w:pPr>
    <w:rPr>
      <w:rFonts w:ascii="宋体" w:hAnsi="Calibri" w:eastAsia="宋体" w:cs="宋体"/>
      <w:color w:val="000000"/>
      <w:sz w:val="24"/>
      <w:szCs w:val="24"/>
      <w:lang w:val="en-US" w:eastAsia="zh-CN" w:bidi="ar-SA"/>
    </w:rPr>
  </w:style>
  <w:style w:type="character" w:styleId="1050" w:customStyle="1">
    <w:name w:val="font171"/>
    <w:basedOn w:val="950"/>
    <w:uiPriority w:val="0"/>
    <w:qFormat/>
    <w:rPr>
      <w:rFonts w:hint="eastAsia" w:ascii="宋体" w:hAnsi="宋体" w:eastAsia="宋体" w:cs="宋体"/>
      <w:b/>
      <w:bCs/>
      <w:color w:val="000000"/>
      <w:sz w:val="36"/>
      <w:szCs w:val="36"/>
      <w:u w:val="none"/>
    </w:rPr>
  </w:style>
  <w:style w:type="character" w:styleId="1051" w:customStyle="1">
    <w:name w:val="font41"/>
    <w:basedOn w:val="950"/>
    <w:uiPriority w:val="0"/>
    <w:qFormat/>
    <w:rPr>
      <w:rFonts w:hint="default" w:ascii="Times New Roman" w:hAnsi="Times New Roman" w:cs="Times New Roman"/>
      <w:b/>
      <w:bCs/>
      <w:color w:val="000000"/>
      <w:sz w:val="36"/>
      <w:szCs w:val="36"/>
      <w:u w:val="none"/>
    </w:rPr>
  </w:style>
  <w:style w:type="character" w:styleId="1052" w:customStyle="1">
    <w:name w:val="font101"/>
    <w:basedOn w:val="950"/>
    <w:uiPriority w:val="0"/>
    <w:qFormat/>
    <w:rPr>
      <w:rFonts w:hint="eastAsia" w:ascii="宋体" w:hAnsi="宋体" w:eastAsia="宋体" w:cs="宋体"/>
      <w:b/>
      <w:bCs/>
      <w:color w:val="000000"/>
      <w:sz w:val="24"/>
      <w:szCs w:val="24"/>
      <w:u w:val="none"/>
    </w:rPr>
  </w:style>
  <w:style w:type="character" w:styleId="1053" w:customStyle="1">
    <w:name w:val="font91"/>
    <w:basedOn w:val="950"/>
    <w:uiPriority w:val="0"/>
    <w:qFormat/>
    <w:rPr>
      <w:rFonts w:hint="default" w:ascii="Times New Roman" w:hAnsi="Times New Roman" w:cs="Times New Roman"/>
      <w:b/>
      <w:bCs/>
      <w:color w:val="000000"/>
      <w:sz w:val="24"/>
      <w:szCs w:val="24"/>
      <w:u w:val="none"/>
    </w:rPr>
  </w:style>
  <w:style w:type="character" w:styleId="1054" w:customStyle="1">
    <w:name w:val="font121"/>
    <w:basedOn w:val="950"/>
    <w:uiPriority w:val="0"/>
    <w:qFormat/>
    <w:rPr>
      <w:rFonts w:hint="eastAsia" w:ascii="宋体" w:hAnsi="宋体" w:eastAsia="宋体" w:cs="宋体"/>
      <w:color w:val="000000"/>
      <w:sz w:val="24"/>
      <w:szCs w:val="24"/>
      <w:u w:val="none"/>
    </w:rPr>
  </w:style>
  <w:style w:type="character" w:styleId="1055" w:customStyle="1">
    <w:name w:val="font61"/>
    <w:basedOn w:val="950"/>
    <w:uiPriority w:val="0"/>
    <w:qFormat/>
    <w:rPr>
      <w:rFonts w:hint="default" w:ascii="Times New Roman" w:hAnsi="Times New Roman" w:cs="Times New Roman"/>
      <w:color w:val="000000"/>
      <w:sz w:val="24"/>
      <w:szCs w:val="24"/>
      <w:u w:val="none"/>
    </w:rPr>
  </w:style>
  <w:style w:type="character" w:styleId="1056" w:customStyle="1">
    <w:name w:val="font151"/>
    <w:basedOn w:val="950"/>
    <w:uiPriority w:val="0"/>
    <w:qFormat/>
    <w:rPr>
      <w:rFonts w:ascii="宋体" w:hAnsi="宋体" w:eastAsia="宋体" w:cs="宋体"/>
      <w:color w:val="000000"/>
      <w:sz w:val="24"/>
      <w:szCs w:val="24"/>
      <w:u w:val="none"/>
    </w:rPr>
  </w:style>
  <w:style w:type="paragraph" w:styleId="1057"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58" w:customStyle="1">
    <w:name w:val="msolistparagraph"/>
    <w:basedOn w:val="940"/>
    <w:uiPriority w:val="0"/>
    <w:qFormat/>
    <w:pPr>
      <w:ind w:firstLine="420"/>
    </w:pPr>
    <w:rPr>
      <w:szCs w:val="21"/>
    </w:rPr>
  </w:style>
  <w:style w:type="paragraph" w:styleId="1059" w:customStyle="1">
    <w:name w:val="Table Paragraph"/>
    <w:basedOn w:val="940"/>
    <w:uiPriority w:val="1"/>
    <w:qFormat/>
    <w:rPr>
      <w:rFonts w:ascii="宋体" w:hAnsi="宋体" w:cs="宋体"/>
      <w:lang w:val="zh-CN" w:bidi="zh-CN"/>
    </w:rPr>
  </w:style>
  <w:style w:type="character" w:styleId="1060" w:customStyle="1">
    <w:name w:val="font21"/>
    <w:basedOn w:val="950"/>
    <w:uiPriority w:val="0"/>
    <w:qFormat/>
    <w:rPr>
      <w:rFonts w:hint="eastAsia" w:ascii="仿宋" w:hAnsi="仿宋" w:eastAsia="仿宋" w:cs="仿宋"/>
      <w:color w:val="000000"/>
      <w:sz w:val="22"/>
      <w:szCs w:val="22"/>
      <w:u w:val="none"/>
    </w:rPr>
  </w:style>
  <w:style w:type="character" w:styleId="1061" w:customStyle="1">
    <w:name w:val="font71"/>
    <w:basedOn w:val="950"/>
    <w:uiPriority w:val="0"/>
    <w:qFormat/>
    <w:rPr>
      <w:rFonts w:hint="eastAsia" w:ascii="宋体" w:hAnsi="宋体" w:eastAsia="宋体" w:cs="宋体"/>
      <w:color w:val="000000"/>
      <w:sz w:val="22"/>
      <w:szCs w:val="22"/>
      <w:u w:val="none"/>
    </w:rPr>
  </w:style>
  <w:style w:type="character" w:styleId="1062" w:customStyle="1">
    <w:name w:val="font01"/>
    <w:basedOn w:val="950"/>
    <w:uiPriority w:val="0"/>
    <w:qFormat/>
    <w:rPr>
      <w:rFonts w:hint="eastAsia" w:ascii="宋体" w:hAnsi="宋体" w:eastAsia="宋体" w:cs="宋体"/>
      <w:color w:val="000000"/>
      <w:sz w:val="22"/>
      <w:szCs w:val="22"/>
      <w:u w:val="none"/>
    </w:rPr>
  </w:style>
  <w:style w:type="character" w:styleId="1063" w:customStyle="1">
    <w:name w:val="font11"/>
    <w:basedOn w:val="950"/>
    <w:uiPriority w:val="0"/>
    <w:qFormat/>
    <w:rPr>
      <w:rFonts w:hint="eastAsia" w:ascii="宋体" w:hAnsi="宋体" w:eastAsia="宋体" w:cs="宋体"/>
      <w:color w:val="ff0000"/>
      <w:sz w:val="22"/>
      <w:szCs w:val="22"/>
      <w:u w:val="none"/>
    </w:rPr>
  </w:style>
  <w:style w:type="character" w:styleId="1064" w:customStyle="1">
    <w:name w:val="font31"/>
    <w:basedOn w:val="950"/>
    <w:uiPriority w:val="0"/>
    <w:qFormat/>
    <w:rPr>
      <w:rFonts w:hint="eastAsia" w:ascii="宋体" w:hAnsi="宋体" w:eastAsia="宋体" w:cs="宋体"/>
      <w:color w:val="ff0000"/>
      <w:sz w:val="22"/>
      <w:szCs w:val="22"/>
      <w:u w:val="none"/>
    </w:rPr>
  </w:style>
  <w:style w:type="paragraph" w:styleId="1065" w:customStyle="1">
    <w:name w:val="p2"/>
    <w:basedOn w:val="940"/>
    <w:uiPriority w:val="0"/>
    <w:qFormat/>
    <w:pPr>
      <w:spacing w:before="100" w:beforeAutospacing="1" w:after="100" w:afterAutospacing="1"/>
    </w:pPr>
    <w:rPr>
      <w:rFonts w:ascii="宋体" w:hAnsi="宋体"/>
      <w:sz w:val="24"/>
      <w:szCs w:val="24"/>
    </w:rPr>
  </w:style>
  <w:style w:type="character" w:styleId="1066" w:customStyle="1">
    <w:name w:val="批注文字 字符"/>
    <w:link w:val="957"/>
    <w:uiPriority w:val="0"/>
    <w:qFormat/>
    <w:rPr>
      <w:rFonts w:eastAsia="楷体_GB2312"/>
      <w:sz w:val="26"/>
    </w:rPr>
  </w:style>
  <w:style w:type="character" w:styleId="1067" w:customStyle="1">
    <w:name w:val="NormalCharacter"/>
    <w:link w:val="1068"/>
    <w:uiPriority w:val="0"/>
    <w:qFormat/>
    <w:rPr>
      <w:sz w:val="20"/>
      <w:szCs w:val="20"/>
    </w:rPr>
  </w:style>
  <w:style w:type="paragraph" w:styleId="1068" w:customStyle="1">
    <w:name w:val="UserStyle_4"/>
    <w:basedOn w:val="940"/>
    <w:link w:val="1067"/>
    <w:uiPriority w:val="99"/>
    <w:qFormat/>
    <w:rPr>
      <w:sz w:val="20"/>
    </w:rPr>
  </w:style>
  <w:style w:type="character" w:styleId="1069" w:customStyle="1">
    <w:name w:val="hover"/>
    <w:basedOn w:val="950"/>
    <w:uiPriority w:val="0"/>
    <w:qFormat/>
    <w:rPr>
      <w:color w:val="2590eb"/>
    </w:rPr>
  </w:style>
  <w:style w:type="character" w:styleId="1070" w:customStyle="1">
    <w:name w:val="hover1"/>
    <w:basedOn w:val="950"/>
    <w:uiPriority w:val="0"/>
    <w:qFormat/>
  </w:style>
  <w:style w:type="character" w:styleId="1071" w:customStyle="1">
    <w:name w:val="hover2"/>
    <w:basedOn w:val="950"/>
    <w:uiPriority w:val="0"/>
    <w:qFormat/>
    <w:rPr>
      <w:color w:val="2590eb"/>
    </w:rPr>
  </w:style>
  <w:style w:type="character" w:styleId="1072" w:customStyle="1">
    <w:name w:val="15"/>
    <w:basedOn w:val="950"/>
    <w:uiPriority w:val="0"/>
    <w:qFormat/>
  </w:style>
  <w:style w:type="paragraph" w:styleId="1073" w:customStyle="1">
    <w:name w:val="p"/>
    <w:basedOn w:val="940"/>
    <w:uiPriority w:val="0"/>
    <w:qFormat/>
    <w:pPr>
      <w:jc w:val="left"/>
      <w:spacing w:before="100" w:beforeAutospacing="1" w:after="100" w:afterAutospacing="1"/>
      <w:widowControl/>
    </w:pPr>
    <w:rPr>
      <w:rFonts w:ascii="宋体" w:hAnsi="宋体" w:eastAsia="宋体" w:cs="宋体"/>
      <w:sz w:val="24"/>
      <w:szCs w:val="24"/>
    </w:rPr>
  </w:style>
  <w:style w:type="character" w:styleId="1074" w:customStyle="1">
    <w:name w:val="页脚 字符"/>
    <w:basedOn w:val="950"/>
    <w:link w:val="971"/>
    <w:uiPriority w:val="99"/>
    <w:qFormat/>
    <w:rPr>
      <w:rFonts w:eastAsia="楷体_GB2312"/>
      <w:sz w:val="18"/>
    </w:rPr>
  </w:style>
  <w:style w:type="character" w:styleId="1075" w:customStyle="1">
    <w:name w:val="页眉 字符"/>
    <w:basedOn w:val="950"/>
    <w:link w:val="973"/>
    <w:uiPriority w:val="99"/>
    <w:qFormat/>
    <w:rPr>
      <w:rFonts w:eastAsia="楷体_GB2312"/>
      <w:sz w:val="18"/>
    </w:rPr>
  </w:style>
  <w:style w:type="character" w:styleId="1076" w:customStyle="1">
    <w:name w:val="标题 1 字符"/>
    <w:link w:val="941"/>
    <w:uiPriority w:val="0"/>
    <w:qFormat/>
    <w:rPr>
      <w:rFonts w:eastAsia="楷体_GB2312"/>
      <w:b/>
      <w:sz w:val="44"/>
    </w:rPr>
  </w:style>
  <w:style w:type="character" w:styleId="1077" w:customStyle="1">
    <w:name w:val="标题 字符"/>
    <w:basedOn w:val="950"/>
    <w:link w:val="989"/>
    <w:uiPriority w:val="10"/>
    <w:qFormat/>
    <w:rPr>
      <w:rFonts w:ascii="黑体" w:hAnsi="黑体" w:eastAsia="黑体"/>
      <w:sz w:val="28"/>
      <w:szCs w:val="24"/>
    </w:rPr>
  </w:style>
  <w:style w:type="paragraph" w:styleId="1078" w:customStyle="1">
    <w:name w:val="UserStyle_780"/>
    <w:basedOn w:val="940"/>
    <w:uiPriority w:val="0"/>
    <w:qFormat/>
    <w:rPr>
      <w:rFonts w:ascii="宋体" w:hAnsi="Courier New"/>
      <w:sz w:val="28"/>
      <w:szCs w:val="24"/>
    </w:rPr>
  </w:style>
  <w:style w:type="paragraph" w:styleId="1079" w:customStyle="1">
    <w:name w:val="修订1"/>
    <w:hidden/>
    <w:uiPriority w:val="99"/>
    <w:semiHidden/>
    <w:qFormat/>
    <w:rPr>
      <w:rFonts w:ascii="Times New Roman" w:hAnsi="Times New Roman" w:eastAsia="楷体_GB2312" w:cs="Times New Roman"/>
      <w:sz w:val="26"/>
      <w:lang w:val="en-US" w:eastAsia="zh-CN" w:bidi="ar-SA"/>
    </w:rPr>
  </w:style>
  <w:style w:type="paragraph" w:styleId="1080" w:customStyle="1">
    <w:name w:val="修订2"/>
    <w:hidden/>
    <w:uiPriority w:val="99"/>
    <w:unhideWhenUsed/>
    <w:qFormat/>
    <w:rPr>
      <w:rFonts w:ascii="Times New Roman" w:hAnsi="Times New Roman" w:eastAsia="楷体_GB2312" w:cs="Times New Roman"/>
      <w:sz w:val="26"/>
      <w:lang w:val="en-US" w:eastAsia="zh-CN" w:bidi="ar-SA"/>
    </w:rPr>
  </w:style>
  <w:style w:type="character" w:styleId="1081" w:customStyle="1">
    <w:name w:val="font51"/>
    <w:basedOn w:val="950"/>
    <w:uiPriority w:val="0"/>
    <w:qFormat/>
    <w:rPr>
      <w:rFonts w:hint="eastAsia" w:ascii="仿宋" w:hAnsi="仿宋" w:eastAsia="仿宋" w:cs="仿宋"/>
      <w:color w:val="ff0000"/>
      <w:sz w:val="20"/>
      <w:szCs w:val="20"/>
      <w:u w:val="none"/>
    </w:rPr>
  </w:style>
  <w:style w:type="table" w:styleId="1082" w:customStyle="1">
    <w:name w:val="网格型1"/>
    <w:basedOn w:val="1083"/>
    <w:uiPriority w:val="0"/>
    <w:qFormat/>
    <w:pPr>
      <w:jc w:val="both"/>
      <w:widowControl w:val="off"/>
    </w:pPr>
    <w:tblPr/>
  </w:style>
  <w:style w:type="table" w:styleId="1083" w:customStyle="1">
    <w:name w:val="普通表格1"/>
    <w:uiPriority w:val="0"/>
    <w:qFormat/>
    <w:tblPr>
      <w:tblCellMar>
        <w:left w:w="0" w:type="dxa"/>
        <w:top w:w="0" w:type="dxa"/>
        <w:right w:w="0" w:type="dxa"/>
        <w:bottom w:w="0" w:type="dxa"/>
      </w:tblCellMar>
    </w:tblPr>
  </w:style>
  <w:style w:type="character" w:styleId="1084" w:customStyle="1">
    <w:name w:val="font81"/>
    <w:basedOn w:val="950"/>
    <w:uiPriority w:val="0"/>
    <w:qFormat/>
    <w:rPr>
      <w:rFonts w:ascii="微软雅黑" w:hAnsi="微软雅黑" w:eastAsia="微软雅黑" w:cs="微软雅黑"/>
      <w:color w:val="000000"/>
      <w:sz w:val="21"/>
      <w:szCs w:val="21"/>
      <w:u w:val="none"/>
    </w:rPr>
  </w:style>
  <w:style w:type="character" w:styleId="1085" w:customStyle="1">
    <w:name w:val="apple-style-span"/>
    <w:basedOn w:val="950"/>
    <w:uiPriority w:val="0"/>
    <w:qFormat/>
  </w:style>
  <w:style w:type="paragraph" w:styleId="108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表格文字"/>
    <w:basedOn w:val="940"/>
    <w:next w:val="959"/>
    <w:uiPriority w:val="0"/>
    <w:qFormat/>
    <w:pPr>
      <w:jc w:val="left"/>
      <w:spacing w:line="360" w:lineRule="auto"/>
    </w:pPr>
    <w:rPr>
      <w:bCs/>
      <w:spacing w:val="10"/>
    </w:rPr>
  </w:style>
  <w:style w:type="character" w:styleId="1088" w:customStyle="1">
    <w:name w:val="16"/>
    <w:basedOn w:val="950"/>
    <w:uiPriority w:val="0"/>
    <w:qFormat/>
    <w:rPr>
      <w:rFonts w:hint="default" w:ascii="Times New Roman" w:hAnsi="Times New Roman" w:cs="Times New Roman"/>
      <w:i/>
    </w:rPr>
  </w:style>
  <w:style w:type="paragraph" w:styleId="1089" w:customStyle="1">
    <w:name w:val="+正文"/>
    <w:basedOn w:val="940"/>
    <w:uiPriority w:val="0"/>
    <w:qFormat/>
    <w:pPr>
      <w:ind w:firstLine="200"/>
      <w:spacing w:line="360" w:lineRule="auto"/>
    </w:pPr>
    <w:rPr>
      <w:sz w:val="24"/>
    </w:rPr>
  </w:style>
  <w:style w:type="paragraph" w:styleId="1090" w:customStyle="1">
    <w:name w:val="bodytext indent_0.75"/>
    <w:basedOn w:val="940"/>
    <w:uiPriority w:val="0"/>
    <w:qFormat/>
    <w:pPr>
      <w:ind w:left="990"/>
      <w:spacing w:after="60" w:line="400" w:lineRule="atLeast"/>
      <w:tabs>
        <w:tab w:val="left" w:pos="1440" w:leader="none"/>
      </w:tabs>
    </w:pPr>
    <w:rPr>
      <w:rFonts w:ascii="ABBvoice CNSG" w:hAnsi="ABBvoice CNSG" w:eastAsia="ABBvoice CNSG"/>
    </w:rPr>
  </w:style>
  <w:style w:type="character" w:styleId="1091" w:customStyle="1">
    <w:name w:val="fontstyle11"/>
    <w:uiPriority w:val="0"/>
    <w:qFormat/>
    <w:rPr>
      <w:rFonts w:ascii="TimesNewRomanPSMT" w:hAnsi="TimesNewRomanPSMT" w:eastAsia="TimesNewRomanPSMT" w:cs="TimesNewRomanPSMT"/>
      <w:color w:val="000000"/>
      <w:sz w:val="22"/>
      <w:szCs w:val="22"/>
    </w:rPr>
  </w:style>
  <w:style w:type="character" w:styleId="1092" w:customStyle="1">
    <w:name w:val="fontstyle01"/>
    <w:uiPriority w:val="0"/>
    <w:qFormat/>
    <w:rPr>
      <w:rFonts w:hint="eastAsia" w:ascii="宋体" w:hAnsi="宋体" w:eastAsia="宋体" w:cs="宋体"/>
      <w:color w:val="000000"/>
      <w:sz w:val="24"/>
      <w:szCs w:val="24"/>
    </w:rPr>
  </w:style>
  <w:style w:type="character" w:styleId="1093" w:customStyle="1">
    <w:name w:val="fontstyle21"/>
    <w:uiPriority w:val="0"/>
    <w:qFormat/>
    <w:rPr>
      <w:rFonts w:hint="default" w:ascii="Times New Roman" w:hAnsi="Times New Roman" w:cs="Times New Roman"/>
      <w:color w:val="000000"/>
      <w:sz w:val="18"/>
      <w:szCs w:val="18"/>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6D716C-ED16-404E-BDC9-AD32125575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9</cp:revision>
  <dcterms:created xsi:type="dcterms:W3CDTF">2026-09-03T02:16:00Z</dcterms:created>
  <dcterms:modified xsi:type="dcterms:W3CDTF">2026-09-09T01:19:11Z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3276159CFC304494A9D450A9153AF724_13</vt:lpwstr>
  </property>
  <property fmtid="{D5CDD505-2E9C-101B-9397-08002B2CF9AE}" pid="4" name="KSOTemplateDocerSaveRecord">
    <vt:lpwstr>eyJoZGlkIjoiZTg1ZjBiYjczODk3ZDAxZTcxNzhmZTc1ZjVmOWU3NDAiLCJ1c2VySWQiOiI0MTgxMDg2MzUifQ==</vt:lpwstr>
  </property>
</Properties>
</file>