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JSZC-321081-BYGC-G2026-0010</w:t>
      </w:r>
      <w:r>
        <w:rPr>
          <w:rFonts w:ascii="宋体" w:hAnsi="宋体"/>
          <w:b/>
          <w:bCs/>
          <w:color w:val="000000"/>
          <w:sz w:val="22"/>
          <w:szCs w:val="16"/>
          <w:highlight w:val="none"/>
          <w:lang w:val="en-US" w:eastAsia="zh-CN"/>
        </w:rPr>
      </w:r>
      <w:r/>
    </w:p>
    <w:p>
      <w:pPr>
        <w:pStyle w:val="985"/>
        <w:keepLines/>
        <w:keepNext/>
        <w:pageBreakBefore w:val="0"/>
        <w:spacing w:before="0" w:after="90" w:line="240" w:lineRule="auto"/>
        <w:widowControl w:val="off"/>
        <w:rPr>
          <w:rFonts w:hint="eastAsia"/>
          <w:sz w:val="15"/>
          <w:szCs w:val="8"/>
          <w:highlight w:val="none"/>
        </w:rPr>
      </w:pPr>
      <w:r>
        <w:rPr>
          <w:rFonts w:hint="eastAsia"/>
          <w:sz w:val="15"/>
          <w:szCs w:val="8"/>
          <w:highlight w:val="none"/>
        </w:rPr>
      </w:r>
      <w:r/>
    </w:p>
    <w:p>
      <w:pPr>
        <w:pStyle w:val="984"/>
        <w:jc w:val="center"/>
        <w:keepLines w:val="0"/>
        <w:keepNext w:val="0"/>
        <w:pageBreakBefore w:val="0"/>
        <w:widowControl w:val="off"/>
        <w:rPr>
          <w:rFonts w:hint="eastAsia" w:ascii="宋体" w:hAnsi="宋体" w:eastAsia="宋体" w:cs="Times New Roman"/>
          <w:b/>
          <w:bCs/>
          <w:color w:val="000000"/>
          <w:sz w:val="32"/>
          <w:szCs w:val="21"/>
          <w:highlight w:val="none"/>
          <w:lang w:eastAsia="zh-CN"/>
        </w:rPr>
      </w:pPr>
      <w:r>
        <w:rPr>
          <w:rFonts w:hint="eastAsia" w:ascii="宋体" w:hAnsi="宋体" w:eastAsia="宋体" w:cs="Times New Roman"/>
          <w:b/>
          <w:bCs/>
          <w:color w:val="000000"/>
          <w:sz w:val="32"/>
          <w:szCs w:val="21"/>
          <w:highlight w:val="none"/>
          <w:lang w:eastAsia="zh-CN"/>
        </w:rPr>
      </w:r>
      <w:r/>
    </w:p>
    <w:p>
      <w:pPr>
        <w:pStyle w:val="984"/>
        <w:jc w:val="center"/>
        <w:keepLines w:val="0"/>
        <w:keepNext w:val="0"/>
        <w:pageBreakBefore w:val="0"/>
        <w:spacing w:line="360" w:lineRule="auto"/>
        <w:widowControl w:val="off"/>
        <w:rPr>
          <w:rFonts w:hint="eastAsia" w:ascii="宋体" w:hAnsi="宋体" w:eastAsia="宋体" w:cs="Times New Roman"/>
          <w:b/>
          <w:bCs/>
          <w:color w:val="000000"/>
          <w:sz w:val="32"/>
          <w:szCs w:val="21"/>
          <w:highlight w:val="none"/>
          <w:lang w:eastAsia="zh-CN"/>
        </w:rPr>
      </w:pPr>
      <w:r>
        <w:rPr>
          <w:rFonts w:hint="eastAsia" w:ascii="宋体" w:hAnsi="宋体" w:eastAsia="宋体" w:cs="Times New Roman"/>
          <w:b/>
          <w:bCs/>
          <w:color w:val="000000"/>
          <w:sz w:val="32"/>
          <w:szCs w:val="21"/>
          <w:highlight w:val="none"/>
          <w:lang w:eastAsia="zh-CN"/>
        </w:rPr>
      </w:r>
      <w:r>
        <w:rPr>
          <w:rFonts w:hint="eastAsia" w:ascii="宋体" w:hAnsi="宋体" w:eastAsia="宋体" w:cs="Times New Roman"/>
          <w:b/>
          <w:bCs/>
          <w:color w:val="000000"/>
          <w:sz w:val="32"/>
          <w:szCs w:val="21"/>
          <w:highlight w:val="none"/>
          <w:lang w:eastAsia="zh-CN"/>
        </w:rPr>
        <w:t xml:space="preserve">仪征市环境卫生管理处（仪征市城市管理局）办公大楼能源费用托管项目</w:t>
      </w:r>
      <w:r>
        <w:rPr>
          <w:rFonts w:hint="eastAsia" w:ascii="宋体" w:hAnsi="宋体" w:eastAsia="宋体" w:cs="Times New Roman"/>
          <w:b/>
          <w:bCs/>
          <w:color w:val="000000"/>
          <w:sz w:val="32"/>
          <w:szCs w:val="21"/>
          <w:highlight w:val="none"/>
          <w:lang w:eastAsia="zh-CN"/>
        </w:rPr>
      </w:r>
      <w:r/>
    </w:p>
    <w:p>
      <w:pPr>
        <w:pStyle w:val="984"/>
        <w:jc w:val="center"/>
        <w:keepLines w:val="0"/>
        <w:keepNext w:val="0"/>
        <w:pageBreakBefore w:val="0"/>
        <w:spacing w:before="0" w:after="0"/>
        <w:widowControl w:val="off"/>
        <w:rPr>
          <w:rFonts w:hint="eastAsia" w:ascii="宋体" w:hAnsi="宋体"/>
          <w:b/>
          <w:bCs/>
          <w:color w:val="000000"/>
          <w:sz w:val="36"/>
          <w:highlight w:val="none"/>
        </w:rPr>
      </w:pPr>
      <w:r>
        <w:rPr>
          <w:rFonts w:hint="eastAsia" w:ascii="宋体" w:hAnsi="宋体"/>
          <w:b/>
          <w:bCs/>
          <w:color w:val="000000"/>
          <w:sz w:val="36"/>
          <w:highlight w:val="none"/>
        </w:rPr>
      </w: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991"/>
        <w:rPr>
          <w:b/>
          <w:bCs/>
          <w:color w:val="000000"/>
          <w:highlight w:val="none"/>
        </w:rPr>
      </w:pPr>
      <w:r>
        <w:rPr>
          <w:b/>
          <w:bCs/>
          <w:color w:val="000000"/>
          <w:highlight w:val="none"/>
        </w:rPr>
      </w:r>
      <w:r>
        <w:rPr>
          <w:b/>
          <w:bCs/>
          <w:color w:val="000000"/>
          <w:highlight w:val="none"/>
        </w:rPr>
      </w:r>
      <w:r/>
    </w:p>
    <w:p>
      <w:pPr>
        <w:pStyle w:val="984"/>
        <w:jc w:val="center"/>
        <w:rPr>
          <w:rFonts w:ascii="宋体" w:hAnsi="宋体"/>
          <w:b/>
          <w:bCs/>
          <w:color w:val="000000"/>
          <w:sz w:val="36"/>
          <w:highlight w:val="none"/>
        </w:rPr>
      </w:pPr>
      <w:r>
        <w:rPr>
          <w:rFonts w:hint="eastAsia" w:ascii="宋体" w:hAnsi="宋体" w:cs="宋体"/>
          <w:b/>
          <w:bCs/>
          <w:color w:val="000000"/>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80459</wp:posOffset>
                </wp:positionV>
                <wp:extent cx="5494020" cy="463613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737012585" name=""/>
                        <pic:cNvPicPr/>
                        <pic:nvPr/>
                      </pic:nvPicPr>
                      <pic:blipFill>
                        <a:blip r:embed="rId17"/>
                        <a:stretch/>
                      </pic:blipFill>
                      <pic:spPr bwMode="auto">
                        <a:xfrm>
                          <a:off x="0" y="0"/>
                          <a:ext cx="5494019" cy="46361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0pt;mso-position-horizontal:absolute;mso-position-vertical-relative:text;margin-top:6.3pt;mso-position-vertical:absolute;width:432.6pt;height:365.0pt;mso-wrap-distance-left:9.0pt;mso-wrap-distance-top:0.0pt;mso-wrap-distance-right:9.0pt;mso-wrap-distance-bottom:0.0pt;" stroked="f">
                <v:path textboxrect="0,0,0,0"/>
                <v:imagedata r:id="rId17" o:title=""/>
              </v:shape>
            </w:pict>
          </mc:Fallback>
        </mc:AlternateContent>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SHAPE  \* MERGEFORMAT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fldChar w:fldCharType="end"/>
      </w:r>
      <w:r>
        <w:rPr>
          <w:rFonts w:ascii="宋体" w:hAnsi="宋体"/>
          <w:b/>
          <w:bCs/>
          <w:color w:val="000000"/>
          <w:sz w:val="36"/>
          <w:highlight w:val="none"/>
        </w:rPr>
      </w:r>
      <w:r/>
    </w:p>
    <w:p>
      <w:pPr>
        <w:pStyle w:val="984"/>
        <w:jc w:val="center"/>
        <w:rPr>
          <w:rFonts w:ascii="宋体" w:hAnsi="宋体"/>
          <w:b/>
          <w:bCs/>
          <w:color w:val="000000"/>
          <w:sz w:val="36"/>
          <w:highlight w:val="none"/>
        </w:rPr>
      </w:pPr>
      <w:r>
        <w:rPr>
          <w:rFonts w:ascii="宋体" w:hAnsi="宋体"/>
          <w:b/>
          <w:bCs/>
          <w:color w:val="000000"/>
          <w:sz w:val="36"/>
          <w:highlight w:val="none"/>
        </w:rPr>
      </w:r>
      <w:r/>
    </w:p>
    <w:p>
      <w:pPr>
        <w:pStyle w:val="984"/>
        <w:jc w:val="center"/>
        <w:keepLines w:val="0"/>
        <w:keepNext w:val="0"/>
        <w:pageBreakBefore w:val="0"/>
        <w:spacing w:line="360" w:lineRule="auto"/>
        <w:widowControl w:val="off"/>
        <w:rPr>
          <w:rFonts w:hint="eastAsia" w:ascii="宋体" w:hAnsi="宋体"/>
          <w:b/>
          <w:bCs/>
          <w:color w:val="000000"/>
          <w:sz w:val="22"/>
          <w:szCs w:val="16"/>
          <w:highlight w:val="none"/>
          <w:lang w:val="en-US" w:eastAsia="zh-CN"/>
        </w:rPr>
      </w:pPr>
      <w:r>
        <w:rPr>
          <w:rFonts w:hint="eastAsia" w:ascii="宋体" w:hAnsi="宋体"/>
          <w:b/>
          <w:bCs/>
          <w:color w:val="000000"/>
          <w:sz w:val="22"/>
          <w:szCs w:val="16"/>
          <w:highlight w:val="none"/>
          <w:lang w:val="en-US" w:eastAsia="zh-CN"/>
        </w:rPr>
      </w:r>
      <w:r/>
    </w:p>
    <w:p>
      <w:pPr>
        <w:jc w:val="center"/>
        <w:keepLines w:val="0"/>
        <w:keepNext w:val="0"/>
        <w:pageBreakBefore w:val="0"/>
        <w:spacing w:after="65" w:line="360" w:lineRule="auto"/>
        <w:widowControl w:val="off"/>
        <w:rPr>
          <w:rFonts w:ascii="宋体" w:hAnsi="宋体" w:eastAsia="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r/>
    </w:p>
    <w:p>
      <w:pPr>
        <w:pStyle w:val="984"/>
        <w:jc w:val="center"/>
        <w:keepLines w:val="0"/>
        <w:keepNext w:val="0"/>
        <w:pageBreakBefore w:val="0"/>
        <w:spacing w:after="65" w:line="360" w:lineRule="auto"/>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t xml:space="preserve">招标单位：仪征市环境卫生管理处</w:t>
      </w:r>
      <w:r>
        <w:rPr>
          <w:rFonts w:ascii="宋体" w:hAnsi="宋体" w:eastAsia="宋体"/>
          <w:b/>
          <w:bCs/>
          <w:color w:val="000000"/>
          <w:sz w:val="32"/>
          <w:szCs w:val="21"/>
          <w:highlight w:val="none"/>
          <w:lang w:val="en-US" w:eastAsia="zh-CN"/>
        </w:rPr>
      </w:r>
      <w:r/>
    </w:p>
    <w:p>
      <w:pPr>
        <w:pStyle w:val="984"/>
        <w:jc w:val="center"/>
        <w:keepLines w:val="0"/>
        <w:keepNext w:val="0"/>
        <w:pageBreakBefore w:val="0"/>
        <w:spacing w:after="65" w:line="360" w:lineRule="auto"/>
        <w:widowControl w:val="off"/>
        <w:rPr>
          <w:rFonts w:hint="eastAsia" w:ascii="宋体" w:hAnsi="宋体" w:eastAsia="宋体"/>
          <w:b/>
          <w:bCs/>
          <w:color w:val="000000"/>
          <w:sz w:val="32"/>
          <w:szCs w:val="21"/>
          <w:highlight w:val="none"/>
          <w:lang w:eastAsia="zh-CN"/>
        </w:rPr>
      </w:pPr>
      <w:r>
        <w:rPr>
          <w:rFonts w:hint="eastAsia" w:ascii="宋体" w:hAnsi="宋体"/>
          <w:b/>
          <w:bCs/>
          <w:color w:val="000000"/>
          <w:sz w:val="32"/>
          <w:szCs w:val="21"/>
          <w:highlight w:val="none"/>
          <w:lang w:val="en-US" w:eastAsia="zh-CN"/>
        </w:rPr>
        <w:t xml:space="preserve">代理机构：</w:t>
      </w:r>
      <w:r>
        <w:rPr>
          <w:rFonts w:hint="eastAsia" w:ascii="宋体" w:hAnsi="宋体"/>
          <w:b/>
          <w:bCs/>
          <w:color w:val="000000"/>
          <w:sz w:val="32"/>
          <w:szCs w:val="21"/>
          <w:highlight w:val="none"/>
          <w:lang w:eastAsia="zh-CN"/>
        </w:rPr>
        <w:t xml:space="preserve">扬州博远工程咨询有限公司</w:t>
      </w:r>
      <w:r>
        <w:rPr>
          <w:rFonts w:hint="eastAsia" w:ascii="宋体" w:hAnsi="宋体" w:eastAsia="宋体"/>
          <w:b/>
          <w:bCs/>
          <w:color w:val="000000"/>
          <w:sz w:val="32"/>
          <w:szCs w:val="21"/>
          <w:highlight w:val="none"/>
          <w:lang w:eastAsia="zh-CN"/>
        </w:rPr>
      </w:r>
      <w:r/>
    </w:p>
    <w:p>
      <w:pPr>
        <w:pStyle w:val="984"/>
        <w:jc w:val="center"/>
        <w:keepLines w:val="0"/>
        <w:keepNext w:val="0"/>
        <w:pageBreakBefore w:val="0"/>
        <w:spacing w:line="360" w:lineRule="auto"/>
        <w:widowControl w:val="off"/>
        <w:rPr>
          <w:color w:val="000000"/>
          <w:highlight w:val="none"/>
        </w:rPr>
      </w:pPr>
      <w:r>
        <w:rPr>
          <w:rFonts w:hint="eastAsia" w:ascii="宋体" w:hAnsi="宋体"/>
          <w:b/>
          <w:bCs/>
          <w:color w:val="000000"/>
          <w:sz w:val="32"/>
          <w:szCs w:val="21"/>
          <w:highlight w:val="none"/>
        </w:rPr>
      </w:r>
      <w:r>
        <w:rPr>
          <w:rFonts w:hint="eastAsia" w:ascii="宋体" w:hAnsi="宋体"/>
          <w:b/>
          <w:bCs/>
          <w:color w:val="000000"/>
          <w:sz w:val="32"/>
          <w:szCs w:val="21"/>
          <w:highlight w:val="none"/>
        </w:rPr>
        <w:t xml:space="preserve">202</w:t>
      </w:r>
      <w:r>
        <w:rPr>
          <w:rFonts w:hint="eastAsia" w:ascii="宋体" w:hAnsi="宋体"/>
          <w:b/>
          <w:bCs/>
          <w:color w:val="000000"/>
          <w:sz w:val="32"/>
          <w:szCs w:val="21"/>
          <w:highlight w:val="none"/>
          <w:lang w:val="en-US" w:eastAsia="zh-CN"/>
        </w:rPr>
        <w:t xml:space="preserve">6</w:t>
      </w:r>
      <w:r>
        <w:rPr>
          <w:rFonts w:hint="eastAsia" w:ascii="宋体" w:hAnsi="宋体"/>
          <w:b/>
          <w:bCs/>
          <w:color w:val="000000"/>
          <w:sz w:val="32"/>
          <w:szCs w:val="21"/>
          <w:highlight w:val="none"/>
        </w:rPr>
        <w:t xml:space="preserve">年</w:t>
      </w:r>
      <w:r>
        <w:rPr>
          <w:rFonts w:hint="eastAsia" w:ascii="宋体" w:hAnsi="宋体"/>
          <w:b/>
          <w:bCs/>
          <w:color w:val="000000"/>
          <w:sz w:val="32"/>
          <w:szCs w:val="21"/>
          <w:highlight w:val="none"/>
          <w:lang w:val="en-US" w:eastAsia="zh-CN"/>
        </w:rPr>
        <w:t xml:space="preserve">9</w:t>
      </w:r>
      <w:r>
        <w:rPr>
          <w:rFonts w:hint="eastAsia" w:ascii="宋体" w:hAnsi="宋体"/>
          <w:b/>
          <w:bCs/>
          <w:color w:val="000000"/>
          <w:sz w:val="32"/>
          <w:szCs w:val="21"/>
          <w:highlight w:val="none"/>
        </w:rPr>
        <w:t xml:space="preserve">月</w:t>
      </w:r>
      <w:r>
        <w:rPr>
          <w:rFonts w:hint="eastAsia" w:ascii="宋体" w:hAnsi="宋体"/>
          <w:b/>
          <w:bCs/>
          <w:color w:val="000000"/>
          <w:sz w:val="36"/>
          <w:highlight w:val="none"/>
        </w:rPr>
        <w:br w:type="page" w:clear="all"/>
      </w:r>
      <w:r>
        <w:rPr>
          <w:color w:val="000000"/>
          <w:highlight w:val="none"/>
        </w:rPr>
      </w:r>
      <w:r/>
    </w:p>
    <w:p>
      <w:pPr>
        <w:pStyle w:val="984"/>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1009"/>
        <w:tabs>
          <w:tab w:val="right" w:pos="8306" w:leader="dot"/>
        </w:tabs>
        <w:rPr>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招标公告</w:t>
      </w:r>
      <w:r>
        <w:rPr>
          <w:highlight w:val="none"/>
        </w:rPr>
        <w:tab/>
      </w:r>
      <w:r>
        <w:rPr>
          <w:highlight w:val="none"/>
        </w:rPr>
        <w:fldChar w:fldCharType="begin"/>
      </w:r>
      <w:r>
        <w:rPr>
          <w:highlight w:val="none"/>
        </w:rPr>
        <w:instrText xml:space="preserve"> PAGEREF _Toc680 \h </w:instrText>
      </w:r>
      <w:r>
        <w:rPr>
          <w:highlight w:val="none"/>
        </w:rPr>
        <w:fldChar w:fldCharType="separate"/>
      </w:r>
      <w:r>
        <w:rPr>
          <w:highlight w:val="none"/>
        </w:rPr>
        <w:t xml:space="preserve">3</w:t>
      </w:r>
      <w:r>
        <w:rPr>
          <w:highlight w:val="none"/>
        </w:rPr>
        <w:fldChar w:fldCharType="end"/>
      </w:r>
      <w:r>
        <w:rPr>
          <w:highlight w:val="none"/>
        </w:rPr>
      </w:r>
      <w:r/>
    </w:p>
    <w:p>
      <w:pPr>
        <w:pStyle w:val="1009"/>
        <w:tabs>
          <w:tab w:val="right" w:pos="8306" w:leader="dot"/>
        </w:tabs>
        <w:rPr>
          <w:highlight w:val="none"/>
        </w:rPr>
      </w:pPr>
      <w:r>
        <w:rPr>
          <w:rFonts w:hint="eastAsia"/>
          <w:color w:val="000000"/>
          <w:szCs w:val="36"/>
          <w:highlight w:val="none"/>
          <w:lang w:val="en-US" w:eastAsia="zh-CN"/>
        </w:rPr>
        <w:t xml:space="preserve">第二章 投标人须知</w:t>
      </w:r>
      <w:r>
        <w:rPr>
          <w:highlight w:val="none"/>
        </w:rPr>
        <w:tab/>
      </w:r>
      <w:r>
        <w:rPr>
          <w:highlight w:val="none"/>
        </w:rPr>
        <w:fldChar w:fldCharType="begin"/>
      </w:r>
      <w:r>
        <w:rPr>
          <w:highlight w:val="none"/>
        </w:rPr>
        <w:instrText xml:space="preserve"> PAGEREF _Toc13616 \h </w:instrText>
      </w:r>
      <w:r>
        <w:rPr>
          <w:highlight w:val="none"/>
        </w:rPr>
        <w:fldChar w:fldCharType="separate"/>
      </w:r>
      <w:r>
        <w:rPr>
          <w:highlight w:val="none"/>
        </w:rPr>
        <w:t xml:space="preserve">7</w:t>
      </w:r>
      <w:r>
        <w:rPr>
          <w:highlight w:val="none"/>
        </w:rPr>
        <w:fldChar w:fldCharType="end"/>
      </w:r>
      <w:r>
        <w:rPr>
          <w:highlight w:val="none"/>
        </w:rPr>
      </w:r>
      <w:r/>
    </w:p>
    <w:p>
      <w:pPr>
        <w:pStyle w:val="1009"/>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highlight w:val="none"/>
        </w:rPr>
        <w:tab/>
      </w:r>
      <w:r>
        <w:rPr>
          <w:highlight w:val="none"/>
        </w:rPr>
        <w:fldChar w:fldCharType="begin"/>
      </w:r>
      <w:r>
        <w:rPr>
          <w:highlight w:val="none"/>
        </w:rPr>
        <w:instrText xml:space="preserve"> PAGEREF _Toc9566 \h </w:instrText>
      </w:r>
      <w:r>
        <w:rPr>
          <w:highlight w:val="none"/>
        </w:rPr>
        <w:fldChar w:fldCharType="separate"/>
      </w:r>
      <w:r>
        <w:rPr>
          <w:highlight w:val="none"/>
        </w:rPr>
        <w:t xml:space="preserve">18</w:t>
      </w:r>
      <w:r>
        <w:rPr>
          <w:highlight w:val="none"/>
        </w:rPr>
        <w:fldChar w:fldCharType="end"/>
      </w:r>
      <w:r>
        <w:rPr>
          <w:highlight w:val="none"/>
        </w:rPr>
      </w:r>
      <w:r/>
    </w:p>
    <w:p>
      <w:pPr>
        <w:pStyle w:val="1009"/>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highlight w:val="none"/>
        </w:rPr>
        <w:tab/>
      </w:r>
      <w:r>
        <w:rPr>
          <w:highlight w:val="none"/>
        </w:rPr>
        <w:fldChar w:fldCharType="begin"/>
      </w:r>
      <w:r>
        <w:rPr>
          <w:highlight w:val="none"/>
        </w:rPr>
        <w:instrText xml:space="preserve"> PAGEREF _Toc20199 \h </w:instrText>
      </w:r>
      <w:r>
        <w:rPr>
          <w:highlight w:val="none"/>
        </w:rPr>
        <w:fldChar w:fldCharType="separate"/>
      </w:r>
      <w:r>
        <w:rPr>
          <w:highlight w:val="none"/>
        </w:rPr>
        <w:t xml:space="preserve">33</w:t>
      </w:r>
      <w:r>
        <w:rPr>
          <w:highlight w:val="none"/>
        </w:rPr>
        <w:fldChar w:fldCharType="end"/>
      </w:r>
      <w:r>
        <w:rPr>
          <w:highlight w:val="none"/>
        </w:rPr>
      </w:r>
      <w:r/>
    </w:p>
    <w:p>
      <w:pPr>
        <w:pStyle w:val="1009"/>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highlight w:val="none"/>
        </w:rPr>
        <w:tab/>
      </w:r>
      <w:r>
        <w:rPr>
          <w:highlight w:val="none"/>
        </w:rPr>
        <w:fldChar w:fldCharType="begin"/>
      </w:r>
      <w:r>
        <w:rPr>
          <w:highlight w:val="none"/>
        </w:rPr>
        <w:instrText xml:space="preserve"> PAGEREF _Toc20429 \h </w:instrText>
      </w:r>
      <w:r>
        <w:rPr>
          <w:highlight w:val="none"/>
        </w:rPr>
        <w:fldChar w:fldCharType="separate"/>
      </w:r>
      <w:r>
        <w:rPr>
          <w:highlight w:val="none"/>
        </w:rPr>
        <w:t xml:space="preserve">50</w:t>
      </w:r>
      <w:r>
        <w:rPr>
          <w:highlight w:val="none"/>
        </w:rPr>
        <w:fldChar w:fldCharType="end"/>
      </w:r>
      <w:r>
        <w:rPr>
          <w:highlight w:val="none"/>
        </w:rPr>
      </w:r>
      <w:r/>
    </w:p>
    <w:p>
      <w:pPr>
        <w:pStyle w:val="1009"/>
        <w:tabs>
          <w:tab w:val="right" w:pos="8306" w:leader="dot"/>
        </w:tabs>
        <w:rPr>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highlight w:val="none"/>
        </w:rPr>
        <w:tab/>
      </w:r>
      <w:r>
        <w:rPr>
          <w:highlight w:val="none"/>
        </w:rPr>
        <w:fldChar w:fldCharType="begin"/>
      </w:r>
      <w:r>
        <w:rPr>
          <w:highlight w:val="none"/>
        </w:rPr>
        <w:instrText xml:space="preserve"> PAGEREF _Toc9788 \h </w:instrText>
      </w:r>
      <w:r>
        <w:rPr>
          <w:highlight w:val="none"/>
        </w:rPr>
        <w:fldChar w:fldCharType="separate"/>
      </w:r>
      <w:r>
        <w:rPr>
          <w:highlight w:val="none"/>
        </w:rPr>
        <w:t xml:space="preserve">54</w:t>
      </w:r>
      <w:r>
        <w:rPr>
          <w:highlight w:val="none"/>
        </w:rPr>
        <w:fldChar w:fldCharType="end"/>
      </w:r>
      <w:r>
        <w:rPr>
          <w:highlight w:val="none"/>
        </w:rPr>
      </w:r>
      <w:r/>
    </w:p>
    <w:p>
      <w:pPr>
        <w:pStyle w:val="984"/>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984"/>
        <w:numPr>
          <w:ilvl w:val="0"/>
          <w:numId w:val="2"/>
        </w:numPr>
        <w:jc w:val="center"/>
        <w:keepLines w:val="0"/>
        <w:keepNext w:val="0"/>
        <w:pageBreakBefore w:val="0"/>
        <w:spacing w:after="0"/>
        <w:widowControl w:val="off"/>
        <w:rPr>
          <w:rStyle w:val="996"/>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996"/>
          <w:rFonts w:hint="eastAsia" w:ascii="Times New Roman" w:hAnsi="Times New Roman" w:eastAsia="宋体" w:cs="Times New Roman"/>
          <w:color w:val="000000"/>
          <w:sz w:val="36"/>
          <w:szCs w:val="36"/>
          <w:highlight w:val="none"/>
          <w:lang w:val="en-US" w:eastAsia="zh-CN"/>
        </w:rPr>
        <w:t xml:space="preserve">招标公告</w:t>
      </w:r>
      <w:r>
        <w:rPr>
          <w:rStyle w:val="996"/>
          <w:rFonts w:hint="eastAsia" w:ascii="Times New Roman" w:hAnsi="Times New Roman" w:eastAsia="宋体" w:cs="Times New Roman"/>
          <w:color w:val="000000"/>
          <w:sz w:val="36"/>
          <w:szCs w:val="36"/>
          <w:highlight w:val="none"/>
          <w:lang w:val="en-US" w:eastAsia="zh-CN"/>
        </w:rPr>
      </w:r>
      <w:r/>
    </w:p>
    <w:p>
      <w:pPr>
        <w:pStyle w:val="984"/>
        <w:ind w:firstLine="420"/>
        <w:keepLines w:val="0"/>
        <w:keepNext w:val="0"/>
        <w:pageBreakBefore w:val="0"/>
        <w:spacing w:line="432" w:lineRule="auto"/>
        <w:widowControl w:val="off"/>
        <w:rPr>
          <w:rFonts w:hint="eastAsia" w:ascii="宋体" w:hAnsi="宋体" w:eastAsia="宋体" w:cs="宋体"/>
          <w:sz w:val="21"/>
          <w:szCs w:val="21"/>
          <w:highlight w:val="none"/>
        </w:rPr>
        <w:outlineLvl w:val="9"/>
      </w:pPr>
      <w:r/>
      <w:bookmarkEnd w:id="0"/>
      <w:r>
        <w:rPr>
          <w:rFonts w:hint="eastAsia" w:ascii="宋体" w:hAnsi="宋体" w:eastAsia="宋体" w:cs="宋体"/>
          <w:sz w:val="21"/>
          <w:szCs w:val="21"/>
          <w:highlight w:val="none"/>
        </w:rPr>
        <w:t xml:space="preserve">受</w:t>
      </w:r>
      <w:r>
        <w:rPr>
          <w:rFonts w:hint="eastAsia" w:ascii="宋体" w:hAnsi="宋体" w:eastAsia="宋体" w:cs="宋体"/>
          <w:sz w:val="21"/>
          <w:szCs w:val="21"/>
          <w:highlight w:val="none"/>
          <w:lang w:eastAsia="zh-CN"/>
        </w:rPr>
        <w:t xml:space="preserve">仪征市环境卫生管理处</w:t>
      </w:r>
      <w:r>
        <w:rPr>
          <w:rFonts w:hint="eastAsia" w:ascii="宋体" w:hAnsi="宋体" w:eastAsia="宋体" w:cs="宋体"/>
          <w:sz w:val="21"/>
          <w:szCs w:val="21"/>
          <w:highlight w:val="none"/>
        </w:rPr>
        <w:t xml:space="preserve">的委托，</w:t>
      </w:r>
      <w:r>
        <w:rPr>
          <w:rFonts w:hint="eastAsia" w:ascii="宋体" w:hAnsi="宋体" w:eastAsia="宋体" w:cs="宋体"/>
          <w:sz w:val="21"/>
          <w:szCs w:val="21"/>
          <w:highlight w:val="none"/>
          <w:lang w:eastAsia="zh-CN"/>
        </w:rPr>
        <w:t xml:space="preserve">扬州博远工程咨询有限公司</w:t>
      </w:r>
      <w:r>
        <w:rPr>
          <w:rFonts w:hint="eastAsia" w:ascii="宋体" w:hAnsi="宋体" w:eastAsia="宋体" w:cs="宋体"/>
          <w:sz w:val="21"/>
          <w:szCs w:val="21"/>
          <w:highlight w:val="none"/>
        </w:rPr>
        <w:t xml:space="preserve">就</w:t>
      </w:r>
      <w:r>
        <w:rPr>
          <w:rFonts w:hint="eastAsia" w:ascii="宋体" w:hAnsi="宋体" w:eastAsia="宋体" w:cs="宋体"/>
          <w:sz w:val="21"/>
          <w:szCs w:val="21"/>
          <w:highlight w:val="none"/>
          <w:lang w:eastAsia="zh-CN"/>
        </w:rPr>
        <w:t xml:space="preserve">仪征市环境卫生管理处（仪征市城市管理局）办公大楼能源费用托管项目</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项目编号：JSZC-321081-BYGC-G2026-0010</w:t>
      </w:r>
      <w:r>
        <w:rPr>
          <w:rFonts w:hint="eastAsia" w:ascii="宋体" w:hAnsi="宋体" w:eastAsia="宋体" w:cs="宋体"/>
          <w:sz w:val="21"/>
          <w:szCs w:val="21"/>
          <w:highlight w:val="none"/>
        </w:rPr>
        <w:t xml:space="preserve">)进行公开招标采购，欢迎符合条件的供应商投标。</w:t>
      </w:r>
      <w:r>
        <w:rPr>
          <w:rFonts w:hint="eastAsia" w:ascii="宋体" w:hAnsi="宋体" w:eastAsia="宋体" w:cs="宋体"/>
          <w:sz w:val="21"/>
          <w:szCs w:val="21"/>
          <w:highlight w:val="none"/>
        </w:rPr>
      </w:r>
      <w:r/>
    </w:p>
    <w:p>
      <w:pPr>
        <w:pStyle w:val="984"/>
        <w:ind w:firstLine="422"/>
        <w:pageBreakBefore w:val="0"/>
        <w:spacing w:line="432" w:lineRule="auto"/>
        <w:rPr>
          <w:rFonts w:hint="eastAsia" w:ascii="宋体" w:hAnsi="宋体" w:eastAsia="宋体" w:cs="宋体"/>
          <w:b/>
          <w:color w:val="000000"/>
          <w:sz w:val="21"/>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eastAsia="宋体" w:cs="宋体"/>
          <w:b/>
          <w:color w:val="000000"/>
          <w:sz w:val="21"/>
          <w:szCs w:val="21"/>
          <w:highlight w:val="none"/>
        </w:rPr>
        <w:t xml:space="preserve">项目概况</w:t>
      </w:r>
      <w:r>
        <w:rPr>
          <w:rFonts w:hint="eastAsia" w:ascii="宋体" w:hAnsi="宋体" w:eastAsia="宋体" w:cs="宋体"/>
          <w:b/>
          <w:color w:val="000000"/>
          <w:sz w:val="21"/>
          <w:szCs w:val="21"/>
          <w:highlight w:val="none"/>
        </w:rPr>
      </w:r>
      <w:r/>
    </w:p>
    <w:p>
      <w:pPr>
        <w:pStyle w:val="984"/>
        <w:ind w:firstLine="420"/>
        <w:jc w:val="left"/>
        <w:pageBreakBefore w:val="0"/>
        <w:spacing w:before="92" w:after="150" w:line="432" w:lineRule="auto"/>
        <w:widowControl/>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 w:val="21"/>
          <w:szCs w:val="21"/>
          <w:highlight w:val="none"/>
          <w:u w:val="single"/>
          <w:lang w:eastAsia="zh-CN"/>
        </w:rPr>
        <w:t xml:space="preserve">仪征市环境卫生管理处（仪征市城市管理局）办公大楼能源费用托管项目</w:t>
      </w:r>
      <w:r>
        <w:rPr>
          <w:rFonts w:hint="eastAsia" w:ascii="宋体" w:hAnsi="宋体" w:eastAsia="宋体" w:cs="宋体"/>
          <w:color w:val="000000"/>
          <w:sz w:val="21"/>
          <w:szCs w:val="21"/>
          <w:highlight w:val="none"/>
        </w:rPr>
        <w:t xml:space="preserve">的潜在投标人可在</w:t>
      </w:r>
      <w:r>
        <w:rPr>
          <w:rFonts w:hint="eastAsia" w:ascii="宋体" w:hAnsi="宋体" w:eastAsia="宋体" w:cs="宋体"/>
          <w:color w:val="000000"/>
          <w:sz w:val="21"/>
          <w:szCs w:val="21"/>
          <w:highlight w:val="none"/>
          <w:u w:val="single"/>
        </w:rPr>
        <w:t xml:space="preserve">“仪征市政府采购网”、“扬州市政府采购网”、“</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中国政府采购网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none"/>
        </w:rPr>
        <w:t xml:space="preserve">自行免费下载</w:t>
      </w:r>
      <w:r>
        <w:rPr>
          <w:rFonts w:hint="eastAsia" w:ascii="宋体" w:hAnsi="宋体" w:eastAsia="宋体" w:cs="宋体"/>
          <w:color w:val="000000"/>
          <w:sz w:val="21"/>
          <w:szCs w:val="21"/>
          <w:highlight w:val="none"/>
        </w:rPr>
        <w:t xml:space="preserve">招标文件，并于</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10月10日09</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00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bCs/>
          <w:color w:val="000000"/>
          <w:sz w:val="21"/>
          <w:szCs w:val="21"/>
          <w:highlight w:val="none"/>
        </w:rPr>
        <w:t xml:space="preserve">（北京时间）前递交投标文件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6"/>
        <w:pageBreakBefore w:val="0"/>
        <w:spacing w:before="0" w:after="0" w:line="432" w:lineRule="auto"/>
        <w:rPr>
          <w:rFonts w:hint="eastAsia" w:ascii="宋体" w:hAnsi="宋体" w:eastAsia="宋体" w:cs="宋体"/>
          <w:bCs w:val="0"/>
          <w:color w:val="000000"/>
          <w:sz w:val="21"/>
          <w:szCs w:val="21"/>
          <w:highlight w:val="none"/>
        </w:rPr>
      </w:pPr>
      <w:r/>
      <w:bookmarkStart w:id="2" w:name="_Toc17809"/>
      <w:r/>
      <w:bookmarkStart w:id="3" w:name="_Toc23097"/>
      <w:r/>
      <w:bookmarkStart w:id="4" w:name="_Toc5486"/>
      <w:r/>
      <w:bookmarkStart w:id="5" w:name="_Toc3157"/>
      <w:r/>
      <w:bookmarkStart w:id="6" w:name="_Toc17755"/>
      <w:r/>
      <w:bookmarkStart w:id="7" w:name="_Toc25098"/>
      <w:r>
        <w:rPr>
          <w:rFonts w:hint="eastAsia" w:ascii="宋体" w:hAnsi="宋体" w:eastAsia="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eastAsia="宋体" w:cs="宋体"/>
          <w:bCs w:val="0"/>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eastAsia="zh-CN"/>
        </w:rPr>
        <w:t xml:space="preserve">JSZC-321081-BYGC-G2026-0010</w:t>
      </w:r>
      <w:r>
        <w:rPr>
          <w:rFonts w:hint="eastAsia" w:ascii="宋体" w:hAnsi="宋体" w:eastAsia="宋体" w:cs="宋体"/>
          <w:color w:val="000000"/>
          <w:sz w:val="21"/>
          <w:szCs w:val="21"/>
          <w:highlight w:val="none"/>
          <w:lang w:val="en-US" w:eastAsia="zh-CN"/>
        </w:rPr>
      </w:r>
      <w:r/>
    </w:p>
    <w:p>
      <w:pPr>
        <w:pStyle w:val="984"/>
        <w:ind w:firstLine="420"/>
        <w:pageBreakBefore w:val="0"/>
        <w:spacing w:line="432"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none"/>
          <w:lang w:eastAsia="zh-CN"/>
        </w:rPr>
        <w:t xml:space="preserve">仪征市环境卫生管理处（仪征市城市管理局）办公大楼能源费用托管项目</w:t>
      </w:r>
      <w:r>
        <w:rPr>
          <w:rFonts w:hint="eastAsia" w:ascii="宋体" w:hAnsi="宋体" w:eastAsia="宋体" w:cs="宋体"/>
          <w:color w:val="000000"/>
          <w:sz w:val="21"/>
          <w:szCs w:val="21"/>
          <w:highlight w:val="none"/>
          <w:u w:val="single"/>
          <w:lang w:eastAsia="zh-CN"/>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sz w:val="21"/>
          <w:szCs w:val="21"/>
          <w:highlight w:val="none"/>
          <w:lang w:val="en-US" w:eastAsia="zh-CN"/>
        </w:rPr>
        <w:t xml:space="preserve">443.04</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最高限价：</w:t>
      </w:r>
      <w:r>
        <w:rPr>
          <w:rFonts w:hint="eastAsia" w:ascii="宋体" w:hAnsi="宋体" w:eastAsia="宋体" w:cs="宋体"/>
          <w:sz w:val="21"/>
          <w:szCs w:val="21"/>
          <w:highlight w:val="none"/>
          <w:lang w:val="en-US" w:eastAsia="zh-CN"/>
        </w:rPr>
        <w:t xml:space="preserve">443.04</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zh-CN"/>
        </w:rPr>
        <w:t xml:space="preserve">报价超过最高限价的为无效报价，按照无效响应处理。</w:t>
      </w:r>
      <w:r>
        <w:rPr>
          <w:rFonts w:hint="eastAsia" w:ascii="宋体" w:hAnsi="宋体" w:eastAsia="宋体" w:cs="宋体"/>
          <w:color w:val="000000"/>
          <w:sz w:val="21"/>
          <w:szCs w:val="21"/>
          <w:highlight w:val="none"/>
          <w:lang w:val="zh-CN"/>
        </w:rPr>
      </w:r>
      <w:r/>
    </w:p>
    <w:p>
      <w:pPr>
        <w:pStyle w:val="984"/>
        <w:ind w:firstLine="420"/>
        <w:pageBreakBefore w:val="0"/>
        <w:spacing w:line="43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采购需求：见招标文件第四章</w:t>
      </w:r>
      <w:r>
        <w:rPr>
          <w:rFonts w:hint="eastAsia" w:ascii="宋体" w:hAnsi="宋体" w:eastAsia="宋体" w:cs="宋体"/>
          <w:color w:val="000000"/>
          <w:sz w:val="21"/>
          <w:szCs w:val="21"/>
          <w:highlight w:val="none"/>
          <w:u w:val="single"/>
        </w:rPr>
      </w:r>
      <w:r/>
    </w:p>
    <w:p>
      <w:pPr>
        <w:pStyle w:val="984"/>
        <w:ind w:firstLine="420"/>
        <w:pageBreakBefore w:val="0"/>
        <w:spacing w:line="432"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.合同履行期限：能源托管周期为8年（不含项目建设期，项目</w:t>
      </w:r>
      <w:r>
        <w:rPr>
          <w:rFonts w:hint="eastAsia" w:ascii="宋体" w:hAnsi="宋体" w:eastAsia="宋体" w:cs="宋体"/>
          <w:color w:val="000000"/>
          <w:sz w:val="21"/>
          <w:szCs w:val="21"/>
          <w:highlight w:val="none"/>
          <w:lang w:val="en-US" w:eastAsia="zh-CN"/>
        </w:rPr>
        <w:t xml:space="preserve">改造</w:t>
      </w:r>
      <w:r>
        <w:rPr>
          <w:rFonts w:hint="eastAsia" w:ascii="宋体" w:hAnsi="宋体" w:eastAsia="宋体" w:cs="宋体"/>
          <w:color w:val="000000"/>
          <w:sz w:val="21"/>
          <w:szCs w:val="21"/>
          <w:highlight w:val="none"/>
        </w:rPr>
        <w:t xml:space="preserve">建设</w:t>
      </w:r>
      <w:r>
        <w:rPr>
          <w:rFonts w:hint="eastAsia" w:ascii="宋体" w:hAnsi="宋体" w:eastAsia="宋体" w:cs="宋体"/>
          <w:color w:val="000000"/>
          <w:sz w:val="21"/>
          <w:szCs w:val="21"/>
          <w:highlight w:val="none"/>
          <w:lang w:val="en-US" w:eastAsia="zh-CN"/>
        </w:rPr>
        <w:t xml:space="preserve">周</w:t>
      </w:r>
      <w:r>
        <w:rPr>
          <w:rFonts w:hint="eastAsia" w:ascii="宋体" w:hAnsi="宋体" w:eastAsia="宋体" w:cs="宋体"/>
          <w:color w:val="000000"/>
          <w:sz w:val="21"/>
          <w:szCs w:val="21"/>
          <w:highlight w:val="none"/>
        </w:rPr>
        <w:t xml:space="preserve">期：自招标人下达开工令之日起90个日历天内完成，并交付使用，改造时不得影响</w:t>
      </w:r>
      <w:r>
        <w:rPr>
          <w:rFonts w:hint="eastAsia" w:ascii="宋体" w:hAnsi="宋体" w:eastAsia="宋体" w:cs="宋体"/>
          <w:color w:val="000000"/>
          <w:sz w:val="21"/>
          <w:szCs w:val="21"/>
          <w:highlight w:val="none"/>
          <w:lang w:eastAsia="zh-CN"/>
        </w:rPr>
        <w:t xml:space="preserve">仪征市环境卫生管理处（仪征市城市管理局）</w:t>
      </w:r>
      <w:r>
        <w:rPr>
          <w:rFonts w:hint="eastAsia" w:ascii="宋体" w:hAnsi="宋体" w:eastAsia="宋体" w:cs="宋体"/>
          <w:color w:val="000000"/>
          <w:sz w:val="21"/>
          <w:szCs w:val="21"/>
          <w:highlight w:val="none"/>
        </w:rPr>
        <w:t xml:space="preserve">日常用能设备的使用和正常秩序，托管周期以项目验收之日起的次月1号起开始计算）</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u w:val="single"/>
        </w:rPr>
        <w:t xml:space="preserve">接受</w:t>
      </w:r>
      <w:r>
        <w:rPr>
          <w:rFonts w:hint="eastAsia" w:ascii="宋体" w:hAnsi="宋体" w:eastAsia="宋体" w:cs="宋体"/>
          <w:color w:val="000000"/>
          <w:sz w:val="21"/>
          <w:szCs w:val="21"/>
          <w:highlight w:val="none"/>
        </w:rPr>
        <w:t xml:space="preserve">联合体投标。</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进口产品投标。</w:t>
      </w:r>
      <w:r>
        <w:rPr>
          <w:rFonts w:hint="eastAsia" w:ascii="宋体" w:hAnsi="宋体" w:eastAsia="宋体" w:cs="宋体"/>
          <w:color w:val="000000"/>
          <w:sz w:val="21"/>
          <w:szCs w:val="21"/>
          <w:highlight w:val="none"/>
        </w:rPr>
      </w:r>
      <w:r/>
    </w:p>
    <w:p>
      <w:pPr>
        <w:pStyle w:val="986"/>
        <w:pageBreakBefore w:val="0"/>
        <w:spacing w:before="0" w:after="0" w:line="432" w:lineRule="auto"/>
        <w:rPr>
          <w:rFonts w:hint="eastAsia" w:ascii="宋体" w:hAnsi="宋体" w:eastAsia="宋体" w:cs="宋体"/>
          <w:bCs w:val="0"/>
          <w:color w:val="000000"/>
          <w:sz w:val="21"/>
          <w:szCs w:val="21"/>
          <w:highlight w:val="none"/>
        </w:rPr>
      </w:pPr>
      <w:r/>
      <w:bookmarkStart w:id="8" w:name="_Toc17738"/>
      <w:r/>
      <w:bookmarkStart w:id="9" w:name="_Toc28449"/>
      <w:r/>
      <w:bookmarkStart w:id="10" w:name="_Toc7042"/>
      <w:r/>
      <w:bookmarkStart w:id="11" w:name="_Toc10656"/>
      <w:r/>
      <w:bookmarkStart w:id="12" w:name="_Toc16758"/>
      <w:r/>
      <w:bookmarkStart w:id="13" w:name="_Toc4449"/>
      <w:r>
        <w:rPr>
          <w:rFonts w:hint="eastAsia" w:ascii="宋体" w:hAnsi="宋体" w:eastAsia="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eastAsia="宋体" w:cs="宋体"/>
          <w:bCs w:val="0"/>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1.满足《中华人民共和国政府采购法》第二十二条规定，并提供下列材料：</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1.1法人或者其他组织的营业执照等证明文件，自然人的身份证明</w:t>
      </w:r>
      <w:r>
        <w:rPr>
          <w:rFonts w:hint="eastAsia" w:ascii="宋体" w:hAnsi="宋体" w:eastAsia="宋体" w:cs="宋体"/>
          <w:i/>
          <w:iCs/>
          <w:color w:val="000000"/>
          <w:sz w:val="21"/>
          <w:szCs w:val="21"/>
          <w:highlight w:val="none"/>
          <w:u w:val="single"/>
        </w:rPr>
      </w:r>
      <w:r/>
    </w:p>
    <w:p>
      <w:pPr>
        <w:pStyle w:val="984"/>
        <w:ind w:firstLine="420"/>
        <w:pageBreakBefore w:val="0"/>
        <w:spacing w:line="432"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1.2 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w:t>
      </w:r>
      <w:r>
        <w:rPr>
          <w:rFonts w:hint="eastAsia" w:ascii="宋体" w:hAnsi="宋体" w:eastAsia="宋体" w:cs="宋体"/>
          <w:b/>
          <w:bCs/>
          <w:i/>
          <w:iCs/>
          <w:color w:val="000000"/>
          <w:sz w:val="21"/>
          <w:szCs w:val="21"/>
          <w:highlight w:val="none"/>
          <w:u w:val="single"/>
          <w:lang w:val="en-US" w:eastAsia="zh-CN"/>
        </w:rPr>
        <w:t xml:space="preserve">三个月</w:t>
      </w:r>
      <w:r>
        <w:rPr>
          <w:rFonts w:hint="eastAsia" w:ascii="宋体" w:hAnsi="宋体" w:eastAsia="宋体" w:cs="宋体"/>
          <w:b/>
          <w:bCs/>
          <w:i/>
          <w:iCs/>
          <w:color w:val="000000"/>
          <w:sz w:val="21"/>
          <w:szCs w:val="21"/>
          <w:highlight w:val="none"/>
          <w:u w:val="single"/>
        </w:rPr>
        <w:t xml:space="preserve">内任意一个月依法缴纳税收及缴纳社会保障资金的证明材料。投标人依法享受缓缴、免缴税收、社会保障资金的提供证明材料。）</w:t>
      </w:r>
      <w:r>
        <w:rPr>
          <w:rFonts w:hint="eastAsia" w:ascii="宋体" w:hAnsi="宋体" w:eastAsia="宋体" w:cs="宋体"/>
          <w:b/>
          <w:bCs/>
          <w:i/>
          <w:iCs/>
          <w:color w:val="000000"/>
          <w:sz w:val="21"/>
          <w:szCs w:val="21"/>
          <w:highlight w:val="none"/>
          <w:u w:val="single"/>
        </w:rPr>
      </w:r>
      <w:r/>
    </w:p>
    <w:p>
      <w:pPr>
        <w:pStyle w:val="984"/>
        <w:ind w:firstLine="420"/>
        <w:pageBreakBefore w:val="0"/>
        <w:spacing w:line="432"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3</w:t>
      </w:r>
      <w:r>
        <w:rPr>
          <w:rFonts w:hint="eastAsia" w:ascii="宋体" w:hAnsi="宋体" w:eastAsia="宋体" w:cs="宋体"/>
          <w:i/>
          <w:iCs/>
          <w:color w:val="000000"/>
          <w:sz w:val="21"/>
          <w:szCs w:val="21"/>
          <w:highlight w:val="none"/>
          <w:u w:val="single"/>
        </w:rPr>
        <w:t xml:space="preserve"> 上一年度的财务报告情况</w:t>
      </w:r>
      <w:r>
        <w:rPr>
          <w:rFonts w:hint="eastAsia" w:ascii="宋体" w:hAnsi="宋体" w:eastAsia="宋体" w:cs="宋体"/>
          <w:b/>
          <w:bCs/>
          <w:i/>
          <w:iCs/>
          <w:color w:val="000000"/>
          <w:sz w:val="21"/>
          <w:szCs w:val="21"/>
          <w:highlight w:val="none"/>
          <w:u w:val="single"/>
        </w:rPr>
        <w:t xml:space="preserve">（成立不满一年不需提供）</w:t>
      </w:r>
      <w:r>
        <w:rPr>
          <w:rFonts w:hint="eastAsia" w:ascii="宋体" w:hAnsi="宋体" w:eastAsia="宋体" w:cs="宋体"/>
          <w:b/>
          <w:bCs/>
          <w:i/>
          <w:iCs/>
          <w:color w:val="000000"/>
          <w:sz w:val="21"/>
          <w:szCs w:val="21"/>
          <w:highlight w:val="none"/>
          <w:u w:val="single"/>
        </w:rPr>
      </w:r>
      <w:r/>
    </w:p>
    <w:p>
      <w:pPr>
        <w:pStyle w:val="984"/>
        <w:ind w:firstLine="420"/>
        <w:pageBreakBefore w:val="0"/>
        <w:spacing w:line="432"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4</w:t>
      </w:r>
      <w:r>
        <w:rPr>
          <w:rFonts w:hint="eastAsia" w:ascii="宋体" w:hAnsi="宋体" w:eastAsia="宋体" w:cs="宋体"/>
          <w:i/>
          <w:iCs/>
          <w:color w:val="000000"/>
          <w:sz w:val="21"/>
          <w:szCs w:val="21"/>
          <w:highlight w:val="none"/>
          <w:u w:val="single"/>
        </w:rPr>
        <w:t xml:space="preserve"> 具备履行合同所必需的设备和专业技术能力的书面声明</w:t>
      </w:r>
      <w:r>
        <w:rPr>
          <w:rFonts w:hint="eastAsia" w:ascii="宋体" w:hAnsi="宋体" w:eastAsia="宋体" w:cs="宋体"/>
          <w:i/>
          <w:iCs/>
          <w:color w:val="000000"/>
          <w:sz w:val="21"/>
          <w:szCs w:val="21"/>
          <w:highlight w:val="none"/>
          <w:u w:val="single"/>
        </w:rPr>
      </w:r>
      <w:r/>
    </w:p>
    <w:p>
      <w:pPr>
        <w:pStyle w:val="984"/>
        <w:ind w:firstLine="420"/>
        <w:pageBreakBefore w:val="0"/>
        <w:spacing w:line="432"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5</w:t>
      </w:r>
      <w:r>
        <w:rPr>
          <w:rFonts w:hint="eastAsia" w:ascii="宋体" w:hAnsi="宋体" w:eastAsia="宋体" w:cs="宋体"/>
          <w:i/>
          <w:iCs/>
          <w:color w:val="000000"/>
          <w:sz w:val="21"/>
          <w:szCs w:val="21"/>
          <w:highlight w:val="none"/>
          <w:u w:val="single"/>
        </w:rPr>
        <w:t xml:space="preserve"> 参加本次政府采购活动前3年内在经营活动中没有重大违法记录的书面声明</w:t>
      </w:r>
      <w:r>
        <w:rPr>
          <w:rFonts w:hint="eastAsia" w:ascii="宋体" w:hAnsi="宋体" w:eastAsia="宋体" w:cs="宋体"/>
          <w:i/>
          <w:iCs/>
          <w:color w:val="000000"/>
          <w:sz w:val="21"/>
          <w:szCs w:val="21"/>
          <w:highlight w:val="none"/>
          <w:u w:val="single"/>
        </w:rPr>
      </w:r>
      <w:r/>
    </w:p>
    <w:p>
      <w:pPr>
        <w:pStyle w:val="984"/>
        <w:ind w:firstLine="420"/>
        <w:pageBreakBefore w:val="0"/>
        <w:spacing w:line="432"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1.6</w:t>
      </w:r>
      <w:r>
        <w:rPr>
          <w:rFonts w:hint="eastAsia" w:ascii="宋体" w:hAnsi="宋体" w:eastAsia="宋体" w:cs="宋体"/>
          <w:i/>
          <w:iCs/>
          <w:color w:val="000000"/>
          <w:sz w:val="21"/>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1"/>
          <w:szCs w:val="21"/>
          <w:highlight w:val="none"/>
          <w:u w:val="single"/>
          <w:lang w:val="en-US" w:eastAsia="zh-CN"/>
        </w:rPr>
        <w:t xml:space="preserve">提供网页截图</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rPr>
      </w:r>
      <w:r/>
    </w:p>
    <w:p>
      <w:pPr>
        <w:pStyle w:val="984"/>
        <w:ind w:firstLine="420"/>
        <w:keepLines w:val="0"/>
        <w:keepNext w:val="0"/>
        <w:pageBreakBefore w:val="0"/>
        <w:spacing w:line="432"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1.7</w:t>
      </w:r>
      <w:r>
        <w:rPr>
          <w:rFonts w:hint="eastAsia" w:ascii="宋体" w:hAnsi="宋体" w:eastAsia="宋体" w:cs="宋体"/>
          <w:i/>
          <w:iCs/>
          <w:color w:val="000000"/>
          <w:sz w:val="21"/>
          <w:szCs w:val="21"/>
          <w:highlight w:val="none"/>
          <w:u w:val="single"/>
        </w:rPr>
        <w:t xml:space="preserve">供应商信用承诺函</w:t>
      </w:r>
      <w:r>
        <w:rPr>
          <w:rFonts w:hint="eastAsia" w:ascii="宋体" w:hAnsi="宋体" w:eastAsia="宋体" w:cs="宋体"/>
          <w:i/>
          <w:iCs/>
          <w:color w:val="000000"/>
          <w:sz w:val="21"/>
          <w:szCs w:val="21"/>
          <w:highlight w:val="none"/>
          <w:u w:val="single"/>
        </w:rPr>
      </w:r>
      <w:r/>
    </w:p>
    <w:p>
      <w:pPr>
        <w:pStyle w:val="984"/>
        <w:ind w:firstLine="420"/>
        <w:pageBreakBefore w:val="0"/>
        <w:spacing w:line="432" w:lineRule="auto"/>
        <w:shd w:val="clear" w:color="auto" w:fill="auto"/>
        <w:tabs>
          <w:tab w:val="left" w:pos="266" w:leader="none"/>
        </w:tabs>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val="en-US" w:eastAsia="zh-CN"/>
        </w:rPr>
        <w:t xml:space="preserve">1.8</w:t>
      </w:r>
      <w:r>
        <w:rPr>
          <w:rFonts w:hint="eastAsia" w:ascii="宋体" w:hAnsi="宋体" w:eastAsia="宋体" w:cs="宋体"/>
          <w:i/>
          <w:iCs/>
          <w:color w:val="000000"/>
          <w:sz w:val="21"/>
          <w:szCs w:val="21"/>
          <w:highlight w:val="none"/>
          <w:u w:val="single"/>
        </w:rPr>
        <w:t xml:space="preserve">若以联合体形式参加本项目投标，请提供《联合体协议》</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上述1.1-1.7项联合体各方均需提供）</w:t>
      </w:r>
      <w:r>
        <w:rPr>
          <w:rFonts w:hint="eastAsia" w:ascii="宋体" w:hAnsi="宋体" w:eastAsia="宋体" w:cs="宋体"/>
          <w:i/>
          <w:iCs/>
          <w:color w:val="000000"/>
          <w:sz w:val="21"/>
          <w:szCs w:val="21"/>
          <w:highlight w:val="none"/>
          <w:u w:val="single"/>
          <w:lang w:eastAsia="zh-CN"/>
        </w:rPr>
      </w:r>
      <w:r/>
    </w:p>
    <w:p>
      <w:pPr>
        <w:pStyle w:val="984"/>
        <w:ind w:firstLine="420"/>
        <w:keepLines w:val="0"/>
        <w:keepNext w:val="0"/>
        <w:pageBreakBefore w:val="0"/>
        <w:spacing w:line="432"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b w:val="0"/>
          <w:bCs w:val="0"/>
          <w:i/>
          <w:iCs/>
          <w:color w:val="000000"/>
          <w:sz w:val="21"/>
          <w:szCs w:val="21"/>
          <w:highlight w:val="none"/>
          <w:u w:val="single"/>
          <w:lang w:val="en-US" w:eastAsia="zh-CN"/>
        </w:rPr>
        <w:t xml:space="preserve">无。</w:t>
      </w:r>
      <w:r>
        <w:rPr>
          <w:rFonts w:hint="eastAsia" w:ascii="宋体" w:hAnsi="宋体" w:eastAsia="宋体" w:cs="宋体"/>
          <w:color w:val="000000"/>
          <w:sz w:val="21"/>
          <w:szCs w:val="21"/>
          <w:highlight w:val="none"/>
          <w:lang w:val="en-US" w:eastAsia="zh-CN"/>
        </w:rPr>
      </w:r>
      <w:r/>
    </w:p>
    <w:p>
      <w:pPr>
        <w:pStyle w:val="984"/>
        <w:ind w:firstLine="420"/>
        <w:keepLines w:val="0"/>
        <w:keepNext w:val="0"/>
        <w:pageBreakBefore w:val="0"/>
        <w:spacing w:line="432"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sz w:val="21"/>
          <w:szCs w:val="21"/>
          <w:highlight w:val="none"/>
        </w:rPr>
        <w:t xml:space="preserve">3.本项目的特定资格要求：</w:t>
      </w:r>
      <w:bookmarkStart w:id="14" w:name="_Toc12444"/>
      <w:r/>
      <w:bookmarkStart w:id="15" w:name="_Toc15918"/>
      <w:r/>
      <w:bookmarkStart w:id="16" w:name="_Toc12592"/>
      <w:r/>
      <w:bookmarkStart w:id="17" w:name="_Toc21130"/>
      <w:r>
        <w:rPr>
          <w:rFonts w:hint="eastAsia" w:ascii="宋体" w:hAnsi="宋体" w:eastAsia="宋体" w:cs="宋体"/>
          <w:b w:val="0"/>
          <w:bCs w:val="0"/>
          <w:i/>
          <w:iCs/>
          <w:color w:val="000000"/>
          <w:sz w:val="21"/>
          <w:szCs w:val="21"/>
          <w:highlight w:val="none"/>
          <w:u w:val="single"/>
          <w:lang w:val="en-US" w:eastAsia="zh-CN"/>
        </w:rPr>
        <w:t xml:space="preserve">无。</w:t>
      </w:r>
      <w:r>
        <w:rPr>
          <w:rFonts w:hint="eastAsia" w:ascii="宋体" w:hAnsi="宋体" w:eastAsia="宋体" w:cs="宋体"/>
          <w:b w:val="0"/>
          <w:bCs w:val="0"/>
          <w:sz w:val="21"/>
          <w:szCs w:val="21"/>
          <w:highlight w:val="none"/>
          <w:lang w:val="en-US" w:eastAsia="zh-CN"/>
        </w:rPr>
      </w:r>
      <w:r/>
    </w:p>
    <w:p>
      <w:pPr>
        <w:pStyle w:val="984"/>
        <w:ind w:firstLine="422"/>
        <w:keepLines w:val="0"/>
        <w:keepNext w:val="0"/>
        <w:pageBreakBefore w:val="0"/>
        <w:spacing w:line="432"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三、获取</w:t>
      </w:r>
      <w:bookmarkEnd w:id="14"/>
      <w:r/>
      <w:bookmarkEnd w:id="15"/>
      <w:r>
        <w:rPr>
          <w:rFonts w:hint="eastAsia" w:ascii="宋体" w:hAnsi="宋体" w:eastAsia="宋体" w:cs="宋体"/>
          <w:b/>
          <w:bCs w:val="0"/>
          <w:color w:val="000000"/>
          <w:sz w:val="21"/>
          <w:szCs w:val="21"/>
          <w:highlight w:val="none"/>
        </w:rPr>
        <w:t xml:space="preserve">招标文件</w:t>
      </w:r>
      <w:bookmarkEnd w:id="16"/>
      <w:r/>
      <w:bookmarkEnd w:id="17"/>
      <w:r>
        <w:rPr>
          <w:rFonts w:hint="eastAsia" w:ascii="宋体" w:hAnsi="宋体" w:eastAsia="宋体" w:cs="宋体"/>
          <w:b/>
          <w:bCs w:val="0"/>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 w:val="0"/>
          <w:bCs w:val="0"/>
          <w:color w:val="000000"/>
          <w:sz w:val="21"/>
          <w:szCs w:val="21"/>
          <w:highlight w:val="none"/>
        </w:rPr>
      </w:pPr>
      <w:r/>
      <w:bookmarkStart w:id="18" w:name="_Toc17733"/>
      <w:r/>
      <w:bookmarkStart w:id="19" w:name="_Toc14561"/>
      <w:r>
        <w:rPr>
          <w:rFonts w:hint="eastAsia" w:ascii="宋体" w:hAnsi="宋体" w:eastAsia="宋体" w:cs="宋体"/>
          <w:b w:val="0"/>
          <w:bCs w:val="0"/>
          <w:color w:val="000000"/>
          <w:sz w:val="21"/>
          <w:szCs w:val="21"/>
          <w:highlight w:val="none"/>
        </w:rPr>
        <w:t xml:space="preserve">1.时间：自招标文件公告发布之日起5个工作日</w:t>
      </w:r>
      <w:r>
        <w:rPr>
          <w:rFonts w:hint="eastAsia" w:ascii="宋体" w:hAnsi="宋体" w:eastAsia="宋体" w:cs="宋体"/>
          <w:sz w:val="21"/>
          <w:szCs w:val="21"/>
          <w:highlight w:val="none"/>
        </w:rPr>
        <w:t xml:space="preserve">。</w:t>
      </w:r>
      <w:r>
        <w:rPr>
          <w:rFonts w:hint="eastAsia" w:ascii="宋体" w:hAnsi="宋体" w:eastAsia="宋体" w:cs="宋体"/>
          <w:b w:val="0"/>
          <w:bCs w:val="0"/>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 w:val="0"/>
          <w:bCs w:val="0"/>
          <w:color w:val="000000"/>
          <w:sz w:val="21"/>
          <w:szCs w:val="21"/>
          <w:highlight w:val="none"/>
          <w:u w:val="single"/>
        </w:rPr>
      </w:pPr>
      <w:r>
        <w:rPr>
          <w:rFonts w:hint="eastAsia" w:ascii="宋体" w:hAnsi="宋体" w:eastAsia="宋体" w:cs="宋体"/>
          <w:b w:val="0"/>
          <w:bCs w:val="0"/>
          <w:color w:val="000000"/>
          <w:sz w:val="21"/>
          <w:szCs w:val="21"/>
          <w:highlight w:val="none"/>
        </w:rPr>
        <w:t xml:space="preserve">2.地点：</w:t>
      </w:r>
      <w:r>
        <w:rPr>
          <w:rFonts w:hint="eastAsia" w:ascii="宋体" w:hAnsi="宋体" w:eastAsia="宋体" w:cs="宋体"/>
          <w:b w:val="0"/>
          <w:bCs w:val="0"/>
          <w:color w:val="000000"/>
          <w:sz w:val="21"/>
          <w:szCs w:val="21"/>
          <w:highlight w:val="none"/>
          <w:u w:val="single"/>
        </w:rPr>
        <w:t xml:space="preserve">“仪征市政府采购网”、“扬州市政府采购网”、“</w:t>
      </w:r>
      <w:r>
        <w:rPr>
          <w:rFonts w:hint="eastAsia" w:ascii="宋体" w:hAnsi="宋体" w:eastAsia="宋体" w:cs="宋体"/>
          <w:b w:val="0"/>
          <w:bCs w:val="0"/>
          <w:color w:val="000000"/>
          <w:sz w:val="21"/>
          <w:szCs w:val="21"/>
          <w:highlight w:val="none"/>
          <w:u w:val="single"/>
          <w:lang w:eastAsia="zh-CN"/>
        </w:rPr>
        <w:t xml:space="preserve">江苏政府采购网</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rPr>
        <w:t xml:space="preserve">“中国政府采购网”自行免费下载招标文件。</w:t>
      </w:r>
      <w:r>
        <w:rPr>
          <w:rFonts w:hint="eastAsia" w:ascii="宋体" w:hAnsi="宋体" w:eastAsia="宋体" w:cs="宋体"/>
          <w:b w:val="0"/>
          <w:bCs w:val="0"/>
          <w:color w:val="000000"/>
          <w:sz w:val="21"/>
          <w:szCs w:val="21"/>
          <w:highlight w:val="none"/>
          <w:u w:val="single"/>
        </w:rPr>
      </w:r>
      <w:r/>
    </w:p>
    <w:p>
      <w:pPr>
        <w:pStyle w:val="984"/>
        <w:ind w:firstLine="420"/>
        <w:keepLines w:val="0"/>
        <w:keepNext w:val="0"/>
        <w:pageBreakBefore w:val="0"/>
        <w:spacing w:line="432" w:lineRule="auto"/>
        <w:widowControl w:val="off"/>
        <w:rPr>
          <w:rFonts w:hint="eastAsia" w:ascii="宋体" w:hAnsi="宋体" w:eastAsia="宋体" w:cs="宋体"/>
          <w:b w:val="0"/>
          <w:bCs w:val="0"/>
          <w:color w:val="000000"/>
          <w:sz w:val="21"/>
          <w:szCs w:val="21"/>
          <w:highlight w:val="none"/>
          <w:u w:val="single"/>
        </w:rPr>
      </w:pPr>
      <w:r>
        <w:rPr>
          <w:rFonts w:hint="eastAsia" w:ascii="宋体" w:hAnsi="宋体" w:eastAsia="宋体" w:cs="宋体"/>
          <w:b w:val="0"/>
          <w:bCs w:val="0"/>
          <w:color w:val="000000"/>
          <w:sz w:val="21"/>
          <w:szCs w:val="21"/>
          <w:highlight w:val="none"/>
        </w:rPr>
        <w:t xml:space="preserve">3.获取方式：</w:t>
      </w:r>
      <w:r>
        <w:rPr>
          <w:rFonts w:hint="eastAsia" w:ascii="宋体" w:hAnsi="宋体" w:eastAsia="宋体" w:cs="宋体"/>
          <w:b w:val="0"/>
          <w:bCs w:val="0"/>
          <w:color w:val="000000"/>
          <w:sz w:val="21"/>
          <w:szCs w:val="21"/>
          <w:highlight w:val="none"/>
          <w:u w:val="single"/>
        </w:rPr>
        <w:t xml:space="preserve">本项目采用网上注册登记方式。</w:t>
      </w:r>
      <w:r>
        <w:rPr>
          <w:rFonts w:hint="eastAsia" w:ascii="宋体" w:hAnsi="宋体" w:eastAsia="宋体" w:cs="宋体"/>
          <w:b w:val="0"/>
          <w:bCs w:val="0"/>
          <w:color w:val="000000"/>
          <w:sz w:val="21"/>
          <w:szCs w:val="21"/>
          <w:highlight w:val="none"/>
          <w:u w:val="single"/>
        </w:rPr>
      </w:r>
      <w:r/>
    </w:p>
    <w:p>
      <w:pPr>
        <w:pStyle w:val="984"/>
        <w:ind w:firstLine="422"/>
        <w:pageBreakBefore w:val="0"/>
        <w:spacing w:line="432" w:lineRule="auto"/>
        <w:tabs>
          <w:tab w:val="left" w:pos="266" w:leader="none"/>
        </w:tabs>
        <w:rPr>
          <w:rFonts w:hint="eastAsia" w:ascii="宋体" w:hAnsi="宋体" w:eastAsia="宋体" w:cs="宋体"/>
          <w:b/>
          <w:bCs/>
          <w:color w:val="000000"/>
          <w:sz w:val="21"/>
          <w:szCs w:val="21"/>
          <w:highlight w:val="none"/>
        </w:rPr>
      </w:pPr>
      <w:r/>
      <w:bookmarkEnd w:id="18"/>
      <w:r/>
      <w:bookmarkEnd w:id="19"/>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b/>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1.截止时间：</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年</w:t>
      </w:r>
      <w:r>
        <w:rPr>
          <w:rFonts w:hint="eastAsia" w:ascii="宋体" w:hAnsi="宋体" w:eastAsia="宋体" w:cs="宋体"/>
          <w:bCs/>
          <w:color w:val="000000"/>
          <w:sz w:val="21"/>
          <w:szCs w:val="21"/>
          <w:highlight w:val="none"/>
          <w:u w:val="single"/>
          <w:lang w:val="en-US" w:eastAsia="zh-CN"/>
        </w:rPr>
        <w:t xml:space="preserve">10</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10</w:t>
      </w:r>
      <w:r>
        <w:rPr>
          <w:rFonts w:hint="eastAsia" w:ascii="宋体" w:hAnsi="宋体" w:eastAsia="宋体" w:cs="宋体"/>
          <w:bCs/>
          <w:color w:val="000000"/>
          <w:sz w:val="21"/>
          <w:szCs w:val="21"/>
          <w:highlight w:val="none"/>
          <w:u w:val="single"/>
        </w:rPr>
        <w:t xml:space="preserve">日 09点 00分</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984"/>
        <w:ind w:firstLine="420"/>
        <w:pageBreakBefore w:val="0"/>
        <w:spacing w:line="432"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2.开标地点：</w:t>
      </w:r>
      <w:r>
        <w:rPr>
          <w:rFonts w:hint="eastAsia" w:ascii="宋体" w:hAnsi="宋体" w:eastAsia="宋体" w:cs="宋体"/>
          <w:b/>
          <w:color w:val="000000"/>
          <w:sz w:val="21"/>
          <w:szCs w:val="21"/>
          <w:highlight w:val="none"/>
        </w:rPr>
        <w:t xml:space="preserve">“苏采云”系统（网址：http://jszfcg.jsczt.cn/）“开标大厅”</w:t>
      </w:r>
      <w:r>
        <w:rPr>
          <w:rFonts w:hint="eastAsia" w:ascii="宋体" w:hAnsi="宋体" w:eastAsia="宋体" w:cs="宋体"/>
          <w:bCs/>
          <w:color w:val="000000"/>
          <w:sz w:val="21"/>
          <w:szCs w:val="21"/>
          <w:highlight w:val="none"/>
          <w:u w:val="single"/>
        </w:rPr>
      </w:r>
      <w:r/>
    </w:p>
    <w:p>
      <w:pPr>
        <w:pStyle w:val="984"/>
        <w:ind w:firstLine="422"/>
        <w:pageBreakBefore w:val="0"/>
        <w:spacing w:line="432" w:lineRule="auto"/>
        <w:tabs>
          <w:tab w:val="left" w:pos="266" w:leader="none"/>
        </w:tabs>
        <w:rPr>
          <w:rFonts w:hint="eastAsia" w:ascii="宋体" w:hAnsi="宋体" w:eastAsia="宋体" w:cs="宋体"/>
          <w:b/>
          <w:bCs/>
          <w:color w:val="000000"/>
          <w:sz w:val="21"/>
          <w:szCs w:val="21"/>
          <w:highlight w:val="none"/>
        </w:rPr>
      </w:pPr>
      <w:r/>
      <w:bookmarkStart w:id="20" w:name="_Toc38985267"/>
      <w:r/>
      <w:bookmarkStart w:id="21" w:name="_Toc28359084"/>
      <w:r/>
      <w:bookmarkStart w:id="22" w:name="_Toc28359007"/>
      <w:r/>
      <w:bookmarkStart w:id="23" w:name="_Toc35393625"/>
      <w:r/>
      <w:bookmarkStart w:id="24" w:name="_Toc35393794"/>
      <w:r>
        <w:rPr>
          <w:rFonts w:hint="eastAsia" w:ascii="宋体" w:hAnsi="宋体" w:eastAsia="宋体" w:cs="宋体"/>
          <w:b/>
          <w:bCs/>
          <w:color w:val="000000"/>
          <w:sz w:val="21"/>
          <w:szCs w:val="21"/>
          <w:highlight w:val="none"/>
        </w:rPr>
        <w:t xml:space="preserve">五、公告期限</w:t>
      </w:r>
      <w:bookmarkEnd w:id="20"/>
      <w:r/>
      <w:bookmarkEnd w:id="21"/>
      <w:r/>
      <w:bookmarkEnd w:id="22"/>
      <w:r/>
      <w:bookmarkEnd w:id="23"/>
      <w:r/>
      <w:bookmarkEnd w:id="24"/>
      <w:r>
        <w:rPr>
          <w:rFonts w:hint="eastAsia" w:ascii="宋体" w:hAnsi="宋体" w:eastAsia="宋体" w:cs="宋体"/>
          <w:b/>
          <w:bCs/>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r>
      <w:r/>
    </w:p>
    <w:p>
      <w:pPr>
        <w:pStyle w:val="984"/>
        <w:ind w:firstLine="422"/>
        <w:pageBreakBefore w:val="0"/>
        <w:spacing w:line="432" w:lineRule="auto"/>
        <w:tabs>
          <w:tab w:val="left" w:pos="266" w:leader="none"/>
        </w:tabs>
        <w:rPr>
          <w:rFonts w:hint="eastAsia" w:ascii="宋体" w:hAnsi="宋体" w:eastAsia="宋体" w:cs="宋体"/>
          <w:b/>
          <w:bCs/>
          <w:color w:val="000000"/>
          <w:sz w:val="21"/>
          <w:szCs w:val="21"/>
          <w:highlight w:val="none"/>
        </w:rPr>
      </w:pPr>
      <w:r/>
      <w:bookmarkStart w:id="25" w:name="_Toc24018"/>
      <w:r/>
      <w:bookmarkStart w:id="26" w:name="_Toc2469"/>
      <w:r>
        <w:rPr>
          <w:rFonts w:hint="eastAsia" w:ascii="宋体" w:hAnsi="宋体" w:eastAsia="宋体" w:cs="宋体"/>
          <w:b/>
          <w:bCs/>
          <w:color w:val="000000"/>
          <w:sz w:val="21"/>
          <w:szCs w:val="21"/>
          <w:highlight w:val="none"/>
        </w:rPr>
        <w:t xml:space="preserve">六、其他补充事宜</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3.潜在供应商对采购文件项目需求部分的询问、质疑请向采购人提出，由采购人负责答复。</w:t>
      </w:r>
      <w:r>
        <w:rPr>
          <w:rFonts w:hint="eastAsia" w:ascii="宋体" w:hAnsi="宋体" w:eastAsia="宋体" w:cs="宋体"/>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4.本次采购不收取投标保证金。</w:t>
      </w:r>
      <w:r>
        <w:rPr>
          <w:rFonts w:hint="eastAsia" w:ascii="宋体" w:hAnsi="宋体" w:eastAsia="宋体" w:cs="宋体"/>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5.</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b/>
          <w:bCs/>
          <w:color w:val="000000"/>
          <w:sz w:val="21"/>
          <w:szCs w:val="21"/>
          <w:highlight w:val="none"/>
        </w:rPr>
        <w:t xml:space="preserve">有关本次采购的事项若存在变动或修改，敬请及时关注“仪征市政府采购网（zfcg.yizheng.cn）”、“扬州市政府采购网（zfcg.yangzhou.gov.cn）”、“</w:t>
      </w:r>
      <w:r>
        <w:rPr>
          <w:rFonts w:hint="eastAsia" w:ascii="宋体" w:hAnsi="宋体" w:eastAsia="宋体" w:cs="宋体"/>
          <w:b/>
          <w:bCs/>
          <w:color w:val="000000"/>
          <w:sz w:val="21"/>
          <w:szCs w:val="21"/>
          <w:highlight w:val="none"/>
          <w:lang w:eastAsia="zh-CN"/>
        </w:rPr>
        <w:t xml:space="preserve">江苏政府采购网</w:t>
      </w:r>
      <w:r>
        <w:rPr>
          <w:rFonts w:hint="eastAsia" w:ascii="宋体" w:hAnsi="宋体" w:eastAsia="宋体" w:cs="宋体"/>
          <w:b/>
          <w:bCs/>
          <w:color w:val="000000"/>
          <w:sz w:val="21"/>
          <w:szCs w:val="21"/>
          <w:highlight w:val="none"/>
        </w:rPr>
        <w:t xml:space="preserve">（ccgp-jiangsu.gov.cn）”、“中国政府采购网（ccgp.gov.cn）”发布的信息。</w:t>
      </w:r>
      <w:r>
        <w:rPr>
          <w:rFonts w:hint="eastAsia" w:ascii="宋体" w:hAnsi="宋体" w:eastAsia="宋体" w:cs="宋体"/>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i/>
          <w:color w:val="000000"/>
          <w:sz w:val="21"/>
          <w:szCs w:val="21"/>
          <w:highlight w:val="none"/>
          <w:u w:val="single"/>
        </w:rPr>
        <w:t xml:space="preserve">本项目采购文件中所有斜体下划线部分为实质性条款，如不满足，则为无效投标。</w:t>
      </w:r>
      <w:r>
        <w:rPr>
          <w:rFonts w:hint="eastAsia" w:ascii="宋体" w:hAnsi="宋体" w:eastAsia="宋体" w:cs="宋体"/>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7.如在开标时间发生系统崩溃等不可预见的情况，造成开评标活动无法正常进行的，将延迟开评标，具体开评标时间另行通知。</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8.潜在供应商访问政府采购管理交易系统（苏采云）的网络地址和方法：</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（3）“CA数字证书”的办理材料以及供应商操作手册详见：</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http://zfcg.yangzhou.gov.cn/zfcg/xzzx/202309/4d7de1f7865f4a2894fc22bc452f94d8.shtml。</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（7）苏采云系统使用谷歌浏览器参与不见面开标。</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9.落实好政府采购履约资金扶持政策其他相关政策</w:t>
      </w:r>
      <w:r>
        <w:rPr>
          <w:rFonts w:hint="eastAsia" w:ascii="宋体" w:hAnsi="宋体" w:eastAsia="宋体" w:cs="宋体"/>
          <w:b/>
          <w:bCs/>
          <w:color w:val="000000"/>
          <w:sz w:val="21"/>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（1）中标/成交供应商可凭政府采购合同办理融资贷款，详见江苏政府采购网“政采贷”专栏。</w:t>
      </w:r>
      <w:r>
        <w:rPr>
          <w:rFonts w:hint="eastAsia" w:ascii="宋体" w:hAnsi="宋体" w:eastAsia="宋体" w:cs="宋体"/>
          <w:b/>
          <w:bCs/>
          <w:color w:val="000000"/>
          <w:sz w:val="21"/>
          <w:szCs w:val="21"/>
          <w:highlight w:val="none"/>
        </w:rPr>
      </w:r>
      <w:r/>
    </w:p>
    <w:p>
      <w:pPr>
        <w:pStyle w:val="984"/>
        <w:ind w:firstLine="422"/>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）严格执行政府采购关于支持</w:t>
      </w:r>
      <w:r>
        <w:rPr>
          <w:rFonts w:hint="eastAsia" w:ascii="宋体" w:hAnsi="宋体" w:eastAsia="宋体" w:cs="宋体"/>
          <w:b/>
          <w:b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highlight w:val="none"/>
        </w:rPr>
      </w:r>
      <w:r/>
    </w:p>
    <w:p>
      <w:pPr>
        <w:pStyle w:val="984"/>
        <w:ind w:firstLine="422"/>
        <w:pageBreakBefore w:val="0"/>
        <w:spacing w:line="432" w:lineRule="auto"/>
        <w:tabs>
          <w:tab w:val="left" w:pos="266" w:leader="none"/>
        </w:tabs>
        <w:rPr>
          <w:rFonts w:hint="eastAsia" w:ascii="宋体" w:hAnsi="宋体" w:eastAsia="宋体" w:cs="宋体"/>
          <w:b/>
          <w:bCs/>
          <w:color w:val="000000"/>
          <w:sz w:val="21"/>
          <w:szCs w:val="21"/>
          <w:highlight w:val="none"/>
        </w:rPr>
      </w:pPr>
      <w:r/>
      <w:bookmarkEnd w:id="25"/>
      <w:r/>
      <w:bookmarkEnd w:id="26"/>
      <w:r/>
      <w:bookmarkStart w:id="27" w:name="_Toc28359008"/>
      <w:r/>
      <w:bookmarkStart w:id="28" w:name="_Toc28359085"/>
      <w:r/>
      <w:bookmarkStart w:id="29" w:name="_Toc38985269"/>
      <w:r/>
      <w:bookmarkStart w:id="30" w:name="_Toc35393627"/>
      <w:r/>
      <w:bookmarkStart w:id="31" w:name="_Toc35393796"/>
      <w:r>
        <w:rPr>
          <w:rFonts w:hint="eastAsia" w:ascii="宋体" w:hAnsi="宋体" w:eastAsia="宋体" w:cs="宋体"/>
          <w:b/>
          <w:bCs/>
          <w:color w:val="000000"/>
          <w:sz w:val="21"/>
          <w:szCs w:val="21"/>
          <w:highlight w:val="none"/>
        </w:rPr>
        <w:t xml:space="preserve">七、本次招标联系方式</w:t>
      </w:r>
      <w:bookmarkEnd w:id="27"/>
      <w:r/>
      <w:bookmarkEnd w:id="28"/>
      <w:r/>
      <w:bookmarkEnd w:id="29"/>
      <w:r/>
      <w:bookmarkEnd w:id="30"/>
      <w:r/>
      <w:bookmarkEnd w:id="31"/>
      <w:r>
        <w:rPr>
          <w:rFonts w:hint="eastAsia" w:ascii="宋体" w:hAnsi="宋体" w:eastAsia="宋体" w:cs="宋体"/>
          <w:b/>
          <w:bCs/>
          <w:color w:val="000000"/>
          <w:sz w:val="21"/>
          <w:szCs w:val="21"/>
          <w:highlight w:val="none"/>
        </w:rPr>
      </w:r>
      <w:r/>
    </w:p>
    <w:p>
      <w:pPr>
        <w:pStyle w:val="100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984"/>
        <w:ind w:firstLine="420"/>
        <w:jc w:val="left"/>
        <w:pageBreakBefore w:val="0"/>
        <w:spacing w:line="432"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lang w:eastAsia="zh-CN"/>
        </w:rPr>
        <w:t xml:space="preserve">仪征市环境卫生管理处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rPr>
      </w:r>
      <w:r/>
    </w:p>
    <w:p>
      <w:pPr>
        <w:pStyle w:val="1004"/>
        <w:ind w:firstLine="420"/>
        <w:pageBreakBefore w:val="0"/>
        <w:spacing w:line="432" w:lineRule="auto"/>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rPr>
        <w:t xml:space="preserve">地</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 址：</w:t>
      </w:r>
      <w:r>
        <w:rPr>
          <w:rFonts w:hint="eastAsia" w:ascii="宋体" w:hAnsi="宋体" w:eastAsia="宋体" w:cs="宋体"/>
          <w:bCs/>
          <w:color w:val="000000"/>
          <w:sz w:val="21"/>
          <w:szCs w:val="21"/>
          <w:highlight w:val="none"/>
          <w:u w:val="single"/>
        </w:rPr>
        <w:t xml:space="preserve">仪征市真州镇新沿山河路8号</w:t>
      </w:r>
      <w:r>
        <w:rPr>
          <w:rFonts w:hint="eastAsia" w:ascii="宋体" w:hAnsi="宋体" w:eastAsia="宋体" w:cs="宋体"/>
          <w:bCs/>
          <w:color w:val="000000"/>
          <w:sz w:val="21"/>
          <w:szCs w:val="21"/>
          <w:highlight w:val="none"/>
          <w:u w:val="single"/>
          <w:lang w:val="en-US" w:eastAsia="zh-CN"/>
        </w:rPr>
      </w:r>
      <w:r/>
    </w:p>
    <w:p>
      <w:pPr>
        <w:pStyle w:val="1004"/>
        <w:ind w:firstLine="420"/>
        <w:pageBreakBefore w:val="0"/>
        <w:spacing w:line="432"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联</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系</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人：</w:t>
      </w:r>
      <w:r>
        <w:rPr>
          <w:rFonts w:hint="eastAsia" w:hAnsi="宋体" w:eastAsia="宋体" w:cs="宋体"/>
          <w:bCs/>
          <w:color w:val="000000"/>
          <w:sz w:val="21"/>
          <w:szCs w:val="21"/>
          <w:highlight w:val="none"/>
          <w:u w:val="single"/>
          <w:lang w:val="en-US" w:eastAsia="zh-CN"/>
        </w:rPr>
        <w:t xml:space="preserve">胡主任</w:t>
      </w:r>
      <w:r>
        <w:rPr>
          <w:rFonts w:hint="eastAsia" w:ascii="宋体" w:hAnsi="宋体" w:eastAsia="宋体" w:cs="宋体"/>
          <w:bCs/>
          <w:color w:val="000000"/>
          <w:sz w:val="21"/>
          <w:szCs w:val="21"/>
          <w:highlight w:val="none"/>
          <w:lang w:val="en-US" w:eastAsia="zh-CN"/>
        </w:rPr>
      </w:r>
      <w:r/>
    </w:p>
    <w:p>
      <w:pPr>
        <w:pStyle w:val="1004"/>
        <w:ind w:firstLine="420"/>
        <w:keepLines w:val="0"/>
        <w:keepNext w:val="0"/>
        <w:pageBreakBefore w:val="0"/>
        <w:spacing w:line="432" w:lineRule="auto"/>
        <w:widowControl w:val="off"/>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rPr>
        <w:t xml:space="preserve">联系方式：</w:t>
      </w:r>
      <w:r>
        <w:rPr>
          <w:rFonts w:hint="eastAsia" w:hAnsi="宋体" w:eastAsia="宋体" w:cs="宋体"/>
          <w:bCs/>
          <w:color w:val="000000"/>
          <w:sz w:val="21"/>
          <w:szCs w:val="21"/>
          <w:highlight w:val="none"/>
          <w:u w:val="single"/>
          <w:lang w:val="en-US" w:eastAsia="zh-CN"/>
        </w:rPr>
        <w:t xml:space="preserve">15152471826</w:t>
      </w:r>
      <w:r>
        <w:rPr>
          <w:rFonts w:hint="eastAsia" w:ascii="宋体" w:hAnsi="宋体" w:eastAsia="宋体" w:cs="宋体"/>
          <w:bCs/>
          <w:color w:val="000000"/>
          <w:sz w:val="21"/>
          <w:szCs w:val="21"/>
          <w:highlight w:val="none"/>
          <w:u w:val="single"/>
          <w:lang w:val="en-US" w:eastAsia="zh-CN"/>
        </w:rPr>
      </w:r>
      <w:r/>
    </w:p>
    <w:p>
      <w:pPr>
        <w:pStyle w:val="1004"/>
        <w:ind w:firstLine="420"/>
        <w:keepLines w:val="0"/>
        <w:keepNext w:val="0"/>
        <w:pageBreakBefore w:val="0"/>
        <w:spacing w:line="432"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1004"/>
        <w:ind w:firstLine="420"/>
        <w:keepLines w:val="0"/>
        <w:keepNext w:val="0"/>
        <w:pageBreakBefore w:val="0"/>
        <w:spacing w:line="43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名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称：</w:t>
      </w:r>
      <w:r>
        <w:rPr>
          <w:rFonts w:hint="eastAsia" w:ascii="宋体" w:hAnsi="宋体" w:eastAsia="宋体" w:cs="宋体"/>
          <w:color w:val="000000"/>
          <w:sz w:val="21"/>
          <w:szCs w:val="21"/>
          <w:highlight w:val="none"/>
          <w:u w:val="single"/>
          <w:lang w:eastAsia="zh-CN"/>
        </w:rPr>
        <w:t xml:space="preserve">扬州博远工程咨询有限公司</w:t>
      </w:r>
      <w:r>
        <w:rPr>
          <w:rFonts w:hint="eastAsia" w:ascii="宋体" w:hAnsi="宋体" w:eastAsia="宋体" w:cs="宋体"/>
          <w:color w:val="000000"/>
          <w:sz w:val="21"/>
          <w:szCs w:val="21"/>
          <w:highlight w:val="none"/>
          <w:u w:val="single"/>
          <w:lang w:eastAsia="zh-CN"/>
        </w:rPr>
      </w:r>
      <w:r/>
    </w:p>
    <w:p>
      <w:pPr>
        <w:pStyle w:val="984"/>
        <w:ind w:firstLine="420"/>
        <w:keepLines w:val="0"/>
        <w:keepNext w:val="0"/>
        <w:pageBreakBefore w:val="0"/>
        <w:spacing w:line="432" w:lineRule="auto"/>
        <w:widowControl w:val="off"/>
        <w:rPr>
          <w:rFonts w:hint="eastAsia" w:ascii="宋体" w:hAnsi="宋体" w:eastAsia="宋体" w:cs="宋体"/>
          <w:color w:val="000000"/>
          <w:sz w:val="21"/>
          <w:szCs w:val="21"/>
          <w:highlight w:val="none"/>
          <w:u w:val="single"/>
        </w:rPr>
      </w:pPr>
      <w:r/>
      <w:bookmarkStart w:id="32" w:name="_Toc28359010"/>
      <w:r/>
      <w:bookmarkStart w:id="33" w:name="_Toc28359087"/>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赵文静</w:t>
      </w:r>
      <w:r>
        <w:rPr>
          <w:rFonts w:hint="eastAsia" w:ascii="宋体" w:hAnsi="宋体" w:eastAsia="宋体" w:cs="宋体"/>
          <w:color w:val="000000"/>
          <w:sz w:val="21"/>
          <w:szCs w:val="21"/>
          <w:highlight w:val="none"/>
          <w:u w:val="single"/>
        </w:rPr>
      </w:r>
      <w:r/>
    </w:p>
    <w:p>
      <w:pPr>
        <w:pStyle w:val="984"/>
        <w:ind w:firstLine="420"/>
        <w:keepLines w:val="0"/>
        <w:keepNext w:val="0"/>
        <w:pageBreakBefore w:val="0"/>
        <w:spacing w:line="43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仪征市万年北路163号（万年商城内东南角二楼）</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18936260560</w:t>
      </w:r>
      <w:bookmarkStart w:id="34" w:name="_Toc28359098"/>
      <w:r/>
      <w:bookmarkStart w:id="35" w:name="_Toc35393808"/>
      <w:r/>
      <w:bookmarkStart w:id="36" w:name="_Toc35393639"/>
      <w:r/>
      <w:bookmarkStart w:id="37" w:name="_Toc28359021"/>
      <w:r>
        <w:rPr>
          <w:rFonts w:hint="eastAsia" w:ascii="宋体" w:hAnsi="宋体" w:eastAsia="宋体" w:cs="宋体"/>
          <w:color w:val="000000"/>
          <w:sz w:val="21"/>
          <w:szCs w:val="21"/>
          <w:highlight w:val="none"/>
          <w:u w:val="single"/>
        </w:rPr>
      </w:r>
      <w:r/>
    </w:p>
    <w:p>
      <w:pPr>
        <w:pStyle w:val="1000"/>
        <w:ind w:left="0" w:firstLine="420"/>
        <w:keepLines w:val="0"/>
        <w:keepNext w:val="0"/>
        <w:pageBreakBefore w:val="0"/>
        <w:spacing w:line="432" w:lineRule="auto"/>
        <w:widowControl w:val="off"/>
        <w:rPr>
          <w:rFonts w:hint="eastAsia" w:ascii="宋体" w:hAnsi="宋体" w:eastAsia="宋体" w:cs="宋体"/>
          <w:bCs/>
          <w:color w:val="000000"/>
          <w:sz w:val="21"/>
          <w:szCs w:val="21"/>
          <w:highlight w:val="none"/>
          <w:lang w:val="en-US" w:eastAsia="zh-CN" w:bidi="ar-SA"/>
        </w:rPr>
      </w:pPr>
      <w:r/>
      <w:bookmarkEnd w:id="32"/>
      <w:r/>
      <w:bookmarkEnd w:id="33"/>
      <w:r/>
      <w:bookmarkEnd w:id="34"/>
      <w:r/>
      <w:bookmarkEnd w:id="35"/>
      <w:r/>
      <w:bookmarkEnd w:id="36"/>
      <w:r/>
      <w:bookmarkEnd w:id="37"/>
      <w:r>
        <w:rPr>
          <w:rFonts w:hint="eastAsia" w:ascii="宋体" w:hAnsi="宋体" w:eastAsia="宋体" w:cs="宋体"/>
          <w:bCs/>
          <w:color w:val="000000"/>
          <w:sz w:val="21"/>
          <w:szCs w:val="21"/>
          <w:highlight w:val="none"/>
          <w:lang w:val="en-US" w:eastAsia="zh-CN" w:bidi="ar-SA"/>
        </w:rPr>
      </w:r>
      <w:r/>
    </w:p>
    <w:p>
      <w:pPr>
        <w:pStyle w:val="984"/>
        <w:numPr>
          <w:ilvl w:val="0"/>
          <w:numId w:val="0"/>
        </w:numPr>
        <w:jc w:val="center"/>
        <w:keepLines w:val="0"/>
        <w:keepNext w:val="0"/>
        <w:pageBreakBefore w:val="0"/>
        <w:spacing w:after="0"/>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bookmarkStart w:id="38" w:name="_Toc13616"/>
      <w:r>
        <w:rPr>
          <w:rStyle w:val="996"/>
          <w:rFonts w:hint="eastAsia" w:ascii="Times New Roman" w:hAnsi="Times New Roman" w:eastAsia="宋体" w:cs="Times New Roman"/>
          <w:color w:val="000000"/>
          <w:sz w:val="36"/>
          <w:szCs w:val="36"/>
          <w:highlight w:val="none"/>
          <w:lang w:val="en-US" w:eastAsia="zh-CN"/>
        </w:rPr>
        <w:t xml:space="preserve">第二章 投标人须知</w:t>
      </w:r>
      <w:bookmarkEnd w:id="38"/>
      <w:r>
        <w:rPr>
          <w:rFonts w:hint="eastAsia" w:ascii="宋体" w:hAnsi="宋体" w:eastAsia="宋体" w:cs="宋体"/>
          <w:b/>
          <w:bCs/>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bookmarkStart w:id="39" w:name="_Toc513029204"/>
      <w:r/>
      <w:bookmarkStart w:id="40" w:name="_Toc20823276"/>
      <w:r/>
      <w:bookmarkStart w:id="41" w:name="_Toc458694821"/>
      <w:r/>
      <w:bookmarkStart w:id="42" w:name="_Toc16938520"/>
      <w:r>
        <w:rPr>
          <w:rFonts w:hint="eastAsia" w:ascii="宋体" w:hAnsi="宋体" w:eastAsia="宋体" w:cs="宋体"/>
          <w:color w:val="000000"/>
          <w:sz w:val="21"/>
          <w:szCs w:val="21"/>
          <w:highlight w:val="none"/>
        </w:rPr>
        <w:t xml:space="preserve">1、招标方式</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本次招标采取公开招标方式，本招标文件仅适用于</w:t>
      </w:r>
      <w:r>
        <w:rPr>
          <w:rFonts w:hint="eastAsia" w:ascii="宋体" w:hAnsi="宋体" w:eastAsia="宋体" w:cs="宋体"/>
          <w:color w:val="000000"/>
          <w:sz w:val="21"/>
          <w:szCs w:val="21"/>
          <w:highlight w:val="none"/>
          <w:lang w:val="en-US" w:eastAsia="zh-CN"/>
        </w:rPr>
        <w:t xml:space="preserve">招标公告中所述</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w:t>
      </w:r>
      <w:r>
        <w:rPr>
          <w:rFonts w:hint="eastAsia" w:ascii="宋体" w:hAnsi="宋体" w:eastAsia="宋体" w:cs="宋体"/>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2.2合格的投标人</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w:t>
      </w:r>
      <w:r>
        <w:rPr>
          <w:rFonts w:hint="eastAsia" w:ascii="宋体" w:hAnsi="宋体" w:eastAsia="宋体" w:cs="宋体"/>
          <w:bCs/>
          <w:color w:val="000000"/>
          <w:sz w:val="21"/>
          <w:szCs w:val="21"/>
          <w:highlight w:val="none"/>
        </w:rPr>
        <w:t xml:space="preserve">满足招标公告中供应商的资格条件要求的规定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 满足本文件实质性条款的规定。</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3、适用法律</w:t>
      </w:r>
      <w:r>
        <w:rPr>
          <w:rFonts w:hint="eastAsia" w:ascii="宋体" w:hAnsi="宋体" w:eastAsia="宋体" w:cs="宋体"/>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cs="宋体"/>
          <w:b w:val="0"/>
          <w:bCs w:val="0"/>
          <w:color w:val="000000"/>
          <w:sz w:val="21"/>
          <w:szCs w:val="21"/>
          <w:highlight w:val="none"/>
        </w:rPr>
      </w:r>
      <w:r/>
    </w:p>
    <w:p>
      <w:pPr>
        <w:pStyle w:val="984"/>
        <w:ind w:firstLine="422"/>
        <w:pageBreakBefore w:val="0"/>
        <w:spacing w:line="432"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4、投标费用</w:t>
      </w:r>
      <w:r>
        <w:rPr>
          <w:rFonts w:hint="eastAsia" w:ascii="宋体" w:hAnsi="宋体" w:eastAsia="宋体" w:cs="宋体"/>
          <w:b/>
          <w:bCs/>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投标人应自行承担所有与参加投标有关的费用，无论投标过程中的做法和结果如何，</w:t>
      </w:r>
      <w:r>
        <w:rPr>
          <w:rFonts w:hint="eastAsia" w:ascii="宋体" w:hAnsi="宋体" w:eastAsia="宋体" w:cs="宋体"/>
          <w:color w:val="000000"/>
          <w:sz w:val="21"/>
          <w:szCs w:val="21"/>
          <w:highlight w:val="none"/>
          <w:lang w:eastAsia="zh-CN"/>
        </w:rPr>
        <w:t xml:space="preserve">扬州博远工程咨询有限公司</w:t>
      </w:r>
      <w:r>
        <w:rPr>
          <w:rFonts w:hint="eastAsia" w:ascii="宋体" w:hAnsi="宋体" w:eastAsia="宋体" w:cs="宋体"/>
          <w:color w:val="000000"/>
          <w:sz w:val="21"/>
          <w:szCs w:val="21"/>
          <w:highlight w:val="none"/>
        </w:rPr>
        <w:t xml:space="preserve">(以下简称代理机构)在任何情况下均无义务和责任承担这些费用。</w:t>
      </w:r>
      <w:r>
        <w:rPr>
          <w:rFonts w:hint="eastAsia" w:ascii="宋体" w:hAnsi="宋体" w:eastAsia="宋体" w:cs="宋体"/>
          <w:color w:val="000000"/>
          <w:sz w:val="21"/>
          <w:szCs w:val="21"/>
          <w:highlight w:val="none"/>
        </w:rPr>
      </w:r>
      <w:r/>
    </w:p>
    <w:p>
      <w:pPr>
        <w:pStyle w:val="984"/>
        <w:ind w:firstLine="420"/>
        <w:pageBreakBefore w:val="0"/>
        <w:spacing w:after="156" w:line="432"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sz w:val="21"/>
          <w:szCs w:val="21"/>
          <w:highlight w:val="none"/>
        </w:rPr>
        <w:t xml:space="preserve">本次采购由中标人在领取中标通知书前按照国家计委印发的</w:t>
      </w:r>
      <w:r>
        <w:rPr>
          <w:rFonts w:hint="eastAsia" w:ascii="宋体" w:hAnsi="宋体" w:eastAsia="宋体" w:cs="宋体"/>
          <w:color w:val="000000"/>
          <w:sz w:val="21"/>
          <w:szCs w:val="21"/>
          <w:highlight w:val="none"/>
        </w:rPr>
        <w:t xml:space="preserve">《招标代理服务收费管理暂行办法》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计价格【2002】1980 号文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货物类（服务类）的标准一次性支付给招标代理机构代理服务费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不满叁仟元按叁仟元计取）。</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（1）代理服务费以人民币支付； </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（2）代理服务费一次性以电汇、转账等非现金形式支付； </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（3）招标代理服务费不在投标报价中单列，包含在投标总价中，</w:t>
      </w:r>
      <w:r>
        <w:rPr>
          <w:rFonts w:hint="eastAsia" w:ascii="宋体" w:hAnsi="宋体" w:eastAsia="宋体" w:cs="宋体"/>
          <w:sz w:val="21"/>
          <w:szCs w:val="21"/>
          <w:highlight w:val="none"/>
        </w:rPr>
        <w:t xml:space="preserve">由中标单位支付给代理机构。</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专家评审费按扬财购【2020】40 号文《关于进一步规范扬州市政府采购专家评审费标准的通知》执行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由采购人支付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5、招标文件的约束力</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投标人一旦参加本项目采购活动，即被认为接受了本招标文件的规定和约束。</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6、招标文件构成</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招标文件有以下部分组成：</w:t>
      </w:r>
      <w:r>
        <w:rPr>
          <w:rFonts w:hint="eastAsia" w:ascii="宋体" w:hAnsi="宋体" w:eastAsia="宋体" w:cs="宋体"/>
          <w:color w:val="000000"/>
          <w:sz w:val="21"/>
          <w:szCs w:val="21"/>
          <w:highlight w:val="none"/>
        </w:rPr>
      </w:r>
      <w:r/>
    </w:p>
    <w:p>
      <w:pPr>
        <w:pStyle w:val="984"/>
        <w:ind w:firstLine="315"/>
        <w:pageBreakBefore w:val="0"/>
        <w:spacing w:line="432"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招标公告</w:t>
      </w:r>
      <w:r>
        <w:rPr>
          <w:rFonts w:hint="eastAsia" w:ascii="宋体" w:hAnsi="宋体" w:eastAsia="宋体" w:cs="宋体"/>
          <w:color w:val="000000"/>
          <w:sz w:val="21"/>
          <w:szCs w:val="21"/>
          <w:highlight w:val="none"/>
          <w:lang w:eastAsia="zh-CN"/>
        </w:rPr>
      </w:r>
      <w:r/>
    </w:p>
    <w:p>
      <w:pPr>
        <w:pStyle w:val="984"/>
        <w:ind w:firstLine="315"/>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（2）投标人须知</w:t>
      </w:r>
      <w:r>
        <w:rPr>
          <w:rFonts w:hint="eastAsia" w:ascii="宋体" w:hAnsi="宋体" w:eastAsia="宋体" w:cs="宋体"/>
          <w:color w:val="000000"/>
          <w:sz w:val="21"/>
          <w:szCs w:val="21"/>
          <w:highlight w:val="none"/>
        </w:rPr>
      </w:r>
      <w:r/>
    </w:p>
    <w:p>
      <w:pPr>
        <w:pStyle w:val="984"/>
        <w:ind w:firstLine="315"/>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（3）合同文本</w:t>
      </w:r>
      <w:r>
        <w:rPr>
          <w:rFonts w:hint="eastAsia" w:ascii="宋体" w:hAnsi="宋体" w:eastAsia="宋体" w:cs="宋体"/>
          <w:color w:val="000000"/>
          <w:sz w:val="21"/>
          <w:szCs w:val="21"/>
          <w:highlight w:val="none"/>
        </w:rPr>
      </w:r>
      <w:r/>
    </w:p>
    <w:p>
      <w:pPr>
        <w:pStyle w:val="984"/>
        <w:ind w:firstLine="315"/>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984"/>
        <w:ind w:firstLine="315"/>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评审方法与评标标准</w:t>
      </w:r>
      <w:r>
        <w:rPr>
          <w:rFonts w:hint="eastAsia" w:ascii="宋体" w:hAnsi="宋体" w:eastAsia="宋体" w:cs="宋体"/>
          <w:color w:val="000000"/>
          <w:sz w:val="21"/>
          <w:szCs w:val="21"/>
          <w:highlight w:val="none"/>
        </w:rPr>
      </w:r>
      <w:r/>
    </w:p>
    <w:p>
      <w:pPr>
        <w:pStyle w:val="984"/>
        <w:ind w:firstLine="315"/>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招标的最小单位是包。</w:t>
      </w:r>
      <w:r>
        <w:rPr>
          <w:rFonts w:hint="eastAsia" w:ascii="宋体" w:hAnsi="宋体" w:eastAsia="宋体" w:cs="宋体"/>
          <w:bCs/>
          <w:color w:val="000000"/>
          <w:sz w:val="21"/>
          <w:szCs w:val="21"/>
          <w:highlight w:val="none"/>
        </w:rPr>
        <w:t xml:space="preserve">招标</w:t>
      </w:r>
      <w:r>
        <w:rPr>
          <w:rFonts w:hint="eastAsia" w:ascii="宋体" w:hAnsi="宋体" w:eastAsia="宋体" w:cs="宋体"/>
          <w:color w:val="000000"/>
          <w:sz w:val="21"/>
          <w:szCs w:val="21"/>
          <w:highlight w:val="none"/>
        </w:rPr>
        <w:t xml:space="preserve">服务数量及技术要求中未分包的，</w:t>
      </w:r>
      <w:r>
        <w:rPr>
          <w:rFonts w:hint="eastAsia" w:ascii="宋体" w:hAnsi="宋体" w:eastAsia="宋体" w:cs="宋体"/>
          <w:bCs/>
          <w:color w:val="000000"/>
          <w:sz w:val="21"/>
          <w:szCs w:val="21"/>
          <w:highlight w:val="none"/>
        </w:rPr>
        <w:t xml:space="preserve">供应商</w:t>
      </w:r>
      <w:r>
        <w:rPr>
          <w:rFonts w:hint="eastAsia" w:ascii="宋体" w:hAnsi="宋体" w:eastAsia="宋体" w:cs="宋体"/>
          <w:color w:val="000000"/>
          <w:sz w:val="21"/>
          <w:szCs w:val="21"/>
          <w:highlight w:val="none"/>
        </w:rPr>
        <w:t xml:space="preserve">对要求提供的服务不得部分投标；</w:t>
      </w:r>
      <w:r>
        <w:rPr>
          <w:rFonts w:hint="eastAsia" w:ascii="宋体" w:hAnsi="宋体" w:eastAsia="宋体" w:cs="宋体"/>
          <w:bCs/>
          <w:color w:val="000000"/>
          <w:sz w:val="21"/>
          <w:szCs w:val="21"/>
          <w:highlight w:val="none"/>
        </w:rPr>
        <w:t xml:space="preserve">招标</w:t>
      </w:r>
      <w:r>
        <w:rPr>
          <w:rFonts w:hint="eastAsia" w:ascii="宋体" w:hAnsi="宋体" w:eastAsia="宋体" w:cs="宋体"/>
          <w:color w:val="000000"/>
          <w:sz w:val="21"/>
          <w:szCs w:val="21"/>
          <w:highlight w:val="none"/>
        </w:rPr>
        <w:t xml:space="preserve">服务数量及技术要求中已经分包的，应当以包为单位投标。</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招标文件的澄清</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任何要求对招标文件进行澄清的投标人，</w:t>
      </w:r>
      <w:r>
        <w:rPr>
          <w:rFonts w:hint="eastAsia" w:ascii="宋体" w:hAnsi="宋体" w:eastAsia="宋体" w:cs="宋体"/>
          <w:bCs/>
          <w:color w:val="000000"/>
          <w:sz w:val="21"/>
          <w:szCs w:val="21"/>
          <w:highlight w:val="none"/>
        </w:rPr>
        <w:t xml:space="preserve">应在投标截止日期的十日前按招标公告中的通讯地址，以书面形式通知代理机构。</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招标文件的修改</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8.1 </w:t>
      </w:r>
      <w:r>
        <w:rPr>
          <w:rFonts w:hint="eastAsia" w:ascii="宋体" w:hAnsi="宋体" w:eastAsia="宋体" w:cs="宋体"/>
          <w:bCs/>
          <w:color w:val="000000"/>
          <w:sz w:val="21"/>
          <w:szCs w:val="21"/>
          <w:highlight w:val="none"/>
        </w:rPr>
        <w:t xml:space="preserve">在投标截止时间前，代理机构可以对招标文件进行修改。</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8.2代理机构在招标文件要求提交投标文件截止时间前，有权按照法定要求推迟投标截止时间和开标时间。</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8.3招标文件的修改将在“仪征市政府采购网”、“扬州市政府采购网”、“</w:t>
      </w:r>
      <w:r>
        <w:rPr>
          <w:rFonts w:hint="eastAsia" w:ascii="宋体" w:hAnsi="宋体" w:eastAsia="宋体" w:cs="宋体"/>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公布，补充文件将作为招标文件的组成部分，并对投标人具有约束力。</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9、投标文件的语言、度量衡单位</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9.1投标人提交的投标文件以及投标人与代理机构就有关投标的所有来往通知、函件和文件均应使用简体中文。</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988"/>
        <w:numPr>
          <w:ilvl w:val="0"/>
          <w:numId w:val="3"/>
        </w:numPr>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投标文件构成</w:t>
      </w:r>
      <w:r>
        <w:rPr>
          <w:rFonts w:hint="eastAsia" w:ascii="宋体" w:hAnsi="宋体" w:eastAsia="宋体" w:cs="宋体"/>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color w:val="000000"/>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11、证明投标人资格及符合招标文件规定的文件</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投标人应按照法律、法规、规章和规范性文件以及招标文件要求提交证明文件，证明其及投标标的符合招标文件规定。</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分项报价表</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投</w:t>
      </w:r>
      <w:bookmarkStart w:id="43" w:name="_Hlt26954840"/>
      <w:r/>
      <w:bookmarkEnd w:id="43"/>
      <w:r>
        <w:rPr>
          <w:rFonts w:hint="eastAsia" w:ascii="宋体" w:hAnsi="宋体" w:eastAsia="宋体" w:cs="宋体"/>
          <w:color w:val="000000"/>
          <w:sz w:val="21"/>
          <w:szCs w:val="21"/>
          <w:highlight w:val="none"/>
        </w:rPr>
        <w:t xml:space="preserve">标人应按照招标文件规定格式填报投标分项报价表</w:t>
      </w:r>
      <w:bookmarkStart w:id="44" w:name="_Hlt26670399"/>
      <w:r/>
      <w:bookmarkEnd w:id="44"/>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984"/>
        <w:ind w:firstLine="422"/>
        <w:pageBreakBefore w:val="0"/>
        <w:spacing w:line="432"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13、技术要求响应及偏离表、商务要求响应及偏离表</w:t>
      </w:r>
      <w:r>
        <w:rPr>
          <w:rFonts w:hint="eastAsia" w:ascii="宋体" w:hAnsi="宋体" w:eastAsia="宋体" w:cs="宋体"/>
          <w:b/>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 投标人需对招标文件中的技术要求与商务要求逐项作出响应或偏离，并说明原因。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984"/>
        <w:ind w:firstLine="420"/>
        <w:pageBreakBefore w:val="0"/>
        <w:spacing w:line="432"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 投标人可在投标文件中提供认为需要的其他技术文件或说明。</w:t>
      </w:r>
      <w:r>
        <w:rPr>
          <w:rFonts w:hint="eastAsia" w:ascii="宋体" w:hAnsi="宋体" w:eastAsia="宋体" w:cs="宋体"/>
          <w:color w:val="000000"/>
          <w:sz w:val="21"/>
          <w:szCs w:val="21"/>
          <w:highlight w:val="none"/>
          <w:lang w:val="zh-CN"/>
        </w:rPr>
      </w:r>
      <w:r/>
    </w:p>
    <w:p>
      <w:pPr>
        <w:pStyle w:val="984"/>
        <w:ind w:firstLine="422"/>
        <w:pageBreakBefore w:val="0"/>
        <w:spacing w:line="432"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14、投标函和开标一览表</w:t>
      </w:r>
      <w:r>
        <w:rPr>
          <w:rFonts w:hint="eastAsia" w:ascii="宋体" w:hAnsi="宋体" w:eastAsia="宋体" w:cs="宋体"/>
          <w:b/>
          <w:bCs/>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14.1 投标人应按照招标文件中提供的格式完整、正确填写投标函、开标一览表。</w:t>
      </w:r>
      <w:r>
        <w:rPr>
          <w:rFonts w:hint="eastAsia" w:ascii="宋体" w:hAnsi="宋体" w:eastAsia="宋体" w:cs="宋体"/>
          <w:color w:val="000000"/>
          <w:sz w:val="21"/>
          <w:szCs w:val="21"/>
          <w:highlight w:val="none"/>
          <w:lang w:val="zh-CN"/>
        </w:rPr>
      </w:r>
      <w:r/>
    </w:p>
    <w:p>
      <w:pPr>
        <w:pStyle w:val="984"/>
        <w:ind w:firstLine="420"/>
        <w:pageBreakBefore w:val="0"/>
        <w:spacing w:line="432"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zh-CN"/>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bookmarkStart w:id="45" w:name="_Toc16938541"/>
      <w:r/>
      <w:bookmarkStart w:id="46" w:name="_Toc20823297"/>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.1 投标有效期为招标代理机构规定的开标之日后</w:t>
      </w:r>
      <w:r>
        <w:rPr>
          <w:rFonts w:hint="eastAsia" w:ascii="宋体" w:hAnsi="宋体" w:eastAsia="宋体" w:cs="宋体"/>
          <w:b/>
          <w:bCs w:val="0"/>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。投标有效期比规定短的将被视为未实质性响应招标文件而予以拒绝。</w:t>
      </w:r>
      <w:r>
        <w:rPr>
          <w:rFonts w:hint="eastAsia" w:ascii="宋体" w:hAnsi="宋体" w:eastAsia="宋体" w:cs="宋体"/>
          <w:bCs/>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16、投标有效期的延长</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宋体"/>
          <w:bCs/>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、投标文件</w:t>
      </w:r>
      <w:bookmarkEnd w:id="45"/>
      <w:r/>
      <w:bookmarkEnd w:id="46"/>
      <w:r>
        <w:rPr>
          <w:rFonts w:hint="eastAsia" w:ascii="宋体" w:hAnsi="宋体" w:eastAsia="宋体" w:cs="宋体"/>
          <w:color w:val="000000"/>
          <w:sz w:val="21"/>
          <w:szCs w:val="21"/>
          <w:highlight w:val="none"/>
        </w:rPr>
        <w:t xml:space="preserve">的递交</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 电子投标文件的递交</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投标人应当按照《操作手册》规定，在投标截止时间前制作并上传电子投标文件。</w:t>
      </w:r>
      <w:bookmarkStart w:id="47" w:name="_Toc20823298"/>
      <w:r/>
      <w:bookmarkStart w:id="48" w:name="_Toc16938542"/>
      <w:r>
        <w:rPr>
          <w:rFonts w:hint="eastAsia" w:ascii="宋体" w:hAnsi="宋体" w:eastAsia="宋体" w:cs="宋体"/>
          <w:color w:val="000000"/>
          <w:sz w:val="21"/>
          <w:szCs w:val="21"/>
          <w:highlight w:val="none"/>
        </w:rPr>
      </w:r>
      <w:r/>
    </w:p>
    <w:p>
      <w:pPr>
        <w:pStyle w:val="1037"/>
        <w:ind w:firstLine="422"/>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、投标截止日期</w:t>
      </w:r>
      <w:bookmarkEnd w:id="47"/>
      <w:r/>
      <w:bookmarkEnd w:id="48"/>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i/>
          <w:color w:val="000000"/>
          <w:sz w:val="21"/>
          <w:szCs w:val="21"/>
          <w:highlight w:val="none"/>
          <w:u w:val="single"/>
        </w:rPr>
      </w:pPr>
      <w:r>
        <w:rPr>
          <w:rFonts w:hint="eastAsia" w:ascii="宋体" w:hAnsi="宋体" w:eastAsia="宋体" w:cs="宋体"/>
          <w:i/>
          <w:color w:val="000000"/>
          <w:sz w:val="21"/>
          <w:szCs w:val="21"/>
          <w:highlight w:val="none"/>
          <w:u w:val="single"/>
        </w:rPr>
        <w:t xml:space="preserve">18.1</w:t>
      </w:r>
      <w:r>
        <w:rPr>
          <w:rFonts w:hint="eastAsia" w:ascii="宋体" w:hAnsi="宋体" w:eastAsia="宋体" w:cs="宋体"/>
          <w:bCs/>
          <w:i/>
          <w:color w:val="000000"/>
          <w:sz w:val="21"/>
          <w:szCs w:val="21"/>
          <w:highlight w:val="none"/>
          <w:u w:val="single"/>
        </w:rPr>
        <w:t xml:space="preserve"> </w:t>
      </w:r>
      <w:r>
        <w:rPr>
          <w:rFonts w:hint="eastAsia" w:ascii="宋体" w:hAnsi="宋体" w:eastAsia="宋体" w:cs="宋体"/>
          <w:bCs/>
          <w:i/>
          <w:iCs/>
          <w:color w:val="000000"/>
          <w:sz w:val="21"/>
          <w:szCs w:val="21"/>
          <w:highlight w:val="none"/>
          <w:u w:val="single"/>
        </w:rPr>
        <w:t xml:space="preserve">投标人上传电子投标文件的时间不得迟于招标公告中规定的投标截止时间。</w:t>
      </w:r>
      <w:r>
        <w:rPr>
          <w:rFonts w:hint="eastAsia" w:ascii="宋体" w:hAnsi="宋体" w:eastAsia="宋体" w:cs="宋体"/>
          <w:bCs/>
          <w:i/>
          <w:color w:val="000000"/>
          <w:sz w:val="21"/>
          <w:szCs w:val="21"/>
          <w:highlight w:val="none"/>
          <w:u w:val="singl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bookmarkStart w:id="49" w:name="_Toc20823299"/>
      <w:r/>
      <w:bookmarkStart w:id="50" w:name="_Toc16938543"/>
      <w:r>
        <w:rPr>
          <w:rFonts w:hint="eastAsia" w:ascii="宋体" w:hAnsi="宋体" w:eastAsia="宋体" w:cs="宋体"/>
          <w:color w:val="000000"/>
          <w:sz w:val="21"/>
          <w:szCs w:val="21"/>
          <w:highlight w:val="none"/>
        </w:rPr>
        <w:t xml:space="preserve">19、投标文件</w:t>
      </w:r>
      <w:bookmarkEnd w:id="49"/>
      <w:r/>
      <w:bookmarkEnd w:id="50"/>
      <w:r>
        <w:rPr>
          <w:rFonts w:hint="eastAsia" w:ascii="宋体" w:hAnsi="宋体" w:eastAsia="宋体" w:cs="宋体"/>
          <w:color w:val="000000"/>
          <w:sz w:val="21"/>
          <w:szCs w:val="21"/>
          <w:highlight w:val="none"/>
        </w:rPr>
        <w:t xml:space="preserve">的拒收</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19.1代理机构拒绝接收在其规定的投标截止时间后上传的任何投标文件。</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bookmarkStart w:id="51" w:name="_Toc20823300"/>
      <w:r/>
      <w:bookmarkStart w:id="52" w:name="_Toc16938544"/>
      <w:r>
        <w:rPr>
          <w:rFonts w:hint="eastAsia" w:ascii="宋体" w:hAnsi="宋体" w:eastAsia="宋体" w:cs="宋体"/>
          <w:color w:val="000000"/>
          <w:sz w:val="21"/>
          <w:szCs w:val="21"/>
          <w:highlight w:val="none"/>
        </w:rPr>
        <w:t xml:space="preserve">20、投标文件的撤回和修改</w:t>
      </w:r>
      <w:bookmarkEnd w:id="51"/>
      <w:r/>
      <w:bookmarkEnd w:id="52"/>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 投标文件的撤回</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 电子投标文件的撤回</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投标人可在投标截止时间前，撤回其电子投标文件，具体操作方法见《操作手册》。</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 投标人撤回电子投标文件，则认为其不再参与本项目投标活动。</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 投标文件的修改</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 在投标截止时间之后，投标人不得对其电子投标文件作任何修改。</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 在投标截止时间至招标文件中规定的投标有效期满之间的这段时间内，投标人不得撤回其投标。</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21、开标</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21.2开标仪式由</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rPr>
        <w:t xml:space="preserve">组织。苏采云系统将自动对项目进行开标，并宣布各投标人名称和投标价格。</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21.3投标人在开标过程中涉及到的投标文件解密、开标结果确认等工作，应按照《操作手册》规定执行。</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bCs/>
          <w:color w:val="000000"/>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22、评标委员会</w:t>
      </w:r>
      <w:r>
        <w:rPr>
          <w:rFonts w:hint="eastAsia" w:ascii="宋体" w:hAnsi="宋体" w:eastAsia="宋体" w:cs="宋体"/>
          <w:b w:val="0"/>
          <w:bCs w:val="0"/>
          <w:color w:val="000000"/>
          <w:sz w:val="21"/>
          <w:szCs w:val="21"/>
          <w:highlight w:val="none"/>
        </w:rPr>
      </w:r>
      <w:r/>
    </w:p>
    <w:p>
      <w:pPr>
        <w:pStyle w:val="984"/>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bCs/>
          <w:color w:val="000000"/>
          <w:sz w:val="21"/>
          <w:szCs w:val="21"/>
          <w:highlight w:val="none"/>
        </w:rPr>
        <w:t xml:space="preserve">22.1 开标后，代理机构将立即组织评标委员会（以下简称评委会）进行评标。</w:t>
      </w:r>
      <w:r>
        <w:rPr>
          <w:rFonts w:hint="eastAsia" w:ascii="宋体" w:hAnsi="宋体" w:eastAsia="宋体" w:cs="宋体"/>
          <w:bCs/>
          <w:color w:val="000000"/>
          <w:sz w:val="21"/>
          <w:szCs w:val="21"/>
          <w:highlight w:val="none"/>
        </w:rPr>
      </w:r>
      <w:r/>
    </w:p>
    <w:p>
      <w:pPr>
        <w:pStyle w:val="984"/>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22.2 评委会由采购人代表和有关技术、经济等方面的专家组成，且人员构成符合政府采购有关规定。</w:t>
      </w:r>
      <w:r>
        <w:rPr>
          <w:rFonts w:hint="eastAsia" w:ascii="宋体" w:hAnsi="宋体" w:eastAsia="宋体" w:cs="宋体"/>
          <w:bCs/>
          <w:color w:val="000000"/>
          <w:sz w:val="21"/>
          <w:szCs w:val="21"/>
          <w:highlight w:val="none"/>
        </w:rPr>
      </w:r>
      <w:r/>
    </w:p>
    <w:p>
      <w:pPr>
        <w:pStyle w:val="984"/>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    22.3评委会独立工作，负责评审所有投标文件并确定中标候选人。</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23、评标过程的保密与公正</w:t>
      </w:r>
      <w:r>
        <w:rPr>
          <w:rFonts w:hint="eastAsia" w:ascii="宋体" w:hAnsi="宋体" w:eastAsia="宋体" w:cs="宋体"/>
          <w:b w:val="0"/>
          <w:bCs w:val="0"/>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23.1凡是与审查、澄清、评价和比较投标的有关资料以及授标建议等，采购人、评委、</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rPr>
        <w:t xml:space="preserve">均不得向投标人或与评标无关的其他人员透露。</w:t>
      </w:r>
      <w:r>
        <w:rPr>
          <w:rFonts w:hint="eastAsia" w:ascii="宋体" w:hAnsi="宋体" w:eastAsia="宋体" w:cs="宋体"/>
          <w:bCs/>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23.2在评标过程中，投标人不得以任何行为影响评标过程，否则其投标文件将被作为无效投标文件。</w:t>
      </w:r>
      <w:r>
        <w:rPr>
          <w:rFonts w:hint="eastAsia" w:ascii="宋体" w:hAnsi="宋体" w:eastAsia="宋体" w:cs="宋体"/>
          <w:bCs/>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23.3 </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rPr>
        <w:t xml:space="preserve">和评标委员会不向未中标的投标人解释未中标原因，也不公布评标过程中的相关细节。</w:t>
      </w:r>
      <w:r>
        <w:rPr>
          <w:rFonts w:hint="eastAsia" w:ascii="宋体" w:hAnsi="宋体" w:eastAsia="宋体" w:cs="宋体"/>
          <w:bCs/>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bCs/>
          <w:color w:val="000000"/>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24、投标</w:t>
      </w:r>
      <w:r>
        <w:rPr>
          <w:rFonts w:hint="eastAsia" w:ascii="宋体" w:hAnsi="宋体" w:eastAsia="宋体" w:cs="宋体"/>
          <w:color w:val="000000"/>
          <w:sz w:val="21"/>
          <w:szCs w:val="21"/>
          <w:highlight w:val="none"/>
          <w:lang w:val="en-US" w:eastAsia="zh-CN"/>
        </w:rPr>
        <w:t xml:space="preserve">文件</w:t>
      </w:r>
      <w:r>
        <w:rPr>
          <w:rFonts w:hint="eastAsia" w:ascii="宋体" w:hAnsi="宋体" w:eastAsia="宋体" w:cs="宋体"/>
          <w:color w:val="000000"/>
          <w:sz w:val="21"/>
          <w:szCs w:val="21"/>
          <w:highlight w:val="none"/>
        </w:rPr>
        <w:t xml:space="preserve">的澄清</w:t>
      </w:r>
      <w:r>
        <w:rPr>
          <w:rFonts w:hint="eastAsia" w:ascii="宋体" w:hAnsi="宋体" w:eastAsia="宋体" w:cs="宋体"/>
          <w:b w:val="0"/>
          <w:bCs w:val="0"/>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bCs/>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投标人的澄清、说明或者补正不得超出投标文件的范围或者改变投标文件的实质性内容。</w:t>
      </w:r>
      <w:r>
        <w:rPr>
          <w:rFonts w:hint="eastAsia" w:ascii="宋体" w:hAnsi="宋体" w:eastAsia="宋体" w:cs="宋体"/>
          <w:bCs/>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评标委员会并非对每个投标人都做澄清要求。</w:t>
      </w:r>
      <w:r>
        <w:rPr>
          <w:rFonts w:hint="eastAsia" w:ascii="宋体" w:hAnsi="宋体" w:eastAsia="宋体" w:cs="宋体"/>
          <w:bCs/>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color w:val="000000"/>
          <w:sz w:val="21"/>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24.3 接到评委会澄清、说明和补正要求的投标人如未按规定做出澄清、说明和补正，其风险由投标人自行承担。</w:t>
      </w:r>
      <w:r>
        <w:rPr>
          <w:rFonts w:hint="eastAsia" w:ascii="宋体" w:hAnsi="宋体" w:eastAsia="宋体" w:cs="宋体"/>
          <w:sz w:val="21"/>
          <w:szCs w:val="21"/>
          <w:highlight w:val="none"/>
        </w:rPr>
      </w:r>
      <w:r/>
    </w:p>
    <w:p>
      <w:pPr>
        <w:pStyle w:val="988"/>
        <w:ind w:firstLine="422"/>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25、对投标文件的初审</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25.1投标文件初审分为资格审查和符合性审查。</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25.1.1资格审查：依据法律法规和招标文件的规定，由采购人对投标文件中的资格证明文件进行审查。并将审查结论以书面形式向评委会反馈。</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（1）投标文件中开标一览表内容与投标文件中相应内容不一致的，以开标一览表为准。</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（2）大写金额与小写金额不一致的，以大写金额为准。</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同时出现两种以上错误的，按照前款规定的顺序修正。</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eastAsia="宋体" w:cs="宋体"/>
          <w:bCs/>
          <w:color w:val="000000"/>
          <w:sz w:val="21"/>
          <w:szCs w:val="21"/>
          <w:highlight w:val="none"/>
        </w:rPr>
      </w:r>
      <w:r/>
    </w:p>
    <w:p>
      <w:pPr>
        <w:pStyle w:val="984"/>
        <w:ind w:firstLine="420"/>
        <w:jc w:val="left"/>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投标人在开、评标全过程中应保持通讯畅通，及时登录苏采云系统查阅、答复相关信息，并安排专人与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及评标委员会联系。</w:t>
      </w:r>
      <w:r>
        <w:rPr>
          <w:rFonts w:hint="eastAsia" w:ascii="宋体" w:hAnsi="宋体" w:eastAsia="宋体" w:cs="宋体"/>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26、无效投标条款和废标条款</w:t>
      </w:r>
      <w:r>
        <w:rPr>
          <w:rFonts w:hint="eastAsia" w:ascii="宋体" w:hAnsi="宋体" w:eastAsia="宋体" w:cs="宋体"/>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26.1无效投标条款</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26.1.1 投标人在苏采云系统规定的时间内未成功解密电子投标文件的。</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26.1.2 投标人未按照招标文件要求上传电子投标文件的。</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26.1.3同一投标人提交两个（含两个）以上不同的投标报价的。</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26.1.4投标人不具备招标文件中规定资格要求的。</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26.1.5投标人的报价超过了采购预算或最高限价的。</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26.1.6未通过符合性审查的。</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26.1.7不符合招标文件中规定的其他实质性要求和条件的</w:t>
      </w:r>
      <w:r>
        <w:rPr>
          <w:rFonts w:hint="eastAsia" w:ascii="宋体" w:hAnsi="宋体" w:eastAsia="宋体" w:cs="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被</w:t>
      </w:r>
      <w:r>
        <w:rPr>
          <w:rFonts w:hint="eastAsia" w:ascii="宋体" w:hAnsi="宋体" w:eastAsia="宋体" w:cs="宋体"/>
          <w:b w:val="0"/>
          <w:bCs w:val="0"/>
          <w:color w:val="000000"/>
          <w:sz w:val="21"/>
          <w:szCs w:val="21"/>
          <w:highlight w:val="none"/>
        </w:rPr>
        <w:t xml:space="preserve">“中国政府采购网"(www.ccgp.gov.cn)</w:t>
      </w:r>
      <w:r>
        <w:rPr>
          <w:rFonts w:hint="eastAsia" w:ascii="宋体" w:hAnsi="宋体" w:eastAsia="宋体" w:cs="宋体"/>
          <w:b w:val="0"/>
          <w:bCs w:val="0"/>
          <w:color w:val="000000"/>
          <w:sz w:val="21"/>
          <w:szCs w:val="21"/>
          <w:highlight w:val="none"/>
          <w:lang w:val="en-US" w:eastAsia="zh-CN"/>
        </w:rPr>
        <w:t xml:space="preserve">列入政府采购严重失信行为记录名单，</w:t>
      </w:r>
      <w:r>
        <w:rPr>
          <w:rFonts w:hint="eastAsia" w:ascii="宋体" w:hAnsi="宋体" w:eastAsia="宋体" w:cs="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26.1.9  投标文件含有采购人不能接受的附加条件的。</w:t>
      </w:r>
      <w:r>
        <w:rPr>
          <w:rFonts w:hint="eastAsia" w:ascii="宋体" w:hAnsi="宋体" w:eastAsia="宋体" w:cs="宋体"/>
          <w:b w:val="0"/>
          <w:bCs w:val="0"/>
          <w:color w:val="00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26.1.10</w:t>
      </w:r>
      <w:r>
        <w:rPr>
          <w:rFonts w:hint="eastAsia" w:ascii="宋体" w:hAnsi="宋体" w:eastAsia="宋体" w:cs="宋体"/>
          <w:b/>
          <w:bCs/>
          <w:color w:val="ff0000"/>
          <w:sz w:val="21"/>
          <w:szCs w:val="21"/>
          <w:highlight w:val="none"/>
          <w:lang w:val="en-US" w:eastAsia="zh-CN"/>
        </w:rPr>
        <w:t xml:space="preserve">异常低价投标</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w:t>
      </w:r>
      <w:r>
        <w:rPr>
          <w:rFonts w:hint="eastAsia" w:ascii="宋体" w:hAnsi="宋体" w:eastAsia="宋体" w:cs="宋体"/>
          <w:b/>
          <w:bCs/>
          <w:color w:val="ff0000"/>
          <w:sz w:val="21"/>
          <w:szCs w:val="21"/>
          <w:highlight w:val="none"/>
        </w:rPr>
        <w:t xml:space="preserve">1投标报价低于全部通过符合性审查</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投标报价平均值</w:t>
      </w:r>
      <w:r>
        <w:rPr>
          <w:rFonts w:hint="eastAsia" w:ascii="宋体" w:hAnsi="宋体" w:eastAsia="宋体" w:cs="宋体"/>
          <w:b/>
          <w:bCs/>
          <w:color w:val="ff0000"/>
          <w:sz w:val="21"/>
          <w:szCs w:val="21"/>
          <w:highlight w:val="none"/>
          <w:lang w:val="en-US" w:eastAsia="zh-CN"/>
        </w:rPr>
        <w:t xml:space="preserve">65</w:t>
      </w:r>
      <w:r>
        <w:rPr>
          <w:rFonts w:hint="eastAsia" w:ascii="宋体" w:hAnsi="宋体" w:eastAsia="宋体" w:cs="宋体"/>
          <w:b/>
          <w:bCs/>
          <w:color w:val="ff0000"/>
          <w:sz w:val="21"/>
          <w:szCs w:val="21"/>
          <w:highlight w:val="none"/>
        </w:rPr>
        <w:t xml:space="preserve">%的，即投标报价&lt;全部通过符合性审查</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投标报价平均值×</w:t>
      </w:r>
      <w:r>
        <w:rPr>
          <w:rFonts w:hint="eastAsia" w:ascii="宋体" w:hAnsi="宋体" w:eastAsia="宋体" w:cs="宋体"/>
          <w:b/>
          <w:bCs/>
          <w:color w:val="ff0000"/>
          <w:sz w:val="21"/>
          <w:szCs w:val="21"/>
          <w:highlight w:val="none"/>
          <w:lang w:val="en-US" w:eastAsia="zh-CN"/>
        </w:rPr>
        <w:t xml:space="preserve">65</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w:t>
      </w:r>
      <w:r>
        <w:rPr>
          <w:rFonts w:hint="eastAsia" w:ascii="宋体" w:hAnsi="宋体" w:eastAsia="宋体" w:cs="宋体"/>
          <w:b/>
          <w:bCs/>
          <w:color w:val="ff0000"/>
          <w:sz w:val="21"/>
          <w:szCs w:val="21"/>
          <w:highlight w:val="none"/>
        </w:rPr>
        <w:t xml:space="preserve">2投标报价低于通过符合性审查的次低报价</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投标报价</w:t>
      </w:r>
      <w:r>
        <w:rPr>
          <w:rFonts w:hint="eastAsia" w:ascii="宋体" w:hAnsi="宋体" w:eastAsia="宋体" w:cs="宋体"/>
          <w:b/>
          <w:bCs/>
          <w:color w:val="ff0000"/>
          <w:sz w:val="21"/>
          <w:szCs w:val="21"/>
          <w:highlight w:val="none"/>
          <w:lang w:val="en-US" w:eastAsia="zh-CN"/>
        </w:rPr>
        <w:t xml:space="preserve">65</w:t>
      </w:r>
      <w:r>
        <w:rPr>
          <w:rFonts w:hint="eastAsia" w:ascii="宋体" w:hAnsi="宋体" w:eastAsia="宋体" w:cs="宋体"/>
          <w:b/>
          <w:bCs/>
          <w:color w:val="ff0000"/>
          <w:sz w:val="21"/>
          <w:szCs w:val="21"/>
          <w:highlight w:val="none"/>
        </w:rPr>
        <w:t xml:space="preserve">%的，即投标报价&lt;通过符合性审查的次低报价</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投标报价×</w:t>
      </w:r>
      <w:r>
        <w:rPr>
          <w:rFonts w:hint="eastAsia" w:ascii="宋体" w:hAnsi="宋体" w:eastAsia="宋体" w:cs="宋体"/>
          <w:b/>
          <w:bCs/>
          <w:color w:val="ff0000"/>
          <w:sz w:val="21"/>
          <w:szCs w:val="21"/>
          <w:highlight w:val="none"/>
          <w:lang w:val="en-US" w:eastAsia="zh-CN"/>
        </w:rPr>
        <w:t xml:space="preserve">65</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26.1.10.3</w:t>
      </w:r>
      <w:r>
        <w:rPr>
          <w:rFonts w:hint="eastAsia" w:ascii="宋体" w:hAnsi="宋体" w:eastAsia="宋体" w:cs="宋体"/>
          <w:b/>
          <w:bCs/>
          <w:color w:val="ff0000"/>
          <w:sz w:val="21"/>
          <w:szCs w:val="21"/>
          <w:highlight w:val="none"/>
        </w:rPr>
        <w:t xml:space="preserve">投标报价低于采购项目最高限价</w:t>
      </w:r>
      <w:r>
        <w:rPr>
          <w:rFonts w:hint="eastAsia" w:ascii="宋体" w:hAnsi="宋体" w:eastAsia="宋体" w:cs="宋体"/>
          <w:b/>
          <w:bCs/>
          <w:color w:val="ff0000"/>
          <w:sz w:val="21"/>
          <w:szCs w:val="21"/>
          <w:highlight w:val="none"/>
          <w:lang w:val="en-US" w:eastAsia="zh-CN"/>
        </w:rPr>
        <w:t xml:space="preserve">65</w:t>
      </w:r>
      <w:r>
        <w:rPr>
          <w:rFonts w:hint="eastAsia" w:ascii="宋体" w:hAnsi="宋体" w:eastAsia="宋体" w:cs="宋体"/>
          <w:b/>
          <w:bCs/>
          <w:color w:val="ff0000"/>
          <w:sz w:val="21"/>
          <w:szCs w:val="21"/>
          <w:highlight w:val="none"/>
        </w:rPr>
        <w:t xml:space="preserve">%的，即投标报价&lt;采购项目最高限价×</w:t>
      </w:r>
      <w:r>
        <w:rPr>
          <w:rFonts w:hint="eastAsia" w:ascii="宋体" w:hAnsi="宋体" w:eastAsia="宋体" w:cs="宋体"/>
          <w:b/>
          <w:bCs/>
          <w:color w:val="ff0000"/>
          <w:sz w:val="21"/>
          <w:szCs w:val="21"/>
          <w:highlight w:val="none"/>
          <w:lang w:val="en-US" w:eastAsia="zh-CN"/>
        </w:rPr>
        <w:t xml:space="preserve">65</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26.1.10.4</w:t>
      </w:r>
      <w:r>
        <w:rPr>
          <w:rFonts w:hint="eastAsia" w:ascii="宋体" w:hAnsi="宋体" w:eastAsia="宋体" w:cs="宋体"/>
          <w:b/>
          <w:bCs/>
          <w:color w:val="ff0000"/>
          <w:sz w:val="21"/>
          <w:szCs w:val="21"/>
          <w:highlight w:val="none"/>
        </w:rPr>
        <w:t xml:space="preserve">评审委员会基于专业判断，认为</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报价过低，有可能影响产品质量或者不能诚信履约的其他情形。</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26.1.10.5</w:t>
      </w:r>
      <w:r>
        <w:rPr>
          <w:rFonts w:hint="eastAsia" w:ascii="宋体" w:hAnsi="宋体" w:eastAsia="宋体" w:cs="宋体"/>
          <w:b/>
          <w:bCs/>
          <w:color w:val="ff0000"/>
          <w:sz w:val="21"/>
          <w:szCs w:val="21"/>
          <w:highlight w:val="none"/>
        </w:rPr>
        <w:t xml:space="preserve">相关法律法规对</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报价有规定的，从其规定。</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26.1.10.6</w:t>
      </w:r>
      <w:r>
        <w:rPr>
          <w:rFonts w:hint="eastAsia" w:ascii="宋体" w:hAnsi="宋体" w:eastAsia="宋体" w:cs="宋体"/>
          <w:b/>
          <w:bCs/>
          <w:color w:val="ff0000"/>
          <w:sz w:val="21"/>
          <w:szCs w:val="21"/>
          <w:highlight w:val="none"/>
        </w:rPr>
        <w:t xml:space="preserve">评审委员会启动异常低价投标审查后，属于前述第</w:t>
      </w:r>
      <w:r>
        <w:rPr>
          <w:rFonts w:hint="eastAsia" w:ascii="宋体" w:hAnsi="宋体" w:eastAsia="宋体" w:cs="宋体"/>
          <w:b/>
          <w:bCs/>
          <w:color w:val="ff0000"/>
          <w:sz w:val="21"/>
          <w:szCs w:val="21"/>
          <w:highlight w:val="none"/>
          <w:lang w:val="en-US" w:eastAsia="zh-CN"/>
        </w:rPr>
        <w:t xml:space="preserve">26.1.10.</w:t>
      </w:r>
      <w:r>
        <w:rPr>
          <w:rFonts w:hint="eastAsia" w:ascii="宋体" w:hAnsi="宋体" w:eastAsia="宋体" w:cs="宋体"/>
          <w:b/>
          <w:bCs/>
          <w:color w:val="ff0000"/>
          <w:sz w:val="21"/>
          <w:szCs w:val="21"/>
          <w:highlight w:val="none"/>
        </w:rPr>
        <w:t xml:space="preserve">1项至第</w:t>
      </w:r>
      <w:r>
        <w:rPr>
          <w:rFonts w:hint="eastAsia" w:ascii="宋体" w:hAnsi="宋体" w:eastAsia="宋体" w:cs="宋体"/>
          <w:b/>
          <w:bCs/>
          <w:color w:val="ff0000"/>
          <w:sz w:val="21"/>
          <w:szCs w:val="21"/>
          <w:highlight w:val="none"/>
          <w:lang w:val="en-US" w:eastAsia="zh-CN"/>
        </w:rPr>
        <w:t xml:space="preserve">26.1.10.4</w:t>
      </w:r>
      <w:r>
        <w:rPr>
          <w:rFonts w:hint="eastAsia" w:ascii="宋体" w:hAnsi="宋体" w:eastAsia="宋体" w:cs="宋体"/>
          <w:b/>
          <w:bCs/>
          <w:color w:val="ff0000"/>
          <w:sz w:val="21"/>
          <w:szCs w:val="21"/>
          <w:highlight w:val="none"/>
        </w:rPr>
        <w:t xml:space="preserve">项情形的，应当要求相关</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的合理时间一般不少于30分钟。其中，属于第</w:t>
      </w:r>
      <w:r>
        <w:rPr>
          <w:rFonts w:hint="eastAsia" w:ascii="宋体" w:hAnsi="宋体" w:eastAsia="宋体" w:cs="宋体"/>
          <w:b/>
          <w:bCs/>
          <w:color w:val="ff0000"/>
          <w:sz w:val="21"/>
          <w:szCs w:val="21"/>
          <w:highlight w:val="none"/>
          <w:lang w:val="en-US" w:eastAsia="zh-CN"/>
        </w:rPr>
        <w:t xml:space="preserve">26.1.10.3</w:t>
      </w:r>
      <w:r>
        <w:rPr>
          <w:rFonts w:hint="eastAsia" w:ascii="宋体" w:hAnsi="宋体" w:eastAsia="宋体" w:cs="宋体"/>
          <w:b/>
          <w:bCs/>
          <w:color w:val="ff0000"/>
          <w:sz w:val="21"/>
          <w:szCs w:val="21"/>
          <w:highlight w:val="none"/>
        </w:rPr>
        <w:t xml:space="preserve">项情形，</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已随投标文件一并提交相关书面说明及必要的证明材料的，在评审现场可不再重复提交。</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26.1.10.7</w:t>
      </w:r>
      <w:r>
        <w:rPr>
          <w:rFonts w:hint="eastAsia" w:ascii="宋体" w:hAnsi="宋体" w:eastAsia="宋体" w:cs="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不能提供书面说明、证明材料，或者提供的书面说明、证明材料不能证明其报价合理性的，评审委员会应当将其作为无效投标处理。</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26.1.10.8</w:t>
      </w:r>
      <w:r>
        <w:rPr>
          <w:rFonts w:hint="eastAsia" w:ascii="宋体" w:hAnsi="宋体" w:eastAsia="宋体" w:cs="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ff0000"/>
          <w:sz w:val="21"/>
          <w:szCs w:val="21"/>
          <w:highlight w:val="none"/>
        </w:rPr>
      </w:r>
      <w:r/>
    </w:p>
    <w:p>
      <w:pPr>
        <w:pStyle w:val="988"/>
        <w:ind w:firstLine="422"/>
        <w:pageBreakBefore w:val="0"/>
        <w:spacing w:before="0" w:after="0" w:line="432"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26.1.10.9</w:t>
      </w:r>
      <w:r>
        <w:rPr>
          <w:rFonts w:hint="eastAsia" w:ascii="宋体" w:hAnsi="宋体" w:eastAsia="宋体" w:cs="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cs="宋体"/>
          <w:b/>
          <w:bCs/>
          <w:color w:val="ff0000"/>
          <w:sz w:val="21"/>
          <w:szCs w:val="21"/>
          <w:highlight w:val="none"/>
          <w:lang w:val="en-US" w:eastAsia="zh-CN"/>
        </w:rPr>
        <w:t xml:space="preserve">投标人</w:t>
      </w:r>
      <w:r>
        <w:rPr>
          <w:rFonts w:hint="eastAsia" w:ascii="宋体" w:hAnsi="宋体" w:eastAsia="宋体" w:cs="宋体"/>
          <w:b/>
          <w:bCs/>
          <w:color w:val="ff0000"/>
          <w:sz w:val="21"/>
          <w:szCs w:val="21"/>
          <w:highlight w:val="none"/>
        </w:rPr>
        <w:t xml:space="preserve">提供的相关书面说明及证明材料，以及评审委员会有关互联网浏览、查询历史一并归档。</w:t>
      </w:r>
      <w:r>
        <w:rPr>
          <w:rFonts w:hint="eastAsia" w:ascii="宋体" w:hAnsi="宋体" w:eastAsia="宋体" w:cs="宋体"/>
          <w:b/>
          <w:bCs/>
          <w:color w:val="ff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2 </w:t>
      </w:r>
      <w:r>
        <w:rPr>
          <w:rFonts w:hint="eastAsia" w:ascii="宋体" w:hAnsi="宋体" w:eastAsia="宋体" w:cs="宋体"/>
          <w:bCs/>
          <w:color w:val="000000"/>
          <w:sz w:val="21"/>
          <w:szCs w:val="21"/>
          <w:highlight w:val="none"/>
        </w:rPr>
        <w:t xml:space="preserve">投标文件未按照招标文件要求加盖</w:t>
      </w:r>
      <w:r>
        <w:rPr>
          <w:rFonts w:hint="eastAsia" w:ascii="宋体" w:hAnsi="宋体" w:eastAsia="宋体" w:cs="宋体"/>
          <w:bCs/>
          <w:color w:val="000000"/>
          <w:sz w:val="21"/>
          <w:szCs w:val="21"/>
          <w:highlight w:val="none"/>
          <w:lang w:val="en-US" w:eastAsia="zh-CN"/>
        </w:rPr>
        <w:t xml:space="preserve">CA</w:t>
      </w:r>
      <w:r>
        <w:rPr>
          <w:rFonts w:hint="eastAsia" w:ascii="宋体" w:hAnsi="宋体" w:eastAsia="宋体" w:cs="宋体"/>
          <w:bCs/>
          <w:color w:val="000000"/>
          <w:sz w:val="21"/>
          <w:szCs w:val="21"/>
          <w:highlight w:val="none"/>
        </w:rPr>
        <w:t xml:space="preserve">电子</w:t>
      </w:r>
      <w:r>
        <w:rPr>
          <w:rFonts w:hint="eastAsia" w:ascii="宋体" w:hAnsi="宋体" w:eastAsia="宋体" w:cs="宋体"/>
          <w:bCs/>
          <w:color w:val="000000"/>
          <w:sz w:val="21"/>
          <w:szCs w:val="21"/>
          <w:highlight w:val="none"/>
          <w:lang w:val="en-US" w:eastAsia="zh-CN"/>
        </w:rPr>
        <w:t xml:space="preserve">公章</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其他法律、法规及本招标文件规定的属无效投标的情形。</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26.2废标条款：</w:t>
      </w:r>
      <w:r>
        <w:rPr>
          <w:rFonts w:hint="eastAsia" w:ascii="宋体" w:hAnsi="宋体" w:eastAsia="宋体" w:cs="宋体"/>
          <w:bCs/>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宋体"/>
          <w:b w:val="0"/>
          <w:bCs w:val="0"/>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26.2.2出现影响采购公正的违法、违规行为的。</w:t>
      </w:r>
      <w:r>
        <w:rPr>
          <w:rFonts w:hint="eastAsia" w:ascii="宋体" w:hAnsi="宋体" w:eastAsia="宋体" w:cs="宋体"/>
          <w:b w:val="0"/>
          <w:bCs w:val="0"/>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26.2.3因重大变故，采购任务取消的。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26.2.4评委会认定招标文件存在歧义、重大缺陷导致评审工作无法进行。</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 投标截止时间结束后参加投标的供应商不足三家的处理：</w:t>
      </w:r>
      <w:r>
        <w:rPr>
          <w:rFonts w:hint="eastAsia" w:ascii="宋体" w:hAnsi="宋体" w:eastAsia="宋体" w:cs="宋体"/>
          <w:bCs/>
          <w:color w:val="000000"/>
          <w:sz w:val="21"/>
          <w:szCs w:val="21"/>
          <w:highlight w:val="none"/>
        </w:rPr>
      </w:r>
      <w:r/>
    </w:p>
    <w:p>
      <w:pPr>
        <w:pStyle w:val="988"/>
        <w:ind w:firstLine="420"/>
        <w:pageBreakBefore w:val="0"/>
        <w:spacing w:before="0" w:after="0" w:line="4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宋体"/>
          <w:b w:val="0"/>
          <w:bCs w:val="0"/>
          <w:color w:val="000000"/>
          <w:sz w:val="21"/>
          <w:szCs w:val="21"/>
          <w:highlight w:val="none"/>
        </w:rPr>
      </w:r>
      <w:r/>
    </w:p>
    <w:p>
      <w:pPr>
        <w:pStyle w:val="984"/>
        <w:ind w:firstLine="422"/>
        <w:pageBreakBefore w:val="0"/>
        <w:spacing w:line="432"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27、确定中标单位</w:t>
      </w:r>
      <w:r>
        <w:rPr>
          <w:rFonts w:hint="eastAsia" w:ascii="宋体" w:hAnsi="宋体" w:eastAsia="宋体" w:cs="宋体"/>
          <w:b/>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27.1中标候选人的选取原则和数量见招标文件第五章规定。</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 采购人应根据评委会推荐的中标候选人确定中标人。</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27.3代理机构将在“仪征市政府采购网”、“扬州市政府采购网”、“</w:t>
      </w:r>
      <w:r>
        <w:rPr>
          <w:rFonts w:hint="eastAsia" w:ascii="宋体" w:hAnsi="宋体" w:eastAsia="宋体" w:cs="宋体"/>
          <w:bCs/>
          <w:color w:val="000000"/>
          <w:sz w:val="21"/>
          <w:szCs w:val="21"/>
          <w:highlight w:val="none"/>
          <w:lang w:eastAsia="zh-CN"/>
        </w:rPr>
        <w:t xml:space="preserve">江苏政府采购网</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中国政府采购网</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发布中标公告，公告期限为1个工作日。</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27.4若有充分证据证明，中标人出现下列情况之一的，一经查实，将被取消中标资格：</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27.4.1提供虚假材料谋取中标的；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27.4.2向采购人、代理机构行贿或者提供其他不正当利益的；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27.4.3恶意竞争，投标总报价明显低于其自身合理成本且又无法提供证明的；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27.4.4属于本文件规定的无效条件，但在评标过程中又未被评委会发现的；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27.4.5与采购人或者其他投标人恶意串通的；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27.4.6采取不正当手段诋毁、排挤其他供应商的；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27.4.7不符合法律、法规的规定的。</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 有下列情形之一的，视为投标人串通投标，投标无效：</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27.5.1不同投标人的投标文件由同一单位或者个人编制。</w:t>
      </w:r>
      <w:r>
        <w:rPr>
          <w:rFonts w:hint="eastAsia" w:ascii="宋体" w:hAnsi="宋体" w:eastAsia="宋体" w:cs="宋体"/>
          <w:bCs/>
          <w:color w:val="000000"/>
          <w:sz w:val="21"/>
          <w:szCs w:val="21"/>
          <w:highlight w:val="none"/>
        </w:rPr>
      </w:r>
      <w:r/>
    </w:p>
    <w:p>
      <w:pPr>
        <w:pStyle w:val="984"/>
        <w:ind w:firstLine="422"/>
        <w:pageBreakBefore w:val="0"/>
        <w:spacing w:line="432" w:lineRule="auto"/>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宋体"/>
          <w:b/>
          <w:bCs w:val="0"/>
          <w:color w:val="ff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27.5.2不同投标人委托同一单位或者个人办理投标事宜。</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27.5.3 不同投标人的投标文件载明的项目管理成员或者联系人员为同一人。</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27.5.4不同投标人的投标文件异常一致或者投标报价呈规律性差异。</w:t>
      </w:r>
      <w:r>
        <w:rPr>
          <w:rFonts w:hint="eastAsia" w:ascii="宋体" w:hAnsi="宋体" w:eastAsia="宋体" w:cs="宋体"/>
          <w:bCs/>
          <w:color w:val="000000"/>
          <w:sz w:val="21"/>
          <w:szCs w:val="21"/>
          <w:highlight w:val="none"/>
        </w:rPr>
      </w:r>
      <w:r/>
    </w:p>
    <w:p>
      <w:pPr>
        <w:pStyle w:val="984"/>
        <w:ind w:firstLine="422"/>
        <w:pageBreakBefore w:val="0"/>
        <w:spacing w:line="432"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28、质疑处理</w:t>
      </w:r>
      <w:r>
        <w:rPr>
          <w:rFonts w:hint="eastAsia" w:ascii="宋体" w:hAnsi="宋体" w:eastAsia="宋体" w:cs="宋体"/>
          <w:b/>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bCs/>
          <w:color w:val="000000"/>
          <w:sz w:val="21"/>
          <w:szCs w:val="21"/>
          <w:highlight w:val="none"/>
          <w:lang w:val="en-US" w:eastAsia="zh-CN"/>
        </w:rPr>
        <w:t xml:space="preserve">代理</w:t>
      </w:r>
      <w:r>
        <w:rPr>
          <w:rFonts w:hint="eastAsia" w:ascii="宋体" w:hAnsi="宋体" w:eastAsia="宋体" w:cs="宋体"/>
          <w:bCs/>
          <w:color w:val="000000"/>
          <w:sz w:val="21"/>
          <w:szCs w:val="21"/>
          <w:highlight w:val="none"/>
          <w:lang w:val="en-US" w:eastAsia="zh-CN"/>
        </w:rPr>
        <w:t xml:space="preserve">机构</w:t>
      </w:r>
      <w:r>
        <w:rPr>
          <w:rFonts w:hint="eastAsia" w:ascii="宋体" w:hAnsi="宋体" w:eastAsia="宋体" w:cs="宋体"/>
          <w:bCs/>
          <w:color w:val="000000"/>
          <w:sz w:val="21"/>
          <w:szCs w:val="21"/>
          <w:highlight w:val="none"/>
        </w:rPr>
        <w:t xml:space="preserve">或采购人提出质疑。上述应知其权益受到损害之日，是指：</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28.2.1对采购文件提出质疑的，为收到采购文件之日或者采购文件公告期限届满之日；</w:t>
      </w:r>
      <w:r>
        <w:rPr>
          <w:rFonts w:hint="eastAsia" w:ascii="宋体" w:hAnsi="宋体" w:eastAsia="宋体" w:cs="宋体"/>
          <w:bCs/>
          <w:color w:val="000000"/>
          <w:sz w:val="21"/>
          <w:szCs w:val="21"/>
          <w:highlight w:val="none"/>
          <w:lang w:eastAsia="zh-CN"/>
        </w:rPr>
      </w:r>
      <w:r/>
    </w:p>
    <w:p>
      <w:pPr>
        <w:pStyle w:val="984"/>
        <w:ind w:firstLine="420"/>
        <w:pageBreakBefore w:val="0"/>
        <w:spacing w:line="432"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28.2.2对采购过程提出质疑的，为各采购程序环节结束之日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84"/>
        <w:ind w:firstLine="420"/>
        <w:pageBreakBefore w:val="0"/>
        <w:spacing w:line="432"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28.2.3对中标或者成交结果提出质疑的，为中标或者成交结果公告期限届满之日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w:t>
      </w:r>
      <w:r>
        <w:rPr>
          <w:rFonts w:hint="eastAsia" w:ascii="宋体" w:hAnsi="宋体" w:eastAsia="宋体" w:cs="宋体"/>
          <w:bCs/>
          <w:color w:val="000000"/>
          <w:sz w:val="21"/>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 代理机构及采购人只接收以纸质原件形式送达的质疑。</w:t>
      </w:r>
      <w:r>
        <w:rPr>
          <w:rFonts w:hint="eastAsia" w:ascii="宋体" w:hAnsi="宋体" w:eastAsia="宋体" w:cs="宋体"/>
          <w:b/>
          <w:color w:val="000000"/>
          <w:sz w:val="21"/>
          <w:szCs w:val="21"/>
          <w:highlight w:val="none"/>
          <w:u w:val="single"/>
        </w:rPr>
        <w:t xml:space="preserve">同时需与采购代理机构经办人确认是否收到《质疑函》，如供应商未按上述要求去做，将自行承担所产生的风险。</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28.5</w:t>
      </w:r>
      <w:r>
        <w:rPr>
          <w:rFonts w:hint="eastAsia" w:ascii="宋体" w:hAnsi="宋体" w:eastAsia="宋体" w:cs="宋体"/>
          <w:bCs/>
          <w:color w:val="000000"/>
          <w:sz w:val="21"/>
          <w:szCs w:val="21"/>
          <w:highlight w:val="none"/>
        </w:rPr>
        <w:t xml:space="preserve">采购人质疑接收人及联系方式见招标文件第一章。</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代理机构收到质疑申请后，将对质疑的形式和内容进行审查，如质疑内容、格式不符合规定，代理机构将告知质疑人进行补正。</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28.7质疑人应当在法定质疑期限内进行补正并重新提交质疑函。</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 以下情形的质疑不予受理</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28.8.1 内容不符合《政府采购质疑和投诉办法》第十二条规定的质疑。</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28.8.2 超出政府采购法定期限的质疑。</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28.8.3 以传真、电子邮件等方式递交的非原件形式的质疑。</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28.8.4 未参加投标活动的供应商或在投标活动中自身权益未受到损害的供应商所提出的质疑。</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28.8.5供应商组成联合体参加投标，联合体中任何一方或多方未按要求签字、盖章、加盖公章的质疑。</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bCs/>
          <w:color w:val="000000"/>
          <w:sz w:val="21"/>
          <w:szCs w:val="21"/>
          <w:highlight w:val="none"/>
        </w:rPr>
      </w:r>
      <w:r/>
    </w:p>
    <w:p>
      <w:pPr>
        <w:pStyle w:val="984"/>
        <w:ind w:firstLine="422"/>
        <w:pageBreakBefore w:val="0"/>
        <w:spacing w:line="432"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29、中标通知书</w:t>
      </w:r>
      <w:r>
        <w:rPr>
          <w:rFonts w:hint="eastAsia" w:ascii="宋体" w:hAnsi="宋体" w:eastAsia="宋体" w:cs="宋体"/>
          <w:b/>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29.l 中标结果确定后，代理机构将向中标人发出中标通知书。</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29.2 中标人可在“政府采购管理交易系统（苏采云）”中标通知书下载模块中自行下载中标通知书。</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30、签订合同</w:t>
      </w:r>
      <w:r>
        <w:rPr>
          <w:rFonts w:hint="eastAsia" w:ascii="宋体" w:hAnsi="宋体" w:eastAsia="宋体" w:cs="宋体"/>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30.l中标人应在中标通知书发出之日起十五日内，按照招标文件确定的事项与采购人签订政府采购合同。</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30.2 招标文件、中标人的投标文件及招标过程中有关澄清、承诺文件均应作为合同附件。</w:t>
      </w:r>
      <w:r>
        <w:rPr>
          <w:rFonts w:hint="eastAsia" w:ascii="宋体" w:hAnsi="宋体" w:eastAsia="宋体" w:cs="宋体"/>
          <w:bCs/>
          <w:color w:val="000000"/>
          <w:sz w:val="21"/>
          <w:szCs w:val="21"/>
          <w:highlight w:val="none"/>
        </w:rPr>
      </w:r>
      <w:r/>
    </w:p>
    <w:p>
      <w:pPr>
        <w:pStyle w:val="984"/>
        <w:ind w:firstLine="420"/>
        <w:pageBreakBefore w:val="0"/>
        <w:spacing w:line="432"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30.3 签订合同后，</w:t>
      </w:r>
      <w:r>
        <w:rPr>
          <w:rFonts w:hint="eastAsia" w:ascii="宋体" w:hAnsi="宋体" w:eastAsia="宋体" w:cs="宋体"/>
          <w:bCs/>
          <w:i/>
          <w:iCs/>
          <w:color w:val="000000"/>
          <w:sz w:val="21"/>
          <w:szCs w:val="21"/>
          <w:highlight w:val="none"/>
          <w:u w:val="single"/>
        </w:rPr>
        <w:t xml:space="preserve">中标人不得将合同标的进行转包</w:t>
      </w:r>
      <w:r>
        <w:rPr>
          <w:rFonts w:hint="eastAsia" w:ascii="宋体" w:hAnsi="宋体" w:eastAsia="宋体" w:cs="宋体"/>
          <w:bCs/>
          <w:color w:val="000000"/>
          <w:sz w:val="21"/>
          <w:szCs w:val="21"/>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bCs/>
          <w:color w:val="000000"/>
          <w:sz w:val="21"/>
          <w:szCs w:val="21"/>
          <w:highlight w:val="none"/>
        </w:rPr>
      </w:r>
      <w:r/>
    </w:p>
    <w:p>
      <w:pPr>
        <w:pStyle w:val="988"/>
        <w:ind w:firstLine="422"/>
        <w:pageBreakBefore w:val="0"/>
        <w:spacing w:before="0" w:after="0" w:line="432"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eastAsia="zh-CN"/>
        </w:rPr>
      </w:r>
      <w:r/>
    </w:p>
    <w:p>
      <w:pPr>
        <w:pStyle w:val="984"/>
        <w:ind w:firstLine="420"/>
        <w:jc w:val="both"/>
        <w:keepLines w:val="0"/>
        <w:keepNext w:val="0"/>
        <w:pageBreakBefore w:val="0"/>
        <w:spacing w:line="432"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31.1</w:t>
      </w:r>
      <w:r>
        <w:rPr>
          <w:rFonts w:hint="eastAsia" w:ascii="宋体" w:hAnsi="宋体" w:eastAsia="宋体" w:cs="宋体"/>
          <w:color w:val="000000"/>
          <w:sz w:val="21"/>
          <w:szCs w:val="21"/>
          <w:highlight w:val="none"/>
        </w:rPr>
        <w:t xml:space="preserve"> 依据《政府采购促进中小企业发展管理办法》享受扶持政策获得政府采购合同的，小微企业不得将合同分包给大中型企业，中型企业不得将合同分包给大型企业。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rPr>
      </w:r>
      <w:r/>
    </w:p>
    <w:p>
      <w:pPr>
        <w:pStyle w:val="984"/>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996"/>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984"/>
        <w:ind w:firstLine="480"/>
        <w:spacing w:line="440" w:lineRule="exact"/>
        <w:rPr>
          <w:rFonts w:ascii="Times New Roman" w:hAnsi="Times New Roman" w:eastAsia="宋体" w:cs="Times New Roman"/>
          <w:sz w:val="24"/>
          <w:highlight w:val="none"/>
        </w:rPr>
      </w:pPr>
      <w:r/>
      <w:bookmarkStart w:id="54" w:name="_Toc528771312"/>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委托方（甲方）合同编号：</w:t>
      </w: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受托方（乙方）合同编号：</w:t>
      </w: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32"/>
          <w:szCs w:val="32"/>
          <w:highlight w:val="none"/>
        </w:rPr>
      </w:pPr>
      <w:r>
        <w:rPr>
          <w:rFonts w:ascii="Times New Roman" w:hAnsi="Times New Roman" w:eastAsia="宋体" w:cs="Times New Roman"/>
          <w:sz w:val="24"/>
          <w:highlight w:val="none"/>
        </w:rPr>
        <w:t xml:space="preserve">       </w:t>
      </w:r>
      <w:r>
        <w:rPr>
          <w:rFonts w:ascii="Times New Roman" w:hAnsi="Times New Roman" w:eastAsia="宋体" w:cs="Times New Roman"/>
          <w:sz w:val="32"/>
          <w:szCs w:val="32"/>
          <w:highlight w:val="none"/>
        </w:rPr>
        <w:t xml:space="preserve">  </w:t>
      </w:r>
      <w:r>
        <w:rPr>
          <w:rFonts w:ascii="Times New Roman" w:hAnsi="Times New Roman" w:eastAsia="宋体" w:cs="Times New Roman"/>
          <w:sz w:val="32"/>
          <w:szCs w:val="32"/>
          <w:highlight w:val="none"/>
          <w:u w:val="single"/>
        </w:rPr>
        <w:t xml:space="preserve">                    </w:t>
      </w:r>
      <w:r>
        <w:rPr>
          <w:rFonts w:ascii="Times New Roman" w:hAnsi="Times New Roman" w:eastAsia="宋体" w:cs="Times New Roman"/>
          <w:sz w:val="32"/>
          <w:szCs w:val="32"/>
          <w:highlight w:val="none"/>
        </w:rPr>
        <w:t xml:space="preserve">项目能源费用托管型</w:t>
      </w:r>
      <w:r>
        <w:rPr>
          <w:rFonts w:ascii="Times New Roman" w:hAnsi="Times New Roman" w:eastAsia="宋体" w:cs="Times New Roman"/>
          <w:sz w:val="32"/>
          <w:szCs w:val="32"/>
          <w:highlight w:val="none"/>
        </w:rPr>
      </w:r>
      <w:r/>
    </w:p>
    <w:p>
      <w:pPr>
        <w:pStyle w:val="984"/>
        <w:ind w:firstLine="3040"/>
        <w:spacing w:line="440" w:lineRule="exact"/>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t xml:space="preserve">合同能源管理合同</w:t>
      </w:r>
      <w:r>
        <w:rPr>
          <w:rFonts w:ascii="Times New Roman" w:hAnsi="Times New Roman" w:eastAsia="宋体" w:cs="Times New Roman"/>
          <w:sz w:val="32"/>
          <w:szCs w:val="32"/>
          <w:highlight w:val="none"/>
        </w:rPr>
      </w:r>
      <w:r/>
    </w:p>
    <w:p>
      <w:pPr>
        <w:pStyle w:val="984"/>
        <w:ind w:firstLine="640"/>
        <w:spacing w:line="440" w:lineRule="exact"/>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984"/>
        <w:ind w:firstLine="540"/>
        <w:jc w:val="both"/>
        <w:spacing w:line="40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84"/>
        <w:ind w:firstLine="640"/>
        <w:spacing w:line="440" w:lineRule="exact"/>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t xml:space="preserve">项目名称：                           </w:t>
      </w:r>
      <w:r>
        <w:rPr>
          <w:rFonts w:ascii="Times New Roman" w:hAnsi="Times New Roman" w:eastAsia="宋体" w:cs="Times New Roman"/>
          <w:sz w:val="32"/>
          <w:szCs w:val="32"/>
          <w:highlight w:val="none"/>
        </w:rPr>
      </w:r>
      <w:r/>
    </w:p>
    <w:p>
      <w:pPr>
        <w:pStyle w:val="984"/>
        <w:ind w:firstLine="640"/>
        <w:spacing w:line="440" w:lineRule="exact"/>
        <w:rPr>
          <w:rFonts w:ascii="Times New Roman" w:hAnsi="Times New Roman" w:eastAsia="宋体" w:cs="Times New Roman"/>
          <w:sz w:val="32"/>
          <w:szCs w:val="32"/>
          <w:highlight w:val="none"/>
          <w:u w:val="single"/>
        </w:rPr>
      </w:pPr>
      <w:r>
        <w:rPr>
          <w:rFonts w:ascii="Times New Roman" w:hAnsi="Times New Roman" w:eastAsia="宋体" w:cs="Times New Roman"/>
          <w:sz w:val="32"/>
          <w:szCs w:val="32"/>
          <w:highlight w:val="none"/>
        </w:rPr>
        <w:t xml:space="preserve">委托方（甲方）：</w:t>
      </w:r>
      <w:r>
        <w:rPr>
          <w:rFonts w:ascii="Times New Roman" w:hAnsi="Times New Roman" w:eastAsia="宋体" w:cs="Times New Roman"/>
          <w:sz w:val="32"/>
          <w:szCs w:val="32"/>
          <w:highlight w:val="none"/>
          <w:u w:val="single"/>
        </w:rPr>
        <w:t xml:space="preserve">                       </w:t>
      </w:r>
      <w:r>
        <w:rPr>
          <w:rFonts w:ascii="Times New Roman" w:hAnsi="Times New Roman" w:eastAsia="宋体" w:cs="Times New Roman"/>
          <w:sz w:val="32"/>
          <w:szCs w:val="32"/>
          <w:highlight w:val="none"/>
          <w:u w:val="single"/>
        </w:rPr>
      </w:r>
      <w:r/>
    </w:p>
    <w:p>
      <w:pPr>
        <w:pStyle w:val="984"/>
        <w:ind w:firstLine="640"/>
        <w:spacing w:line="440" w:lineRule="exact"/>
        <w:rPr>
          <w:rFonts w:ascii="Times New Roman" w:hAnsi="Times New Roman" w:eastAsia="宋体" w:cs="Times New Roman"/>
          <w:sz w:val="32"/>
          <w:szCs w:val="32"/>
          <w:highlight w:val="none"/>
          <w:u w:val="single"/>
        </w:rPr>
      </w:pPr>
      <w:r>
        <w:rPr>
          <w:rFonts w:ascii="Times New Roman" w:hAnsi="Times New Roman" w:eastAsia="宋体" w:cs="Times New Roman"/>
          <w:sz w:val="32"/>
          <w:szCs w:val="32"/>
          <w:highlight w:val="none"/>
        </w:rPr>
        <w:t xml:space="preserve">受托方（乙方）：</w:t>
      </w:r>
      <w:r>
        <w:rPr>
          <w:rFonts w:ascii="Times New Roman" w:hAnsi="Times New Roman" w:eastAsia="宋体" w:cs="Times New Roman"/>
          <w:sz w:val="32"/>
          <w:szCs w:val="32"/>
          <w:highlight w:val="none"/>
          <w:u w:val="single"/>
        </w:rPr>
        <w:t xml:space="preserve">                       </w:t>
      </w:r>
      <w:r>
        <w:rPr>
          <w:rFonts w:ascii="Times New Roman" w:hAnsi="Times New Roman" w:eastAsia="宋体" w:cs="Times New Roman"/>
          <w:sz w:val="32"/>
          <w:szCs w:val="32"/>
          <w:highlight w:val="none"/>
          <w:u w:val="single"/>
        </w:rPr>
      </w:r>
      <w:r/>
    </w:p>
    <w:p>
      <w:pPr>
        <w:pStyle w:val="984"/>
        <w:ind w:firstLine="640"/>
        <w:spacing w:line="440" w:lineRule="exact"/>
        <w:rPr>
          <w:rFonts w:ascii="Times New Roman" w:hAnsi="Times New Roman" w:eastAsia="宋体" w:cs="Times New Roman"/>
          <w:sz w:val="32"/>
          <w:szCs w:val="32"/>
          <w:highlight w:val="none"/>
          <w:u w:val="single"/>
        </w:rPr>
      </w:pPr>
      <w:r>
        <w:rPr>
          <w:rFonts w:ascii="Times New Roman" w:hAnsi="Times New Roman" w:eastAsia="宋体" w:cs="Times New Roman"/>
          <w:sz w:val="32"/>
          <w:szCs w:val="32"/>
          <w:highlight w:val="none"/>
        </w:rPr>
        <w:t xml:space="preserve">签订时间：</w:t>
      </w:r>
      <w:r>
        <w:rPr>
          <w:rFonts w:ascii="Times New Roman" w:hAnsi="Times New Roman" w:eastAsia="宋体" w:cs="Times New Roman"/>
          <w:sz w:val="32"/>
          <w:szCs w:val="32"/>
          <w:highlight w:val="none"/>
          <w:u w:val="single"/>
        </w:rPr>
        <w:t xml:space="preserve">                           </w:t>
      </w:r>
      <w:r>
        <w:rPr>
          <w:rFonts w:ascii="Times New Roman" w:hAnsi="Times New Roman" w:eastAsia="宋体" w:cs="Times New Roman"/>
          <w:sz w:val="32"/>
          <w:szCs w:val="32"/>
          <w:highlight w:val="none"/>
          <w:u w:val="single"/>
        </w:rPr>
      </w:r>
      <w:r/>
    </w:p>
    <w:p>
      <w:pPr>
        <w:pStyle w:val="984"/>
        <w:ind w:firstLine="640"/>
        <w:spacing w:line="440" w:lineRule="exact"/>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t xml:space="preserve">签订地点：</w:t>
      </w:r>
      <w:r>
        <w:rPr>
          <w:rFonts w:ascii="Times New Roman" w:hAnsi="Times New Roman" w:eastAsia="宋体" w:cs="Times New Roman"/>
          <w:sz w:val="32"/>
          <w:szCs w:val="32"/>
          <w:highlight w:val="none"/>
          <w:u w:val="single"/>
        </w:rPr>
        <w:t xml:space="preserve">                           </w:t>
      </w:r>
      <w:r>
        <w:rPr>
          <w:rFonts w:ascii="Times New Roman" w:hAnsi="Times New Roman" w:eastAsia="宋体" w:cs="Times New Roman"/>
          <w:sz w:val="32"/>
          <w:szCs w:val="32"/>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ind w:firstLine="48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84"/>
        <w:jc w:val="both"/>
        <w:spacing w:line="400" w:lineRule="exact"/>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bl>
      <w:tblPr>
        <w:tblW w:w="5044" w:type="pct"/>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44"/>
        <w:gridCol w:w="2404"/>
        <w:gridCol w:w="1948"/>
        <w:gridCol w:w="1825"/>
        <w:gridCol w:w="1921"/>
      </w:tblGrid>
      <w:tr>
        <w:trPr>
          <w:trHeight w:val="404"/>
        </w:trPr>
        <w:tc>
          <w:tcPr>
            <w:tcW w:w="472" w:type="dxa"/>
            <w:vAlign w:val="center"/>
            <w:vMerge w:val="restart"/>
            <w:textDirection w:val="tbRlV"/>
            <w:noWrap w:val="false"/>
          </w:tcPr>
          <w:p>
            <w:pPr>
              <w:pStyle w:val="984"/>
              <w:ind w:left="113" w:right="113"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甲方︵</w:t>
            </w:r>
            <w:r>
              <w:rPr>
                <w:rFonts w:hint="eastAsia" w:ascii="宋体" w:hAnsi="宋体" w:eastAsia="宋体" w:cs="Times New Roman"/>
                <w:szCs w:val="21"/>
                <w:highlight w:val="none"/>
                <w:lang w:eastAsia="en-US"/>
              </w:rPr>
              <w:t xml:space="preserve">公共机构</w:t>
            </w:r>
            <w:r>
              <w:rPr>
                <w:rFonts w:ascii="宋体" w:hAnsi="宋体" w:eastAsia="宋体" w:cs="Times New Roman"/>
                <w:szCs w:val="21"/>
                <w:highlight w:val="none"/>
                <w:lang w:eastAsia="en-US"/>
              </w:rPr>
              <w:t xml:space="preserve">︶</w:t>
            </w: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单位名称</w:t>
            </w:r>
            <w:r>
              <w:rPr>
                <w:rFonts w:ascii="宋体" w:hAnsi="宋体" w:eastAsia="宋体" w:cs="Times New Roman"/>
                <w:szCs w:val="21"/>
                <w:highlight w:val="none"/>
                <w:lang w:eastAsia="en-US"/>
              </w:rPr>
            </w:r>
            <w:r/>
          </w:p>
        </w:tc>
        <w:tc>
          <w:tcPr>
            <w:gridSpan w:val="3"/>
            <w:tcW w:w="569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注册地址</w:t>
            </w:r>
            <w:r>
              <w:rPr>
                <w:rFonts w:ascii="宋体" w:hAnsi="宋体" w:eastAsia="宋体" w:cs="Times New Roman"/>
                <w:szCs w:val="21"/>
                <w:highlight w:val="none"/>
                <w:lang w:eastAsia="en-US"/>
              </w:rPr>
            </w:r>
            <w:r/>
          </w:p>
        </w:tc>
        <w:tc>
          <w:tcPr>
            <w:gridSpan w:val="3"/>
            <w:tcW w:w="569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通信地址</w:t>
            </w:r>
            <w:r>
              <w:rPr>
                <w:rFonts w:ascii="宋体" w:hAnsi="宋体" w:eastAsia="宋体" w:cs="Times New Roman"/>
                <w:szCs w:val="21"/>
                <w:highlight w:val="none"/>
                <w:lang w:eastAsia="en-US"/>
              </w:rPr>
            </w:r>
            <w:r/>
          </w:p>
        </w:tc>
        <w:tc>
          <w:tcPr>
            <w:gridSpan w:val="3"/>
            <w:tcW w:w="569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统一社会信用代码</w:t>
            </w:r>
            <w:r>
              <w:rPr>
                <w:rFonts w:ascii="宋体" w:hAnsi="宋体" w:eastAsia="宋体" w:cs="Times New Roman"/>
                <w:szCs w:val="21"/>
                <w:highlight w:val="none"/>
                <w:lang w:eastAsia="en-US"/>
              </w:rPr>
            </w:r>
            <w:r/>
          </w:p>
        </w:tc>
        <w:tc>
          <w:tcPr>
            <w:gridSpan w:val="3"/>
            <w:tcW w:w="569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法定代表人</w:t>
            </w:r>
            <w:r>
              <w:rPr>
                <w:rFonts w:ascii="宋体" w:hAnsi="宋体" w:eastAsia="宋体" w:cs="Times New Roman"/>
                <w:szCs w:val="21"/>
                <w:highlight w:val="none"/>
                <w:lang w:eastAsia="en-US"/>
              </w:rPr>
            </w:r>
            <w:r/>
          </w:p>
        </w:tc>
        <w:tc>
          <w:tcPr>
            <w:tcW w:w="1089"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020"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委托代理人</w:t>
            </w:r>
            <w:r>
              <w:rPr>
                <w:rFonts w:ascii="宋体" w:hAnsi="宋体" w:eastAsia="宋体" w:cs="Times New Roman"/>
                <w:szCs w:val="21"/>
                <w:highlight w:val="none"/>
                <w:lang w:eastAsia="en-US"/>
              </w:rPr>
            </w:r>
            <w:r/>
          </w:p>
        </w:tc>
        <w:tc>
          <w:tcPr>
            <w:tcW w:w="1073"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联系人</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电话</w:t>
            </w:r>
            <w:r>
              <w:rPr>
                <w:rFonts w:ascii="宋体" w:hAnsi="宋体" w:eastAsia="宋体" w:cs="Times New Roman"/>
                <w:szCs w:val="21"/>
                <w:highlight w:val="none"/>
                <w:lang w:eastAsia="en-US"/>
              </w:rPr>
            </w:r>
            <w:r/>
          </w:p>
        </w:tc>
        <w:tc>
          <w:tcPr>
            <w:tcW w:w="1089"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020"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传真</w:t>
            </w:r>
            <w:r>
              <w:rPr>
                <w:rFonts w:ascii="宋体" w:hAnsi="宋体" w:eastAsia="宋体" w:cs="Times New Roman"/>
                <w:szCs w:val="21"/>
                <w:highlight w:val="none"/>
                <w:lang w:eastAsia="en-US"/>
              </w:rPr>
            </w:r>
            <w:r/>
          </w:p>
        </w:tc>
        <w:tc>
          <w:tcPr>
            <w:tcW w:w="1073"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电子邮箱</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开户银行</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9"/>
        </w:trPr>
        <w:tc>
          <w:tcPr>
            <w:tcW w:w="472" w:type="dxa"/>
            <w:vAlign w:val="center"/>
            <w:vMerge w:val="continue"/>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帐</w:t>
            </w:r>
            <w:r>
              <w:rPr>
                <w:rFonts w:ascii="宋体" w:hAnsi="宋体" w:eastAsia="宋体" w:cs="Times New Roman"/>
                <w:szCs w:val="21"/>
                <w:highlight w:val="none"/>
                <w:lang w:eastAsia="en-US"/>
              </w:rPr>
              <w:t xml:space="preserve">号</w:t>
            </w:r>
            <w:r>
              <w:rPr>
                <w:rFonts w:ascii="宋体" w:hAnsi="宋体" w:eastAsia="宋体" w:cs="Times New Roman"/>
                <w:szCs w:val="21"/>
                <w:highlight w:val="none"/>
                <w:lang w:eastAsia="en-US"/>
              </w:rPr>
            </w:r>
            <w:r/>
          </w:p>
        </w:tc>
        <w:tc>
          <w:tcPr>
            <w:tcW w:w="1089"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020"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税号</w:t>
            </w:r>
            <w:r>
              <w:rPr>
                <w:rFonts w:ascii="宋体" w:hAnsi="宋体" w:eastAsia="宋体" w:cs="Times New Roman"/>
                <w:szCs w:val="21"/>
                <w:highlight w:val="none"/>
                <w:lang w:eastAsia="en-US"/>
              </w:rPr>
            </w:r>
            <w:r/>
          </w:p>
        </w:tc>
        <w:tc>
          <w:tcPr>
            <w:tcW w:w="1073"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404"/>
        </w:trPr>
        <w:tc>
          <w:tcPr>
            <w:tcW w:w="472" w:type="dxa"/>
            <w:vAlign w:val="center"/>
            <w:vMerge w:val="restart"/>
            <w:textDirection w:val="tbRlV"/>
            <w:noWrap w:val="false"/>
          </w:tcPr>
          <w:p>
            <w:pPr>
              <w:pStyle w:val="984"/>
              <w:ind w:right="113" w:firstLine="0"/>
              <w:jc w:val="center"/>
              <w:keepLines w:val="0"/>
              <w:keepNext w:val="0"/>
              <w:pageBreakBefore w:val="0"/>
              <w:spacing w:line="500" w:lineRule="exact"/>
              <w:widowControl w:val="off"/>
              <w:rPr>
                <w:rFonts w:ascii="宋体" w:hAnsi="宋体" w:eastAsia="宋体" w:cs="Times New Roman"/>
                <w:szCs w:val="21"/>
                <w:highlight w:val="none"/>
              </w:rPr>
            </w:pPr>
            <w:r>
              <w:rPr>
                <w:rFonts w:ascii="宋体" w:hAnsi="宋体" w:eastAsia="宋体" w:cs="Times New Roman"/>
                <w:szCs w:val="21"/>
                <w:highlight w:val="none"/>
              </w:rPr>
              <w:t xml:space="preserve">乙方︵节能服务公司︶</w:t>
            </w:r>
            <w:r>
              <w:rPr>
                <w:rFonts w:ascii="宋体" w:hAnsi="宋体" w:eastAsia="宋体" w:cs="Times New Roman"/>
                <w:szCs w:val="21"/>
                <w:highlight w:val="none"/>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单位名称</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注册地址</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通信地址</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统一社会信用代码</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法定代表人</w:t>
            </w:r>
            <w:r>
              <w:rPr>
                <w:rFonts w:ascii="宋体" w:hAnsi="宋体" w:eastAsia="宋体" w:cs="Times New Roman"/>
                <w:szCs w:val="21"/>
                <w:highlight w:val="none"/>
                <w:lang w:eastAsia="en-US"/>
              </w:rPr>
            </w:r>
            <w:r/>
          </w:p>
        </w:tc>
        <w:tc>
          <w:tcPr>
            <w:tcW w:w="1089"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020"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委托代理人</w:t>
            </w:r>
            <w:r>
              <w:rPr>
                <w:rFonts w:ascii="宋体" w:hAnsi="宋体" w:eastAsia="宋体" w:cs="Times New Roman"/>
                <w:szCs w:val="21"/>
                <w:highlight w:val="none"/>
                <w:lang w:eastAsia="en-US"/>
              </w:rPr>
            </w:r>
            <w:r/>
          </w:p>
        </w:tc>
        <w:tc>
          <w:tcPr>
            <w:tcW w:w="1073"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联系人</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通信地址</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电话</w:t>
            </w:r>
            <w:r>
              <w:rPr>
                <w:rFonts w:ascii="宋体" w:hAnsi="宋体" w:eastAsia="宋体" w:cs="Times New Roman"/>
                <w:szCs w:val="21"/>
                <w:highlight w:val="none"/>
                <w:lang w:eastAsia="en-US"/>
              </w:rPr>
            </w:r>
            <w:r/>
          </w:p>
        </w:tc>
        <w:tc>
          <w:tcPr>
            <w:tcW w:w="1089"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020"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传真</w:t>
            </w:r>
            <w:r>
              <w:rPr>
                <w:rFonts w:ascii="宋体" w:hAnsi="宋体" w:eastAsia="宋体" w:cs="Times New Roman"/>
                <w:szCs w:val="21"/>
                <w:highlight w:val="none"/>
                <w:lang w:eastAsia="en-US"/>
              </w:rPr>
            </w:r>
            <w:r/>
          </w:p>
        </w:tc>
        <w:tc>
          <w:tcPr>
            <w:tcW w:w="1073"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电子邮箱</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开户银行</w:t>
            </w:r>
            <w:r>
              <w:rPr>
                <w:rFonts w:ascii="宋体" w:hAnsi="宋体" w:eastAsia="宋体" w:cs="Times New Roman"/>
                <w:szCs w:val="21"/>
                <w:highlight w:val="none"/>
                <w:lang w:eastAsia="en-US"/>
              </w:rPr>
            </w:r>
            <w:r/>
          </w:p>
        </w:tc>
        <w:tc>
          <w:tcPr>
            <w:gridSpan w:val="3"/>
            <w:tcW w:w="5694"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r>
        <w:trPr>
          <w:trHeight w:val="399"/>
        </w:trPr>
        <w:tc>
          <w:tcPr>
            <w:tcW w:w="472" w:type="dxa"/>
            <w:vAlign w:val="top"/>
            <w:vMerge w:val="continue"/>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344"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帐</w:t>
            </w:r>
            <w:r>
              <w:rPr>
                <w:rFonts w:ascii="宋体" w:hAnsi="宋体" w:eastAsia="宋体" w:cs="Times New Roman"/>
                <w:szCs w:val="21"/>
                <w:highlight w:val="none"/>
                <w:lang w:eastAsia="en-US"/>
              </w:rPr>
              <w:t xml:space="preserve">号</w:t>
            </w:r>
            <w:r>
              <w:rPr>
                <w:rFonts w:ascii="宋体" w:hAnsi="宋体" w:eastAsia="宋体" w:cs="Times New Roman"/>
                <w:szCs w:val="21"/>
                <w:highlight w:val="none"/>
                <w:lang w:eastAsia="en-US"/>
              </w:rPr>
            </w:r>
            <w:r/>
          </w:p>
        </w:tc>
        <w:tc>
          <w:tcPr>
            <w:tcW w:w="1089"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c>
          <w:tcPr>
            <w:tcW w:w="1020" w:type="dxa"/>
            <w:vAlign w:val="center"/>
            <w:textDirection w:val="lrTb"/>
            <w:noWrap w:val="false"/>
          </w:tcPr>
          <w:p>
            <w:pPr>
              <w:pStyle w:val="984"/>
              <w:ind w:firstLine="0"/>
              <w:jc w:val="center"/>
              <w:keepLines w:val="0"/>
              <w:keepNext w:val="0"/>
              <w:pageBreakBefore w:val="0"/>
              <w:spacing w:line="500" w:lineRule="exact"/>
              <w:widowControl w:val="off"/>
              <w:rPr>
                <w:rFonts w:ascii="宋体" w:hAnsi="宋体" w:eastAsia="宋体" w:cs="Times New Roman"/>
                <w:szCs w:val="21"/>
                <w:highlight w:val="none"/>
                <w:lang w:eastAsia="en-US"/>
              </w:rPr>
            </w:pPr>
            <w:r>
              <w:rPr>
                <w:rFonts w:ascii="宋体" w:hAnsi="宋体" w:eastAsia="宋体" w:cs="Times New Roman"/>
                <w:szCs w:val="21"/>
                <w:highlight w:val="none"/>
                <w:lang w:eastAsia="en-US"/>
              </w:rPr>
              <w:t xml:space="preserve">税号</w:t>
            </w:r>
            <w:r>
              <w:rPr>
                <w:rFonts w:ascii="宋体" w:hAnsi="宋体" w:eastAsia="宋体" w:cs="Times New Roman"/>
                <w:szCs w:val="21"/>
                <w:highlight w:val="none"/>
                <w:lang w:eastAsia="en-US"/>
              </w:rPr>
            </w:r>
            <w:r/>
          </w:p>
        </w:tc>
        <w:tc>
          <w:tcPr>
            <w:tcW w:w="1073" w:type="dxa"/>
            <w:vAlign w:val="top"/>
            <w:textDirection w:val="lrTb"/>
            <w:noWrap w:val="false"/>
          </w:tcPr>
          <w:p>
            <w:pPr>
              <w:pStyle w:val="984"/>
              <w:ind w:firstLine="560"/>
              <w:spacing w:line="500" w:lineRule="exact"/>
              <w:rPr>
                <w:rFonts w:ascii="宋体" w:hAnsi="宋体" w:eastAsia="宋体" w:cs="Times New Roman"/>
                <w:szCs w:val="21"/>
                <w:highlight w:val="none"/>
                <w:lang w:eastAsia="en-US"/>
              </w:rPr>
            </w:pPr>
            <w:r>
              <w:rPr>
                <w:rFonts w:ascii="宋体" w:hAnsi="宋体" w:eastAsia="宋体" w:cs="Times New Roman"/>
                <w:szCs w:val="21"/>
                <w:highlight w:val="none"/>
                <w:lang w:eastAsia="en-US"/>
              </w:rPr>
            </w:r>
            <w:r/>
          </w:p>
        </w:tc>
      </w:tr>
    </w:tbl>
    <w:p>
      <w:pPr>
        <w:pStyle w:val="984"/>
        <w:ind w:firstLine="420"/>
        <w:keepLines w:val="0"/>
        <w:keepNext w:val="0"/>
        <w:pageBreakBefore w:val="0"/>
        <w:spacing w:line="432" w:lineRule="auto"/>
        <w:widowControl w:val="off"/>
        <w:rPr>
          <w:rFonts w:hint="eastAsia" w:ascii="宋体" w:hAnsi="宋体" w:eastAsia="宋体" w:cs="宋体"/>
          <w:color w:val="000000"/>
          <w:sz w:val="21"/>
          <w:szCs w:val="21"/>
          <w:highlight w:val="none"/>
        </w:rPr>
      </w:pPr>
      <w:r>
        <w:rPr>
          <w:rFonts w:ascii="宋体" w:hAnsi="宋体" w:eastAsia="宋体" w:cs="宋体"/>
          <w:szCs w:val="21"/>
          <w:highlight w:val="none"/>
          <w:lang w:val="zh-TW" w:eastAsia="zh-TW"/>
        </w:rPr>
        <w:br w:type="page" w:clear="all"/>
      </w:r>
      <w:r>
        <w:rPr>
          <w:rFonts w:hint="eastAsia" w:ascii="宋体" w:hAnsi="宋体" w:eastAsia="宋体" w:cs="宋体"/>
          <w:color w:val="000000"/>
          <w:sz w:val="21"/>
          <w:szCs w:val="21"/>
          <w:highlight w:val="none"/>
        </w:rPr>
        <w:t xml:space="preserve">公共机构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（以下简称甲方）与节能服务公司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下简称乙方），根据《中华人民共和国民法典》《政府采购法》《招投标法》《公共机构节能条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第一条  名词解释</w:t>
      </w:r>
      <w:r>
        <w:rPr>
          <w:rFonts w:hint="eastAsia" w:ascii="宋体" w:hAnsi="宋体" w:eastAsia="宋体" w:cs="宋体"/>
          <w:b/>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1.1  合同能源管理</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1.2  能源托管</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1.3  能源基准</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用作比较能源绩效的定量参考依据。</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1：能源基准反映的是特定时间段的能源利用状况。</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2：能源基准可采用建筑能源审计所确定的基准期内、项目边界内建筑或各用能设备（系统）的能源消耗量作为能源绩效参数。</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3：能源基准也可作为能源绩效改进措施实施前后的参照来计算节能量。</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1.4  建筑能源审计</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1.5  项目边界</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实施节能改造措施所影响的建筑或用能设备（系统）的运行时间、范围和地理位置界线。</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1.6  基准期</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在建筑合同能源管理项目实施前，能够代表项目边界内用能设备和系统运行规律的时间段。</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1.7  能源托管费用基数</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第二条  托管项目基本情况</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托管项目的房屋建筑设施系甲方的经营办公场所，位于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，相关建设、运营等手续合法、有效。托管项目区域内的供暖及制冷系统各项申报、批准、验收手续齐全。如果上述手续尚不齐备，由甲方负责完善。</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托管项目的用能建筑情况：本项目建筑主要有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楼栋建筑面积为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㎡。项目总建筑面积为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㎡，其中需要供暖和供冷的建筑面积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㎡。大楼于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年竣工并投入使用。</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托管项目的能源种类范围：本项目能源托管的范围包括政府自行缴纳费用的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等能源形式，政府其他能源费用不在本次托管范围内。</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托管项目的能源系统设备设施：供能设备包括供暖设备、制冷设备、配电室设备、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用能设备包括冬季取暖供热、夏季空调供冷的建筑设施，生活、生产、工作用电等设施。</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2.5 托管项目的用能时间及要求</w:t>
      </w:r>
      <w:r>
        <w:rPr>
          <w:rFonts w:hint="eastAsia" w:ascii="宋体" w:hAnsi="宋体" w:eastAsia="宋体" w:cs="宋体"/>
          <w:color w:val="000000"/>
          <w:sz w:val="21"/>
          <w:szCs w:val="21"/>
          <w:highlight w:val="none"/>
        </w:rPr>
      </w:r>
      <w:r/>
    </w:p>
    <w:tbl>
      <w:tblPr>
        <w:tblW w:w="451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422"/>
        <w:gridCol w:w="1800"/>
        <w:gridCol w:w="1973"/>
        <w:gridCol w:w="1983"/>
      </w:tblGrid>
      <w:tr>
        <w:trPr>
          <w:trHeight w:val="411"/>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供冷时间</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575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5月25日至9月25日</w:t>
            </w:r>
            <w:r>
              <w:rPr>
                <w:rFonts w:hint="eastAsia" w:ascii="宋体" w:hAnsi="宋体" w:eastAsia="宋体" w:cs="宋体"/>
                <w:color w:val="000000"/>
                <w:sz w:val="21"/>
                <w:szCs w:val="21"/>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供冷条件</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575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天气预报最高温度连续三天28度以上</w:t>
            </w:r>
            <w:r>
              <w:rPr>
                <w:rFonts w:hint="eastAsia" w:ascii="宋体" w:hAnsi="宋体" w:eastAsia="宋体" w:cs="宋体"/>
                <w:color w:val="000000"/>
                <w:sz w:val="21"/>
                <w:szCs w:val="21"/>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供热时间</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575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1月1日至3月15日和11月15日至12月31日</w:t>
            </w:r>
            <w:r>
              <w:rPr>
                <w:rFonts w:hint="eastAsia" w:ascii="宋体" w:hAnsi="宋体" w:eastAsia="宋体" w:cs="宋体"/>
                <w:color w:val="000000"/>
                <w:sz w:val="21"/>
                <w:szCs w:val="21"/>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供热条件</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575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天气预报最低温度连续三天10度以下</w:t>
            </w:r>
            <w:r>
              <w:rPr>
                <w:rFonts w:hint="eastAsia" w:ascii="宋体" w:hAnsi="宋体" w:eastAsia="宋体" w:cs="宋体"/>
                <w:color w:val="000000"/>
                <w:sz w:val="21"/>
                <w:szCs w:val="21"/>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空调标准</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575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夏季≤26度、冬季≥20度</w:t>
            </w:r>
            <w:r>
              <w:rPr>
                <w:rFonts w:hint="eastAsia" w:ascii="宋体" w:hAnsi="宋体" w:eastAsia="宋体" w:cs="宋体"/>
                <w:color w:val="000000"/>
                <w:sz w:val="21"/>
                <w:szCs w:val="21"/>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蒸汽标准</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575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tc>
      </w:tr>
      <w:tr>
        <w:trPr>
          <w:trHeight w:val="411"/>
        </w:trPr>
        <w:tc>
          <w:tcPr>
            <w:tcBorders>
              <w:top w:val="single" w:color="000000" w:sz="4" w:space="0"/>
              <w:left w:val="single" w:color="000000" w:sz="4" w:space="0"/>
              <w:bottom w:val="none" w:color="000000" w:sz="0" w:space="0"/>
              <w:right w:val="single" w:color="000000" w:sz="4" w:space="0"/>
            </w:tcBorders>
            <w:tcW w:w="1481" w:type="dxa"/>
            <w:vAlign w:val="center"/>
            <w:vMerge w:val="restart"/>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日供时段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卫生热水</w:t>
            </w:r>
            <w:r>
              <w:rPr>
                <w:rFonts w:hint="eastAsia" w:ascii="宋体" w:hAnsi="宋体" w:eastAsia="宋体" w:cs="宋体"/>
                <w:color w:val="000000"/>
                <w:sz w:val="21"/>
                <w:szCs w:val="21"/>
                <w:highlight w:val="none"/>
              </w:rPr>
            </w:r>
            <w:r/>
          </w:p>
        </w:tc>
      </w:tr>
      <w:tr>
        <w:trPr>
          <w:trHeight w:val="411"/>
        </w:trPr>
        <w:tc>
          <w:tcPr>
            <w:tcBorders>
              <w:top w:val="none" w:color="000000" w:sz="0" w:space="0"/>
              <w:left w:val="single" w:color="000000" w:sz="4" w:space="0"/>
              <w:bottom w:val="single" w:color="000000" w:sz="4" w:space="0"/>
              <w:right w:val="single" w:color="000000" w:sz="4" w:space="0"/>
            </w:tcBorders>
            <w:tcW w:w="1481" w:type="dxa"/>
            <w:vAlign w:val="center"/>
            <w:vMerge w:val="continue"/>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8:00至17:30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8:00至17:30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8:00至17:30</w:t>
            </w:r>
            <w:r>
              <w:rPr>
                <w:rFonts w:hint="eastAsia" w:ascii="宋体" w:hAnsi="宋体" w:eastAsia="宋体" w:cs="宋体"/>
                <w:color w:val="000000"/>
                <w:sz w:val="21"/>
                <w:szCs w:val="21"/>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照明标准</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5756" w:type="dxa"/>
            <w:vAlign w:val="center"/>
            <w:textDirection w:val="lrTb"/>
            <w:noWrap/>
          </w:tcPr>
          <w:p>
            <w:pPr>
              <w:pStyle w:val="984"/>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不低于300LUX</w:t>
            </w:r>
            <w:r>
              <w:rPr>
                <w:rFonts w:hint="eastAsia" w:ascii="宋体" w:hAnsi="宋体" w:eastAsia="宋体" w:cs="宋体"/>
                <w:color w:val="000000"/>
                <w:sz w:val="21"/>
                <w:szCs w:val="21"/>
                <w:highlight w:val="none"/>
              </w:rPr>
            </w:r>
            <w:r/>
          </w:p>
        </w:tc>
      </w:tr>
    </w:tbl>
    <w:p>
      <w:pPr>
        <w:pStyle w:val="984"/>
        <w:ind w:firstLine="420"/>
        <w:jc w:val="left"/>
        <w:keepLines w:val="0"/>
        <w:keepNext w:val="0"/>
        <w:pageBreakBefore w:val="0"/>
        <w:spacing w:before="0" w:line="43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 托管项目的运维管理情况：甲方委托乙方对本项目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（用能系统）的设备及系统进行管理运营，设备开关及控制由</w:t>
      </w:r>
      <w:r>
        <w:rPr>
          <w:rFonts w:hint="eastAsia" w:ascii="宋体" w:hAnsi="宋体" w:eastAsia="宋体" w:cs="宋体"/>
          <w:color w:val="000000"/>
          <w:sz w:val="21"/>
          <w:szCs w:val="21"/>
          <w:highlight w:val="none"/>
          <w:u w:val="single"/>
        </w:rPr>
        <w:t xml:space="preserve">    甲方    </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 托管项目区域内的用能建筑情况（2.2）和能源系统设备设施（2.4）、项目运维管理情况（2.6），由双方进行逐一登记造册，形成“项目现有用能情况”作为本合同附件一。</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 项目托管服务范围包括：</w:t>
      </w:r>
      <w:r>
        <w:rPr>
          <w:rFonts w:hint="eastAsia" w:ascii="宋体" w:hAnsi="宋体" w:eastAsia="宋体" w:cs="宋体"/>
          <w:color w:val="000000"/>
          <w:sz w:val="21"/>
          <w:szCs w:val="21"/>
          <w:highlight w:val="none"/>
          <w:u w:val="single"/>
        </w:rPr>
        <w:t xml:space="preserve">      电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第三条  能源审计和能源基准</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能源审计是甲方能源系统能源消耗状况的依据，能源审计费用由</w:t>
      </w:r>
      <w:r>
        <w:rPr>
          <w:rFonts w:hint="eastAsia" w:ascii="宋体" w:hAnsi="宋体" w:eastAsia="宋体" w:cs="宋体"/>
          <w:color w:val="000000"/>
          <w:sz w:val="21"/>
          <w:szCs w:val="21"/>
          <w:highlight w:val="none"/>
          <w:u w:val="single"/>
        </w:rPr>
        <w:t xml:space="preserve">   甲方   </w:t>
      </w:r>
      <w:r>
        <w:rPr>
          <w:rFonts w:hint="eastAsia" w:ascii="宋体" w:hAnsi="宋体" w:eastAsia="宋体" w:cs="宋体"/>
          <w:color w:val="000000"/>
          <w:sz w:val="21"/>
          <w:szCs w:val="21"/>
          <w:highlight w:val="none"/>
        </w:rPr>
        <w:t xml:space="preserve">承担。 </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经过能源审计确定托管项目的能源基准：确定本项目在实施能源托管前，代表项目边界内用能设备和系统运行规律的基准期为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日；能源基准如下所示：</w:t>
      </w:r>
      <w:r>
        <w:rPr>
          <w:rFonts w:hint="eastAsia" w:ascii="宋体" w:hAnsi="宋体" w:eastAsia="宋体" w:cs="宋体"/>
          <w:color w:val="000000"/>
          <w:sz w:val="21"/>
          <w:szCs w:val="21"/>
          <w:highlight w:val="none"/>
        </w:rPr>
      </w:r>
      <w:r/>
    </w:p>
    <w:tbl>
      <w:tblPr>
        <w:tblW w:w="486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0"/>
        <w:gridCol w:w="1730"/>
        <w:gridCol w:w="1979"/>
        <w:gridCol w:w="2721"/>
        <w:gridCol w:w="759"/>
      </w:tblGrid>
      <w:tr>
        <w:trPr>
          <w:trHeight w:val="664"/>
        </w:trPr>
        <w:tc>
          <w:tcPr>
            <w:tcBorders>
              <w:top w:val="single" w:color="000000" w:sz="4" w:space="0"/>
              <w:left w:val="single" w:color="000000" w:sz="4" w:space="0"/>
              <w:bottom w:val="single" w:color="000000" w:sz="4" w:space="0"/>
              <w:right w:val="single" w:color="000000" w:sz="4" w:space="0"/>
            </w:tcBorders>
            <w:tcW w:w="1730" w:type="dxa"/>
            <w:vAlign w:val="center"/>
            <w:vMerge w:val="restart"/>
            <w:textDirection w:val="lrTb"/>
            <w:noWrap/>
          </w:tcPr>
          <w:p>
            <w:pPr>
              <w:pStyle w:val="984"/>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托管能源类型</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vMerge w:val="restart"/>
            <w:textDirection w:val="lrTb"/>
            <w:noWrap/>
          </w:tcPr>
          <w:p>
            <w:pPr>
              <w:pStyle w:val="984"/>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能源缴费户号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tcPr>
          <w:p>
            <w:pPr>
              <w:pStyle w:val="984"/>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基准期能源用量</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tcPr>
          <w:p>
            <w:pPr>
              <w:pStyle w:val="984"/>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基准期能源单价（元）</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984"/>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备注</w:t>
            </w:r>
            <w:r>
              <w:rPr>
                <w:rFonts w:hint="eastAsia" w:ascii="宋体" w:hAnsi="宋体" w:eastAsia="宋体" w:cs="宋体"/>
                <w:b/>
                <w:bCs/>
                <w:color w:val="000000"/>
                <w:sz w:val="21"/>
                <w:szCs w:val="21"/>
                <w:highlight w:val="none"/>
                <w:lang w:bidi="ar"/>
              </w:rPr>
            </w:r>
            <w:r/>
          </w:p>
        </w:tc>
      </w:tr>
      <w:tr>
        <w:trPr>
          <w:trHeight w:val="535"/>
        </w:trPr>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kWh</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2"/>
        </w:trPr>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pStyle w:val="984"/>
              <w:ind w:firstLine="0"/>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984"/>
              <w:ind w:firstLine="0"/>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tcPr>
          <w:p>
            <w:pPr>
              <w:pStyle w:val="984"/>
              <w:ind w:firstLine="0"/>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984"/>
              <w:ind w:firstLine="0"/>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第四条  节能目标</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在满足同等需求或达到同等目标的前提下，托管期间的年节能量与基准期能源用量之比应达到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6.5</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%（节能率）。</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如果在托管期间需要进行中期评估或托管结束时进行节能效果评估，可以委托第三方评估， 或双方协商评估。节能效果评估费用由</w:t>
      </w:r>
      <w:r>
        <w:rPr>
          <w:rFonts w:hint="eastAsia" w:ascii="宋体" w:hAnsi="宋体" w:eastAsia="宋体" w:cs="宋体"/>
          <w:color w:val="000000"/>
          <w:sz w:val="21"/>
          <w:szCs w:val="21"/>
          <w:highlight w:val="none"/>
          <w:u w:val="single"/>
        </w:rPr>
        <w:t xml:space="preserve"> </w:t>
      </w:r>
      <w:r>
        <w:rPr>
          <w:rFonts w:hint="eastAsia" w:ascii="宋体" w:hAnsi="宋体" w:cs="宋体"/>
          <w:szCs w:val="21"/>
          <w:highlight w:val="none"/>
          <w:u w:val="single"/>
        </w:rPr>
        <w:t xml:space="preserve">节能效果评估需求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方承担。</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节能目标（根据项目实际情况举例）：</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达到节能目标的奖励：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；达不到节能目标的惩罚：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 节能考核：对能源费用托管工作推进落实情况进行考核评估。</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节能管理目标考核：仪征市环境卫生管理处（仪征市城市管理局）</w:t>
      </w:r>
      <w:r>
        <w:rPr>
          <w:rFonts w:hint="eastAsia" w:ascii="宋体" w:hAnsi="宋体" w:cs="宋体"/>
          <w:szCs w:val="21"/>
          <w:highlight w:val="none"/>
        </w:rPr>
        <w:t xml:space="preserve">年</w:t>
      </w:r>
      <w:r>
        <w:rPr>
          <w:rFonts w:hint="eastAsia" w:ascii="宋体" w:hAnsi="宋体" w:eastAsia="宋体" w:cs="宋体"/>
          <w:color w:val="000000"/>
          <w:sz w:val="21"/>
          <w:szCs w:val="21"/>
          <w:highlight w:val="none"/>
        </w:rPr>
        <w:t xml:space="preserve">度节能率达到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%，单位面积能耗等指标达到基准值并持续优化改进。</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管理措施考核：1）建立健全能源管理制度；2）节能措施落实到位。节能改造措施全面，安全文明措施完备；3）节能技术推广应用。符合合同约定使用的技术标准和技术要求，提供可靠的技术支持；4）开展能源管理培训。对甲方指派的操作人员定期进行专业培训，以使其能承担相应的操作和设施维护要求。</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节能管理保障考核：1）提供365天*24小时的不间断运维服务指导；2）设备发生故障在2小时内予以响应，8小时内修复，因特殊零配件原因48小时内修复，并持续协助故障的最终解答或解决。</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节能管理效果考核：1）乙方按季出具能效分析报告，包括用能情况、能源利用、运维情况等，能源托管效果明显；2）定期开展能源审计，能源消耗量、能源费用等核心数据维持较好水平，并呈现持续改进态势。 </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对项目进展缓慢、组织管理混乱、工作推进不力等情况，限期整改。</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第五条  托管期限</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本项目的建设期为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天，托管期限为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cs="宋体"/>
          <w:color w:val="000000"/>
          <w:szCs w:val="21"/>
          <w:highlight w:val="none"/>
        </w:rPr>
        <w:t xml:space="preserve">项目验收之日起的次月1号起开始计算</w:t>
      </w:r>
      <w:r>
        <w:rPr>
          <w:rFonts w:hint="eastAsia" w:ascii="宋体" w:hAnsi="宋体" w:cs="宋体"/>
          <w:szCs w:val="21"/>
          <w:highlight w:val="none"/>
        </w:rPr>
        <w:t xml:space="preserve">至托管期限届满</w:t>
      </w:r>
      <w:r>
        <w:rPr>
          <w:rFonts w:hint="eastAsia" w:ascii="宋体" w:hAnsi="宋体" w:eastAsia="宋体" w:cs="宋体"/>
          <w:color w:val="000000"/>
          <w:sz w:val="21"/>
          <w:szCs w:val="21"/>
          <w:highlight w:val="none"/>
        </w:rPr>
        <w:t xml:space="preserve">（建设开工日期由甲方另行通知）。</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 托管期限届满，乙方将托管的能源系统设备、设施移交给甲方或甲方指定的单位。</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本合同期限届满，乙方如约完成节能目标并且达到本合同约定的服务标准，如果甲方继续采用能源费用托管的形式进行能源系统的管理，在同等条件下，乙方享有优先续约的权利。</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第六条  乙方的管理和服务标准</w:t>
      </w:r>
      <w:r>
        <w:rPr>
          <w:rFonts w:hint="eastAsia" w:ascii="宋体" w:hAnsi="宋体" w:eastAsia="宋体" w:cs="宋体"/>
          <w:b/>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托管期限内，托管区域内的供暖（冷）、用电、用水等系统的经营及管理权归乙方，由乙方自主经营，自负盈亏。</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乙方在本项目设有专门的能源管理人员提供线上托管事宜，并建立专业的管理团队提供线上服务。管理团队成员名单、相应的资质资格证书应提交甲方备案。</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 乙方提供的服务范围和项目包括：用电、供暖、供冷。（注：服务范围和内容应当具体全面。）</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 乙方的服务标准</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6.4.1 供暖期间的室内温度标准</w:t>
      </w:r>
      <w:r>
        <w:rPr>
          <w:rFonts w:hint="eastAsia" w:ascii="宋体" w:hAnsi="宋体" w:eastAsia="宋体" w:cs="宋体"/>
          <w:sz w:val="21"/>
          <w:szCs w:val="21"/>
          <w:highlight w:val="none"/>
          <w:u w:val="single"/>
        </w:rPr>
        <w:t xml:space="preserve">  不高于20℃  </w:t>
      </w:r>
      <w:r>
        <w:rPr>
          <w:rFonts w:hint="eastAsia" w:ascii="宋体" w:hAnsi="宋体" w:eastAsia="宋体" w:cs="宋体"/>
          <w:sz w:val="21"/>
          <w:szCs w:val="21"/>
          <w:highlight w:val="none"/>
        </w:rPr>
        <w:t xml:space="preserve">，供冷期间的室内温度标准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不低于26℃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6.4.2 托管期间，</w:t>
      </w:r>
      <w:r>
        <w:rPr>
          <w:rFonts w:hint="eastAsia" w:ascii="宋体" w:hAnsi="宋体" w:eastAsia="宋体" w:cs="宋体"/>
          <w:sz w:val="21"/>
          <w:szCs w:val="21"/>
          <w:highlight w:val="none"/>
          <w:u w:val="single"/>
        </w:rPr>
        <w:t xml:space="preserve">  乙方投入 </w:t>
      </w:r>
      <w:r>
        <w:rPr>
          <w:rFonts w:hint="eastAsia" w:ascii="宋体" w:hAnsi="宋体" w:eastAsia="宋体" w:cs="宋体"/>
          <w:sz w:val="21"/>
          <w:szCs w:val="21"/>
          <w:highlight w:val="none"/>
        </w:rPr>
        <w:t xml:space="preserve">设备的维护、保养由乙方负责，维护保养频次为</w:t>
      </w:r>
      <w:r>
        <w:rPr>
          <w:rFonts w:hint="eastAsia" w:ascii="宋体" w:hAnsi="宋体" w:eastAsia="宋体" w:cs="宋体"/>
          <w:sz w:val="21"/>
          <w:szCs w:val="21"/>
          <w:highlight w:val="none"/>
          <w:u w:val="single"/>
        </w:rPr>
        <w:t xml:space="preserve">  每年1次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6.4.3 托管期间，</w:t>
      </w:r>
      <w:r>
        <w:rPr>
          <w:rFonts w:hint="eastAsia" w:ascii="宋体" w:hAnsi="宋体" w:eastAsia="宋体" w:cs="宋体"/>
          <w:sz w:val="21"/>
          <w:szCs w:val="21"/>
          <w:highlight w:val="none"/>
          <w:u w:val="single"/>
        </w:rPr>
        <w:t xml:space="preserve">  乙方投入 </w:t>
      </w:r>
      <w:r>
        <w:rPr>
          <w:rFonts w:hint="eastAsia" w:ascii="宋体" w:hAnsi="宋体" w:eastAsia="宋体" w:cs="宋体"/>
          <w:sz w:val="21"/>
          <w:szCs w:val="21"/>
          <w:highlight w:val="none"/>
        </w:rPr>
        <w:t xml:space="preserve">设备的维修由乙方负责，报修方式为</w:t>
      </w:r>
      <w:r>
        <w:rPr>
          <w:rFonts w:hint="eastAsia" w:ascii="宋体" w:hAnsi="宋体" w:eastAsia="宋体" w:cs="宋体"/>
          <w:sz w:val="21"/>
          <w:szCs w:val="21"/>
          <w:highlight w:val="none"/>
          <w:u w:val="single"/>
        </w:rPr>
        <w:t xml:space="preserve">  电话、短信、微信、信函等  </w:t>
      </w:r>
      <w:r>
        <w:rPr>
          <w:rFonts w:hint="eastAsia" w:ascii="宋体" w:hAnsi="宋体" w:eastAsia="宋体" w:cs="宋体"/>
          <w:sz w:val="21"/>
          <w:szCs w:val="21"/>
          <w:highlight w:val="none"/>
        </w:rPr>
        <w:t xml:space="preserve">。设备检修服务的时限为接到通知后</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小时内到场，</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小时内处理完毕。设备抢修服务的时限为接到通知后</w:t>
      </w:r>
      <w:r>
        <w:rPr>
          <w:rFonts w:hint="eastAsia" w:ascii="宋体" w:hAnsi="宋体" w:eastAsia="宋体" w:cs="宋体"/>
          <w:sz w:val="21"/>
          <w:szCs w:val="21"/>
          <w:highlight w:val="none"/>
          <w:u w:val="single"/>
        </w:rPr>
        <w:t xml:space="preserve">   4   </w:t>
      </w:r>
      <w:r>
        <w:rPr>
          <w:rFonts w:hint="eastAsia" w:ascii="宋体" w:hAnsi="宋体" w:eastAsia="宋体" w:cs="宋体"/>
          <w:sz w:val="21"/>
          <w:szCs w:val="21"/>
          <w:highlight w:val="none"/>
        </w:rPr>
        <w:t xml:space="preserve">小时到场，</w:t>
      </w:r>
      <w:r>
        <w:rPr>
          <w:rFonts w:hint="eastAsia" w:ascii="宋体" w:hAnsi="宋体" w:eastAsia="宋体" w:cs="宋体"/>
          <w:sz w:val="21"/>
          <w:szCs w:val="21"/>
          <w:highlight w:val="none"/>
          <w:u w:val="single"/>
        </w:rPr>
        <w:t xml:space="preserve">   8   </w:t>
      </w:r>
      <w:r>
        <w:rPr>
          <w:rFonts w:hint="eastAsia" w:ascii="宋体" w:hAnsi="宋体" w:eastAsia="宋体" w:cs="宋体"/>
          <w:sz w:val="21"/>
          <w:szCs w:val="21"/>
          <w:highlight w:val="none"/>
        </w:rPr>
        <w:t xml:space="preserve">小时内处理完毕。</w:t>
      </w:r>
      <w:r>
        <w:rPr>
          <w:rFonts w:hint="eastAsia" w:ascii="宋体" w:hAnsi="宋体" w:eastAsia="宋体" w:cs="宋体"/>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6.4.4 托管期间，</w:t>
      </w:r>
      <w:r>
        <w:rPr>
          <w:rFonts w:hint="eastAsia" w:ascii="宋体" w:hAnsi="宋体" w:eastAsia="宋体" w:cs="宋体"/>
          <w:sz w:val="21"/>
          <w:szCs w:val="21"/>
          <w:highlight w:val="none"/>
          <w:u w:val="single"/>
        </w:rPr>
        <w:t xml:space="preserve">   原   </w:t>
      </w:r>
      <w:r>
        <w:rPr>
          <w:rFonts w:hint="eastAsia" w:ascii="宋体" w:hAnsi="宋体" w:eastAsia="宋体" w:cs="宋体"/>
          <w:sz w:val="21"/>
          <w:szCs w:val="21"/>
          <w:highlight w:val="none"/>
        </w:rPr>
        <w:t xml:space="preserve">（用能系统）设备开关由</w:t>
      </w:r>
      <w:r>
        <w:rPr>
          <w:rFonts w:hint="eastAsia" w:ascii="宋体" w:hAnsi="宋体" w:eastAsia="宋体" w:cs="宋体"/>
          <w:sz w:val="21"/>
          <w:szCs w:val="21"/>
          <w:highlight w:val="none"/>
          <w:u w:val="single"/>
        </w:rPr>
        <w:t xml:space="preserve">  甲方   </w:t>
      </w:r>
      <w:r>
        <w:rPr>
          <w:rFonts w:hint="eastAsia" w:ascii="宋体" w:hAnsi="宋体" w:eastAsia="宋体" w:cs="宋体"/>
          <w:sz w:val="21"/>
          <w:szCs w:val="21"/>
          <w:highlight w:val="none"/>
        </w:rPr>
        <w:t xml:space="preserve">负责执行，设备开关及控制策略由乙方制定后报业主方审核确认。</w:t>
      </w:r>
      <w:r>
        <w:rPr>
          <w:rFonts w:hint="eastAsia" w:ascii="宋体" w:hAnsi="宋体" w:eastAsia="宋体" w:cs="宋体"/>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6.5 乙方的服务标准应当体现文明、高效、及时、优质的服务，“乙方的服务标准”应当制作专门文件，作为本合同的附件二。</w:t>
      </w:r>
      <w:r>
        <w:rPr>
          <w:rFonts w:hint="eastAsia" w:ascii="宋体" w:hAnsi="宋体" w:eastAsia="宋体" w:cs="宋体"/>
          <w:b/>
          <w:sz w:val="21"/>
          <w:szCs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b/>
          <w:sz w:val="21"/>
          <w:szCs w:val="21"/>
          <w:highlight w:val="none"/>
        </w:rPr>
        <w:outlineLvl w:val="3"/>
      </w:pPr>
      <w:r>
        <w:rPr>
          <w:rFonts w:hint="eastAsia" w:ascii="宋体" w:hAnsi="宋体" w:eastAsia="宋体" w:cs="宋体"/>
          <w:b/>
          <w:sz w:val="21"/>
          <w:szCs w:val="21"/>
          <w:highlight w:val="none"/>
        </w:rPr>
        <w:t xml:space="preserve">第七条  双方责任</w:t>
      </w:r>
      <w:r>
        <w:rPr>
          <w:rFonts w:hint="eastAsia" w:ascii="宋体" w:hAnsi="宋体" w:eastAsia="宋体" w:cs="宋体"/>
          <w:b/>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甲、乙双方应当建立健全能源管理使用制度，各方人员应当切实遵守。相关的能源管理使用制度应当由双方签字确认。</w:t>
      </w:r>
      <w:r>
        <w:rPr>
          <w:rFonts w:hint="eastAsia" w:ascii="宋体" w:hAnsi="宋体" w:eastAsia="宋体" w:cs="宋体"/>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甲、乙双方应当建立能源托管日常工作协调机制，定期组织双方现场管理人员召开工作例会；每年度进行一次综合分析评估，协商解决因客观情况变化而产生的利益分配等问题。</w:t>
      </w:r>
      <w:r>
        <w:rPr>
          <w:rFonts w:hint="eastAsia" w:ascii="宋体" w:hAnsi="宋体" w:eastAsia="宋体" w:cs="宋体"/>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7.3 甲方义务</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应协助乙方办理甲方电费分割手续，实际每月产生的电费由乙方承担并直接支付给电力公司，发票抬头为乙方。为了便于管理及核算项目节能量，能源过户时双方应确定各计量仪表的过户数量、覆盖范围、计量底数及仪表编码等。</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（2）甲方应当与乙方共同协商做好原设备操作人员工作安排，由甲乙双方共同管理相关人员。</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（3）甲方应当提供必要的资料，协助、配合第三方机构开展节能量测量和验证。在托管期间积极配合政府主管部门对托管项目进行核查和监督，并提供有关证明材料。</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（4）甲方应当切实履行节能管理主体责任，加强对各用能单位和用能场所的管控，强化日常考核和监督检查，形成合理用能、节约用能的良好场景。</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（5）有新增/减设备或用能区域变更的需提前向乙方提供增/减设备或变更情况的书面记录。</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（6）甲方应当将与托管项目有关的其内部规章制度和特殊安全规定提前告知乙方并书面提交给乙方。</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（7）甲方应当协助乙方向有关政府机构或者组织申请与项目相关的补助、奖励或其他可适用的优惠政策。</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（8）甲方应当为乙方的管理服务工作提供必要的方便条件，包括但不限于提供必要的场所、通讯、水电以及合理调整办公、设备试运行等便利。</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（9）甲方应当组织有关用能岗位的人员学习能源管理使用的规章制度并切实遵守；应配合乙方落实合同约定的用能系统设备开关策略及能源供应标准。</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7.4 乙方义务</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（1）乙方应当配合甲方建立和完善能源管理和使用规章制度，并组织甲方有关用能岗位的人员学习落实，同时定期对能源使用情况进行检查和监督，制止能源浪费行为。</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（2）由乙方负责的设备、工程等在合同期内的维保及质量问题由乙方负责，并应定期向甲方提供设备维护、更新情况记录。</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（3）乙方应在完成所投资设备的安装和调试后，对甲方指派的操作人员定期进行专业培训，以使其能承担相应的操作和设施维护要求。</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（4）乙方若发现有私自拆、改、破坏能源系统的行为应及时上报甲方，并马上采取措施制止，若严重威胁到能源系统的可暂停服务。</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（5）因乙方未缴纳能源费用或乙方实施改造原因，导致甲方断水、断电、断天然气事故或造成其他损失的，责任由乙方承担，但不可抗力或甲方有违约行为的除外。</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（6）乙方应负责本方人员的安全管理，在合同履行期内，因乙方原因出现的安全（工伤）事故由乙方负责承担。</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（8）乙方应当协助、配合第三方机构或者甲方开展节能量测量和验证。</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（9）甲乙方可向有关政府机构或者组织申请与项目相关的补助、奖励或其他可适用的优惠政策。通过该项目申请的建筑能效提升改造等各类奖补资金归甲方所有，用于二次投资改造。</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7.5 其他需要互相配合的事项：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 甲方的项目负责人为：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；乙方的项目负责人为：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任何一方更换项目负责人应以书面形式通知对方。</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项目负责人可以就本合同的履行过程中的事项签署相关洽商文件，该洽商文件对双方具有约束力，其他相关人员无权签署此类洽商文件。</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第八条  项目移交事项</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移交过程中，甲方需要向乙方提供有关项目审批、验收、备案、行政许可等相关手续的复印件，供暖、供电、供水系统及消防系统申报、批准验收等手续；供暖及供冷系统相关资料等。</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 移交相关的文件资料包括设备、设施的购买、维修、使用文件、能源管理的规章制度、行政许可证照及其他全部有关文件。</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8.4 其他移交事项：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 针对移交的设备、设施、物品及有关事项，双方应当签署移交清单。</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 本合同约定的托管期限届满，乙方应将其投资形成的有形和无形资产以人民币零点壹元价值向甲方移交，同时需移交投资、验收、运行等相关的全部文件资料。移交之前由乙方主导，甲方参与，双方共同对用能系统进行一次全面检修。检修费用由乙方承担。</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用能系统移交时乙方应保证设备和设施的完整性和能够正常运行。涉及到软件相关的知识产权使用权，中标方须永久免费授权。</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 本合同第五条第 5.1 款约定的托管期限开始日的 30 日之前，甲方向乙方的移交事项应当办理完毕，以便于乙方进行准备工作。</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第九条  托管费用的标准及支付</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年度能源托管费用包括能源费用和能源系统的日常运营、维修维护管理费、消耗性材料费等。能源托管费用基数为：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元/年，运维费用基数为：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元/年。</w:t>
      </w:r>
      <w:r>
        <w:rPr>
          <w:rFonts w:hint="eastAsia" w:ascii="宋体" w:hAnsi="宋体" w:eastAsia="宋体" w:cs="宋体"/>
          <w:color w:val="000000"/>
          <w:sz w:val="21"/>
          <w:szCs w:val="21"/>
          <w:highlight w:val="none"/>
        </w:rPr>
      </w:r>
      <w:r/>
    </w:p>
    <w:tbl>
      <w:tblPr>
        <w:tblW w:w="500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72"/>
        <w:gridCol w:w="839"/>
        <w:gridCol w:w="1580"/>
        <w:gridCol w:w="1297"/>
        <w:gridCol w:w="1946"/>
        <w:gridCol w:w="1530"/>
      </w:tblGrid>
      <w:tr>
        <w:trPr>
          <w:trHeight w:val="725"/>
        </w:trPr>
        <w:tc>
          <w:tcPr>
            <w:gridSpan w:val="3"/>
            <w:tcBorders>
              <w:top w:val="single" w:color="000000" w:sz="4" w:space="0"/>
              <w:left w:val="single" w:color="000000" w:sz="4" w:space="0"/>
              <w:bottom w:val="none" w:color="000000" w:sz="4" w:space="0"/>
              <w:right w:val="single" w:color="000000" w:sz="4" w:space="0"/>
            </w:tcBorders>
            <w:tcW w:w="4291"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能源费用基数（元/年）</w:t>
            </w:r>
            <w:r>
              <w:rPr>
                <w:rFonts w:hint="eastAsia" w:ascii="宋体" w:hAnsi="宋体" w:eastAsia="宋体" w:cs="宋体"/>
                <w:b/>
                <w:bCs/>
                <w:color w:val="000000"/>
                <w:sz w:val="21"/>
                <w:szCs w:val="21"/>
                <w:highlight w:val="none"/>
              </w:rPr>
            </w:r>
            <w:r/>
          </w:p>
        </w:tc>
        <w:tc>
          <w:tcPr>
            <w:gridSpan w:val="3"/>
            <w:tcBorders>
              <w:top w:val="single" w:color="000000" w:sz="4" w:space="0"/>
              <w:left w:val="none" w:color="000000" w:sz="4" w:space="0"/>
              <w:bottom w:val="none" w:color="000000" w:sz="4" w:space="0"/>
              <w:right w:val="single" w:color="000000" w:sz="4" w:space="0"/>
            </w:tcBorders>
            <w:tcW w:w="4773" w:type="dxa"/>
            <w:vAlign w:val="center"/>
            <w:textDirection w:val="lrTb"/>
            <w:noWrap/>
          </w:tcPr>
          <w:p>
            <w:pPr>
              <w:pStyle w:val="984"/>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运维费用基数（元/年）（以投标文件报价为准）</w:t>
            </w:r>
            <w:r>
              <w:rPr>
                <w:rFonts w:hint="eastAsia" w:ascii="宋体" w:hAnsi="宋体" w:eastAsia="宋体" w:cs="宋体"/>
                <w:b/>
                <w:bCs/>
                <w:color w:val="000000"/>
                <w:sz w:val="21"/>
                <w:szCs w:val="21"/>
                <w:highlight w:val="none"/>
              </w:rPr>
            </w:r>
            <w:r/>
          </w:p>
        </w:tc>
      </w:tr>
      <w:tr>
        <w:trPr>
          <w:trHeight w:val="478"/>
        </w:trPr>
        <w:tc>
          <w:tcPr>
            <w:tcBorders>
              <w:top w:val="single" w:color="000000" w:sz="4" w:space="0"/>
              <w:left w:val="single" w:color="000000" w:sz="4" w:space="0"/>
              <w:bottom w:val="none" w:color="000000" w:sz="4" w:space="0"/>
              <w:right w:val="single" w:color="000000" w:sz="4" w:space="0"/>
            </w:tcBorders>
            <w:tcW w:w="1032" w:type="dxa"/>
            <w:vAlign w:val="center"/>
            <w:vMerge w:val="restart"/>
            <w:textDirection w:val="lrTb"/>
            <w:noWrap/>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托管能源类型</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715" w:type="dxa"/>
            <w:vAlign w:val="center"/>
            <w:vMerge w:val="restart"/>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运维费用</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1073" w:type="dxa"/>
            <w:vAlign w:val="center"/>
            <w:vMerge w:val="restart"/>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984"/>
              <w:ind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78"/>
        </w:trPr>
        <w:tc>
          <w:tcPr>
            <w:tcBorders>
              <w:top w:val="single" w:color="000000" w:sz="4" w:space="0"/>
              <w:left w:val="single" w:color="000000" w:sz="4" w:space="0"/>
              <w:bottom w:val="none" w:color="000000" w:sz="4" w:space="0"/>
              <w:right w:val="single" w:color="000000" w:sz="4" w:space="0"/>
            </w:tcBorders>
            <w:tcW w:w="1032"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1073" w:type="dxa"/>
            <w:vAlign w:val="center"/>
            <w:vMerge w:val="continue"/>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984"/>
              <w:ind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78"/>
        </w:trPr>
        <w:tc>
          <w:tcPr>
            <w:tcBorders>
              <w:top w:val="single" w:color="000000" w:sz="4" w:space="0"/>
              <w:left w:val="single" w:color="000000" w:sz="4" w:space="0"/>
              <w:bottom w:val="none" w:color="000000" w:sz="4" w:space="0"/>
              <w:right w:val="single" w:color="000000" w:sz="4" w:space="0"/>
            </w:tcBorders>
            <w:tcW w:w="1032"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1073" w:type="dxa"/>
            <w:vAlign w:val="center"/>
            <w:vMerge w:val="continue"/>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984"/>
              <w:ind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78"/>
        </w:trPr>
        <w:tc>
          <w:tcPr>
            <w:tcBorders>
              <w:top w:val="single" w:color="000000" w:sz="4" w:space="0"/>
              <w:left w:val="single" w:color="000000" w:sz="4" w:space="0"/>
              <w:bottom w:val="none" w:color="000000" w:sz="4" w:space="0"/>
              <w:right w:val="single" w:color="000000" w:sz="4" w:space="0"/>
            </w:tcBorders>
            <w:tcW w:w="1032"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1073" w:type="dxa"/>
            <w:vAlign w:val="center"/>
            <w:vMerge w:val="continue"/>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984"/>
              <w:ind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78"/>
        </w:trPr>
        <w:tc>
          <w:tcPr>
            <w:tcBorders>
              <w:top w:val="single" w:color="000000" w:sz="4" w:space="0"/>
              <w:left w:val="single" w:color="000000" w:sz="4" w:space="0"/>
              <w:bottom w:val="none" w:color="000000" w:sz="4" w:space="0"/>
              <w:right w:val="single" w:color="000000" w:sz="4" w:space="0"/>
            </w:tcBorders>
            <w:tcW w:w="1032"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1073" w:type="dxa"/>
            <w:vAlign w:val="center"/>
            <w:vMerge w:val="continue"/>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03"/>
        </w:trPr>
        <w:tc>
          <w:tcPr>
            <w:gridSpan w:val="2"/>
            <w:tcBorders>
              <w:top w:val="single" w:color="000000" w:sz="4" w:space="0"/>
              <w:left w:val="single" w:color="000000" w:sz="4" w:space="0"/>
              <w:bottom w:val="single" w:color="000000" w:sz="4" w:space="0"/>
              <w:right w:val="single" w:color="000000" w:sz="4" w:space="0"/>
            </w:tcBorders>
            <w:tcW w:w="2711"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3243" w:type="dxa"/>
            <w:vAlign w:val="center"/>
            <w:textDirection w:val="lrTb"/>
            <w:noWrap/>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984"/>
              <w:ind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84"/>
        <w:ind w:firstLine="420"/>
        <w:keepLines w:val="0"/>
        <w:keepNext w:val="0"/>
        <w:pageBreakBefore w:val="0"/>
        <w:spacing w:before="0" w:line="432" w:lineRule="auto"/>
        <w:widowControl w:val="off"/>
        <w:rPr>
          <w:rFonts w:hint="eastAsia" w:ascii="宋体" w:hAnsi="宋体" w:eastAsia="宋体" w:cs="宋体"/>
          <w:color w:val="000000"/>
          <w:sz w:val="21"/>
          <w:szCs w:val="21"/>
          <w:highlight w:val="none"/>
        </w:rPr>
        <w:outlineLvl w:val="3"/>
      </w:pPr>
      <w:r>
        <w:rPr>
          <w:rFonts w:hint="eastAsia" w:ascii="宋体" w:hAnsi="宋体" w:eastAsia="宋体" w:cs="宋体"/>
          <w:color w:val="000000"/>
          <w:sz w:val="21"/>
          <w:szCs w:val="21"/>
          <w:highlight w:val="none"/>
        </w:rPr>
        <w:t xml:space="preserve">9.2 托管费用总额为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元,支付年限为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年,支付标准为每年支付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次,每次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元,支付时间为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。甲方首次付款时间为本合同生效之日起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日之内。</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z w:val="21"/>
          <w:szCs w:val="21"/>
          <w:highlight w:val="none"/>
        </w:rPr>
        <w:t xml:space="preserve">向供电、供热、燃气、供水等机构交纳的能源费、水费等,根据项目当地的实际情况,优先选择以乙方的名义交纳,从托管费用中由乙方代为支付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不能以乙方名义交纳时,也可以以甲方名义交纳。如果有关机构对于支付上述费用有规定的，按照规定方式支付。乙方开具相应金额的能源费用发票给甲方,每期托管费用与能源费用的差值开具服务费发票给甲方。</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z w:val="21"/>
          <w:szCs w:val="21"/>
          <w:highlight w:val="none"/>
        </w:rPr>
        <w:t xml:space="preserve">9.3合同约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bCs/>
          <w:color w:val="000000"/>
          <w:sz w:val="21"/>
          <w:szCs w:val="21"/>
          <w:highlight w:val="none"/>
        </w:rPr>
        <w:outlineLvl w:val="3"/>
      </w:pPr>
      <w:r>
        <w:rPr>
          <w:rFonts w:hint="eastAsia" w:ascii="宋体" w:hAnsi="宋体" w:eastAsia="宋体" w:cs="宋体"/>
          <w:b/>
          <w:bCs/>
          <w:color w:val="000000"/>
          <w:sz w:val="21"/>
          <w:szCs w:val="21"/>
          <w:highlight w:val="none"/>
        </w:rPr>
        <w:t xml:space="preserve">9.4节能收益及年运维费用支付方式</w:t>
      </w:r>
      <w:r>
        <w:rPr>
          <w:rFonts w:hint="eastAsia" w:ascii="宋体" w:hAnsi="宋体" w:eastAsia="宋体" w:cs="宋体"/>
          <w:b/>
          <w:bCs/>
          <w:color w:val="000000"/>
          <w:sz w:val="21"/>
          <w:szCs w:val="21"/>
          <w:highlight w:val="none"/>
        </w:rPr>
        <w:t xml:space="preserve">：</w:t>
      </w:r>
      <w:bookmarkStart w:id="55" w:name="_Hlk190074170"/>
      <w:r>
        <w:rPr>
          <w:rFonts w:hint="eastAsia" w:ascii="宋体" w:hAnsi="宋体" w:eastAsia="宋体" w:cs="宋体"/>
          <w:b/>
          <w:bCs/>
          <w:color w:val="000000"/>
          <w:sz w:val="21"/>
          <w:szCs w:val="21"/>
          <w:highlight w:val="none"/>
        </w:rPr>
        <w:t xml:space="preserve">项目建设期结束验收后次月开始按月付款，支付标准为每年支付12次，支付时间为次月15号以前，每月支付金额以投标月度分项报价表中的能源投标基数乘以能源供应商实际能源单价结算。采购人收到中标人合格发票后</w:t>
      </w:r>
      <w:r>
        <w:rPr>
          <w:rFonts w:hint="eastAsia" w:ascii="宋体" w:hAnsi="宋体" w:eastAsia="宋体" w:cs="宋体"/>
          <w:b/>
          <w:bCs/>
          <w:color w:val="000000"/>
          <w:sz w:val="21"/>
          <w:szCs w:val="21"/>
          <w:highlight w:val="none"/>
          <w:lang w:val="en-US" w:eastAsia="zh-CN"/>
        </w:rPr>
        <w:t xml:space="preserve">10个工作日</w:t>
      </w:r>
      <w:r>
        <w:rPr>
          <w:rFonts w:hint="eastAsia" w:ascii="宋体" w:hAnsi="宋体" w:eastAsia="宋体" w:cs="宋体"/>
          <w:b/>
          <w:bCs/>
          <w:color w:val="000000"/>
          <w:sz w:val="21"/>
          <w:szCs w:val="21"/>
          <w:highlight w:val="none"/>
        </w:rPr>
        <w:t xml:space="preserve">内支付发票同等金额。中标人开具相应金额的能源费用发票给采购人,每期托管费用与能源费用的差值由中标人开具服务费发票给甲方。</w:t>
      </w:r>
      <w:r>
        <w:rPr>
          <w:rFonts w:hint="eastAsia" w:ascii="宋体" w:hAnsi="宋体" w:eastAsia="宋体" w:cs="宋体"/>
          <w:b/>
          <w:bCs/>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sz w:val="21"/>
          <w:szCs w:val="21"/>
          <w:highlight w:val="none"/>
        </w:rPr>
        <w:outlineLvl w:val="3"/>
      </w:pPr>
      <w:r/>
      <w:bookmarkEnd w:id="55"/>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上述能源托管费用由乙方包干使用,通过能源系统管理运营节约的能源费用作为乙方的合理利润。</w:t>
      </w:r>
      <w:r>
        <w:rPr>
          <w:rFonts w:hint="eastAsia" w:ascii="宋体" w:hAnsi="宋体" w:eastAsia="宋体" w:cs="宋体"/>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第十条  托管费用的调整和调节</w:t>
      </w:r>
      <w:r>
        <w:rPr>
          <w:rFonts w:hint="eastAsia" w:ascii="宋体" w:hAnsi="宋体" w:eastAsia="宋体" w:cs="宋体"/>
          <w:b/>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托管期间，若发生用能设备的增减、用能人数增减、用能区域变化、能源价格调整、用能行为改变、极端气候以及其他致使用能边界发生变化的情况，双方需对能源托管费用基数进行调整，调整约定如下：</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（1）调整方式：甲乙双方协商确定，或聘请第三方机构进行核定，第三方核定费用由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支付。</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（2）调整周期：双方应依据协商确定或第三方机构核定的调整量签订补充协议，在每个托管年度结算期满后的</w:t>
      </w:r>
      <w:r>
        <w:rPr>
          <w:rFonts w:hint="eastAsia" w:ascii="宋体" w:hAnsi="宋体" w:eastAsia="宋体" w:cs="宋体"/>
          <w:color w:val="000000"/>
          <w:sz w:val="21"/>
          <w:szCs w:val="21"/>
          <w:highlight w:val="none"/>
          <w:u w:val="single"/>
        </w:rPr>
        <w:t xml:space="preserve">  30  </w:t>
      </w:r>
      <w:r>
        <w:rPr>
          <w:rFonts w:hint="eastAsia" w:ascii="宋体" w:hAnsi="宋体" w:eastAsia="宋体" w:cs="宋体"/>
          <w:color w:val="000000"/>
          <w:sz w:val="21"/>
          <w:szCs w:val="21"/>
          <w:highlight w:val="none"/>
        </w:rPr>
        <w:t xml:space="preserve">天内一次性结清。</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甲方的用能设备和其他用能项的增加或减少，应当通知乙方。甲、乙双方应当对增加或减少的设备和其他用能项予以书面确认。其他用能项包括但不限于用能建筑面积、用能时间、用能人员等。</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用能设备和其他用能项的增减，应当调整基准能耗，并相应地据实增减能源托管费用基数。本项目调整方式为托管期间，甲方应及时告知乙方用能设备增减情况（设备更新情况统计可参考下表），并为乙方定期巡查设备更新提供便利。</w:t>
      </w:r>
      <w:r>
        <w:rPr>
          <w:rFonts w:hint="eastAsia" w:ascii="宋体" w:hAnsi="宋体" w:eastAsia="宋体" w:cs="宋体"/>
          <w:color w:val="000000"/>
          <w:sz w:val="21"/>
          <w:szCs w:val="21"/>
          <w:highlight w:val="none"/>
        </w:rPr>
      </w:r>
      <w:r/>
    </w:p>
    <w:p>
      <w:pPr>
        <w:pStyle w:val="984"/>
        <w:ind w:firstLine="420"/>
        <w:jc w:val="center"/>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用能设备增减情况统计表（   年  月— 年  月）</w:t>
      </w:r>
      <w:r>
        <w:rPr>
          <w:rFonts w:hint="eastAsia" w:ascii="宋体" w:hAnsi="宋体" w:eastAsia="宋体" w:cs="宋体"/>
          <w:color w:val="000000"/>
          <w:sz w:val="21"/>
          <w:szCs w:val="21"/>
          <w:highlight w:val="none"/>
        </w:rPr>
      </w:r>
      <w:r/>
    </w:p>
    <w:tbl>
      <w:tblPr>
        <w:tblW w:w="52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719"/>
        <w:gridCol w:w="684"/>
        <w:gridCol w:w="684"/>
        <w:gridCol w:w="1361"/>
        <w:gridCol w:w="1361"/>
        <w:gridCol w:w="684"/>
        <w:gridCol w:w="684"/>
        <w:gridCol w:w="1192"/>
        <w:gridCol w:w="1362"/>
      </w:tblGrid>
      <w:tr>
        <w:trPr>
          <w:trHeight w:val="950"/>
        </w:trPr>
        <w:tc>
          <w:tcPr>
            <w:tcW w:w="711"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729"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使用部门</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设备型号</w:t>
            </w: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设备功率（kW）</w:t>
            </w: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数量（台）</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投用时间</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弃用时间</w:t>
            </w:r>
            <w:r>
              <w:rPr>
                <w:rFonts w:hint="eastAsia" w:ascii="宋体" w:hAnsi="宋体" w:eastAsia="宋体" w:cs="宋体"/>
                <w:color w:val="000000"/>
                <w:sz w:val="21"/>
                <w:szCs w:val="21"/>
                <w:highlight w:val="none"/>
              </w:rPr>
            </w:r>
            <w:r/>
          </w:p>
        </w:tc>
        <w:tc>
          <w:tcPr>
            <w:tcW w:w="1207"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每日使用时长（h）</w:t>
            </w: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使用天数（天）</w:t>
            </w:r>
            <w:r>
              <w:rPr>
                <w:rFonts w:hint="eastAsia" w:ascii="宋体" w:hAnsi="宋体" w:eastAsia="宋体" w:cs="宋体"/>
                <w:color w:val="000000"/>
                <w:sz w:val="21"/>
                <w:szCs w:val="21"/>
                <w:highlight w:val="none"/>
              </w:rPr>
            </w:r>
            <w:r/>
          </w:p>
        </w:tc>
      </w:tr>
      <w:tr>
        <w:trPr>
          <w:trHeight w:val="482"/>
        </w:trPr>
        <w:tc>
          <w:tcPr>
            <w:tcW w:w="711"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29"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7"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7"/>
        </w:trPr>
        <w:tc>
          <w:tcPr>
            <w:tcW w:w="711"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29"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7"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8" w:type="dxa"/>
            <w:vAlign w:val="center"/>
            <w:textDirection w:val="lrTb"/>
            <w:noWrap w:val="false"/>
          </w:tcPr>
          <w:p>
            <w:pPr>
              <w:pStyle w:val="984"/>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项目托管后，如发生用能设备功率增、减达到 20 kW及以上时，甲乙双方应调整能源费用托管基数，按照【增减设备功率×用能时间】计算增减总能耗，按照【增减总能耗×能源单价】调整能源费用基数。</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甲方的用能人数的增加或减少，应当通知乙方。如办公/常驻人员增、减50人及以上，则按照【年基准能耗/原有用能人数】计算年人均能耗，按照【增减人数×年人均能耗】计算增减总能耗，按照【增减总能耗×能源单价】调整能源费用基数。</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项目托管期间，因建筑改扩建增加的临时用能能耗需单独计量；新增用能区域的能耗需单独计量；如用能区域建筑功能发生改变</w:t>
      </w:r>
      <w:r>
        <w:rPr>
          <w:rFonts w:hint="eastAsia" w:ascii="宋体" w:hAnsi="宋体" w:eastAsia="宋体" w:cs="宋体"/>
          <w:color w:val="000000"/>
          <w:sz w:val="21"/>
          <w:szCs w:val="21"/>
          <w:highlight w:val="none"/>
        </w:rPr>
        <w:t xml:space="preserve">，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 </w:t>
      </w:r>
      <w:r>
        <w:rPr>
          <w:rFonts w:hint="eastAsia" w:ascii="宋体" w:hAnsi="宋体" w:eastAsia="宋体" w:cs="宋体"/>
          <w:bCs/>
          <w:color w:val="000000"/>
          <w:sz w:val="21"/>
          <w:szCs w:val="21"/>
          <w:highlight w:val="none"/>
        </w:rPr>
        <w:t xml:space="preserve">若托管期内能源资源</w:t>
      </w:r>
      <w:r>
        <w:rPr>
          <w:rFonts w:hint="eastAsia" w:ascii="宋体" w:hAnsi="宋体" w:eastAsia="宋体" w:cs="宋体"/>
          <w:color w:val="000000"/>
          <w:sz w:val="21"/>
          <w:szCs w:val="21"/>
          <w:highlight w:val="none"/>
        </w:rPr>
        <w:t xml:space="preserve">单价与电费基准单价（仪征市城市管理局：0.</w:t>
      </w:r>
      <w:r>
        <w:rPr>
          <w:rFonts w:hint="eastAsia" w:ascii="宋体" w:hAnsi="宋体" w:eastAsia="宋体" w:cs="宋体"/>
          <w:color w:val="000000"/>
          <w:sz w:val="21"/>
          <w:szCs w:val="21"/>
          <w:highlight w:val="none"/>
          <w:lang w:val="en-US" w:eastAsia="zh-CN"/>
        </w:rPr>
        <w:t xml:space="preserve">71</w:t>
      </w:r>
      <w:r>
        <w:rPr>
          <w:rFonts w:hint="eastAsia" w:ascii="宋体" w:hAnsi="宋体" w:eastAsia="宋体" w:cs="宋体"/>
          <w:color w:val="000000"/>
          <w:sz w:val="21"/>
          <w:szCs w:val="21"/>
          <w:highlight w:val="none"/>
        </w:rPr>
        <w:t xml:space="preserve">元/kWh），发生变</w:t>
      </w:r>
      <w:r>
        <w:rPr>
          <w:rFonts w:hint="eastAsia" w:ascii="宋体" w:hAnsi="宋体" w:eastAsia="宋体" w:cs="宋体"/>
          <w:bCs/>
          <w:color w:val="000000"/>
          <w:sz w:val="21"/>
          <w:szCs w:val="21"/>
          <w:highlight w:val="none"/>
        </w:rPr>
        <w:t xml:space="preserve">化，双方应按能源资源费用价格调整比例同步调整能源托管费用。调整的时间为价格调整后的同步时间。</w:t>
      </w:r>
      <w:r>
        <w:rPr>
          <w:rFonts w:hint="eastAsia" w:ascii="宋体" w:hAnsi="宋体" w:eastAsia="宋体" w:cs="宋体"/>
          <w:color w:val="000000"/>
          <w:sz w:val="21"/>
          <w:szCs w:val="21"/>
          <w:highlight w:val="none"/>
        </w:rPr>
        <w:t xml:space="preserve">以项目基准能源单价为参考，能源价格上涨时，按照【上涨月能源用量×（上涨月能源单价-基准单价）】计算甲方补偿乙方费用；能源价格下降时，按照【下降月能源用量×（基准单价-下降月能源单价）计算乙方退还甲方费用。</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 基于甲方提供的数据错误导致基准能耗核定错误，可以据实修正基准期能耗和能源托管费用基数，相应的责任应当由甲方承担，费用补偿及调整方式为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10.8除以上约定的调整内容及调整方式外，未涉及部分的调整规则可参照附件《能源费用托管合同调整规则指引》及其他指导准则进行调整。</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第十一条  节能改造</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节能改造所需投资和收益由甲乙双方本着经济合理性的原则协商确定。“节能改造方案”详见本合同附件三。</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第十二条  安全生产和环境保护</w:t>
      </w:r>
      <w:r>
        <w:rPr>
          <w:rFonts w:hint="eastAsia" w:ascii="宋体" w:hAnsi="宋体" w:eastAsia="宋体" w:cs="宋体"/>
          <w:b/>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乙方在运营管理过程中应当严格遵守能源管理使用的法律、法规、规章制度，因违章操作或不尽职尽责导致在运行期间出现安全事故和经济损失由乙方负责。</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乙方进行的节能改造部分，由于乙方原因导致改造自身存在系统缺陷或施工质量导致安全事故和经济损失由乙方负责。</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甲方先期建设的能源供应和使用系统，由于系统缺陷或施工质量导致的安全事故和经济损失由甲方负责。</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针对安全生产和环境保护，甲、乙双方应当制定专项规范，划分相关的责任。</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“安全生产和环境保护规范”详见本合同附件四。</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第十三条  禁止商业贿赂</w:t>
      </w:r>
      <w:r>
        <w:rPr>
          <w:rFonts w:hint="eastAsia" w:ascii="宋体" w:hAnsi="宋体" w:eastAsia="宋体" w:cs="宋体"/>
          <w:b/>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甲、乙双方应当遵守廉洁从政、廉洁经商的有关规定，禁止一方向另一方提供实物、现金、有价证券、超标准宴请、高消费娱乐活动等违反“廉洁协议书”约定的行为。</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“廉洁协议书”详见本合同附件五。</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第十四条  保密义务</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14.1.1 未经对方书面同意，不得将上述信息、资料披露给任何第三人；</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14.1.2 不得将上述信息、资料用于本合同以外的其他目的；</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14.1.3 在本合同终止或解除后应按对方要求，及时将上述信息、资料返还对方或按对方要求作适当处理。</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本合同项下的保密义务至相关商业秘密信息、资料正式向社会公开之日或一方书面解除另一方本合同项下保密义务之日起终止。</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本条约定在本合同终止后仍然继续有效，且不受合同解除、终止或无效的影响。</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第十五条</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合同变更、中止、解除</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出现需要变更合同内容的客观情形，或者一方提出合理的诉求，经双方协商一致可以变更合同内容。</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本合同的权利义务不可转让，特殊情况下，如乙方确需转让本合同权利义务，须经甲方书面同意，并另行签署合同约定。</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甲方发生必须停止办公或经营的情况，例如房屋大修或者部分拆除，可以中止合同履行。导致合同中止的事由消除后，恢复合同履行。</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15.4 双方协商一致可以解除本合同。</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 一方严重违约，导致合同不能继续履行或者使合同履行成为不必要。守约方有权解除合同，守约方应当书面通知对方，书面通知到达违约方时即产生解除合同的效力。</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15.6 本合同经双方签字并盖章之日起90天内没有实际履行，任何一方均可书面通知对方解除合同。</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第十六条  违约责任</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16.1 甲方违约责任</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 如甲方未能按时足额支付托管费用经乙方催告后仍不支付时，按照拖延支付的金额每日万分之五向乙方支付违约金。</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如甲方未遵守本合同附件及其他条款约定，导致乙方经济损失，甲方应当按照乙方的实际损失额向乙方赔偿。</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16.2 乙方违约责任</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如乙方未能按照服务标准提供服务，违反操作规章制度、违反相关的服务标准，经甲方催仍不能改正的，按照对甲方的实际影响，向甲方支付违约金不少于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如乙方未遵守本合同附件及其他条款规定，导致甲方经济损失，应当按照甲方的实际损失额向甲方赔偿。</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乙方应始终本着服务至上、保障运行的原则，积极响应和满足甲方的特殊和应急用能需求，所产生的额外能源费用事后双方协商解决。</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第十七条  不可抗力</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遇有不可抗力事件的一方可以中止履行，直至不可抗力事件结束，但中止最长时间不超过 90天，超过 90 天，终止本合同的履行。</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遇有不可抗力事件的一方可以在通知另一方后 10 日内终止合同，任何一方将不对另一方继续承担义务，但甲方和乙方应当据实结算托管费用。仅仅发生不可抗力事件并不能必然减轻或影响具有付款义务的一方向另一方付款。</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遇有不可抗力事件的一方应采取措施，避免损失的扩大。如果因为未采取相应的措施而导致损失扩大，应向另一方承担赔偿责任。</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第十八条  法律适用和争议解决</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 本合同的订立、履行和解释，应遵守中华人民共和国法律、法规，并应遵守行业惯例。</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 因本合同的履行、解释等引起的争议，双方应友好协商解决。如在一方提出书面协商请求后</w:t>
      </w:r>
      <w:r>
        <w:rPr>
          <w:rFonts w:hint="eastAsia" w:ascii="宋体" w:hAnsi="宋体" w:eastAsia="宋体" w:cs="宋体"/>
          <w:color w:val="000000"/>
          <w:sz w:val="21"/>
          <w:szCs w:val="21"/>
          <w:highlight w:val="none"/>
          <w:u w:val="single"/>
        </w:rPr>
        <w:t xml:space="preserve">15日内</w:t>
      </w:r>
      <w:r>
        <w:rPr>
          <w:rFonts w:hint="eastAsia" w:ascii="宋体" w:hAnsi="宋体" w:eastAsia="宋体" w:cs="宋体"/>
          <w:color w:val="000000"/>
          <w:sz w:val="21"/>
          <w:szCs w:val="21"/>
          <w:highlight w:val="none"/>
        </w:rPr>
        <w:t xml:space="preserve">双方无法达成一致，任何一方均可选择</w:t>
      </w:r>
      <w:r>
        <w:rPr>
          <w:rFonts w:hint="eastAsia" w:ascii="宋体" w:hAnsi="宋体" w:eastAsia="宋体" w:cs="宋体"/>
          <w:color w:val="000000"/>
          <w:sz w:val="21"/>
          <w:szCs w:val="21"/>
          <w:highlight w:val="none"/>
          <w:u w:val="single"/>
        </w:rPr>
        <w:t xml:space="preserve">   </w:t>
      </w:r>
      <w:r>
        <w:rPr>
          <w:rFonts w:hint="eastAsia" w:ascii="宋体" w:hAnsi="宋体" w:cs="宋体"/>
          <w:szCs w:val="21"/>
          <w:highlight w:val="none"/>
          <w:u w:val="singl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outlineLvl w:val="4"/>
      </w:pPr>
      <w:r>
        <w:rPr>
          <w:rFonts w:hint="eastAsia" w:ascii="宋体" w:hAnsi="宋体" w:eastAsia="宋体" w:cs="宋体"/>
          <w:color w:val="000000"/>
          <w:sz w:val="21"/>
          <w:szCs w:val="21"/>
          <w:highlight w:val="none"/>
        </w:rPr>
        <w:t xml:space="preserve">（1）依法向项目所在地有管辖权的人民法院提起诉讼。</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（2）将争议提交</w:t>
      </w:r>
      <w:r>
        <w:rPr>
          <w:rFonts w:hint="eastAsia" w:ascii="宋体" w:hAnsi="宋体" w:eastAsia="宋体" w:cs="宋体"/>
          <w:color w:val="000000"/>
          <w:sz w:val="21"/>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扬州</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仲裁委员会，按照该会的仲裁程序和规则进行仲裁。</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 无论采用仲裁还是诉讼，由此产生的律师代理费、交通差旅费、举证费、鉴定费及其他与仲裁或诉讼相关的费用，均由败诉方承担。</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b/>
          <w:color w:val="000000"/>
          <w:sz w:val="21"/>
          <w:szCs w:val="21"/>
          <w:highlight w:val="none"/>
        </w:rPr>
        <w:outlineLvl w:val="3"/>
      </w:pPr>
      <w:r>
        <w:rPr>
          <w:rFonts w:hint="eastAsia" w:ascii="宋体" w:hAnsi="宋体" w:eastAsia="宋体" w:cs="宋体"/>
          <w:b/>
          <w:color w:val="000000"/>
          <w:sz w:val="21"/>
          <w:szCs w:val="21"/>
          <w:highlight w:val="none"/>
        </w:rPr>
        <w:t xml:space="preserve">第十九条  合同的生效及其他</w:t>
      </w:r>
      <w:r>
        <w:rPr>
          <w:rFonts w:hint="eastAsia" w:ascii="宋体" w:hAnsi="宋体" w:eastAsia="宋体" w:cs="宋体"/>
          <w:b/>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本合同适用于能源费用托管形式的合同能源管理项目，包括但不限于政府机关、政府投资的医院、学校、社团组织及其他事业单位的办公和经营场所。</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本合同一式陆份，甲、乙双方各执</w:t>
      </w:r>
      <w:r>
        <w:rPr>
          <w:rFonts w:hint="eastAsia" w:ascii="宋体" w:hAnsi="宋体" w:cs="宋体"/>
          <w:szCs w:val="21"/>
          <w:highlight w:val="none"/>
        </w:rPr>
        <w:t xml:space="preserve">贰份，见证方</w:t>
      </w:r>
      <w:r>
        <w:rPr>
          <w:rFonts w:hint="eastAsia" w:ascii="宋体" w:hAnsi="宋体" w:cs="宋体"/>
          <w:szCs w:val="21"/>
          <w:highlight w:val="none"/>
          <w:lang w:val="en-US" w:eastAsia="zh-CN"/>
        </w:rPr>
        <w:t xml:space="preserve">及</w:t>
      </w:r>
      <w:r>
        <w:rPr>
          <w:rFonts w:hint="eastAsia" w:ascii="宋体" w:hAnsi="宋体" w:cs="宋体"/>
          <w:szCs w:val="21"/>
          <w:highlight w:val="none"/>
        </w:rPr>
        <w:t xml:space="preserve">政府采购监督管理部门</w:t>
      </w:r>
      <w:r>
        <w:rPr>
          <w:rFonts w:hint="eastAsia" w:ascii="宋体" w:hAnsi="宋体" w:cs="宋体"/>
          <w:szCs w:val="21"/>
          <w:highlight w:val="none"/>
          <w:lang w:val="en-US" w:eastAsia="zh-CN"/>
        </w:rPr>
        <w:t xml:space="preserve">各</w:t>
      </w:r>
      <w:r>
        <w:rPr>
          <w:rFonts w:hint="eastAsia" w:ascii="宋体" w:hAnsi="宋体" w:cs="宋体"/>
          <w:szCs w:val="21"/>
          <w:highlight w:val="none"/>
        </w:rPr>
        <w:t xml:space="preserve">执壹份。</w:t>
      </w:r>
      <w:r>
        <w:rPr>
          <w:rFonts w:hint="eastAsia" w:ascii="宋体" w:hAnsi="宋体" w:eastAsia="宋体" w:cs="宋体"/>
          <w:color w:val="000000"/>
          <w:sz w:val="21"/>
          <w:szCs w:val="21"/>
          <w:highlight w:val="none"/>
        </w:rPr>
        <w:t xml:space="preserve">具有同等法律效力。本合同经双方法定代表人或授权代表签字并加盖公章之日起生效。</w:t>
      </w:r>
      <w:r>
        <w:rPr>
          <w:rFonts w:hint="eastAsia" w:ascii="宋体" w:hAnsi="宋体" w:eastAsia="宋体" w:cs="宋体"/>
          <w:color w:val="000000"/>
          <w:sz w:val="21"/>
          <w:szCs w:val="21"/>
          <w:highlight w:val="none"/>
        </w:rPr>
      </w:r>
      <w:r/>
    </w:p>
    <w:p>
      <w:pPr>
        <w:pStyle w:val="984"/>
        <w:ind w:firstLine="420"/>
        <w:jc w:val="left"/>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 本合同的附件为本合同不可分割的组成部分，与本合同具有同等法律效力。本合同与附件及附件之间规定不一致时，以规定详细的文件为准。</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附件一：项目现有用能情况；</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附件二：乙方的服务标准；</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附件三：节能改造方案；</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附件四：安全生产和环境保护规范；</w:t>
      </w:r>
      <w:r>
        <w:rPr>
          <w:rFonts w:hint="eastAsia" w:ascii="宋体" w:hAnsi="宋体" w:eastAsia="宋体" w:cs="宋体"/>
          <w:color w:val="000000"/>
          <w:sz w:val="21"/>
          <w:szCs w:val="21"/>
          <w:highlight w:val="none"/>
        </w:rPr>
      </w:r>
      <w:r/>
    </w:p>
    <w:p>
      <w:pPr>
        <w:pStyle w:val="984"/>
        <w:ind w:firstLine="420"/>
        <w:keepLines w:val="0"/>
        <w:keepNext w:val="0"/>
        <w:pageBreakBefore w:val="0"/>
        <w:spacing w:line="4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附件五：廉洁协议书</w:t>
      </w:r>
      <w:r>
        <w:rPr>
          <w:rFonts w:hint="eastAsia" w:ascii="宋体" w:hAnsi="宋体" w:eastAsia="宋体" w:cs="宋体"/>
          <w:color w:val="000000"/>
          <w:sz w:val="21"/>
          <w:szCs w:val="21"/>
          <w:highlight w:val="none"/>
        </w:rPr>
      </w:r>
      <w:r/>
    </w:p>
    <w:p>
      <w:pPr>
        <w:pStyle w:val="984"/>
        <w:ind w:firstLine="420"/>
        <w:jc w:val="left"/>
        <w:spacing w:line="400" w:lineRule="exact"/>
        <w:rPr>
          <w:rFonts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19.4 甲、乙双方发送给对方的通知，如用电话、微信、传真、电子邮件等形式发送通知时，凡涉及各方权利、义务的，应随之以书面形式通知对方。本合同中所列甲、乙双方的地址即为甲、乙双方的收件地址。如果任何一方地址发生变化，应在 15 日内书面通知对方。</w:t>
      </w:r>
      <w:r>
        <w:rPr>
          <w:rFonts w:ascii="宋体" w:hAnsi="宋体" w:eastAsia="宋体" w:cs="宋体"/>
          <w:color w:val="000000"/>
          <w:szCs w:val="21"/>
          <w:highlight w:val="none"/>
        </w:rPr>
      </w:r>
      <w:r/>
    </w:p>
    <w:p>
      <w:pPr>
        <w:pStyle w:val="984"/>
        <w:ind w:firstLine="420"/>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84"/>
        <w:ind w:firstLine="420"/>
        <w:keepLines w:val="0"/>
        <w:keepNext w:val="0"/>
        <w:pageBreakBefore w:val="0"/>
        <w:spacing w:line="432"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84"/>
        <w:ind w:firstLine="420"/>
        <w:keepLines w:val="0"/>
        <w:keepNext w:val="0"/>
        <w:pageBreakBefore w:val="0"/>
        <w:spacing w:line="432"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                         乙方：（盖章）</w:t>
      </w:r>
      <w:r>
        <w:rPr>
          <w:rFonts w:ascii="宋体" w:hAnsi="宋体" w:eastAsia="宋体" w:cs="宋体"/>
          <w:color w:val="000000"/>
          <w:szCs w:val="21"/>
          <w:highlight w:val="none"/>
        </w:rPr>
      </w:r>
      <w:r/>
    </w:p>
    <w:p>
      <w:pPr>
        <w:pStyle w:val="984"/>
        <w:ind w:firstLine="420"/>
        <w:keepLines w:val="0"/>
        <w:keepNext w:val="0"/>
        <w:pageBreakBefore w:val="0"/>
        <w:spacing w:line="432"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地址：                                   地址：</w:t>
      </w:r>
      <w:r>
        <w:rPr>
          <w:rFonts w:ascii="宋体" w:hAnsi="宋体" w:eastAsia="宋体" w:cs="宋体"/>
          <w:color w:val="000000"/>
          <w:szCs w:val="21"/>
          <w:highlight w:val="none"/>
        </w:rPr>
      </w:r>
      <w:r/>
    </w:p>
    <w:p>
      <w:pPr>
        <w:pStyle w:val="984"/>
        <w:ind w:firstLine="420"/>
        <w:keepLines w:val="0"/>
        <w:keepNext w:val="0"/>
        <w:pageBreakBefore w:val="0"/>
        <w:spacing w:line="432"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法定代表人／授权代表：</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                 法定代表人／授权代表：</w:t>
      </w:r>
      <w:r>
        <w:rPr>
          <w:rFonts w:ascii="宋体" w:hAnsi="宋体" w:eastAsia="宋体" w:cs="宋体"/>
          <w:color w:val="000000"/>
          <w:szCs w:val="21"/>
          <w:highlight w:val="none"/>
        </w:rPr>
      </w:r>
      <w:r/>
    </w:p>
    <w:p>
      <w:pPr>
        <w:pStyle w:val="984"/>
        <w:ind w:firstLine="420"/>
        <w:keepLines w:val="0"/>
        <w:keepNext w:val="0"/>
        <w:pageBreakBefore w:val="0"/>
        <w:spacing w:line="432"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                               联系电话：</w:t>
      </w:r>
      <w:r>
        <w:rPr>
          <w:rFonts w:ascii="宋体" w:hAnsi="宋体" w:eastAsia="宋体" w:cs="宋体"/>
          <w:color w:val="000000"/>
          <w:szCs w:val="21"/>
          <w:highlight w:val="none"/>
        </w:rPr>
      </w:r>
      <w:r/>
    </w:p>
    <w:p>
      <w:pPr>
        <w:pStyle w:val="984"/>
        <w:ind w:firstLine="480"/>
        <w:spacing w:line="440" w:lineRule="exact"/>
        <w:rPr>
          <w:rFonts w:ascii="Times New Roman" w:hAnsi="Times New Roman" w:eastAsia="黑体" w:cs="Times New Roman"/>
          <w:sz w:val="24"/>
          <w:highlight w:val="none"/>
        </w:rPr>
      </w:pPr>
      <w:r>
        <w:rPr>
          <w:rFonts w:hint="eastAsia" w:ascii="宋体" w:hAnsi="宋体" w:eastAsia="宋体" w:cs="宋体"/>
          <w:color w:val="000000"/>
          <w:szCs w:val="21"/>
          <w:highlight w:val="none"/>
        </w:rPr>
        <w:t xml:space="preserve">               </w:t>
      </w:r>
      <w:r>
        <w:rPr>
          <w:rFonts w:ascii="Times New Roman" w:hAnsi="Times New Roman" w:eastAsia="黑体" w:cs="Times New Roman"/>
          <w:sz w:val="24"/>
          <w:highlight w:val="none"/>
        </w:rPr>
      </w:r>
      <w:r/>
    </w:p>
    <w:p>
      <w:pPr>
        <w:pStyle w:val="984"/>
        <w:ind w:firstLine="420"/>
        <w:jc w:val="both"/>
        <w:spacing w:before="120" w:after="120" w:line="360" w:lineRule="auto"/>
        <w:widowControl w:val="off"/>
        <w:rPr>
          <w:rFonts w:hint="eastAsia"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1"/>
          <w:szCs w:val="22"/>
          <w:highlight w:val="none"/>
          <w:lang w:val="en-US" w:eastAsia="zh-CN" w:bidi="ar-SA"/>
        </w:rPr>
      </w:r>
      <w:r/>
    </w:p>
    <w:p>
      <w:pPr>
        <w:pStyle w:val="984"/>
        <w:ind w:firstLine="420"/>
        <w:jc w:val="both"/>
        <w:spacing w:before="120" w:after="120" w:line="360" w:lineRule="auto"/>
        <w:widowControl w:val="off"/>
        <w:rPr>
          <w:rFonts w:hint="eastAsia"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1"/>
          <w:szCs w:val="22"/>
          <w:highlight w:val="none"/>
          <w:lang w:val="en-US" w:eastAsia="zh-CN" w:bidi="ar-SA"/>
        </w:rPr>
      </w:r>
      <w:r/>
    </w:p>
    <w:p>
      <w:pPr>
        <w:pStyle w:val="984"/>
        <w:ind w:firstLine="420"/>
        <w:jc w:val="both"/>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Times New Roman"/>
          <w:color w:val="000000"/>
          <w:sz w:val="21"/>
          <w:szCs w:val="22"/>
          <w:highlight w:val="none"/>
          <w:lang w:val="en-US" w:eastAsia="zh-CN" w:bidi="ar-SA"/>
        </w:rPr>
        <w:t xml:space="preserve">见证方：扬州博远工程咨询有限公司</w:t>
      </w:r>
      <w:r>
        <w:rPr>
          <w:rFonts w:hint="eastAsia" w:ascii="宋体" w:hAnsi="宋体" w:eastAsia="宋体" w:cs="宋体"/>
          <w:sz w:val="21"/>
          <w:szCs w:val="21"/>
          <w:highlight w:val="none"/>
          <w:lang w:val="en-US" w:eastAsia="zh-CN" w:bidi="ar-SA"/>
        </w:rPr>
      </w:r>
      <w:r/>
    </w:p>
    <w:p>
      <w:pPr>
        <w:pStyle w:val="984"/>
        <w:ind w:firstLine="420"/>
        <w:jc w:val="right"/>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84"/>
        <w:ind w:firstLine="420"/>
        <w:jc w:val="right"/>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84"/>
        <w:ind w:firstLine="420"/>
        <w:jc w:val="right"/>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84"/>
        <w:ind w:firstLine="420"/>
        <w:jc w:val="right"/>
        <w:spacing w:before="120" w:after="120" w:line="360" w:lineRule="auto"/>
        <w:widowControl w:val="off"/>
        <w:rPr>
          <w:rFonts w:hint="eastAsia" w:ascii="宋体" w:hAnsi="宋体" w:eastAsia="宋体" w:cs="Times New Roman"/>
          <w:color w:val="000000"/>
          <w:sz w:val="21"/>
          <w:szCs w:val="22"/>
          <w:highlight w:val="none"/>
          <w:lang w:val="en-US" w:eastAsia="zh-CN" w:bidi="ar-SA"/>
        </w:rPr>
      </w:pPr>
      <w:r>
        <w:rPr>
          <w:rFonts w:hint="eastAsia" w:ascii="宋体" w:hAnsi="宋体" w:eastAsia="宋体" w:cs="宋体"/>
          <w:sz w:val="21"/>
          <w:szCs w:val="21"/>
          <w:highlight w:val="none"/>
          <w:lang w:val="en-US" w:eastAsia="zh-CN" w:bidi="ar-SA"/>
        </w:rPr>
        <w:t xml:space="preserve">签订日期：     年    月    日</w:t>
      </w:r>
      <w:r>
        <w:rPr>
          <w:rFonts w:hint="eastAsia" w:ascii="宋体" w:hAnsi="宋体" w:eastAsia="宋体" w:cs="Times New Roman"/>
          <w:color w:val="000000"/>
          <w:sz w:val="21"/>
          <w:szCs w:val="22"/>
          <w:highlight w:val="none"/>
          <w:lang w:val="en-US" w:eastAsia="zh-CN" w:bidi="ar-SA"/>
        </w:rPr>
      </w:r>
      <w:r/>
    </w:p>
    <w:p>
      <w:pPr>
        <w:pStyle w:val="984"/>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84"/>
        <w:jc w:val="center"/>
        <w:keepLines w:val="0"/>
        <w:keepNext w:val="0"/>
        <w:pageBreakBefore w:val="0"/>
        <w:spacing w:after="313"/>
        <w:widowControl w:val="off"/>
        <w:rPr>
          <w:rFonts w:hint="eastAsia"/>
          <w:b/>
          <w:bCs/>
          <w:color w:val="000000"/>
          <w:sz w:val="32"/>
          <w:szCs w:val="32"/>
          <w:highlight w:val="none"/>
        </w:rPr>
      </w:pPr>
      <w:r>
        <w:rPr>
          <w:rFonts w:hint="eastAsia"/>
          <w:b/>
          <w:bCs/>
          <w:color w:val="000000"/>
          <w:sz w:val="32"/>
          <w:szCs w:val="32"/>
          <w:highlight w:val="none"/>
          <w:lang w:val="en-US" w:eastAsia="zh-CN"/>
        </w:rPr>
        <w:br w:type="page" w:clear="all"/>
      </w:r>
      <w:bookmarkStart w:id="56" w:name="_Toc20199"/>
      <w:r>
        <w:rPr>
          <w:rStyle w:val="996"/>
          <w:rFonts w:hint="eastAsia" w:ascii="Times New Roman" w:hAnsi="Times New Roman" w:eastAsia="宋体" w:cs="Times New Roman"/>
          <w:color w:val="000000"/>
          <w:sz w:val="36"/>
          <w:szCs w:val="36"/>
          <w:highlight w:val="none"/>
          <w:lang w:val="en-US" w:eastAsia="zh-CN"/>
        </w:rPr>
        <w:t xml:space="preserve">第四章 采购需求</w:t>
      </w:r>
      <w:bookmarkEnd w:id="56"/>
      <w:r>
        <w:rPr>
          <w:rFonts w:hint="eastAsia"/>
          <w:b/>
          <w:bCs/>
          <w:color w:val="000000"/>
          <w:sz w:val="32"/>
          <w:szCs w:val="32"/>
          <w:highlight w:val="none"/>
        </w:rPr>
      </w:r>
      <w:r/>
    </w:p>
    <w:p>
      <w:pPr>
        <w:pStyle w:val="984"/>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4"/>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rPr>
        <w:t xml:space="preserve">其他要求</w:t>
      </w:r>
      <w:r>
        <w:rPr>
          <w:bCs/>
          <w:iCs/>
          <w:color w:val="000000"/>
          <w:sz w:val="21"/>
          <w:szCs w:val="21"/>
          <w:highlight w:val="none"/>
        </w:rPr>
      </w:r>
      <w:r/>
    </w:p>
    <w:p>
      <w:pPr>
        <w:pStyle w:val="984"/>
        <w:ind w:firstLine="480"/>
        <w:keepLines w:val="0"/>
        <w:keepNext w:val="0"/>
        <w:pageBreakBefore w:val="0"/>
        <w:spacing w:line="440" w:lineRule="exact"/>
        <w:widowControl w:val="off"/>
        <w:rPr>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w:t>
      </w:r>
      <w:r>
        <w:rPr>
          <w:rFonts w:hint="eastAsia"/>
          <w:bCs/>
          <w:iCs/>
          <w:color w:val="000000"/>
          <w:sz w:val="21"/>
          <w:szCs w:val="21"/>
          <w:highlight w:val="none"/>
        </w:rPr>
        <w:t xml:space="preserve">格执行政府采购关于支持</w:t>
      </w:r>
      <w:r>
        <w:rPr>
          <w:rFonts w:hint="eastAsia"/>
          <w:bCs/>
          <w:i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iCs/>
          <w:color w:val="000000"/>
          <w:sz w:val="21"/>
          <w:szCs w:val="21"/>
          <w:highlight w:val="none"/>
        </w:rPr>
      </w:r>
      <w:r/>
    </w:p>
    <w:p>
      <w:pPr>
        <w:pStyle w:val="984"/>
        <w:ind w:firstLine="480"/>
        <w:keepLines w:val="0"/>
        <w:keepNext w:val="0"/>
        <w:pageBreakBefore w:val="0"/>
        <w:spacing w:line="440" w:lineRule="exact"/>
        <w:widowControl w:val="off"/>
        <w:rPr>
          <w:rFonts w:hint="eastAsia" w:ascii="宋体" w:hAnsi="宋体" w:cs="宋体"/>
          <w:sz w:val="24"/>
          <w:highlight w:val="none"/>
        </w:rPr>
        <w:outlineLvl w:val="9"/>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w:t>
      </w:r>
      <w:r>
        <w:rPr>
          <w:rFonts w:hint="eastAsia"/>
          <w:bCs/>
          <w:iCs/>
          <w:color w:val="000000"/>
          <w:sz w:val="21"/>
          <w:szCs w:val="21"/>
          <w:highlight w:val="none"/>
        </w:rPr>
        <w:t xml:space="preserve">应商对于投标产品的包装应按照“财办库〔2020〕123号《关于印发《商品包装政府采购需求标准（试行）》、《快递包装政府采购需求标准（试行）》的通知》”执</w:t>
      </w:r>
      <w:r>
        <w:rPr>
          <w:rFonts w:hint="eastAsia"/>
          <w:bCs/>
          <w:iCs/>
          <w:color w:val="000000"/>
          <w:sz w:val="21"/>
          <w:szCs w:val="21"/>
          <w:highlight w:val="none"/>
        </w:rPr>
        <w:t xml:space="preserve">行。</w:t>
      </w:r>
      <w:r>
        <w:rPr>
          <w:rFonts w:hint="eastAsia" w:ascii="宋体" w:hAnsi="宋体" w:cs="宋体"/>
          <w:sz w:val="24"/>
          <w:highlight w:val="none"/>
        </w:rPr>
      </w:r>
      <w:r/>
    </w:p>
    <w:p>
      <w:pPr>
        <w:pStyle w:val="984"/>
        <w:ind w:firstLine="482"/>
        <w:keepLines w:val="0"/>
        <w:keepNext w:val="0"/>
        <w:pageBreakBefore w:val="0"/>
        <w:spacing w:after="65" w:line="440" w:lineRule="exact"/>
        <w:widowControl w:val="off"/>
        <w:rPr>
          <w:rFonts w:hint="eastAsia" w:eastAsia="宋体" w:cs="Times New Roman"/>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3.</w:t>
      </w:r>
      <w:r>
        <w:rPr>
          <w:rFonts w:hint="eastAsia" w:eastAsia="宋体" w:cs="Times New Roman"/>
          <w:bCs/>
          <w:iCs/>
          <w:color w:val="000000"/>
          <w:sz w:val="21"/>
          <w:szCs w:val="21"/>
          <w:highlight w:val="none"/>
          <w:lang w:val="en-US" w:eastAsia="zh-CN"/>
        </w:rPr>
        <w:t xml:space="preserve">采</w:t>
      </w:r>
      <w:r>
        <w:rPr>
          <w:rFonts w:hint="eastAsia" w:eastAsia="宋体" w:cs="Times New Roman"/>
          <w:bCs/>
          <w:iCs/>
          <w:color w:val="000000"/>
          <w:sz w:val="21"/>
          <w:szCs w:val="21"/>
          <w:highlight w:val="none"/>
        </w:rPr>
        <w:t xml:space="preserve">购标的清单</w:t>
      </w:r>
      <w:r>
        <w:rPr>
          <w:rFonts w:hint="eastAsia" w:eastAsia="宋体" w:cs="Times New Roman"/>
          <w:bCs/>
          <w:iCs/>
          <w:color w:val="000000"/>
          <w:sz w:val="21"/>
          <w:szCs w:val="21"/>
          <w:highlight w:val="none"/>
        </w:rPr>
      </w:r>
      <w:r/>
    </w:p>
    <w:tbl>
      <w:tblPr>
        <w:tblW w:w="92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8"/>
        <w:gridCol w:w="3827"/>
      </w:tblGrid>
      <w:tr>
        <w:trPr>
          <w:cantSplit/>
          <w:trHeight w:val="628"/>
        </w:trPr>
        <w:tc>
          <w:tcPr>
            <w:tcW w:w="4128" w:type="dxa"/>
            <w:vAlign w:val="center"/>
            <w:textDirection w:val="lrTb"/>
            <w:noWrap w:val="false"/>
          </w:tcPr>
          <w:p>
            <w:pPr>
              <w:pStyle w:val="984"/>
              <w:jc w:val="cente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eastAsia="宋体" w:cs="Times New Roman"/>
                <w:color w:val="000000"/>
                <w:sz w:val="21"/>
                <w:szCs w:val="21"/>
                <w:highlight w:val="none"/>
                <w:lang w:eastAsia="zh-CN"/>
              </w:rPr>
              <w:t xml:space="preserve">采购标的</w:t>
            </w:r>
            <w:r>
              <w:rPr>
                <w:rFonts w:hint="eastAsia" w:ascii="宋体" w:hAnsi="宋体"/>
                <w:color w:val="000000"/>
                <w:sz w:val="21"/>
                <w:szCs w:val="21"/>
                <w:highlight w:val="none"/>
              </w:rPr>
            </w:r>
            <w:r/>
          </w:p>
        </w:tc>
        <w:tc>
          <w:tcPr>
            <w:tcW w:w="3827" w:type="dxa"/>
            <w:vAlign w:val="center"/>
            <w:textDirection w:val="lrTb"/>
            <w:noWrap w:val="false"/>
          </w:tcPr>
          <w:p>
            <w:pPr>
              <w:pStyle w:val="984"/>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对应中小企业划分标准所属行业</w:t>
            </w:r>
            <w:r>
              <w:rPr>
                <w:rFonts w:hint="eastAsia" w:ascii="宋体" w:hAnsi="宋体" w:eastAsia="宋体" w:cs="Times New Roman"/>
                <w:color w:val="000000"/>
                <w:sz w:val="21"/>
                <w:szCs w:val="21"/>
                <w:highlight w:val="none"/>
                <w:lang w:eastAsia="zh-CN"/>
              </w:rPr>
            </w:r>
            <w:r/>
          </w:p>
        </w:tc>
      </w:tr>
      <w:tr>
        <w:trPr>
          <w:cantSplit/>
          <w:trHeight w:val="866"/>
        </w:trPr>
        <w:tc>
          <w:tcPr>
            <w:tcW w:w="4128" w:type="dxa"/>
            <w:vAlign w:val="center"/>
            <w:textDirection w:val="lrTb"/>
            <w:noWrap w:val="false"/>
          </w:tcPr>
          <w:p>
            <w:pPr>
              <w:pStyle w:val="984"/>
              <w:jc w:val="center"/>
              <w:keepLines w:val="0"/>
              <w:keepNext w:val="0"/>
              <w:pageBreakBefore w:val="0"/>
              <w:spacing w:line="240" w:lineRule="auto"/>
              <w:widowControl w:val="o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仪征市环境卫生管理处（仪征市城市管理局）办公大楼能源费用托管项目</w:t>
            </w:r>
            <w:r>
              <w:rPr>
                <w:rFonts w:hint="eastAsia" w:ascii="宋体" w:hAnsi="宋体"/>
                <w:color w:val="000000"/>
                <w:sz w:val="21"/>
                <w:szCs w:val="21"/>
                <w:highlight w:val="none"/>
                <w:lang w:eastAsia="zh-CN"/>
              </w:rPr>
            </w:r>
            <w:r/>
          </w:p>
        </w:tc>
        <w:tc>
          <w:tcPr>
            <w:tcW w:w="3827" w:type="dxa"/>
            <w:vAlign w:val="center"/>
            <w:textDirection w:val="lrTb"/>
            <w:noWrap w:val="false"/>
          </w:tcPr>
          <w:p>
            <w:pPr>
              <w:pStyle w:val="984"/>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其他未列明行业</w:t>
            </w:r>
            <w:r>
              <w:rPr>
                <w:rFonts w:hint="eastAsia" w:ascii="宋体" w:hAnsi="宋体" w:eastAsia="宋体" w:cs="Times New Roman"/>
                <w:color w:val="000000"/>
                <w:sz w:val="21"/>
                <w:szCs w:val="21"/>
                <w:highlight w:val="none"/>
                <w:lang w:eastAsia="zh-CN"/>
              </w:rPr>
            </w:r>
            <w:r/>
          </w:p>
        </w:tc>
      </w:tr>
    </w:tbl>
    <w:p>
      <w:pPr>
        <w:pStyle w:val="984"/>
        <w:ind w:firstLine="422"/>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984"/>
        <w:ind w:firstLine="422"/>
        <w:keepLines w:val="0"/>
        <w:keepNext w:val="0"/>
        <w:pageBreakBefore w:val="0"/>
        <w:spacing w:line="432" w:lineRule="auto"/>
        <w:rPr>
          <w:rFonts w:hint="eastAsia" w:ascii="宋体" w:hAnsi="宋体" w:eastAsia="宋体" w:cs="宋体"/>
          <w:szCs w:val="21"/>
          <w:highlight w:val="none"/>
          <w:lang w:val="zh-CN" w:eastAsia="zh-CN"/>
        </w:rPr>
      </w:pPr>
      <w:r>
        <w:rPr>
          <w:rFonts w:hint="eastAsia" w:ascii="宋体" w:hAnsi="宋体" w:eastAsia="宋体" w:cs="宋体"/>
          <w:b/>
          <w:bCs/>
          <w:szCs w:val="21"/>
          <w:highlight w:val="none"/>
          <w:lang w:val="zh-CN"/>
        </w:rPr>
        <w:t xml:space="preserve">一、采购编号：</w:t>
      </w:r>
      <w:r>
        <w:rPr>
          <w:rFonts w:hint="eastAsia" w:ascii="宋体" w:hAnsi="宋体" w:eastAsia="宋体" w:cs="宋体"/>
          <w:szCs w:val="21"/>
          <w:highlight w:val="none"/>
          <w:lang w:eastAsia="zh-CN"/>
        </w:rPr>
        <w:t xml:space="preserve">JSZC-321081-BYGC-G2026-0010</w:t>
      </w:r>
      <w:r>
        <w:rPr>
          <w:rFonts w:hint="eastAsia" w:ascii="宋体" w:hAnsi="宋体" w:eastAsia="宋体" w:cs="宋体"/>
          <w:szCs w:val="21"/>
          <w:highlight w:val="none"/>
          <w:lang w:val="zh-CN" w:eastAsia="zh-CN"/>
        </w:rPr>
      </w:r>
      <w:r/>
    </w:p>
    <w:p>
      <w:pPr>
        <w:pStyle w:val="984"/>
        <w:ind w:firstLine="422"/>
        <w:keepLines w:val="0"/>
        <w:keepNext w:val="0"/>
        <w:pageBreakBefore w:val="0"/>
        <w:spacing w:line="432"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二、采购项目名称：</w:t>
      </w:r>
      <w:r>
        <w:rPr>
          <w:rFonts w:hint="eastAsia" w:ascii="宋体" w:hAnsi="宋体" w:eastAsia="宋体" w:cs="宋体"/>
          <w:szCs w:val="21"/>
          <w:highlight w:val="none"/>
        </w:rPr>
        <w:t xml:space="preserve">仪征市环境卫生管理处（仪征市城市管理局）办公大楼能源费用托管项目</w:t>
      </w:r>
      <w:r>
        <w:rPr>
          <w:rFonts w:ascii="宋体" w:hAnsi="宋体" w:eastAsia="宋体" w:cs="宋体"/>
          <w:b/>
          <w:bCs/>
          <w:szCs w:val="21"/>
          <w:highlight w:val="none"/>
          <w:lang w:val="zh-CN"/>
        </w:rPr>
      </w:r>
      <w:r/>
    </w:p>
    <w:p>
      <w:pPr>
        <w:pStyle w:val="984"/>
        <w:ind w:firstLine="422"/>
        <w:keepLines w:val="0"/>
        <w:keepNext w:val="0"/>
        <w:pageBreakBefore w:val="0"/>
        <w:spacing w:line="432" w:lineRule="auto"/>
        <w:rPr>
          <w:rFonts w:ascii="宋体" w:hAnsi="宋体" w:eastAsia="宋体" w:cs="宋体"/>
          <w:szCs w:val="21"/>
          <w:highlight w:val="none"/>
          <w:lang w:val="zh-CN"/>
        </w:rPr>
      </w:pPr>
      <w:r>
        <w:rPr>
          <w:rFonts w:hint="eastAsia" w:ascii="宋体" w:hAnsi="宋体" w:eastAsia="宋体" w:cs="宋体"/>
          <w:b/>
          <w:bCs/>
          <w:szCs w:val="21"/>
          <w:highlight w:val="none"/>
          <w:lang w:val="zh-CN"/>
        </w:rPr>
        <w:t xml:space="preserve">三、</w:t>
      </w:r>
      <w:bookmarkStart w:id="57" w:name="_Toc75704242"/>
      <w:r>
        <w:rPr>
          <w:rFonts w:hint="eastAsia" w:ascii="宋体" w:hAnsi="宋体" w:eastAsia="宋体" w:cs="宋体"/>
          <w:b/>
          <w:bCs/>
          <w:szCs w:val="21"/>
          <w:highlight w:val="none"/>
          <w:lang w:val="zh-CN"/>
        </w:rPr>
        <w:t xml:space="preserve">预算金额：</w:t>
      </w:r>
      <w:r>
        <w:rPr>
          <w:rFonts w:hint="eastAsia" w:ascii="宋体" w:hAnsi="宋体" w:eastAsia="宋体" w:cs="宋体"/>
          <w:szCs w:val="21"/>
          <w:highlight w:val="none"/>
        </w:rPr>
        <w:t xml:space="preserve">443.04万元</w:t>
      </w:r>
      <w:r>
        <w:rPr>
          <w:rFonts w:ascii="宋体" w:hAnsi="宋体" w:eastAsia="宋体" w:cs="宋体"/>
          <w:szCs w:val="21"/>
          <w:highlight w:val="none"/>
          <w:lang w:val="zh-CN"/>
        </w:rPr>
      </w:r>
      <w:r/>
    </w:p>
    <w:p>
      <w:pPr>
        <w:pStyle w:val="984"/>
        <w:ind w:firstLine="420"/>
        <w:keepLines w:val="0"/>
        <w:keepNext w:val="0"/>
        <w:pageBreakBefore w:val="0"/>
        <w:spacing w:line="432"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最高限价（如有）：</w:t>
      </w:r>
      <w:r>
        <w:rPr>
          <w:rFonts w:hint="eastAsia" w:ascii="宋体" w:hAnsi="宋体" w:eastAsia="宋体" w:cs="宋体"/>
          <w:szCs w:val="21"/>
          <w:highlight w:val="none"/>
        </w:rPr>
        <w:t xml:space="preserve">443.04万元</w:t>
      </w:r>
      <w:r>
        <w:rPr>
          <w:rFonts w:ascii="宋体" w:hAnsi="宋体" w:eastAsia="宋体" w:cs="宋体"/>
          <w:szCs w:val="21"/>
          <w:highlight w:val="none"/>
          <w:lang w:val="zh-CN"/>
        </w:rPr>
      </w:r>
      <w:r/>
    </w:p>
    <w:p>
      <w:pPr>
        <w:pStyle w:val="984"/>
        <w:ind w:firstLine="420"/>
        <w:keepLines w:val="0"/>
        <w:keepNext w:val="0"/>
        <w:pageBreakBefore w:val="0"/>
        <w:spacing w:line="432" w:lineRule="auto"/>
        <w:rPr>
          <w:rFonts w:ascii="宋体" w:hAnsi="宋体" w:eastAsia="宋体" w:cs="宋体"/>
          <w:szCs w:val="21"/>
          <w:highlight w:val="none"/>
          <w:lang w:val="zh-CN"/>
        </w:rPr>
      </w:pPr>
      <w:r>
        <w:rPr>
          <w:rFonts w:hint="eastAsia" w:ascii="宋体" w:hAnsi="宋体" w:eastAsia="宋体" w:cs="宋体"/>
          <w:szCs w:val="21"/>
          <w:highlight w:val="none"/>
        </w:rPr>
        <w:t xml:space="preserve">注：能源</w:t>
      </w:r>
      <w:r>
        <w:rPr>
          <w:rFonts w:hint="eastAsia" w:ascii="宋体" w:hAnsi="宋体" w:eastAsia="宋体" w:cs="宋体"/>
          <w:szCs w:val="21"/>
          <w:highlight w:val="none"/>
          <w:lang w:val="zh-CN"/>
        </w:rPr>
        <w:t xml:space="preserve">托管</w:t>
      </w:r>
      <w:r>
        <w:rPr>
          <w:rFonts w:hint="eastAsia" w:ascii="宋体" w:hAnsi="宋体" w:eastAsia="宋体" w:cs="宋体"/>
          <w:szCs w:val="21"/>
          <w:highlight w:val="none"/>
        </w:rPr>
        <w:t xml:space="preserve">费用</w:t>
      </w:r>
      <w:r>
        <w:rPr>
          <w:rFonts w:hint="eastAsia" w:ascii="宋体" w:hAnsi="宋体" w:eastAsia="宋体" w:cs="宋体"/>
          <w:szCs w:val="21"/>
          <w:highlight w:val="none"/>
          <w:lang w:val="zh-CN"/>
        </w:rPr>
        <w:t xml:space="preserve">每年不超过人民币</w:t>
      </w:r>
      <w:r>
        <w:rPr>
          <w:rFonts w:hint="eastAsia" w:ascii="宋体" w:hAnsi="宋体" w:eastAsia="宋体" w:cs="宋体"/>
          <w:szCs w:val="21"/>
          <w:highlight w:val="none"/>
        </w:rPr>
        <w:t xml:space="preserve">伍拾</w:t>
      </w:r>
      <w:r>
        <w:rPr>
          <w:rFonts w:hint="eastAsia" w:ascii="宋体" w:hAnsi="宋体" w:eastAsia="宋体" w:cs="宋体"/>
          <w:szCs w:val="21"/>
          <w:highlight w:val="none"/>
          <w:lang w:val="en-US" w:eastAsia="zh-CN"/>
        </w:rPr>
        <w:t xml:space="preserve">陆</w:t>
      </w:r>
      <w:r>
        <w:rPr>
          <w:rFonts w:hint="eastAsia" w:ascii="宋体" w:hAnsi="宋体" w:eastAsia="宋体" w:cs="宋体"/>
          <w:szCs w:val="21"/>
          <w:highlight w:val="none"/>
        </w:rPr>
        <w:t xml:space="preserve">万元整</w:t>
      </w:r>
      <w:r>
        <w:rPr>
          <w:rFonts w:hint="eastAsia" w:ascii="宋体" w:hAnsi="宋体" w:eastAsia="宋体" w:cs="宋体"/>
          <w:szCs w:val="21"/>
          <w:highlight w:val="none"/>
          <w:lang w:val="zh-CN"/>
        </w:rPr>
        <w:t xml:space="preserve">（不超过</w:t>
      </w:r>
      <w:bookmarkStart w:id="58" w:name="_Hlk197435590"/>
      <w:r>
        <w:rPr>
          <w:rFonts w:hint="eastAsia" w:ascii="宋体" w:hAnsi="宋体" w:eastAsia="宋体" w:cs="宋体"/>
          <w:szCs w:val="21"/>
          <w:highlight w:val="none"/>
          <w:lang w:val="en-US" w:eastAsia="zh-CN"/>
        </w:rPr>
        <w:t xml:space="preserve">55.38</w:t>
      </w:r>
      <w:r>
        <w:rPr>
          <w:rFonts w:hint="eastAsia" w:ascii="宋体" w:hAnsi="宋体" w:eastAsia="宋体" w:cs="宋体"/>
          <w:szCs w:val="21"/>
          <w:highlight w:val="none"/>
        </w:rPr>
        <w:t xml:space="preserve">万元</w:t>
      </w:r>
      <w:r>
        <w:rPr>
          <w:rFonts w:hint="eastAsia" w:ascii="宋体" w:hAnsi="宋体" w:eastAsia="宋体" w:cs="宋体"/>
          <w:szCs w:val="21"/>
          <w:highlight w:val="none"/>
          <w:lang w:val="zh-CN"/>
        </w:rPr>
        <w:t xml:space="preserve">/年</w:t>
      </w:r>
      <w:bookmarkEnd w:id="58"/>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其中电：779949kWh*0.</w:t>
      </w:r>
      <w:r>
        <w:rPr>
          <w:rFonts w:hint="eastAsia" w:ascii="宋体" w:hAnsi="宋体" w:eastAsia="宋体" w:cs="宋体"/>
          <w:szCs w:val="21"/>
          <w:highlight w:val="none"/>
          <w:lang w:val="en-US" w:eastAsia="zh-CN"/>
        </w:rPr>
        <w:t xml:space="preserve">71</w:t>
      </w:r>
      <w:r>
        <w:rPr>
          <w:rFonts w:hint="eastAsia" w:ascii="宋体" w:hAnsi="宋体" w:eastAsia="宋体" w:cs="宋体"/>
          <w:szCs w:val="21"/>
          <w:highlight w:val="none"/>
        </w:rPr>
        <w:t xml:space="preserve">元/kWh=553763.79元</w:t>
      </w:r>
      <w:r>
        <w:rPr>
          <w:rFonts w:hint="eastAsia" w:ascii="宋体" w:hAnsi="宋体" w:eastAsia="宋体" w:cs="宋体"/>
          <w:szCs w:val="21"/>
          <w:highlight w:val="none"/>
          <w:lang w:val="zh-CN"/>
        </w:rPr>
        <w:t xml:space="preserve">）；</w:t>
      </w:r>
      <w:r>
        <w:rPr>
          <w:rFonts w:ascii="宋体" w:hAnsi="宋体" w:eastAsia="宋体" w:cs="宋体"/>
          <w:szCs w:val="21"/>
          <w:highlight w:val="none"/>
          <w:lang w:val="zh-CN"/>
        </w:rPr>
      </w:r>
      <w:r/>
    </w:p>
    <w:p>
      <w:pPr>
        <w:pStyle w:val="984"/>
        <w:ind w:firstLine="422"/>
        <w:keepLines w:val="0"/>
        <w:keepNext w:val="0"/>
        <w:pageBreakBefore w:val="0"/>
        <w:spacing w:line="432" w:lineRule="auto"/>
        <w:tabs>
          <w:tab w:val="left" w:pos="3600" w:leader="none"/>
        </w:tabs>
        <w:rPr>
          <w:rFonts w:ascii="宋体" w:hAnsi="宋体" w:eastAsia="宋体" w:cs="Times New Roman"/>
          <w:b/>
          <w:szCs w:val="21"/>
          <w:highlight w:val="none"/>
          <w:lang w:val="zh-CN"/>
        </w:rPr>
      </w:pPr>
      <w:r>
        <w:rPr>
          <w:rFonts w:hint="eastAsia" w:ascii="宋体" w:hAnsi="宋体" w:eastAsia="宋体" w:cs="Times New Roman"/>
          <w:b/>
          <w:szCs w:val="21"/>
          <w:highlight w:val="none"/>
        </w:rPr>
        <w:t xml:space="preserve">四、采购内容及要求：</w:t>
      </w:r>
      <w:bookmarkEnd w:id="57"/>
      <w:r>
        <w:rPr>
          <w:rFonts w:ascii="宋体" w:hAnsi="宋体" w:eastAsia="宋体" w:cs="Times New Roman"/>
          <w:b/>
          <w:szCs w:val="21"/>
          <w:highlight w:val="none"/>
          <w:lang w:val="zh-CN"/>
        </w:rPr>
      </w:r>
      <w:r/>
    </w:p>
    <w:p>
      <w:pPr>
        <w:pStyle w:val="984"/>
        <w:ind w:firstLine="420"/>
        <w:jc w:val="left"/>
        <w:keepLines w:val="0"/>
        <w:keepNext w:val="0"/>
        <w:pageBreakBefore w:val="0"/>
        <w:spacing w:line="432"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（一）项目概况：</w:t>
      </w:r>
      <w:r>
        <w:rPr>
          <w:rFonts w:ascii="宋体" w:hAnsi="宋体" w:eastAsia="宋体" w:cs="宋体"/>
          <w:b/>
          <w:szCs w:val="21"/>
          <w:highlight w:val="none"/>
        </w:rPr>
      </w:r>
      <w:r/>
    </w:p>
    <w:p>
      <w:pPr>
        <w:pStyle w:val="984"/>
        <w:ind w:firstLine="420"/>
        <w:jc w:val="left"/>
        <w:keepLines w:val="0"/>
        <w:keepNext w:val="0"/>
        <w:pageBreakBefore w:val="0"/>
        <w:spacing w:line="432" w:lineRule="auto"/>
        <w:widowControl/>
        <w:rPr>
          <w:rFonts w:ascii="宋体" w:hAnsi="宋体" w:eastAsia="宋体" w:cs="宋体"/>
          <w:b/>
          <w:szCs w:val="21"/>
          <w:highlight w:val="none"/>
        </w:rPr>
        <w:outlineLvl w:val="2"/>
      </w:pPr>
      <w:r>
        <w:rPr>
          <w:rFonts w:hint="eastAsia" w:ascii="宋体" w:hAnsi="宋体" w:eastAsia="宋体" w:cs="宋体"/>
          <w:b/>
          <w:szCs w:val="21"/>
          <w:highlight w:val="none"/>
        </w:rPr>
        <w:t xml:space="preserve">1、项目内容：</w:t>
      </w:r>
      <w:r>
        <w:rPr>
          <w:rFonts w:ascii="宋体" w:hAnsi="宋体" w:eastAsia="宋体" w:cs="宋体"/>
          <w:b/>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为深入贯彻习近平新时代中国特色社会主义思想，落实国家、省、市公共机构节能管理政策要求，推动公共机构管理工作，起到公共机构节能示范引领作用。本项目旨在通过实施技术、管理专业化能源一揽子解决方案，采用能源费用托管型合同能源管理方式，委托专业能源服务公司，利用国内外最新能源及信息技术发展成果，统筹推进</w:t>
      </w:r>
      <w:r>
        <w:rPr>
          <w:rFonts w:hint="eastAsia" w:ascii="宋体" w:hAnsi="宋体" w:eastAsia="宋体" w:cs="宋体"/>
          <w:szCs w:val="21"/>
          <w:highlight w:val="none"/>
          <w:lang w:eastAsia="zh-CN"/>
        </w:rPr>
        <w:t xml:space="preserve">仪征市城市管理局</w:t>
      </w:r>
      <w:r>
        <w:rPr>
          <w:rFonts w:hint="eastAsia" w:ascii="宋体" w:hAnsi="宋体" w:eastAsia="宋体" w:cs="宋体"/>
          <w:szCs w:val="21"/>
          <w:highlight w:val="none"/>
        </w:rPr>
        <w:t xml:space="preserve">能源系统改造，提升</w:t>
      </w:r>
      <w:r>
        <w:rPr>
          <w:rFonts w:hint="eastAsia" w:ascii="宋体" w:hAnsi="宋体" w:eastAsia="宋体" w:cs="宋体"/>
          <w:szCs w:val="21"/>
          <w:highlight w:val="none"/>
          <w:lang w:eastAsia="zh-CN"/>
        </w:rPr>
        <w:t xml:space="preserve">仪征市城市管理局</w:t>
      </w:r>
      <w:r>
        <w:rPr>
          <w:rFonts w:hint="eastAsia" w:ascii="宋体" w:hAnsi="宋体" w:eastAsia="宋体" w:cs="宋体"/>
          <w:szCs w:val="21"/>
          <w:highlight w:val="none"/>
        </w:rPr>
        <w:t xml:space="preserve">能源综合利用水平，实现能源利用高效化、清洁化、智能化、数字化，逐步降低综合能耗。</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outlineLvl w:val="2"/>
      </w:pPr>
      <w:r>
        <w:rPr>
          <w:rFonts w:hint="eastAsia" w:ascii="宋体" w:hAnsi="宋体" w:eastAsia="宋体" w:cs="宋体"/>
          <w:b/>
          <w:szCs w:val="21"/>
          <w:highlight w:val="none"/>
        </w:rPr>
        <w:t xml:space="preserve">2、基本现状：</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仪征市城市管理局位于扬州市仪征市新沿山河路</w:t>
      </w:r>
      <w:r>
        <w:rPr>
          <w:rFonts w:ascii="宋体" w:hAnsi="宋体" w:eastAsia="宋体" w:cs="宋体"/>
          <w:szCs w:val="21"/>
          <w:highlight w:val="none"/>
          <w:lang w:val="en-US" w:eastAsia="zh-CN"/>
        </w:rPr>
        <w:t xml:space="preserve">8</w:t>
      </w:r>
      <w:r>
        <w:rPr>
          <w:rFonts w:hint="eastAsia" w:ascii="宋体" w:hAnsi="宋体" w:eastAsia="宋体" w:cs="宋体"/>
          <w:szCs w:val="21"/>
          <w:highlight w:val="none"/>
          <w:lang w:val="en-US" w:eastAsia="zh-CN"/>
        </w:rPr>
        <w:t xml:space="preserve">号，属于党政机关单位建筑，总建筑面积</w:t>
      </w:r>
      <w:r>
        <w:rPr>
          <w:rFonts w:ascii="宋体" w:hAnsi="宋体" w:eastAsia="宋体" w:cs="宋体"/>
          <w:szCs w:val="21"/>
          <w:highlight w:val="none"/>
          <w:lang w:val="en-US" w:eastAsia="zh-CN"/>
        </w:rPr>
        <w:t xml:space="preserve">15993.6m2</w:t>
      </w:r>
      <w:r>
        <w:rPr>
          <w:rFonts w:hint="eastAsia" w:ascii="宋体" w:hAnsi="宋体" w:eastAsia="宋体" w:cs="宋体"/>
          <w:szCs w:val="21"/>
          <w:highlight w:val="none"/>
          <w:lang w:val="en-US" w:eastAsia="zh-CN"/>
        </w:rPr>
        <w:t xml:space="preserve">。分为</w:t>
      </w:r>
      <w:r>
        <w:rPr>
          <w:rFonts w:ascii="宋体" w:hAnsi="宋体" w:eastAsia="宋体" w:cs="宋体"/>
          <w:szCs w:val="21"/>
          <w:highlight w:val="none"/>
          <w:lang w:val="en-US" w:eastAsia="zh-CN"/>
        </w:rPr>
        <w:t xml:space="preserve">5</w:t>
      </w:r>
      <w:r>
        <w:rPr>
          <w:rFonts w:hint="eastAsia" w:ascii="宋体" w:hAnsi="宋体" w:eastAsia="宋体" w:cs="宋体"/>
          <w:szCs w:val="21"/>
          <w:highlight w:val="none"/>
          <w:lang w:val="en-US" w:eastAsia="zh-CN"/>
        </w:rPr>
        <w:t xml:space="preserve">层主楼、</w:t>
      </w:r>
      <w:r>
        <w:rPr>
          <w:rFonts w:ascii="宋体" w:hAnsi="宋体" w:eastAsia="宋体" w:cs="宋体"/>
          <w:szCs w:val="21"/>
          <w:highlight w:val="none"/>
          <w:lang w:val="en-US" w:eastAsia="zh-CN"/>
        </w:rPr>
        <w:t xml:space="preserve">2</w:t>
      </w:r>
      <w:r>
        <w:rPr>
          <w:rFonts w:hint="eastAsia" w:ascii="宋体" w:hAnsi="宋体" w:eastAsia="宋体" w:cs="宋体"/>
          <w:szCs w:val="21"/>
          <w:highlight w:val="none"/>
          <w:lang w:val="en-US" w:eastAsia="zh-CN"/>
        </w:rPr>
        <w:t xml:space="preserve">层食堂、</w:t>
      </w:r>
      <w:r>
        <w:rPr>
          <w:rFonts w:ascii="宋体" w:hAnsi="宋体" w:eastAsia="宋体" w:cs="宋体"/>
          <w:szCs w:val="21"/>
          <w:highlight w:val="none"/>
          <w:lang w:val="en-US" w:eastAsia="zh-CN"/>
        </w:rPr>
        <w:t xml:space="preserve">2</w:t>
      </w:r>
      <w:r>
        <w:rPr>
          <w:rFonts w:hint="eastAsia" w:ascii="宋体" w:hAnsi="宋体" w:eastAsia="宋体" w:cs="宋体"/>
          <w:szCs w:val="21"/>
          <w:highlight w:val="none"/>
          <w:lang w:val="en-US" w:eastAsia="zh-CN"/>
        </w:rPr>
        <w:t xml:space="preserve">层环境监测站和</w:t>
      </w:r>
      <w:r>
        <w:rPr>
          <w:rFonts w:ascii="宋体" w:hAnsi="宋体" w:eastAsia="宋体" w:cs="宋体"/>
          <w:szCs w:val="21"/>
          <w:highlight w:val="none"/>
          <w:lang w:val="en-US" w:eastAsia="zh-CN"/>
        </w:rPr>
        <w:t xml:space="preserve">2</w:t>
      </w:r>
      <w:r>
        <w:rPr>
          <w:rFonts w:hint="eastAsia" w:ascii="宋体" w:hAnsi="宋体" w:eastAsia="宋体" w:cs="宋体"/>
          <w:szCs w:val="21"/>
          <w:highlight w:val="none"/>
          <w:lang w:val="en-US" w:eastAsia="zh-CN"/>
        </w:rPr>
        <w:t xml:space="preserve">层服务中心楼，其中主楼建筑面积为</w:t>
      </w:r>
      <w:r>
        <w:rPr>
          <w:rFonts w:ascii="宋体" w:hAnsi="宋体" w:eastAsia="宋体" w:cs="宋体"/>
          <w:szCs w:val="21"/>
          <w:highlight w:val="none"/>
          <w:lang w:val="en-US" w:eastAsia="zh-CN"/>
        </w:rPr>
        <w:t xml:space="preserve">10161.6m2</w:t>
      </w:r>
      <w:r>
        <w:rPr>
          <w:rFonts w:hint="eastAsia" w:ascii="宋体" w:hAnsi="宋体" w:eastAsia="宋体" w:cs="宋体"/>
          <w:szCs w:val="21"/>
          <w:highlight w:val="none"/>
          <w:lang w:val="en-US" w:eastAsia="zh-CN"/>
        </w:rPr>
        <w:t xml:space="preserve">，食堂建筑面积为</w:t>
      </w:r>
      <w:r>
        <w:rPr>
          <w:rFonts w:ascii="宋体" w:hAnsi="宋体" w:eastAsia="宋体" w:cs="宋体"/>
          <w:szCs w:val="21"/>
          <w:highlight w:val="none"/>
          <w:lang w:val="en-US" w:eastAsia="zh-CN"/>
        </w:rPr>
        <w:t xml:space="preserve">2152.8m2</w:t>
      </w:r>
      <w:r>
        <w:rPr>
          <w:rFonts w:hint="eastAsia" w:ascii="宋体" w:hAnsi="宋体" w:eastAsia="宋体" w:cs="宋体"/>
          <w:szCs w:val="21"/>
          <w:highlight w:val="none"/>
          <w:lang w:val="en-US" w:eastAsia="zh-CN"/>
        </w:rPr>
        <w:t xml:space="preserve">，环境监测站建筑面积为</w:t>
      </w:r>
      <w:r>
        <w:rPr>
          <w:rFonts w:ascii="宋体" w:hAnsi="宋体" w:eastAsia="宋体" w:cs="宋体"/>
          <w:szCs w:val="21"/>
          <w:highlight w:val="none"/>
          <w:lang w:val="en-US" w:eastAsia="zh-CN"/>
        </w:rPr>
        <w:t xml:space="preserve">2152.8m2</w:t>
      </w:r>
      <w:r>
        <w:rPr>
          <w:rFonts w:hint="eastAsia" w:ascii="宋体" w:hAnsi="宋体" w:eastAsia="宋体" w:cs="宋体"/>
          <w:szCs w:val="21"/>
          <w:highlight w:val="none"/>
          <w:lang w:val="en-US" w:eastAsia="zh-CN"/>
        </w:rPr>
        <w:t xml:space="preserve">，服务中心楼建筑面积为</w:t>
      </w:r>
      <w:r>
        <w:rPr>
          <w:rFonts w:ascii="宋体" w:hAnsi="宋体" w:eastAsia="宋体" w:cs="宋体"/>
          <w:szCs w:val="21"/>
          <w:highlight w:val="none"/>
          <w:lang w:val="en-US" w:eastAsia="zh-CN"/>
        </w:rPr>
        <w:t xml:space="preserve">1526.4m2</w:t>
      </w:r>
      <w:r>
        <w:rPr>
          <w:rFonts w:hint="eastAsia" w:ascii="宋体" w:hAnsi="宋体" w:eastAsia="宋体" w:cs="宋体"/>
          <w:szCs w:val="21"/>
          <w:highlight w:val="none"/>
          <w:lang w:val="en-US" w:eastAsia="zh-CN"/>
        </w:rPr>
        <w:t xml:space="preserve">。主楼</w:t>
      </w:r>
      <w:r>
        <w:rPr>
          <w:rFonts w:ascii="宋体" w:hAnsi="宋体" w:eastAsia="宋体" w:cs="宋体"/>
          <w:szCs w:val="21"/>
          <w:highlight w:val="none"/>
          <w:lang w:val="en-US" w:eastAsia="zh-CN"/>
        </w:rPr>
        <w:t xml:space="preserve">4</w:t>
      </w:r>
      <w:r>
        <w:rPr>
          <w:rFonts w:hint="eastAsia" w:ascii="宋体" w:hAnsi="宋体" w:eastAsia="宋体" w:cs="宋体"/>
          <w:szCs w:val="21"/>
          <w:highlight w:val="none"/>
          <w:lang w:val="en-US" w:eastAsia="zh-CN"/>
        </w:rPr>
        <w:t xml:space="preserve">楼为仪征市调查局入驻使用，主楼</w:t>
      </w:r>
      <w:r>
        <w:rPr>
          <w:rFonts w:ascii="宋体" w:hAnsi="宋体" w:eastAsia="宋体" w:cs="宋体"/>
          <w:szCs w:val="21"/>
          <w:highlight w:val="none"/>
          <w:lang w:val="en-US" w:eastAsia="zh-CN"/>
        </w:rPr>
        <w:t xml:space="preserve">5</w:t>
      </w:r>
      <w:r>
        <w:rPr>
          <w:rFonts w:hint="eastAsia" w:ascii="宋体" w:hAnsi="宋体" w:eastAsia="宋体" w:cs="宋体"/>
          <w:szCs w:val="21"/>
          <w:highlight w:val="none"/>
          <w:lang w:val="en-US" w:eastAsia="zh-CN"/>
        </w:rPr>
        <w:t xml:space="preserve">楼为仪征市统计局入驻使用，环境监测站自</w:t>
      </w:r>
      <w:r>
        <w:rPr>
          <w:rFonts w:ascii="宋体" w:hAnsi="宋体" w:eastAsia="宋体" w:cs="宋体"/>
          <w:szCs w:val="21"/>
          <w:highlight w:val="none"/>
          <w:lang w:val="en-US" w:eastAsia="zh-CN"/>
        </w:rPr>
        <w:t xml:space="preserve">2024</w:t>
      </w:r>
      <w:r>
        <w:rPr>
          <w:rFonts w:hint="eastAsia" w:ascii="宋体" w:hAnsi="宋体" w:eastAsia="宋体" w:cs="宋体"/>
          <w:szCs w:val="21"/>
          <w:highlight w:val="none"/>
          <w:lang w:val="en-US" w:eastAsia="zh-CN"/>
        </w:rPr>
        <w:t xml:space="preserve">年起由扬州市仪征环境监测站入驻使用。</w:t>
      </w:r>
      <w:r>
        <w:rPr>
          <w:rFonts w:hint="eastAsia" w:ascii="宋体" w:hAnsi="宋体" w:eastAsia="宋体" w:cs="宋体"/>
          <w:szCs w:val="21"/>
          <w:highlight w:val="none"/>
        </w:rPr>
      </w:r>
      <w:r/>
    </w:p>
    <w:p>
      <w:pPr>
        <w:pStyle w:val="984"/>
        <w:ind w:firstLine="422"/>
        <w:jc w:val="left"/>
        <w:keepLines w:val="0"/>
        <w:keepNext w:val="0"/>
        <w:pageBreakBefore w:val="0"/>
        <w:spacing w:line="432"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其中电力主要用于空调系统、照明系统、食堂设备系统、电力运输系统、环境监测系统和其他主要用能系统；天然气主要用于食堂设备系统；自来水主要用于给排水系统、卫生间用水、厨房用水、生活用热水等。</w:t>
      </w:r>
      <w:r>
        <w:rPr>
          <w:rFonts w:hint="eastAsia" w:ascii="宋体" w:hAnsi="宋体" w:eastAsia="宋体" w:cs="宋体"/>
          <w:szCs w:val="21"/>
          <w:highlight w:val="none"/>
        </w:rPr>
      </w:r>
      <w:r/>
    </w:p>
    <w:p>
      <w:pPr>
        <w:pStyle w:val="984"/>
        <w:ind w:firstLine="422"/>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b/>
          <w:bCs/>
          <w:szCs w:val="21"/>
          <w:highlight w:val="none"/>
        </w:rPr>
        <w:t xml:space="preserve">采购人不统一组织现场勘察，投标人可自行前往采购单位踏勘并承担一切安全责任和费用（踏勘现场前需联系采购人或代理机构，由采购人或代理机构统一安排踏勘时间）。无论投标人是否踏勘过现场，均被认为其在递交投标文件之前已踏勘过现场，对本项目的所有风险、义务内容已经全面了解，并在其投标文件中已充分考虑了各种因素。</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根据中央和省市工作部署和文件要求，拟对</w:t>
      </w:r>
      <w:r>
        <w:rPr>
          <w:rFonts w:hint="eastAsia" w:ascii="宋体" w:hAnsi="宋体" w:eastAsia="宋体" w:cs="宋体"/>
          <w:szCs w:val="21"/>
          <w:highlight w:val="none"/>
          <w:lang w:eastAsia="zh-CN"/>
        </w:rPr>
        <w:t xml:space="preserve">仪征市城市管理局</w:t>
      </w:r>
      <w:r>
        <w:rPr>
          <w:rFonts w:hint="eastAsia" w:ascii="宋体" w:hAnsi="宋体" w:eastAsia="宋体" w:cs="宋体"/>
          <w:szCs w:val="21"/>
          <w:highlight w:val="none"/>
        </w:rPr>
        <w:t xml:space="preserve">采用合同能源托管方式实现节能减碳，利用最新能源及信息技术发展成果，推进建筑能效提升工作，实现楼宇单位能耗指标显著降低。</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（二）服务内容及要求</w:t>
      </w:r>
      <w:r>
        <w:rPr>
          <w:rFonts w:ascii="宋体" w:hAnsi="宋体" w:eastAsia="宋体" w:cs="宋体"/>
          <w:b/>
          <w:szCs w:val="21"/>
          <w:highlight w:val="none"/>
        </w:rPr>
      </w:r>
      <w:r/>
    </w:p>
    <w:p>
      <w:pPr>
        <w:pStyle w:val="984"/>
        <w:ind w:firstLine="422"/>
        <w:keepLines w:val="0"/>
        <w:keepNext w:val="0"/>
        <w:pageBreakBefore w:val="0"/>
        <w:spacing w:line="432" w:lineRule="auto"/>
        <w:rPr>
          <w:rFonts w:ascii="宋体" w:hAnsi="宋体" w:eastAsia="宋体" w:cs="宋体"/>
          <w:color w:val="000000"/>
          <w:highlight w:val="none"/>
        </w:rPr>
      </w:pPr>
      <w:r>
        <w:rPr>
          <w:rFonts w:hint="eastAsia" w:ascii="宋体" w:hAnsi="宋体" w:eastAsia="宋体" w:cs="宋体"/>
          <w:b/>
          <w:bCs/>
          <w:color w:val="000000"/>
          <w:highlight w:val="none"/>
        </w:rPr>
        <w:t xml:space="preserve">现有用能情况及设备</w:t>
      </w:r>
      <w:r>
        <w:rPr>
          <w:rFonts w:ascii="宋体" w:hAnsi="宋体" w:eastAsia="宋体" w:cs="宋体"/>
          <w:color w:val="000000"/>
          <w:highlight w:val="none"/>
        </w:rPr>
      </w:r>
      <w:r/>
    </w:p>
    <w:p>
      <w:pPr>
        <w:pStyle w:val="984"/>
        <w:numPr>
          <w:ilvl w:val="0"/>
          <w:numId w:val="0"/>
        </w:numPr>
        <w:ind w:firstLine="480"/>
        <w:jc w:val="left"/>
        <w:keepLines w:val="0"/>
        <w:keepNext w:val="0"/>
        <w:pageBreakBefore w:val="0"/>
        <w:spacing w:line="432" w:lineRule="auto"/>
        <w:widowControl w:val="off"/>
        <w:rPr>
          <w:rFonts w:ascii="宋体" w:hAnsi="宋体" w:eastAsia="宋体" w:cs="宋体"/>
          <w:b/>
          <w:bCs/>
          <w:color w:val="000000"/>
          <w:highlight w:val="none"/>
          <w:lang w:val="en-US" w:eastAsia="zh-CN"/>
        </w:rPr>
        <w:outlineLvl w:val="2"/>
      </w:pPr>
      <w:r>
        <w:rPr>
          <w:rFonts w:ascii="宋体" w:hAnsi="宋体" w:eastAsia="宋体" w:cs="宋体"/>
          <w:b/>
          <w:bCs/>
          <w:color w:val="000000"/>
          <w:sz w:val="21"/>
          <w:szCs w:val="22"/>
          <w:highlight w:val="none"/>
          <w:lang w:val="en-US" w:eastAsia="zh-CN"/>
        </w:rPr>
        <w:t xml:space="preserve">1.</w:t>
      </w:r>
      <w:r>
        <w:rPr>
          <w:rFonts w:hint="eastAsia" w:ascii="宋体" w:hAnsi="宋体" w:eastAsia="宋体" w:cs="宋体"/>
          <w:b/>
          <w:bCs/>
          <w:color w:val="000000"/>
          <w:highlight w:val="none"/>
          <w:lang w:val="en-US" w:eastAsia="zh-CN"/>
        </w:rPr>
        <w:t xml:space="preserve">建筑概况</w:t>
      </w:r>
      <w:r>
        <w:rPr>
          <w:rFonts w:eastAsia="宋体" w:cs="Times New Roman"/>
          <w:highlight w:val="none"/>
        </w:rPr>
        <mc:AlternateContent>
          <mc:Choice Requires="wpg">
            <w:drawing>
              <wp:inline xmlns:wp="http://schemas.openxmlformats.org/drawingml/2006/wordprocessingDrawing" distT="0" distB="0" distL="0" distR="0">
                <wp:extent cx="5339525" cy="241625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339525" cy="24162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0.4pt;height:190.3pt;mso-wrap-distance-left:0.0pt;mso-wrap-distance-top:0.0pt;mso-wrap-distance-right:0.0pt;mso-wrap-distance-bottom:0.0pt;" stroked="f">
                <v:path textboxrect="0,0,0,0"/>
                <v:imagedata r:id="rId18" o:title=""/>
              </v:shape>
            </w:pict>
          </mc:Fallback>
        </mc:AlternateContent>
      </w:r>
      <w:r>
        <w:rPr>
          <w:rFonts w:ascii="宋体" w:hAnsi="宋体" w:eastAsia="宋体" w:cs="宋体"/>
          <w:b/>
          <w:bCs/>
          <w:color w:val="000000"/>
          <w:highlight w:val="none"/>
          <w:lang w:val="en-US" w:eastAsia="zh-CN"/>
        </w:rPr>
      </w:r>
      <w:r/>
    </w:p>
    <w:p>
      <w:pPr>
        <w:pStyle w:val="984"/>
        <w:ind w:firstLine="420"/>
        <w:keepLines w:val="0"/>
        <w:keepNext w:val="0"/>
        <w:pageBreakBefore w:val="0"/>
        <w:spacing w:line="432" w:lineRule="auto"/>
        <w:widowControl w:val="off"/>
        <w:rPr>
          <w:rFonts w:hint="eastAsia" w:ascii="宋体" w:hAnsi="宋体" w:eastAsia="宋体" w:cs="宋体"/>
          <w:bCs/>
          <w:color w:val="000000"/>
          <w:highlight w:val="none"/>
          <w:shd w:val="clear" w:color="auto" w:fill="ffffff"/>
          <w:lang w:eastAsia="zh-CN"/>
        </w:rPr>
      </w:pPr>
      <w:r>
        <w:rPr>
          <w:rFonts w:hint="eastAsia" w:ascii="宋体" w:hAnsi="宋体" w:eastAsia="宋体" w:cs="宋体"/>
          <w:bCs/>
          <w:color w:val="000000"/>
          <w:highlight w:val="none"/>
          <w:shd w:val="clear" w:color="auto" w:fill="ffffff"/>
          <w:lang w:eastAsia="zh-CN"/>
        </w:rPr>
        <w:t xml:space="preserve">仪征市城市管理局位于扬州市仪征市新沿山河路8号，属于党政机关单位建筑，</w:t>
      </w:r>
      <w:r>
        <w:rPr>
          <w:rFonts w:hint="eastAsia" w:ascii="宋体" w:hAnsi="宋体" w:eastAsia="宋体" w:cs="宋体"/>
          <w:bCs/>
          <w:color w:val="000000"/>
          <w:highlight w:val="none"/>
          <w:shd w:val="clear" w:color="auto" w:fill="ffffff"/>
          <w:lang w:eastAsia="zh-CN"/>
        </w:rPr>
      </w:r>
      <w:r/>
    </w:p>
    <w:p>
      <w:pPr>
        <w:pStyle w:val="984"/>
        <w:ind w:firstLine="420"/>
        <w:keepLines w:val="0"/>
        <w:keepNext w:val="0"/>
        <w:pageBreakBefore w:val="0"/>
        <w:spacing w:line="432" w:lineRule="auto"/>
        <w:widowControl w:val="off"/>
        <w:rPr>
          <w:rFonts w:hint="eastAsia" w:ascii="宋体" w:hAnsi="宋体" w:eastAsia="宋体" w:cs="宋体"/>
          <w:bCs/>
          <w:color w:val="000000"/>
          <w:highlight w:val="none"/>
          <w:shd w:val="clear" w:color="auto" w:fill="ffffff"/>
          <w:lang w:eastAsia="zh-CN"/>
        </w:rPr>
      </w:pPr>
      <w:r>
        <w:rPr>
          <w:rFonts w:hint="eastAsia" w:ascii="宋体" w:hAnsi="宋体" w:eastAsia="宋体" w:cs="宋体"/>
          <w:bCs/>
          <w:color w:val="000000"/>
          <w:highlight w:val="none"/>
          <w:shd w:val="clear" w:color="auto" w:fill="ffffff"/>
          <w:lang w:eastAsia="zh-CN"/>
        </w:rPr>
        <w:t xml:space="preserve">建筑总面积为7820.06平方米。建筑主体为多层结构，主要功能涵盖办公、会议及配套服务区域。该建筑群投入使用年限较长，部分用能设备老化，能效水平有待提升。目前主要能耗来源包括中央空调系统、照明系统及办公设备等。</w:t>
      </w:r>
      <w:r>
        <w:rPr>
          <w:rFonts w:hint="eastAsia" w:ascii="宋体" w:hAnsi="宋体" w:eastAsia="宋体" w:cs="宋体"/>
          <w:bCs/>
          <w:color w:val="000000"/>
          <w:highlight w:val="none"/>
          <w:shd w:val="clear" w:color="auto" w:fill="ffffff"/>
          <w:lang w:eastAsia="zh-CN"/>
        </w:rPr>
      </w:r>
      <w:r/>
    </w:p>
    <w:p>
      <w:pPr>
        <w:pStyle w:val="984"/>
        <w:ind w:firstLine="480"/>
        <w:keepLines w:val="0"/>
        <w:keepNext w:val="0"/>
        <w:pageBreakBefore w:val="0"/>
        <w:spacing w:line="432" w:lineRule="auto"/>
        <w:rPr>
          <w:rFonts w:ascii="宋体" w:hAnsi="宋体" w:eastAsia="宋体" w:cs="宋体"/>
          <w:b/>
          <w:bCs/>
          <w:color w:val="000000"/>
          <w:highlight w:val="none"/>
        </w:rPr>
        <w:outlineLvl w:val="2"/>
      </w:pPr>
      <w:r>
        <w:rPr>
          <w:rFonts w:hint="eastAsia" w:ascii="宋体" w:hAnsi="宋体" w:eastAsia="宋体" w:cs="宋体"/>
          <w:b/>
          <w:bCs/>
          <w:color w:val="000000"/>
          <w:highlight w:val="none"/>
        </w:rPr>
        <w:t xml:space="preserve">2.空调系统</w:t>
      </w:r>
      <w:r>
        <w:rPr>
          <w:rFonts w:ascii="宋体" w:hAnsi="宋体" w:eastAsia="宋体" w:cs="宋体"/>
          <w:b/>
          <w:bCs/>
          <w:color w:val="000000"/>
          <w:highlight w:val="none"/>
        </w:rPr>
      </w:r>
      <w:r/>
    </w:p>
    <w:p>
      <w:pPr>
        <w:pStyle w:val="984"/>
        <w:ind w:firstLine="420"/>
        <w:keepLines w:val="0"/>
        <w:keepNext w:val="0"/>
        <w:pageBreakBefore w:val="0"/>
        <w:spacing w:line="432" w:lineRule="auto"/>
        <w:rPr>
          <w:rFonts w:hint="eastAsia" w:ascii="宋体" w:hAnsi="宋体" w:eastAsia="宋体" w:cs="宋体"/>
          <w:bCs/>
          <w:color w:val="000000"/>
          <w:highlight w:val="none"/>
          <w:shd w:val="clear" w:color="auto" w:fill="ffffff"/>
        </w:rPr>
      </w:pPr>
      <w:r>
        <w:rPr>
          <w:rFonts w:hint="eastAsia" w:ascii="宋体" w:hAnsi="宋体" w:eastAsia="宋体" w:cs="宋体"/>
          <w:bCs/>
          <w:color w:val="000000"/>
          <w:highlight w:val="none"/>
          <w:shd w:val="clear" w:color="auto" w:fill="ffffff"/>
        </w:rPr>
        <w:t xml:space="preserve">仪征市城市管理局空调系统主要由分体式空调器和多联式空调机组组成，系统外机安装在建筑墙体外。按照要求，空调系统的供冷室内设定温度为26℃ , 供热室内设定温度为20℃ 。空调供冷期大约为6月到9月，供热期大约为12月至次年3月，空调系统每天运行约9.5h 。</w:t>
      </w:r>
      <w:r>
        <w:rPr>
          <w:rFonts w:hint="eastAsia" w:ascii="宋体" w:hAnsi="宋体" w:eastAsia="宋体" w:cs="宋体"/>
          <w:bCs/>
          <w:color w:val="000000"/>
          <w:highlight w:val="none"/>
          <w:shd w:val="clear" w:color="auto" w:fill="ffffff"/>
        </w:rPr>
      </w:r>
      <w:r/>
    </w:p>
    <w:p>
      <w:pPr>
        <w:pStyle w:val="984"/>
        <w:ind w:left="3316"/>
        <w:pageBreakBefore w:val="0"/>
        <w:spacing w:line="360" w:lineRule="auto"/>
        <w:rPr>
          <w:rFonts w:hint="eastAsia" w:ascii="宋体" w:hAnsi="宋体" w:eastAsia="宋体" w:cs="宋体"/>
          <w:bCs/>
          <w:color w:val="000000"/>
          <w:highlight w:val="none"/>
          <w:shd w:val="clear" w:color="auto" w:fill="ffffff"/>
        </w:rPr>
      </w:pPr>
      <w:r>
        <w:rPr>
          <w:rFonts w:ascii="宋体" w:hAnsi="宋体" w:eastAsia="宋体" w:cs="宋体"/>
          <w:b/>
          <w:bCs/>
          <w:spacing w:val="4"/>
          <w:sz w:val="19"/>
          <w:szCs w:val="19"/>
          <w:highlight w:val="none"/>
        </w:rPr>
        <w:t xml:space="preserve">表</w:t>
      </w:r>
      <w:r>
        <w:rPr>
          <w:rFonts w:ascii="Times New Roman" w:hAnsi="Times New Roman" w:eastAsia="Times New Roman" w:cs="Times New Roman"/>
          <w:b/>
          <w:bCs/>
          <w:spacing w:val="4"/>
          <w:sz w:val="19"/>
          <w:szCs w:val="19"/>
          <w:highlight w:val="none"/>
        </w:rPr>
        <w:t xml:space="preserve">2-</w:t>
      </w:r>
      <w:r>
        <w:rPr>
          <w:rFonts w:hint="eastAsia" w:ascii="Times New Roman" w:hAnsi="Times New Roman" w:eastAsia="宋体" w:cs="Times New Roman"/>
          <w:b/>
          <w:bCs/>
          <w:spacing w:val="4"/>
          <w:sz w:val="19"/>
          <w:szCs w:val="19"/>
          <w:highlight w:val="none"/>
          <w:lang w:val="en-US" w:eastAsia="zh-CN"/>
        </w:rPr>
        <w:t xml:space="preserve">1</w:t>
      </w:r>
      <w:r>
        <w:rPr>
          <w:rFonts w:ascii="Times New Roman" w:hAnsi="Times New Roman" w:eastAsia="Times New Roman" w:cs="Times New Roman"/>
          <w:b/>
          <w:bCs/>
          <w:spacing w:val="4"/>
          <w:sz w:val="19"/>
          <w:szCs w:val="19"/>
          <w:highlight w:val="none"/>
        </w:rPr>
        <w:t xml:space="preserve">  </w:t>
      </w:r>
      <w:r>
        <w:rPr>
          <w:rFonts w:ascii="宋体" w:hAnsi="宋体" w:eastAsia="宋体" w:cs="宋体"/>
          <w:b/>
          <w:bCs/>
          <w:spacing w:val="4"/>
          <w:sz w:val="19"/>
          <w:szCs w:val="19"/>
          <w:highlight w:val="none"/>
        </w:rPr>
        <w:t xml:space="preserve">空调系统设备统计表</w:t>
      </w:r>
      <w:r>
        <w:rPr>
          <w:rFonts w:hint="eastAsia" w:ascii="宋体" w:hAnsi="宋体" w:eastAsia="宋体" w:cs="宋体"/>
          <w:bCs/>
          <w:color w:val="000000"/>
          <w:highlight w:val="none"/>
          <w:shd w:val="clear" w:color="auto" w:fill="ffffff"/>
        </w:rPr>
      </w:r>
      <w:r/>
    </w:p>
    <w:tbl>
      <w:tblPr>
        <w:tblStyle w:val="1070"/>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8"/>
        <w:gridCol w:w="1008"/>
        <w:gridCol w:w="2047"/>
        <w:gridCol w:w="947"/>
        <w:gridCol w:w="956"/>
        <w:gridCol w:w="2687"/>
        <w:gridCol w:w="587"/>
      </w:tblGrid>
      <w:tr>
        <w:trPr>
          <w:trHeight w:val="476"/>
        </w:trPr>
        <w:tc>
          <w:tcPr>
            <w:tcW w:w="349" w:type="dxa"/>
            <w:vAlign w:val="top"/>
            <w:textDirection w:val="lrTb"/>
            <w:noWrap w:val="false"/>
          </w:tcPr>
          <w:p>
            <w:pPr>
              <w:pStyle w:val="1069"/>
              <w:ind w:left="136"/>
              <w:keepLines w:val="0"/>
              <w:keepNext w:val="0"/>
              <w:pageBreakBefore w:val="0"/>
              <w:spacing w:before="146"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6"/>
                <w:sz w:val="18"/>
                <w:szCs w:val="18"/>
                <w:highlight w:val="none"/>
              </w:rPr>
              <w:t xml:space="preserve">序号</w:t>
            </w:r>
            <w:r>
              <w:rPr>
                <w:rFonts w:hint="eastAsia" w:ascii="宋体" w:hAnsi="宋体" w:eastAsia="宋体" w:cs="宋体"/>
                <w:sz w:val="18"/>
                <w:szCs w:val="18"/>
                <w:highlight w:val="none"/>
              </w:rPr>
            </w:r>
            <w:r/>
          </w:p>
        </w:tc>
        <w:tc>
          <w:tcPr>
            <w:tcW w:w="569" w:type="dxa"/>
            <w:vAlign w:val="top"/>
            <w:textDirection w:val="lrTb"/>
            <w:noWrap w:val="false"/>
          </w:tcPr>
          <w:p>
            <w:pPr>
              <w:pStyle w:val="1069"/>
              <w:ind w:left="149"/>
              <w:keepLines w:val="0"/>
              <w:keepNext w:val="0"/>
              <w:pageBreakBefore w:val="0"/>
              <w:spacing w:before="146"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楼栋名称</w:t>
            </w:r>
            <w:r>
              <w:rPr>
                <w:rFonts w:hint="eastAsia" w:ascii="宋体" w:hAnsi="宋体" w:eastAsia="宋体" w:cs="宋体"/>
                <w:sz w:val="18"/>
                <w:szCs w:val="18"/>
                <w:highlight w:val="none"/>
              </w:rPr>
            </w:r>
            <w:r/>
          </w:p>
        </w:tc>
        <w:tc>
          <w:tcPr>
            <w:tcW w:w="1156" w:type="dxa"/>
            <w:vAlign w:val="top"/>
            <w:textDirection w:val="lrTb"/>
            <w:noWrap w:val="false"/>
          </w:tcPr>
          <w:p>
            <w:pPr>
              <w:pStyle w:val="1069"/>
              <w:ind w:left="422"/>
              <w:keepLines w:val="0"/>
              <w:keepNext w:val="0"/>
              <w:pageBreakBefore w:val="0"/>
              <w:spacing w:before="146"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5"/>
                <w:sz w:val="18"/>
                <w:szCs w:val="18"/>
                <w:highlight w:val="none"/>
              </w:rPr>
              <w:t xml:space="preserve">品牌及设备类型</w:t>
            </w:r>
            <w:r>
              <w:rPr>
                <w:rFonts w:hint="eastAsia" w:ascii="宋体" w:hAnsi="宋体" w:eastAsia="宋体" w:cs="宋体"/>
                <w:sz w:val="18"/>
                <w:szCs w:val="18"/>
                <w:highlight w:val="none"/>
              </w:rPr>
            </w:r>
            <w:r/>
          </w:p>
        </w:tc>
        <w:tc>
          <w:tcPr>
            <w:tcW w:w="535" w:type="dxa"/>
            <w:vAlign w:val="top"/>
            <w:textDirection w:val="lrTb"/>
            <w:noWrap w:val="false"/>
          </w:tcPr>
          <w:p>
            <w:pPr>
              <w:pStyle w:val="1069"/>
              <w:ind w:left="125"/>
              <w:keepLines w:val="0"/>
              <w:keepNext w:val="0"/>
              <w:pageBreakBefore w:val="0"/>
              <w:spacing w:before="31"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制热功率</w:t>
            </w:r>
            <w:r>
              <w:rPr>
                <w:rFonts w:hint="eastAsia" w:ascii="宋体" w:hAnsi="宋体" w:eastAsia="宋体" w:cs="宋体"/>
                <w:sz w:val="18"/>
                <w:szCs w:val="18"/>
                <w:highlight w:val="none"/>
              </w:rPr>
            </w:r>
            <w:r/>
          </w:p>
          <w:p>
            <w:pPr>
              <w:pStyle w:val="1069"/>
              <w:ind w:left="173"/>
              <w:keepLines w:val="0"/>
              <w:keepNext w:val="0"/>
              <w:pageBreakBefore w:val="0"/>
              <w:spacing w:before="18"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6"/>
                <w:sz w:val="18"/>
                <w:szCs w:val="18"/>
                <w:highlight w:val="none"/>
              </w:rPr>
              <w:t xml:space="preserve">（kW）</w:t>
            </w:r>
            <w:r>
              <w:rPr>
                <w:rFonts w:hint="eastAsia" w:ascii="宋体" w:hAnsi="宋体" w:eastAsia="宋体" w:cs="宋体"/>
                <w:sz w:val="18"/>
                <w:szCs w:val="18"/>
                <w:highlight w:val="none"/>
              </w:rPr>
            </w:r>
            <w:r/>
          </w:p>
        </w:tc>
        <w:tc>
          <w:tcPr>
            <w:tcW w:w="540" w:type="dxa"/>
            <w:vAlign w:val="top"/>
            <w:textDirection w:val="lrTb"/>
            <w:noWrap w:val="false"/>
          </w:tcPr>
          <w:p>
            <w:pPr>
              <w:pStyle w:val="1069"/>
              <w:ind w:left="130"/>
              <w:keepLines w:val="0"/>
              <w:keepNext w:val="0"/>
              <w:pageBreakBefore w:val="0"/>
              <w:spacing w:before="31"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制冷功率</w:t>
            </w:r>
            <w:r>
              <w:rPr>
                <w:rFonts w:hint="eastAsia" w:ascii="宋体" w:hAnsi="宋体" w:eastAsia="宋体" w:cs="宋体"/>
                <w:sz w:val="18"/>
                <w:szCs w:val="18"/>
                <w:highlight w:val="none"/>
              </w:rPr>
            </w:r>
            <w:r/>
          </w:p>
          <w:p>
            <w:pPr>
              <w:pStyle w:val="1069"/>
              <w:ind w:left="177"/>
              <w:keepLines w:val="0"/>
              <w:keepNext w:val="0"/>
              <w:pageBreakBefore w:val="0"/>
              <w:spacing w:before="18"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6"/>
                <w:sz w:val="18"/>
                <w:szCs w:val="18"/>
                <w:highlight w:val="none"/>
              </w:rPr>
              <w:t xml:space="preserve">（kW）</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1005"/>
              <w:keepLines w:val="0"/>
              <w:keepNext w:val="0"/>
              <w:pageBreakBefore w:val="0"/>
              <w:spacing w:before="146"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规格型号</w:t>
            </w:r>
            <w:r>
              <w:rPr>
                <w:rFonts w:hint="eastAsia" w:ascii="宋体" w:hAnsi="宋体" w:eastAsia="宋体" w:cs="宋体"/>
                <w:sz w:val="18"/>
                <w:szCs w:val="18"/>
                <w:highlight w:val="none"/>
              </w:rPr>
            </w:r>
            <w:r/>
          </w:p>
        </w:tc>
        <w:tc>
          <w:tcPr>
            <w:tcW w:w="331" w:type="dxa"/>
            <w:vAlign w:val="top"/>
            <w:textDirection w:val="lrTb"/>
            <w:noWrap w:val="false"/>
          </w:tcPr>
          <w:p>
            <w:pPr>
              <w:pStyle w:val="1069"/>
              <w:ind w:left="122"/>
              <w:keepLines w:val="0"/>
              <w:keepNext w:val="0"/>
              <w:pageBreakBefore w:val="0"/>
              <w:spacing w:before="146"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7"/>
                <w:sz w:val="18"/>
                <w:szCs w:val="18"/>
                <w:highlight w:val="none"/>
              </w:rPr>
              <w:t xml:space="preserve">数量</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87"/>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569" w:type="dxa"/>
            <w:vAlign w:val="top"/>
            <w:vMerge w:val="restart"/>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69"/>
              <w:ind w:left="421" w:right="149" w:hanging="268"/>
              <w:keepLines w:val="0"/>
              <w:keepNext w:val="0"/>
              <w:pageBreakBefore w:val="0"/>
              <w:spacing w:before="58"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服务中心</w:t>
            </w:r>
            <w:r>
              <w:rPr>
                <w:rFonts w:hint="eastAsia" w:ascii="宋体" w:hAnsi="宋体" w:eastAsia="宋体" w:cs="宋体"/>
                <w:sz w:val="18"/>
                <w:szCs w:val="18"/>
                <w:highlight w:val="none"/>
              </w:rPr>
              <w:t xml:space="preserve">楼</w:t>
            </w: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1"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三菱，风冷（外）</w:t>
            </w:r>
            <w:r>
              <w:rPr>
                <w:rFonts w:hint="eastAsia" w:ascii="宋体" w:hAnsi="宋体" w:eastAsia="宋体" w:cs="宋体"/>
                <w:sz w:val="18"/>
                <w:szCs w:val="18"/>
                <w:highlight w:val="none"/>
              </w:rPr>
            </w:r>
            <w:r/>
          </w:p>
        </w:tc>
        <w:tc>
          <w:tcPr>
            <w:tcW w:w="535" w:type="dxa"/>
            <w:vAlign w:val="top"/>
            <w:textDirection w:val="lrTb"/>
            <w:noWrap w:val="false"/>
          </w:tcPr>
          <w:p>
            <w:pPr>
              <w:pStyle w:val="984"/>
              <w:ind w:left="393"/>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73</w:t>
            </w:r>
            <w:r>
              <w:rPr>
                <w:rFonts w:hint="eastAsia" w:ascii="宋体" w:hAnsi="宋体" w:eastAsia="宋体" w:cs="宋体"/>
                <w:sz w:val="18"/>
                <w:szCs w:val="18"/>
                <w:highlight w:val="none"/>
              </w:rPr>
            </w:r>
            <w:r/>
          </w:p>
        </w:tc>
        <w:tc>
          <w:tcPr>
            <w:tcW w:w="540" w:type="dxa"/>
            <w:vAlign w:val="top"/>
            <w:textDirection w:val="lrTb"/>
            <w:noWrap w:val="false"/>
          </w:tcPr>
          <w:p>
            <w:pPr>
              <w:pStyle w:val="984"/>
              <w:ind w:left="401"/>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68</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58"/>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FDC680KXE6Q</w:t>
            </w:r>
            <w:r>
              <w:rPr>
                <w:rFonts w:hint="eastAsia" w:ascii="宋体" w:hAnsi="宋体" w:eastAsia="宋体" w:cs="宋体"/>
                <w:sz w:val="18"/>
                <w:szCs w:val="18"/>
                <w:highlight w:val="none"/>
              </w:rPr>
            </w:r>
            <w:r/>
          </w:p>
        </w:tc>
        <w:tc>
          <w:tcPr>
            <w:tcW w:w="331" w:type="dxa"/>
            <w:vAlign w:val="top"/>
            <w:textDirection w:val="lrTb"/>
            <w:noWrap w:val="false"/>
          </w:tcPr>
          <w:p>
            <w:pPr>
              <w:pStyle w:val="984"/>
              <w:ind w:left="271"/>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70"/>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三菱，风冷（外）</w:t>
            </w:r>
            <w:r>
              <w:rPr>
                <w:rFonts w:hint="eastAsia" w:ascii="宋体" w:hAnsi="宋体" w:eastAsia="宋体" w:cs="宋体"/>
                <w:sz w:val="18"/>
                <w:szCs w:val="18"/>
                <w:highlight w:val="none"/>
              </w:rPr>
            </w:r>
            <w:r/>
          </w:p>
        </w:tc>
        <w:tc>
          <w:tcPr>
            <w:tcW w:w="535" w:type="dxa"/>
            <w:vAlign w:val="top"/>
            <w:textDirection w:val="lrTb"/>
            <w:noWrap w:val="false"/>
          </w:tcPr>
          <w:p>
            <w:pPr>
              <w:pStyle w:val="984"/>
              <w:ind w:left="393"/>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73</w:t>
            </w:r>
            <w:r>
              <w:rPr>
                <w:rFonts w:hint="eastAsia" w:ascii="宋体" w:hAnsi="宋体" w:eastAsia="宋体" w:cs="宋体"/>
                <w:sz w:val="18"/>
                <w:szCs w:val="18"/>
                <w:highlight w:val="none"/>
              </w:rPr>
            </w:r>
            <w:r/>
          </w:p>
        </w:tc>
        <w:tc>
          <w:tcPr>
            <w:tcW w:w="540" w:type="dxa"/>
            <w:vAlign w:val="top"/>
            <w:textDirection w:val="lrTb"/>
            <w:noWrap w:val="false"/>
          </w:tcPr>
          <w:p>
            <w:pPr>
              <w:pStyle w:val="984"/>
              <w:ind w:left="401"/>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68</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58"/>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FDC680KXE6Q</w:t>
            </w:r>
            <w:r>
              <w:rPr>
                <w:rFonts w:hint="eastAsia" w:ascii="宋体" w:hAnsi="宋体" w:eastAsia="宋体" w:cs="宋体"/>
                <w:sz w:val="18"/>
                <w:szCs w:val="18"/>
                <w:highlight w:val="none"/>
              </w:rPr>
            </w:r>
            <w:r/>
          </w:p>
        </w:tc>
        <w:tc>
          <w:tcPr>
            <w:tcW w:w="331" w:type="dxa"/>
            <w:vAlign w:val="top"/>
            <w:textDirection w:val="lrTb"/>
            <w:noWrap w:val="false"/>
          </w:tcPr>
          <w:p>
            <w:pPr>
              <w:pStyle w:val="984"/>
              <w:ind w:left="271"/>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73"/>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440"/>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540" w:type="dxa"/>
            <w:vAlign w:val="top"/>
            <w:textDirection w:val="lrTb"/>
            <w:noWrap w:val="false"/>
          </w:tcPr>
          <w:p>
            <w:pPr>
              <w:pStyle w:val="984"/>
              <w:ind w:left="37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4.5</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72"/>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FDT45（四向嵌顶式）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71"/>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69"/>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443"/>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w:t>
            </w:r>
            <w:r>
              <w:rPr>
                <w:rFonts w:hint="eastAsia" w:ascii="宋体" w:hAnsi="宋体" w:eastAsia="宋体" w:cs="宋体"/>
                <w:sz w:val="18"/>
                <w:szCs w:val="18"/>
                <w:highlight w:val="none"/>
              </w:rPr>
            </w:r>
            <w:r/>
          </w:p>
        </w:tc>
        <w:tc>
          <w:tcPr>
            <w:tcW w:w="540" w:type="dxa"/>
            <w:vAlign w:val="top"/>
            <w:textDirection w:val="lrTb"/>
            <w:noWrap w:val="false"/>
          </w:tcPr>
          <w:p>
            <w:pPr>
              <w:pStyle w:val="984"/>
              <w:ind w:left="376"/>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7.</w:t>
            </w:r>
            <w:r>
              <w:rPr>
                <w:rFonts w:hint="eastAsia" w:ascii="宋体" w:hAnsi="宋体" w:eastAsia="宋体" w:cs="宋体"/>
                <w:spacing w:val="-24"/>
                <w:sz w:val="18"/>
                <w:szCs w:val="18"/>
                <w:highlight w:val="none"/>
              </w:rPr>
              <w:t xml:space="preserve"> </w:t>
            </w:r>
            <w:r>
              <w:rPr>
                <w:rFonts w:hint="eastAsia" w:ascii="宋体" w:hAnsi="宋体" w:eastAsia="宋体" w:cs="宋体"/>
                <w:spacing w:val="-2"/>
                <w:sz w:val="18"/>
                <w:szCs w:val="18"/>
                <w:highlight w:val="none"/>
              </w:rPr>
              <w:t xml:space="preserve">1</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72"/>
              <w:keepLines w:val="0"/>
              <w:keepNext w:val="0"/>
              <w:pageBreakBefore w:val="0"/>
              <w:spacing w:before="12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FDT71（四向嵌顶式）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8"/>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75"/>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1"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407"/>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10</w:t>
            </w:r>
            <w:r>
              <w:rPr>
                <w:rFonts w:hint="eastAsia" w:ascii="宋体" w:hAnsi="宋体" w:eastAsia="宋体" w:cs="宋体"/>
                <w:sz w:val="18"/>
                <w:szCs w:val="18"/>
                <w:highlight w:val="none"/>
              </w:rPr>
            </w:r>
            <w:r/>
          </w:p>
        </w:tc>
        <w:tc>
          <w:tcPr>
            <w:tcW w:w="540" w:type="dxa"/>
            <w:vAlign w:val="top"/>
            <w:textDirection w:val="lrTb"/>
            <w:noWrap w:val="false"/>
          </w:tcPr>
          <w:p>
            <w:pPr>
              <w:pStyle w:val="984"/>
              <w:ind w:left="444"/>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72"/>
              <w:keepLines w:val="0"/>
              <w:keepNext w:val="0"/>
              <w:pageBreakBefore w:val="0"/>
              <w:spacing w:before="121"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FDT96（四向嵌顶式）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26"/>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10</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74"/>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34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12.5</w:t>
            </w:r>
            <w:r>
              <w:rPr>
                <w:rFonts w:hint="eastAsia" w:ascii="宋体" w:hAnsi="宋体" w:eastAsia="宋体" w:cs="宋体"/>
                <w:sz w:val="18"/>
                <w:szCs w:val="18"/>
                <w:highlight w:val="none"/>
              </w:rPr>
            </w:r>
            <w:r/>
          </w:p>
        </w:tc>
        <w:tc>
          <w:tcPr>
            <w:tcW w:w="540" w:type="dxa"/>
            <w:vAlign w:val="top"/>
            <w:textDirection w:val="lrTb"/>
            <w:noWrap w:val="false"/>
          </w:tcPr>
          <w:p>
            <w:pPr>
              <w:pStyle w:val="984"/>
              <w:ind w:left="347"/>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11.2</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27"/>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FDT112（四向嵌顶式）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4"/>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73"/>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7</w:t>
            </w:r>
            <w:r>
              <w:rPr>
                <w:rFonts w:hint="eastAsia" w:ascii="宋体" w:hAnsi="宋体" w:eastAsia="宋体" w:cs="宋体"/>
                <w:sz w:val="18"/>
                <w:szCs w:val="18"/>
                <w:highlight w:val="none"/>
              </w:rPr>
            </w:r>
            <w:r/>
          </w:p>
        </w:tc>
        <w:tc>
          <w:tcPr>
            <w:tcW w:w="569" w:type="dxa"/>
            <w:vAlign w:val="top"/>
            <w:vMerge w:val="restart"/>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69"/>
              <w:ind w:left="334"/>
              <w:keepLines w:val="0"/>
              <w:keepNext w:val="0"/>
              <w:pageBreakBefore w:val="0"/>
              <w:spacing w:before="58" w:line="240" w:lineRule="auto"/>
              <w:widowControl w:val="off"/>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主楼</w:t>
            </w: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三菱，风冷（外）</w:t>
            </w:r>
            <w:r>
              <w:rPr>
                <w:rFonts w:hint="eastAsia" w:ascii="宋体" w:hAnsi="宋体" w:eastAsia="宋体" w:cs="宋体"/>
                <w:sz w:val="18"/>
                <w:szCs w:val="18"/>
                <w:highlight w:val="none"/>
              </w:rPr>
            </w:r>
            <w:r/>
          </w:p>
        </w:tc>
        <w:tc>
          <w:tcPr>
            <w:tcW w:w="535" w:type="dxa"/>
            <w:vAlign w:val="top"/>
            <w:textDirection w:val="lrTb"/>
            <w:noWrap w:val="false"/>
          </w:tcPr>
          <w:p>
            <w:pPr>
              <w:pStyle w:val="984"/>
              <w:ind w:left="393"/>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73</w:t>
            </w:r>
            <w:r>
              <w:rPr>
                <w:rFonts w:hint="eastAsia" w:ascii="宋体" w:hAnsi="宋体" w:eastAsia="宋体" w:cs="宋体"/>
                <w:sz w:val="18"/>
                <w:szCs w:val="18"/>
                <w:highlight w:val="none"/>
              </w:rPr>
            </w:r>
            <w:r/>
          </w:p>
        </w:tc>
        <w:tc>
          <w:tcPr>
            <w:tcW w:w="540" w:type="dxa"/>
            <w:vAlign w:val="top"/>
            <w:textDirection w:val="lrTb"/>
            <w:noWrap w:val="false"/>
          </w:tcPr>
          <w:p>
            <w:pPr>
              <w:pStyle w:val="984"/>
              <w:ind w:left="401"/>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68</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58"/>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FDC680KXE6Q</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9"/>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77"/>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三菱，风冷（外）</w:t>
            </w:r>
            <w:r>
              <w:rPr>
                <w:rFonts w:hint="eastAsia" w:ascii="宋体" w:hAnsi="宋体" w:eastAsia="宋体" w:cs="宋体"/>
                <w:sz w:val="18"/>
                <w:szCs w:val="18"/>
                <w:highlight w:val="none"/>
              </w:rPr>
            </w:r>
            <w:r/>
          </w:p>
        </w:tc>
        <w:tc>
          <w:tcPr>
            <w:tcW w:w="535" w:type="dxa"/>
            <w:vAlign w:val="top"/>
            <w:textDirection w:val="lrTb"/>
            <w:noWrap w:val="false"/>
          </w:tcPr>
          <w:p>
            <w:pPr>
              <w:pStyle w:val="984"/>
              <w:ind w:left="395"/>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50</w:t>
            </w:r>
            <w:r>
              <w:rPr>
                <w:rFonts w:hint="eastAsia" w:ascii="宋体" w:hAnsi="宋体" w:eastAsia="宋体" w:cs="宋体"/>
                <w:sz w:val="18"/>
                <w:szCs w:val="18"/>
                <w:highlight w:val="none"/>
              </w:rPr>
            </w:r>
            <w:r/>
          </w:p>
        </w:tc>
        <w:tc>
          <w:tcPr>
            <w:tcW w:w="540" w:type="dxa"/>
            <w:vAlign w:val="top"/>
            <w:textDirection w:val="lrTb"/>
            <w:noWrap w:val="false"/>
          </w:tcPr>
          <w:p>
            <w:pPr>
              <w:pStyle w:val="984"/>
              <w:ind w:left="396"/>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45</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58"/>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FDC450KXE6Q</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3"/>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73"/>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1"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三菱，风冷（外）</w:t>
            </w:r>
            <w:r>
              <w:rPr>
                <w:rFonts w:hint="eastAsia" w:ascii="宋体" w:hAnsi="宋体" w:eastAsia="宋体" w:cs="宋体"/>
                <w:sz w:val="18"/>
                <w:szCs w:val="18"/>
                <w:highlight w:val="none"/>
              </w:rPr>
            </w:r>
            <w:r/>
          </w:p>
        </w:tc>
        <w:tc>
          <w:tcPr>
            <w:tcW w:w="535" w:type="dxa"/>
            <w:vAlign w:val="top"/>
            <w:textDirection w:val="lrTb"/>
            <w:noWrap w:val="false"/>
          </w:tcPr>
          <w:p>
            <w:pPr>
              <w:pStyle w:val="984"/>
              <w:ind w:left="394"/>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69</w:t>
            </w:r>
            <w:r>
              <w:rPr>
                <w:rFonts w:hint="eastAsia" w:ascii="宋体" w:hAnsi="宋体" w:eastAsia="宋体" w:cs="宋体"/>
                <w:sz w:val="18"/>
                <w:szCs w:val="18"/>
                <w:highlight w:val="none"/>
              </w:rPr>
            </w:r>
            <w:r/>
          </w:p>
        </w:tc>
        <w:tc>
          <w:tcPr>
            <w:tcW w:w="540" w:type="dxa"/>
            <w:vAlign w:val="top"/>
            <w:textDirection w:val="lrTb"/>
            <w:noWrap w:val="false"/>
          </w:tcPr>
          <w:p>
            <w:pPr>
              <w:pStyle w:val="984"/>
              <w:ind w:left="334"/>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61.5</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58"/>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FDC615KXE6Q</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4"/>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4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10</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三菱，风冷（外）</w:t>
            </w:r>
            <w:r>
              <w:rPr>
                <w:rFonts w:hint="eastAsia" w:ascii="宋体" w:hAnsi="宋体" w:eastAsia="宋体" w:cs="宋体"/>
                <w:sz w:val="18"/>
                <w:szCs w:val="18"/>
                <w:highlight w:val="none"/>
              </w:rPr>
            </w:r>
            <w:r/>
          </w:p>
        </w:tc>
        <w:tc>
          <w:tcPr>
            <w:tcW w:w="535" w:type="dxa"/>
            <w:vAlign w:val="top"/>
            <w:textDirection w:val="lrTb"/>
            <w:noWrap w:val="false"/>
          </w:tcPr>
          <w:p>
            <w:pPr>
              <w:pStyle w:val="984"/>
              <w:ind w:left="394"/>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63</w:t>
            </w:r>
            <w:r>
              <w:rPr>
                <w:rFonts w:hint="eastAsia" w:ascii="宋体" w:hAnsi="宋体" w:eastAsia="宋体" w:cs="宋体"/>
                <w:sz w:val="18"/>
                <w:szCs w:val="18"/>
                <w:highlight w:val="none"/>
              </w:rPr>
            </w:r>
            <w:r/>
          </w:p>
        </w:tc>
        <w:tc>
          <w:tcPr>
            <w:tcW w:w="540" w:type="dxa"/>
            <w:vAlign w:val="top"/>
            <w:textDirection w:val="lrTb"/>
            <w:noWrap w:val="false"/>
          </w:tcPr>
          <w:p>
            <w:pPr>
              <w:pStyle w:val="984"/>
              <w:ind w:left="40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56</w:t>
            </w:r>
            <w:r>
              <w:rPr>
                <w:rFonts w:hint="eastAsia" w:ascii="宋体" w:hAnsi="宋体" w:eastAsia="宋体" w:cs="宋体"/>
                <w:sz w:val="18"/>
                <w:szCs w:val="18"/>
                <w:highlight w:val="none"/>
              </w:rPr>
            </w:r>
            <w:r/>
          </w:p>
        </w:tc>
        <w:tc>
          <w:tcPr>
            <w:tcW w:w="1517" w:type="dxa"/>
            <w:vAlign w:val="top"/>
            <w:textDirection w:val="lrTb"/>
            <w:noWrap w:val="false"/>
          </w:tcPr>
          <w:p>
            <w:pPr>
              <w:pStyle w:val="984"/>
              <w:ind w:left="66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FDC560KXE6Q-K</w:t>
            </w:r>
            <w:r>
              <w:rPr>
                <w:rFonts w:hint="eastAsia" w:ascii="宋体" w:hAnsi="宋体" w:eastAsia="宋体" w:cs="宋体"/>
                <w:sz w:val="18"/>
                <w:szCs w:val="18"/>
                <w:highlight w:val="none"/>
              </w:rPr>
            </w:r>
            <w:r/>
          </w:p>
        </w:tc>
        <w:tc>
          <w:tcPr>
            <w:tcW w:w="331" w:type="dxa"/>
            <w:vAlign w:val="top"/>
            <w:textDirection w:val="lrTb"/>
            <w:noWrap w:val="false"/>
          </w:tcPr>
          <w:p>
            <w:pPr>
              <w:pStyle w:val="984"/>
              <w:ind w:left="271"/>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4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11</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440"/>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540" w:type="dxa"/>
            <w:vAlign w:val="top"/>
            <w:textDirection w:val="lrTb"/>
            <w:noWrap w:val="false"/>
          </w:tcPr>
          <w:p>
            <w:pPr>
              <w:pStyle w:val="984"/>
              <w:ind w:left="37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4.5</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72"/>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FDT45（四向嵌顶式）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18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131</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42"/>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12</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372"/>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6.3</w:t>
            </w:r>
            <w:r>
              <w:rPr>
                <w:rFonts w:hint="eastAsia" w:ascii="宋体" w:hAnsi="宋体" w:eastAsia="宋体" w:cs="宋体"/>
                <w:sz w:val="18"/>
                <w:szCs w:val="18"/>
                <w:highlight w:val="none"/>
              </w:rPr>
            </w:r>
            <w:r/>
          </w:p>
        </w:tc>
        <w:tc>
          <w:tcPr>
            <w:tcW w:w="540" w:type="dxa"/>
            <w:vAlign w:val="top"/>
            <w:textDirection w:val="lrTb"/>
            <w:noWrap w:val="false"/>
          </w:tcPr>
          <w:p>
            <w:pPr>
              <w:pStyle w:val="984"/>
              <w:ind w:left="378"/>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5.6</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72"/>
              <w:keepLines w:val="0"/>
              <w:keepNext w:val="0"/>
              <w:pageBreakBefore w:val="0"/>
              <w:spacing w:before="12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FDT56（四向嵌顶式）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7"/>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rPr>
                <w:rFonts w:hint="eastAsia" w:ascii="宋体" w:hAnsi="宋体" w:eastAsia="宋体" w:cs="宋体"/>
                <w:sz w:val="18"/>
                <w:szCs w:val="18"/>
                <w:highlight w:val="none"/>
              </w:rPr>
            </w:r>
            <w:r/>
          </w:p>
        </w:tc>
      </w:tr>
      <w:tr>
        <w:trPr>
          <w:trHeight w:val="429"/>
        </w:trPr>
        <w:tc>
          <w:tcPr>
            <w:tcW w:w="349" w:type="dxa"/>
            <w:vAlign w:val="top"/>
            <w:textDirection w:val="lrTb"/>
            <w:noWrap w:val="false"/>
          </w:tcPr>
          <w:p>
            <w:pPr>
              <w:pStyle w:val="984"/>
              <w:ind w:left="242"/>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13</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1"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407"/>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10</w:t>
            </w:r>
            <w:r>
              <w:rPr>
                <w:rFonts w:hint="eastAsia" w:ascii="宋体" w:hAnsi="宋体" w:eastAsia="宋体" w:cs="宋体"/>
                <w:sz w:val="18"/>
                <w:szCs w:val="18"/>
                <w:highlight w:val="none"/>
              </w:rPr>
            </w:r>
            <w:r/>
          </w:p>
        </w:tc>
        <w:tc>
          <w:tcPr>
            <w:tcW w:w="540" w:type="dxa"/>
            <w:vAlign w:val="top"/>
            <w:textDirection w:val="lrTb"/>
            <w:noWrap w:val="false"/>
          </w:tcPr>
          <w:p>
            <w:pPr>
              <w:pStyle w:val="984"/>
              <w:ind w:left="444"/>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72"/>
              <w:keepLines w:val="0"/>
              <w:keepNext w:val="0"/>
              <w:pageBreakBefore w:val="0"/>
              <w:spacing w:before="121"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FDT90（四向嵌顶式）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26"/>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17</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42"/>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14</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342"/>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12.5</w:t>
            </w:r>
            <w:r>
              <w:rPr>
                <w:rFonts w:hint="eastAsia" w:ascii="宋体" w:hAnsi="宋体" w:eastAsia="宋体" w:cs="宋体"/>
                <w:sz w:val="18"/>
                <w:szCs w:val="18"/>
                <w:highlight w:val="none"/>
              </w:rPr>
            </w:r>
            <w:r/>
          </w:p>
        </w:tc>
        <w:tc>
          <w:tcPr>
            <w:tcW w:w="540" w:type="dxa"/>
            <w:vAlign w:val="top"/>
            <w:textDirection w:val="lrTb"/>
            <w:noWrap w:val="false"/>
          </w:tcPr>
          <w:p>
            <w:pPr>
              <w:pStyle w:val="984"/>
              <w:ind w:left="347"/>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11.2</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27"/>
              <w:keepLines w:val="0"/>
              <w:keepNext w:val="0"/>
              <w:pageBreakBefore w:val="0"/>
              <w:spacing w:before="12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FDT112（四向嵌顶式）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26"/>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11</w:t>
            </w:r>
            <w:r>
              <w:rPr>
                <w:rFonts w:hint="eastAsia" w:ascii="宋体" w:hAnsi="宋体" w:eastAsia="宋体" w:cs="宋体"/>
                <w:sz w:val="18"/>
                <w:szCs w:val="18"/>
                <w:highlight w:val="none"/>
              </w:rPr>
            </w:r>
            <w:r/>
          </w:p>
        </w:tc>
      </w:tr>
      <w:tr>
        <w:trPr>
          <w:trHeight w:val="429"/>
        </w:trPr>
        <w:tc>
          <w:tcPr>
            <w:tcW w:w="349" w:type="dxa"/>
            <w:vAlign w:val="top"/>
            <w:textDirection w:val="lrTb"/>
            <w:noWrap w:val="false"/>
          </w:tcPr>
          <w:p>
            <w:pPr>
              <w:pStyle w:val="984"/>
              <w:ind w:left="242"/>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15</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407"/>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16</w:t>
            </w:r>
            <w:r>
              <w:rPr>
                <w:rFonts w:hint="eastAsia" w:ascii="宋体" w:hAnsi="宋体" w:eastAsia="宋体" w:cs="宋体"/>
                <w:sz w:val="18"/>
                <w:szCs w:val="18"/>
                <w:highlight w:val="none"/>
              </w:rPr>
            </w:r>
            <w:r/>
          </w:p>
        </w:tc>
        <w:tc>
          <w:tcPr>
            <w:tcW w:w="540" w:type="dxa"/>
            <w:vAlign w:val="top"/>
            <w:textDirection w:val="lrTb"/>
            <w:noWrap w:val="false"/>
          </w:tcPr>
          <w:p>
            <w:pPr>
              <w:pStyle w:val="984"/>
              <w:ind w:left="414"/>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14</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27"/>
              <w:keepLines w:val="0"/>
              <w:keepNext w:val="0"/>
              <w:pageBreakBefore w:val="0"/>
              <w:spacing w:before="12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FDT140（四向嵌顶式）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7"/>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7</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42"/>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16</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321"/>
              <w:keepLines w:val="0"/>
              <w:keepNext w:val="0"/>
              <w:pageBreakBefore w:val="0"/>
              <w:spacing w:before="12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三菱，风冷（内）</w:t>
            </w:r>
            <w:r>
              <w:rPr>
                <w:rFonts w:hint="eastAsia" w:ascii="宋体" w:hAnsi="宋体" w:eastAsia="宋体" w:cs="宋体"/>
                <w:sz w:val="18"/>
                <w:szCs w:val="18"/>
                <w:highlight w:val="none"/>
              </w:rPr>
            </w:r>
            <w:r/>
          </w:p>
        </w:tc>
        <w:tc>
          <w:tcPr>
            <w:tcW w:w="535" w:type="dxa"/>
            <w:vAlign w:val="top"/>
            <w:textDirection w:val="lrTb"/>
            <w:noWrap w:val="false"/>
          </w:tcPr>
          <w:p>
            <w:pPr>
              <w:pStyle w:val="984"/>
              <w:ind w:left="407"/>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18</w:t>
            </w:r>
            <w:r>
              <w:rPr>
                <w:rFonts w:hint="eastAsia" w:ascii="宋体" w:hAnsi="宋体" w:eastAsia="宋体" w:cs="宋体"/>
                <w:sz w:val="18"/>
                <w:szCs w:val="18"/>
                <w:highlight w:val="none"/>
              </w:rPr>
            </w:r>
            <w:r/>
          </w:p>
        </w:tc>
        <w:tc>
          <w:tcPr>
            <w:tcW w:w="540" w:type="dxa"/>
            <w:vAlign w:val="top"/>
            <w:textDirection w:val="lrTb"/>
            <w:noWrap w:val="false"/>
          </w:tcPr>
          <w:p>
            <w:pPr>
              <w:pStyle w:val="984"/>
              <w:ind w:left="414"/>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16</w:t>
            </w:r>
            <w:r>
              <w:rPr>
                <w:rFonts w:hint="eastAsia" w:ascii="宋体" w:hAnsi="宋体" w:eastAsia="宋体" w:cs="宋体"/>
                <w:sz w:val="18"/>
                <w:szCs w:val="18"/>
                <w:highlight w:val="none"/>
              </w:rPr>
            </w:r>
            <w:r/>
          </w:p>
        </w:tc>
        <w:tc>
          <w:tcPr>
            <w:tcW w:w="1517" w:type="dxa"/>
            <w:vAlign w:val="top"/>
            <w:textDirection w:val="lrTb"/>
            <w:noWrap w:val="false"/>
          </w:tcPr>
          <w:p>
            <w:pPr>
              <w:pStyle w:val="1069"/>
              <w:ind w:left="427"/>
              <w:keepLines w:val="0"/>
              <w:keepNext w:val="0"/>
              <w:pageBreakBefore w:val="0"/>
              <w:spacing w:before="12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FDT160（四向嵌顶式）</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4"/>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r>
      <w:tr>
        <w:trPr>
          <w:trHeight w:val="429"/>
        </w:trPr>
        <w:tc>
          <w:tcPr>
            <w:tcW w:w="349" w:type="dxa"/>
            <w:vAlign w:val="top"/>
            <w:textDirection w:val="lrTb"/>
            <w:noWrap w:val="false"/>
          </w:tcPr>
          <w:p>
            <w:pPr>
              <w:pStyle w:val="984"/>
              <w:ind w:left="242"/>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17</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681"/>
              <w:keepLines w:val="0"/>
              <w:keepNext w:val="0"/>
              <w:pageBreakBefore w:val="0"/>
              <w:spacing w:before="123"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格力立式</w:t>
            </w:r>
            <w:r>
              <w:rPr>
                <w:rFonts w:hint="eastAsia" w:ascii="宋体" w:hAnsi="宋体" w:eastAsia="宋体" w:cs="宋体"/>
                <w:sz w:val="18"/>
                <w:szCs w:val="18"/>
                <w:highlight w:val="none"/>
              </w:rPr>
            </w:r>
            <w:r/>
          </w:p>
        </w:tc>
        <w:tc>
          <w:tcPr>
            <w:tcW w:w="535" w:type="dxa"/>
            <w:vAlign w:val="top"/>
            <w:textDirection w:val="lrTb"/>
            <w:noWrap w:val="false"/>
          </w:tcPr>
          <w:p>
            <w:pPr>
              <w:pStyle w:val="984"/>
              <w:ind w:left="329"/>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9.75</w:t>
            </w:r>
            <w:r>
              <w:rPr>
                <w:rFonts w:hint="eastAsia" w:ascii="宋体" w:hAnsi="宋体" w:eastAsia="宋体" w:cs="宋体"/>
                <w:sz w:val="18"/>
                <w:szCs w:val="18"/>
                <w:highlight w:val="none"/>
              </w:rPr>
            </w:r>
            <w:r/>
          </w:p>
        </w:tc>
        <w:tc>
          <w:tcPr>
            <w:tcW w:w="540" w:type="dxa"/>
            <w:vAlign w:val="top"/>
            <w:textDirection w:val="lrTb"/>
            <w:noWrap w:val="false"/>
          </w:tcPr>
          <w:p>
            <w:pPr>
              <w:pStyle w:val="984"/>
              <w:ind w:left="376"/>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7.3</w:t>
            </w:r>
            <w:r>
              <w:rPr>
                <w:rFonts w:hint="eastAsia" w:ascii="宋体" w:hAnsi="宋体" w:eastAsia="宋体" w:cs="宋体"/>
                <w:sz w:val="18"/>
                <w:szCs w:val="18"/>
                <w:highlight w:val="none"/>
              </w:rPr>
            </w:r>
            <w:r/>
          </w:p>
        </w:tc>
        <w:tc>
          <w:tcPr>
            <w:tcW w:w="1517" w:type="dxa"/>
            <w:vAlign w:val="top"/>
            <w:textDirection w:val="lrTb"/>
            <w:noWrap w:val="false"/>
          </w:tcPr>
          <w:p>
            <w:pPr>
              <w:pStyle w:val="984"/>
              <w:ind w:left="117"/>
              <w:keepLines w:val="0"/>
              <w:keepNext w:val="0"/>
              <w:pageBreakBefore w:val="0"/>
              <w:spacing w:before="151"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KFR-72LW/(72547)FNhAa-</w:t>
            </w:r>
            <w:r>
              <w:rPr>
                <w:rFonts w:hint="eastAsia" w:ascii="宋体" w:hAnsi="宋体" w:eastAsia="宋体" w:cs="宋体"/>
                <w:spacing w:val="-1"/>
                <w:sz w:val="18"/>
                <w:szCs w:val="18"/>
                <w:highlight w:val="none"/>
              </w:rPr>
              <w:t xml:space="preserve">A1(J)</w:t>
            </w:r>
            <w:r>
              <w:rPr>
                <w:rFonts w:hint="eastAsia" w:ascii="宋体" w:hAnsi="宋体" w:eastAsia="宋体" w:cs="宋体"/>
                <w:sz w:val="18"/>
                <w:szCs w:val="18"/>
                <w:highlight w:val="none"/>
              </w:rPr>
            </w:r>
            <w:r/>
          </w:p>
        </w:tc>
        <w:tc>
          <w:tcPr>
            <w:tcW w:w="331" w:type="dxa"/>
            <w:vAlign w:val="top"/>
            <w:textDirection w:val="lrTb"/>
            <w:noWrap w:val="false"/>
          </w:tcPr>
          <w:p>
            <w:pPr>
              <w:pStyle w:val="984"/>
              <w:ind w:left="271"/>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42"/>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18</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681"/>
              <w:keepLines w:val="0"/>
              <w:keepNext w:val="0"/>
              <w:pageBreakBefore w:val="0"/>
              <w:spacing w:before="12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格力立式</w:t>
            </w:r>
            <w:r>
              <w:rPr>
                <w:rFonts w:hint="eastAsia" w:ascii="宋体" w:hAnsi="宋体" w:eastAsia="宋体" w:cs="宋体"/>
                <w:sz w:val="18"/>
                <w:szCs w:val="18"/>
                <w:highlight w:val="none"/>
              </w:rPr>
            </w:r>
            <w:r/>
          </w:p>
        </w:tc>
        <w:tc>
          <w:tcPr>
            <w:tcW w:w="535" w:type="dxa"/>
            <w:vAlign w:val="top"/>
            <w:textDirection w:val="lrTb"/>
            <w:noWrap w:val="false"/>
          </w:tcPr>
          <w:p>
            <w:pPr>
              <w:pStyle w:val="984"/>
              <w:ind w:left="342"/>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12.5</w:t>
            </w:r>
            <w:r>
              <w:rPr>
                <w:rFonts w:hint="eastAsia" w:ascii="宋体" w:hAnsi="宋体" w:eastAsia="宋体" w:cs="宋体"/>
                <w:sz w:val="18"/>
                <w:szCs w:val="18"/>
                <w:highlight w:val="none"/>
              </w:rPr>
            </w:r>
            <w:r/>
          </w:p>
        </w:tc>
        <w:tc>
          <w:tcPr>
            <w:tcW w:w="540" w:type="dxa"/>
            <w:vAlign w:val="top"/>
            <w:textDirection w:val="lrTb"/>
            <w:noWrap w:val="false"/>
          </w:tcPr>
          <w:p>
            <w:pPr>
              <w:pStyle w:val="984"/>
              <w:ind w:left="414"/>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12</w:t>
            </w:r>
            <w:r>
              <w:rPr>
                <w:rFonts w:hint="eastAsia" w:ascii="宋体" w:hAnsi="宋体" w:eastAsia="宋体" w:cs="宋体"/>
                <w:sz w:val="18"/>
                <w:szCs w:val="18"/>
                <w:highlight w:val="none"/>
              </w:rPr>
            </w:r>
            <w:r/>
          </w:p>
        </w:tc>
        <w:tc>
          <w:tcPr>
            <w:tcW w:w="1517" w:type="dxa"/>
            <w:vAlign w:val="top"/>
            <w:textDirection w:val="lrTb"/>
            <w:noWrap w:val="false"/>
          </w:tcPr>
          <w:p>
            <w:pPr>
              <w:pStyle w:val="984"/>
              <w:ind w:left="213"/>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KFR-</w:t>
            </w:r>
            <w:r>
              <w:rPr>
                <w:rFonts w:hint="eastAsia" w:ascii="宋体" w:hAnsi="宋体" w:eastAsia="宋体" w:cs="宋体"/>
                <w:spacing w:val="-24"/>
                <w:sz w:val="18"/>
                <w:szCs w:val="18"/>
                <w:highlight w:val="none"/>
              </w:rPr>
              <w:t xml:space="preserve"> </w:t>
            </w:r>
            <w:r>
              <w:rPr>
                <w:rFonts w:hint="eastAsia" w:ascii="宋体" w:hAnsi="宋体" w:eastAsia="宋体" w:cs="宋体"/>
                <w:spacing w:val="-1"/>
                <w:sz w:val="18"/>
                <w:szCs w:val="18"/>
                <w:highlight w:val="none"/>
              </w:rPr>
              <w:t xml:space="preserve">120LW/E(12568L)A1</w:t>
            </w:r>
            <w:r>
              <w:rPr>
                <w:rFonts w:hint="eastAsia" w:ascii="宋体" w:hAnsi="宋体" w:eastAsia="宋体" w:cs="宋体"/>
                <w:spacing w:val="-2"/>
                <w:sz w:val="18"/>
                <w:szCs w:val="18"/>
                <w:highlight w:val="none"/>
              </w:rPr>
              <w:t xml:space="preserve">-N2</w:t>
            </w:r>
            <w:r>
              <w:rPr>
                <w:rFonts w:hint="eastAsia" w:ascii="宋体" w:hAnsi="宋体" w:eastAsia="宋体" w:cs="宋体"/>
                <w:sz w:val="18"/>
                <w:szCs w:val="18"/>
                <w:highlight w:val="none"/>
              </w:rPr>
            </w:r>
            <w:r/>
          </w:p>
        </w:tc>
        <w:tc>
          <w:tcPr>
            <w:tcW w:w="331" w:type="dxa"/>
            <w:vAlign w:val="top"/>
            <w:textDirection w:val="lrTb"/>
            <w:noWrap w:val="false"/>
          </w:tcPr>
          <w:p>
            <w:pPr>
              <w:pStyle w:val="984"/>
              <w:ind w:left="271"/>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29"/>
        </w:trPr>
        <w:tc>
          <w:tcPr>
            <w:tcW w:w="349" w:type="dxa"/>
            <w:vAlign w:val="top"/>
            <w:textDirection w:val="lrTb"/>
            <w:noWrap w:val="false"/>
          </w:tcPr>
          <w:p>
            <w:pPr>
              <w:pStyle w:val="984"/>
              <w:ind w:left="242"/>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19</w:t>
            </w:r>
            <w:r>
              <w:rPr>
                <w:rFonts w:hint="eastAsia" w:ascii="宋体" w:hAnsi="宋体" w:eastAsia="宋体" w:cs="宋体"/>
                <w:sz w:val="18"/>
                <w:szCs w:val="18"/>
                <w:highlight w:val="none"/>
              </w:rPr>
            </w:r>
            <w:r/>
          </w:p>
        </w:tc>
        <w:tc>
          <w:tcPr>
            <w:tcW w:w="569" w:type="dxa"/>
            <w:vAlign w:val="top"/>
            <w:vMerge w:val="restart"/>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69"/>
              <w:ind w:left="333"/>
              <w:keepLines w:val="0"/>
              <w:keepNext w:val="0"/>
              <w:pageBreakBefore w:val="0"/>
              <w:spacing w:before="59"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食堂</w:t>
            </w:r>
            <w:r>
              <w:rPr>
                <w:rFonts w:hint="eastAsia" w:ascii="宋体" w:hAnsi="宋体" w:eastAsia="宋体" w:cs="宋体"/>
                <w:sz w:val="18"/>
                <w:szCs w:val="18"/>
                <w:highlight w:val="none"/>
              </w:rPr>
            </w:r>
            <w:r/>
          </w:p>
        </w:tc>
        <w:tc>
          <w:tcPr>
            <w:tcW w:w="1156" w:type="dxa"/>
            <w:vAlign w:val="top"/>
            <w:textDirection w:val="lrTb"/>
            <w:noWrap w:val="false"/>
          </w:tcPr>
          <w:p>
            <w:pPr>
              <w:pStyle w:val="1069"/>
              <w:ind w:left="501"/>
              <w:keepLines w:val="0"/>
              <w:keepNext w:val="0"/>
              <w:pageBreakBefore w:val="0"/>
              <w:spacing w:before="12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格力、热泵型</w:t>
            </w:r>
            <w:r>
              <w:rPr>
                <w:rFonts w:hint="eastAsia" w:ascii="宋体" w:hAnsi="宋体" w:eastAsia="宋体" w:cs="宋体"/>
                <w:sz w:val="18"/>
                <w:szCs w:val="18"/>
                <w:highlight w:val="none"/>
              </w:rPr>
            </w:r>
            <w:r/>
          </w:p>
        </w:tc>
        <w:tc>
          <w:tcPr>
            <w:tcW w:w="535" w:type="dxa"/>
            <w:vAlign w:val="top"/>
            <w:textDirection w:val="lrTb"/>
            <w:noWrap w:val="false"/>
          </w:tcPr>
          <w:p>
            <w:pPr>
              <w:pStyle w:val="984"/>
              <w:ind w:left="342"/>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12.5</w:t>
            </w:r>
            <w:r>
              <w:rPr>
                <w:rFonts w:hint="eastAsia" w:ascii="宋体" w:hAnsi="宋体" w:eastAsia="宋体" w:cs="宋体"/>
                <w:sz w:val="18"/>
                <w:szCs w:val="18"/>
                <w:highlight w:val="none"/>
              </w:rPr>
            </w:r>
            <w:r/>
          </w:p>
        </w:tc>
        <w:tc>
          <w:tcPr>
            <w:tcW w:w="540" w:type="dxa"/>
            <w:vAlign w:val="top"/>
            <w:textDirection w:val="lrTb"/>
            <w:noWrap w:val="false"/>
          </w:tcPr>
          <w:p>
            <w:pPr>
              <w:pStyle w:val="984"/>
              <w:ind w:left="414"/>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12</w:t>
            </w:r>
            <w:r>
              <w:rPr>
                <w:rFonts w:hint="eastAsia" w:ascii="宋体" w:hAnsi="宋体" w:eastAsia="宋体" w:cs="宋体"/>
                <w:sz w:val="18"/>
                <w:szCs w:val="18"/>
                <w:highlight w:val="none"/>
              </w:rPr>
            </w:r>
            <w:r/>
          </w:p>
        </w:tc>
        <w:tc>
          <w:tcPr>
            <w:tcW w:w="1517" w:type="dxa"/>
            <w:vAlign w:val="top"/>
            <w:textDirection w:val="lrTb"/>
            <w:noWrap w:val="false"/>
          </w:tcPr>
          <w:p>
            <w:pPr>
              <w:pStyle w:val="984"/>
              <w:ind w:left="213"/>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KFR-</w:t>
            </w:r>
            <w:r>
              <w:rPr>
                <w:rFonts w:hint="eastAsia" w:ascii="宋体" w:hAnsi="宋体" w:eastAsia="宋体" w:cs="宋体"/>
                <w:spacing w:val="-24"/>
                <w:sz w:val="18"/>
                <w:szCs w:val="18"/>
                <w:highlight w:val="none"/>
              </w:rPr>
              <w:t xml:space="preserve"> </w:t>
            </w:r>
            <w:r>
              <w:rPr>
                <w:rFonts w:hint="eastAsia" w:ascii="宋体" w:hAnsi="宋体" w:eastAsia="宋体" w:cs="宋体"/>
                <w:spacing w:val="-1"/>
                <w:sz w:val="18"/>
                <w:szCs w:val="18"/>
                <w:highlight w:val="none"/>
              </w:rPr>
              <w:t xml:space="preserve">120LW/E(12568L)A1</w:t>
            </w:r>
            <w:r>
              <w:rPr>
                <w:rFonts w:hint="eastAsia" w:ascii="宋体" w:hAnsi="宋体" w:eastAsia="宋体" w:cs="宋体"/>
                <w:spacing w:val="-2"/>
                <w:sz w:val="18"/>
                <w:szCs w:val="18"/>
                <w:highlight w:val="none"/>
              </w:rPr>
              <w:t xml:space="preserve">-N2</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9"/>
              <w:keepLines w:val="0"/>
              <w:keepNext w:val="0"/>
              <w:pageBreakBefore w:val="0"/>
              <w:spacing w:before="159"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24"/>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20</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415"/>
              <w:keepLines w:val="0"/>
              <w:keepNext w:val="0"/>
              <w:pageBreakBefore w:val="0"/>
              <w:spacing w:before="12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奥克斯、热泵型</w:t>
            </w:r>
            <w:r>
              <w:rPr>
                <w:rFonts w:hint="eastAsia" w:ascii="宋体" w:hAnsi="宋体" w:eastAsia="宋体" w:cs="宋体"/>
                <w:sz w:val="18"/>
                <w:szCs w:val="18"/>
                <w:highlight w:val="none"/>
              </w:rPr>
            </w:r>
            <w:r/>
          </w:p>
        </w:tc>
        <w:tc>
          <w:tcPr>
            <w:tcW w:w="535" w:type="dxa"/>
            <w:vAlign w:val="top"/>
            <w:textDirection w:val="lrTb"/>
            <w:noWrap w:val="false"/>
          </w:tcPr>
          <w:p>
            <w:pPr>
              <w:pStyle w:val="984"/>
              <w:ind w:left="324"/>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4.35</w:t>
            </w:r>
            <w:r>
              <w:rPr>
                <w:rFonts w:hint="eastAsia" w:ascii="宋体" w:hAnsi="宋体" w:eastAsia="宋体" w:cs="宋体"/>
                <w:sz w:val="18"/>
                <w:szCs w:val="18"/>
                <w:highlight w:val="none"/>
              </w:rPr>
            </w:r>
            <w:r/>
          </w:p>
        </w:tc>
        <w:tc>
          <w:tcPr>
            <w:tcW w:w="540" w:type="dxa"/>
            <w:vAlign w:val="top"/>
            <w:textDirection w:val="lrTb"/>
            <w:noWrap w:val="false"/>
          </w:tcPr>
          <w:p>
            <w:pPr>
              <w:pStyle w:val="984"/>
              <w:ind w:left="333"/>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3.88</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25"/>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QR-</w:t>
            </w:r>
            <w:r>
              <w:rPr>
                <w:rFonts w:hint="eastAsia" w:ascii="宋体" w:hAnsi="宋体" w:eastAsia="宋体" w:cs="宋体"/>
                <w:spacing w:val="-13"/>
                <w:sz w:val="18"/>
                <w:szCs w:val="18"/>
                <w:highlight w:val="none"/>
              </w:rPr>
              <w:t xml:space="preserve"> </w:t>
            </w:r>
            <w:r>
              <w:rPr>
                <w:rFonts w:hint="eastAsia" w:ascii="宋体" w:hAnsi="宋体" w:eastAsia="宋体" w:cs="宋体"/>
                <w:spacing w:val="-3"/>
                <w:sz w:val="18"/>
                <w:szCs w:val="18"/>
                <w:highlight w:val="none"/>
              </w:rPr>
              <w:t xml:space="preserve">120W/E3-N3</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4"/>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24"/>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21</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502"/>
              <w:keepLines w:val="0"/>
              <w:keepNext w:val="0"/>
              <w:pageBreakBefore w:val="0"/>
              <w:spacing w:before="12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美的、热泵型</w:t>
            </w:r>
            <w:r>
              <w:rPr>
                <w:rFonts w:hint="eastAsia" w:ascii="宋体" w:hAnsi="宋体" w:eastAsia="宋体" w:cs="宋体"/>
                <w:sz w:val="18"/>
                <w:szCs w:val="18"/>
                <w:highlight w:val="none"/>
              </w:rPr>
            </w:r>
            <w:r/>
          </w:p>
        </w:tc>
        <w:tc>
          <w:tcPr>
            <w:tcW w:w="535" w:type="dxa"/>
            <w:vAlign w:val="top"/>
            <w:textDirection w:val="lrTb"/>
            <w:noWrap w:val="false"/>
          </w:tcPr>
          <w:p>
            <w:pPr>
              <w:pStyle w:val="984"/>
              <w:ind w:left="373"/>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5.2</w:t>
            </w:r>
            <w:r>
              <w:rPr>
                <w:rFonts w:hint="eastAsia" w:ascii="宋体" w:hAnsi="宋体" w:eastAsia="宋体" w:cs="宋体"/>
                <w:sz w:val="18"/>
                <w:szCs w:val="18"/>
                <w:highlight w:val="none"/>
              </w:rPr>
            </w:r>
            <w:r/>
          </w:p>
        </w:tc>
        <w:tc>
          <w:tcPr>
            <w:tcW w:w="540" w:type="dxa"/>
            <w:vAlign w:val="top"/>
            <w:textDirection w:val="lrTb"/>
            <w:noWrap w:val="false"/>
          </w:tcPr>
          <w:p>
            <w:pPr>
              <w:pStyle w:val="984"/>
              <w:ind w:left="439"/>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rPr>
                <w:rFonts w:hint="eastAsia" w:ascii="宋体" w:hAnsi="宋体" w:eastAsia="宋体" w:cs="宋体"/>
                <w:sz w:val="18"/>
                <w:szCs w:val="18"/>
                <w:highlight w:val="none"/>
              </w:rPr>
            </w:r>
            <w:r/>
          </w:p>
        </w:tc>
        <w:tc>
          <w:tcPr>
            <w:tcW w:w="1517" w:type="dxa"/>
            <w:vAlign w:val="top"/>
            <w:textDirection w:val="lrTb"/>
            <w:noWrap w:val="false"/>
          </w:tcPr>
          <w:p>
            <w:pPr>
              <w:pStyle w:val="984"/>
              <w:ind w:left="688"/>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KFR-</w:t>
            </w:r>
            <w:r>
              <w:rPr>
                <w:rFonts w:hint="eastAsia" w:ascii="宋体" w:hAnsi="宋体" w:eastAsia="宋体" w:cs="宋体"/>
                <w:spacing w:val="-22"/>
                <w:sz w:val="18"/>
                <w:szCs w:val="18"/>
                <w:highlight w:val="none"/>
              </w:rPr>
              <w:t xml:space="preserve"> </w:t>
            </w:r>
            <w:r>
              <w:rPr>
                <w:rFonts w:hint="eastAsia" w:ascii="宋体" w:hAnsi="宋体" w:eastAsia="宋体" w:cs="宋体"/>
                <w:spacing w:val="-2"/>
                <w:sz w:val="18"/>
                <w:szCs w:val="18"/>
                <w:highlight w:val="none"/>
              </w:rPr>
              <w:t xml:space="preserve">120W/S-E03</w:t>
            </w:r>
            <w:r>
              <w:rPr>
                <w:rFonts w:hint="eastAsia" w:ascii="宋体" w:hAnsi="宋体" w:eastAsia="宋体" w:cs="宋体"/>
                <w:sz w:val="18"/>
                <w:szCs w:val="18"/>
                <w:highlight w:val="none"/>
              </w:rPr>
            </w:r>
            <w:r/>
          </w:p>
        </w:tc>
        <w:tc>
          <w:tcPr>
            <w:tcW w:w="331" w:type="dxa"/>
            <w:vAlign w:val="top"/>
            <w:textDirection w:val="lrTb"/>
            <w:noWrap w:val="false"/>
          </w:tcPr>
          <w:p>
            <w:pPr>
              <w:pStyle w:val="984"/>
              <w:ind w:left="226"/>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10</w:t>
            </w:r>
            <w:r>
              <w:rPr>
                <w:rFonts w:hint="eastAsia" w:ascii="宋体" w:hAnsi="宋体" w:eastAsia="宋体" w:cs="宋体"/>
                <w:sz w:val="18"/>
                <w:szCs w:val="18"/>
                <w:highlight w:val="none"/>
              </w:rPr>
            </w:r>
            <w:r/>
          </w:p>
        </w:tc>
      </w:tr>
      <w:tr>
        <w:trPr>
          <w:trHeight w:val="430"/>
        </w:trPr>
        <w:tc>
          <w:tcPr>
            <w:tcW w:w="349" w:type="dxa"/>
            <w:vAlign w:val="top"/>
            <w:textDirection w:val="lrTb"/>
            <w:noWrap w:val="false"/>
          </w:tcPr>
          <w:p>
            <w:pPr>
              <w:pStyle w:val="984"/>
              <w:ind w:left="224"/>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22</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56" w:type="dxa"/>
            <w:vAlign w:val="top"/>
            <w:textDirection w:val="lrTb"/>
            <w:noWrap w:val="false"/>
          </w:tcPr>
          <w:p>
            <w:pPr>
              <w:pStyle w:val="1069"/>
              <w:ind w:left="441"/>
              <w:keepLines w:val="0"/>
              <w:keepNext w:val="0"/>
              <w:pageBreakBefore w:val="0"/>
              <w:spacing w:before="115" w:line="240" w:lineRule="auto"/>
              <w:widowControl w:val="off"/>
              <w:rPr>
                <w:rFonts w:hint="eastAsia" w:ascii="宋体" w:hAnsi="宋体" w:eastAsia="宋体" w:cs="宋体"/>
                <w:sz w:val="18"/>
                <w:szCs w:val="18"/>
                <w:highlight w:val="none"/>
              </w:rPr>
            </w:pPr>
            <w:r>
              <w:rPr>
                <w:rFonts w:hint="eastAsia" w:ascii="宋体" w:hAnsi="宋体" w:eastAsia="宋体" w:cs="宋体"/>
                <w:spacing w:val="8"/>
                <w:sz w:val="18"/>
                <w:szCs w:val="18"/>
                <w:highlight w:val="none"/>
              </w:rPr>
              <w:t xml:space="preserve">格力、壁挂式</w:t>
            </w:r>
            <w:r>
              <w:rPr>
                <w:rFonts w:hint="eastAsia" w:ascii="宋体" w:hAnsi="宋体" w:eastAsia="宋体" w:cs="宋体"/>
                <w:sz w:val="18"/>
                <w:szCs w:val="18"/>
                <w:highlight w:val="none"/>
              </w:rPr>
            </w:r>
            <w:r/>
          </w:p>
        </w:tc>
        <w:tc>
          <w:tcPr>
            <w:tcW w:w="535" w:type="dxa"/>
            <w:vAlign w:val="top"/>
            <w:textDirection w:val="lrTb"/>
            <w:noWrap w:val="false"/>
          </w:tcPr>
          <w:p>
            <w:pPr>
              <w:pStyle w:val="984"/>
              <w:ind w:left="436"/>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540" w:type="dxa"/>
            <w:vAlign w:val="top"/>
            <w:textDirection w:val="lrTb"/>
            <w:noWrap w:val="false"/>
          </w:tcPr>
          <w:p>
            <w:pPr>
              <w:pStyle w:val="984"/>
              <w:ind w:left="365"/>
              <w:keepLines w:val="0"/>
              <w:keepNext w:val="0"/>
              <w:pageBreakBefore w:val="0"/>
              <w:spacing w:before="150"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3.5</w:t>
            </w:r>
            <w:r>
              <w:rPr>
                <w:rFonts w:hint="eastAsia" w:ascii="宋体" w:hAnsi="宋体" w:eastAsia="宋体" w:cs="宋体"/>
                <w:sz w:val="18"/>
                <w:szCs w:val="18"/>
                <w:highlight w:val="none"/>
              </w:rPr>
            </w:r>
            <w:r/>
          </w:p>
        </w:tc>
        <w:tc>
          <w:tcPr>
            <w:tcW w:w="1517" w:type="dxa"/>
            <w:vAlign w:val="top"/>
            <w:textDirection w:val="lrTb"/>
            <w:noWrap w:val="false"/>
          </w:tcPr>
          <w:p>
            <w:pPr>
              <w:pStyle w:val="984"/>
              <w:ind w:left="480"/>
              <w:keepLines w:val="0"/>
              <w:keepNext w:val="0"/>
              <w:pageBreakBefore w:val="0"/>
              <w:spacing w:before="14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KFR</w:t>
            </w:r>
            <w:r>
              <w:rPr>
                <w:rFonts w:hint="eastAsia" w:ascii="宋体" w:hAnsi="宋体" w:eastAsia="宋体" w:cs="宋体"/>
                <w:spacing w:val="14"/>
                <w:sz w:val="18"/>
                <w:szCs w:val="18"/>
                <w:highlight w:val="none"/>
              </w:rPr>
              <w:t xml:space="preserve">-35</w:t>
            </w:r>
            <w:r>
              <w:rPr>
                <w:rFonts w:hint="eastAsia" w:ascii="宋体" w:hAnsi="宋体" w:eastAsia="宋体" w:cs="宋体"/>
                <w:sz w:val="18"/>
                <w:szCs w:val="18"/>
                <w:highlight w:val="none"/>
              </w:rPr>
              <w:t xml:space="preserve">GW</w:t>
            </w:r>
            <w:r>
              <w:rPr>
                <w:rFonts w:hint="eastAsia" w:ascii="宋体" w:hAnsi="宋体" w:eastAsia="宋体" w:cs="宋体"/>
                <w:spacing w:val="14"/>
                <w:sz w:val="18"/>
                <w:szCs w:val="18"/>
                <w:highlight w:val="none"/>
              </w:rPr>
              <w:t xml:space="preserve">/</w:t>
            </w:r>
            <w:r>
              <w:rPr>
                <w:rFonts w:hint="eastAsia" w:ascii="宋体" w:hAnsi="宋体" w:eastAsia="宋体" w:cs="宋体"/>
                <w:sz w:val="18"/>
                <w:szCs w:val="18"/>
                <w:highlight w:val="none"/>
              </w:rPr>
              <w:t xml:space="preserve">NhGd</w:t>
            </w:r>
            <w:r>
              <w:rPr>
                <w:rFonts w:hint="eastAsia" w:ascii="宋体" w:hAnsi="宋体" w:eastAsia="宋体" w:cs="宋体"/>
                <w:spacing w:val="14"/>
                <w:sz w:val="18"/>
                <w:szCs w:val="18"/>
                <w:highlight w:val="none"/>
              </w:rPr>
              <w:t xml:space="preserve">1B</w:t>
            </w:r>
            <w:r>
              <w:rPr>
                <w:rFonts w:hint="eastAsia" w:ascii="宋体" w:hAnsi="宋体" w:eastAsia="宋体" w:cs="宋体"/>
                <w:sz w:val="18"/>
                <w:szCs w:val="18"/>
                <w:highlight w:val="none"/>
              </w:rPr>
            </w:r>
            <w:r/>
          </w:p>
        </w:tc>
        <w:tc>
          <w:tcPr>
            <w:tcW w:w="331" w:type="dxa"/>
            <w:vAlign w:val="top"/>
            <w:textDirection w:val="lrTb"/>
            <w:noWrap w:val="false"/>
          </w:tcPr>
          <w:p>
            <w:pPr>
              <w:pStyle w:val="984"/>
              <w:ind w:left="269"/>
              <w:keepLines w:val="0"/>
              <w:keepNext w:val="0"/>
              <w:pageBreakBefore w:val="0"/>
              <w:spacing w:before="150"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4"/>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23</w:t>
            </w:r>
            <w:r>
              <w:rPr>
                <w:rFonts w:hint="eastAsia" w:ascii="宋体" w:hAnsi="宋体" w:eastAsia="宋体" w:cs="宋体"/>
                <w:sz w:val="18"/>
                <w:szCs w:val="18"/>
                <w:highlight w:val="none"/>
              </w:rPr>
            </w:r>
            <w:r/>
          </w:p>
        </w:tc>
        <w:tc>
          <w:tcPr>
            <w:tcW w:w="569" w:type="dxa"/>
            <w:vAlign w:val="center"/>
            <w:vMerge w:val="restart"/>
            <w:textDirection w:val="lrTb"/>
            <w:noWrap w:val="false"/>
          </w:tcPr>
          <w:p>
            <w:pPr>
              <w:pStyle w:val="1069"/>
              <w:jc w:val="both"/>
              <w:keepLines w:val="0"/>
              <w:keepNext w:val="0"/>
              <w:pageBreakBefore w:val="0"/>
              <w:spacing w:before="126"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2"/>
                <w:sz w:val="18"/>
                <w:szCs w:val="18"/>
                <w:highlight w:val="none"/>
              </w:rPr>
              <w:t xml:space="preserve">环境监测</w:t>
            </w:r>
            <w:r>
              <w:rPr>
                <w:rFonts w:hint="eastAsia" w:ascii="宋体" w:hAnsi="宋体" w:eastAsia="宋体" w:cs="宋体"/>
                <w:sz w:val="18"/>
                <w:szCs w:val="18"/>
                <w:highlight w:val="none"/>
              </w:rPr>
              <w:t xml:space="preserve">站</w:t>
            </w:r>
            <w:r>
              <w:rPr>
                <w:rFonts w:hint="eastAsia" w:ascii="宋体" w:hAnsi="宋体" w:eastAsia="宋体" w:cs="宋体"/>
                <w:sz w:val="18"/>
                <w:szCs w:val="18"/>
                <w:highlight w:val="none"/>
                <w:lang w:eastAsia="en-US"/>
              </w:rPr>
            </w:r>
            <w:r/>
          </w:p>
        </w:tc>
        <w:tc>
          <w:tcPr>
            <w:tcW w:w="1156" w:type="dxa"/>
            <w:vAlign w:val="top"/>
            <w:textDirection w:val="lrTb"/>
            <w:noWrap w:val="false"/>
          </w:tcPr>
          <w:p>
            <w:pPr>
              <w:pStyle w:val="1069"/>
              <w:ind w:left="140"/>
              <w:keepLines w:val="0"/>
              <w:keepNext w:val="0"/>
              <w:pageBreakBefore w:val="0"/>
              <w:spacing w:before="12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海尔多联空调，室外机</w:t>
            </w:r>
            <w:r>
              <w:rPr>
                <w:rFonts w:hint="eastAsia" w:ascii="宋体" w:hAnsi="宋体" w:eastAsia="宋体" w:cs="宋体"/>
                <w:sz w:val="18"/>
                <w:szCs w:val="18"/>
                <w:highlight w:val="none"/>
              </w:rPr>
            </w:r>
            <w:r/>
          </w:p>
        </w:tc>
        <w:tc>
          <w:tcPr>
            <w:tcW w:w="535" w:type="dxa"/>
            <w:vAlign w:val="top"/>
            <w:textDirection w:val="lrTb"/>
            <w:noWrap w:val="false"/>
          </w:tcPr>
          <w:p>
            <w:pPr>
              <w:pStyle w:val="984"/>
              <w:ind w:left="325"/>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29.2</w:t>
            </w:r>
            <w:r>
              <w:rPr>
                <w:rFonts w:hint="eastAsia" w:ascii="宋体" w:hAnsi="宋体" w:eastAsia="宋体" w:cs="宋体"/>
                <w:sz w:val="18"/>
                <w:szCs w:val="18"/>
                <w:highlight w:val="none"/>
              </w:rPr>
            </w:r>
            <w:r/>
          </w:p>
        </w:tc>
        <w:tc>
          <w:tcPr>
            <w:tcW w:w="540" w:type="dxa"/>
            <w:vAlign w:val="top"/>
            <w:textDirection w:val="lrTb"/>
            <w:noWrap w:val="false"/>
          </w:tcPr>
          <w:p>
            <w:pPr>
              <w:pStyle w:val="984"/>
              <w:ind w:left="330"/>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29.7</w:t>
            </w:r>
            <w:r>
              <w:rPr>
                <w:rFonts w:hint="eastAsia" w:ascii="宋体" w:hAnsi="宋体" w:eastAsia="宋体" w:cs="宋体"/>
                <w:sz w:val="18"/>
                <w:szCs w:val="18"/>
                <w:highlight w:val="none"/>
              </w:rPr>
            </w:r>
            <w:r/>
          </w:p>
        </w:tc>
        <w:tc>
          <w:tcPr>
            <w:tcW w:w="1517" w:type="dxa"/>
            <w:vAlign w:val="top"/>
            <w:textDirection w:val="lrTb"/>
            <w:noWrap w:val="false"/>
          </w:tcPr>
          <w:p>
            <w:pPr>
              <w:pStyle w:val="984"/>
              <w:ind w:left="638"/>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RFC1065MXSLYB</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3"/>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4"/>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24</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422"/>
              <w:keepLines w:val="0"/>
              <w:keepNext w:val="0"/>
              <w:pageBreakBefore w:val="0"/>
              <w:spacing w:before="27"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z w:val="18"/>
                <w:szCs w:val="18"/>
                <w:highlight w:val="none"/>
                <w:lang w:eastAsia="en-US"/>
              </w:rPr>
            </w:r>
            <w:r/>
          </w:p>
        </w:tc>
        <w:tc>
          <w:tcPr>
            <w:tcW w:w="1156" w:type="dxa"/>
            <w:vAlign w:val="top"/>
            <w:textDirection w:val="lrTb"/>
            <w:noWrap w:val="false"/>
          </w:tcPr>
          <w:p>
            <w:pPr>
              <w:pStyle w:val="1069"/>
              <w:ind w:left="140"/>
              <w:keepLines w:val="0"/>
              <w:keepNext w:val="0"/>
              <w:pageBreakBefore w:val="0"/>
              <w:spacing w:before="120"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1"/>
                <w:sz w:val="18"/>
                <w:szCs w:val="18"/>
                <w:highlight w:val="none"/>
              </w:rPr>
              <w:t xml:space="preserve">海尔多联空调，室内机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ind w:left="453"/>
              <w:keepLines w:val="0"/>
              <w:keepNext w:val="0"/>
              <w:pageBreakBefore w:val="0"/>
              <w:spacing w:before="149"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r>
            <w:r/>
          </w:p>
        </w:tc>
        <w:tc>
          <w:tcPr>
            <w:tcW w:w="540" w:type="dxa"/>
            <w:vAlign w:val="top"/>
            <w:textDirection w:val="lrTb"/>
            <w:noWrap w:val="false"/>
          </w:tcPr>
          <w:p>
            <w:pPr>
              <w:pStyle w:val="984"/>
              <w:ind w:left="287"/>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0.063</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77"/>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RFUM22MX-D</w:t>
            </w:r>
            <w:r>
              <w:rPr>
                <w:rFonts w:hint="eastAsia" w:ascii="宋体" w:hAnsi="宋体" w:eastAsia="宋体" w:cs="宋体"/>
                <w:sz w:val="18"/>
                <w:szCs w:val="18"/>
                <w:highlight w:val="none"/>
              </w:rPr>
            </w:r>
            <w:r/>
          </w:p>
        </w:tc>
        <w:tc>
          <w:tcPr>
            <w:tcW w:w="331" w:type="dxa"/>
            <w:vAlign w:val="top"/>
            <w:textDirection w:val="lrTb"/>
            <w:noWrap w:val="false"/>
          </w:tcPr>
          <w:p>
            <w:pPr>
              <w:pStyle w:val="984"/>
              <w:ind w:left="271"/>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4"/>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25</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153"/>
              <w:keepLines w:val="0"/>
              <w:keepNext w:val="0"/>
              <w:pageBreakBefore w:val="0"/>
              <w:spacing w:before="126" w:line="240" w:lineRule="auto"/>
              <w:widowControl w:val="off"/>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r>
            <w:r/>
          </w:p>
        </w:tc>
        <w:tc>
          <w:tcPr>
            <w:tcW w:w="1156" w:type="dxa"/>
            <w:vAlign w:val="top"/>
            <w:textDirection w:val="lrTb"/>
            <w:noWrap w:val="false"/>
          </w:tcPr>
          <w:p>
            <w:pPr>
              <w:pStyle w:val="1069"/>
              <w:ind w:left="140"/>
              <w:keepLines w:val="0"/>
              <w:keepNext w:val="0"/>
              <w:pageBreakBefore w:val="0"/>
              <w:spacing w:before="123"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1"/>
                <w:sz w:val="18"/>
                <w:szCs w:val="18"/>
                <w:highlight w:val="none"/>
              </w:rPr>
              <w:t xml:space="preserve">海尔多联空调，室内机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ind w:left="453"/>
              <w:keepLines w:val="0"/>
              <w:keepNext w:val="0"/>
              <w:pageBreakBefore w:val="0"/>
              <w:spacing w:before="151"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r>
            <w:r/>
          </w:p>
        </w:tc>
        <w:tc>
          <w:tcPr>
            <w:tcW w:w="540" w:type="dxa"/>
            <w:vAlign w:val="top"/>
            <w:textDirection w:val="lrTb"/>
            <w:noWrap w:val="false"/>
          </w:tcPr>
          <w:p>
            <w:pPr>
              <w:pStyle w:val="984"/>
              <w:ind w:left="287"/>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0.063</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77"/>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RFUM28MX-D</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4"/>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4"/>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26</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153"/>
              <w:keepLines w:val="0"/>
              <w:keepNext w:val="0"/>
              <w:pageBreakBefore w:val="0"/>
              <w:spacing w:before="126" w:line="240" w:lineRule="auto"/>
              <w:widowControl w:val="off"/>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r>
            <w:r/>
          </w:p>
        </w:tc>
        <w:tc>
          <w:tcPr>
            <w:tcW w:w="1156" w:type="dxa"/>
            <w:vAlign w:val="top"/>
            <w:textDirection w:val="lrTb"/>
            <w:noWrap w:val="false"/>
          </w:tcPr>
          <w:p>
            <w:pPr>
              <w:pStyle w:val="1069"/>
              <w:ind w:left="140"/>
              <w:keepLines w:val="0"/>
              <w:keepNext w:val="0"/>
              <w:pageBreakBefore w:val="0"/>
              <w:spacing w:before="124"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1"/>
                <w:sz w:val="18"/>
                <w:szCs w:val="18"/>
                <w:highlight w:val="none"/>
              </w:rPr>
              <w:t xml:space="preserve">海尔多联空调，室内机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ind w:left="453"/>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r>
            <w:r/>
          </w:p>
        </w:tc>
        <w:tc>
          <w:tcPr>
            <w:tcW w:w="540" w:type="dxa"/>
            <w:vAlign w:val="top"/>
            <w:textDirection w:val="lrTb"/>
            <w:noWrap w:val="false"/>
          </w:tcPr>
          <w:p>
            <w:pPr>
              <w:pStyle w:val="984"/>
              <w:ind w:left="287"/>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0.069</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77"/>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RFUM36MX-D</w:t>
            </w:r>
            <w:r>
              <w:rPr>
                <w:rFonts w:hint="eastAsia" w:ascii="宋体" w:hAnsi="宋体" w:eastAsia="宋体" w:cs="宋体"/>
                <w:sz w:val="18"/>
                <w:szCs w:val="18"/>
                <w:highlight w:val="none"/>
              </w:rPr>
            </w:r>
            <w:r/>
          </w:p>
        </w:tc>
        <w:tc>
          <w:tcPr>
            <w:tcW w:w="331" w:type="dxa"/>
            <w:vAlign w:val="top"/>
            <w:textDirection w:val="lrTb"/>
            <w:noWrap w:val="false"/>
          </w:tcPr>
          <w:p>
            <w:pPr>
              <w:pStyle w:val="984"/>
              <w:ind w:left="226"/>
              <w:keepLines w:val="0"/>
              <w:keepNext w:val="0"/>
              <w:pageBreakBefore w:val="0"/>
              <w:spacing w:before="155"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19</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4"/>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27</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153"/>
              <w:keepLines w:val="0"/>
              <w:keepNext w:val="0"/>
              <w:pageBreakBefore w:val="0"/>
              <w:spacing w:before="126" w:line="240" w:lineRule="auto"/>
              <w:widowControl w:val="off"/>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r>
            <w:r/>
          </w:p>
        </w:tc>
        <w:tc>
          <w:tcPr>
            <w:tcW w:w="1156" w:type="dxa"/>
            <w:vAlign w:val="top"/>
            <w:textDirection w:val="lrTb"/>
            <w:noWrap w:val="false"/>
          </w:tcPr>
          <w:p>
            <w:pPr>
              <w:pStyle w:val="1069"/>
              <w:ind w:left="140"/>
              <w:keepLines w:val="0"/>
              <w:keepNext w:val="0"/>
              <w:pageBreakBefore w:val="0"/>
              <w:spacing w:before="124"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1"/>
                <w:sz w:val="18"/>
                <w:szCs w:val="18"/>
                <w:highlight w:val="none"/>
              </w:rPr>
              <w:t xml:space="preserve">海尔多联空调，室内机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ind w:left="453"/>
              <w:keepLines w:val="0"/>
              <w:keepNext w:val="0"/>
              <w:pageBreakBefore w:val="0"/>
              <w:spacing w:before="15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r>
            <w:r/>
          </w:p>
        </w:tc>
        <w:tc>
          <w:tcPr>
            <w:tcW w:w="540" w:type="dxa"/>
            <w:vAlign w:val="top"/>
            <w:textDirection w:val="lrTb"/>
            <w:noWrap w:val="false"/>
          </w:tcPr>
          <w:p>
            <w:pPr>
              <w:pStyle w:val="984"/>
              <w:ind w:left="287"/>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0.087</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77"/>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RFUM45MX-D</w:t>
            </w:r>
            <w:r>
              <w:rPr>
                <w:rFonts w:hint="eastAsia" w:ascii="宋体" w:hAnsi="宋体" w:eastAsia="宋体" w:cs="宋体"/>
                <w:sz w:val="18"/>
                <w:szCs w:val="18"/>
                <w:highlight w:val="none"/>
              </w:rPr>
            </w:r>
            <w:r/>
          </w:p>
        </w:tc>
        <w:tc>
          <w:tcPr>
            <w:tcW w:w="331" w:type="dxa"/>
            <w:vAlign w:val="top"/>
            <w:textDirection w:val="lrTb"/>
            <w:noWrap w:val="false"/>
          </w:tcPr>
          <w:p>
            <w:pPr>
              <w:pStyle w:val="984"/>
              <w:ind w:left="226"/>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12</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4"/>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28</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153"/>
              <w:keepLines w:val="0"/>
              <w:keepNext w:val="0"/>
              <w:pageBreakBefore w:val="0"/>
              <w:spacing w:before="126" w:line="240" w:lineRule="auto"/>
              <w:widowControl w:val="off"/>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r>
            <w:r/>
          </w:p>
        </w:tc>
        <w:tc>
          <w:tcPr>
            <w:tcW w:w="1156" w:type="dxa"/>
            <w:vAlign w:val="top"/>
            <w:textDirection w:val="lrTb"/>
            <w:noWrap w:val="false"/>
          </w:tcPr>
          <w:p>
            <w:pPr>
              <w:pStyle w:val="1069"/>
              <w:ind w:left="140"/>
              <w:keepLines w:val="0"/>
              <w:keepNext w:val="0"/>
              <w:pageBreakBefore w:val="0"/>
              <w:spacing w:before="124"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1"/>
                <w:sz w:val="18"/>
                <w:szCs w:val="18"/>
                <w:highlight w:val="none"/>
              </w:rPr>
              <w:t xml:space="preserve">海尔多联空调，室内机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ind w:left="453"/>
              <w:keepLines w:val="0"/>
              <w:keepNext w:val="0"/>
              <w:pageBreakBefore w:val="0"/>
              <w:spacing w:before="15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r>
            <w:r/>
          </w:p>
        </w:tc>
        <w:tc>
          <w:tcPr>
            <w:tcW w:w="540" w:type="dxa"/>
            <w:vAlign w:val="top"/>
            <w:textDirection w:val="lrTb"/>
            <w:noWrap w:val="false"/>
          </w:tcPr>
          <w:p>
            <w:pPr>
              <w:pStyle w:val="984"/>
              <w:ind w:left="376"/>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0.</w:t>
            </w:r>
            <w:r>
              <w:rPr>
                <w:rFonts w:hint="eastAsia" w:ascii="宋体" w:hAnsi="宋体" w:eastAsia="宋体" w:cs="宋体"/>
                <w:spacing w:val="-24"/>
                <w:sz w:val="18"/>
                <w:szCs w:val="18"/>
                <w:highlight w:val="none"/>
              </w:rPr>
              <w:t xml:space="preserve"> </w:t>
            </w:r>
            <w:r>
              <w:rPr>
                <w:rFonts w:hint="eastAsia" w:ascii="宋体" w:hAnsi="宋体" w:eastAsia="宋体" w:cs="宋体"/>
                <w:spacing w:val="-2"/>
                <w:sz w:val="18"/>
                <w:szCs w:val="18"/>
                <w:highlight w:val="none"/>
              </w:rPr>
              <w:t xml:space="preserve">1</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77"/>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RFUM71MX-D</w:t>
            </w:r>
            <w:r>
              <w:rPr>
                <w:rFonts w:hint="eastAsia" w:ascii="宋体" w:hAnsi="宋体" w:eastAsia="宋体" w:cs="宋体"/>
                <w:sz w:val="18"/>
                <w:szCs w:val="18"/>
                <w:highlight w:val="none"/>
              </w:rPr>
            </w:r>
            <w:r/>
          </w:p>
        </w:tc>
        <w:tc>
          <w:tcPr>
            <w:tcW w:w="331" w:type="dxa"/>
            <w:vAlign w:val="top"/>
            <w:textDirection w:val="lrTb"/>
            <w:noWrap w:val="false"/>
          </w:tcPr>
          <w:p>
            <w:pPr>
              <w:pStyle w:val="984"/>
              <w:ind w:left="226"/>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15</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4"/>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29</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153"/>
              <w:keepLines w:val="0"/>
              <w:keepNext w:val="0"/>
              <w:pageBreakBefore w:val="0"/>
              <w:spacing w:before="126" w:line="240" w:lineRule="auto"/>
              <w:widowControl w:val="off"/>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r>
            <w:r/>
          </w:p>
        </w:tc>
        <w:tc>
          <w:tcPr>
            <w:tcW w:w="1156" w:type="dxa"/>
            <w:vAlign w:val="top"/>
            <w:textDirection w:val="lrTb"/>
            <w:noWrap w:val="false"/>
          </w:tcPr>
          <w:p>
            <w:pPr>
              <w:pStyle w:val="1069"/>
              <w:ind w:left="140"/>
              <w:keepLines w:val="0"/>
              <w:keepNext w:val="0"/>
              <w:pageBreakBefore w:val="0"/>
              <w:spacing w:before="126"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1"/>
                <w:sz w:val="18"/>
                <w:szCs w:val="18"/>
                <w:highlight w:val="none"/>
              </w:rPr>
              <w:t xml:space="preserve">海尔多联空调，室内机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ind w:left="453"/>
              <w:keepLines w:val="0"/>
              <w:keepNext w:val="0"/>
              <w:pageBreakBefore w:val="0"/>
              <w:spacing w:before="15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r>
            <w:r/>
          </w:p>
        </w:tc>
        <w:tc>
          <w:tcPr>
            <w:tcW w:w="540" w:type="dxa"/>
            <w:vAlign w:val="top"/>
            <w:textDirection w:val="lrTb"/>
            <w:noWrap w:val="false"/>
          </w:tcPr>
          <w:p>
            <w:pPr>
              <w:pStyle w:val="984"/>
              <w:ind w:left="376"/>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0.2</w:t>
            </w:r>
            <w:r>
              <w:rPr>
                <w:rFonts w:hint="eastAsia" w:ascii="宋体" w:hAnsi="宋体" w:eastAsia="宋体" w:cs="宋体"/>
                <w:sz w:val="18"/>
                <w:szCs w:val="18"/>
                <w:highlight w:val="none"/>
              </w:rPr>
            </w:r>
            <w:r/>
          </w:p>
        </w:tc>
        <w:tc>
          <w:tcPr>
            <w:tcW w:w="1517" w:type="dxa"/>
            <w:vAlign w:val="top"/>
            <w:textDirection w:val="lrTb"/>
            <w:noWrap w:val="false"/>
          </w:tcPr>
          <w:p>
            <w:pPr>
              <w:pStyle w:val="984"/>
              <w:ind w:left="777"/>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RFUM90MX-D</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3"/>
              <w:keepLines w:val="0"/>
              <w:keepNext w:val="0"/>
              <w:pageBreakBefore w:val="0"/>
              <w:spacing w:before="158"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8"/>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30</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153"/>
              <w:keepLines w:val="0"/>
              <w:keepNext w:val="0"/>
              <w:pageBreakBefore w:val="0"/>
              <w:spacing w:before="126" w:line="240" w:lineRule="auto"/>
              <w:widowControl w:val="off"/>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r>
            <w:r/>
          </w:p>
        </w:tc>
        <w:tc>
          <w:tcPr>
            <w:tcW w:w="1156" w:type="dxa"/>
            <w:vAlign w:val="top"/>
            <w:textDirection w:val="lrTb"/>
            <w:noWrap w:val="false"/>
          </w:tcPr>
          <w:p>
            <w:pPr>
              <w:pStyle w:val="1069"/>
              <w:ind w:left="500"/>
              <w:keepLines w:val="0"/>
              <w:keepNext w:val="0"/>
              <w:pageBreakBefore w:val="0"/>
              <w:spacing w:before="126"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2"/>
                <w:sz w:val="18"/>
                <w:szCs w:val="18"/>
                <w:highlight w:val="none"/>
              </w:rPr>
              <w:t xml:space="preserve">海尔新风内机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540" w:type="dxa"/>
            <w:vAlign w:val="top"/>
            <w:textDirection w:val="lrTb"/>
            <w:noWrap w:val="false"/>
          </w:tcPr>
          <w:p>
            <w:pPr>
              <w:pStyle w:val="984"/>
              <w:ind w:left="333"/>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0.61</w:t>
            </w:r>
            <w:r>
              <w:rPr>
                <w:rFonts w:hint="eastAsia" w:ascii="宋体" w:hAnsi="宋体" w:eastAsia="宋体" w:cs="宋体"/>
                <w:sz w:val="18"/>
                <w:szCs w:val="18"/>
                <w:highlight w:val="none"/>
              </w:rPr>
            </w:r>
            <w:r/>
          </w:p>
        </w:tc>
        <w:tc>
          <w:tcPr>
            <w:tcW w:w="1517" w:type="dxa"/>
            <w:vAlign w:val="top"/>
            <w:textDirection w:val="lrTb"/>
            <w:noWrap w:val="false"/>
          </w:tcPr>
          <w:p>
            <w:pPr>
              <w:pStyle w:val="984"/>
              <w:ind w:left="813"/>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RFX280MX-A</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4"/>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r>
      <w:tr>
        <w:trPr>
          <w:trHeight w:val="432"/>
        </w:trPr>
        <w:tc>
          <w:tcPr>
            <w:tcW w:w="349" w:type="dxa"/>
            <w:vAlign w:val="top"/>
            <w:textDirection w:val="lrTb"/>
            <w:noWrap w:val="false"/>
          </w:tcPr>
          <w:p>
            <w:pPr>
              <w:pStyle w:val="984"/>
              <w:ind w:left="228"/>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31</w:t>
            </w:r>
            <w:r>
              <w:rPr>
                <w:rFonts w:hint="eastAsia" w:ascii="宋体" w:hAnsi="宋体" w:eastAsia="宋体" w:cs="宋体"/>
                <w:sz w:val="18"/>
                <w:szCs w:val="18"/>
                <w:highlight w:val="none"/>
              </w:rPr>
            </w:r>
            <w:r/>
          </w:p>
        </w:tc>
        <w:tc>
          <w:tcPr>
            <w:tcW w:w="569" w:type="dxa"/>
            <w:vAlign w:val="top"/>
            <w:vMerge w:val="continue"/>
            <w:textDirection w:val="lrTb"/>
            <w:noWrap w:val="false"/>
          </w:tcPr>
          <w:p>
            <w:pPr>
              <w:pStyle w:val="1069"/>
              <w:ind w:left="153"/>
              <w:keepLines w:val="0"/>
              <w:keepNext w:val="0"/>
              <w:pageBreakBefore w:val="0"/>
              <w:spacing w:before="126" w:line="240" w:lineRule="auto"/>
              <w:widowControl w:val="off"/>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r>
            <w:r/>
          </w:p>
        </w:tc>
        <w:tc>
          <w:tcPr>
            <w:tcW w:w="1156" w:type="dxa"/>
            <w:vAlign w:val="top"/>
            <w:textDirection w:val="lrTb"/>
            <w:noWrap w:val="false"/>
          </w:tcPr>
          <w:p>
            <w:pPr>
              <w:pStyle w:val="1069"/>
              <w:ind w:left="500"/>
              <w:keepLines w:val="0"/>
              <w:keepNext w:val="0"/>
              <w:pageBreakBefore w:val="0"/>
              <w:spacing w:before="125"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2"/>
                <w:sz w:val="18"/>
                <w:szCs w:val="18"/>
                <w:highlight w:val="none"/>
              </w:rPr>
              <w:t xml:space="preserve">海尔新风外机</w:t>
            </w:r>
            <w:r>
              <w:rPr>
                <w:rFonts w:hint="eastAsia" w:ascii="宋体" w:hAnsi="宋体" w:eastAsia="宋体" w:cs="宋体"/>
                <w:sz w:val="18"/>
                <w:szCs w:val="18"/>
                <w:highlight w:val="none"/>
                <w:lang w:eastAsia="en-US"/>
              </w:rPr>
            </w:r>
            <w:r/>
          </w:p>
        </w:tc>
        <w:tc>
          <w:tcPr>
            <w:tcW w:w="535" w:type="dxa"/>
            <w:vAlign w:val="top"/>
            <w:textDirection w:val="lrTb"/>
            <w:noWrap w:val="false"/>
          </w:tcPr>
          <w:p>
            <w:pPr>
              <w:pStyle w:val="984"/>
              <w:ind w:left="371"/>
              <w:keepLines w:val="0"/>
              <w:keepNext w:val="0"/>
              <w:pageBreakBefore w:val="0"/>
              <w:spacing w:before="159"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7.5</w:t>
            </w:r>
            <w:r>
              <w:rPr>
                <w:rFonts w:hint="eastAsia" w:ascii="宋体" w:hAnsi="宋体" w:eastAsia="宋体" w:cs="宋体"/>
                <w:sz w:val="18"/>
                <w:szCs w:val="18"/>
                <w:highlight w:val="none"/>
              </w:rPr>
            </w:r>
            <w:r/>
          </w:p>
        </w:tc>
        <w:tc>
          <w:tcPr>
            <w:tcW w:w="540" w:type="dxa"/>
            <w:vAlign w:val="top"/>
            <w:textDirection w:val="lrTb"/>
            <w:noWrap w:val="false"/>
          </w:tcPr>
          <w:p>
            <w:pPr>
              <w:pStyle w:val="984"/>
              <w:ind w:left="447"/>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w:t>
            </w:r>
            <w:r>
              <w:rPr>
                <w:rFonts w:hint="eastAsia" w:ascii="宋体" w:hAnsi="宋体" w:eastAsia="宋体" w:cs="宋体"/>
                <w:sz w:val="18"/>
                <w:szCs w:val="18"/>
                <w:highlight w:val="none"/>
              </w:rPr>
            </w:r>
            <w:r/>
          </w:p>
        </w:tc>
        <w:tc>
          <w:tcPr>
            <w:tcW w:w="1517" w:type="dxa"/>
            <w:vAlign w:val="top"/>
            <w:textDirection w:val="lrTb"/>
            <w:noWrap w:val="false"/>
          </w:tcPr>
          <w:p>
            <w:pPr>
              <w:pStyle w:val="984"/>
              <w:ind w:left="676"/>
              <w:keepLines w:val="0"/>
              <w:keepNext w:val="0"/>
              <w:pageBreakBefore w:val="0"/>
              <w:spacing w:before="15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RFC286MXSAYE</w:t>
            </w:r>
            <w:r>
              <w:rPr>
                <w:rFonts w:hint="eastAsia" w:ascii="宋体" w:hAnsi="宋体" w:eastAsia="宋体" w:cs="宋体"/>
                <w:sz w:val="18"/>
                <w:szCs w:val="18"/>
                <w:highlight w:val="none"/>
              </w:rPr>
            </w:r>
            <w:r/>
          </w:p>
        </w:tc>
        <w:tc>
          <w:tcPr>
            <w:tcW w:w="331" w:type="dxa"/>
            <w:vAlign w:val="top"/>
            <w:textDirection w:val="lrTb"/>
            <w:noWrap w:val="false"/>
          </w:tcPr>
          <w:p>
            <w:pPr>
              <w:pStyle w:val="984"/>
              <w:ind w:left="254"/>
              <w:keepLines w:val="0"/>
              <w:keepNext w:val="0"/>
              <w:pageBreakBefore w:val="0"/>
              <w:spacing w:before="15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r>
    </w:tbl>
    <w:p>
      <w:pPr>
        <w:pStyle w:val="984"/>
        <w:ind w:firstLine="0"/>
        <w:jc w:val="center"/>
        <w:keepLines w:val="0"/>
        <w:keepNext w:val="0"/>
        <w:pageBreakBefore w:val="0"/>
        <w:spacing w:line="360" w:lineRule="auto"/>
        <w:widowControl w:val="off"/>
        <w:rPr>
          <w:rFonts w:eastAsia="宋体" w:cs="Times New Roman"/>
          <w:highlight w:val="none"/>
        </w:rPr>
        <w:outlineLvl w:val="2"/>
      </w:pPr>
      <w:r>
        <w:rPr>
          <w:rFonts w:eastAsia="宋体" w:cs="Times New Roman"/>
          <w:highlight w:val="none"/>
        </w:rPr>
      </w:r>
      <w:r/>
    </w:p>
    <w:p>
      <w:pPr>
        <w:pStyle w:val="984"/>
        <w:ind w:firstLine="0"/>
        <w:jc w:val="center"/>
        <w:keepLines w:val="0"/>
        <w:keepNext w:val="0"/>
        <w:pageBreakBefore w:val="0"/>
        <w:spacing w:line="360" w:lineRule="auto"/>
        <w:widowControl w:val="off"/>
        <w:rPr>
          <w:rFonts w:eastAsia="宋体" w:cs="Times New Roman"/>
          <w:highlight w:val="none"/>
        </w:rPr>
        <w:outlineLvl w:val="2"/>
      </w:pPr>
      <w:r>
        <w:rPr>
          <w:rFonts w:eastAsia="宋体" w:cs="Times New Roman"/>
          <w:highlight w:val="none"/>
        </w:rPr>
      </w:r>
      <w:r/>
    </w:p>
    <w:p>
      <w:pPr>
        <w:pStyle w:val="984"/>
        <w:ind w:firstLine="0"/>
        <w:jc w:val="center"/>
        <w:keepLines w:val="0"/>
        <w:keepNext w:val="0"/>
        <w:pageBreakBefore w:val="0"/>
        <w:spacing w:line="360" w:lineRule="auto"/>
        <w:widowControl w:val="off"/>
        <w:rPr>
          <w:rFonts w:eastAsia="宋体" w:cs="Times New Roman"/>
          <w:highlight w:val="none"/>
        </w:rPr>
        <w:outlineLvl w:val="2"/>
      </w:pPr>
      <w:r>
        <w:rPr>
          <w:rFonts w:eastAsia="宋体" w:cs="Times New Roman"/>
          <w:highlight w:val="none"/>
        </w:rPr>
        <mc:AlternateContent>
          <mc:Choice Requires="wpg">
            <w:drawing>
              <wp:inline xmlns:wp="http://schemas.openxmlformats.org/drawingml/2006/wordprocessingDrawing" distT="0" distB="0" distL="0" distR="0">
                <wp:extent cx="4047173" cy="190682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047173" cy="19068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8.7pt;height:150.1pt;mso-wrap-distance-left:0.0pt;mso-wrap-distance-top:0.0pt;mso-wrap-distance-right:0.0pt;mso-wrap-distance-bottom:0.0pt;" stroked="f">
                <v:path textboxrect="0,0,0,0"/>
                <v:imagedata r:id="rId19" o:title=""/>
              </v:shape>
            </w:pict>
          </mc:Fallback>
        </mc:AlternateContent>
      </w:r>
      <w:r>
        <w:rPr>
          <w:rFonts w:eastAsia="宋体" w:cs="Times New Roman"/>
          <w:highlight w:val="none"/>
        </w:rPr>
        <mc:AlternateContent>
          <mc:Choice Requires="wpg">
            <w:drawing>
              <wp:inline xmlns:wp="http://schemas.openxmlformats.org/drawingml/2006/wordprocessingDrawing" distT="0" distB="0" distL="0" distR="0">
                <wp:extent cx="1948764" cy="172019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948764" cy="1720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3.4pt;height:135.4pt;mso-wrap-distance-left:0.0pt;mso-wrap-distance-top:0.0pt;mso-wrap-distance-right:0.0pt;mso-wrap-distance-bottom:0.0pt;" stroked="f">
                <v:path textboxrect="0,0,0,0"/>
                <v:imagedata r:id="rId20" o:title=""/>
              </v:shape>
            </w:pict>
          </mc:Fallback>
        </mc:AlternateContent>
      </w:r>
      <w:r>
        <w:rPr>
          <w:rFonts w:eastAsia="宋体" w:cs="Times New Roman"/>
          <w:highlight w:val="none"/>
        </w:rPr>
      </w:r>
      <w:r/>
    </w:p>
    <w:p>
      <w:pPr>
        <w:pStyle w:val="984"/>
        <w:ind w:firstLine="0"/>
        <w:jc w:val="center"/>
        <w:keepLines w:val="0"/>
        <w:keepNext w:val="0"/>
        <w:pageBreakBefore w:val="0"/>
        <w:spacing w:line="360" w:lineRule="auto"/>
        <w:widowControl w:val="off"/>
        <w:rPr>
          <w:rFonts w:ascii="宋体" w:hAnsi="宋体" w:eastAsia="宋体" w:cs="宋体"/>
          <w:b/>
          <w:bCs/>
          <w:color w:val="000000"/>
          <w:highlight w:val="none"/>
        </w:rPr>
        <w:outlineLvl w:val="2"/>
      </w:pPr>
      <w:r>
        <w:rPr>
          <w:rFonts w:eastAsia="宋体" w:cs="Times New Roman"/>
          <w:highlight w:val="none"/>
        </w:rPr>
        <mc:AlternateContent>
          <mc:Choice Requires="wpg">
            <w:drawing>
              <wp:inline xmlns:wp="http://schemas.openxmlformats.org/drawingml/2006/wordprocessingDrawing" distT="0" distB="0" distL="0" distR="0">
                <wp:extent cx="5272291" cy="162292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72291" cy="16229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1pt;height:127.8pt;mso-wrap-distance-left:0.0pt;mso-wrap-distance-top:0.0pt;mso-wrap-distance-right:0.0pt;mso-wrap-distance-bottom:0.0pt;" stroked="f">
                <v:path textboxrect="0,0,0,0"/>
                <v:imagedata r:id="rId21" o:title=""/>
              </v:shape>
            </w:pict>
          </mc:Fallback>
        </mc:AlternateContent>
      </w:r>
      <w:r>
        <w:rPr>
          <w:rFonts w:ascii="宋体" w:hAnsi="宋体" w:eastAsia="宋体" w:cs="宋体"/>
          <w:b/>
          <w:bCs/>
          <w:color w:val="000000"/>
          <w:highlight w:val="none"/>
        </w:rPr>
      </w:r>
      <w:r/>
    </w:p>
    <w:p>
      <w:pPr>
        <w:pStyle w:val="984"/>
        <w:ind w:firstLine="422"/>
        <w:keepLines w:val="0"/>
        <w:keepNext w:val="0"/>
        <w:pageBreakBefore w:val="0"/>
        <w:spacing w:line="432" w:lineRule="auto"/>
        <w:widowControl w:val="off"/>
        <w:rPr>
          <w:rFonts w:ascii="宋体" w:hAnsi="宋体" w:eastAsia="宋体" w:cs="宋体"/>
          <w:b/>
          <w:bCs/>
          <w:color w:val="000000"/>
          <w:highlight w:val="none"/>
        </w:rPr>
        <w:outlineLvl w:val="2"/>
      </w:pPr>
      <w:r>
        <w:rPr>
          <w:rFonts w:hint="eastAsia" w:ascii="宋体" w:hAnsi="宋体" w:eastAsia="宋体" w:cs="宋体"/>
          <w:b/>
          <w:bCs/>
          <w:color w:val="000000"/>
          <w:highlight w:val="none"/>
        </w:rPr>
        <w:t xml:space="preserve">3.照明系统</w:t>
      </w:r>
      <w:r>
        <w:rPr>
          <w:rFonts w:ascii="宋体" w:hAnsi="宋体" w:eastAsia="宋体" w:cs="宋体"/>
          <w:b/>
          <w:bCs/>
          <w:color w:val="000000"/>
          <w:highlight w:val="none"/>
        </w:rPr>
      </w:r>
      <w:r/>
    </w:p>
    <w:p>
      <w:pPr>
        <w:pStyle w:val="984"/>
        <w:ind w:firstLine="482"/>
        <w:keepLines w:val="0"/>
        <w:keepNext w:val="0"/>
        <w:pageBreakBefore w:val="0"/>
        <w:spacing w:line="432" w:lineRule="auto"/>
        <w:widowControl w:val="off"/>
        <w:rPr>
          <w:rFonts w:eastAsia="宋体" w:cs="Times New Roman"/>
          <w:highlight w:val="none"/>
        </w:rPr>
        <w:outlineLvl w:val="9"/>
      </w:pPr>
      <w:r>
        <w:rPr>
          <w:rFonts w:hint="eastAsia" w:eastAsia="宋体" w:cs="Times New Roman"/>
          <w:highlight w:val="none"/>
        </w:rPr>
        <w:t xml:space="preserve">仪征市城市管理局的照明灯具光源类型主要有平板灯、球泡灯、筒灯和灯管。随着灯具损坏正在逐步更换为LED光源灯具，目前仍有部分照明光源为荧光灯。照明系统分为公共照明系统和室内照明系统，其中公共区域包括大厅、走廊、电梯厅、楼梯道、卫生间等，控制方式为分级控制；室内照明区域主要为办公室、会议室、实验室等，控制方式为分级控制，其余非常见照明设备不列入。</w:t>
      </w:r>
      <w:r>
        <w:rPr>
          <w:rFonts w:eastAsia="宋体" w:cs="Times New Roman"/>
          <w:highlight w:val="none"/>
        </w:rPr>
      </w:r>
      <w:r/>
    </w:p>
    <w:p>
      <w:pPr>
        <w:pStyle w:val="984"/>
        <w:ind w:left="3345"/>
        <w:pageBreakBefore w:val="0"/>
        <w:spacing w:line="360" w:lineRule="auto"/>
        <w:rPr>
          <w:rFonts w:ascii="宋体" w:hAnsi="宋体" w:eastAsia="宋体" w:cs="宋体"/>
          <w:b/>
          <w:bCs/>
          <w:sz w:val="19"/>
          <w:szCs w:val="19"/>
          <w:highlight w:val="none"/>
        </w:rPr>
      </w:pPr>
      <w:r>
        <w:rPr>
          <w:rFonts w:ascii="宋体" w:hAnsi="宋体" w:eastAsia="宋体" w:cs="宋体"/>
          <w:b/>
          <w:bCs/>
          <w:spacing w:val="4"/>
          <w:sz w:val="19"/>
          <w:szCs w:val="19"/>
          <w:highlight w:val="none"/>
        </w:rPr>
        <w:t xml:space="preserve">表</w:t>
      </w:r>
      <w:r>
        <w:rPr>
          <w:rFonts w:hint="eastAsia" w:ascii="宋体" w:hAnsi="宋体" w:eastAsia="宋体" w:cs="宋体"/>
          <w:b/>
          <w:bCs/>
          <w:spacing w:val="4"/>
          <w:sz w:val="19"/>
          <w:szCs w:val="19"/>
          <w:highlight w:val="none"/>
          <w:lang w:val="en-US" w:eastAsia="zh-CN"/>
        </w:rPr>
        <w:t xml:space="preserve">3-1</w:t>
      </w:r>
      <w:r>
        <w:rPr>
          <w:rFonts w:ascii="Times New Roman" w:hAnsi="Times New Roman" w:eastAsia="Times New Roman" w:cs="Times New Roman"/>
          <w:b/>
          <w:bCs/>
          <w:spacing w:val="4"/>
          <w:sz w:val="19"/>
          <w:szCs w:val="19"/>
          <w:highlight w:val="none"/>
        </w:rPr>
        <w:t xml:space="preserve">  </w:t>
      </w:r>
      <w:r>
        <w:rPr>
          <w:rFonts w:ascii="宋体" w:hAnsi="宋体" w:eastAsia="宋体" w:cs="宋体"/>
          <w:b/>
          <w:bCs/>
          <w:spacing w:val="4"/>
          <w:sz w:val="19"/>
          <w:szCs w:val="19"/>
          <w:highlight w:val="none"/>
        </w:rPr>
        <w:t xml:space="preserve">照明系统设备统计表</w:t>
      </w:r>
      <w:r>
        <w:rPr>
          <w:rFonts w:ascii="宋体" w:hAnsi="宋体" w:eastAsia="宋体" w:cs="宋体"/>
          <w:b/>
          <w:bCs/>
          <w:sz w:val="19"/>
          <w:szCs w:val="19"/>
          <w:highlight w:val="none"/>
        </w:rPr>
      </w:r>
      <w:r/>
    </w:p>
    <w:p>
      <w:pPr>
        <w:pStyle w:val="984"/>
        <w:pageBreakBefore w:val="0"/>
        <w:spacing w:line="360" w:lineRule="auto"/>
        <w:rPr>
          <w:rFonts w:eastAsia="宋体" w:cs="Times New Roman"/>
          <w:highlight w:val="none"/>
        </w:rPr>
      </w:pPr>
      <w:r>
        <w:rPr>
          <w:rFonts w:eastAsia="宋体" w:cs="Times New Roman"/>
          <w:highlight w:val="none"/>
        </w:rPr>
      </w:r>
      <w:r/>
    </w:p>
    <w:tbl>
      <w:tblPr>
        <w:tblStyle w:val="1070"/>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84"/>
        <w:gridCol w:w="1138"/>
        <w:gridCol w:w="2096"/>
        <w:gridCol w:w="1597"/>
        <w:gridCol w:w="1238"/>
        <w:gridCol w:w="1994"/>
      </w:tblGrid>
      <w:tr>
        <w:trPr>
          <w:trHeight w:val="406"/>
        </w:trPr>
        <w:tc>
          <w:tcPr>
            <w:tcW w:w="443" w:type="dxa"/>
            <w:vAlign w:val="center"/>
            <w:textDirection w:val="lrTb"/>
            <w:noWrap w:val="false"/>
          </w:tcPr>
          <w:p>
            <w:pPr>
              <w:pStyle w:val="1069"/>
              <w:ind w:left="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序号</w:t>
            </w:r>
            <w:r>
              <w:rPr>
                <w:rFonts w:hint="eastAsia" w:ascii="宋体" w:hAnsi="宋体" w:eastAsia="宋体" w:cs="宋体"/>
                <w:sz w:val="18"/>
                <w:szCs w:val="18"/>
                <w:highlight w:val="none"/>
              </w:rPr>
            </w:r>
            <w:r/>
          </w:p>
        </w:tc>
        <w:tc>
          <w:tcPr>
            <w:tcW w:w="643" w:type="dxa"/>
            <w:vAlign w:val="center"/>
            <w:textDirection w:val="lrTb"/>
            <w:noWrap w:val="false"/>
          </w:tcPr>
          <w:p>
            <w:pPr>
              <w:pStyle w:val="1069"/>
              <w:ind w:left="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建筑</w:t>
            </w:r>
            <w:r>
              <w:rPr>
                <w:rFonts w:hint="eastAsia" w:ascii="宋体" w:hAnsi="宋体" w:eastAsia="宋体" w:cs="宋体"/>
                <w:sz w:val="18"/>
                <w:szCs w:val="18"/>
                <w:highlight w:val="none"/>
              </w:rPr>
            </w:r>
            <w:r/>
          </w:p>
        </w:tc>
        <w:tc>
          <w:tcPr>
            <w:tcW w:w="1184" w:type="dxa"/>
            <w:vAlign w:val="center"/>
            <w:textDirection w:val="lrTb"/>
            <w:noWrap w:val="false"/>
          </w:tcPr>
          <w:p>
            <w:pPr>
              <w:pStyle w:val="1069"/>
              <w:ind w:left="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类型</w:t>
            </w:r>
            <w:r>
              <w:rPr>
                <w:rFonts w:hint="eastAsia" w:ascii="宋体" w:hAnsi="宋体" w:eastAsia="宋体" w:cs="宋体"/>
                <w:sz w:val="18"/>
                <w:szCs w:val="18"/>
                <w:highlight w:val="none"/>
              </w:rPr>
            </w:r>
            <w:r/>
          </w:p>
        </w:tc>
        <w:tc>
          <w:tcPr>
            <w:tcW w:w="902" w:type="dxa"/>
            <w:vAlign w:val="center"/>
            <w:textDirection w:val="lrTb"/>
            <w:noWrap w:val="false"/>
          </w:tcPr>
          <w:p>
            <w:pPr>
              <w:pStyle w:val="1069"/>
              <w:ind w:left="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5"/>
                <w:sz w:val="18"/>
                <w:szCs w:val="18"/>
                <w:highlight w:val="none"/>
              </w:rPr>
              <w:t xml:space="preserve">单台功率（W）</w:t>
            </w:r>
            <w:r>
              <w:rPr>
                <w:rFonts w:hint="eastAsia" w:ascii="宋体" w:hAnsi="宋体" w:eastAsia="宋体" w:cs="宋体"/>
                <w:sz w:val="18"/>
                <w:szCs w:val="18"/>
                <w:highlight w:val="none"/>
              </w:rPr>
            </w:r>
            <w:r/>
          </w:p>
        </w:tc>
        <w:tc>
          <w:tcPr>
            <w:tcW w:w="699" w:type="dxa"/>
            <w:vAlign w:val="center"/>
            <w:textDirection w:val="lrTb"/>
            <w:noWrap w:val="false"/>
          </w:tcPr>
          <w:p>
            <w:pPr>
              <w:pStyle w:val="1069"/>
              <w:ind w:left="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数量</w:t>
            </w:r>
            <w:r>
              <w:rPr>
                <w:rFonts w:hint="eastAsia" w:ascii="宋体" w:hAnsi="宋体" w:eastAsia="宋体" w:cs="宋体"/>
                <w:sz w:val="18"/>
                <w:szCs w:val="18"/>
                <w:highlight w:val="none"/>
              </w:rPr>
            </w:r>
            <w:r/>
          </w:p>
        </w:tc>
        <w:tc>
          <w:tcPr>
            <w:tcW w:w="1126" w:type="dxa"/>
            <w:vAlign w:val="center"/>
            <w:textDirection w:val="lrTb"/>
            <w:noWrap w:val="false"/>
          </w:tcPr>
          <w:p>
            <w:pPr>
              <w:pStyle w:val="1069"/>
              <w:ind w:left="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总功率（W）</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71"/>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643" w:type="dxa"/>
            <w:vAlign w:val="center"/>
            <w:vMerge w:val="restart"/>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69"/>
              <w:ind w:left="387"/>
              <w:jc w:val="both"/>
              <w:keepLines w:val="0"/>
              <w:keepNext w:val="0"/>
              <w:pageBreakBefore w:val="0"/>
              <w:spacing w:before="61"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主楼</w:t>
            </w:r>
            <w:r>
              <w:rPr>
                <w:rFonts w:hint="eastAsia" w:ascii="宋体" w:hAnsi="宋体" w:eastAsia="宋体" w:cs="宋体"/>
                <w:sz w:val="18"/>
                <w:szCs w:val="18"/>
                <w:highlight w:val="none"/>
              </w:rPr>
            </w:r>
            <w:r/>
          </w:p>
        </w:tc>
        <w:tc>
          <w:tcPr>
            <w:tcW w:w="1184" w:type="dxa"/>
            <w:vAlign w:val="top"/>
            <w:textDirection w:val="lrTb"/>
            <w:noWrap w:val="false"/>
          </w:tcPr>
          <w:p>
            <w:pPr>
              <w:pStyle w:val="1069"/>
              <w:ind w:left="574"/>
              <w:keepLines w:val="0"/>
              <w:keepNext w:val="0"/>
              <w:pageBreakBefore w:val="0"/>
              <w:spacing w:before="100"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平板灯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7"/>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70"/>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900</w:t>
            </w:r>
            <w:r>
              <w:rPr>
                <w:rFonts w:hint="eastAsia" w:ascii="宋体" w:hAnsi="宋体" w:eastAsia="宋体" w:cs="宋体"/>
                <w:sz w:val="18"/>
                <w:szCs w:val="18"/>
                <w:highlight w:val="none"/>
              </w:rPr>
            </w:r>
            <w:r/>
          </w:p>
        </w:tc>
      </w:tr>
      <w:tr>
        <w:trPr>
          <w:trHeight w:val="401"/>
        </w:trPr>
        <w:tc>
          <w:tcPr>
            <w:tcW w:w="443" w:type="dxa"/>
            <w:vAlign w:val="top"/>
            <w:textDirection w:val="lrTb"/>
            <w:noWrap w:val="false"/>
          </w:tcPr>
          <w:p>
            <w:pPr>
              <w:pStyle w:val="984"/>
              <w:ind w:left="352"/>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4"/>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平板灯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7"/>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70"/>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900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56"/>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773"/>
              <w:keepLines w:val="0"/>
              <w:keepNext w:val="0"/>
              <w:pageBreakBefore w:val="0"/>
              <w:spacing w:before="100"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24"/>
                <w:sz w:val="18"/>
                <w:szCs w:val="18"/>
                <w:highlight w:val="none"/>
              </w:rPr>
              <w:t xml:space="preserve">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8"/>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60</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18"/>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2160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51"/>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4</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灯泡</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12</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7"/>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65"/>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432</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57"/>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62"/>
              <w:keepLines w:val="0"/>
              <w:keepNext w:val="0"/>
              <w:pageBreakBefore w:val="0"/>
              <w:spacing w:before="99"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1.2米格栅灯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z w:val="18"/>
                <w:szCs w:val="18"/>
                <w:highlight w:val="none"/>
              </w:rPr>
            </w:r>
            <w:r/>
          </w:p>
        </w:tc>
        <w:tc>
          <w:tcPr>
            <w:tcW w:w="699" w:type="dxa"/>
            <w:vAlign w:val="top"/>
            <w:textDirection w:val="lrTb"/>
            <w:noWrap w:val="false"/>
          </w:tcPr>
          <w:p>
            <w:pPr>
              <w:pStyle w:val="984"/>
              <w:ind w:left="553"/>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16</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72"/>
              <w:keepLines w:val="0"/>
              <w:keepNext w:val="0"/>
              <w:pageBreakBefore w:val="0"/>
              <w:spacing w:before="134"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576</w:t>
            </w:r>
            <w:r>
              <w:rPr>
                <w:rFonts w:hint="eastAsia" w:ascii="宋体" w:hAnsi="宋体" w:eastAsia="宋体" w:cs="宋体"/>
                <w:sz w:val="18"/>
                <w:szCs w:val="18"/>
                <w:highlight w:val="none"/>
              </w:rPr>
            </w:r>
            <w:r/>
          </w:p>
        </w:tc>
      </w:tr>
      <w:tr>
        <w:trPr>
          <w:trHeight w:val="401"/>
        </w:trPr>
        <w:tc>
          <w:tcPr>
            <w:tcW w:w="443" w:type="dxa"/>
            <w:vAlign w:val="top"/>
            <w:textDirection w:val="lrTb"/>
            <w:noWrap w:val="false"/>
          </w:tcPr>
          <w:p>
            <w:pPr>
              <w:pStyle w:val="984"/>
              <w:ind w:left="356"/>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65"/>
              <w:keepLines w:val="0"/>
              <w:keepNext w:val="0"/>
              <w:pageBreakBefore w:val="0"/>
              <w:spacing w:before="100" w:line="240" w:lineRule="auto"/>
              <w:widowControl w:val="off"/>
              <w:rPr>
                <w:rFonts w:hint="eastAsia" w:ascii="宋体" w:hAnsi="宋体" w:eastAsia="宋体" w:cs="宋体"/>
                <w:sz w:val="18"/>
                <w:szCs w:val="18"/>
                <w:highlight w:val="none"/>
              </w:rPr>
            </w:pPr>
            <w:r>
              <w:rPr>
                <w:rFonts w:hint="eastAsia" w:ascii="宋体" w:hAnsi="宋体" w:eastAsia="宋体" w:cs="宋体"/>
                <w:spacing w:val="10"/>
                <w:sz w:val="18"/>
                <w:szCs w:val="18"/>
                <w:highlight w:val="none"/>
              </w:rPr>
              <w:t xml:space="preserve">T5</w:t>
            </w:r>
            <w:r>
              <w:rPr>
                <w:rFonts w:hint="eastAsia" w:ascii="宋体" w:hAnsi="宋体" w:eastAsia="宋体" w:cs="宋体"/>
                <w:sz w:val="18"/>
                <w:szCs w:val="18"/>
                <w:highlight w:val="none"/>
              </w:rPr>
              <w:t xml:space="preserve">LED</w:t>
            </w:r>
            <w:r>
              <w:rPr>
                <w:rFonts w:hint="eastAsia" w:ascii="宋体" w:hAnsi="宋体" w:eastAsia="宋体" w:cs="宋体"/>
                <w:spacing w:val="10"/>
                <w:sz w:val="18"/>
                <w:szCs w:val="18"/>
                <w:highlight w:val="none"/>
              </w:rPr>
              <w:t xml:space="preserve">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18</w:t>
            </w:r>
            <w:r>
              <w:rPr>
                <w:rFonts w:hint="eastAsia" w:ascii="宋体" w:hAnsi="宋体" w:eastAsia="宋体" w:cs="宋体"/>
                <w:sz w:val="18"/>
                <w:szCs w:val="18"/>
                <w:highlight w:val="none"/>
              </w:rPr>
            </w:r>
            <w:r/>
          </w:p>
        </w:tc>
        <w:tc>
          <w:tcPr>
            <w:tcW w:w="699" w:type="dxa"/>
            <w:vAlign w:val="top"/>
            <w:textDirection w:val="lrTb"/>
            <w:noWrap w:val="false"/>
          </w:tcPr>
          <w:p>
            <w:pPr>
              <w:pStyle w:val="984"/>
              <w:ind w:left="505"/>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196</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22"/>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3528</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55"/>
              <w:keepLines w:val="0"/>
              <w:keepNext w:val="0"/>
              <w:pageBreakBefore w:val="0"/>
              <w:spacing w:before="140"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7</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7"/>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荧光射灯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1"/>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50</w:t>
            </w:r>
            <w:r>
              <w:rPr>
                <w:rFonts w:hint="eastAsia" w:ascii="宋体" w:hAnsi="宋体" w:eastAsia="宋体" w:cs="宋体"/>
                <w:sz w:val="18"/>
                <w:szCs w:val="18"/>
                <w:highlight w:val="none"/>
              </w:rPr>
            </w:r>
            <w:r/>
          </w:p>
        </w:tc>
        <w:tc>
          <w:tcPr>
            <w:tcW w:w="699" w:type="dxa"/>
            <w:vAlign w:val="top"/>
            <w:textDirection w:val="lrTb"/>
            <w:noWrap w:val="false"/>
          </w:tcPr>
          <w:p>
            <w:pPr>
              <w:pStyle w:val="984"/>
              <w:ind w:left="505"/>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120</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23"/>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6000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60"/>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灯泡</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18</w:t>
            </w:r>
            <w:r>
              <w:rPr>
                <w:rFonts w:hint="eastAsia" w:ascii="宋体" w:hAnsi="宋体" w:eastAsia="宋体" w:cs="宋体"/>
                <w:sz w:val="18"/>
                <w:szCs w:val="18"/>
                <w:highlight w:val="none"/>
              </w:rPr>
            </w:r>
            <w:r/>
          </w:p>
        </w:tc>
        <w:tc>
          <w:tcPr>
            <w:tcW w:w="699" w:type="dxa"/>
            <w:vAlign w:val="top"/>
            <w:textDirection w:val="lrTb"/>
            <w:noWrap w:val="false"/>
          </w:tcPr>
          <w:p>
            <w:pPr>
              <w:pStyle w:val="984"/>
              <w:ind w:left="541"/>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88</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38"/>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1584</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56"/>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46"/>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0.6米格栅灯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1"/>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54</w:t>
            </w:r>
            <w:r>
              <w:rPr>
                <w:rFonts w:hint="eastAsia" w:ascii="宋体" w:hAnsi="宋体" w:eastAsia="宋体" w:cs="宋体"/>
                <w:sz w:val="18"/>
                <w:szCs w:val="18"/>
                <w:highlight w:val="none"/>
              </w:rPr>
            </w:r>
            <w:r/>
          </w:p>
        </w:tc>
        <w:tc>
          <w:tcPr>
            <w:tcW w:w="699" w:type="dxa"/>
            <w:vAlign w:val="top"/>
            <w:textDirection w:val="lrTb"/>
            <w:noWrap w:val="false"/>
          </w:tcPr>
          <w:p>
            <w:pPr>
              <w:pStyle w:val="984"/>
              <w:ind w:left="505"/>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144</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22"/>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7776</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62"/>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1.2米格栅灯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1"/>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56</w:t>
            </w:r>
            <w:r>
              <w:rPr>
                <w:rFonts w:hint="eastAsia" w:ascii="宋体" w:hAnsi="宋体" w:eastAsia="宋体" w:cs="宋体"/>
                <w:sz w:val="18"/>
                <w:szCs w:val="18"/>
                <w:highlight w:val="none"/>
              </w:rPr>
            </w:r>
            <w:r/>
          </w:p>
        </w:tc>
        <w:tc>
          <w:tcPr>
            <w:tcW w:w="699" w:type="dxa"/>
            <w:vAlign w:val="top"/>
            <w:textDirection w:val="lrTb"/>
            <w:noWrap w:val="false"/>
          </w:tcPr>
          <w:p>
            <w:pPr>
              <w:pStyle w:val="984"/>
              <w:ind w:left="505"/>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104</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24"/>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5824</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11</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773"/>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LDE</w:t>
            </w:r>
            <w:r>
              <w:rPr>
                <w:rFonts w:hint="eastAsia" w:ascii="宋体" w:hAnsi="宋体" w:eastAsia="宋体" w:cs="宋体"/>
                <w:spacing w:val="24"/>
                <w:sz w:val="18"/>
                <w:szCs w:val="18"/>
                <w:highlight w:val="none"/>
              </w:rPr>
              <w:t xml:space="preserve">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16"/>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28</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9"/>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50</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38"/>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1400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12</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773"/>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24"/>
                <w:sz w:val="18"/>
                <w:szCs w:val="18"/>
                <w:highlight w:val="none"/>
              </w:rPr>
              <w:t xml:space="preserve">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z w:val="18"/>
                <w:szCs w:val="18"/>
                <w:highlight w:val="none"/>
              </w:rPr>
            </w:r>
            <w:r/>
          </w:p>
        </w:tc>
        <w:tc>
          <w:tcPr>
            <w:tcW w:w="699" w:type="dxa"/>
            <w:vAlign w:val="top"/>
            <w:textDirection w:val="lrTb"/>
            <w:noWrap w:val="false"/>
          </w:tcPr>
          <w:p>
            <w:pPr>
              <w:pStyle w:val="984"/>
              <w:ind w:left="489"/>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360</w:t>
            </w:r>
            <w:r>
              <w:rPr>
                <w:rFonts w:hint="eastAsia" w:ascii="宋体" w:hAnsi="宋体" w:eastAsia="宋体" w:cs="宋体"/>
                <w:sz w:val="18"/>
                <w:szCs w:val="18"/>
                <w:highlight w:val="none"/>
              </w:rPr>
            </w:r>
            <w:r/>
          </w:p>
        </w:tc>
        <w:tc>
          <w:tcPr>
            <w:tcW w:w="1126" w:type="dxa"/>
            <w:vAlign w:val="top"/>
            <w:textDirection w:val="lrTb"/>
            <w:noWrap w:val="false"/>
          </w:tcPr>
          <w:p>
            <w:pPr>
              <w:pStyle w:val="984"/>
              <w:ind w:left="787"/>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12960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13</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4"/>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投光灯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684"/>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180</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9"/>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50</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22"/>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9000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14</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773"/>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24"/>
                <w:sz w:val="18"/>
                <w:szCs w:val="18"/>
                <w:highlight w:val="none"/>
              </w:rPr>
              <w:t xml:space="preserve">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4"/>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84</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9"/>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54</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17"/>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4536</w:t>
            </w:r>
            <w:r>
              <w:rPr>
                <w:rFonts w:hint="eastAsia" w:ascii="宋体" w:hAnsi="宋体" w:eastAsia="宋体" w:cs="宋体"/>
                <w:sz w:val="18"/>
                <w:szCs w:val="18"/>
                <w:highlight w:val="none"/>
              </w:rPr>
            </w:r>
            <w:r/>
          </w:p>
        </w:tc>
      </w:tr>
      <w:tr>
        <w:trPr>
          <w:trHeight w:val="401"/>
        </w:trPr>
        <w:tc>
          <w:tcPr>
            <w:tcW w:w="443" w:type="dxa"/>
            <w:vAlign w:val="top"/>
            <w:textDirection w:val="lrTb"/>
            <w:noWrap w:val="false"/>
          </w:tcPr>
          <w:p>
            <w:pPr>
              <w:pStyle w:val="984"/>
              <w:ind w:left="321"/>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15</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8"/>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荧光节能灯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65</w:t>
            </w:r>
            <w:r>
              <w:rPr>
                <w:rFonts w:hint="eastAsia" w:ascii="宋体" w:hAnsi="宋体" w:eastAsia="宋体" w:cs="宋体"/>
                <w:sz w:val="18"/>
                <w:szCs w:val="18"/>
                <w:highlight w:val="none"/>
              </w:rPr>
            </w:r>
            <w:r/>
          </w:p>
        </w:tc>
        <w:tc>
          <w:tcPr>
            <w:tcW w:w="699" w:type="dxa"/>
            <w:vAlign w:val="top"/>
            <w:textDirection w:val="lrTb"/>
            <w:noWrap w:val="false"/>
          </w:tcPr>
          <w:p>
            <w:pPr>
              <w:pStyle w:val="984"/>
              <w:ind w:left="553"/>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18</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38"/>
              <w:keepLines w:val="0"/>
              <w:keepNext w:val="0"/>
              <w:pageBreakBefore w:val="0"/>
              <w:spacing w:before="13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1170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16</w:t>
            </w:r>
            <w:r>
              <w:rPr>
                <w:rFonts w:hint="eastAsia" w:ascii="宋体" w:hAnsi="宋体" w:eastAsia="宋体" w:cs="宋体"/>
                <w:sz w:val="18"/>
                <w:szCs w:val="18"/>
                <w:highlight w:val="none"/>
              </w:rPr>
            </w:r>
            <w:r/>
          </w:p>
        </w:tc>
        <w:tc>
          <w:tcPr>
            <w:tcW w:w="643" w:type="dxa"/>
            <w:vAlign w:val="center"/>
            <w:vMerge w:val="restart"/>
            <w:textDirection w:val="lrTb"/>
            <w:noWrap w:val="false"/>
          </w:tcPr>
          <w:p>
            <w:pPr>
              <w:pStyle w:val="1069"/>
              <w:ind w:right="0"/>
              <w:jc w:val="center"/>
              <w:keepLines w:val="0"/>
              <w:keepNext w:val="0"/>
              <w:pageBreakBefore w:val="0"/>
              <w:spacing w:before="61"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环境监测</w:t>
            </w:r>
            <w:r>
              <w:rPr>
                <w:rFonts w:hint="eastAsia" w:ascii="宋体" w:hAnsi="宋体" w:eastAsia="宋体" w:cs="宋体"/>
                <w:sz w:val="18"/>
                <w:szCs w:val="18"/>
                <w:highlight w:val="none"/>
              </w:rPr>
              <w:t xml:space="preserve">站</w:t>
            </w: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10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筒灯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7"/>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76</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70"/>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760</w:t>
            </w:r>
            <w:r>
              <w:rPr>
                <w:rFonts w:hint="eastAsia" w:ascii="宋体" w:hAnsi="宋体" w:eastAsia="宋体" w:cs="宋体"/>
                <w:sz w:val="18"/>
                <w:szCs w:val="18"/>
                <w:highlight w:val="none"/>
              </w:rPr>
            </w:r>
            <w:r/>
          </w:p>
        </w:tc>
      </w:tr>
      <w:tr>
        <w:trPr>
          <w:trHeight w:val="401"/>
        </w:trPr>
        <w:tc>
          <w:tcPr>
            <w:tcW w:w="443" w:type="dxa"/>
            <w:vAlign w:val="top"/>
            <w:textDirection w:val="lrTb"/>
            <w:noWrap w:val="false"/>
          </w:tcPr>
          <w:p>
            <w:pPr>
              <w:pStyle w:val="984"/>
              <w:ind w:left="321"/>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17</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4"/>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平板灯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z w:val="18"/>
                <w:szCs w:val="18"/>
                <w:highlight w:val="none"/>
              </w:rPr>
            </w:r>
            <w:r/>
          </w:p>
        </w:tc>
        <w:tc>
          <w:tcPr>
            <w:tcW w:w="699" w:type="dxa"/>
            <w:vAlign w:val="top"/>
            <w:textDirection w:val="lrTb"/>
            <w:noWrap w:val="false"/>
          </w:tcPr>
          <w:p>
            <w:pPr>
              <w:pStyle w:val="984"/>
              <w:ind w:left="505"/>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147</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17"/>
              <w:keepLines w:val="0"/>
              <w:keepNext w:val="0"/>
              <w:pageBreakBefore w:val="0"/>
              <w:spacing w:before="136"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4410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18</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10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圆灯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z w:val="18"/>
                <w:szCs w:val="18"/>
                <w:highlight w:val="none"/>
              </w:rPr>
            </w:r>
            <w:r/>
          </w:p>
        </w:tc>
        <w:tc>
          <w:tcPr>
            <w:tcW w:w="699" w:type="dxa"/>
            <w:vAlign w:val="top"/>
            <w:textDirection w:val="lrTb"/>
            <w:noWrap w:val="false"/>
          </w:tcPr>
          <w:p>
            <w:pPr>
              <w:pStyle w:val="984"/>
              <w:ind w:left="583"/>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4</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86"/>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144</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21"/>
              <w:keepLines w:val="0"/>
              <w:keepNext w:val="0"/>
              <w:pageBreakBefore w:val="0"/>
              <w:spacing w:before="139"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19</w:t>
            </w:r>
            <w:r>
              <w:rPr>
                <w:rFonts w:hint="eastAsia" w:ascii="宋体" w:hAnsi="宋体" w:eastAsia="宋体" w:cs="宋体"/>
                <w:sz w:val="18"/>
                <w:szCs w:val="18"/>
                <w:highlight w:val="none"/>
              </w:rPr>
            </w:r>
            <w:r/>
          </w:p>
        </w:tc>
        <w:tc>
          <w:tcPr>
            <w:tcW w:w="643" w:type="dxa"/>
            <w:vAlign w:val="center"/>
            <w:vMerge w:val="restart"/>
            <w:textDirection w:val="lrTb"/>
            <w:noWrap w:val="false"/>
          </w:tcPr>
          <w:p>
            <w:pPr>
              <w:pStyle w:val="1069"/>
              <w:jc w:val="center"/>
              <w:keepLines w:val="0"/>
              <w:keepNext w:val="0"/>
              <w:pageBreakBefore w:val="0"/>
              <w:spacing w:before="62" w:line="240" w:lineRule="auto"/>
              <w:widowControl w:val="off"/>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食堂</w:t>
            </w:r>
            <w:r>
              <w:rPr>
                <w:rFonts w:hint="eastAsia" w:ascii="宋体" w:hAnsi="宋体" w:eastAsia="宋体" w:cs="宋体"/>
                <w:sz w:val="18"/>
                <w:szCs w:val="18"/>
                <w:highlight w:val="none"/>
              </w:rPr>
            </w:r>
            <w:r/>
          </w:p>
        </w:tc>
        <w:tc>
          <w:tcPr>
            <w:tcW w:w="1184" w:type="dxa"/>
            <w:vAlign w:val="top"/>
            <w:textDirection w:val="lrTb"/>
            <w:noWrap w:val="false"/>
          </w:tcPr>
          <w:p>
            <w:pPr>
              <w:pStyle w:val="1069"/>
              <w:ind w:left="677"/>
              <w:keepLines w:val="0"/>
              <w:keepNext w:val="0"/>
              <w:pageBreakBefore w:val="0"/>
              <w:spacing w:before="104"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荧光筒灯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9"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z w:val="18"/>
                <w:szCs w:val="18"/>
                <w:highlight w:val="none"/>
              </w:rPr>
            </w:r>
            <w:r/>
          </w:p>
        </w:tc>
        <w:tc>
          <w:tcPr>
            <w:tcW w:w="699" w:type="dxa"/>
            <w:vAlign w:val="top"/>
            <w:textDirection w:val="lrTb"/>
            <w:noWrap w:val="false"/>
          </w:tcPr>
          <w:p>
            <w:pPr>
              <w:pStyle w:val="984"/>
              <w:ind w:left="485"/>
              <w:keepLines w:val="0"/>
              <w:keepNext w:val="0"/>
              <w:pageBreakBefore w:val="0"/>
              <w:spacing w:before="139"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246</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18"/>
              <w:keepLines w:val="0"/>
              <w:keepNext w:val="0"/>
              <w:pageBreakBefore w:val="0"/>
              <w:spacing w:before="139"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2460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02"/>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20</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59"/>
              <w:keepLines w:val="0"/>
              <w:keepNext w:val="0"/>
              <w:pageBreakBefore w:val="0"/>
              <w:spacing w:before="103"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T5荧光灯管</w:t>
            </w:r>
            <w:r>
              <w:rPr>
                <w:rFonts w:hint="eastAsia" w:ascii="宋体" w:hAnsi="宋体" w:eastAsia="宋体" w:cs="宋体"/>
                <w:sz w:val="18"/>
                <w:szCs w:val="18"/>
                <w:highlight w:val="none"/>
              </w:rPr>
            </w:r>
            <w:r/>
          </w:p>
        </w:tc>
        <w:tc>
          <w:tcPr>
            <w:tcW w:w="902" w:type="dxa"/>
            <w:vAlign w:val="top"/>
            <w:textDirection w:val="lrTb"/>
            <w:noWrap w:val="false"/>
          </w:tcPr>
          <w:p>
            <w:pPr>
              <w:pStyle w:val="984"/>
              <w:ind w:left="715"/>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42</w:t>
            </w:r>
            <w:r>
              <w:rPr>
                <w:rFonts w:hint="eastAsia" w:ascii="宋体" w:hAnsi="宋体" w:eastAsia="宋体" w:cs="宋体"/>
                <w:sz w:val="18"/>
                <w:szCs w:val="18"/>
                <w:highlight w:val="none"/>
              </w:rPr>
            </w:r>
            <w:r/>
          </w:p>
        </w:tc>
        <w:tc>
          <w:tcPr>
            <w:tcW w:w="699" w:type="dxa"/>
            <w:vAlign w:val="top"/>
            <w:textDirection w:val="lrTb"/>
            <w:noWrap w:val="false"/>
          </w:tcPr>
          <w:p>
            <w:pPr>
              <w:pStyle w:val="984"/>
              <w:ind w:left="484"/>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435</w:t>
            </w:r>
            <w:r>
              <w:rPr>
                <w:rFonts w:hint="eastAsia" w:ascii="宋体" w:hAnsi="宋体" w:eastAsia="宋体" w:cs="宋体"/>
                <w:sz w:val="18"/>
                <w:szCs w:val="18"/>
                <w:highlight w:val="none"/>
              </w:rPr>
            </w:r>
            <w:r/>
          </w:p>
        </w:tc>
        <w:tc>
          <w:tcPr>
            <w:tcW w:w="1126" w:type="dxa"/>
            <w:vAlign w:val="top"/>
            <w:textDirection w:val="lrTb"/>
            <w:noWrap w:val="false"/>
          </w:tcPr>
          <w:p>
            <w:pPr>
              <w:pStyle w:val="984"/>
              <w:ind w:left="787"/>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18270</w:t>
            </w:r>
            <w:r>
              <w:rPr>
                <w:rFonts w:hint="eastAsia" w:ascii="宋体" w:hAnsi="宋体" w:eastAsia="宋体" w:cs="宋体"/>
                <w:sz w:val="18"/>
                <w:szCs w:val="18"/>
                <w:highlight w:val="none"/>
              </w:rPr>
            </w:r>
            <w:r/>
          </w:p>
        </w:tc>
      </w:tr>
      <w:tr>
        <w:trPr>
          <w:trHeight w:val="402"/>
        </w:trPr>
        <w:tc>
          <w:tcPr>
            <w:tcW w:w="443" w:type="dxa"/>
            <w:vAlign w:val="top"/>
            <w:textDirection w:val="lrTb"/>
            <w:noWrap w:val="false"/>
          </w:tcPr>
          <w:p>
            <w:pPr>
              <w:pStyle w:val="984"/>
              <w:ind w:left="302"/>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21</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8"/>
              <w:keepLines w:val="0"/>
              <w:keepNext w:val="0"/>
              <w:pageBreakBefore w:val="0"/>
              <w:spacing w:before="104"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荧光节能灯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16"/>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28</w:t>
            </w:r>
            <w:r>
              <w:rPr>
                <w:rFonts w:hint="eastAsia" w:ascii="宋体" w:hAnsi="宋体" w:eastAsia="宋体" w:cs="宋体"/>
                <w:sz w:val="18"/>
                <w:szCs w:val="18"/>
                <w:highlight w:val="none"/>
              </w:rPr>
            </w:r>
            <w:r/>
          </w:p>
        </w:tc>
        <w:tc>
          <w:tcPr>
            <w:tcW w:w="699" w:type="dxa"/>
            <w:vAlign w:val="top"/>
            <w:textDirection w:val="lrTb"/>
            <w:noWrap w:val="false"/>
          </w:tcPr>
          <w:p>
            <w:pPr>
              <w:pStyle w:val="984"/>
              <w:ind w:left="532"/>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44</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38"/>
              <w:keepLines w:val="0"/>
              <w:keepNext w:val="0"/>
              <w:pageBreakBefore w:val="0"/>
              <w:spacing w:before="138"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1232</w:t>
            </w:r>
            <w:r>
              <w:rPr>
                <w:rFonts w:hint="eastAsia" w:ascii="宋体" w:hAnsi="宋体" w:eastAsia="宋体" w:cs="宋体"/>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22</w:t>
            </w:r>
            <w:r>
              <w:rPr>
                <w:rFonts w:hint="eastAsia" w:ascii="宋体" w:hAnsi="宋体" w:eastAsia="宋体" w:cs="宋体"/>
                <w:sz w:val="18"/>
                <w:szCs w:val="18"/>
                <w:highlight w:val="none"/>
              </w:rPr>
            </w:r>
            <w:r/>
          </w:p>
        </w:tc>
        <w:tc>
          <w:tcPr>
            <w:tcW w:w="643" w:type="dxa"/>
            <w:vAlign w:val="center"/>
            <w:vMerge w:val="continue"/>
            <w:textDirection w:val="lrTb"/>
            <w:noWrap w:val="false"/>
          </w:tcPr>
          <w:p>
            <w:pPr>
              <w:pStyle w:val="984"/>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10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筒灯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z w:val="18"/>
                <w:szCs w:val="18"/>
                <w:highlight w:val="none"/>
              </w:rPr>
            </w:r>
            <w:r/>
          </w:p>
        </w:tc>
        <w:tc>
          <w:tcPr>
            <w:tcW w:w="699" w:type="dxa"/>
            <w:vAlign w:val="top"/>
            <w:textDirection w:val="lrTb"/>
            <w:noWrap w:val="false"/>
          </w:tcPr>
          <w:p>
            <w:pPr>
              <w:pStyle w:val="984"/>
              <w:ind w:left="541"/>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84</w:t>
            </w:r>
            <w:r>
              <w:rPr>
                <w:rFonts w:hint="eastAsia" w:ascii="宋体" w:hAnsi="宋体" w:eastAsia="宋体" w:cs="宋体"/>
                <w:sz w:val="18"/>
                <w:szCs w:val="18"/>
                <w:highlight w:val="none"/>
              </w:rPr>
            </w:r>
            <w:r/>
          </w:p>
        </w:tc>
        <w:tc>
          <w:tcPr>
            <w:tcW w:w="1126" w:type="dxa"/>
            <w:vAlign w:val="top"/>
            <w:textDirection w:val="lrTb"/>
            <w:noWrap w:val="false"/>
          </w:tcPr>
          <w:p>
            <w:pPr>
              <w:pStyle w:val="984"/>
              <w:ind w:left="874"/>
              <w:keepLines w:val="0"/>
              <w:keepNext w:val="0"/>
              <w:pageBreakBefore w:val="0"/>
              <w:spacing w:before="137"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840</w:t>
            </w:r>
            <w:r>
              <w:rPr>
                <w:rFonts w:hint="eastAsia" w:ascii="宋体" w:hAnsi="宋体" w:eastAsia="宋体" w:cs="宋体"/>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4"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23</w:t>
            </w:r>
            <w:r>
              <w:rPr>
                <w:rFonts w:hint="eastAsia" w:ascii="宋体" w:hAnsi="宋体" w:eastAsia="宋体" w:cs="宋体"/>
                <w:spacing w:val="3"/>
                <w:sz w:val="18"/>
                <w:szCs w:val="18"/>
                <w:highlight w:val="none"/>
              </w:rPr>
            </w:r>
            <w:r/>
          </w:p>
        </w:tc>
        <w:tc>
          <w:tcPr>
            <w:tcW w:w="643" w:type="dxa"/>
            <w:vAlign w:val="center"/>
            <w:vMerge w:val="restart"/>
            <w:textDirection w:val="lrTb"/>
            <w:noWrap w:val="false"/>
          </w:tcPr>
          <w:p>
            <w:pPr>
              <w:pStyle w:val="1069"/>
              <w:ind w:right="0"/>
              <w:jc w:val="center"/>
              <w:keepLines w:val="0"/>
              <w:keepNext w:val="0"/>
              <w:pageBreakBefore w:val="0"/>
              <w:spacing w:before="62"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服务中心</w:t>
            </w:r>
            <w:r>
              <w:rPr>
                <w:rFonts w:hint="eastAsia" w:ascii="宋体" w:hAnsi="宋体" w:eastAsia="宋体" w:cs="宋体"/>
                <w:spacing w:val="2"/>
                <w:sz w:val="18"/>
                <w:szCs w:val="18"/>
                <w:highlight w:val="none"/>
              </w:rPr>
              <w:t xml:space="preserve">楼</w:t>
            </w:r>
            <w:r>
              <w:rPr>
                <w:rFonts w:hint="eastAsia" w:ascii="宋体" w:hAnsi="宋体" w:eastAsia="宋体" w:cs="宋体"/>
                <w:sz w:val="18"/>
                <w:szCs w:val="18"/>
                <w:highlight w:val="none"/>
              </w:rPr>
            </w:r>
            <w:r/>
          </w:p>
        </w:tc>
        <w:tc>
          <w:tcPr>
            <w:tcW w:w="1184" w:type="dxa"/>
            <w:vAlign w:val="top"/>
            <w:textDirection w:val="lrTb"/>
            <w:noWrap w:val="false"/>
          </w:tcPr>
          <w:p>
            <w:pPr>
              <w:pStyle w:val="1069"/>
              <w:ind w:left="574"/>
              <w:keepLines w:val="0"/>
              <w:keepNext w:val="0"/>
              <w:pageBreakBefore w:val="0"/>
              <w:spacing w:before="100"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平板灯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4"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53"/>
              <w:keepLines w:val="0"/>
              <w:keepNext w:val="0"/>
              <w:pageBreakBefore w:val="0"/>
              <w:spacing w:before="134"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7"/>
                <w:sz w:val="18"/>
                <w:szCs w:val="18"/>
                <w:highlight w:val="none"/>
              </w:rPr>
              <w:t xml:space="preserve">17</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72"/>
              <w:keepLines w:val="0"/>
              <w:keepNext w:val="0"/>
              <w:pageBreakBefore w:val="0"/>
              <w:spacing w:before="134"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2"/>
                <w:sz w:val="18"/>
                <w:szCs w:val="18"/>
                <w:highlight w:val="none"/>
              </w:rPr>
              <w:t xml:space="preserve">510</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3"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24</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98"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圆灯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3"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92"/>
              <w:keepLines w:val="0"/>
              <w:keepNext w:val="0"/>
              <w:pageBreakBefore w:val="0"/>
              <w:spacing w:before="133" w:line="240" w:lineRule="auto"/>
              <w:widowControl w:val="off"/>
              <w:rPr>
                <w:rFonts w:hint="eastAsia" w:ascii="宋体" w:hAnsi="宋体" w:eastAsia="宋体" w:cs="宋体"/>
                <w:spacing w:val="-1"/>
                <w:sz w:val="18"/>
                <w:szCs w:val="18"/>
                <w:highlight w:val="none"/>
              </w:rPr>
            </w:pPr>
            <w:r>
              <w:rPr>
                <w:rFonts w:hint="eastAsia" w:ascii="宋体" w:hAnsi="宋体" w:eastAsia="宋体" w:cs="宋体"/>
                <w:sz w:val="18"/>
                <w:szCs w:val="18"/>
                <w:highlight w:val="none"/>
              </w:rPr>
              <w:t xml:space="preserve">8</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66"/>
              <w:keepLines w:val="0"/>
              <w:keepNext w:val="0"/>
              <w:pageBreakBefore w:val="0"/>
              <w:spacing w:before="133"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288</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4"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25</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99"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灯泡</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4"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7"/>
                <w:sz w:val="18"/>
                <w:szCs w:val="18"/>
                <w:highlight w:val="none"/>
              </w:rPr>
              <w:t xml:space="preserve">12</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53"/>
              <w:keepLines w:val="0"/>
              <w:keepNext w:val="0"/>
              <w:pageBreakBefore w:val="0"/>
              <w:spacing w:before="134"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7"/>
                <w:sz w:val="18"/>
                <w:szCs w:val="18"/>
                <w:highlight w:val="none"/>
              </w:rPr>
              <w:t xml:space="preserve">12</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86"/>
              <w:keepLines w:val="0"/>
              <w:keepNext w:val="0"/>
              <w:pageBreakBefore w:val="0"/>
              <w:spacing w:before="134"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144</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6"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26</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4"/>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格栅灯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1"/>
              <w:keepLines w:val="0"/>
              <w:keepNext w:val="0"/>
              <w:pageBreakBefore w:val="0"/>
              <w:spacing w:before="136" w:line="240" w:lineRule="auto"/>
              <w:widowControl w:val="off"/>
              <w:rPr>
                <w:rFonts w:hint="eastAsia" w:ascii="宋体" w:hAnsi="宋体" w:eastAsia="宋体" w:cs="宋体"/>
                <w:spacing w:val="-7"/>
                <w:sz w:val="18"/>
                <w:szCs w:val="18"/>
                <w:highlight w:val="none"/>
              </w:rPr>
            </w:pPr>
            <w:r>
              <w:rPr>
                <w:rFonts w:hint="eastAsia" w:ascii="宋体" w:hAnsi="宋体" w:eastAsia="宋体" w:cs="宋体"/>
                <w:sz w:val="18"/>
                <w:szCs w:val="18"/>
                <w:highlight w:val="none"/>
              </w:rPr>
              <w:t xml:space="preserve">54</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33"/>
              <w:keepLines w:val="0"/>
              <w:keepNext w:val="0"/>
              <w:pageBreakBefore w:val="0"/>
              <w:spacing w:before="136"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20</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38"/>
              <w:keepLines w:val="0"/>
              <w:keepNext w:val="0"/>
              <w:pageBreakBefore w:val="0"/>
              <w:spacing w:before="136"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1080</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6"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27</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8"/>
              <w:keepLines w:val="0"/>
              <w:keepNext w:val="0"/>
              <w:pageBreakBefore w:val="0"/>
              <w:spacing w:before="101"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荧光格栅灯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1"/>
              <w:keepLines w:val="0"/>
              <w:keepNext w:val="0"/>
              <w:pageBreakBefore w:val="0"/>
              <w:spacing w:before="136" w:line="240" w:lineRule="auto"/>
              <w:widowControl w:val="off"/>
              <w:rPr>
                <w:rFonts w:hint="eastAsia" w:ascii="宋体" w:hAnsi="宋体" w:eastAsia="宋体" w:cs="宋体"/>
                <w:spacing w:val="-7"/>
                <w:sz w:val="18"/>
                <w:szCs w:val="18"/>
                <w:highlight w:val="none"/>
              </w:rPr>
            </w:pPr>
            <w:r>
              <w:rPr>
                <w:rFonts w:hint="eastAsia" w:ascii="宋体" w:hAnsi="宋体" w:eastAsia="宋体" w:cs="宋体"/>
                <w:sz w:val="18"/>
                <w:szCs w:val="18"/>
                <w:highlight w:val="none"/>
              </w:rPr>
              <w:t xml:space="preserve">54</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53"/>
              <w:keepLines w:val="0"/>
              <w:keepNext w:val="0"/>
              <w:pageBreakBefore w:val="0"/>
              <w:spacing w:before="136"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72"/>
              <w:keepLines w:val="0"/>
              <w:keepNext w:val="0"/>
              <w:pageBreakBefore w:val="0"/>
              <w:spacing w:before="136"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2"/>
                <w:sz w:val="18"/>
                <w:szCs w:val="18"/>
                <w:highlight w:val="none"/>
              </w:rPr>
              <w:t xml:space="preserve">540</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8"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28</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1069"/>
              <w:ind w:left="482" w:right="180" w:hanging="299"/>
              <w:keepLines w:val="0"/>
              <w:keepNext w:val="0"/>
              <w:pageBreakBefore w:val="0"/>
              <w:spacing w:before="6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7"/>
              <w:keepLines w:val="0"/>
              <w:keepNext w:val="0"/>
              <w:pageBreakBefore w:val="0"/>
              <w:spacing w:before="103"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荧光筒灯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8"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485"/>
              <w:keepLines w:val="0"/>
              <w:keepNext w:val="0"/>
              <w:pageBreakBefore w:val="0"/>
              <w:spacing w:before="138"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232</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18"/>
              <w:keepLines w:val="0"/>
              <w:keepNext w:val="0"/>
              <w:pageBreakBefore w:val="0"/>
              <w:spacing w:before="138"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2320</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2"/>
              <w:keepLines w:val="0"/>
              <w:keepNext w:val="0"/>
              <w:pageBreakBefore w:val="0"/>
              <w:spacing w:before="136"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29</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7"/>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荧光灯管</w:t>
            </w:r>
            <w:r>
              <w:rPr>
                <w:rFonts w:hint="eastAsia" w:ascii="宋体" w:hAnsi="宋体" w:eastAsia="宋体" w:cs="宋体"/>
                <w:sz w:val="18"/>
                <w:szCs w:val="18"/>
                <w:highlight w:val="none"/>
              </w:rPr>
            </w:r>
            <w:r/>
          </w:p>
        </w:tc>
        <w:tc>
          <w:tcPr>
            <w:tcW w:w="902" w:type="dxa"/>
            <w:vAlign w:val="top"/>
            <w:textDirection w:val="lrTb"/>
            <w:noWrap w:val="false"/>
          </w:tcPr>
          <w:p>
            <w:pPr>
              <w:pStyle w:val="984"/>
              <w:ind w:left="715"/>
              <w:keepLines w:val="0"/>
              <w:keepNext w:val="0"/>
              <w:pageBreakBefore w:val="0"/>
              <w:spacing w:before="136"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3"/>
                <w:sz w:val="18"/>
                <w:szCs w:val="18"/>
                <w:highlight w:val="none"/>
              </w:rPr>
              <w:t xml:space="preserve">42</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32"/>
              <w:keepLines w:val="0"/>
              <w:keepNext w:val="0"/>
              <w:pageBreakBefore w:val="0"/>
              <w:spacing w:before="136"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48</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18"/>
              <w:keepLines w:val="0"/>
              <w:keepNext w:val="0"/>
              <w:pageBreakBefore w:val="0"/>
              <w:spacing w:before="136"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2016</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6"/>
              <w:keepLines w:val="0"/>
              <w:keepNext w:val="0"/>
              <w:pageBreakBefore w:val="0"/>
              <w:spacing w:before="137"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62"/>
              <w:keepLines w:val="0"/>
              <w:keepNext w:val="0"/>
              <w:pageBreakBefore w:val="0"/>
              <w:spacing w:before="103"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1.2米格栅灯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7"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37"/>
              <w:keepLines w:val="0"/>
              <w:keepNext w:val="0"/>
              <w:pageBreakBefore w:val="0"/>
              <w:spacing w:before="137"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37</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38"/>
              <w:keepLines w:val="0"/>
              <w:keepNext w:val="0"/>
              <w:pageBreakBefore w:val="0"/>
              <w:spacing w:before="137"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1332</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6"/>
              <w:keepLines w:val="0"/>
              <w:keepNext w:val="0"/>
              <w:pageBreakBefore w:val="0"/>
              <w:spacing w:before="137"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1"/>
                <w:sz w:val="18"/>
                <w:szCs w:val="18"/>
                <w:highlight w:val="none"/>
              </w:rPr>
              <w:t xml:space="preserve">31</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10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筒灯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35"/>
              <w:keepLines w:val="0"/>
              <w:keepNext w:val="0"/>
              <w:pageBreakBefore w:val="0"/>
              <w:spacing w:before="137"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53"/>
              <w:keepLines w:val="0"/>
              <w:keepNext w:val="0"/>
              <w:pageBreakBefore w:val="0"/>
              <w:spacing w:before="137"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86"/>
              <w:keepLines w:val="0"/>
              <w:keepNext w:val="0"/>
              <w:pageBreakBefore w:val="0"/>
              <w:spacing w:before="137"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100</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6"/>
              <w:keepLines w:val="0"/>
              <w:keepNext w:val="0"/>
              <w:pageBreakBefore w:val="0"/>
              <w:spacing w:before="138"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1"/>
                <w:sz w:val="18"/>
                <w:szCs w:val="18"/>
                <w:highlight w:val="none"/>
              </w:rPr>
              <w:t xml:space="preserve">32</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574"/>
              <w:keepLines w:val="0"/>
              <w:keepNext w:val="0"/>
              <w:pageBreakBefore w:val="0"/>
              <w:spacing w:before="10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平板灯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8"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1"/>
                <w:sz w:val="18"/>
                <w:szCs w:val="18"/>
                <w:highlight w:val="none"/>
              </w:rPr>
              <w:t xml:space="preserve">30</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33"/>
              <w:keepLines w:val="0"/>
              <w:keepNext w:val="0"/>
              <w:pageBreakBefore w:val="0"/>
              <w:spacing w:before="138"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3"/>
                <w:sz w:val="18"/>
                <w:szCs w:val="18"/>
                <w:highlight w:val="none"/>
              </w:rPr>
              <w:t xml:space="preserve">28</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874"/>
              <w:keepLines w:val="0"/>
              <w:keepNext w:val="0"/>
              <w:pageBreakBefore w:val="0"/>
              <w:spacing w:before="138"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840</w:t>
            </w:r>
            <w:r>
              <w:rPr>
                <w:rFonts w:hint="eastAsia" w:ascii="宋体" w:hAnsi="宋体" w:eastAsia="宋体" w:cs="宋体"/>
                <w:spacing w:val="1"/>
                <w:sz w:val="18"/>
                <w:szCs w:val="18"/>
                <w:highlight w:val="none"/>
              </w:rPr>
            </w:r>
            <w:r/>
          </w:p>
        </w:tc>
      </w:tr>
      <w:tr>
        <w:trPr>
          <w:trHeight w:val="404"/>
        </w:trPr>
        <w:tc>
          <w:tcPr>
            <w:tcW w:w="443" w:type="dxa"/>
            <w:vAlign w:val="top"/>
            <w:textDirection w:val="lrTb"/>
            <w:noWrap w:val="false"/>
          </w:tcPr>
          <w:p>
            <w:pPr>
              <w:pStyle w:val="984"/>
              <w:ind w:left="306"/>
              <w:keepLines w:val="0"/>
              <w:keepNext w:val="0"/>
              <w:pageBreakBefore w:val="0"/>
              <w:spacing w:before="139" w:line="240" w:lineRule="auto"/>
              <w:widowControl w:val="off"/>
              <w:rPr>
                <w:rFonts w:hint="eastAsia" w:ascii="宋体" w:hAnsi="宋体" w:eastAsia="宋体" w:cs="宋体"/>
                <w:spacing w:val="3"/>
                <w:sz w:val="18"/>
                <w:szCs w:val="18"/>
                <w:highlight w:val="none"/>
              </w:rPr>
            </w:pPr>
            <w:r>
              <w:rPr>
                <w:rFonts w:hint="eastAsia" w:ascii="宋体" w:hAnsi="宋体" w:eastAsia="宋体" w:cs="宋体"/>
                <w:spacing w:val="1"/>
                <w:sz w:val="18"/>
                <w:szCs w:val="18"/>
                <w:highlight w:val="none"/>
              </w:rPr>
              <w:t xml:space="preserve">33</w:t>
            </w:r>
            <w:r>
              <w:rPr>
                <w:rFonts w:hint="eastAsia" w:ascii="宋体" w:hAnsi="宋体" w:eastAsia="宋体" w:cs="宋体"/>
                <w:spacing w:val="3"/>
                <w:sz w:val="18"/>
                <w:szCs w:val="18"/>
                <w:highlight w:val="none"/>
              </w:rPr>
            </w:r>
            <w:r/>
          </w:p>
        </w:tc>
        <w:tc>
          <w:tcPr>
            <w:tcW w:w="643" w:type="dxa"/>
            <w:vAlign w:val="top"/>
            <w:vMerge w:val="continue"/>
            <w:textDirection w:val="lrTb"/>
            <w:noWrap w:val="false"/>
          </w:tcPr>
          <w:p>
            <w:pPr>
              <w:pStyle w:val="984"/>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184" w:type="dxa"/>
            <w:vAlign w:val="top"/>
            <w:textDirection w:val="lrTb"/>
            <w:noWrap w:val="false"/>
          </w:tcPr>
          <w:p>
            <w:pPr>
              <w:pStyle w:val="1069"/>
              <w:ind w:left="675"/>
              <w:keepLines w:val="0"/>
              <w:keepNext w:val="0"/>
              <w:pageBreakBefore w:val="0"/>
              <w:spacing w:before="10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LED</w:t>
            </w:r>
            <w:r>
              <w:rPr>
                <w:rFonts w:hint="eastAsia" w:ascii="宋体" w:hAnsi="宋体" w:eastAsia="宋体" w:cs="宋体"/>
                <w:spacing w:val="15"/>
                <w:sz w:val="18"/>
                <w:szCs w:val="18"/>
                <w:highlight w:val="none"/>
              </w:rPr>
              <w:t xml:space="preserve">圆灯</w:t>
            </w:r>
            <w:r>
              <w:rPr>
                <w:rFonts w:hint="eastAsia" w:ascii="宋体" w:hAnsi="宋体" w:eastAsia="宋体" w:cs="宋体"/>
                <w:sz w:val="18"/>
                <w:szCs w:val="18"/>
                <w:highlight w:val="none"/>
              </w:rPr>
            </w:r>
            <w:r/>
          </w:p>
        </w:tc>
        <w:tc>
          <w:tcPr>
            <w:tcW w:w="902" w:type="dxa"/>
            <w:vAlign w:val="top"/>
            <w:textDirection w:val="lrTb"/>
            <w:noWrap w:val="false"/>
          </w:tcPr>
          <w:p>
            <w:pPr>
              <w:pStyle w:val="984"/>
              <w:ind w:left="720"/>
              <w:keepLines w:val="0"/>
              <w:keepNext w:val="0"/>
              <w:pageBreakBefore w:val="0"/>
              <w:spacing w:before="139" w:line="240" w:lineRule="auto"/>
              <w:widowControl w:val="off"/>
              <w:rPr>
                <w:rFonts w:hint="eastAsia" w:ascii="宋体" w:hAnsi="宋体" w:eastAsia="宋体" w:cs="宋体"/>
                <w:spacing w:val="-7"/>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pacing w:val="-7"/>
                <w:sz w:val="18"/>
                <w:szCs w:val="18"/>
                <w:highlight w:val="none"/>
              </w:rPr>
            </w:r>
            <w:r/>
          </w:p>
        </w:tc>
        <w:tc>
          <w:tcPr>
            <w:tcW w:w="699" w:type="dxa"/>
            <w:vAlign w:val="top"/>
            <w:textDirection w:val="lrTb"/>
            <w:noWrap w:val="false"/>
          </w:tcPr>
          <w:p>
            <w:pPr>
              <w:pStyle w:val="984"/>
              <w:ind w:left="584"/>
              <w:keepLines w:val="0"/>
              <w:keepNext w:val="0"/>
              <w:pageBreakBefore w:val="0"/>
              <w:spacing w:before="139" w:line="240" w:lineRule="auto"/>
              <w:widowControl w:val="off"/>
              <w:rPr>
                <w:rFonts w:hint="eastAsia" w:ascii="宋体" w:hAnsi="宋体" w:eastAsia="宋体" w:cs="宋体"/>
                <w:spacing w:val="-1"/>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pacing w:val="-1"/>
                <w:sz w:val="18"/>
                <w:szCs w:val="18"/>
                <w:highlight w:val="none"/>
              </w:rPr>
            </w:r>
            <w:r/>
          </w:p>
        </w:tc>
        <w:tc>
          <w:tcPr>
            <w:tcW w:w="1126" w:type="dxa"/>
            <w:vAlign w:val="top"/>
            <w:textDirection w:val="lrTb"/>
            <w:noWrap w:val="false"/>
          </w:tcPr>
          <w:p>
            <w:pPr>
              <w:pStyle w:val="984"/>
              <w:ind w:left="920"/>
              <w:keepLines w:val="0"/>
              <w:keepNext w:val="0"/>
              <w:pageBreakBefore w:val="0"/>
              <w:spacing w:before="139" w:line="240" w:lineRule="auto"/>
              <w:widowControl w:val="off"/>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72</w:t>
            </w:r>
            <w:r>
              <w:rPr>
                <w:rFonts w:hint="eastAsia" w:ascii="宋体" w:hAnsi="宋体" w:eastAsia="宋体" w:cs="宋体"/>
                <w:spacing w:val="1"/>
                <w:sz w:val="18"/>
                <w:szCs w:val="18"/>
                <w:highlight w:val="none"/>
              </w:rPr>
            </w:r>
            <w:r/>
          </w:p>
        </w:tc>
      </w:tr>
    </w:tbl>
    <w:p>
      <w:pPr>
        <w:pStyle w:val="984"/>
        <w:pageBreakBefore w:val="0"/>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984"/>
        <w:ind w:firstLine="422"/>
        <w:keepLines w:val="0"/>
        <w:keepNext w:val="0"/>
        <w:pageBreakBefore w:val="0"/>
        <w:spacing w:line="432" w:lineRule="auto"/>
        <w:widowControl w:val="off"/>
        <w:rPr>
          <w:rFonts w:ascii="宋体" w:hAnsi="宋体" w:eastAsia="宋体" w:cs="宋体"/>
          <w:b/>
          <w:bCs/>
          <w:color w:val="000000"/>
          <w:highlight w:val="none"/>
        </w:rPr>
        <w:outlineLvl w:val="2"/>
      </w:pPr>
      <w:r>
        <w:rPr>
          <w:rFonts w:hint="eastAsia" w:ascii="宋体" w:hAnsi="宋体" w:eastAsia="宋体" w:cs="宋体"/>
          <w:b/>
          <w:bCs/>
          <w:color w:val="000000"/>
          <w:highlight w:val="none"/>
        </w:rPr>
        <w:t xml:space="preserve">4.给排水系统</w:t>
      </w:r>
      <w:r>
        <w:rPr>
          <w:rFonts w:ascii="宋体" w:hAnsi="宋体" w:eastAsia="宋体" w:cs="宋体"/>
          <w:b/>
          <w:bCs/>
          <w:color w:val="000000"/>
          <w:highlight w:val="none"/>
        </w:rPr>
      </w:r>
      <w:r/>
    </w:p>
    <w:p>
      <w:pPr>
        <w:pStyle w:val="984"/>
        <w:ind w:firstLine="480"/>
        <w:keepLines w:val="0"/>
        <w:keepNext w:val="0"/>
        <w:pageBreakBefore w:val="0"/>
        <w:spacing w:line="43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仪征市城市管理局供水方式为市政自来水直供，主要供给排水系统、卫生间用水、厨房用水、生活热水等用水。</w:t>
      </w:r>
      <w:r>
        <w:rPr>
          <w:rFonts w:hint="eastAsia" w:ascii="宋体" w:hAnsi="宋体" w:eastAsia="宋体" w:cs="宋体"/>
          <w:color w:val="000000"/>
          <w:highlight w:val="none"/>
          <w:lang w:eastAsia="zh-CN"/>
        </w:rPr>
      </w:r>
      <w:r/>
    </w:p>
    <w:p>
      <w:pPr>
        <w:pStyle w:val="984"/>
        <w:ind w:left="3272"/>
        <w:pageBreakBefore w:val="0"/>
        <w:spacing w:line="360" w:lineRule="auto"/>
        <w:rPr>
          <w:rFonts w:ascii="宋体" w:hAnsi="宋体" w:eastAsia="宋体" w:cs="宋体"/>
          <w:sz w:val="19"/>
          <w:szCs w:val="19"/>
          <w:highlight w:val="none"/>
        </w:rPr>
      </w:pPr>
      <w:r>
        <w:rPr>
          <w:rFonts w:ascii="宋体" w:hAnsi="宋体" w:eastAsia="宋体" w:cs="宋体"/>
          <w:b/>
          <w:bCs/>
          <w:spacing w:val="5"/>
          <w:sz w:val="19"/>
          <w:szCs w:val="19"/>
          <w:highlight w:val="none"/>
        </w:rPr>
        <w:t xml:space="preserve">表</w:t>
      </w:r>
      <w:r>
        <w:rPr>
          <w:rFonts w:hint="eastAsia" w:ascii="宋体" w:hAnsi="宋体" w:eastAsia="宋体" w:cs="宋体"/>
          <w:b/>
          <w:bCs/>
          <w:spacing w:val="5"/>
          <w:sz w:val="19"/>
          <w:szCs w:val="19"/>
          <w:highlight w:val="none"/>
          <w:lang w:val="en-US" w:eastAsia="zh-CN"/>
        </w:rPr>
        <w:t xml:space="preserve">4-1</w:t>
      </w:r>
      <w:r>
        <w:rPr>
          <w:rFonts w:ascii="Times New Roman" w:hAnsi="Times New Roman" w:eastAsia="Times New Roman" w:cs="Times New Roman"/>
          <w:b/>
          <w:bCs/>
          <w:spacing w:val="5"/>
          <w:sz w:val="19"/>
          <w:szCs w:val="19"/>
          <w:highlight w:val="none"/>
        </w:rPr>
        <w:t xml:space="preserve">  </w:t>
      </w:r>
      <w:r>
        <w:rPr>
          <w:rFonts w:ascii="宋体" w:hAnsi="宋体" w:eastAsia="宋体" w:cs="宋体"/>
          <w:b/>
          <w:bCs/>
          <w:spacing w:val="5"/>
          <w:sz w:val="19"/>
          <w:szCs w:val="19"/>
          <w:highlight w:val="none"/>
        </w:rPr>
        <w:t xml:space="preserve">给排水系统设备统计表</w:t>
      </w:r>
      <w:r>
        <w:rPr>
          <w:rFonts w:ascii="宋体" w:hAnsi="宋体" w:eastAsia="宋体" w:cs="宋体"/>
          <w:sz w:val="19"/>
          <w:szCs w:val="19"/>
          <w:highlight w:val="none"/>
        </w:rPr>
      </w:r>
      <w:r/>
    </w:p>
    <w:p>
      <w:pPr>
        <w:pStyle w:val="984"/>
        <w:pageBreakBefore w:val="0"/>
        <w:spacing w:line="360" w:lineRule="auto"/>
        <w:rPr>
          <w:rFonts w:eastAsia="宋体" w:cs="Times New Roman"/>
          <w:highlight w:val="none"/>
        </w:rPr>
      </w:pPr>
      <w:r>
        <w:rPr>
          <w:rFonts w:eastAsia="宋体" w:cs="Times New Roman"/>
          <w:highlight w:val="none"/>
        </w:rPr>
      </w:r>
      <w:r/>
    </w:p>
    <w:tbl>
      <w:tblPr>
        <w:tblStyle w:val="1070"/>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00"/>
        <w:gridCol w:w="1893"/>
        <w:gridCol w:w="1622"/>
        <w:gridCol w:w="1406"/>
        <w:gridCol w:w="1652"/>
        <w:gridCol w:w="1473"/>
      </w:tblGrid>
      <w:tr>
        <w:trPr>
          <w:trHeight w:val="461"/>
        </w:trPr>
        <w:tc>
          <w:tcPr>
            <w:tcW w:w="452" w:type="dxa"/>
            <w:vAlign w:val="top"/>
            <w:textDirection w:val="lrTb"/>
            <w:noWrap w:val="false"/>
          </w:tcPr>
          <w:p>
            <w:pPr>
              <w:pStyle w:val="984"/>
              <w:ind w:left="212"/>
              <w:jc w:val="both"/>
              <w:keepLines w:val="0"/>
              <w:keepNext w:val="0"/>
              <w:pageBreakBefore w:val="0"/>
              <w:spacing w:before="132"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b/>
                <w:bCs/>
                <w:spacing w:val="4"/>
                <w:sz w:val="20"/>
                <w:szCs w:val="20"/>
                <w:highlight w:val="none"/>
                <w:lang w:eastAsia="en-US"/>
              </w:rPr>
              <w:t xml:space="preserve">序号</w:t>
            </w:r>
            <w:r>
              <w:rPr>
                <w:rFonts w:hint="eastAsia" w:ascii="宋体" w:hAnsi="宋体" w:eastAsia="宋体" w:cs="宋体"/>
                <w:sz w:val="20"/>
                <w:szCs w:val="20"/>
                <w:highlight w:val="none"/>
                <w:lang w:eastAsia="en-US"/>
              </w:rPr>
            </w:r>
            <w:r/>
          </w:p>
        </w:tc>
        <w:tc>
          <w:tcPr>
            <w:tcW w:w="1069" w:type="dxa"/>
            <w:vAlign w:val="top"/>
            <w:textDirection w:val="lrTb"/>
            <w:noWrap w:val="false"/>
          </w:tcPr>
          <w:p>
            <w:pPr>
              <w:pStyle w:val="984"/>
              <w:ind w:left="571"/>
              <w:jc w:val="both"/>
              <w:keepLines w:val="0"/>
              <w:keepNext w:val="0"/>
              <w:pageBreakBefore w:val="0"/>
              <w:spacing w:before="132"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b/>
                <w:bCs/>
                <w:spacing w:val="5"/>
                <w:sz w:val="20"/>
                <w:szCs w:val="20"/>
                <w:highlight w:val="none"/>
                <w:lang w:eastAsia="en-US"/>
              </w:rPr>
              <w:t xml:space="preserve">设备名称</w:t>
            </w:r>
            <w:r>
              <w:rPr>
                <w:rFonts w:hint="eastAsia" w:ascii="宋体" w:hAnsi="宋体" w:eastAsia="宋体" w:cs="宋体"/>
                <w:sz w:val="20"/>
                <w:szCs w:val="20"/>
                <w:highlight w:val="none"/>
                <w:lang w:eastAsia="en-US"/>
              </w:rPr>
            </w:r>
            <w:r/>
          </w:p>
        </w:tc>
        <w:tc>
          <w:tcPr>
            <w:tcW w:w="916" w:type="dxa"/>
            <w:vAlign w:val="top"/>
            <w:textDirection w:val="lrTb"/>
            <w:noWrap w:val="false"/>
          </w:tcPr>
          <w:p>
            <w:pPr>
              <w:pStyle w:val="984"/>
              <w:ind w:left="649"/>
              <w:jc w:val="both"/>
              <w:keepLines w:val="0"/>
              <w:keepNext w:val="0"/>
              <w:pageBreakBefore w:val="0"/>
              <w:spacing w:before="133"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b/>
                <w:bCs/>
                <w:spacing w:val="-4"/>
                <w:sz w:val="20"/>
                <w:szCs w:val="20"/>
                <w:highlight w:val="none"/>
                <w:lang w:eastAsia="en-US"/>
              </w:rPr>
              <w:t xml:space="preserve">品牌</w:t>
            </w:r>
            <w:r>
              <w:rPr>
                <w:rFonts w:hint="eastAsia" w:ascii="宋体" w:hAnsi="宋体" w:eastAsia="宋体" w:cs="宋体"/>
                <w:sz w:val="20"/>
                <w:szCs w:val="20"/>
                <w:highlight w:val="none"/>
                <w:lang w:eastAsia="en-US"/>
              </w:rPr>
            </w:r>
            <w:r/>
          </w:p>
        </w:tc>
        <w:tc>
          <w:tcPr>
            <w:tcW w:w="794" w:type="dxa"/>
            <w:vAlign w:val="top"/>
            <w:textDirection w:val="lrTb"/>
            <w:noWrap w:val="false"/>
          </w:tcPr>
          <w:p>
            <w:pPr>
              <w:pStyle w:val="984"/>
              <w:ind w:left="523"/>
              <w:jc w:val="both"/>
              <w:keepLines w:val="0"/>
              <w:keepNext w:val="0"/>
              <w:pageBreakBefore w:val="0"/>
              <w:spacing w:before="133"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b/>
                <w:bCs/>
                <w:spacing w:val="3"/>
                <w:sz w:val="20"/>
                <w:szCs w:val="20"/>
                <w:highlight w:val="none"/>
                <w:lang w:eastAsia="en-US"/>
              </w:rPr>
              <w:t xml:space="preserve">数量</w:t>
            </w:r>
            <w:r>
              <w:rPr>
                <w:rFonts w:hint="eastAsia" w:ascii="宋体" w:hAnsi="宋体" w:eastAsia="宋体" w:cs="宋体"/>
                <w:sz w:val="20"/>
                <w:szCs w:val="20"/>
                <w:highlight w:val="none"/>
                <w:lang w:eastAsia="en-US"/>
              </w:rPr>
            </w:r>
            <w:r/>
          </w:p>
        </w:tc>
        <w:tc>
          <w:tcPr>
            <w:tcW w:w="933" w:type="dxa"/>
            <w:vAlign w:val="top"/>
            <w:textDirection w:val="lrTb"/>
            <w:noWrap w:val="false"/>
          </w:tcPr>
          <w:p>
            <w:pPr>
              <w:pStyle w:val="984"/>
              <w:ind w:left="149"/>
              <w:jc w:val="both"/>
              <w:keepLines w:val="0"/>
              <w:keepNext w:val="0"/>
              <w:pageBreakBefore w:val="0"/>
              <w:spacing w:before="133"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b/>
                <w:bCs/>
                <w:spacing w:val="6"/>
                <w:sz w:val="20"/>
                <w:szCs w:val="20"/>
                <w:highlight w:val="none"/>
                <w:lang w:eastAsia="en-US"/>
              </w:rPr>
              <w:t xml:space="preserve">额定功率（</w:t>
            </w:r>
            <w:r>
              <w:rPr>
                <w:rFonts w:hint="eastAsia" w:ascii="宋体" w:hAnsi="宋体" w:eastAsia="宋体" w:cs="宋体"/>
                <w:b/>
                <w:bCs/>
                <w:sz w:val="20"/>
                <w:szCs w:val="20"/>
                <w:highlight w:val="none"/>
                <w:lang w:eastAsia="en-US"/>
              </w:rPr>
              <w:t xml:space="preserve">kW</w:t>
            </w:r>
            <w:r>
              <w:rPr>
                <w:rFonts w:hint="eastAsia" w:ascii="宋体" w:hAnsi="宋体" w:eastAsia="宋体" w:cs="宋体"/>
                <w:b/>
                <w:bCs/>
                <w:spacing w:val="6"/>
                <w:sz w:val="20"/>
                <w:szCs w:val="20"/>
                <w:highlight w:val="none"/>
                <w:lang w:eastAsia="en-US"/>
              </w:rPr>
              <w:t xml:space="preserve">）</w:t>
            </w:r>
            <w:r>
              <w:rPr>
                <w:rFonts w:hint="eastAsia" w:ascii="宋体" w:hAnsi="宋体" w:eastAsia="宋体" w:cs="宋体"/>
                <w:sz w:val="20"/>
                <w:szCs w:val="20"/>
                <w:highlight w:val="none"/>
                <w:lang w:eastAsia="en-US"/>
              </w:rPr>
            </w:r>
            <w:r/>
          </w:p>
        </w:tc>
        <w:tc>
          <w:tcPr>
            <w:tcW w:w="832" w:type="dxa"/>
            <w:vAlign w:val="top"/>
            <w:textDirection w:val="lrTb"/>
            <w:noWrap w:val="false"/>
          </w:tcPr>
          <w:p>
            <w:pPr>
              <w:pStyle w:val="984"/>
              <w:ind w:left="160"/>
              <w:jc w:val="both"/>
              <w:keepLines w:val="0"/>
              <w:keepNext w:val="0"/>
              <w:pageBreakBefore w:val="0"/>
              <w:spacing w:before="133"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b/>
                <w:bCs/>
                <w:spacing w:val="5"/>
                <w:sz w:val="20"/>
                <w:szCs w:val="20"/>
                <w:highlight w:val="none"/>
                <w:lang w:eastAsia="en-US"/>
              </w:rPr>
              <w:t xml:space="preserve">总功率（</w:t>
            </w:r>
            <w:r>
              <w:rPr>
                <w:rFonts w:hint="eastAsia" w:ascii="宋体" w:hAnsi="宋体" w:eastAsia="宋体" w:cs="宋体"/>
                <w:b/>
                <w:bCs/>
                <w:sz w:val="20"/>
                <w:szCs w:val="20"/>
                <w:highlight w:val="none"/>
                <w:lang w:eastAsia="en-US"/>
              </w:rPr>
              <w:t xml:space="preserve">kW</w:t>
            </w:r>
            <w:r>
              <w:rPr>
                <w:rFonts w:hint="eastAsia" w:ascii="宋体" w:hAnsi="宋体" w:eastAsia="宋体" w:cs="宋体"/>
                <w:b/>
                <w:bCs/>
                <w:spacing w:val="5"/>
                <w:sz w:val="20"/>
                <w:szCs w:val="20"/>
                <w:highlight w:val="none"/>
                <w:lang w:eastAsia="en-US"/>
              </w:rPr>
              <w:t xml:space="preserve">）</w:t>
            </w:r>
            <w:r>
              <w:rPr>
                <w:rFonts w:hint="eastAsia" w:ascii="宋体" w:hAnsi="宋体" w:eastAsia="宋体" w:cs="宋体"/>
                <w:sz w:val="20"/>
                <w:szCs w:val="20"/>
                <w:highlight w:val="none"/>
                <w:lang w:eastAsia="en-US"/>
              </w:rPr>
            </w:r>
            <w:r/>
          </w:p>
        </w:tc>
      </w:tr>
      <w:tr>
        <w:trPr>
          <w:trHeight w:val="461"/>
        </w:trPr>
        <w:tc>
          <w:tcPr>
            <w:tcW w:w="452" w:type="dxa"/>
            <w:vAlign w:val="top"/>
            <w:textDirection w:val="lrTb"/>
            <w:noWrap w:val="false"/>
          </w:tcPr>
          <w:p>
            <w:pPr>
              <w:pStyle w:val="984"/>
              <w:ind w:left="380"/>
              <w:keepLines w:val="0"/>
              <w:keepNext w:val="0"/>
              <w:pageBreakBefore w:val="0"/>
              <w:spacing w:before="165"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w:t>
            </w:r>
            <w:r>
              <w:rPr>
                <w:rFonts w:hint="eastAsia" w:ascii="宋体" w:hAnsi="宋体" w:eastAsia="宋体" w:cs="宋体"/>
                <w:sz w:val="20"/>
                <w:szCs w:val="20"/>
                <w:highlight w:val="none"/>
              </w:rPr>
            </w:r>
            <w:r/>
          </w:p>
        </w:tc>
        <w:tc>
          <w:tcPr>
            <w:tcW w:w="1069" w:type="dxa"/>
            <w:vAlign w:val="top"/>
            <w:textDirection w:val="lrTb"/>
            <w:noWrap w:val="false"/>
          </w:tcPr>
          <w:p>
            <w:pPr>
              <w:pStyle w:val="984"/>
              <w:ind w:left="572"/>
              <w:jc w:val="both"/>
              <w:keepLines w:val="0"/>
              <w:keepNext w:val="0"/>
              <w:pageBreakBefore w:val="0"/>
              <w:spacing w:before="130"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spacing w:val="7"/>
                <w:sz w:val="20"/>
                <w:szCs w:val="20"/>
                <w:highlight w:val="none"/>
                <w:lang w:eastAsia="en-US"/>
              </w:rPr>
              <w:t xml:space="preserve">生活水泵</w:t>
            </w:r>
            <w:r>
              <w:rPr>
                <w:rFonts w:hint="eastAsia" w:ascii="宋体" w:hAnsi="宋体" w:eastAsia="宋体" w:cs="宋体"/>
                <w:sz w:val="20"/>
                <w:szCs w:val="20"/>
                <w:highlight w:val="none"/>
                <w:lang w:eastAsia="en-US"/>
              </w:rPr>
            </w:r>
            <w:r/>
          </w:p>
        </w:tc>
        <w:tc>
          <w:tcPr>
            <w:tcW w:w="916" w:type="dxa"/>
            <w:vAlign w:val="top"/>
            <w:textDirection w:val="lrTb"/>
            <w:noWrap w:val="false"/>
          </w:tcPr>
          <w:p>
            <w:pPr>
              <w:pStyle w:val="984"/>
              <w:ind w:left="633"/>
              <w:jc w:val="both"/>
              <w:keepLines w:val="0"/>
              <w:keepNext w:val="0"/>
              <w:pageBreakBefore w:val="0"/>
              <w:spacing w:before="130" w:line="240" w:lineRule="auto"/>
              <w:widowControl w:val="off"/>
              <w:rPr>
                <w:rFonts w:hint="eastAsia" w:ascii="宋体" w:hAnsi="宋体" w:eastAsia="宋体" w:cs="宋体"/>
                <w:sz w:val="20"/>
                <w:szCs w:val="20"/>
                <w:highlight w:val="none"/>
                <w:lang w:eastAsia="en-US"/>
              </w:rPr>
            </w:pPr>
            <w:r>
              <w:rPr>
                <w:rFonts w:hint="eastAsia" w:ascii="宋体" w:hAnsi="宋体" w:eastAsia="宋体" w:cs="宋体"/>
                <w:spacing w:val="5"/>
                <w:sz w:val="20"/>
                <w:szCs w:val="20"/>
                <w:highlight w:val="none"/>
                <w:lang w:eastAsia="en-US"/>
              </w:rPr>
              <w:t xml:space="preserve">三星</w:t>
            </w:r>
            <w:r>
              <w:rPr>
                <w:rFonts w:hint="eastAsia" w:ascii="宋体" w:hAnsi="宋体" w:eastAsia="宋体" w:cs="宋体"/>
                <w:sz w:val="20"/>
                <w:szCs w:val="20"/>
                <w:highlight w:val="none"/>
                <w:lang w:eastAsia="en-US"/>
              </w:rPr>
            </w:r>
            <w:r/>
          </w:p>
        </w:tc>
        <w:tc>
          <w:tcPr>
            <w:tcW w:w="794" w:type="dxa"/>
            <w:vAlign w:val="top"/>
            <w:textDirection w:val="lrTb"/>
            <w:noWrap w:val="false"/>
          </w:tcPr>
          <w:p>
            <w:pPr>
              <w:pStyle w:val="984"/>
              <w:ind w:left="669"/>
              <w:keepLines w:val="0"/>
              <w:keepNext w:val="0"/>
              <w:pageBreakBefore w:val="0"/>
              <w:spacing w:before="165"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w:t>
            </w:r>
            <w:r>
              <w:rPr>
                <w:rFonts w:hint="eastAsia" w:ascii="宋体" w:hAnsi="宋体" w:eastAsia="宋体" w:cs="宋体"/>
                <w:sz w:val="20"/>
                <w:szCs w:val="20"/>
                <w:highlight w:val="none"/>
              </w:rPr>
            </w:r>
            <w:r/>
          </w:p>
        </w:tc>
        <w:tc>
          <w:tcPr>
            <w:tcW w:w="933" w:type="dxa"/>
            <w:vAlign w:val="top"/>
            <w:textDirection w:val="lrTb"/>
            <w:noWrap w:val="false"/>
          </w:tcPr>
          <w:p>
            <w:pPr>
              <w:pStyle w:val="984"/>
              <w:ind w:left="676"/>
              <w:keepLines w:val="0"/>
              <w:keepNext w:val="0"/>
              <w:pageBreakBefore w:val="0"/>
              <w:spacing w:before="165" w:line="240" w:lineRule="auto"/>
              <w:widowControl w:val="off"/>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0.75</w:t>
            </w:r>
            <w:r>
              <w:rPr>
                <w:rFonts w:hint="eastAsia" w:ascii="宋体" w:hAnsi="宋体" w:eastAsia="宋体" w:cs="宋体"/>
                <w:sz w:val="20"/>
                <w:szCs w:val="20"/>
                <w:highlight w:val="none"/>
              </w:rPr>
            </w:r>
            <w:r/>
          </w:p>
        </w:tc>
        <w:tc>
          <w:tcPr>
            <w:tcW w:w="832" w:type="dxa"/>
            <w:vAlign w:val="top"/>
            <w:textDirection w:val="lrTb"/>
            <w:noWrap w:val="false"/>
          </w:tcPr>
          <w:p>
            <w:pPr>
              <w:pStyle w:val="984"/>
              <w:ind w:left="647"/>
              <w:keepLines w:val="0"/>
              <w:keepNext w:val="0"/>
              <w:pageBreakBefore w:val="0"/>
              <w:spacing w:before="165" w:line="240" w:lineRule="auto"/>
              <w:widowControl w:val="off"/>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1.5</w:t>
            </w:r>
            <w:r>
              <w:rPr>
                <w:rFonts w:hint="eastAsia" w:ascii="宋体" w:hAnsi="宋体" w:eastAsia="宋体" w:cs="宋体"/>
                <w:sz w:val="20"/>
                <w:szCs w:val="20"/>
                <w:highlight w:val="none"/>
              </w:rPr>
            </w:r>
            <w:r/>
          </w:p>
        </w:tc>
      </w:tr>
    </w:tbl>
    <w:p>
      <w:pPr>
        <w:pStyle w:val="984"/>
        <w:ind w:firstLine="480"/>
        <w:keepLines w:val="0"/>
        <w:keepNext w:val="0"/>
        <w:pageBreakBefore w:val="0"/>
        <w:spacing w:line="432" w:lineRule="auto"/>
        <w:widowControl w:val="off"/>
        <w:rPr>
          <w:rFonts w:eastAsia="宋体" w:cs="Times New Roman"/>
          <w:position w:val="-61"/>
          <w:highlight w:val="none"/>
        </w:rPr>
        <w:outlineLvl w:val="2"/>
      </w:pPr>
      <w:r>
        <w:rPr>
          <w:rFonts w:eastAsia="宋体" w:cs="Times New Roman"/>
          <w:position w:val="-61"/>
          <w:highlight w:val="none"/>
        </w:rPr>
        <mc:AlternateContent>
          <mc:Choice Requires="wpg">
            <w:drawing>
              <wp:inline xmlns:wp="http://schemas.openxmlformats.org/drawingml/2006/wordprocessingDrawing" distT="0" distB="0" distL="0" distR="0">
                <wp:extent cx="5393830" cy="189412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393830" cy="1894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4.7pt;height:149.1pt;mso-wrap-distance-left:0.0pt;mso-wrap-distance-top:0.0pt;mso-wrap-distance-right:0.0pt;mso-wrap-distance-bottom:0.0pt;" stroked="f">
                <v:path textboxrect="0,0,0,0"/>
                <v:imagedata r:id="rId22" o:title=""/>
              </v:shape>
            </w:pict>
          </mc:Fallback>
        </mc:AlternateContent>
      </w:r>
      <w:r>
        <w:rPr>
          <w:rFonts w:eastAsia="宋体" w:cs="Times New Roman"/>
          <w:position w:val="-61"/>
          <w:highlight w:val="none"/>
        </w:rPr>
      </w:r>
      <w:r/>
    </w:p>
    <w:p>
      <w:pPr>
        <w:pStyle w:val="984"/>
        <w:ind w:firstLine="480"/>
        <w:keepLines w:val="0"/>
        <w:keepNext w:val="0"/>
        <w:pageBreakBefore w:val="0"/>
        <w:spacing w:line="432" w:lineRule="auto"/>
        <w:widowControl w:val="off"/>
        <w:rPr>
          <w:rFonts w:ascii="宋体" w:hAnsi="宋体" w:eastAsia="宋体" w:cs="宋体"/>
          <w:b/>
          <w:bCs/>
          <w:color w:val="000000"/>
          <w:highlight w:val="none"/>
          <w:lang w:val="en-US" w:eastAsia="zh-CN"/>
        </w:rPr>
        <w:outlineLvl w:val="2"/>
      </w:pP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动力运输系统</w:t>
      </w:r>
      <w:r>
        <w:rPr>
          <w:rFonts w:ascii="宋体" w:hAnsi="宋体" w:eastAsia="宋体" w:cs="宋体"/>
          <w:b/>
          <w:bCs/>
          <w:color w:val="000000"/>
          <w:highlight w:val="none"/>
          <w:lang w:val="en-US" w:eastAsia="zh-CN"/>
        </w:rPr>
      </w:r>
      <w:r/>
    </w:p>
    <w:p>
      <w:pPr>
        <w:pStyle w:val="984"/>
        <w:ind w:left="62" w:right="249" w:firstLine="397"/>
        <w:keepLines w:val="0"/>
        <w:keepNext w:val="0"/>
        <w:pageBreakBefore w:val="0"/>
        <w:spacing w:line="432" w:lineRule="auto"/>
        <w:widowControl w:val="off"/>
        <w:rPr>
          <w:rFonts w:ascii="宋体" w:hAnsi="宋体" w:eastAsia="宋体" w:cs="宋体"/>
          <w:sz w:val="21"/>
          <w:szCs w:val="21"/>
          <w:highlight w:val="none"/>
        </w:rPr>
      </w:pPr>
      <w:r>
        <w:rPr>
          <w:rFonts w:ascii="宋体" w:hAnsi="宋体" w:eastAsia="宋体" w:cs="宋体"/>
          <w:spacing w:val="-6"/>
          <w:sz w:val="21"/>
          <w:szCs w:val="21"/>
          <w:highlight w:val="none"/>
        </w:rPr>
        <w:t xml:space="preserve">仪征市城市管理局共有</w:t>
      </w:r>
      <w:r>
        <w:rPr>
          <w:rFonts w:ascii="Times New Roman" w:hAnsi="Times New Roman" w:eastAsia="Times New Roman" w:cs="Times New Roman"/>
          <w:spacing w:val="-6"/>
          <w:sz w:val="21"/>
          <w:szCs w:val="21"/>
          <w:highlight w:val="none"/>
        </w:rPr>
        <w:t xml:space="preserve">3</w:t>
      </w:r>
      <w:r>
        <w:rPr>
          <w:rFonts w:ascii="宋体" w:hAnsi="宋体" w:eastAsia="宋体" w:cs="宋体"/>
          <w:spacing w:val="-6"/>
          <w:sz w:val="21"/>
          <w:szCs w:val="21"/>
          <w:highlight w:val="none"/>
        </w:rPr>
        <w:t xml:space="preserve">台垂直升降电梯，</w:t>
      </w:r>
      <w:r>
        <w:rPr>
          <w:rFonts w:ascii="Times New Roman" w:hAnsi="Times New Roman" w:eastAsia="Times New Roman" w:cs="Times New Roman"/>
          <w:spacing w:val="-6"/>
          <w:sz w:val="21"/>
          <w:szCs w:val="21"/>
          <w:highlight w:val="none"/>
        </w:rPr>
        <w:t xml:space="preserve">2</w:t>
      </w:r>
      <w:r>
        <w:rPr>
          <w:rFonts w:ascii="宋体" w:hAnsi="宋体" w:eastAsia="宋体" w:cs="宋体"/>
          <w:spacing w:val="-6"/>
          <w:sz w:val="21"/>
          <w:szCs w:val="21"/>
          <w:highlight w:val="none"/>
        </w:rPr>
        <w:t xml:space="preserve">台位于主楼，</w:t>
      </w:r>
      <w:r>
        <w:rPr>
          <w:rFonts w:ascii="Times New Roman" w:hAnsi="Times New Roman" w:eastAsia="Times New Roman" w:cs="Times New Roman"/>
          <w:spacing w:val="-6"/>
          <w:sz w:val="21"/>
          <w:szCs w:val="21"/>
          <w:highlight w:val="none"/>
        </w:rPr>
        <w:t xml:space="preserve">1</w:t>
      </w:r>
      <w:r>
        <w:rPr>
          <w:rFonts w:ascii="宋体" w:hAnsi="宋体" w:eastAsia="宋体" w:cs="宋体"/>
          <w:spacing w:val="-6"/>
          <w:sz w:val="21"/>
          <w:szCs w:val="21"/>
          <w:highlight w:val="none"/>
        </w:rPr>
        <w:t xml:space="preserve">台位于环境监测站，升降</w:t>
      </w:r>
      <w:r>
        <w:rPr>
          <w:rFonts w:ascii="宋体" w:hAnsi="宋体" w:eastAsia="宋体" w:cs="宋体"/>
          <w:spacing w:val="-9"/>
          <w:sz w:val="21"/>
          <w:szCs w:val="21"/>
          <w:highlight w:val="none"/>
        </w:rPr>
        <w:t xml:space="preserve">电梯使用人工开关模式运行。</w:t>
      </w:r>
      <w:r>
        <w:rPr>
          <w:rFonts w:ascii="宋体" w:hAnsi="宋体" w:eastAsia="宋体" w:cs="宋体"/>
          <w:sz w:val="21"/>
          <w:szCs w:val="21"/>
          <w:highlight w:val="none"/>
        </w:rPr>
      </w:r>
      <w:r/>
    </w:p>
    <w:p>
      <w:pPr>
        <w:pStyle w:val="984"/>
        <w:ind w:left="3273"/>
        <w:pageBreakBefore w:val="0"/>
        <w:spacing w:line="360" w:lineRule="auto"/>
        <w:rPr>
          <w:rFonts w:ascii="宋体" w:hAnsi="宋体" w:eastAsia="宋体" w:cs="宋体"/>
          <w:sz w:val="19"/>
          <w:szCs w:val="19"/>
          <w:highlight w:val="none"/>
        </w:rPr>
      </w:pPr>
      <w:r>
        <w:rPr>
          <w:rFonts w:ascii="宋体" w:hAnsi="宋体" w:eastAsia="宋体" w:cs="宋体"/>
          <w:b/>
          <w:bCs/>
          <w:spacing w:val="3"/>
          <w:sz w:val="19"/>
          <w:szCs w:val="19"/>
          <w:highlight w:val="none"/>
        </w:rPr>
        <w:t xml:space="preserve">表</w:t>
      </w:r>
      <w:r>
        <w:rPr>
          <w:rFonts w:hint="eastAsia" w:ascii="宋体" w:hAnsi="宋体" w:eastAsia="宋体" w:cs="宋体"/>
          <w:b/>
          <w:bCs/>
          <w:spacing w:val="3"/>
          <w:sz w:val="19"/>
          <w:szCs w:val="19"/>
          <w:highlight w:val="none"/>
          <w:lang w:val="en-US" w:eastAsia="zh-CN"/>
        </w:rPr>
        <w:t xml:space="preserve">5-1</w:t>
      </w:r>
      <w:r>
        <w:rPr>
          <w:rFonts w:ascii="Times New Roman" w:hAnsi="Times New Roman" w:eastAsia="Times New Roman" w:cs="Times New Roman"/>
          <w:b/>
          <w:bCs/>
          <w:spacing w:val="19"/>
          <w:sz w:val="19"/>
          <w:szCs w:val="19"/>
          <w:highlight w:val="none"/>
        </w:rPr>
        <w:t xml:space="preserve">  </w:t>
      </w:r>
      <w:r>
        <w:rPr>
          <w:rFonts w:ascii="宋体" w:hAnsi="宋体" w:eastAsia="宋体" w:cs="宋体"/>
          <w:b/>
          <w:bCs/>
          <w:spacing w:val="3"/>
          <w:sz w:val="19"/>
          <w:szCs w:val="19"/>
          <w:highlight w:val="none"/>
        </w:rPr>
        <w:t xml:space="preserve">电梯设备、功率统计表</w:t>
      </w:r>
      <w:r>
        <w:rPr>
          <w:rFonts w:ascii="宋体" w:hAnsi="宋体" w:eastAsia="宋体" w:cs="宋体"/>
          <w:sz w:val="19"/>
          <w:szCs w:val="19"/>
          <w:highlight w:val="none"/>
        </w:rPr>
      </w:r>
      <w:r/>
    </w:p>
    <w:p>
      <w:pPr>
        <w:pStyle w:val="984"/>
        <w:pageBreakBefore w:val="0"/>
        <w:spacing w:line="360" w:lineRule="auto"/>
        <w:rPr>
          <w:rFonts w:eastAsia="宋体" w:cs="Times New Roman"/>
          <w:highlight w:val="none"/>
        </w:rPr>
      </w:pPr>
      <w:r>
        <w:rPr>
          <w:rFonts w:eastAsia="宋体" w:cs="Times New Roman"/>
          <w:highlight w:val="none"/>
        </w:rPr>
      </w:r>
      <w:r/>
    </w:p>
    <w:tbl>
      <w:tblPr>
        <w:tblStyle w:val="1070"/>
        <w:tblW w:w="90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2"/>
        <w:gridCol w:w="1233"/>
        <w:gridCol w:w="1631"/>
        <w:gridCol w:w="1150"/>
        <w:gridCol w:w="1874"/>
        <w:gridCol w:w="853"/>
        <w:gridCol w:w="1523"/>
      </w:tblGrid>
      <w:tr>
        <w:trPr>
          <w:trHeight w:val="593"/>
        </w:trPr>
        <w:tc>
          <w:tcPr>
            <w:tcW w:w="812" w:type="dxa"/>
            <w:vAlign w:val="top"/>
            <w:textDirection w:val="lrTb"/>
            <w:noWrap w:val="false"/>
          </w:tcPr>
          <w:p>
            <w:pPr>
              <w:pStyle w:val="1069"/>
              <w:ind w:left="210"/>
              <w:keepLines w:val="0"/>
              <w:keepNext w:val="0"/>
              <w:pageBreakBefore w:val="0"/>
              <w:spacing w:before="197"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序号</w:t>
            </w:r>
            <w:r>
              <w:rPr>
                <w:rFonts w:hint="eastAsia" w:ascii="宋体" w:hAnsi="宋体" w:eastAsia="宋体" w:cs="宋体"/>
                <w:sz w:val="18"/>
                <w:szCs w:val="18"/>
                <w:highlight w:val="none"/>
              </w:rPr>
            </w:r>
            <w:r/>
          </w:p>
        </w:tc>
        <w:tc>
          <w:tcPr>
            <w:tcW w:w="1233" w:type="dxa"/>
            <w:vAlign w:val="top"/>
            <w:textDirection w:val="lrTb"/>
            <w:noWrap w:val="false"/>
          </w:tcPr>
          <w:p>
            <w:pPr>
              <w:pStyle w:val="1069"/>
              <w:ind w:left="220"/>
              <w:keepLines w:val="0"/>
              <w:keepNext w:val="0"/>
              <w:pageBreakBefore w:val="0"/>
              <w:spacing w:before="197"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5"/>
                <w:sz w:val="18"/>
                <w:szCs w:val="18"/>
                <w:highlight w:val="none"/>
              </w:rPr>
              <w:t xml:space="preserve">设备名称</w:t>
            </w:r>
            <w:r>
              <w:rPr>
                <w:rFonts w:hint="eastAsia" w:ascii="宋体" w:hAnsi="宋体" w:eastAsia="宋体" w:cs="宋体"/>
                <w:sz w:val="18"/>
                <w:szCs w:val="18"/>
                <w:highlight w:val="none"/>
              </w:rPr>
            </w:r>
            <w:r/>
          </w:p>
        </w:tc>
        <w:tc>
          <w:tcPr>
            <w:tcW w:w="1631" w:type="dxa"/>
            <w:vAlign w:val="top"/>
            <w:textDirection w:val="lrTb"/>
            <w:noWrap w:val="false"/>
          </w:tcPr>
          <w:p>
            <w:pPr>
              <w:pStyle w:val="1069"/>
              <w:ind w:left="433"/>
              <w:keepLines w:val="0"/>
              <w:keepNext w:val="0"/>
              <w:pageBreakBefore w:val="0"/>
              <w:spacing w:before="197"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2"/>
                <w:sz w:val="18"/>
                <w:szCs w:val="18"/>
                <w:highlight w:val="none"/>
              </w:rPr>
              <w:t xml:space="preserve">品牌型号</w:t>
            </w:r>
            <w:r>
              <w:rPr>
                <w:rFonts w:hint="eastAsia" w:ascii="宋体" w:hAnsi="宋体" w:eastAsia="宋体" w:cs="宋体"/>
                <w:sz w:val="18"/>
                <w:szCs w:val="18"/>
                <w:highlight w:val="none"/>
              </w:rPr>
            </w:r>
            <w:r/>
          </w:p>
        </w:tc>
        <w:tc>
          <w:tcPr>
            <w:tcW w:w="1150" w:type="dxa"/>
            <w:vAlign w:val="top"/>
            <w:textDirection w:val="lrTb"/>
            <w:noWrap w:val="false"/>
          </w:tcPr>
          <w:p>
            <w:pPr>
              <w:pStyle w:val="1069"/>
              <w:ind w:left="382"/>
              <w:keepLines w:val="0"/>
              <w:keepNext w:val="0"/>
              <w:pageBreakBefore w:val="0"/>
              <w:spacing w:before="197"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容量</w:t>
            </w:r>
            <w:r>
              <w:rPr>
                <w:rFonts w:hint="eastAsia" w:ascii="宋体" w:hAnsi="宋体" w:eastAsia="宋体" w:cs="宋体"/>
                <w:sz w:val="18"/>
                <w:szCs w:val="18"/>
                <w:highlight w:val="none"/>
              </w:rPr>
            </w:r>
            <w:r/>
          </w:p>
        </w:tc>
        <w:tc>
          <w:tcPr>
            <w:tcW w:w="1874" w:type="dxa"/>
            <w:vAlign w:val="top"/>
            <w:textDirection w:val="lrTb"/>
            <w:noWrap w:val="false"/>
          </w:tcPr>
          <w:p>
            <w:pPr>
              <w:pStyle w:val="1069"/>
              <w:ind w:left="240"/>
              <w:keepLines w:val="0"/>
              <w:keepNext w:val="0"/>
              <w:pageBreakBefore w:val="0"/>
              <w:spacing w:before="197"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6"/>
                <w:sz w:val="18"/>
                <w:szCs w:val="18"/>
                <w:highlight w:val="none"/>
              </w:rPr>
              <w:t xml:space="preserve">额定功率（W）</w:t>
            </w:r>
            <w:r>
              <w:rPr>
                <w:rFonts w:hint="eastAsia" w:ascii="宋体" w:hAnsi="宋体" w:eastAsia="宋体" w:cs="宋体"/>
                <w:sz w:val="18"/>
                <w:szCs w:val="18"/>
                <w:highlight w:val="none"/>
              </w:rPr>
            </w:r>
            <w:r/>
          </w:p>
        </w:tc>
        <w:tc>
          <w:tcPr>
            <w:tcW w:w="853" w:type="dxa"/>
            <w:vAlign w:val="top"/>
            <w:textDirection w:val="lrTb"/>
            <w:noWrap w:val="false"/>
          </w:tcPr>
          <w:p>
            <w:pPr>
              <w:pStyle w:val="1069"/>
              <w:ind w:left="232"/>
              <w:keepLines w:val="0"/>
              <w:keepNext w:val="0"/>
              <w:pageBreakBefore w:val="0"/>
              <w:spacing w:before="197"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数量</w:t>
            </w:r>
            <w:r>
              <w:rPr>
                <w:rFonts w:hint="eastAsia" w:ascii="宋体" w:hAnsi="宋体" w:eastAsia="宋体" w:cs="宋体"/>
                <w:sz w:val="18"/>
                <w:szCs w:val="18"/>
                <w:highlight w:val="none"/>
              </w:rPr>
            </w:r>
            <w:r/>
          </w:p>
        </w:tc>
        <w:tc>
          <w:tcPr>
            <w:tcW w:w="1523" w:type="dxa"/>
            <w:vAlign w:val="top"/>
            <w:textDirection w:val="lrTb"/>
            <w:noWrap w:val="false"/>
          </w:tcPr>
          <w:p>
            <w:pPr>
              <w:pStyle w:val="1069"/>
              <w:ind w:left="170"/>
              <w:keepLines w:val="0"/>
              <w:keepNext w:val="0"/>
              <w:pageBreakBefore w:val="0"/>
              <w:spacing w:before="197"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总功率（W）</w:t>
            </w:r>
            <w:r>
              <w:rPr>
                <w:rFonts w:hint="eastAsia" w:ascii="宋体" w:hAnsi="宋体" w:eastAsia="宋体" w:cs="宋体"/>
                <w:sz w:val="18"/>
                <w:szCs w:val="18"/>
                <w:highlight w:val="none"/>
              </w:rPr>
            </w:r>
            <w:r/>
          </w:p>
        </w:tc>
      </w:tr>
      <w:tr>
        <w:trPr>
          <w:trHeight w:val="461"/>
        </w:trPr>
        <w:tc>
          <w:tcPr>
            <w:tcW w:w="812" w:type="dxa"/>
            <w:vAlign w:val="top"/>
            <w:textDirection w:val="lrTb"/>
            <w:noWrap w:val="false"/>
          </w:tcPr>
          <w:p>
            <w:pPr>
              <w:pStyle w:val="1069"/>
              <w:ind w:left="377"/>
              <w:keepLines w:val="0"/>
              <w:keepNext w:val="0"/>
              <w:pageBreakBefore w:val="0"/>
              <w:spacing w:before="130" w:line="240" w:lineRule="auto"/>
              <w:widowControl w:val="off"/>
              <w:rPr>
                <w:rFonts w:hint="eastAsia" w:ascii="宋体" w:hAnsi="宋体" w:eastAsia="宋体" w:cs="宋体"/>
                <w:sz w:val="18"/>
                <w:szCs w:val="18"/>
                <w:highlight w:val="none"/>
              </w:rPr>
            </w:pPr>
            <w:r>
              <w:rPr>
                <w:rFonts w:hint="eastAsia" w:ascii="宋体" w:hAnsi="宋体" w:eastAsia="宋体" w:cs="宋体"/>
                <w:position w:val="1"/>
                <w:sz w:val="18"/>
                <w:szCs w:val="18"/>
                <w:highlight w:val="none"/>
              </w:rPr>
              <w:t xml:space="preserve">1</w:t>
            </w:r>
            <w:r>
              <w:rPr>
                <w:rFonts w:hint="eastAsia" w:ascii="宋体" w:hAnsi="宋体" w:eastAsia="宋体" w:cs="宋体"/>
                <w:sz w:val="18"/>
                <w:szCs w:val="18"/>
                <w:highlight w:val="none"/>
              </w:rPr>
            </w:r>
            <w:r/>
          </w:p>
        </w:tc>
        <w:tc>
          <w:tcPr>
            <w:tcW w:w="1233" w:type="dxa"/>
            <w:vAlign w:val="top"/>
            <w:textDirection w:val="lrTb"/>
            <w:noWrap w:val="false"/>
          </w:tcPr>
          <w:p>
            <w:pPr>
              <w:pStyle w:val="1069"/>
              <w:ind w:left="221"/>
              <w:keepLines w:val="0"/>
              <w:keepNext w:val="0"/>
              <w:pageBreakBefore w:val="0"/>
              <w:spacing w:before="129"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客运电梯</w:t>
            </w:r>
            <w:r>
              <w:rPr>
                <w:rFonts w:hint="eastAsia" w:ascii="宋体" w:hAnsi="宋体" w:eastAsia="宋体" w:cs="宋体"/>
                <w:sz w:val="18"/>
                <w:szCs w:val="18"/>
                <w:highlight w:val="none"/>
              </w:rPr>
            </w:r>
            <w:r/>
          </w:p>
        </w:tc>
        <w:tc>
          <w:tcPr>
            <w:tcW w:w="1631" w:type="dxa"/>
            <w:vAlign w:val="top"/>
            <w:textDirection w:val="lrTb"/>
            <w:noWrap w:val="false"/>
          </w:tcPr>
          <w:p>
            <w:pPr>
              <w:pStyle w:val="984"/>
              <w:ind w:left="520"/>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011S-E</w:t>
            </w:r>
            <w:r>
              <w:rPr>
                <w:rFonts w:hint="eastAsia" w:ascii="宋体" w:hAnsi="宋体" w:eastAsia="宋体" w:cs="宋体"/>
                <w:sz w:val="18"/>
                <w:szCs w:val="18"/>
                <w:highlight w:val="none"/>
              </w:rPr>
            </w:r>
            <w:r/>
          </w:p>
        </w:tc>
        <w:tc>
          <w:tcPr>
            <w:tcW w:w="1150" w:type="dxa"/>
            <w:vAlign w:val="top"/>
            <w:textDirection w:val="lrTb"/>
            <w:noWrap w:val="false"/>
          </w:tcPr>
          <w:p>
            <w:pPr>
              <w:pStyle w:val="984"/>
              <w:ind w:left="294"/>
              <w:keepLines w:val="0"/>
              <w:keepNext w:val="0"/>
              <w:pageBreakBefore w:val="0"/>
              <w:spacing w:before="160"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1050</w:t>
            </w:r>
            <w:r>
              <w:rPr>
                <w:rFonts w:hint="eastAsia" w:ascii="宋体" w:hAnsi="宋体" w:eastAsia="宋体" w:cs="宋体"/>
                <w:sz w:val="18"/>
                <w:szCs w:val="18"/>
                <w:highlight w:val="none"/>
              </w:rPr>
              <w:t xml:space="preserve">kg</w:t>
            </w:r>
            <w:r>
              <w:rPr>
                <w:rFonts w:hint="eastAsia" w:ascii="宋体" w:hAnsi="宋体" w:eastAsia="宋体" w:cs="宋体"/>
                <w:sz w:val="18"/>
                <w:szCs w:val="18"/>
                <w:highlight w:val="none"/>
              </w:rPr>
            </w:r>
            <w:r/>
          </w:p>
        </w:tc>
        <w:tc>
          <w:tcPr>
            <w:tcW w:w="1874" w:type="dxa"/>
            <w:vAlign w:val="top"/>
            <w:textDirection w:val="lrTb"/>
            <w:noWrap w:val="false"/>
          </w:tcPr>
          <w:p>
            <w:pPr>
              <w:pStyle w:val="984"/>
              <w:ind w:left="709"/>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11000</w:t>
            </w:r>
            <w:r>
              <w:rPr>
                <w:rFonts w:hint="eastAsia" w:ascii="宋体" w:hAnsi="宋体" w:eastAsia="宋体" w:cs="宋体"/>
                <w:sz w:val="18"/>
                <w:szCs w:val="18"/>
                <w:highlight w:val="none"/>
              </w:rPr>
            </w:r>
            <w:r/>
          </w:p>
        </w:tc>
        <w:tc>
          <w:tcPr>
            <w:tcW w:w="853" w:type="dxa"/>
            <w:vAlign w:val="top"/>
            <w:textDirection w:val="lrTb"/>
            <w:noWrap w:val="false"/>
          </w:tcPr>
          <w:p>
            <w:pPr>
              <w:pStyle w:val="984"/>
              <w:ind w:left="382"/>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rPr>
            </w:r>
            <w:r/>
          </w:p>
        </w:tc>
        <w:tc>
          <w:tcPr>
            <w:tcW w:w="1523" w:type="dxa"/>
            <w:vAlign w:val="top"/>
            <w:textDirection w:val="lrTb"/>
            <w:noWrap w:val="false"/>
          </w:tcPr>
          <w:p>
            <w:pPr>
              <w:pStyle w:val="984"/>
              <w:ind w:left="516"/>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33000</w:t>
            </w:r>
            <w:r>
              <w:rPr>
                <w:rFonts w:hint="eastAsia" w:ascii="宋体" w:hAnsi="宋体" w:eastAsia="宋体" w:cs="宋体"/>
                <w:sz w:val="18"/>
                <w:szCs w:val="18"/>
                <w:highlight w:val="none"/>
              </w:rPr>
            </w:r>
            <w:r/>
          </w:p>
        </w:tc>
      </w:tr>
    </w:tbl>
    <w:p>
      <w:pPr>
        <w:pStyle w:val="984"/>
        <w:ind w:firstLine="26"/>
        <w:pageBreakBefore w:val="0"/>
        <w:spacing w:before="116" w:line="360" w:lineRule="auto"/>
        <w:rPr>
          <w:rFonts w:hint="eastAsia" w:ascii="宋体" w:hAnsi="宋体" w:eastAsia="宋体" w:cs="宋体"/>
          <w:b/>
          <w:bCs/>
          <w:color w:val="000000"/>
          <w:highlight w:val="none"/>
          <w:lang w:val="en-US" w:eastAsia="zh-CN"/>
        </w:rPr>
      </w:pPr>
      <w:r>
        <w:rPr>
          <w:rFonts w:eastAsia="宋体" w:cs="Times New Roman"/>
          <w:position w:val="-97"/>
          <w:highlight w:val="none"/>
        </w:rPr>
        <mc:AlternateContent>
          <mc:Choice Requires="wpg">
            <w:drawing>
              <wp:inline xmlns:wp="http://schemas.openxmlformats.org/drawingml/2006/wordprocessingDrawing" distT="0" distB="0" distL="0" distR="0">
                <wp:extent cx="5716168" cy="358593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716168" cy="35859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0.1pt;height:282.4pt;mso-wrap-distance-left:0.0pt;mso-wrap-distance-top:0.0pt;mso-wrap-distance-right:0.0pt;mso-wrap-distance-bottom:0.0pt;" stroked="f">
                <v:path textboxrect="0,0,0,0"/>
                <v:imagedata r:id="rId23" o:title=""/>
              </v:shape>
            </w:pict>
          </mc:Fallback>
        </mc:AlternateContent>
      </w:r>
      <w:bookmarkStart w:id="59" w:name="bookmark24"/>
      <w:r/>
      <w:bookmarkEnd w:id="59"/>
      <w:r>
        <w:rPr>
          <w:rFonts w:hint="eastAsia" w:ascii="宋体" w:hAnsi="宋体" w:eastAsia="宋体" w:cs="宋体"/>
          <w:b/>
          <w:bCs/>
          <w:color w:val="000000"/>
          <w:highlight w:val="none"/>
          <w:lang w:val="en-US" w:eastAsia="zh-CN"/>
        </w:rPr>
      </w:r>
      <w:r/>
    </w:p>
    <w:p>
      <w:pPr>
        <w:pStyle w:val="984"/>
        <w:ind w:firstLine="480"/>
        <w:keepLines w:val="0"/>
        <w:keepNext w:val="0"/>
        <w:pageBreakBefore w:val="0"/>
        <w:spacing w:line="432" w:lineRule="auto"/>
        <w:widowControl w:val="off"/>
        <w:rPr>
          <w:rFonts w:hint="eastAsia" w:ascii="宋体" w:hAnsi="宋体" w:eastAsia="宋体" w:cs="宋体"/>
          <w:b/>
          <w:bCs/>
          <w:color w:val="000000"/>
          <w:highlight w:val="none"/>
        </w:rPr>
        <w:outlineLvl w:val="2"/>
      </w:pPr>
      <w:r>
        <w:rPr>
          <w:rFonts w:hint="eastAsia" w:ascii="宋体" w:hAnsi="宋体" w:eastAsia="宋体" w:cs="宋体"/>
          <w:b/>
          <w:bCs/>
          <w:color w:val="000000"/>
          <w:highlight w:val="none"/>
          <w:lang w:val="en-US" w:eastAsia="zh-CN"/>
        </w:rPr>
        <w:t xml:space="preserve">6.</w:t>
      </w:r>
      <w:r>
        <w:rPr>
          <w:rFonts w:hint="eastAsia" w:ascii="宋体" w:hAnsi="宋体" w:eastAsia="宋体" w:cs="宋体"/>
          <w:b/>
          <w:bCs/>
          <w:color w:val="000000"/>
          <w:highlight w:val="none"/>
        </w:rPr>
        <w:t xml:space="preserve">环境监测系统</w:t>
      </w:r>
      <w:r>
        <w:rPr>
          <w:rFonts w:hint="eastAsia" w:ascii="宋体" w:hAnsi="宋体" w:eastAsia="宋体" w:cs="宋体"/>
          <w:b/>
          <w:bCs/>
          <w:color w:val="000000"/>
          <w:highlight w:val="none"/>
        </w:rPr>
      </w:r>
      <w:r/>
    </w:p>
    <w:p>
      <w:pPr>
        <w:pStyle w:val="984"/>
        <w:ind w:firstLine="420"/>
        <w:jc w:val="left"/>
        <w:keepLines w:val="0"/>
        <w:keepNext w:val="0"/>
        <w:pageBreakBefore w:val="0"/>
        <w:spacing w:line="432" w:lineRule="auto"/>
        <w:widowControl w:val="off"/>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扬州市仪征环境监测站负责为仪征市环境保护提供环境监测保障，拥有多种检测设备。</w:t>
      </w:r>
      <w:r>
        <w:rPr>
          <w:rFonts w:ascii="宋体" w:hAnsi="宋体" w:eastAsia="宋体" w:cs="宋体"/>
          <w:spacing w:val="0"/>
          <w:sz w:val="21"/>
          <w:szCs w:val="21"/>
          <w:highlight w:val="none"/>
        </w:rPr>
      </w:r>
      <w:r/>
    </w:p>
    <w:p>
      <w:pPr>
        <w:pStyle w:val="984"/>
        <w:ind w:left="3314"/>
        <w:pageBreakBefore w:val="0"/>
        <w:spacing w:before="245" w:line="360" w:lineRule="auto"/>
        <w:rPr>
          <w:rFonts w:ascii="宋体" w:hAnsi="宋体" w:eastAsia="宋体" w:cs="宋体"/>
          <w:sz w:val="20"/>
          <w:szCs w:val="20"/>
          <w:highlight w:val="none"/>
        </w:rPr>
      </w:pPr>
      <w:r>
        <w:rPr>
          <w:rFonts w:ascii="宋体" w:hAnsi="宋体" w:eastAsia="宋体" w:cs="宋体"/>
          <w:b/>
          <w:bCs/>
          <w:spacing w:val="4"/>
          <w:sz w:val="20"/>
          <w:szCs w:val="20"/>
          <w:highlight w:val="none"/>
        </w:rPr>
        <w:t xml:space="preserve">表</w:t>
      </w:r>
      <w:r>
        <w:rPr>
          <w:rFonts w:hint="eastAsia" w:ascii="宋体" w:hAnsi="宋体" w:eastAsia="宋体" w:cs="宋体"/>
          <w:b/>
          <w:bCs/>
          <w:spacing w:val="4"/>
          <w:sz w:val="20"/>
          <w:szCs w:val="20"/>
          <w:highlight w:val="none"/>
          <w:lang w:val="en-US" w:eastAsia="zh-CN"/>
        </w:rPr>
        <w:t xml:space="preserve">6-1</w:t>
      </w:r>
      <w:r>
        <w:rPr>
          <w:rFonts w:ascii="Times New Roman" w:hAnsi="Times New Roman" w:eastAsia="Times New Roman" w:cs="Times New Roman"/>
          <w:b/>
          <w:bCs/>
          <w:spacing w:val="4"/>
          <w:sz w:val="20"/>
          <w:szCs w:val="20"/>
          <w:highlight w:val="none"/>
        </w:rPr>
        <w:t xml:space="preserve">  </w:t>
      </w:r>
      <w:r>
        <w:rPr>
          <w:rFonts w:ascii="宋体" w:hAnsi="宋体" w:eastAsia="宋体" w:cs="宋体"/>
          <w:b/>
          <w:bCs/>
          <w:spacing w:val="4"/>
          <w:sz w:val="20"/>
          <w:szCs w:val="20"/>
          <w:highlight w:val="none"/>
        </w:rPr>
        <w:t xml:space="preserve">环境监测设备统计表</w:t>
      </w:r>
      <w:r>
        <w:rPr>
          <w:rFonts w:ascii="宋体" w:hAnsi="宋体" w:eastAsia="宋体" w:cs="宋体"/>
          <w:sz w:val="20"/>
          <w:szCs w:val="20"/>
          <w:highlight w:val="none"/>
        </w:rPr>
      </w:r>
      <w:r/>
    </w:p>
    <w:p>
      <w:pPr>
        <w:pStyle w:val="984"/>
        <w:pageBreakBefore w:val="0"/>
        <w:spacing w:line="360" w:lineRule="auto"/>
        <w:rPr>
          <w:rFonts w:eastAsia="宋体" w:cs="Times New Roman"/>
          <w:highlight w:val="none"/>
        </w:rPr>
      </w:pPr>
      <w:r>
        <w:rPr>
          <w:rFonts w:eastAsia="宋体" w:cs="Times New Roman"/>
          <w:highlight w:val="none"/>
        </w:rPr>
      </w:r>
      <w:r/>
    </w:p>
    <w:tbl>
      <w:tblPr>
        <w:tblStyle w:val="1070"/>
        <w:tblW w:w="9022"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0"/>
        <w:gridCol w:w="3062"/>
        <w:gridCol w:w="1914"/>
        <w:gridCol w:w="1433"/>
        <w:gridCol w:w="1603"/>
      </w:tblGrid>
      <w:tr>
        <w:trPr>
          <w:trHeight w:val="499"/>
        </w:trPr>
        <w:tc>
          <w:tcPr>
            <w:tcW w:w="1010" w:type="dxa"/>
            <w:vAlign w:val="top"/>
            <w:textDirection w:val="lrTb"/>
            <w:noWrap w:val="false"/>
          </w:tcPr>
          <w:p>
            <w:pPr>
              <w:pStyle w:val="1069"/>
              <w:ind w:left="307"/>
              <w:keepLines w:val="0"/>
              <w:keepNext w:val="0"/>
              <w:pageBreakBefore w:val="0"/>
              <w:spacing w:before="149"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序号</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1135"/>
              <w:keepLines w:val="0"/>
              <w:keepNext w:val="0"/>
              <w:pageBreakBefore w:val="0"/>
              <w:spacing w:before="149"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5"/>
                <w:sz w:val="18"/>
                <w:szCs w:val="18"/>
                <w:highlight w:val="none"/>
              </w:rPr>
              <w:t xml:space="preserve">设备名称</w:t>
            </w:r>
            <w:r>
              <w:rPr>
                <w:rFonts w:hint="eastAsia" w:ascii="宋体" w:hAnsi="宋体" w:eastAsia="宋体" w:cs="宋体"/>
                <w:sz w:val="18"/>
                <w:szCs w:val="18"/>
                <w:highlight w:val="none"/>
              </w:rPr>
            </w:r>
            <w:r/>
          </w:p>
        </w:tc>
        <w:tc>
          <w:tcPr>
            <w:tcW w:w="1914" w:type="dxa"/>
            <w:vAlign w:val="top"/>
            <w:textDirection w:val="lrTb"/>
            <w:noWrap w:val="false"/>
          </w:tcPr>
          <w:p>
            <w:pPr>
              <w:pStyle w:val="1069"/>
              <w:ind w:left="462"/>
              <w:keepLines w:val="0"/>
              <w:keepNext w:val="0"/>
              <w:pageBreakBefore w:val="0"/>
              <w:spacing w:before="149"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数量（台）</w:t>
            </w:r>
            <w:r>
              <w:rPr>
                <w:rFonts w:hint="eastAsia" w:ascii="宋体" w:hAnsi="宋体" w:eastAsia="宋体" w:cs="宋体"/>
                <w:sz w:val="18"/>
                <w:szCs w:val="18"/>
                <w:highlight w:val="none"/>
              </w:rPr>
            </w:r>
            <w:r/>
          </w:p>
        </w:tc>
        <w:tc>
          <w:tcPr>
            <w:tcW w:w="1433" w:type="dxa"/>
            <w:vAlign w:val="top"/>
            <w:textDirection w:val="lrTb"/>
            <w:noWrap w:val="false"/>
          </w:tcPr>
          <w:p>
            <w:pPr>
              <w:pStyle w:val="1069"/>
              <w:ind w:left="320"/>
              <w:keepLines w:val="0"/>
              <w:keepNext w:val="0"/>
              <w:pageBreakBefore w:val="0"/>
              <w:spacing w:before="36"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6"/>
                <w:sz w:val="18"/>
                <w:szCs w:val="18"/>
                <w:highlight w:val="none"/>
              </w:rPr>
              <w:t xml:space="preserve">额定功率</w:t>
            </w:r>
            <w:r>
              <w:rPr>
                <w:rFonts w:hint="eastAsia" w:ascii="宋体" w:hAnsi="宋体" w:eastAsia="宋体" w:cs="宋体"/>
                <w:sz w:val="18"/>
                <w:szCs w:val="18"/>
                <w:highlight w:val="none"/>
              </w:rPr>
            </w:r>
            <w:r/>
          </w:p>
          <w:p>
            <w:pPr>
              <w:pStyle w:val="984"/>
              <w:ind w:left="555"/>
              <w:keepLines w:val="0"/>
              <w:keepNext w:val="0"/>
              <w:pageBreakBefore w:val="0"/>
              <w:spacing w:before="41"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2"/>
                <w:sz w:val="18"/>
                <w:szCs w:val="18"/>
                <w:highlight w:val="none"/>
              </w:rPr>
              <w:t xml:space="preserve">(W)</w:t>
            </w:r>
            <w:r>
              <w:rPr>
                <w:rFonts w:hint="eastAsia" w:ascii="宋体" w:hAnsi="宋体" w:eastAsia="宋体" w:cs="宋体"/>
                <w:sz w:val="18"/>
                <w:szCs w:val="18"/>
                <w:highlight w:val="none"/>
              </w:rPr>
            </w:r>
            <w:r/>
          </w:p>
        </w:tc>
        <w:tc>
          <w:tcPr>
            <w:tcW w:w="1603" w:type="dxa"/>
            <w:vAlign w:val="top"/>
            <w:textDirection w:val="lrTb"/>
            <w:noWrap w:val="false"/>
          </w:tcPr>
          <w:p>
            <w:pPr>
              <w:pStyle w:val="1069"/>
              <w:ind w:left="510"/>
              <w:keepLines w:val="0"/>
              <w:keepNext w:val="0"/>
              <w:pageBreakBefore w:val="0"/>
              <w:spacing w:before="36"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总功率</w:t>
            </w:r>
            <w:r>
              <w:rPr>
                <w:rFonts w:hint="eastAsia" w:ascii="宋体" w:hAnsi="宋体" w:eastAsia="宋体" w:cs="宋体"/>
                <w:sz w:val="18"/>
                <w:szCs w:val="18"/>
                <w:highlight w:val="none"/>
              </w:rPr>
            </w:r>
            <w:r/>
          </w:p>
          <w:p>
            <w:pPr>
              <w:pStyle w:val="984"/>
              <w:ind w:left="639"/>
              <w:keepLines w:val="0"/>
              <w:keepNext w:val="0"/>
              <w:pageBreakBefore w:val="0"/>
              <w:spacing w:before="41"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2"/>
                <w:sz w:val="18"/>
                <w:szCs w:val="18"/>
                <w:highlight w:val="none"/>
              </w:rPr>
              <w:t xml:space="preserve">(W)</w:t>
            </w:r>
            <w:r>
              <w:rPr>
                <w:rFonts w:hint="eastAsia" w:ascii="宋体" w:hAnsi="宋体" w:eastAsia="宋体" w:cs="宋体"/>
                <w:sz w:val="18"/>
                <w:szCs w:val="18"/>
                <w:highlight w:val="none"/>
              </w:rPr>
            </w:r>
            <w:r/>
          </w:p>
        </w:tc>
      </w:tr>
      <w:tr>
        <w:trPr>
          <w:trHeight w:val="458"/>
        </w:trPr>
        <w:tc>
          <w:tcPr>
            <w:tcW w:w="1010" w:type="dxa"/>
            <w:vAlign w:val="top"/>
            <w:textDirection w:val="lrTb"/>
            <w:noWrap w:val="false"/>
          </w:tcPr>
          <w:p>
            <w:pPr>
              <w:pStyle w:val="984"/>
              <w:ind w:left="475"/>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65"/>
              <w:keepLines w:val="0"/>
              <w:keepNext w:val="0"/>
              <w:pageBreakBefore w:val="0"/>
              <w:spacing w:before="127"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气相色谱（7820A）</w:t>
            </w:r>
            <w:r>
              <w:rPr>
                <w:rFonts w:hint="eastAsia" w:ascii="宋体" w:hAnsi="宋体" w:eastAsia="宋体" w:cs="宋体"/>
                <w:sz w:val="18"/>
                <w:szCs w:val="18"/>
                <w:highlight w:val="none"/>
              </w:rPr>
            </w:r>
            <w:r/>
          </w:p>
        </w:tc>
        <w:tc>
          <w:tcPr>
            <w:tcW w:w="1914" w:type="dxa"/>
            <w:vAlign w:val="top"/>
            <w:textDirection w:val="lrTb"/>
            <w:noWrap w:val="false"/>
          </w:tcPr>
          <w:p>
            <w:pPr>
              <w:pStyle w:val="984"/>
              <w:ind w:left="927"/>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20"/>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2250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02"/>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2250</w:t>
            </w:r>
            <w:r>
              <w:rPr>
                <w:rFonts w:hint="eastAsia" w:ascii="宋体" w:hAnsi="宋体" w:eastAsia="宋体" w:cs="宋体"/>
                <w:sz w:val="18"/>
                <w:szCs w:val="18"/>
                <w:highlight w:val="none"/>
              </w:rPr>
            </w:r>
            <w:r/>
          </w:p>
        </w:tc>
      </w:tr>
      <w:tr>
        <w:trPr>
          <w:trHeight w:val="458"/>
        </w:trPr>
        <w:tc>
          <w:tcPr>
            <w:tcW w:w="1010" w:type="dxa"/>
            <w:vAlign w:val="top"/>
            <w:textDirection w:val="lrTb"/>
            <w:noWrap w:val="false"/>
          </w:tcPr>
          <w:p>
            <w:pPr>
              <w:pStyle w:val="984"/>
              <w:ind w:left="456"/>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1037"/>
              <w:keepLines w:val="0"/>
              <w:keepNext w:val="0"/>
              <w:pageBreakBefore w:val="0"/>
              <w:spacing w:before="128"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库仑测硫仪</w:t>
            </w:r>
            <w:r>
              <w:rPr>
                <w:rFonts w:hint="eastAsia" w:ascii="宋体" w:hAnsi="宋体" w:eastAsia="宋体" w:cs="宋体"/>
                <w:sz w:val="18"/>
                <w:szCs w:val="18"/>
                <w:highlight w:val="none"/>
              </w:rPr>
            </w:r>
            <w:r/>
          </w:p>
        </w:tc>
        <w:tc>
          <w:tcPr>
            <w:tcW w:w="1914" w:type="dxa"/>
            <w:vAlign w:val="top"/>
            <w:textDirection w:val="lrTb"/>
            <w:noWrap w:val="false"/>
          </w:tcPr>
          <w:p>
            <w:pPr>
              <w:pStyle w:val="984"/>
              <w:ind w:left="927"/>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19"/>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4400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01"/>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4400</w:t>
            </w:r>
            <w:r>
              <w:rPr>
                <w:rFonts w:hint="eastAsia" w:ascii="宋体" w:hAnsi="宋体" w:eastAsia="宋体" w:cs="宋体"/>
                <w:sz w:val="18"/>
                <w:szCs w:val="18"/>
                <w:highlight w:val="none"/>
              </w:rPr>
            </w:r>
            <w:r/>
          </w:p>
        </w:tc>
      </w:tr>
      <w:tr>
        <w:trPr>
          <w:trHeight w:val="458"/>
        </w:trPr>
        <w:tc>
          <w:tcPr>
            <w:tcW w:w="1010" w:type="dxa"/>
            <w:vAlign w:val="top"/>
            <w:textDirection w:val="lrTb"/>
            <w:noWrap w:val="false"/>
          </w:tcPr>
          <w:p>
            <w:pPr>
              <w:pStyle w:val="984"/>
              <w:ind w:left="460"/>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839"/>
              <w:keepLines w:val="0"/>
              <w:keepNext w:val="0"/>
              <w:pageBreakBefore w:val="0"/>
              <w:spacing w:before="130" w:line="240" w:lineRule="auto"/>
              <w:widowControl w:val="off"/>
              <w:rPr>
                <w:rFonts w:hint="eastAsia" w:ascii="宋体" w:hAnsi="宋体" w:eastAsia="宋体" w:cs="宋体"/>
                <w:sz w:val="18"/>
                <w:szCs w:val="18"/>
                <w:highlight w:val="none"/>
              </w:rPr>
            </w:pPr>
            <w:r>
              <w:rPr>
                <w:rFonts w:hint="eastAsia" w:ascii="宋体" w:hAnsi="宋体" w:eastAsia="宋体" w:cs="宋体"/>
                <w:spacing w:val="8"/>
                <w:sz w:val="18"/>
                <w:szCs w:val="18"/>
                <w:highlight w:val="none"/>
              </w:rPr>
              <w:t xml:space="preserve">红外分光测硫仪</w:t>
            </w:r>
            <w:r>
              <w:rPr>
                <w:rFonts w:hint="eastAsia" w:ascii="宋体" w:hAnsi="宋体" w:eastAsia="宋体" w:cs="宋体"/>
                <w:sz w:val="18"/>
                <w:szCs w:val="18"/>
                <w:highlight w:val="none"/>
              </w:rPr>
            </w:r>
            <w:r/>
          </w:p>
        </w:tc>
        <w:tc>
          <w:tcPr>
            <w:tcW w:w="1914" w:type="dxa"/>
            <w:vAlign w:val="top"/>
            <w:textDirection w:val="lrTb"/>
            <w:noWrap w:val="false"/>
          </w:tcPr>
          <w:p>
            <w:pPr>
              <w:pStyle w:val="984"/>
              <w:ind w:left="927"/>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618"/>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40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701"/>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40</w:t>
            </w:r>
            <w:r>
              <w:rPr>
                <w:rFonts w:hint="eastAsia" w:ascii="宋体" w:hAnsi="宋体" w:eastAsia="宋体" w:cs="宋体"/>
                <w:sz w:val="18"/>
                <w:szCs w:val="18"/>
                <w:highlight w:val="none"/>
              </w:rPr>
            </w:r>
            <w:r/>
          </w:p>
        </w:tc>
      </w:tr>
      <w:tr>
        <w:trPr>
          <w:trHeight w:val="458"/>
        </w:trPr>
        <w:tc>
          <w:tcPr>
            <w:tcW w:w="1010" w:type="dxa"/>
            <w:vAlign w:val="top"/>
            <w:textDirection w:val="lrTb"/>
            <w:noWrap w:val="false"/>
          </w:tcPr>
          <w:p>
            <w:pPr>
              <w:pStyle w:val="984"/>
              <w:ind w:left="455"/>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4</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69"/>
              <w:keepLines w:val="0"/>
              <w:keepNext w:val="0"/>
              <w:pageBreakBefore w:val="0"/>
              <w:spacing w:before="131" w:line="240" w:lineRule="auto"/>
              <w:widowControl w:val="off"/>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原子吸收（Y0008）</w:t>
            </w:r>
            <w:r>
              <w:rPr>
                <w:rFonts w:hint="eastAsia" w:ascii="宋体" w:hAnsi="宋体" w:eastAsia="宋体" w:cs="宋体"/>
                <w:sz w:val="18"/>
                <w:szCs w:val="18"/>
                <w:highlight w:val="none"/>
              </w:rPr>
            </w:r>
            <w:r/>
          </w:p>
        </w:tc>
        <w:tc>
          <w:tcPr>
            <w:tcW w:w="1914" w:type="dxa"/>
            <w:vAlign w:val="top"/>
            <w:textDirection w:val="lrTb"/>
            <w:noWrap w:val="false"/>
          </w:tcPr>
          <w:p>
            <w:pPr>
              <w:pStyle w:val="984"/>
              <w:ind w:left="927"/>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24"/>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3750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06"/>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3750</w:t>
            </w:r>
            <w:r>
              <w:rPr>
                <w:rFonts w:hint="eastAsia" w:ascii="宋体" w:hAnsi="宋体" w:eastAsia="宋体" w:cs="宋体"/>
                <w:sz w:val="18"/>
                <w:szCs w:val="18"/>
                <w:highlight w:val="none"/>
              </w:rPr>
            </w:r>
            <w:r/>
          </w:p>
        </w:tc>
      </w:tr>
      <w:tr>
        <w:trPr>
          <w:trHeight w:val="459"/>
        </w:trPr>
        <w:tc>
          <w:tcPr>
            <w:tcW w:w="1010" w:type="dxa"/>
            <w:vAlign w:val="top"/>
            <w:textDirection w:val="lrTb"/>
            <w:noWrap w:val="false"/>
          </w:tcPr>
          <w:p>
            <w:pPr>
              <w:pStyle w:val="984"/>
              <w:ind w:left="461"/>
              <w:keepLines w:val="0"/>
              <w:keepNext w:val="0"/>
              <w:pageBreakBefore w:val="0"/>
              <w:spacing w:before="168"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69"/>
              <w:keepLines w:val="0"/>
              <w:keepNext w:val="0"/>
              <w:pageBreakBefore w:val="0"/>
              <w:spacing w:before="131" w:line="240" w:lineRule="auto"/>
              <w:widowControl w:val="off"/>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原子吸收（Y0016）</w:t>
            </w:r>
            <w:r>
              <w:rPr>
                <w:rFonts w:hint="eastAsia" w:ascii="宋体" w:hAnsi="宋体" w:eastAsia="宋体" w:cs="宋体"/>
                <w:sz w:val="18"/>
                <w:szCs w:val="18"/>
                <w:highlight w:val="none"/>
              </w:rPr>
            </w:r>
            <w:r/>
          </w:p>
        </w:tc>
        <w:tc>
          <w:tcPr>
            <w:tcW w:w="1914" w:type="dxa"/>
            <w:vAlign w:val="top"/>
            <w:textDirection w:val="lrTb"/>
            <w:noWrap w:val="false"/>
          </w:tcPr>
          <w:p>
            <w:pPr>
              <w:pStyle w:val="984"/>
              <w:ind w:left="927"/>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68"/>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230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52"/>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230</w:t>
            </w:r>
            <w:r>
              <w:rPr>
                <w:rFonts w:hint="eastAsia" w:ascii="宋体" w:hAnsi="宋体" w:eastAsia="宋体" w:cs="宋体"/>
                <w:sz w:val="18"/>
                <w:szCs w:val="18"/>
                <w:highlight w:val="none"/>
              </w:rPr>
            </w:r>
            <w:r/>
          </w:p>
        </w:tc>
      </w:tr>
      <w:tr>
        <w:trPr>
          <w:trHeight w:val="459"/>
        </w:trPr>
        <w:tc>
          <w:tcPr>
            <w:tcW w:w="1010" w:type="dxa"/>
            <w:vAlign w:val="top"/>
            <w:textDirection w:val="lrTb"/>
            <w:noWrap w:val="false"/>
          </w:tcPr>
          <w:p>
            <w:pPr>
              <w:pStyle w:val="984"/>
              <w:ind w:left="460"/>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935"/>
              <w:keepLines w:val="0"/>
              <w:keepNext w:val="0"/>
              <w:pageBreakBefore w:val="0"/>
              <w:spacing w:before="132" w:line="240" w:lineRule="auto"/>
              <w:widowControl w:val="off"/>
              <w:rPr>
                <w:rFonts w:hint="eastAsia" w:ascii="宋体" w:hAnsi="宋体" w:eastAsia="宋体" w:cs="宋体"/>
                <w:sz w:val="18"/>
                <w:szCs w:val="18"/>
                <w:highlight w:val="none"/>
              </w:rPr>
            </w:pPr>
            <w:r>
              <w:rPr>
                <w:rFonts w:hint="eastAsia" w:ascii="宋体" w:hAnsi="宋体" w:eastAsia="宋体" w:cs="宋体"/>
                <w:spacing w:val="8"/>
                <w:sz w:val="18"/>
                <w:szCs w:val="18"/>
                <w:highlight w:val="none"/>
              </w:rPr>
              <w:t xml:space="preserve">双数显测汞仪</w:t>
            </w:r>
            <w:r>
              <w:rPr>
                <w:rFonts w:hint="eastAsia" w:ascii="宋体" w:hAnsi="宋体" w:eastAsia="宋体" w:cs="宋体"/>
                <w:sz w:val="18"/>
                <w:szCs w:val="18"/>
                <w:highlight w:val="none"/>
              </w:rPr>
            </w:r>
            <w:r/>
          </w:p>
        </w:tc>
        <w:tc>
          <w:tcPr>
            <w:tcW w:w="1914" w:type="dxa"/>
            <w:vAlign w:val="top"/>
            <w:textDirection w:val="lrTb"/>
            <w:noWrap w:val="false"/>
          </w:tcPr>
          <w:p>
            <w:pPr>
              <w:pStyle w:val="984"/>
              <w:ind w:left="927"/>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624"/>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708"/>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59"/>
              <w:keepLines w:val="0"/>
              <w:keepNext w:val="0"/>
              <w:pageBreakBefore w:val="0"/>
              <w:spacing w:before="169"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7</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58"/>
              <w:keepLines w:val="0"/>
              <w:keepNext w:val="0"/>
              <w:pageBreakBefore w:val="0"/>
              <w:spacing w:before="131" w:line="240" w:lineRule="auto"/>
              <w:widowControl w:val="off"/>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电子天平十万分之一</w:t>
            </w:r>
            <w:r>
              <w:rPr>
                <w:rFonts w:hint="eastAsia" w:ascii="宋体" w:hAnsi="宋体" w:eastAsia="宋体" w:cs="宋体"/>
                <w:sz w:val="18"/>
                <w:szCs w:val="18"/>
                <w:highlight w:val="none"/>
              </w:rPr>
            </w:r>
            <w:r/>
          </w:p>
        </w:tc>
        <w:tc>
          <w:tcPr>
            <w:tcW w:w="1914" w:type="dxa"/>
            <w:vAlign w:val="top"/>
            <w:textDirection w:val="lrTb"/>
            <w:noWrap w:val="false"/>
          </w:tcPr>
          <w:p>
            <w:pPr>
              <w:pStyle w:val="984"/>
              <w:ind w:left="927"/>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99"/>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82"/>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3.6</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64"/>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839"/>
              <w:keepLines w:val="0"/>
              <w:keepNext w:val="0"/>
              <w:pageBreakBefore w:val="0"/>
              <w:spacing w:before="128"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8"/>
                <w:sz w:val="18"/>
                <w:szCs w:val="18"/>
                <w:highlight w:val="none"/>
              </w:rPr>
              <w:t xml:space="preserve">原子荧光光度计</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68"/>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250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52"/>
              <w:keepLines w:val="0"/>
              <w:keepNext w:val="0"/>
              <w:pageBreakBefore w:val="0"/>
              <w:spacing w:before="162"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250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60"/>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35"/>
              <w:keepLines w:val="0"/>
              <w:keepNext w:val="0"/>
              <w:pageBreakBefore w:val="0"/>
              <w:spacing w:before="130"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9"/>
                <w:sz w:val="18"/>
                <w:szCs w:val="18"/>
                <w:highlight w:val="none"/>
              </w:rPr>
              <w:t xml:space="preserve">双束紫外分光光度计</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12"/>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68"/>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200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56"/>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600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1158"/>
              <w:keepLines w:val="0"/>
              <w:keepNext w:val="0"/>
              <w:pageBreakBefore w:val="0"/>
              <w:spacing w:before="130"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1"/>
                <w:sz w:val="18"/>
                <w:szCs w:val="18"/>
                <w:highlight w:val="none"/>
              </w:rPr>
              <w:t xml:space="preserve">电子天平</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12"/>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rPr>
                <w:rFonts w:hint="eastAsia" w:ascii="宋体" w:hAnsi="宋体" w:eastAsia="宋体" w:cs="宋体"/>
                <w:sz w:val="18"/>
                <w:szCs w:val="18"/>
                <w:highlight w:val="none"/>
              </w:rPr>
            </w:r>
            <w:r/>
          </w:p>
        </w:tc>
        <w:tc>
          <w:tcPr>
            <w:tcW w:w="1433" w:type="dxa"/>
            <w:vAlign w:val="top"/>
            <w:textDirection w:val="lrTb"/>
            <w:noWrap w:val="false"/>
          </w:tcPr>
          <w:p>
            <w:pPr>
              <w:pStyle w:val="984"/>
              <w:ind w:left="688"/>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603" w:type="dxa"/>
            <w:vAlign w:val="top"/>
            <w:textDirection w:val="lrTb"/>
            <w:noWrap w:val="false"/>
          </w:tcPr>
          <w:p>
            <w:pPr>
              <w:pStyle w:val="984"/>
              <w:ind w:left="757"/>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3"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11</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65"/>
              <w:keepLines w:val="0"/>
              <w:keepNext w:val="0"/>
              <w:pageBreakBefore w:val="0"/>
              <w:spacing w:before="128"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6"/>
                <w:sz w:val="18"/>
                <w:szCs w:val="18"/>
                <w:highlight w:val="none"/>
              </w:rPr>
              <w:t xml:space="preserve">气相色谱（6890N）</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3"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20"/>
              <w:keepLines w:val="0"/>
              <w:keepNext w:val="0"/>
              <w:pageBreakBefore w:val="0"/>
              <w:spacing w:before="163"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spacing w:val="3"/>
                <w:sz w:val="18"/>
                <w:szCs w:val="18"/>
                <w:highlight w:val="none"/>
                <w:lang w:eastAsia="zh-CN"/>
              </w:rPr>
              <w:t xml:space="preserve">2026</w:t>
            </w:r>
            <w:r>
              <w:rPr>
                <w:rFonts w:hint="eastAsia" w:ascii="宋体" w:hAnsi="宋体" w:eastAsia="宋体" w:cs="宋体"/>
                <w:sz w:val="18"/>
                <w:szCs w:val="18"/>
                <w:highlight w:val="none"/>
                <w:lang w:eastAsia="zh-CN"/>
              </w:rPr>
            </w:r>
            <w:r/>
          </w:p>
        </w:tc>
        <w:tc>
          <w:tcPr>
            <w:tcW w:w="1603" w:type="dxa"/>
            <w:vAlign w:val="top"/>
            <w:textDirection w:val="lrTb"/>
            <w:noWrap w:val="false"/>
          </w:tcPr>
          <w:p>
            <w:pPr>
              <w:pStyle w:val="984"/>
              <w:ind w:left="602"/>
              <w:keepLines w:val="0"/>
              <w:keepNext w:val="0"/>
              <w:pageBreakBefore w:val="0"/>
              <w:spacing w:before="163"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spacing w:val="3"/>
                <w:sz w:val="18"/>
                <w:szCs w:val="18"/>
                <w:highlight w:val="none"/>
                <w:lang w:eastAsia="zh-CN"/>
              </w:rPr>
              <w:t xml:space="preserve">2026</w:t>
            </w:r>
            <w:r>
              <w:rPr>
                <w:rFonts w:hint="eastAsia" w:ascii="宋体" w:hAnsi="宋体" w:eastAsia="宋体" w:cs="宋体"/>
                <w:sz w:val="18"/>
                <w:szCs w:val="18"/>
                <w:highlight w:val="none"/>
                <w:lang w:eastAsia="zh-CN"/>
              </w:rPr>
            </w:r>
            <w:r/>
          </w:p>
        </w:tc>
      </w:tr>
      <w:tr>
        <w:trPr>
          <w:trHeight w:val="461"/>
        </w:trPr>
        <w:tc>
          <w:tcPr>
            <w:tcW w:w="1010" w:type="dxa"/>
            <w:vAlign w:val="top"/>
            <w:textDirection w:val="lrTb"/>
            <w:noWrap w:val="false"/>
          </w:tcPr>
          <w:p>
            <w:pPr>
              <w:pStyle w:val="984"/>
              <w:ind w:left="425"/>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12</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737"/>
              <w:keepLines w:val="0"/>
              <w:keepNext w:val="0"/>
              <w:pageBreakBefore w:val="0"/>
              <w:spacing w:before="132"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8"/>
                <w:sz w:val="18"/>
                <w:szCs w:val="18"/>
                <w:highlight w:val="none"/>
              </w:rPr>
              <w:t xml:space="preserve">化学需氧量测定仪</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72"/>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300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56"/>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300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13</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65"/>
              <w:keepLines w:val="0"/>
              <w:keepNext w:val="0"/>
              <w:pageBreakBefore w:val="0"/>
              <w:spacing w:before="130"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6"/>
                <w:sz w:val="18"/>
                <w:szCs w:val="18"/>
                <w:highlight w:val="none"/>
              </w:rPr>
              <w:t xml:space="preserve">气相色谱（7890A）</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20"/>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2250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02"/>
              <w:keepLines w:val="0"/>
              <w:keepNext w:val="0"/>
              <w:pageBreakBefore w:val="0"/>
              <w:spacing w:before="165"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2250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14</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1135"/>
              <w:keepLines w:val="0"/>
              <w:keepNext w:val="0"/>
              <w:pageBreakBefore w:val="0"/>
              <w:spacing w:before="130"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7"/>
                <w:sz w:val="18"/>
                <w:szCs w:val="18"/>
                <w:highlight w:val="none"/>
              </w:rPr>
              <w:t xml:space="preserve">气相分子</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73"/>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660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56"/>
              <w:keepLines w:val="0"/>
              <w:keepNext w:val="0"/>
              <w:pageBreakBefore w:val="0"/>
              <w:spacing w:before="164"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660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15</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635"/>
              <w:keepLines w:val="0"/>
              <w:keepNext w:val="0"/>
              <w:pageBreakBefore w:val="0"/>
              <w:spacing w:before="133"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9"/>
                <w:sz w:val="18"/>
                <w:szCs w:val="18"/>
                <w:highlight w:val="none"/>
              </w:rPr>
              <w:t xml:space="preserve">立式压力蒸汽灭菌锅</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24"/>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3000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06"/>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3000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16</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832"/>
              <w:keepLines w:val="0"/>
              <w:keepNext w:val="0"/>
              <w:pageBreakBefore w:val="0"/>
              <w:spacing w:before="132"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9"/>
                <w:sz w:val="18"/>
                <w:szCs w:val="18"/>
                <w:highlight w:val="none"/>
              </w:rPr>
              <w:t xml:space="preserve">恒温恒湿培养箱</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76"/>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800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60"/>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1"/>
                <w:sz w:val="18"/>
                <w:szCs w:val="18"/>
                <w:highlight w:val="none"/>
              </w:rPr>
              <w:t xml:space="preserve">800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17</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1017"/>
              <w:keepLines w:val="0"/>
              <w:keepNext w:val="0"/>
              <w:pageBreakBefore w:val="0"/>
              <w:spacing w:before="132"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9"/>
                <w:sz w:val="18"/>
                <w:szCs w:val="18"/>
                <w:highlight w:val="none"/>
              </w:rPr>
              <w:t xml:space="preserve">实验室</w:t>
            </w:r>
            <w:r>
              <w:rPr>
                <w:rFonts w:hint="eastAsia" w:ascii="宋体" w:hAnsi="宋体" w:eastAsia="宋体" w:cs="宋体"/>
                <w:sz w:val="18"/>
                <w:szCs w:val="18"/>
                <w:highlight w:val="none"/>
              </w:rPr>
              <w:t xml:space="preserve">pH</w:t>
            </w:r>
            <w:r>
              <w:rPr>
                <w:rFonts w:hint="eastAsia" w:ascii="宋体" w:hAnsi="宋体" w:eastAsia="宋体" w:cs="宋体"/>
                <w:spacing w:val="9"/>
                <w:sz w:val="18"/>
                <w:szCs w:val="18"/>
                <w:highlight w:val="none"/>
              </w:rPr>
              <w:t xml:space="preserve">计</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638"/>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722"/>
              <w:keepLines w:val="0"/>
              <w:keepNext w:val="0"/>
              <w:pageBreakBefore w:val="0"/>
              <w:spacing w:before="166"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8"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18</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1137"/>
              <w:keepLines w:val="0"/>
              <w:keepNext w:val="0"/>
              <w:pageBreakBefore w:val="0"/>
              <w:spacing w:before="133"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7"/>
                <w:sz w:val="18"/>
                <w:szCs w:val="18"/>
                <w:highlight w:val="none"/>
              </w:rPr>
              <w:t xml:space="preserve">离子色谱</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8"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72"/>
              <w:keepLines w:val="0"/>
              <w:keepNext w:val="0"/>
              <w:pageBreakBefore w:val="0"/>
              <w:spacing w:before="168"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330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56"/>
              <w:keepLines w:val="0"/>
              <w:keepNext w:val="0"/>
              <w:pageBreakBefore w:val="0"/>
              <w:spacing w:before="168" w:line="240" w:lineRule="auto"/>
              <w:widowControl w:val="off"/>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330</w:t>
            </w:r>
            <w:r>
              <w:rPr>
                <w:rFonts w:hint="eastAsia" w:ascii="宋体" w:hAnsi="宋体" w:eastAsia="宋体" w:cs="宋体"/>
                <w:sz w:val="18"/>
                <w:szCs w:val="18"/>
                <w:highlight w:val="none"/>
              </w:rPr>
            </w:r>
            <w:r/>
          </w:p>
        </w:tc>
      </w:tr>
      <w:tr>
        <w:trPr>
          <w:trHeight w:val="461"/>
        </w:trPr>
        <w:tc>
          <w:tcPr>
            <w:tcW w:w="1010" w:type="dxa"/>
            <w:vAlign w:val="top"/>
            <w:textDirection w:val="lrTb"/>
            <w:noWrap w:val="false"/>
          </w:tcPr>
          <w:p>
            <w:pPr>
              <w:pStyle w:val="984"/>
              <w:ind w:left="425"/>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19</w:t>
            </w:r>
            <w:r>
              <w:rPr>
                <w:rFonts w:hint="eastAsia" w:ascii="宋体" w:hAnsi="宋体" w:eastAsia="宋体" w:cs="宋体"/>
                <w:sz w:val="18"/>
                <w:szCs w:val="18"/>
                <w:highlight w:val="none"/>
              </w:rPr>
            </w:r>
            <w:r/>
          </w:p>
        </w:tc>
        <w:tc>
          <w:tcPr>
            <w:tcW w:w="3062" w:type="dxa"/>
            <w:vAlign w:val="top"/>
            <w:textDirection w:val="lrTb"/>
            <w:noWrap w:val="false"/>
          </w:tcPr>
          <w:p>
            <w:pPr>
              <w:pStyle w:val="1069"/>
              <w:ind w:left="459"/>
              <w:keepLines w:val="0"/>
              <w:keepNext w:val="0"/>
              <w:pageBreakBefore w:val="0"/>
              <w:spacing w:before="133" w:line="240" w:lineRule="auto"/>
              <w:widowControl w:val="off"/>
              <w:rPr>
                <w:rFonts w:hint="eastAsia" w:ascii="宋体" w:hAnsi="宋体" w:eastAsia="宋体" w:cs="宋体"/>
                <w:sz w:val="18"/>
                <w:szCs w:val="18"/>
                <w:highlight w:val="none"/>
                <w:lang w:eastAsia="en-US"/>
              </w:rPr>
            </w:pPr>
            <w:r>
              <w:rPr>
                <w:rFonts w:hint="eastAsia" w:ascii="宋体" w:hAnsi="宋体" w:eastAsia="宋体" w:cs="宋体"/>
                <w:spacing w:val="7"/>
                <w:sz w:val="18"/>
                <w:szCs w:val="18"/>
                <w:highlight w:val="none"/>
              </w:rPr>
              <w:t xml:space="preserve">电感耦合等离子体质谱仪</w:t>
            </w:r>
            <w:r>
              <w:rPr>
                <w:rFonts w:hint="eastAsia" w:ascii="宋体" w:hAnsi="宋体" w:eastAsia="宋体" w:cs="宋体"/>
                <w:sz w:val="18"/>
                <w:szCs w:val="18"/>
                <w:highlight w:val="none"/>
                <w:lang w:eastAsia="en-US"/>
              </w:rPr>
            </w:r>
            <w:r/>
          </w:p>
        </w:tc>
        <w:tc>
          <w:tcPr>
            <w:tcW w:w="1914" w:type="dxa"/>
            <w:vAlign w:val="top"/>
            <w:textDirection w:val="lrTb"/>
            <w:noWrap w:val="false"/>
          </w:tcPr>
          <w:p>
            <w:pPr>
              <w:pStyle w:val="984"/>
              <w:ind w:left="927"/>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rPr>
            </w:r>
            <w:r/>
          </w:p>
        </w:tc>
        <w:tc>
          <w:tcPr>
            <w:tcW w:w="1433" w:type="dxa"/>
            <w:vAlign w:val="top"/>
            <w:textDirection w:val="lrTb"/>
            <w:noWrap w:val="false"/>
          </w:tcPr>
          <w:p>
            <w:pPr>
              <w:pStyle w:val="984"/>
              <w:ind w:left="520"/>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2640</w:t>
            </w:r>
            <w:r>
              <w:rPr>
                <w:rFonts w:hint="eastAsia" w:ascii="宋体" w:hAnsi="宋体" w:eastAsia="宋体" w:cs="宋体"/>
                <w:sz w:val="18"/>
                <w:szCs w:val="18"/>
                <w:highlight w:val="none"/>
              </w:rPr>
            </w:r>
            <w:r/>
          </w:p>
        </w:tc>
        <w:tc>
          <w:tcPr>
            <w:tcW w:w="1603" w:type="dxa"/>
            <w:vAlign w:val="top"/>
            <w:textDirection w:val="lrTb"/>
            <w:noWrap w:val="false"/>
          </w:tcPr>
          <w:p>
            <w:pPr>
              <w:pStyle w:val="984"/>
              <w:ind w:left="602"/>
              <w:keepLines w:val="0"/>
              <w:keepNext w:val="0"/>
              <w:pageBreakBefore w:val="0"/>
              <w:spacing w:before="167" w:line="240" w:lineRule="auto"/>
              <w:widowControl w:val="off"/>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2640</w:t>
            </w:r>
            <w:r>
              <w:rPr>
                <w:rFonts w:hint="eastAsia" w:ascii="宋体" w:hAnsi="宋体" w:eastAsia="宋体" w:cs="宋体"/>
                <w:sz w:val="18"/>
                <w:szCs w:val="18"/>
                <w:highlight w:val="none"/>
              </w:rPr>
            </w:r>
            <w:r/>
          </w:p>
        </w:tc>
      </w:tr>
    </w:tbl>
    <w:p>
      <w:pPr>
        <w:pStyle w:val="984"/>
        <w:ind w:firstLine="482"/>
        <w:keepLines w:val="0"/>
        <w:keepNext w:val="0"/>
        <w:pageBreakBefore w:val="0"/>
        <w:spacing w:before="0" w:line="432" w:lineRule="auto"/>
        <w:widowControl w:val="off"/>
        <w:rPr>
          <w:rFonts w:ascii="宋体" w:hAnsi="宋体" w:eastAsia="宋体" w:cs="宋体"/>
          <w:b/>
          <w:bCs/>
          <w:color w:val="000000"/>
          <w:highlight w:val="none"/>
        </w:rPr>
        <w:outlineLvl w:val="2"/>
      </w:pPr>
      <w:r>
        <w:rPr>
          <w:rFonts w:hint="eastAsia" w:ascii="宋体" w:hAnsi="宋体" w:eastAsia="宋体" w:cs="宋体"/>
          <w:b/>
          <w:bCs/>
          <w:color w:val="000000"/>
          <w:highlight w:val="none"/>
          <w:lang w:val="en-US" w:eastAsia="zh-CN"/>
        </w:rPr>
        <w:t xml:space="preserve">7.</w:t>
      </w:r>
      <w:r>
        <w:rPr>
          <w:rFonts w:ascii="宋体" w:hAnsi="宋体" w:eastAsia="宋体" w:cs="宋体"/>
          <w:b/>
          <w:bCs/>
          <w:color w:val="000000"/>
          <w:highlight w:val="none"/>
        </w:rPr>
        <w:t xml:space="preserve">其他主要用能系统</w:t>
      </w:r>
      <w:r>
        <w:rPr>
          <w:rFonts w:ascii="宋体" w:hAnsi="宋体" w:eastAsia="宋体" w:cs="宋体"/>
          <w:b/>
          <w:bCs/>
          <w:color w:val="000000"/>
          <w:highlight w:val="none"/>
        </w:rPr>
      </w:r>
      <w:r/>
    </w:p>
    <w:p>
      <w:pPr>
        <w:pStyle w:val="984"/>
        <w:ind w:firstLine="420"/>
        <w:jc w:val="left"/>
        <w:keepLines w:val="0"/>
        <w:keepNext w:val="0"/>
        <w:pageBreakBefore w:val="0"/>
        <w:spacing w:line="432" w:lineRule="auto"/>
        <w:widowControl w:val="off"/>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仪征市城市管理局其他主要用能系统包含视频监控系统、充电桩系统等。室内设备主要有台式电脑、平板电脑、打印机等，其余非常开设备不列入。</w:t>
      </w:r>
      <w:r>
        <w:rPr>
          <w:rFonts w:ascii="宋体" w:hAnsi="宋体" w:eastAsia="宋体" w:cs="宋体"/>
          <w:spacing w:val="0"/>
          <w:sz w:val="21"/>
          <w:szCs w:val="21"/>
          <w:highlight w:val="none"/>
        </w:rPr>
      </w:r>
      <w:r/>
    </w:p>
    <w:p>
      <w:pPr>
        <w:pStyle w:val="984"/>
        <w:ind w:left="2727"/>
        <w:pageBreakBefore w:val="0"/>
        <w:spacing w:line="360" w:lineRule="auto"/>
        <w:rPr>
          <w:rFonts w:ascii="宋体" w:hAnsi="宋体" w:eastAsia="宋体" w:cs="宋体"/>
          <w:sz w:val="19"/>
          <w:szCs w:val="19"/>
          <w:highlight w:val="none"/>
        </w:rPr>
      </w:pPr>
      <w:r>
        <w:rPr>
          <w:rFonts w:ascii="宋体" w:hAnsi="宋体" w:eastAsia="宋体" w:cs="宋体"/>
          <w:b/>
          <w:bCs/>
          <w:spacing w:val="5"/>
          <w:sz w:val="19"/>
          <w:szCs w:val="19"/>
          <w:highlight w:val="none"/>
        </w:rPr>
        <w:t xml:space="preserve">表</w:t>
      </w:r>
      <w:r>
        <w:rPr>
          <w:rFonts w:ascii="Times New Roman" w:hAnsi="Times New Roman" w:eastAsia="Times New Roman" w:cs="Times New Roman"/>
          <w:b/>
          <w:bCs/>
          <w:spacing w:val="5"/>
          <w:sz w:val="19"/>
          <w:szCs w:val="19"/>
          <w:highlight w:val="none"/>
        </w:rPr>
        <w:t xml:space="preserve">2-10  </w:t>
      </w:r>
      <w:r>
        <w:rPr>
          <w:rFonts w:ascii="宋体" w:hAnsi="宋体" w:eastAsia="宋体" w:cs="宋体"/>
          <w:b/>
          <w:bCs/>
          <w:spacing w:val="5"/>
          <w:sz w:val="19"/>
          <w:szCs w:val="19"/>
          <w:highlight w:val="none"/>
        </w:rPr>
        <w:t xml:space="preserve">其他主要用能系统设备、功率汇总</w:t>
      </w:r>
      <w:r>
        <w:rPr>
          <w:rFonts w:ascii="宋体" w:hAnsi="宋体" w:eastAsia="宋体" w:cs="宋体"/>
          <w:sz w:val="19"/>
          <w:szCs w:val="19"/>
          <w:highlight w:val="none"/>
        </w:rPr>
      </w:r>
      <w:r/>
    </w:p>
    <w:p>
      <w:pPr>
        <w:pStyle w:val="984"/>
        <w:pageBreakBefore w:val="0"/>
        <w:spacing w:line="360" w:lineRule="auto"/>
        <w:rPr>
          <w:rFonts w:eastAsia="宋体" w:cs="Times New Roman"/>
          <w:highlight w:val="none"/>
        </w:rPr>
      </w:pPr>
      <w:r>
        <w:rPr>
          <w:rFonts w:eastAsia="宋体" w:cs="Times New Roman"/>
          <w:highlight w:val="none"/>
        </w:rPr>
      </w:r>
      <w:r/>
    </w:p>
    <w:tbl>
      <w:tblPr>
        <w:tblStyle w:val="1070"/>
        <w:tblW w:w="501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8"/>
        <w:gridCol w:w="1157"/>
        <w:gridCol w:w="2612"/>
        <w:gridCol w:w="1562"/>
        <w:gridCol w:w="1367"/>
        <w:gridCol w:w="1456"/>
      </w:tblGrid>
      <w:tr>
        <w:trPr>
          <w:trHeight w:val="543"/>
        </w:trPr>
        <w:tc>
          <w:tcPr>
            <w:tcW w:w="410" w:type="dxa"/>
            <w:vAlign w:val="center"/>
            <w:textDirection w:val="lrTb"/>
            <w:noWrap w:val="false"/>
          </w:tcPr>
          <w:p>
            <w:pPr>
              <w:pStyle w:val="1069"/>
              <w:ind w:left="0" w:right="0" w:firstLine="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4"/>
                <w:sz w:val="18"/>
                <w:szCs w:val="18"/>
                <w:highlight w:val="none"/>
              </w:rPr>
              <w:t xml:space="preserve">序号</w:t>
            </w:r>
            <w:r>
              <w:rPr>
                <w:rFonts w:hint="eastAsia" w:ascii="宋体" w:hAnsi="宋体" w:eastAsia="宋体" w:cs="宋体"/>
                <w:sz w:val="18"/>
                <w:szCs w:val="18"/>
                <w:highlight w:val="none"/>
              </w:rPr>
            </w:r>
            <w:r/>
          </w:p>
        </w:tc>
        <w:tc>
          <w:tcPr>
            <w:tcW w:w="651" w:type="dxa"/>
            <w:vAlign w:val="center"/>
            <w:textDirection w:val="lrTb"/>
            <w:noWrap w:val="false"/>
          </w:tcPr>
          <w:p>
            <w:pPr>
              <w:pStyle w:val="1069"/>
              <w:ind w:left="0" w:right="0" w:firstLine="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建筑</w:t>
            </w:r>
            <w:r>
              <w:rPr>
                <w:rFonts w:hint="eastAsia" w:ascii="宋体" w:hAnsi="宋体" w:eastAsia="宋体" w:cs="宋体"/>
                <w:sz w:val="18"/>
                <w:szCs w:val="18"/>
                <w:highlight w:val="none"/>
              </w:rPr>
            </w:r>
            <w:r/>
          </w:p>
        </w:tc>
        <w:tc>
          <w:tcPr>
            <w:tcW w:w="1470" w:type="dxa"/>
            <w:vAlign w:val="center"/>
            <w:textDirection w:val="lrTb"/>
            <w:noWrap w:val="false"/>
          </w:tcPr>
          <w:p>
            <w:pPr>
              <w:pStyle w:val="1069"/>
              <w:ind w:left="0" w:right="0" w:firstLine="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5"/>
                <w:sz w:val="18"/>
                <w:szCs w:val="18"/>
                <w:highlight w:val="none"/>
              </w:rPr>
              <w:t xml:space="preserve">设备名称</w:t>
            </w:r>
            <w:r>
              <w:rPr>
                <w:rFonts w:hint="eastAsia" w:ascii="宋体" w:hAnsi="宋体" w:eastAsia="宋体" w:cs="宋体"/>
                <w:sz w:val="18"/>
                <w:szCs w:val="18"/>
                <w:highlight w:val="none"/>
              </w:rPr>
            </w:r>
            <w:r/>
          </w:p>
        </w:tc>
        <w:tc>
          <w:tcPr>
            <w:tcW w:w="879" w:type="dxa"/>
            <w:vAlign w:val="center"/>
            <w:textDirection w:val="lrTb"/>
            <w:noWrap w:val="false"/>
          </w:tcPr>
          <w:p>
            <w:pPr>
              <w:pStyle w:val="1069"/>
              <w:ind w:left="0" w:right="0" w:firstLine="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数量</w:t>
            </w:r>
            <w:r>
              <w:rPr>
                <w:rFonts w:hint="eastAsia" w:ascii="宋体" w:hAnsi="宋体" w:eastAsia="宋体" w:cs="宋体"/>
                <w:b/>
                <w:bCs/>
                <w:spacing w:val="-4"/>
                <w:sz w:val="18"/>
                <w:szCs w:val="18"/>
                <w:highlight w:val="none"/>
              </w:rPr>
              <w:t xml:space="preserve">（台）</w:t>
            </w:r>
            <w:r>
              <w:rPr>
                <w:rFonts w:hint="eastAsia" w:ascii="宋体" w:hAnsi="宋体" w:eastAsia="宋体" w:cs="宋体"/>
                <w:sz w:val="18"/>
                <w:szCs w:val="18"/>
                <w:highlight w:val="none"/>
              </w:rPr>
            </w:r>
            <w:r/>
          </w:p>
        </w:tc>
        <w:tc>
          <w:tcPr>
            <w:tcW w:w="769" w:type="dxa"/>
            <w:vAlign w:val="center"/>
            <w:textDirection w:val="lrTb"/>
            <w:noWrap w:val="false"/>
          </w:tcPr>
          <w:p>
            <w:pPr>
              <w:pStyle w:val="1069"/>
              <w:ind w:left="0" w:right="0" w:firstLine="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6"/>
                <w:sz w:val="18"/>
                <w:szCs w:val="18"/>
                <w:highlight w:val="none"/>
                <w:lang w:val="en-US" w:eastAsia="zh-CN"/>
              </w:rPr>
              <w:t xml:space="preserve"> </w:t>
            </w:r>
            <w:r>
              <w:rPr>
                <w:rFonts w:hint="eastAsia" w:ascii="宋体" w:hAnsi="宋体" w:eastAsia="宋体" w:cs="宋体"/>
                <w:b/>
                <w:bCs/>
                <w:spacing w:val="6"/>
                <w:sz w:val="18"/>
                <w:szCs w:val="18"/>
                <w:highlight w:val="none"/>
              </w:rPr>
              <w:t xml:space="preserve">额定功率</w:t>
            </w:r>
            <w:r>
              <w:rPr>
                <w:rFonts w:hint="eastAsia" w:ascii="宋体" w:hAnsi="宋体" w:eastAsia="宋体" w:cs="宋体"/>
                <w:b/>
                <w:bCs/>
                <w:spacing w:val="6"/>
                <w:sz w:val="18"/>
                <w:szCs w:val="18"/>
                <w:highlight w:val="none"/>
                <w:lang w:val="en-US" w:eastAsia="zh-CN"/>
              </w:rPr>
              <w:t xml:space="preserve">       </w:t>
            </w:r>
            <w:r>
              <w:rPr>
                <w:rFonts w:hint="eastAsia" w:ascii="宋体" w:hAnsi="宋体" w:eastAsia="宋体" w:cs="宋体"/>
                <w:b/>
                <w:bCs/>
                <w:spacing w:val="-9"/>
                <w:sz w:val="18"/>
                <w:szCs w:val="18"/>
                <w:highlight w:val="none"/>
              </w:rPr>
              <w:t xml:space="preserve">(W)</w:t>
            </w:r>
            <w:r>
              <w:rPr>
                <w:rFonts w:hint="eastAsia" w:ascii="宋体" w:hAnsi="宋体" w:eastAsia="宋体" w:cs="宋体"/>
                <w:sz w:val="18"/>
                <w:szCs w:val="18"/>
                <w:highlight w:val="none"/>
              </w:rPr>
            </w:r>
            <w:r/>
          </w:p>
        </w:tc>
        <w:tc>
          <w:tcPr>
            <w:tcW w:w="819" w:type="dxa"/>
            <w:vAlign w:val="center"/>
            <w:textDirection w:val="lrTb"/>
            <w:noWrap w:val="false"/>
          </w:tcPr>
          <w:p>
            <w:pPr>
              <w:pStyle w:val="1069"/>
              <w:ind w:left="0" w:right="0" w:firstLine="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3"/>
                <w:sz w:val="18"/>
                <w:szCs w:val="18"/>
                <w:highlight w:val="none"/>
              </w:rPr>
              <w:t xml:space="preserve">总功率</w:t>
            </w:r>
            <w:r>
              <w:rPr>
                <w:rFonts w:hint="eastAsia" w:ascii="宋体" w:hAnsi="宋体" w:eastAsia="宋体" w:cs="宋体"/>
                <w:sz w:val="18"/>
                <w:szCs w:val="18"/>
                <w:highlight w:val="none"/>
              </w:rPr>
            </w:r>
            <w:r/>
          </w:p>
          <w:p>
            <w:pPr>
              <w:pStyle w:val="1069"/>
              <w:ind w:left="0" w:right="0" w:firstLine="0"/>
              <w:jc w:val="center"/>
              <w:keepLines w:val="0"/>
              <w:keepNext w:val="0"/>
              <w:pageBreakBefore w:val="0"/>
              <w:spacing w:line="240" w:lineRule="auto"/>
              <w:widowControl w:val="off"/>
              <w:rPr>
                <w:rFonts w:hint="eastAsia" w:ascii="宋体" w:hAnsi="宋体" w:eastAsia="宋体" w:cs="宋体"/>
                <w:sz w:val="18"/>
                <w:szCs w:val="18"/>
                <w:highlight w:val="none"/>
              </w:rPr>
            </w:pPr>
            <w:r>
              <w:rPr>
                <w:rFonts w:hint="eastAsia" w:ascii="宋体" w:hAnsi="宋体" w:eastAsia="宋体" w:cs="宋体"/>
                <w:b/>
                <w:bCs/>
                <w:spacing w:val="-9"/>
                <w:sz w:val="18"/>
                <w:szCs w:val="18"/>
                <w:highlight w:val="none"/>
              </w:rPr>
              <w:t xml:space="preserve">(W)</w:t>
            </w:r>
            <w:r>
              <w:rPr>
                <w:rFonts w:hint="eastAsia" w:ascii="宋体" w:hAnsi="宋体" w:eastAsia="宋体" w:cs="宋体"/>
                <w:sz w:val="18"/>
                <w:szCs w:val="18"/>
                <w:highlight w:val="none"/>
              </w:rPr>
            </w:r>
            <w:r/>
          </w:p>
        </w:tc>
      </w:tr>
      <w:tr>
        <w:trPr>
          <w:trHeight w:val="340"/>
        </w:trPr>
        <w:tc>
          <w:tcPr>
            <w:tcW w:w="410" w:type="dxa"/>
            <w:vAlign w:val="top"/>
            <w:textDirection w:val="lrTb"/>
            <w:noWrap w:val="false"/>
          </w:tcPr>
          <w:p>
            <w:pPr>
              <w:pStyle w:val="984"/>
              <w:ind w:left="343"/>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651" w:type="dxa"/>
            <w:vAlign w:val="top"/>
            <w:vMerge w:val="restart"/>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1069"/>
              <w:ind w:left="394"/>
              <w:pageBreakBefore w:val="0"/>
              <w:spacing w:before="62" w:line="360" w:lineRule="auto"/>
              <w:rPr>
                <w:highlight w:val="none"/>
              </w:rPr>
            </w:pPr>
            <w:r>
              <w:rPr>
                <w:spacing w:val="4"/>
                <w:highlight w:val="none"/>
              </w:rPr>
              <w:t xml:space="preserve">主楼</w:t>
            </w:r>
            <w:r>
              <w:rPr>
                <w:highlight w:val="none"/>
              </w:rPr>
            </w:r>
            <w:r/>
          </w:p>
        </w:tc>
        <w:tc>
          <w:tcPr>
            <w:tcW w:w="1470" w:type="dxa"/>
            <w:vAlign w:val="top"/>
            <w:textDirection w:val="lrTb"/>
            <w:noWrap w:val="false"/>
          </w:tcPr>
          <w:p>
            <w:pPr>
              <w:pStyle w:val="1069"/>
              <w:ind w:left="1030"/>
              <w:pageBreakBefore w:val="0"/>
              <w:spacing w:before="70" w:line="360" w:lineRule="auto"/>
              <w:rPr>
                <w:highlight w:val="none"/>
              </w:rPr>
            </w:pPr>
            <w:r>
              <w:rPr>
                <w:spacing w:val="6"/>
                <w:highlight w:val="none"/>
              </w:rPr>
              <w:t xml:space="preserve">笔记本</w:t>
            </w:r>
            <w:r>
              <w:rPr>
                <w:highlight w:val="none"/>
              </w:rPr>
            </w:r>
            <w:r/>
          </w:p>
        </w:tc>
        <w:tc>
          <w:tcPr>
            <w:tcW w:w="879" w:type="dxa"/>
            <w:vAlign w:val="top"/>
            <w:textDirection w:val="lrTb"/>
            <w:noWrap w:val="false"/>
          </w:tcPr>
          <w:p>
            <w:pPr>
              <w:pStyle w:val="984"/>
              <w:ind w:left="699"/>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34</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95"/>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40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59"/>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1360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324"/>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2</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851"/>
              <w:pageBreakBefore w:val="0"/>
              <w:spacing w:before="70" w:line="360" w:lineRule="auto"/>
              <w:rPr>
                <w:highlight w:val="none"/>
              </w:rPr>
            </w:pPr>
            <w:r>
              <w:rPr>
                <w:spacing w:val="3"/>
                <w:highlight w:val="none"/>
              </w:rPr>
              <w:t xml:space="preserve">电脑一体机</w:t>
            </w:r>
            <w:r>
              <w:rPr>
                <w:highlight w:val="none"/>
              </w:rPr>
            </w:r>
            <w:r/>
          </w:p>
        </w:tc>
        <w:tc>
          <w:tcPr>
            <w:tcW w:w="879" w:type="dxa"/>
            <w:vAlign w:val="top"/>
            <w:textDirection w:val="lrTb"/>
            <w:noWrap w:val="false"/>
          </w:tcPr>
          <w:p>
            <w:pPr>
              <w:pStyle w:val="984"/>
              <w:ind w:left="699"/>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32</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601"/>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60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59"/>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1920</w:t>
            </w:r>
            <w:r>
              <w:rPr>
                <w:rFonts w:ascii="Times New Roman" w:hAnsi="Times New Roman" w:eastAsia="Times New Roman" w:cs="Times New Roman"/>
                <w:sz w:val="19"/>
                <w:szCs w:val="19"/>
                <w:highlight w:val="none"/>
              </w:rPr>
            </w:r>
            <w:r/>
          </w:p>
        </w:tc>
      </w:tr>
      <w:tr>
        <w:trPr>
          <w:trHeight w:val="340"/>
        </w:trPr>
        <w:tc>
          <w:tcPr>
            <w:tcW w:w="410" w:type="dxa"/>
            <w:vAlign w:val="top"/>
            <w:textDirection w:val="lrTb"/>
            <w:noWrap w:val="false"/>
          </w:tcPr>
          <w:p>
            <w:pPr>
              <w:pStyle w:val="984"/>
              <w:ind w:left="328"/>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3</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0"/>
              <w:pageBreakBefore w:val="0"/>
              <w:spacing w:before="70" w:line="360" w:lineRule="auto"/>
              <w:rPr>
                <w:highlight w:val="none"/>
              </w:rPr>
            </w:pPr>
            <w:r>
              <w:rPr>
                <w:spacing w:val="6"/>
                <w:highlight w:val="none"/>
              </w:rPr>
              <w:t xml:space="preserve">打印机</w:t>
            </w:r>
            <w:r>
              <w:rPr>
                <w:highlight w:val="none"/>
              </w:rPr>
            </w:r>
            <w:r/>
          </w:p>
        </w:tc>
        <w:tc>
          <w:tcPr>
            <w:tcW w:w="879" w:type="dxa"/>
            <w:vAlign w:val="top"/>
            <w:textDirection w:val="lrTb"/>
            <w:noWrap w:val="false"/>
          </w:tcPr>
          <w:p>
            <w:pPr>
              <w:pStyle w:val="984"/>
              <w:ind w:left="701"/>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53</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616"/>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95"/>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2"/>
                <w:sz w:val="19"/>
                <w:szCs w:val="19"/>
                <w:highlight w:val="none"/>
              </w:rPr>
              <w:t xml:space="preserve">530</w:t>
            </w:r>
            <w:r>
              <w:rPr>
                <w:rFonts w:ascii="Times New Roman" w:hAnsi="Times New Roman" w:eastAsia="Times New Roman" w:cs="Times New Roman"/>
                <w:sz w:val="19"/>
                <w:szCs w:val="19"/>
                <w:highlight w:val="none"/>
              </w:rPr>
            </w:r>
            <w:r/>
          </w:p>
        </w:tc>
      </w:tr>
      <w:tr>
        <w:trPr>
          <w:trHeight w:val="340"/>
        </w:trPr>
        <w:tc>
          <w:tcPr>
            <w:tcW w:w="410" w:type="dxa"/>
            <w:vAlign w:val="top"/>
            <w:textDirection w:val="lrTb"/>
            <w:noWrap w:val="false"/>
          </w:tcPr>
          <w:p>
            <w:pPr>
              <w:pStyle w:val="984"/>
              <w:ind w:left="323"/>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4</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6"/>
              <w:pageBreakBefore w:val="0"/>
              <w:spacing w:before="73" w:line="360" w:lineRule="auto"/>
              <w:rPr>
                <w:highlight w:val="none"/>
              </w:rPr>
            </w:pPr>
            <w:r>
              <w:rPr>
                <w:spacing w:val="7"/>
                <w:highlight w:val="none"/>
              </w:rPr>
              <w:t xml:space="preserve">碎纸机</w:t>
            </w:r>
            <w:r>
              <w:rPr>
                <w:highlight w:val="none"/>
              </w:rPr>
            </w:r>
            <w:r/>
          </w:p>
        </w:tc>
        <w:tc>
          <w:tcPr>
            <w:tcW w:w="879" w:type="dxa"/>
            <w:vAlign w:val="top"/>
            <w:textDirection w:val="lrTb"/>
            <w:noWrap w:val="false"/>
          </w:tcPr>
          <w:p>
            <w:pPr>
              <w:pStyle w:val="984"/>
              <w:ind w:left="749"/>
              <w:pageBreakBefore w:val="0"/>
              <w:spacing w:before="110"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7</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48"/>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264</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59"/>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1848</w:t>
            </w:r>
            <w:r>
              <w:rPr>
                <w:rFonts w:ascii="Times New Roman" w:hAnsi="Times New Roman" w:eastAsia="Times New Roman" w:cs="Times New Roman"/>
                <w:sz w:val="19"/>
                <w:szCs w:val="19"/>
                <w:highlight w:val="none"/>
              </w:rPr>
            </w:r>
            <w:r/>
          </w:p>
        </w:tc>
      </w:tr>
      <w:tr>
        <w:trPr>
          <w:trHeight w:val="340"/>
        </w:trPr>
        <w:tc>
          <w:tcPr>
            <w:tcW w:w="410" w:type="dxa"/>
            <w:vAlign w:val="top"/>
            <w:textDirection w:val="lrTb"/>
            <w:noWrap w:val="false"/>
          </w:tcPr>
          <w:p>
            <w:pPr>
              <w:pStyle w:val="984"/>
              <w:ind w:left="330"/>
              <w:pageBreakBefore w:val="0"/>
              <w:spacing w:before="110"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5</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9"/>
              <w:pageBreakBefore w:val="0"/>
              <w:spacing w:before="73" w:line="360" w:lineRule="auto"/>
              <w:rPr>
                <w:highlight w:val="none"/>
              </w:rPr>
            </w:pPr>
            <w:r>
              <w:rPr>
                <w:spacing w:val="6"/>
                <w:highlight w:val="none"/>
              </w:rPr>
              <w:t xml:space="preserve">投影仪</w:t>
            </w:r>
            <w:r>
              <w:rPr>
                <w:highlight w:val="none"/>
              </w:rPr>
            </w:r>
            <w:r/>
          </w:p>
        </w:tc>
        <w:tc>
          <w:tcPr>
            <w:tcW w:w="879" w:type="dxa"/>
            <w:vAlign w:val="top"/>
            <w:textDirection w:val="lrTb"/>
            <w:noWrap w:val="false"/>
          </w:tcPr>
          <w:p>
            <w:pPr>
              <w:pStyle w:val="984"/>
              <w:ind w:left="765"/>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17"/>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1300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59"/>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1300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329"/>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6</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6"/>
              <w:pageBreakBefore w:val="0"/>
              <w:spacing w:before="74" w:line="360" w:lineRule="auto"/>
              <w:rPr>
                <w:highlight w:val="none"/>
              </w:rPr>
            </w:pPr>
            <w:r>
              <w:rPr>
                <w:spacing w:val="7"/>
                <w:highlight w:val="none"/>
              </w:rPr>
              <w:t xml:space="preserve">烧水器</w:t>
            </w:r>
            <w:r>
              <w:rPr>
                <w:highlight w:val="none"/>
              </w:rPr>
            </w:r>
            <w:r/>
          </w:p>
        </w:tc>
        <w:tc>
          <w:tcPr>
            <w:tcW w:w="879" w:type="dxa"/>
            <w:vAlign w:val="top"/>
            <w:textDirection w:val="lrTb"/>
            <w:noWrap w:val="false"/>
          </w:tcPr>
          <w:p>
            <w:pPr>
              <w:pStyle w:val="984"/>
              <w:ind w:left="745"/>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4</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8"/>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2000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47"/>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8000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327"/>
              <w:pageBreakBefore w:val="0"/>
              <w:spacing w:before="111"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7</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941"/>
              <w:pageBreakBefore w:val="0"/>
              <w:spacing w:before="73" w:line="360" w:lineRule="auto"/>
              <w:rPr>
                <w:highlight w:val="none"/>
              </w:rPr>
            </w:pPr>
            <w:r>
              <w:rPr>
                <w:spacing w:val="3"/>
                <w:highlight w:val="none"/>
              </w:rPr>
              <w:t xml:space="preserve">台式电脑</w:t>
            </w:r>
            <w:r>
              <w:rPr>
                <w:highlight w:val="none"/>
              </w:rPr>
            </w:r>
            <w:r/>
          </w:p>
        </w:tc>
        <w:tc>
          <w:tcPr>
            <w:tcW w:w="879" w:type="dxa"/>
            <w:vAlign w:val="top"/>
            <w:textDirection w:val="lrTb"/>
            <w:noWrap w:val="false"/>
          </w:tcPr>
          <w:p>
            <w:pPr>
              <w:pStyle w:val="984"/>
              <w:ind w:left="700"/>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66</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2"/>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300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11"/>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19800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332"/>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8</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1"/>
              <w:pageBreakBefore w:val="0"/>
              <w:spacing w:before="73" w:line="360" w:lineRule="auto"/>
              <w:rPr>
                <w:highlight w:val="none"/>
              </w:rPr>
            </w:pPr>
            <w:r>
              <w:rPr>
                <w:spacing w:val="5"/>
                <w:highlight w:val="none"/>
              </w:rPr>
              <w:t xml:space="preserve">显示屏</w:t>
            </w:r>
            <w:r>
              <w:rPr>
                <w:highlight w:val="none"/>
              </w:rPr>
            </w:r>
            <w:r/>
          </w:p>
        </w:tc>
        <w:tc>
          <w:tcPr>
            <w:tcW w:w="879" w:type="dxa"/>
            <w:vAlign w:val="top"/>
            <w:textDirection w:val="lrTb"/>
            <w:noWrap w:val="false"/>
          </w:tcPr>
          <w:p>
            <w:pPr>
              <w:pStyle w:val="984"/>
              <w:ind w:left="695"/>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23</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4"/>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500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11"/>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11500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328"/>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9</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7"/>
              <w:pageBreakBefore w:val="0"/>
              <w:spacing w:before="73" w:line="360" w:lineRule="auto"/>
              <w:rPr>
                <w:highlight w:val="none"/>
              </w:rPr>
            </w:pPr>
            <w:r>
              <w:rPr>
                <w:spacing w:val="7"/>
                <w:highlight w:val="none"/>
              </w:rPr>
              <w:t xml:space="preserve">开水器</w:t>
            </w:r>
            <w:r>
              <w:rPr>
                <w:highlight w:val="none"/>
              </w:rPr>
            </w:r>
            <w:r/>
          </w:p>
        </w:tc>
        <w:tc>
          <w:tcPr>
            <w:tcW w:w="879" w:type="dxa"/>
            <w:vAlign w:val="top"/>
            <w:textDirection w:val="lrTb"/>
            <w:noWrap w:val="false"/>
          </w:tcPr>
          <w:p>
            <w:pPr>
              <w:pStyle w:val="984"/>
              <w:ind w:left="754"/>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8</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8"/>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2000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11"/>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16000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293"/>
              <w:pageBreakBefore w:val="0"/>
              <w:spacing w:before="10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10</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2"/>
              <w:pageBreakBefore w:val="0"/>
              <w:spacing w:before="75" w:line="360" w:lineRule="auto"/>
              <w:rPr>
                <w:highlight w:val="none"/>
              </w:rPr>
            </w:pPr>
            <w:r>
              <w:rPr>
                <w:spacing w:val="5"/>
                <w:highlight w:val="none"/>
              </w:rPr>
              <w:t xml:space="preserve">小厨宝</w:t>
            </w:r>
            <w:r>
              <w:rPr>
                <w:highlight w:val="none"/>
              </w:rPr>
            </w:r>
            <w:r/>
          </w:p>
        </w:tc>
        <w:tc>
          <w:tcPr>
            <w:tcW w:w="879" w:type="dxa"/>
            <w:vAlign w:val="top"/>
            <w:textDirection w:val="lrTb"/>
            <w:noWrap w:val="false"/>
          </w:tcPr>
          <w:p>
            <w:pPr>
              <w:pStyle w:val="984"/>
              <w:ind w:left="695"/>
              <w:pageBreakBefore w:val="0"/>
              <w:spacing w:before="10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20</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8"/>
              <w:pageBreakBefore w:val="0"/>
              <w:spacing w:before="10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2200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490"/>
              <w:pageBreakBefore w:val="0"/>
              <w:spacing w:before="10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4"/>
                <w:sz w:val="19"/>
                <w:szCs w:val="19"/>
                <w:highlight w:val="none"/>
              </w:rPr>
              <w:t xml:space="preserve">44000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293"/>
              <w:pageBreakBefore w:val="0"/>
              <w:spacing w:before="10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11</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0"/>
              <w:pageBreakBefore w:val="0"/>
              <w:spacing w:before="75" w:line="360" w:lineRule="auto"/>
              <w:rPr>
                <w:highlight w:val="none"/>
              </w:rPr>
            </w:pPr>
            <w:r>
              <w:rPr>
                <w:spacing w:val="6"/>
                <w:highlight w:val="none"/>
              </w:rPr>
              <w:t xml:space="preserve">笔记本</w:t>
            </w:r>
            <w:r>
              <w:rPr>
                <w:highlight w:val="none"/>
              </w:rPr>
            </w:r>
            <w:r/>
          </w:p>
        </w:tc>
        <w:tc>
          <w:tcPr>
            <w:tcW w:w="879" w:type="dxa"/>
            <w:vAlign w:val="top"/>
            <w:textDirection w:val="lrTb"/>
            <w:noWrap w:val="false"/>
          </w:tcPr>
          <w:p>
            <w:pPr>
              <w:pStyle w:val="984"/>
              <w:ind w:left="749"/>
              <w:pageBreakBefore w:val="0"/>
              <w:spacing w:before="111"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7</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601"/>
              <w:pageBreakBefore w:val="0"/>
              <w:spacing w:before="10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65</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89"/>
              <w:pageBreakBefore w:val="0"/>
              <w:spacing w:before="10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4"/>
                <w:sz w:val="19"/>
                <w:szCs w:val="19"/>
                <w:highlight w:val="none"/>
              </w:rPr>
              <w:t xml:space="preserve">455</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293"/>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12</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851"/>
              <w:pageBreakBefore w:val="0"/>
              <w:spacing w:before="74" w:line="360" w:lineRule="auto"/>
              <w:rPr>
                <w:highlight w:val="none"/>
              </w:rPr>
            </w:pPr>
            <w:r>
              <w:rPr>
                <w:spacing w:val="3"/>
                <w:highlight w:val="none"/>
              </w:rPr>
              <w:t xml:space="preserve">电脑一体机</w:t>
            </w:r>
            <w:r>
              <w:rPr>
                <w:highlight w:val="none"/>
              </w:rPr>
            </w:r>
            <w:r/>
          </w:p>
        </w:tc>
        <w:tc>
          <w:tcPr>
            <w:tcW w:w="879" w:type="dxa"/>
            <w:vAlign w:val="top"/>
            <w:textDirection w:val="lrTb"/>
            <w:noWrap w:val="false"/>
          </w:tcPr>
          <w:p>
            <w:pPr>
              <w:pStyle w:val="984"/>
              <w:ind w:left="699"/>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36</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2"/>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300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11"/>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10800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293"/>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13</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0"/>
              <w:pageBreakBefore w:val="0"/>
              <w:spacing w:before="74" w:line="360" w:lineRule="auto"/>
              <w:rPr>
                <w:highlight w:val="none"/>
              </w:rPr>
            </w:pPr>
            <w:r>
              <w:rPr>
                <w:spacing w:val="6"/>
                <w:highlight w:val="none"/>
              </w:rPr>
              <w:t xml:space="preserve">打印机</w:t>
            </w:r>
            <w:r>
              <w:rPr>
                <w:highlight w:val="none"/>
              </w:rPr>
            </w:r>
            <w:r/>
          </w:p>
        </w:tc>
        <w:tc>
          <w:tcPr>
            <w:tcW w:w="879" w:type="dxa"/>
            <w:vAlign w:val="top"/>
            <w:textDirection w:val="lrTb"/>
            <w:noWrap w:val="false"/>
          </w:tcPr>
          <w:p>
            <w:pPr>
              <w:pStyle w:val="984"/>
              <w:ind w:left="715"/>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16</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48"/>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250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38"/>
              <w:pageBreakBefore w:val="0"/>
              <w:spacing w:before="10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4"/>
                <w:sz w:val="19"/>
                <w:szCs w:val="19"/>
                <w:highlight w:val="none"/>
              </w:rPr>
              <w:t xml:space="preserve">4000</w:t>
            </w:r>
            <w:r>
              <w:rPr>
                <w:rFonts w:ascii="Times New Roman" w:hAnsi="Times New Roman" w:eastAsia="Times New Roman" w:cs="Times New Roman"/>
                <w:sz w:val="19"/>
                <w:szCs w:val="19"/>
                <w:highlight w:val="none"/>
              </w:rPr>
            </w:r>
            <w:r/>
          </w:p>
        </w:tc>
      </w:tr>
      <w:tr>
        <w:trPr>
          <w:trHeight w:val="341"/>
        </w:trPr>
        <w:tc>
          <w:tcPr>
            <w:tcW w:w="410" w:type="dxa"/>
            <w:vAlign w:val="top"/>
            <w:textDirection w:val="lrTb"/>
            <w:noWrap w:val="false"/>
          </w:tcPr>
          <w:p>
            <w:pPr>
              <w:pStyle w:val="984"/>
              <w:ind w:left="293"/>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14</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6"/>
              <w:pageBreakBefore w:val="0"/>
              <w:spacing w:before="73" w:line="360" w:lineRule="auto"/>
              <w:rPr>
                <w:highlight w:val="none"/>
              </w:rPr>
            </w:pPr>
            <w:r>
              <w:rPr>
                <w:spacing w:val="7"/>
                <w:highlight w:val="none"/>
              </w:rPr>
              <w:t xml:space="preserve">碎纸机</w:t>
            </w:r>
            <w:r>
              <w:rPr>
                <w:highlight w:val="none"/>
              </w:rPr>
            </w:r>
            <w:r/>
          </w:p>
        </w:tc>
        <w:tc>
          <w:tcPr>
            <w:tcW w:w="879" w:type="dxa"/>
            <w:vAlign w:val="top"/>
            <w:textDirection w:val="lrTb"/>
            <w:noWrap w:val="false"/>
          </w:tcPr>
          <w:p>
            <w:pPr>
              <w:pStyle w:val="984"/>
              <w:ind w:left="750"/>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9</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68"/>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4"/>
                <w:sz w:val="19"/>
                <w:szCs w:val="19"/>
                <w:highlight w:val="none"/>
              </w:rPr>
              <w:t xml:space="preserve">150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59"/>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1350</w:t>
            </w:r>
            <w:r>
              <w:rPr>
                <w:rFonts w:ascii="Times New Roman" w:hAnsi="Times New Roman" w:eastAsia="Times New Roman" w:cs="Times New Roman"/>
                <w:sz w:val="19"/>
                <w:szCs w:val="19"/>
                <w:highlight w:val="none"/>
              </w:rPr>
            </w:r>
            <w:r/>
          </w:p>
        </w:tc>
      </w:tr>
      <w:tr>
        <w:trPr>
          <w:trHeight w:val="343"/>
        </w:trPr>
        <w:tc>
          <w:tcPr>
            <w:tcW w:w="410" w:type="dxa"/>
            <w:vAlign w:val="top"/>
            <w:textDirection w:val="lrTb"/>
            <w:noWrap w:val="false"/>
          </w:tcPr>
          <w:p>
            <w:pPr>
              <w:pStyle w:val="984"/>
              <w:ind w:left="293"/>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15</w:t>
            </w:r>
            <w:r>
              <w:rPr>
                <w:rFonts w:ascii="Times New Roman" w:hAnsi="Times New Roman" w:eastAsia="Times New Roman" w:cs="Times New Roman"/>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50"/>
              <w:pageBreakBefore w:val="0"/>
              <w:spacing w:before="73" w:line="360" w:lineRule="auto"/>
              <w:rPr>
                <w:highlight w:val="none"/>
              </w:rPr>
            </w:pPr>
            <w:r>
              <w:rPr>
                <w:spacing w:val="-1"/>
                <w:highlight w:val="none"/>
              </w:rPr>
              <w:t xml:space="preserve">电视机</w:t>
            </w:r>
            <w:r>
              <w:rPr>
                <w:highlight w:val="none"/>
              </w:rPr>
            </w:r>
            <w:r/>
          </w:p>
        </w:tc>
        <w:tc>
          <w:tcPr>
            <w:tcW w:w="879" w:type="dxa"/>
            <w:vAlign w:val="top"/>
            <w:textDirection w:val="lrTb"/>
            <w:noWrap w:val="false"/>
          </w:tcPr>
          <w:p>
            <w:pPr>
              <w:pStyle w:val="984"/>
              <w:ind w:left="750"/>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3</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48"/>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3"/>
                <w:sz w:val="19"/>
                <w:szCs w:val="19"/>
                <w:highlight w:val="none"/>
              </w:rPr>
              <w:t xml:space="preserve">200</w:t>
            </w:r>
            <w:r>
              <w:rPr>
                <w:rFonts w:ascii="Times New Roman" w:hAnsi="Times New Roman" w:eastAsia="Times New Roman" w:cs="Times New Roman"/>
                <w:sz w:val="19"/>
                <w:szCs w:val="19"/>
                <w:highlight w:val="none"/>
              </w:rPr>
            </w:r>
            <w:r/>
          </w:p>
        </w:tc>
        <w:tc>
          <w:tcPr>
            <w:tcW w:w="819" w:type="dxa"/>
            <w:vAlign w:val="top"/>
            <w:textDirection w:val="lrTb"/>
            <w:noWrap w:val="false"/>
          </w:tcPr>
          <w:p>
            <w:pPr>
              <w:pStyle w:val="984"/>
              <w:ind w:left="594"/>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2"/>
                <w:sz w:val="19"/>
                <w:szCs w:val="19"/>
                <w:highlight w:val="none"/>
              </w:rPr>
              <w:t xml:space="preserve">600</w:t>
            </w:r>
            <w:r>
              <w:rPr>
                <w:rFonts w:ascii="Times New Roman" w:hAnsi="Times New Roman" w:eastAsia="Times New Roman" w:cs="Times New Roman"/>
                <w:sz w:val="19"/>
                <w:szCs w:val="19"/>
                <w:highlight w:val="none"/>
              </w:rPr>
            </w:r>
            <w:r/>
          </w:p>
        </w:tc>
      </w:tr>
      <w:tr>
        <w:trPr>
          <w:trHeight w:val="343"/>
        </w:trPr>
        <w:tc>
          <w:tcPr>
            <w:tcW w:w="410" w:type="dxa"/>
            <w:vAlign w:val="top"/>
            <w:textDirection w:val="lrTb"/>
            <w:noWrap w:val="false"/>
          </w:tcPr>
          <w:p>
            <w:pPr>
              <w:pStyle w:val="984"/>
              <w:ind w:left="293"/>
              <w:pageBreakBefore w:val="0"/>
              <w:spacing w:before="103"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7"/>
                <w:sz w:val="19"/>
                <w:szCs w:val="19"/>
                <w:highlight w:val="none"/>
              </w:rPr>
              <w:t xml:space="preserve">16</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6"/>
              <w:pageBreakBefore w:val="0"/>
              <w:spacing w:before="69" w:line="360" w:lineRule="auto"/>
              <w:rPr>
                <w:spacing w:val="-1"/>
                <w:highlight w:val="none"/>
              </w:rPr>
            </w:pPr>
            <w:r>
              <w:rPr>
                <w:spacing w:val="7"/>
                <w:highlight w:val="none"/>
              </w:rPr>
              <w:t xml:space="preserve">烧水器</w:t>
            </w:r>
            <w:r>
              <w:rPr>
                <w:spacing w:val="-1"/>
                <w:highlight w:val="none"/>
              </w:rPr>
            </w:r>
            <w:r/>
          </w:p>
        </w:tc>
        <w:tc>
          <w:tcPr>
            <w:tcW w:w="879" w:type="dxa"/>
            <w:vAlign w:val="top"/>
            <w:textDirection w:val="lrTb"/>
            <w:noWrap w:val="false"/>
          </w:tcPr>
          <w:p>
            <w:pPr>
              <w:pStyle w:val="984"/>
              <w:ind w:left="715"/>
              <w:pageBreakBefore w:val="0"/>
              <w:spacing w:before="103"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16</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3"/>
              <w:pageBreakBefore w:val="0"/>
              <w:spacing w:before="103" w:line="360" w:lineRule="auto"/>
              <w:rPr>
                <w:rFonts w:ascii="Times New Roman" w:hAnsi="Times New Roman" w:eastAsia="Times New Roman" w:cs="Times New Roman"/>
                <w:spacing w:val="3"/>
                <w:sz w:val="19"/>
                <w:szCs w:val="19"/>
                <w:highlight w:val="none"/>
              </w:rPr>
            </w:pPr>
            <w:r>
              <w:rPr>
                <w:rFonts w:ascii="Times New Roman" w:hAnsi="Times New Roman" w:eastAsia="Times New Roman" w:cs="Times New Roman"/>
                <w:spacing w:val="1"/>
                <w:sz w:val="19"/>
                <w:szCs w:val="19"/>
                <w:highlight w:val="none"/>
              </w:rPr>
              <w:t xml:space="preserve">600</w:t>
            </w:r>
            <w:r>
              <w:rPr>
                <w:rFonts w:ascii="Times New Roman" w:hAnsi="Times New Roman" w:eastAsia="Times New Roman" w:cs="Times New Roman"/>
                <w:spacing w:val="3"/>
                <w:sz w:val="19"/>
                <w:szCs w:val="19"/>
                <w:highlight w:val="none"/>
              </w:rPr>
            </w:r>
            <w:r/>
          </w:p>
        </w:tc>
        <w:tc>
          <w:tcPr>
            <w:tcW w:w="819" w:type="dxa"/>
            <w:vAlign w:val="top"/>
            <w:textDirection w:val="lrTb"/>
            <w:noWrap w:val="false"/>
          </w:tcPr>
          <w:p>
            <w:pPr>
              <w:pStyle w:val="984"/>
              <w:ind w:left="543"/>
              <w:pageBreakBefore w:val="0"/>
              <w:spacing w:before="10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2"/>
                <w:sz w:val="19"/>
                <w:szCs w:val="19"/>
                <w:highlight w:val="none"/>
              </w:rPr>
              <w:t xml:space="preserve">9600</w:t>
            </w:r>
            <w:r>
              <w:rPr>
                <w:rFonts w:ascii="Times New Roman" w:hAnsi="Times New Roman" w:eastAsia="Times New Roman" w:cs="Times New Roman"/>
                <w:spacing w:val="2"/>
                <w:sz w:val="19"/>
                <w:szCs w:val="19"/>
                <w:highlight w:val="none"/>
              </w:rPr>
            </w:r>
            <w:r/>
          </w:p>
        </w:tc>
      </w:tr>
      <w:tr>
        <w:trPr>
          <w:trHeight w:val="343"/>
        </w:trPr>
        <w:tc>
          <w:tcPr>
            <w:tcW w:w="410" w:type="dxa"/>
            <w:vAlign w:val="top"/>
            <w:textDirection w:val="lrTb"/>
            <w:noWrap w:val="false"/>
          </w:tcPr>
          <w:p>
            <w:pPr>
              <w:pStyle w:val="984"/>
              <w:ind w:left="293"/>
              <w:pageBreakBefore w:val="0"/>
              <w:spacing w:before="105"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7"/>
                <w:sz w:val="19"/>
                <w:szCs w:val="19"/>
                <w:highlight w:val="none"/>
              </w:rPr>
              <w:t xml:space="preserve">17</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50"/>
              <w:pageBreakBefore w:val="0"/>
              <w:spacing w:before="70" w:line="360" w:lineRule="auto"/>
              <w:rPr>
                <w:spacing w:val="-1"/>
                <w:highlight w:val="none"/>
              </w:rPr>
            </w:pPr>
            <w:r>
              <w:rPr>
                <w:spacing w:val="-1"/>
                <w:highlight w:val="none"/>
              </w:rPr>
              <w:t xml:space="preserve">电风扇</w:t>
            </w:r>
            <w:r>
              <w:rPr>
                <w:spacing w:val="-1"/>
                <w:highlight w:val="none"/>
              </w:rPr>
            </w:r>
            <w:r/>
          </w:p>
        </w:tc>
        <w:tc>
          <w:tcPr>
            <w:tcW w:w="879" w:type="dxa"/>
            <w:vAlign w:val="top"/>
            <w:textDirection w:val="lrTb"/>
            <w:noWrap w:val="false"/>
          </w:tcPr>
          <w:p>
            <w:pPr>
              <w:pStyle w:val="984"/>
              <w:ind w:left="765"/>
              <w:pageBreakBefore w:val="0"/>
              <w:spacing w:before="105"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602"/>
              <w:pageBreakBefore w:val="0"/>
              <w:spacing w:before="108" w:line="360" w:lineRule="auto"/>
              <w:rPr>
                <w:rFonts w:ascii="Times New Roman" w:hAnsi="Times New Roman" w:eastAsia="Times New Roman" w:cs="Times New Roman"/>
                <w:spacing w:val="3"/>
                <w:sz w:val="19"/>
                <w:szCs w:val="19"/>
                <w:highlight w:val="none"/>
              </w:rPr>
            </w:pPr>
            <w:r>
              <w:rPr>
                <w:rFonts w:ascii="Times New Roman" w:hAnsi="Times New Roman" w:eastAsia="Times New Roman" w:cs="Times New Roman"/>
                <w:sz w:val="19"/>
                <w:szCs w:val="19"/>
                <w:highlight w:val="none"/>
              </w:rPr>
              <w:t xml:space="preserve">55</w:t>
            </w:r>
            <w:r>
              <w:rPr>
                <w:rFonts w:ascii="Times New Roman" w:hAnsi="Times New Roman" w:eastAsia="Times New Roman" w:cs="Times New Roman"/>
                <w:spacing w:val="3"/>
                <w:sz w:val="19"/>
                <w:szCs w:val="19"/>
                <w:highlight w:val="none"/>
              </w:rPr>
            </w:r>
            <w:r/>
          </w:p>
        </w:tc>
        <w:tc>
          <w:tcPr>
            <w:tcW w:w="819" w:type="dxa"/>
            <w:vAlign w:val="top"/>
            <w:textDirection w:val="lrTb"/>
            <w:noWrap w:val="false"/>
          </w:tcPr>
          <w:p>
            <w:pPr>
              <w:pStyle w:val="984"/>
              <w:ind w:left="646"/>
              <w:pageBreakBefore w:val="0"/>
              <w:spacing w:before="108"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z w:val="19"/>
                <w:szCs w:val="19"/>
                <w:highlight w:val="none"/>
              </w:rPr>
              <w:t xml:space="preserve">55</w:t>
            </w:r>
            <w:r>
              <w:rPr>
                <w:rFonts w:ascii="Times New Roman" w:hAnsi="Times New Roman" w:eastAsia="Times New Roman" w:cs="Times New Roman"/>
                <w:spacing w:val="2"/>
                <w:sz w:val="19"/>
                <w:szCs w:val="19"/>
                <w:highlight w:val="none"/>
              </w:rPr>
            </w:r>
            <w:r/>
          </w:p>
        </w:tc>
      </w:tr>
      <w:tr>
        <w:trPr>
          <w:trHeight w:val="343"/>
        </w:trPr>
        <w:tc>
          <w:tcPr>
            <w:tcW w:w="410" w:type="dxa"/>
            <w:vAlign w:val="top"/>
            <w:textDirection w:val="lrTb"/>
            <w:noWrap w:val="false"/>
          </w:tcPr>
          <w:p>
            <w:pPr>
              <w:pStyle w:val="984"/>
              <w:ind w:left="293"/>
              <w:pageBreakBefore w:val="0"/>
              <w:spacing w:before="105"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7"/>
                <w:sz w:val="19"/>
                <w:szCs w:val="19"/>
                <w:highlight w:val="none"/>
              </w:rPr>
              <w:t xml:space="preserve">18</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1"/>
              <w:pageBreakBefore w:val="0"/>
              <w:spacing w:before="71" w:line="360" w:lineRule="auto"/>
              <w:rPr>
                <w:spacing w:val="-1"/>
                <w:highlight w:val="none"/>
              </w:rPr>
            </w:pPr>
            <w:r>
              <w:rPr>
                <w:spacing w:val="6"/>
                <w:highlight w:val="none"/>
              </w:rPr>
              <w:t xml:space="preserve">跑步机</w:t>
            </w:r>
            <w:r>
              <w:rPr>
                <w:spacing w:val="-1"/>
                <w:highlight w:val="none"/>
              </w:rPr>
            </w:r>
            <w:r/>
          </w:p>
        </w:tc>
        <w:tc>
          <w:tcPr>
            <w:tcW w:w="879" w:type="dxa"/>
            <w:vAlign w:val="top"/>
            <w:textDirection w:val="lrTb"/>
            <w:noWrap w:val="false"/>
          </w:tcPr>
          <w:p>
            <w:pPr>
              <w:pStyle w:val="984"/>
              <w:ind w:left="750"/>
              <w:pageBreakBefore w:val="0"/>
              <w:spacing w:before="105"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3</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17"/>
              <w:pageBreakBefore w:val="0"/>
              <w:spacing w:before="105" w:line="360" w:lineRule="auto"/>
              <w:rPr>
                <w:rFonts w:ascii="Times New Roman" w:hAnsi="Times New Roman" w:eastAsia="Times New Roman" w:cs="Times New Roman"/>
                <w:spacing w:val="3"/>
                <w:sz w:val="19"/>
                <w:szCs w:val="19"/>
                <w:highlight w:val="none"/>
              </w:rPr>
            </w:pPr>
            <w:r>
              <w:rPr>
                <w:rFonts w:ascii="Times New Roman" w:hAnsi="Times New Roman" w:eastAsia="Times New Roman" w:cs="Times New Roman"/>
                <w:spacing w:val="-1"/>
                <w:sz w:val="19"/>
                <w:szCs w:val="19"/>
                <w:highlight w:val="none"/>
              </w:rPr>
              <w:t xml:space="preserve">1850</w:t>
            </w:r>
            <w:r>
              <w:rPr>
                <w:rFonts w:ascii="Times New Roman" w:hAnsi="Times New Roman" w:eastAsia="Times New Roman" w:cs="Times New Roman"/>
                <w:spacing w:val="3"/>
                <w:sz w:val="19"/>
                <w:szCs w:val="19"/>
                <w:highlight w:val="none"/>
              </w:rPr>
            </w:r>
            <w:r/>
          </w:p>
        </w:tc>
        <w:tc>
          <w:tcPr>
            <w:tcW w:w="819" w:type="dxa"/>
            <w:vAlign w:val="top"/>
            <w:textDirection w:val="lrTb"/>
            <w:noWrap w:val="false"/>
          </w:tcPr>
          <w:p>
            <w:pPr>
              <w:pStyle w:val="984"/>
              <w:ind w:left="545"/>
              <w:pageBreakBefore w:val="0"/>
              <w:spacing w:before="105"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2"/>
                <w:sz w:val="19"/>
                <w:szCs w:val="19"/>
                <w:highlight w:val="none"/>
              </w:rPr>
              <w:t xml:space="preserve">5550</w:t>
            </w:r>
            <w:r>
              <w:rPr>
                <w:rFonts w:ascii="Times New Roman" w:hAnsi="Times New Roman" w:eastAsia="Times New Roman" w:cs="Times New Roman"/>
                <w:spacing w:val="2"/>
                <w:sz w:val="19"/>
                <w:szCs w:val="19"/>
                <w:highlight w:val="none"/>
              </w:rPr>
            </w:r>
            <w:r/>
          </w:p>
        </w:tc>
      </w:tr>
      <w:tr>
        <w:trPr>
          <w:trHeight w:val="343"/>
        </w:trPr>
        <w:tc>
          <w:tcPr>
            <w:tcW w:w="410" w:type="dxa"/>
            <w:vAlign w:val="top"/>
            <w:textDirection w:val="lrTb"/>
            <w:noWrap w:val="false"/>
          </w:tcPr>
          <w:p>
            <w:pPr>
              <w:pStyle w:val="984"/>
              <w:ind w:left="293"/>
              <w:pageBreakBefore w:val="0"/>
              <w:spacing w:before="104"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7"/>
                <w:sz w:val="19"/>
                <w:szCs w:val="19"/>
                <w:highlight w:val="none"/>
              </w:rPr>
              <w:t xml:space="preserve">19</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7"/>
              <w:pageBreakBefore w:val="0"/>
              <w:spacing w:before="70" w:line="360" w:lineRule="auto"/>
              <w:rPr>
                <w:spacing w:val="-1"/>
                <w:highlight w:val="none"/>
              </w:rPr>
            </w:pPr>
            <w:r>
              <w:rPr>
                <w:spacing w:val="7"/>
                <w:highlight w:val="none"/>
              </w:rPr>
              <w:t xml:space="preserve">微波炉</w:t>
            </w:r>
            <w:r>
              <w:rPr>
                <w:spacing w:val="-1"/>
                <w:highlight w:val="none"/>
              </w:rPr>
            </w:r>
            <w:r/>
          </w:p>
        </w:tc>
        <w:tc>
          <w:tcPr>
            <w:tcW w:w="879" w:type="dxa"/>
            <w:vAlign w:val="top"/>
            <w:textDirection w:val="lrTb"/>
            <w:noWrap w:val="false"/>
          </w:tcPr>
          <w:p>
            <w:pPr>
              <w:pStyle w:val="984"/>
              <w:ind w:left="746"/>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2</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2"/>
              <w:pageBreakBefore w:val="0"/>
              <w:spacing w:before="104" w:line="360" w:lineRule="auto"/>
              <w:rPr>
                <w:rFonts w:ascii="Times New Roman" w:hAnsi="Times New Roman" w:eastAsia="Times New Roman" w:cs="Times New Roman"/>
                <w:spacing w:val="3"/>
                <w:sz w:val="19"/>
                <w:szCs w:val="19"/>
                <w:highlight w:val="none"/>
              </w:rPr>
            </w:pPr>
            <w:r>
              <w:rPr>
                <w:rFonts w:ascii="Times New Roman" w:hAnsi="Times New Roman" w:eastAsia="Times New Roman" w:cs="Times New Roman"/>
                <w:spacing w:val="2"/>
                <w:sz w:val="19"/>
                <w:szCs w:val="19"/>
                <w:highlight w:val="none"/>
              </w:rPr>
              <w:t xml:space="preserve">700</w:t>
            </w:r>
            <w:r>
              <w:rPr>
                <w:rFonts w:ascii="Times New Roman" w:hAnsi="Times New Roman" w:eastAsia="Times New Roman" w:cs="Times New Roman"/>
                <w:spacing w:val="3"/>
                <w:sz w:val="19"/>
                <w:szCs w:val="19"/>
                <w:highlight w:val="none"/>
              </w:rPr>
            </w:r>
            <w:r/>
          </w:p>
        </w:tc>
        <w:tc>
          <w:tcPr>
            <w:tcW w:w="819" w:type="dxa"/>
            <w:vAlign w:val="top"/>
            <w:textDirection w:val="lrTb"/>
            <w:noWrap w:val="false"/>
          </w:tcPr>
          <w:p>
            <w:pPr>
              <w:pStyle w:val="984"/>
              <w:ind w:left="559"/>
              <w:pageBreakBefore w:val="0"/>
              <w:spacing w:before="104"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1400</w:t>
            </w:r>
            <w:r>
              <w:rPr>
                <w:rFonts w:ascii="Times New Roman" w:hAnsi="Times New Roman" w:eastAsia="Times New Roman" w:cs="Times New Roman"/>
                <w:spacing w:val="2"/>
                <w:sz w:val="19"/>
                <w:szCs w:val="19"/>
                <w:highlight w:val="none"/>
              </w:rPr>
            </w:r>
            <w:r/>
          </w:p>
        </w:tc>
      </w:tr>
      <w:tr>
        <w:trPr>
          <w:trHeight w:val="343"/>
        </w:trPr>
        <w:tc>
          <w:tcPr>
            <w:tcW w:w="410" w:type="dxa"/>
            <w:vAlign w:val="top"/>
            <w:textDirection w:val="lrTb"/>
            <w:noWrap w:val="false"/>
          </w:tcPr>
          <w:p>
            <w:pPr>
              <w:pStyle w:val="984"/>
              <w:ind w:left="274"/>
              <w:pageBreakBefore w:val="0"/>
              <w:spacing w:before="104"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20</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127"/>
              <w:pageBreakBefore w:val="0"/>
              <w:spacing w:before="69" w:line="360" w:lineRule="auto"/>
              <w:rPr>
                <w:spacing w:val="7"/>
                <w:highlight w:val="none"/>
              </w:rPr>
            </w:pPr>
            <w:r>
              <w:rPr>
                <w:spacing w:val="5"/>
                <w:highlight w:val="none"/>
              </w:rPr>
              <w:t xml:space="preserve">冰箱</w:t>
            </w:r>
            <w:r>
              <w:rPr>
                <w:spacing w:val="7"/>
                <w:highlight w:val="none"/>
              </w:rPr>
            </w:r>
            <w:r/>
          </w:p>
        </w:tc>
        <w:tc>
          <w:tcPr>
            <w:tcW w:w="879" w:type="dxa"/>
            <w:vAlign w:val="top"/>
            <w:textDirection w:val="lrTb"/>
            <w:noWrap w:val="false"/>
          </w:tcPr>
          <w:p>
            <w:pPr>
              <w:pStyle w:val="984"/>
              <w:ind w:left="765"/>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604"/>
              <w:pageBreakBefore w:val="0"/>
              <w:spacing w:before="104"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80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648"/>
              <w:pageBreakBefore w:val="0"/>
              <w:spacing w:before="104"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1"/>
                <w:sz w:val="19"/>
                <w:szCs w:val="19"/>
                <w:highlight w:val="none"/>
              </w:rPr>
              <w:t xml:space="preserve">80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3"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21</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1"/>
              <w:pageBreakBefore w:val="0"/>
              <w:spacing w:before="69" w:line="360" w:lineRule="auto"/>
              <w:rPr>
                <w:spacing w:val="7"/>
                <w:highlight w:val="none"/>
              </w:rPr>
            </w:pPr>
            <w:r>
              <w:rPr>
                <w:spacing w:val="6"/>
                <w:highlight w:val="none"/>
              </w:rPr>
              <w:t xml:space="preserve">消毒柜</w:t>
            </w:r>
            <w:r>
              <w:rPr>
                <w:spacing w:val="7"/>
                <w:highlight w:val="none"/>
              </w:rPr>
            </w:r>
            <w:r/>
          </w:p>
        </w:tc>
        <w:tc>
          <w:tcPr>
            <w:tcW w:w="879" w:type="dxa"/>
            <w:vAlign w:val="top"/>
            <w:textDirection w:val="lrTb"/>
            <w:noWrap w:val="false"/>
          </w:tcPr>
          <w:p>
            <w:pPr>
              <w:pStyle w:val="984"/>
              <w:ind w:left="765"/>
              <w:pageBreakBefore w:val="0"/>
              <w:spacing w:before="103"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3"/>
              <w:pageBreakBefore w:val="0"/>
              <w:spacing w:before="10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615</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94"/>
              <w:pageBreakBefore w:val="0"/>
              <w:spacing w:before="103"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2"/>
                <w:sz w:val="19"/>
                <w:szCs w:val="19"/>
                <w:highlight w:val="none"/>
              </w:rPr>
              <w:t xml:space="preserve">615</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3"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22</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9"/>
              <w:pageBreakBefore w:val="0"/>
              <w:spacing w:before="69" w:line="360" w:lineRule="auto"/>
              <w:rPr>
                <w:spacing w:val="7"/>
                <w:highlight w:val="none"/>
              </w:rPr>
            </w:pPr>
            <w:r>
              <w:rPr>
                <w:spacing w:val="6"/>
                <w:highlight w:val="none"/>
              </w:rPr>
              <w:t xml:space="preserve">蒸烤箱</w:t>
            </w:r>
            <w:r>
              <w:rPr>
                <w:spacing w:val="7"/>
                <w:highlight w:val="none"/>
              </w:rPr>
            </w:r>
            <w:r/>
          </w:p>
        </w:tc>
        <w:tc>
          <w:tcPr>
            <w:tcW w:w="879" w:type="dxa"/>
            <w:vAlign w:val="top"/>
            <w:textDirection w:val="lrTb"/>
            <w:noWrap w:val="false"/>
          </w:tcPr>
          <w:p>
            <w:pPr>
              <w:pStyle w:val="984"/>
              <w:ind w:left="765"/>
              <w:pageBreakBefore w:val="0"/>
              <w:spacing w:before="103"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17"/>
              <w:pageBreakBefore w:val="0"/>
              <w:spacing w:before="10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1300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59"/>
              <w:pageBreakBefore w:val="0"/>
              <w:spacing w:before="103"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1"/>
                <w:sz w:val="19"/>
                <w:szCs w:val="19"/>
                <w:highlight w:val="none"/>
              </w:rPr>
              <w:t xml:space="preserve">1300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5"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23</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9"/>
              <w:pageBreakBefore w:val="0"/>
              <w:spacing w:before="71" w:line="360" w:lineRule="auto"/>
              <w:rPr>
                <w:spacing w:val="7"/>
                <w:highlight w:val="none"/>
              </w:rPr>
            </w:pPr>
            <w:r>
              <w:rPr>
                <w:spacing w:val="6"/>
                <w:highlight w:val="none"/>
              </w:rPr>
              <w:t xml:space="preserve">纯水机</w:t>
            </w:r>
            <w:r>
              <w:rPr>
                <w:spacing w:val="7"/>
                <w:highlight w:val="none"/>
              </w:rPr>
            </w:r>
            <w:r/>
          </w:p>
        </w:tc>
        <w:tc>
          <w:tcPr>
            <w:tcW w:w="879" w:type="dxa"/>
            <w:vAlign w:val="top"/>
            <w:textDirection w:val="lrTb"/>
            <w:noWrap w:val="false"/>
          </w:tcPr>
          <w:p>
            <w:pPr>
              <w:pStyle w:val="984"/>
              <w:ind w:left="750"/>
              <w:pageBreakBefore w:val="0"/>
              <w:spacing w:before="105"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6</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17"/>
              <w:pageBreakBefore w:val="0"/>
              <w:spacing w:before="105"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1250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43"/>
              <w:pageBreakBefore w:val="0"/>
              <w:spacing w:before="105"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3"/>
                <w:sz w:val="19"/>
                <w:szCs w:val="19"/>
                <w:highlight w:val="none"/>
              </w:rPr>
              <w:t xml:space="preserve">7500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5"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24</w:t>
            </w:r>
            <w:r>
              <w:rPr>
                <w:rFonts w:ascii="Times New Roman" w:hAnsi="Times New Roman" w:eastAsia="Times New Roman" w:cs="Times New Roman"/>
                <w:spacing w:val="-7"/>
                <w:sz w:val="19"/>
                <w:szCs w:val="19"/>
                <w:highlight w:val="none"/>
              </w:rPr>
            </w:r>
            <w:r/>
          </w:p>
        </w:tc>
        <w:tc>
          <w:tcPr>
            <w:tcW w:w="651" w:type="dxa"/>
            <w:vAlign w:val="top"/>
            <w:vMerge w:val="restart"/>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1069"/>
              <w:ind w:left="0" w:right="0" w:firstLine="0"/>
              <w:keepLines w:val="0"/>
              <w:keepNext w:val="0"/>
              <w:pageBreakBefore w:val="0"/>
              <w:spacing w:line="240" w:lineRule="auto"/>
              <w:widowControl w:val="off"/>
              <w:rPr>
                <w:rFonts w:ascii="Arial" w:eastAsia="宋体" w:cs="Times New Roman"/>
                <w:sz w:val="21"/>
                <w:highlight w:val="none"/>
              </w:rPr>
            </w:pPr>
            <w:r>
              <w:rPr>
                <w:spacing w:val="7"/>
                <w:highlight w:val="none"/>
              </w:rPr>
              <w:t xml:space="preserve">服务中心</w:t>
            </w:r>
            <w:r>
              <w:rPr>
                <w:spacing w:val="2"/>
                <w:highlight w:val="none"/>
              </w:rPr>
              <w:t xml:space="preserve">楼</w:t>
            </w:r>
            <w:r>
              <w:rPr>
                <w:rFonts w:ascii="Arial" w:eastAsia="宋体" w:cs="Times New Roman"/>
                <w:sz w:val="21"/>
                <w:highlight w:val="none"/>
              </w:rPr>
            </w:r>
            <w:r/>
          </w:p>
        </w:tc>
        <w:tc>
          <w:tcPr>
            <w:tcW w:w="1470" w:type="dxa"/>
            <w:vAlign w:val="top"/>
            <w:textDirection w:val="lrTb"/>
            <w:noWrap w:val="false"/>
          </w:tcPr>
          <w:p>
            <w:pPr>
              <w:pStyle w:val="1069"/>
              <w:ind w:left="1032"/>
              <w:pageBreakBefore w:val="0"/>
              <w:spacing w:before="70" w:line="360" w:lineRule="auto"/>
              <w:rPr>
                <w:spacing w:val="7"/>
                <w:highlight w:val="none"/>
              </w:rPr>
            </w:pPr>
            <w:r>
              <w:rPr>
                <w:spacing w:val="5"/>
                <w:highlight w:val="none"/>
              </w:rPr>
              <w:t xml:space="preserve">小厨宝</w:t>
            </w:r>
            <w:r>
              <w:rPr>
                <w:spacing w:val="7"/>
                <w:highlight w:val="none"/>
              </w:rPr>
            </w:r>
            <w:r/>
          </w:p>
        </w:tc>
        <w:tc>
          <w:tcPr>
            <w:tcW w:w="879" w:type="dxa"/>
            <w:vAlign w:val="top"/>
            <w:textDirection w:val="lrTb"/>
            <w:noWrap w:val="false"/>
          </w:tcPr>
          <w:p>
            <w:pPr>
              <w:pStyle w:val="984"/>
              <w:ind w:left="765"/>
              <w:pageBreakBefore w:val="0"/>
              <w:spacing w:before="105"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8"/>
              <w:pageBreakBefore w:val="0"/>
              <w:spacing w:before="105"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3"/>
                <w:sz w:val="19"/>
                <w:szCs w:val="19"/>
                <w:highlight w:val="none"/>
              </w:rPr>
              <w:t xml:space="preserve">2200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39"/>
              <w:pageBreakBefore w:val="0"/>
              <w:spacing w:before="105"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3"/>
                <w:sz w:val="19"/>
                <w:szCs w:val="19"/>
                <w:highlight w:val="none"/>
              </w:rPr>
              <w:t xml:space="preserve">2200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4"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25</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851"/>
              <w:pageBreakBefore w:val="0"/>
              <w:spacing w:before="70" w:line="360" w:lineRule="auto"/>
              <w:rPr>
                <w:spacing w:val="7"/>
                <w:highlight w:val="none"/>
              </w:rPr>
            </w:pPr>
            <w:r>
              <w:rPr>
                <w:spacing w:val="3"/>
                <w:highlight w:val="none"/>
              </w:rPr>
              <w:t xml:space="preserve">电脑一体机</w:t>
            </w:r>
            <w:r>
              <w:rPr>
                <w:spacing w:val="7"/>
                <w:highlight w:val="none"/>
              </w:rPr>
            </w:r>
            <w:r/>
          </w:p>
        </w:tc>
        <w:tc>
          <w:tcPr>
            <w:tcW w:w="879" w:type="dxa"/>
            <w:vAlign w:val="top"/>
            <w:textDirection w:val="lrTb"/>
            <w:noWrap w:val="false"/>
          </w:tcPr>
          <w:p>
            <w:pPr>
              <w:pStyle w:val="984"/>
              <w:ind w:left="715"/>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10</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2"/>
              <w:pageBreakBefore w:val="0"/>
              <w:spacing w:before="104"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300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43"/>
              <w:pageBreakBefore w:val="0"/>
              <w:spacing w:before="104"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2"/>
                <w:sz w:val="19"/>
                <w:szCs w:val="19"/>
                <w:highlight w:val="none"/>
              </w:rPr>
              <w:t xml:space="preserve">3000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4"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26</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0"/>
              <w:pageBreakBefore w:val="0"/>
              <w:spacing w:before="70" w:line="360" w:lineRule="auto"/>
              <w:rPr>
                <w:spacing w:val="7"/>
                <w:highlight w:val="none"/>
              </w:rPr>
            </w:pPr>
            <w:r>
              <w:rPr>
                <w:spacing w:val="6"/>
                <w:highlight w:val="none"/>
              </w:rPr>
              <w:t xml:space="preserve">打印机</w:t>
            </w:r>
            <w:r>
              <w:rPr>
                <w:spacing w:val="7"/>
                <w:highlight w:val="none"/>
              </w:rPr>
            </w:r>
            <w:r/>
          </w:p>
        </w:tc>
        <w:tc>
          <w:tcPr>
            <w:tcW w:w="879" w:type="dxa"/>
            <w:vAlign w:val="top"/>
            <w:textDirection w:val="lrTb"/>
            <w:noWrap w:val="false"/>
          </w:tcPr>
          <w:p>
            <w:pPr>
              <w:pStyle w:val="984"/>
              <w:ind w:left="749"/>
              <w:pageBreakBefore w:val="0"/>
              <w:spacing w:before="107"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7</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48"/>
              <w:pageBreakBefore w:val="0"/>
              <w:spacing w:before="104"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3"/>
                <w:sz w:val="19"/>
                <w:szCs w:val="19"/>
                <w:highlight w:val="none"/>
              </w:rPr>
              <w:t xml:space="preserve">250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59"/>
              <w:pageBreakBefore w:val="0"/>
              <w:spacing w:before="104"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1"/>
                <w:sz w:val="19"/>
                <w:szCs w:val="19"/>
                <w:highlight w:val="none"/>
              </w:rPr>
              <w:t xml:space="preserve">1750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3"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27</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1"/>
              <w:pageBreakBefore w:val="0"/>
              <w:spacing w:before="69" w:line="360" w:lineRule="auto"/>
              <w:rPr>
                <w:spacing w:val="7"/>
                <w:highlight w:val="none"/>
              </w:rPr>
            </w:pPr>
            <w:r>
              <w:rPr>
                <w:spacing w:val="5"/>
                <w:highlight w:val="none"/>
              </w:rPr>
              <w:t xml:space="preserve">显示屏</w:t>
            </w:r>
            <w:r>
              <w:rPr>
                <w:spacing w:val="7"/>
                <w:highlight w:val="none"/>
              </w:rPr>
            </w:r>
            <w:r/>
          </w:p>
        </w:tc>
        <w:tc>
          <w:tcPr>
            <w:tcW w:w="879" w:type="dxa"/>
            <w:vAlign w:val="top"/>
            <w:textDirection w:val="lrTb"/>
            <w:noWrap w:val="false"/>
          </w:tcPr>
          <w:p>
            <w:pPr>
              <w:pStyle w:val="984"/>
              <w:ind w:left="746"/>
              <w:pageBreakBefore w:val="0"/>
              <w:spacing w:before="103"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2</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4"/>
              <w:pageBreakBefore w:val="0"/>
              <w:spacing w:before="10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500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59"/>
              <w:pageBreakBefore w:val="0"/>
              <w:spacing w:before="103"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1"/>
                <w:sz w:val="19"/>
                <w:szCs w:val="19"/>
                <w:highlight w:val="none"/>
              </w:rPr>
              <w:t xml:space="preserve">1000</w:t>
            </w:r>
            <w:r>
              <w:rPr>
                <w:rFonts w:ascii="Times New Roman" w:hAnsi="Times New Roman" w:eastAsia="Times New Roman" w:cs="Times New Roman"/>
                <w:spacing w:val="-1"/>
                <w:sz w:val="19"/>
                <w:szCs w:val="19"/>
                <w:highlight w:val="none"/>
              </w:rPr>
            </w:r>
            <w:r/>
          </w:p>
        </w:tc>
      </w:tr>
      <w:tr>
        <w:trPr>
          <w:trHeight w:val="90"/>
        </w:trPr>
        <w:tc>
          <w:tcPr>
            <w:tcW w:w="410" w:type="dxa"/>
            <w:vAlign w:val="top"/>
            <w:textDirection w:val="lrTb"/>
            <w:noWrap w:val="false"/>
          </w:tcPr>
          <w:p>
            <w:pPr>
              <w:pStyle w:val="984"/>
              <w:ind w:left="274"/>
              <w:pageBreakBefore w:val="0"/>
              <w:spacing w:before="103"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3"/>
                <w:sz w:val="19"/>
                <w:szCs w:val="19"/>
                <w:highlight w:val="none"/>
              </w:rPr>
              <w:t xml:space="preserve">28</w:t>
            </w:r>
            <w:r>
              <w:rPr>
                <w:rFonts w:ascii="Times New Roman" w:hAnsi="Times New Roman" w:eastAsia="Times New Roman" w:cs="Times New Roman"/>
                <w:spacing w:val="-7"/>
                <w:sz w:val="19"/>
                <w:szCs w:val="19"/>
                <w:highlight w:val="none"/>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6"/>
              <w:pageBreakBefore w:val="0"/>
              <w:spacing w:before="69" w:line="360" w:lineRule="auto"/>
              <w:rPr>
                <w:spacing w:val="7"/>
                <w:highlight w:val="none"/>
              </w:rPr>
            </w:pPr>
            <w:r>
              <w:rPr>
                <w:spacing w:val="7"/>
                <w:highlight w:val="none"/>
              </w:rPr>
              <w:t xml:space="preserve">烧水器</w:t>
            </w:r>
            <w:r>
              <w:rPr>
                <w:spacing w:val="7"/>
                <w:highlight w:val="none"/>
              </w:rPr>
            </w:r>
            <w:r/>
          </w:p>
        </w:tc>
        <w:tc>
          <w:tcPr>
            <w:tcW w:w="879" w:type="dxa"/>
            <w:vAlign w:val="top"/>
            <w:textDirection w:val="lrTb"/>
            <w:noWrap w:val="false"/>
          </w:tcPr>
          <w:p>
            <w:pPr>
              <w:pStyle w:val="984"/>
              <w:ind w:left="751"/>
              <w:pageBreakBefore w:val="0"/>
              <w:spacing w:before="106"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5</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53"/>
              <w:pageBreakBefore w:val="0"/>
              <w:spacing w:before="10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600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43"/>
              <w:pageBreakBefore w:val="0"/>
              <w:spacing w:before="103"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2"/>
                <w:sz w:val="19"/>
                <w:szCs w:val="19"/>
                <w:highlight w:val="none"/>
              </w:rPr>
              <w:t xml:space="preserve">3000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4"/>
              <w:pageBreakBefore w:val="0"/>
              <w:spacing w:before="105"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3"/>
                <w:sz w:val="19"/>
                <w:szCs w:val="19"/>
                <w:highlight w:val="none"/>
              </w:rPr>
              <w:t xml:space="preserve">29</w:t>
            </w:r>
            <w:r>
              <w:rPr>
                <w:rFonts w:ascii="Times New Roman" w:hAnsi="Times New Roman" w:eastAsia="Times New Roman" w:cs="Times New Roman"/>
                <w:sz w:val="19"/>
                <w:szCs w:val="19"/>
                <w:highlight w:val="none"/>
                <w:lang w:val="en-US" w:eastAsia="zh-CN" w:bidi="ar-SA"/>
              </w:rPr>
            </w:r>
            <w:r/>
          </w:p>
        </w:tc>
        <w:tc>
          <w:tcPr>
            <w:tcW w:w="651" w:type="dxa"/>
            <w:vAlign w:val="top"/>
            <w:vMerge w:val="restart"/>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p>
            <w:pPr>
              <w:pStyle w:val="1069"/>
              <w:ind w:left="0" w:right="0" w:firstLine="0"/>
              <w:keepLines w:val="0"/>
              <w:keepNext w:val="0"/>
              <w:pageBreakBefore w:val="0"/>
              <w:spacing w:line="240" w:lineRule="auto"/>
              <w:widowControl w:val="off"/>
              <w:rPr>
                <w:rFonts w:ascii="Arial" w:eastAsia="宋体" w:cs="Times New Roman"/>
                <w:sz w:val="21"/>
                <w:highlight w:val="none"/>
              </w:rPr>
            </w:pPr>
            <w:r>
              <w:rPr>
                <w:spacing w:val="7"/>
                <w:highlight w:val="none"/>
              </w:rPr>
              <w:t xml:space="preserve">环境监测站</w:t>
            </w:r>
            <w:r>
              <w:rPr>
                <w:rFonts w:ascii="Arial" w:eastAsia="宋体" w:cs="Times New Roman"/>
                <w:sz w:val="21"/>
                <w:highlight w:val="none"/>
              </w:rPr>
            </w:r>
            <w:r/>
          </w:p>
        </w:tc>
        <w:tc>
          <w:tcPr>
            <w:tcW w:w="1470" w:type="dxa"/>
            <w:vAlign w:val="top"/>
            <w:textDirection w:val="lrTb"/>
            <w:noWrap w:val="false"/>
          </w:tcPr>
          <w:p>
            <w:pPr>
              <w:pStyle w:val="1069"/>
              <w:ind w:left="1127"/>
              <w:pageBreakBefore w:val="0"/>
              <w:spacing w:before="70" w:line="360" w:lineRule="auto"/>
              <w:rPr>
                <w:spacing w:val="7"/>
                <w:highlight w:val="none"/>
              </w:rPr>
            </w:pPr>
            <w:r>
              <w:rPr>
                <w:spacing w:val="5"/>
                <w:highlight w:val="none"/>
              </w:rPr>
              <w:t xml:space="preserve">冰箱</w:t>
            </w:r>
            <w:r>
              <w:rPr>
                <w:spacing w:val="7"/>
                <w:highlight w:val="none"/>
              </w:rPr>
            </w:r>
            <w:r/>
          </w:p>
        </w:tc>
        <w:tc>
          <w:tcPr>
            <w:tcW w:w="879" w:type="dxa"/>
            <w:vAlign w:val="top"/>
            <w:textDirection w:val="lrTb"/>
            <w:noWrap w:val="false"/>
          </w:tcPr>
          <w:p>
            <w:pPr>
              <w:pStyle w:val="984"/>
              <w:ind w:left="746"/>
              <w:pageBreakBefore w:val="0"/>
              <w:spacing w:before="105"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2</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68"/>
              <w:pageBreakBefore w:val="0"/>
              <w:spacing w:before="105"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4"/>
                <w:sz w:val="19"/>
                <w:szCs w:val="19"/>
                <w:highlight w:val="none"/>
              </w:rPr>
              <w:t xml:space="preserve">150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94"/>
              <w:pageBreakBefore w:val="0"/>
              <w:spacing w:before="105"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2"/>
                <w:sz w:val="19"/>
                <w:szCs w:val="19"/>
                <w:highlight w:val="none"/>
              </w:rPr>
              <w:t xml:space="preserve">300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05"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30</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28"/>
              <w:pageBreakBefore w:val="0"/>
              <w:spacing w:before="70" w:line="360" w:lineRule="auto"/>
              <w:rPr>
                <w:spacing w:val="7"/>
                <w:highlight w:val="none"/>
              </w:rPr>
            </w:pPr>
            <w:r>
              <w:rPr>
                <w:spacing w:val="6"/>
                <w:highlight w:val="none"/>
              </w:rPr>
              <w:t xml:space="preserve">冷藏柜</w:t>
            </w:r>
            <w:r>
              <w:rPr>
                <w:spacing w:val="7"/>
                <w:highlight w:val="none"/>
              </w:rPr>
            </w:r>
            <w:r/>
          </w:p>
        </w:tc>
        <w:tc>
          <w:tcPr>
            <w:tcW w:w="879" w:type="dxa"/>
            <w:vAlign w:val="top"/>
            <w:textDirection w:val="lrTb"/>
            <w:noWrap w:val="false"/>
          </w:tcPr>
          <w:p>
            <w:pPr>
              <w:pStyle w:val="984"/>
              <w:ind w:left="746"/>
              <w:pageBreakBefore w:val="0"/>
              <w:spacing w:before="105"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2</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68"/>
              <w:pageBreakBefore w:val="0"/>
              <w:spacing w:before="105"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4"/>
                <w:sz w:val="19"/>
                <w:szCs w:val="19"/>
                <w:highlight w:val="none"/>
              </w:rPr>
              <w:t xml:space="preserve">100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90"/>
              <w:pageBreakBefore w:val="0"/>
              <w:spacing w:before="105"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3"/>
                <w:sz w:val="19"/>
                <w:szCs w:val="19"/>
                <w:highlight w:val="none"/>
              </w:rPr>
              <w:t xml:space="preserve">200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04"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31</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127"/>
              <w:pageBreakBefore w:val="0"/>
              <w:spacing w:before="70" w:line="360" w:lineRule="auto"/>
              <w:rPr>
                <w:spacing w:val="7"/>
                <w:highlight w:val="none"/>
              </w:rPr>
            </w:pPr>
            <w:r>
              <w:rPr>
                <w:spacing w:val="5"/>
                <w:highlight w:val="none"/>
              </w:rPr>
              <w:t xml:space="preserve">烘箱</w:t>
            </w:r>
            <w:r>
              <w:rPr>
                <w:spacing w:val="7"/>
                <w:highlight w:val="none"/>
              </w:rPr>
            </w:r>
            <w:r/>
          </w:p>
        </w:tc>
        <w:tc>
          <w:tcPr>
            <w:tcW w:w="879" w:type="dxa"/>
            <w:vAlign w:val="top"/>
            <w:textDirection w:val="lrTb"/>
            <w:noWrap w:val="false"/>
          </w:tcPr>
          <w:p>
            <w:pPr>
              <w:pStyle w:val="984"/>
              <w:ind w:left="750"/>
              <w:pageBreakBefore w:val="0"/>
              <w:spacing w:before="10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3</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8"/>
              <w:pageBreakBefore w:val="0"/>
              <w:spacing w:before="104"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3"/>
                <w:sz w:val="19"/>
                <w:szCs w:val="19"/>
                <w:highlight w:val="none"/>
              </w:rPr>
              <w:t xml:space="preserve">2500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43"/>
              <w:pageBreakBefore w:val="0"/>
              <w:spacing w:before="104"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3"/>
                <w:sz w:val="19"/>
                <w:szCs w:val="19"/>
                <w:highlight w:val="none"/>
              </w:rPr>
              <w:t xml:space="preserve">7500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18"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32</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50"/>
              <w:pageBreakBefore w:val="0"/>
              <w:spacing w:before="84" w:line="360" w:lineRule="auto"/>
              <w:rPr>
                <w:spacing w:val="7"/>
                <w:highlight w:val="none"/>
              </w:rPr>
            </w:pPr>
            <w:r>
              <w:rPr>
                <w:spacing w:val="-1"/>
                <w:highlight w:val="none"/>
              </w:rPr>
              <w:t xml:space="preserve">电热板</w:t>
            </w:r>
            <w:r>
              <w:rPr>
                <w:spacing w:val="7"/>
                <w:highlight w:val="none"/>
              </w:rPr>
            </w:r>
            <w:r/>
          </w:p>
        </w:tc>
        <w:tc>
          <w:tcPr>
            <w:tcW w:w="879" w:type="dxa"/>
            <w:vAlign w:val="top"/>
            <w:textDirection w:val="lrTb"/>
            <w:noWrap w:val="false"/>
          </w:tcPr>
          <w:p>
            <w:pPr>
              <w:pStyle w:val="984"/>
              <w:ind w:left="746"/>
              <w:pageBreakBefore w:val="0"/>
              <w:spacing w:before="118"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2</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8"/>
              <w:pageBreakBefore w:val="0"/>
              <w:spacing w:before="118"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3"/>
                <w:sz w:val="19"/>
                <w:szCs w:val="19"/>
                <w:highlight w:val="none"/>
              </w:rPr>
              <w:t xml:space="preserve">2000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38"/>
              <w:pageBreakBefore w:val="0"/>
              <w:spacing w:before="118"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4"/>
                <w:sz w:val="19"/>
                <w:szCs w:val="19"/>
                <w:highlight w:val="none"/>
              </w:rPr>
              <w:t xml:space="preserve">4000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19"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33</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151"/>
              <w:pageBreakBefore w:val="0"/>
              <w:spacing w:before="84" w:line="360" w:lineRule="auto"/>
              <w:rPr>
                <w:spacing w:val="7"/>
                <w:highlight w:val="none"/>
              </w:rPr>
            </w:pPr>
            <w:r>
              <w:rPr>
                <w:spacing w:val="-7"/>
                <w:highlight w:val="none"/>
              </w:rPr>
              <w:t xml:space="preserve">电脑</w:t>
            </w:r>
            <w:r>
              <w:rPr>
                <w:spacing w:val="7"/>
                <w:highlight w:val="none"/>
              </w:rPr>
            </w:r>
            <w:r/>
          </w:p>
        </w:tc>
        <w:tc>
          <w:tcPr>
            <w:tcW w:w="879" w:type="dxa"/>
            <w:vAlign w:val="top"/>
            <w:textDirection w:val="lrTb"/>
            <w:noWrap w:val="false"/>
          </w:tcPr>
          <w:p>
            <w:pPr>
              <w:pStyle w:val="984"/>
              <w:ind w:left="699"/>
              <w:pageBreakBefore w:val="0"/>
              <w:spacing w:before="119"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19"/>
                <w:szCs w:val="19"/>
                <w:highlight w:val="none"/>
              </w:rPr>
              <w:t xml:space="preserve">38</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68"/>
              <w:pageBreakBefore w:val="0"/>
              <w:spacing w:before="119"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4"/>
                <w:sz w:val="19"/>
                <w:szCs w:val="19"/>
                <w:highlight w:val="none"/>
              </w:rPr>
              <w:t xml:space="preserve">100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43"/>
              <w:pageBreakBefore w:val="0"/>
              <w:spacing w:before="119"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2"/>
                <w:sz w:val="19"/>
                <w:szCs w:val="19"/>
                <w:highlight w:val="none"/>
              </w:rPr>
              <w:t xml:space="preserve">3800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20"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34</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0"/>
              <w:pageBreakBefore w:val="0"/>
              <w:spacing w:before="86" w:line="360" w:lineRule="auto"/>
              <w:rPr>
                <w:spacing w:val="7"/>
                <w:highlight w:val="none"/>
              </w:rPr>
            </w:pPr>
            <w:r>
              <w:rPr>
                <w:spacing w:val="6"/>
                <w:highlight w:val="none"/>
              </w:rPr>
              <w:t xml:space="preserve">打印机</w:t>
            </w:r>
            <w:r>
              <w:rPr>
                <w:spacing w:val="7"/>
                <w:highlight w:val="none"/>
              </w:rPr>
            </w:r>
            <w:r/>
          </w:p>
        </w:tc>
        <w:tc>
          <w:tcPr>
            <w:tcW w:w="879" w:type="dxa"/>
            <w:vAlign w:val="top"/>
            <w:textDirection w:val="lrTb"/>
            <w:noWrap w:val="false"/>
          </w:tcPr>
          <w:p>
            <w:pPr>
              <w:pStyle w:val="984"/>
              <w:ind w:left="715"/>
              <w:pageBreakBefore w:val="0"/>
              <w:spacing w:before="120"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17</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48"/>
              <w:pageBreakBefore w:val="0"/>
              <w:spacing w:before="120"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3"/>
                <w:sz w:val="19"/>
                <w:szCs w:val="19"/>
                <w:highlight w:val="none"/>
              </w:rPr>
              <w:t xml:space="preserve">200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43"/>
              <w:pageBreakBefore w:val="0"/>
              <w:spacing w:before="120"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2"/>
                <w:sz w:val="19"/>
                <w:szCs w:val="19"/>
                <w:highlight w:val="none"/>
              </w:rPr>
              <w:t xml:space="preserve">3400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23"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35</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1"/>
              <w:pageBreakBefore w:val="0"/>
              <w:spacing w:before="88" w:line="360" w:lineRule="auto"/>
              <w:rPr>
                <w:spacing w:val="7"/>
                <w:highlight w:val="none"/>
              </w:rPr>
            </w:pPr>
            <w:r>
              <w:rPr>
                <w:spacing w:val="5"/>
                <w:highlight w:val="none"/>
              </w:rPr>
              <w:t xml:space="preserve">显示屏</w:t>
            </w:r>
            <w:r>
              <w:rPr>
                <w:spacing w:val="7"/>
                <w:highlight w:val="none"/>
              </w:rPr>
            </w:r>
            <w:r/>
          </w:p>
        </w:tc>
        <w:tc>
          <w:tcPr>
            <w:tcW w:w="879" w:type="dxa"/>
            <w:vAlign w:val="top"/>
            <w:textDirection w:val="lrTb"/>
            <w:noWrap w:val="false"/>
          </w:tcPr>
          <w:p>
            <w:pPr>
              <w:pStyle w:val="984"/>
              <w:ind w:left="765"/>
              <w:pageBreakBefore w:val="0"/>
              <w:spacing w:before="123"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7"/>
              <w:pageBreakBefore w:val="0"/>
              <w:spacing w:before="12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4"/>
                <w:sz w:val="19"/>
                <w:szCs w:val="19"/>
                <w:highlight w:val="none"/>
              </w:rPr>
              <w:t xml:space="preserve">4000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38"/>
              <w:pageBreakBefore w:val="0"/>
              <w:spacing w:before="123"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4"/>
                <w:sz w:val="19"/>
                <w:szCs w:val="19"/>
                <w:highlight w:val="none"/>
              </w:rPr>
              <w:t xml:space="preserve">4000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23"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36</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1031"/>
              <w:pageBreakBefore w:val="0"/>
              <w:spacing w:before="88" w:line="360" w:lineRule="auto"/>
              <w:rPr>
                <w:spacing w:val="7"/>
                <w:highlight w:val="none"/>
              </w:rPr>
            </w:pPr>
            <w:r>
              <w:rPr>
                <w:spacing w:val="5"/>
                <w:highlight w:val="none"/>
              </w:rPr>
              <w:t xml:space="preserve">显示屏</w:t>
            </w:r>
            <w:r>
              <w:rPr>
                <w:spacing w:val="7"/>
                <w:highlight w:val="none"/>
              </w:rPr>
            </w:r>
            <w:r/>
          </w:p>
        </w:tc>
        <w:tc>
          <w:tcPr>
            <w:tcW w:w="879" w:type="dxa"/>
            <w:vAlign w:val="top"/>
            <w:textDirection w:val="lrTb"/>
            <w:noWrap w:val="false"/>
          </w:tcPr>
          <w:p>
            <w:pPr>
              <w:pStyle w:val="984"/>
              <w:ind w:left="765"/>
              <w:pageBreakBefore w:val="0"/>
              <w:spacing w:before="123"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1</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17"/>
              <w:pageBreakBefore w:val="0"/>
              <w:spacing w:before="12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1"/>
                <w:sz w:val="19"/>
                <w:szCs w:val="19"/>
                <w:highlight w:val="none"/>
              </w:rPr>
              <w:t xml:space="preserve">1000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59"/>
              <w:pageBreakBefore w:val="0"/>
              <w:spacing w:before="123"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1"/>
                <w:sz w:val="19"/>
                <w:szCs w:val="19"/>
                <w:highlight w:val="none"/>
              </w:rPr>
              <w:t xml:space="preserve">1000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24" w:line="360" w:lineRule="auto"/>
              <w:rPr>
                <w:rFonts w:ascii="Times New Roman" w:hAnsi="Times New Roman" w:eastAsia="Times New Roman" w:cs="Times New Roman"/>
                <w:sz w:val="19"/>
                <w:szCs w:val="19"/>
                <w:highlight w:val="none"/>
                <w:lang w:val="en-US" w:eastAsia="zh-CN" w:bidi="ar-SA"/>
              </w:rPr>
            </w:pPr>
            <w:r>
              <w:rPr>
                <w:rFonts w:ascii="Times New Roman" w:hAnsi="Times New Roman" w:eastAsia="Times New Roman" w:cs="Times New Roman"/>
                <w:spacing w:val="1"/>
                <w:sz w:val="19"/>
                <w:szCs w:val="19"/>
                <w:highlight w:val="none"/>
              </w:rPr>
              <w:t xml:space="preserve">37</w:t>
            </w:r>
            <w:r>
              <w:rPr>
                <w:rFonts w:ascii="Times New Roman" w:hAnsi="Times New Roman" w:eastAsia="Times New Roman" w:cs="Times New Roman"/>
                <w:sz w:val="19"/>
                <w:szCs w:val="19"/>
                <w:highlight w:val="none"/>
                <w:lang w:val="en-US" w:eastAsia="zh-CN" w:bidi="ar-SA"/>
              </w:rPr>
            </w:r>
            <w:r/>
          </w:p>
        </w:tc>
        <w:tc>
          <w:tcPr>
            <w:tcW w:w="651" w:type="dxa"/>
            <w:vAlign w:val="top"/>
            <w:vMerge w:val="continue"/>
            <w:textDirection w:val="lrTb"/>
            <w:noWrap w:val="false"/>
          </w:tcPr>
          <w:p>
            <w:pPr>
              <w:pStyle w:val="984"/>
              <w:pageBreakBefore w:val="0"/>
              <w:spacing w:line="360" w:lineRule="auto"/>
              <w:rPr>
                <w:rFonts w:ascii="Arial" w:eastAsia="宋体" w:cs="Times New Roman"/>
                <w:sz w:val="21"/>
                <w:highlight w:val="none"/>
              </w:rPr>
            </w:pPr>
            <w:r>
              <w:rPr>
                <w:rFonts w:ascii="Arial" w:eastAsia="宋体" w:cs="Times New Roman"/>
                <w:sz w:val="21"/>
                <w:highlight w:val="none"/>
              </w:rPr>
            </w:r>
            <w:r/>
          </w:p>
        </w:tc>
        <w:tc>
          <w:tcPr>
            <w:tcW w:w="1470" w:type="dxa"/>
            <w:vAlign w:val="top"/>
            <w:textDirection w:val="lrTb"/>
            <w:noWrap w:val="false"/>
          </w:tcPr>
          <w:p>
            <w:pPr>
              <w:pStyle w:val="1069"/>
              <w:ind w:left="949"/>
              <w:pageBreakBefore w:val="0"/>
              <w:spacing w:before="89" w:line="360" w:lineRule="auto"/>
              <w:rPr>
                <w:spacing w:val="7"/>
                <w:highlight w:val="none"/>
              </w:rPr>
            </w:pPr>
            <w:r>
              <w:rPr>
                <w:spacing w:val="1"/>
                <w:highlight w:val="none"/>
              </w:rPr>
              <w:t xml:space="preserve">电开水器</w:t>
            </w:r>
            <w:r>
              <w:rPr>
                <w:spacing w:val="7"/>
                <w:highlight w:val="none"/>
              </w:rPr>
            </w:r>
            <w:r/>
          </w:p>
        </w:tc>
        <w:tc>
          <w:tcPr>
            <w:tcW w:w="879" w:type="dxa"/>
            <w:vAlign w:val="top"/>
            <w:textDirection w:val="lrTb"/>
            <w:noWrap w:val="false"/>
          </w:tcPr>
          <w:p>
            <w:pPr>
              <w:pStyle w:val="984"/>
              <w:ind w:left="746"/>
              <w:pageBreakBefore w:val="0"/>
              <w:spacing w:before="124"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z w:val="19"/>
                <w:szCs w:val="19"/>
                <w:highlight w:val="none"/>
              </w:rPr>
              <w:t xml:space="preserve">2</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498"/>
              <w:pageBreakBefore w:val="0"/>
              <w:spacing w:before="124"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3"/>
                <w:sz w:val="19"/>
                <w:szCs w:val="19"/>
                <w:highlight w:val="none"/>
              </w:rPr>
              <w:t xml:space="preserve">2000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538"/>
              <w:pageBreakBefore w:val="0"/>
              <w:spacing w:before="124"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4"/>
                <w:sz w:val="19"/>
                <w:szCs w:val="19"/>
                <w:highlight w:val="none"/>
              </w:rPr>
              <w:t xml:space="preserve">4000</w:t>
            </w:r>
            <w:r>
              <w:rPr>
                <w:rFonts w:ascii="Times New Roman" w:hAnsi="Times New Roman" w:eastAsia="Times New Roman" w:cs="Times New Roman"/>
                <w:spacing w:val="-1"/>
                <w:sz w:val="19"/>
                <w:szCs w:val="19"/>
                <w:highlight w:val="none"/>
              </w:rPr>
            </w:r>
            <w:r/>
          </w:p>
        </w:tc>
      </w:tr>
      <w:tr>
        <w:trPr>
          <w:trHeight w:val="343"/>
        </w:trPr>
        <w:tc>
          <w:tcPr>
            <w:tcW w:w="410" w:type="dxa"/>
            <w:vAlign w:val="top"/>
            <w:textDirection w:val="lrTb"/>
            <w:noWrap w:val="false"/>
          </w:tcPr>
          <w:p>
            <w:pPr>
              <w:pStyle w:val="984"/>
              <w:ind w:left="278"/>
              <w:pageBreakBefore w:val="0"/>
              <w:spacing w:before="123" w:line="360" w:lineRule="auto"/>
              <w:rPr>
                <w:rFonts w:ascii="Times New Roman" w:hAnsi="Times New Roman" w:eastAsia="Times New Roman" w:cs="Times New Roman"/>
                <w:spacing w:val="-7"/>
                <w:sz w:val="19"/>
                <w:szCs w:val="19"/>
                <w:highlight w:val="none"/>
              </w:rPr>
            </w:pPr>
            <w:r>
              <w:rPr>
                <w:rFonts w:ascii="Times New Roman" w:hAnsi="Times New Roman" w:eastAsia="Times New Roman" w:cs="Times New Roman"/>
                <w:spacing w:val="1"/>
                <w:sz w:val="19"/>
                <w:szCs w:val="19"/>
                <w:highlight w:val="none"/>
              </w:rPr>
              <w:t xml:space="preserve">38</w:t>
            </w:r>
            <w:r>
              <w:rPr>
                <w:rFonts w:ascii="Times New Roman" w:hAnsi="Times New Roman" w:eastAsia="Times New Roman" w:cs="Times New Roman"/>
                <w:spacing w:val="-7"/>
                <w:sz w:val="19"/>
                <w:szCs w:val="19"/>
                <w:highlight w:val="none"/>
              </w:rPr>
            </w:r>
            <w:r/>
          </w:p>
        </w:tc>
        <w:tc>
          <w:tcPr>
            <w:tcW w:w="651" w:type="dxa"/>
            <w:vAlign w:val="top"/>
            <w:textDirection w:val="lrTb"/>
            <w:noWrap w:val="false"/>
          </w:tcPr>
          <w:p>
            <w:pPr>
              <w:pStyle w:val="1069"/>
              <w:ind w:left="393"/>
              <w:pageBreakBefore w:val="0"/>
              <w:spacing w:before="89" w:line="360" w:lineRule="auto"/>
              <w:rPr>
                <w:rFonts w:ascii="Arial" w:eastAsia="宋体" w:cs="Times New Roman"/>
                <w:sz w:val="21"/>
                <w:highlight w:val="none"/>
              </w:rPr>
            </w:pPr>
            <w:r>
              <w:rPr>
                <w:spacing w:val="4"/>
                <w:highlight w:val="none"/>
              </w:rPr>
              <w:t xml:space="preserve">户外</w:t>
            </w:r>
            <w:r>
              <w:rPr>
                <w:rFonts w:ascii="Arial" w:eastAsia="宋体" w:cs="Times New Roman"/>
                <w:sz w:val="21"/>
                <w:highlight w:val="none"/>
              </w:rPr>
            </w:r>
            <w:r/>
          </w:p>
        </w:tc>
        <w:tc>
          <w:tcPr>
            <w:tcW w:w="1470" w:type="dxa"/>
            <w:vAlign w:val="top"/>
            <w:textDirection w:val="lrTb"/>
            <w:noWrap w:val="false"/>
          </w:tcPr>
          <w:p>
            <w:pPr>
              <w:pStyle w:val="1069"/>
              <w:ind w:left="1029"/>
              <w:pageBreakBefore w:val="0"/>
              <w:spacing w:before="89" w:line="360" w:lineRule="auto"/>
              <w:rPr>
                <w:spacing w:val="7"/>
                <w:highlight w:val="none"/>
              </w:rPr>
            </w:pPr>
            <w:r>
              <w:rPr>
                <w:spacing w:val="6"/>
                <w:highlight w:val="none"/>
              </w:rPr>
              <w:t xml:space="preserve">充电桩</w:t>
            </w:r>
            <w:r>
              <w:rPr>
                <w:spacing w:val="7"/>
                <w:highlight w:val="none"/>
              </w:rPr>
            </w:r>
            <w:r/>
          </w:p>
        </w:tc>
        <w:tc>
          <w:tcPr>
            <w:tcW w:w="879" w:type="dxa"/>
            <w:vAlign w:val="top"/>
            <w:textDirection w:val="lrTb"/>
            <w:noWrap w:val="false"/>
          </w:tcPr>
          <w:p>
            <w:pPr>
              <w:pStyle w:val="984"/>
              <w:ind w:left="715"/>
              <w:pageBreakBefore w:val="0"/>
              <w:spacing w:before="123" w:line="360" w:lineRule="auto"/>
              <w:rPr>
                <w:rFonts w:ascii="Times New Roman" w:hAnsi="Times New Roman" w:eastAsia="Times New Roman" w:cs="Times New Roman"/>
                <w:sz w:val="19"/>
                <w:szCs w:val="19"/>
                <w:highlight w:val="none"/>
              </w:rPr>
            </w:pPr>
            <w:r>
              <w:rPr>
                <w:rFonts w:ascii="Times New Roman" w:hAnsi="Times New Roman" w:eastAsia="Times New Roman" w:cs="Times New Roman"/>
                <w:spacing w:val="-7"/>
                <w:sz w:val="19"/>
                <w:szCs w:val="19"/>
                <w:highlight w:val="none"/>
              </w:rPr>
              <w:t xml:space="preserve">10</w:t>
            </w:r>
            <w:r>
              <w:rPr>
                <w:rFonts w:ascii="Times New Roman" w:hAnsi="Times New Roman" w:eastAsia="Times New Roman" w:cs="Times New Roman"/>
                <w:sz w:val="19"/>
                <w:szCs w:val="19"/>
                <w:highlight w:val="none"/>
              </w:rPr>
            </w:r>
            <w:r/>
          </w:p>
        </w:tc>
        <w:tc>
          <w:tcPr>
            <w:tcW w:w="769" w:type="dxa"/>
            <w:vAlign w:val="top"/>
            <w:textDirection w:val="lrTb"/>
            <w:noWrap w:val="false"/>
          </w:tcPr>
          <w:p>
            <w:pPr>
              <w:pStyle w:val="984"/>
              <w:ind w:left="501"/>
              <w:pageBreakBefore w:val="0"/>
              <w:spacing w:before="123" w:line="360" w:lineRule="auto"/>
              <w:rPr>
                <w:rFonts w:ascii="Times New Roman" w:hAnsi="Times New Roman" w:eastAsia="Times New Roman" w:cs="Times New Roman"/>
                <w:spacing w:val="2"/>
                <w:sz w:val="19"/>
                <w:szCs w:val="19"/>
                <w:highlight w:val="none"/>
              </w:rPr>
            </w:pPr>
            <w:r>
              <w:rPr>
                <w:rFonts w:ascii="Times New Roman" w:hAnsi="Times New Roman" w:eastAsia="Times New Roman" w:cs="Times New Roman"/>
                <w:spacing w:val="3"/>
                <w:sz w:val="19"/>
                <w:szCs w:val="19"/>
                <w:highlight w:val="none"/>
              </w:rPr>
              <w:t xml:space="preserve">7000</w:t>
            </w:r>
            <w:r>
              <w:rPr>
                <w:rFonts w:ascii="Times New Roman" w:hAnsi="Times New Roman" w:eastAsia="Times New Roman" w:cs="Times New Roman"/>
                <w:spacing w:val="2"/>
                <w:sz w:val="19"/>
                <w:szCs w:val="19"/>
                <w:highlight w:val="none"/>
              </w:rPr>
            </w:r>
            <w:r/>
          </w:p>
        </w:tc>
        <w:tc>
          <w:tcPr>
            <w:tcW w:w="819" w:type="dxa"/>
            <w:vAlign w:val="top"/>
            <w:textDirection w:val="lrTb"/>
            <w:noWrap w:val="false"/>
          </w:tcPr>
          <w:p>
            <w:pPr>
              <w:pStyle w:val="984"/>
              <w:ind w:left="495"/>
              <w:pageBreakBefore w:val="0"/>
              <w:spacing w:before="123" w:line="360" w:lineRule="auto"/>
              <w:rPr>
                <w:rFonts w:ascii="Times New Roman" w:hAnsi="Times New Roman" w:eastAsia="Times New Roman" w:cs="Times New Roman"/>
                <w:spacing w:val="-1"/>
                <w:sz w:val="19"/>
                <w:szCs w:val="19"/>
                <w:highlight w:val="none"/>
              </w:rPr>
            </w:pPr>
            <w:r>
              <w:rPr>
                <w:rFonts w:ascii="Times New Roman" w:hAnsi="Times New Roman" w:eastAsia="Times New Roman" w:cs="Times New Roman"/>
                <w:spacing w:val="3"/>
                <w:sz w:val="19"/>
                <w:szCs w:val="19"/>
                <w:highlight w:val="none"/>
              </w:rPr>
              <w:t xml:space="preserve">70000</w:t>
            </w:r>
            <w:r>
              <w:rPr>
                <w:rFonts w:ascii="Times New Roman" w:hAnsi="Times New Roman" w:eastAsia="Times New Roman" w:cs="Times New Roman"/>
                <w:spacing w:val="-1"/>
                <w:sz w:val="19"/>
                <w:szCs w:val="19"/>
                <w:highlight w:val="none"/>
              </w:rPr>
            </w:r>
            <w:r/>
          </w:p>
        </w:tc>
      </w:tr>
    </w:tbl>
    <w:p>
      <w:pPr>
        <w:pStyle w:val="984"/>
        <w:pageBreakBefore w:val="0"/>
        <w:spacing w:line="360" w:lineRule="auto"/>
        <w:rPr>
          <w:rFonts w:ascii="Arial" w:hAnsi="Arial" w:eastAsia="Arial" w:cs="Arial"/>
          <w:sz w:val="2"/>
          <w:szCs w:val="2"/>
          <w:highlight w:val="none"/>
        </w:rPr>
      </w:pPr>
      <w:r>
        <w:rPr>
          <w:rFonts w:ascii="Arial" w:hAnsi="Arial" w:eastAsia="Arial" w:cs="Arial"/>
          <w:sz w:val="2"/>
          <w:szCs w:val="2"/>
          <w:highlight w:val="none"/>
        </w:rPr>
      </w:r>
      <w:r/>
    </w:p>
    <w:p>
      <w:pPr>
        <w:pStyle w:val="984"/>
        <w:rPr>
          <w:rFonts w:ascii="Calibri" w:hAnsi="Calibri"/>
          <w:sz w:val="21"/>
          <w:szCs w:val="22"/>
          <w:highlight w:val="none"/>
          <w:lang w:val="en-US" w:eastAsia="zh-CN" w:bidi="ar-SA"/>
        </w:rPr>
      </w:pPr>
      <w:r>
        <w:rPr>
          <w:rFonts w:ascii="Calibri" w:hAnsi="Calibri"/>
          <w:sz w:val="21"/>
          <w:szCs w:val="22"/>
          <w:highlight w:val="none"/>
          <w:lang w:val="en-US" w:eastAsia="zh-CN" w:bidi="ar-SA"/>
        </w:rPr>
      </w:r>
      <w:r/>
    </w:p>
    <w:p>
      <w:pPr>
        <w:pStyle w:val="984"/>
        <w:rPr>
          <w:highlight w:val="none"/>
          <w:lang w:val="en-US" w:eastAsia="zh-CN"/>
        </w:rPr>
      </w:pPr>
      <w:r>
        <w:rPr>
          <w:highlight w:val="none"/>
          <w:lang w:val="en-US" w:eastAsia="zh-CN"/>
        </w:rPr>
      </w:r>
      <w:r/>
    </w:p>
    <w:p>
      <w:pPr>
        <w:pStyle w:val="984"/>
        <w:ind w:firstLine="422"/>
        <w:jc w:val="left"/>
        <w:keepLines w:val="0"/>
        <w:keepNext w:val="0"/>
        <w:pageBreakBefore w:val="0"/>
        <w:spacing w:line="432"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（二）服务内容及要求</w:t>
      </w:r>
      <w:r>
        <w:rPr>
          <w:rFonts w:ascii="宋体" w:hAnsi="宋体" w:eastAsia="宋体" w:cs="宋体"/>
          <w:b/>
          <w:szCs w:val="21"/>
          <w:highlight w:val="none"/>
        </w:rPr>
      </w:r>
      <w:r/>
    </w:p>
    <w:p>
      <w:pPr>
        <w:pStyle w:val="984"/>
        <w:ind w:firstLine="422"/>
        <w:jc w:val="left"/>
        <w:keepLines w:val="0"/>
        <w:keepNext w:val="0"/>
        <w:pageBreakBefore w:val="0"/>
        <w:spacing w:line="432"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1、基本服务内容及要求</w:t>
      </w:r>
      <w:r>
        <w:rPr>
          <w:rFonts w:ascii="宋体" w:hAnsi="宋体" w:eastAsia="宋体" w:cs="宋体"/>
          <w:b/>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（1）能源费用托管</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本项目的能源费用托管类型为电能源费用托管。</w:t>
      </w:r>
      <w:r>
        <w:rPr>
          <w:rFonts w:ascii="宋体" w:hAnsi="宋体" w:eastAsia="宋体" w:cs="宋体"/>
          <w:szCs w:val="21"/>
          <w:highlight w:val="none"/>
        </w:rPr>
      </w:r>
      <w:r/>
    </w:p>
    <w:p>
      <w:pPr>
        <w:pStyle w:val="984"/>
        <w:ind w:firstLine="420"/>
        <w:keepLines w:val="0"/>
        <w:keepNext w:val="0"/>
        <w:pageBreakBefore w:val="0"/>
        <w:spacing w:line="432"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托管基数：以每年不超过</w:t>
      </w:r>
      <w:r>
        <w:rPr>
          <w:rFonts w:hint="eastAsia" w:ascii="宋体" w:hAnsi="宋体" w:eastAsia="宋体" w:cs="宋体"/>
          <w:szCs w:val="21"/>
          <w:highlight w:val="none"/>
          <w:lang w:val="en-US" w:eastAsia="zh-CN"/>
        </w:rPr>
        <w:t xml:space="preserve">55.38</w:t>
      </w:r>
      <w:r>
        <w:rPr>
          <w:rFonts w:hint="eastAsia" w:ascii="宋体" w:hAnsi="宋体" w:eastAsia="宋体" w:cs="宋体"/>
          <w:szCs w:val="21"/>
          <w:highlight w:val="none"/>
        </w:rPr>
        <w:t xml:space="preserve">万元作为托管基准。（其中电：779949kWh*0.</w:t>
      </w:r>
      <w:r>
        <w:rPr>
          <w:rFonts w:hint="eastAsia" w:ascii="宋体" w:hAnsi="宋体" w:eastAsia="宋体" w:cs="宋体"/>
          <w:szCs w:val="21"/>
          <w:highlight w:val="none"/>
          <w:lang w:val="en-US" w:eastAsia="zh-CN"/>
        </w:rPr>
        <w:t xml:space="preserve">71</w:t>
      </w:r>
      <w:r>
        <w:rPr>
          <w:rFonts w:hint="eastAsia" w:ascii="宋体" w:hAnsi="宋体" w:eastAsia="宋体" w:cs="宋体"/>
          <w:szCs w:val="21"/>
          <w:highlight w:val="none"/>
        </w:rPr>
        <w:t xml:space="preserve">元/kWh=553763.79元</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合同履行期限：</w:t>
      </w:r>
      <w:r>
        <w:rPr>
          <w:rFonts w:hint="eastAsia" w:ascii="宋体" w:hAnsi="宋体" w:eastAsia="宋体" w:cs="宋体"/>
          <w:color w:val="000000"/>
          <w:sz w:val="21"/>
          <w:szCs w:val="21"/>
          <w:highlight w:val="none"/>
        </w:rPr>
        <w:t xml:space="preserve">能源托管周期为8年（不含项目建设期，项目</w:t>
      </w:r>
      <w:r>
        <w:rPr>
          <w:rFonts w:hint="eastAsia" w:ascii="宋体" w:hAnsi="宋体" w:eastAsia="宋体" w:cs="宋体"/>
          <w:color w:val="000000"/>
          <w:sz w:val="21"/>
          <w:szCs w:val="21"/>
          <w:highlight w:val="none"/>
          <w:lang w:val="en-US" w:eastAsia="zh-CN"/>
        </w:rPr>
        <w:t xml:space="preserve">改造</w:t>
      </w:r>
      <w:r>
        <w:rPr>
          <w:rFonts w:hint="eastAsia" w:ascii="宋体" w:hAnsi="宋体" w:eastAsia="宋体" w:cs="宋体"/>
          <w:color w:val="000000"/>
          <w:sz w:val="21"/>
          <w:szCs w:val="21"/>
          <w:highlight w:val="none"/>
        </w:rPr>
        <w:t xml:space="preserve">建设</w:t>
      </w:r>
      <w:r>
        <w:rPr>
          <w:rFonts w:hint="eastAsia" w:ascii="宋体" w:hAnsi="宋体" w:eastAsia="宋体" w:cs="宋体"/>
          <w:color w:val="000000"/>
          <w:sz w:val="21"/>
          <w:szCs w:val="21"/>
          <w:highlight w:val="none"/>
          <w:lang w:val="en-US" w:eastAsia="zh-CN"/>
        </w:rPr>
        <w:t xml:space="preserve">周</w:t>
      </w:r>
      <w:r>
        <w:rPr>
          <w:rFonts w:hint="eastAsia" w:ascii="宋体" w:hAnsi="宋体" w:eastAsia="宋体" w:cs="宋体"/>
          <w:color w:val="000000"/>
          <w:sz w:val="21"/>
          <w:szCs w:val="21"/>
          <w:highlight w:val="none"/>
        </w:rPr>
        <w:t xml:space="preserve">期：自招标人下达开工令之日起90个日历天内完成，并交付使用，改造时不得影响</w:t>
      </w:r>
      <w:r>
        <w:rPr>
          <w:rFonts w:hint="eastAsia" w:ascii="宋体" w:hAnsi="宋体" w:eastAsia="宋体" w:cs="宋体"/>
          <w:color w:val="000000"/>
          <w:sz w:val="21"/>
          <w:szCs w:val="21"/>
          <w:highlight w:val="none"/>
          <w:lang w:eastAsia="zh-CN"/>
        </w:rPr>
        <w:t xml:space="preserve">仪征市环境卫生管理处（仪征市城市管理局）</w:t>
      </w:r>
      <w:r>
        <w:rPr>
          <w:rFonts w:hint="eastAsia" w:ascii="宋体" w:hAnsi="宋体" w:eastAsia="宋体" w:cs="宋体"/>
          <w:color w:val="000000"/>
          <w:sz w:val="21"/>
          <w:szCs w:val="21"/>
          <w:highlight w:val="none"/>
        </w:rPr>
        <w:t xml:space="preserve">日常用能设备的使用和正常秩序，托管周期以项目验收之日起的次月1号起开始计算）</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若托管期内能源资源单价与电费基准单价（0</w:t>
      </w:r>
      <w:r>
        <w:rPr>
          <w:rFonts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71</w:t>
      </w:r>
      <w:r>
        <w:rPr>
          <w:rFonts w:ascii="宋体" w:hAnsi="宋体" w:eastAsia="宋体" w:cs="宋体"/>
          <w:szCs w:val="21"/>
          <w:highlight w:val="none"/>
        </w:rPr>
        <w:t xml:space="preserve">元</w:t>
      </w:r>
      <w:r>
        <w:rPr>
          <w:rFonts w:hint="eastAsia" w:ascii="宋体" w:hAnsi="宋体" w:eastAsia="宋体" w:cs="宋体"/>
          <w:szCs w:val="21"/>
          <w:highlight w:val="none"/>
        </w:rPr>
        <w:t xml:space="preserve">/</w:t>
      </w:r>
      <w:r>
        <w:rPr>
          <w:rFonts w:ascii="宋体" w:hAnsi="宋体" w:eastAsia="宋体" w:cs="宋体"/>
          <w:szCs w:val="21"/>
          <w:highlight w:val="none"/>
        </w:rPr>
        <w:t xml:space="preserve">kWh</w:t>
      </w:r>
      <w:r>
        <w:rPr>
          <w:rFonts w:hint="eastAsia" w:ascii="宋体" w:hAnsi="宋体" w:eastAsia="宋体" w:cs="宋体"/>
          <w:szCs w:val="21"/>
          <w:highlight w:val="none"/>
        </w:rPr>
        <w:t xml:space="preserve">），发生变化，双方应按能源资源费用价格调整比例同步调整能源托管费用。调整的时间为价格调整后的同步时间。</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付款方式：项目建设期结束验收后次月开始按月付款，支付标准为每年支付12次，支付时间为次月15号以前，每月支付金额以投标月度分项报价表中的能源投标基数乘以能源供应商实际能源单价结算。采购人收到中标人合格发票后</w:t>
      </w:r>
      <w:r>
        <w:rPr>
          <w:rFonts w:hint="eastAsia" w:ascii="宋体" w:hAnsi="宋体" w:eastAsia="宋体" w:cs="宋体"/>
          <w:szCs w:val="21"/>
          <w:highlight w:val="none"/>
          <w:lang w:val="en-US" w:eastAsia="zh-CN"/>
        </w:rPr>
        <w:t xml:space="preserve">10个工作日</w:t>
      </w:r>
      <w:r>
        <w:rPr>
          <w:rFonts w:hint="eastAsia" w:ascii="宋体" w:hAnsi="宋体" w:eastAsia="宋体" w:cs="宋体"/>
          <w:szCs w:val="21"/>
          <w:highlight w:val="none"/>
        </w:rPr>
        <w:t xml:space="preserve">内支付发票同等金额。中标人开具相应金额的能源费用发票给采购人,每期托管费用与能源费用的差值由中标人开具服务费发票给甲方。</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b/>
          <w:bCs/>
          <w:szCs w:val="21"/>
          <w:highlight w:val="none"/>
        </w:rPr>
        <w:t xml:space="preserve">相关说明：</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1、供应商在合同期限内仅拥有供应商所投资的所有设备的产权，原采购人能源设备所有权均归采购人所有。</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2、供应商为持续提高项目整体能效水平，提升能源使用效率，供应商应在获得采购人的同意下，不断进行节能改造设备投入。</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3、在合同期限内，供应商投资改造设备的定期维护、保养工作以及因维护保养及故障维修费用所产生的费用由供应商承担，并负责对采购人的管理班组进行日常操作、保养培训。采购人负责改造设备的日常操作、保养以及并承担因采购人原因产生的故障维修费用；采购人原设施的日常操作、维护、保养工作以及因维护保养及故障维修费用所产生的费用仍由采购人负责。</w:t>
      </w:r>
      <w:r>
        <w:rPr>
          <w:rFonts w:ascii="宋体" w:hAnsi="宋体" w:eastAsia="宋体" w:cs="宋体"/>
          <w:szCs w:val="21"/>
          <w:highlight w:val="none"/>
        </w:rPr>
      </w:r>
      <w:r/>
    </w:p>
    <w:p>
      <w:pPr>
        <w:pStyle w:val="984"/>
        <w:ind w:firstLine="420"/>
        <w:jc w:val="left"/>
        <w:keepLines w:val="0"/>
        <w:keepNext w:val="0"/>
        <w:pageBreakBefore w:val="0"/>
        <w:spacing w:line="432" w:lineRule="auto"/>
        <w:widowControl/>
        <w:rPr>
          <w:rFonts w:eastAsia="宋体" w:cs="Times New Roman"/>
          <w:highlight w:val="none"/>
        </w:rPr>
      </w:pPr>
      <w:r>
        <w:rPr>
          <w:rFonts w:hint="eastAsia" w:ascii="宋体" w:hAnsi="宋体" w:eastAsia="宋体" w:cs="宋体"/>
          <w:szCs w:val="21"/>
          <w:highlight w:val="none"/>
        </w:rPr>
        <w:t xml:space="preserve">4、合同期满后，中标人所投项目财产的所有权将无偿移交给采购人，中标人应保证项目财产正常运行，项目财产的所有权移交时，应同时移交本项目继续运行所必需的资料。如该项目财产的继续使用需要中标人的相关技术和相关知识产权的授权，中标人应当无偿向采购人提供仅适用于本项目的该等授权。如该项目财产的继续使用涉及第三方的服务，该服务的费用由中标人承担，中标人应在改造前对采购人进行报备。</w:t>
      </w:r>
      <w:r>
        <w:rPr>
          <w:rFonts w:eastAsia="宋体" w:cs="Times New Roman"/>
          <w:highlight w:val="none"/>
        </w:rPr>
      </w:r>
      <w:r/>
    </w:p>
    <w:p>
      <w:pPr>
        <w:pStyle w:val="984"/>
        <w:ind w:firstLine="420"/>
        <w:jc w:val="left"/>
        <w:keepLines w:val="0"/>
        <w:keepNext w:val="0"/>
        <w:pageBreakBefore w:val="0"/>
        <w:spacing w:line="432"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2、节能改造内容及要求</w:t>
      </w:r>
      <w:r>
        <w:rPr>
          <w:rFonts w:ascii="宋体" w:hAnsi="宋体" w:eastAsia="宋体" w:cs="宋体"/>
          <w:b/>
          <w:szCs w:val="21"/>
          <w:highlight w:val="none"/>
        </w:rPr>
      </w:r>
      <w:r/>
    </w:p>
    <w:p>
      <w:pPr>
        <w:pStyle w:val="984"/>
        <w:ind w:firstLine="420"/>
        <w:jc w:val="left"/>
        <w:keepLines w:val="0"/>
        <w:keepNext w:val="0"/>
        <w:pageBreakBefore w:val="0"/>
        <w:spacing w:line="432"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（1）改造内容</w:t>
      </w:r>
      <w:r>
        <w:rPr>
          <w:rFonts w:ascii="宋体" w:hAnsi="宋体" w:eastAsia="宋体" w:cs="宋体"/>
          <w:b/>
          <w:szCs w:val="21"/>
          <w:highlight w:val="none"/>
        </w:rPr>
      </w:r>
      <w:r/>
    </w:p>
    <w:p>
      <w:pPr>
        <w:pStyle w:val="984"/>
        <w:ind w:firstLine="420"/>
        <w:jc w:val="left"/>
        <w:keepLines w:val="0"/>
        <w:keepNext w:val="0"/>
        <w:pageBreakBefore w:val="0"/>
        <w:spacing w:line="432" w:lineRule="auto"/>
        <w:widowControl/>
        <w:rPr>
          <w:rFonts w:ascii="宋体" w:hAnsi="宋体" w:eastAsia="宋体" w:cs="宋体"/>
          <w:szCs w:val="21"/>
          <w:highlight w:val="none"/>
        </w:rPr>
      </w:pPr>
      <w:r>
        <w:rPr>
          <w:rFonts w:hint="eastAsia" w:ascii="宋体" w:hAnsi="宋体" w:eastAsia="宋体" w:cs="宋体"/>
          <w:szCs w:val="21"/>
          <w:highlight w:val="none"/>
        </w:rPr>
        <w:t xml:space="preserve">针对</w:t>
      </w:r>
      <w:r>
        <w:rPr>
          <w:rFonts w:hint="eastAsia" w:ascii="宋体" w:hAnsi="宋体" w:eastAsia="宋体" w:cs="宋体"/>
          <w:szCs w:val="21"/>
          <w:highlight w:val="none"/>
          <w:lang w:eastAsia="zh-CN"/>
        </w:rPr>
        <w:t xml:space="preserve">仪征市城市管理局</w:t>
      </w:r>
      <w:r>
        <w:rPr>
          <w:rFonts w:hint="eastAsia" w:ascii="宋体" w:hAnsi="宋体" w:eastAsia="宋体" w:cs="宋体"/>
          <w:szCs w:val="21"/>
          <w:highlight w:val="none"/>
        </w:rPr>
        <w:t xml:space="preserve">现场调研和分析结果，建议在能源托管的过程中，通过节能改造进一步提升建筑能效水平，提高系统智能化程度和运行管理水平。具体建设内容包括：</w:t>
      </w:r>
      <w:r>
        <w:rPr>
          <w:rFonts w:hint="eastAsia" w:ascii="宋体" w:hAnsi="宋体" w:eastAsia="宋体" w:cs="宋体"/>
          <w:color w:val="000000"/>
          <w:highlight w:val="none"/>
          <w:lang w:bidi="ar"/>
        </w:rPr>
        <w:t xml:space="preserve">空调节能控制系统</w:t>
      </w:r>
      <w:r>
        <w:rPr>
          <w:rFonts w:hint="eastAsia" w:ascii="宋体" w:hAnsi="宋体" w:eastAsia="宋体" w:cs="宋体"/>
          <w:szCs w:val="21"/>
          <w:highlight w:val="none"/>
        </w:rPr>
        <w:t xml:space="preserve">、</w:t>
      </w:r>
      <w:r>
        <w:rPr>
          <w:rFonts w:hint="eastAsia" w:ascii="宋体" w:hAnsi="宋体" w:eastAsia="宋体" w:cs="宋体"/>
          <w:color w:val="000000"/>
          <w:highlight w:val="none"/>
          <w:lang w:bidi="ar"/>
        </w:rPr>
        <w:t xml:space="preserve">空调节能控制系统、建筑隔热系统、智慧照明系统改造</w:t>
      </w:r>
      <w:r>
        <w:rPr>
          <w:rFonts w:hint="eastAsia" w:ascii="宋体" w:hAnsi="宋体" w:eastAsia="宋体" w:cs="宋体"/>
          <w:szCs w:val="21"/>
          <w:highlight w:val="none"/>
        </w:rPr>
        <w:t xml:space="preserve">。</w:t>
      </w:r>
      <w:r>
        <w:rPr>
          <w:rFonts w:ascii="宋体" w:hAnsi="宋体" w:eastAsia="宋体" w:cs="宋体"/>
          <w:szCs w:val="21"/>
          <w:highlight w:val="none"/>
        </w:rPr>
      </w:r>
      <w:r/>
    </w:p>
    <w:tbl>
      <w:tblPr>
        <w:tblpPr w:horzAnchor="page" w:tblpX="1939" w:vertAnchor="text" w:tblpY="30"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802"/>
        <w:gridCol w:w="2151"/>
        <w:gridCol w:w="5565"/>
      </w:tblGrid>
      <w:tr>
        <w:trPr>
          <w:trHeight w:val="63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b/>
                <w:bCs/>
                <w:color w:val="000000"/>
                <w:highlight w:val="none"/>
              </w:rPr>
              <w:framePr w:vAnchor="text" w:hAnchor="page" w:x="1939" w:y="30"/>
            </w:pPr>
            <w:r>
              <w:rPr>
                <w:rFonts w:hint="eastAsia" w:ascii="宋体" w:hAnsi="宋体" w:eastAsia="宋体" w:cs="宋体"/>
                <w:b/>
                <w:bCs/>
                <w:color w:val="000000"/>
                <w:highlight w:val="none"/>
                <w:lang w:bidi="ar"/>
              </w:rPr>
              <w:t xml:space="preserve">序号</w:t>
            </w:r>
            <w:r>
              <w:rPr>
                <w:rFonts w:ascii="宋体" w:hAnsi="宋体" w:eastAsia="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b/>
                <w:bCs/>
                <w:color w:val="000000"/>
                <w:highlight w:val="none"/>
              </w:rPr>
              <w:framePr w:vAnchor="text" w:hAnchor="page" w:x="1939" w:y="30"/>
            </w:pPr>
            <w:r>
              <w:rPr>
                <w:rFonts w:hint="eastAsia" w:ascii="宋体" w:hAnsi="宋体" w:eastAsia="宋体" w:cs="宋体"/>
                <w:b/>
                <w:bCs/>
                <w:color w:val="000000"/>
                <w:highlight w:val="none"/>
                <w:lang w:bidi="ar"/>
              </w:rPr>
              <w:t xml:space="preserve">技术节能改造</w:t>
            </w:r>
            <w:r>
              <w:rPr>
                <w:rFonts w:ascii="宋体" w:hAnsi="宋体" w:eastAsia="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b/>
                <w:bCs/>
                <w:color w:val="000000"/>
                <w:highlight w:val="none"/>
              </w:rPr>
              <w:framePr w:vAnchor="text" w:hAnchor="page" w:x="1939" w:y="30"/>
            </w:pPr>
            <w:r>
              <w:rPr>
                <w:rFonts w:hint="eastAsia" w:ascii="宋体" w:hAnsi="宋体" w:eastAsia="宋体" w:cs="宋体"/>
                <w:b/>
                <w:bCs/>
                <w:color w:val="000000"/>
                <w:highlight w:val="none"/>
                <w:lang w:bidi="ar"/>
              </w:rPr>
              <w:t xml:space="preserve">实施内容</w:t>
            </w:r>
            <w:r>
              <w:rPr>
                <w:rFonts w:ascii="宋体" w:hAnsi="宋体" w:eastAsia="宋体" w:cs="宋体"/>
                <w:b/>
                <w:bCs/>
                <w:color w:val="000000"/>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color w:val="000000"/>
                <w:highlight w:val="none"/>
              </w:rPr>
              <w:framePr w:vAnchor="text" w:hAnchor="page" w:x="1939" w:y="30"/>
            </w:pPr>
            <w:r>
              <w:rPr>
                <w:rFonts w:hint="eastAsia" w:ascii="宋体" w:hAnsi="宋体" w:eastAsia="宋体" w:cs="宋体"/>
                <w:color w:val="000000"/>
                <w:highlight w:val="none"/>
                <w:lang w:bidi="ar"/>
              </w:rPr>
              <w:t xml:space="preserve">1</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color w:val="000000"/>
                <w:highlight w:val="none"/>
              </w:rPr>
              <w:framePr w:vAnchor="text" w:hAnchor="page" w:x="1939" w:y="30"/>
            </w:pPr>
            <w:r>
              <w:rPr>
                <w:rFonts w:hint="eastAsia" w:ascii="宋体" w:hAnsi="宋体" w:eastAsia="宋体" w:cs="宋体"/>
                <w:color w:val="000000"/>
                <w:highlight w:val="none"/>
                <w:lang w:bidi="ar"/>
              </w:rPr>
              <w:t xml:space="preserve">空调节能控制系统</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pStyle w:val="984"/>
              <w:jc w:val="both"/>
              <w:keepLines w:val="0"/>
              <w:keepNext w:val="0"/>
              <w:pageBreakBefore w:val="0"/>
              <w:spacing w:line="240" w:lineRule="auto"/>
              <w:widowControl/>
              <w:rPr>
                <w:rFonts w:ascii="宋体" w:hAnsi="宋体" w:eastAsia="宋体" w:cs="宋体"/>
                <w:color w:val="ff0000"/>
                <w:highlight w:val="none"/>
              </w:rPr>
              <w:framePr w:vAnchor="text" w:hAnchor="page" w:x="1939" w:y="30"/>
            </w:pPr>
            <w:r>
              <w:rPr>
                <w:rFonts w:hint="eastAsia" w:ascii="宋体" w:hAnsi="宋体" w:eastAsia="宋体" w:cs="宋体"/>
                <w:color w:val="000000"/>
                <w:highlight w:val="none"/>
                <w:lang w:bidi="ar"/>
              </w:rPr>
              <w:t xml:space="preserve">智能化手段显著降低能源消耗，实现经济与环保的双重效益</w:t>
            </w:r>
            <w:r>
              <w:rPr>
                <w:rFonts w:ascii="宋体" w:hAnsi="宋体" w:eastAsia="宋体" w:cs="宋体"/>
                <w:color w:val="ff0000"/>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84"/>
              <w:jc w:val="center"/>
              <w:keepLines w:val="0"/>
              <w:keepNext w:val="0"/>
              <w:pageBreakBefore w:val="0"/>
              <w:spacing w:line="240" w:lineRule="auto"/>
              <w:widowControl/>
              <w:rPr>
                <w:rFonts w:hint="eastAsia" w:ascii="宋体" w:hAnsi="宋体" w:eastAsia="宋体" w:cs="宋体"/>
                <w:color w:val="000000"/>
                <w:highlight w:val="none"/>
                <w:lang w:eastAsia="zh-CN" w:bidi="ar"/>
              </w:rPr>
              <w:framePr w:vAnchor="text" w:hAnchor="page" w:x="1939" w:y="30"/>
            </w:pPr>
            <w:r>
              <w:rPr>
                <w:rFonts w:hint="eastAsia" w:ascii="宋体" w:hAnsi="宋体" w:eastAsia="宋体" w:cs="宋体"/>
                <w:color w:val="000000"/>
                <w:highlight w:val="none"/>
                <w:lang w:val="en-US" w:eastAsia="zh-CN" w:bidi="ar"/>
              </w:rPr>
              <w:t xml:space="preserve">2</w:t>
            </w:r>
            <w:r>
              <w:rPr>
                <w:rFonts w:hint="eastAsia" w:ascii="宋体" w:hAnsi="宋体" w:eastAsia="宋体" w:cs="宋体"/>
                <w:color w:val="00000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ascii="宋体" w:hAnsi="宋体" w:eastAsia="宋体" w:cs="宋体"/>
                <w:color w:val="000000"/>
                <w:highlight w:val="none"/>
                <w:lang w:bidi="ar"/>
              </w:rPr>
            </w:r>
            <w:r/>
          </w:p>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hint="eastAsia" w:ascii="宋体" w:hAnsi="宋体" w:eastAsia="宋体" w:cs="宋体"/>
                <w:color w:val="000000"/>
                <w:highlight w:val="none"/>
                <w:lang w:bidi="ar"/>
              </w:rPr>
              <w:t xml:space="preserve">建筑隔热系统</w:t>
            </w:r>
            <w:r>
              <w:rPr>
                <w:rFonts w:ascii="宋体" w:hAnsi="宋体" w:eastAsia="宋体" w:cs="宋体"/>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pStyle w:val="984"/>
              <w:jc w:val="both"/>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hint="eastAsia" w:ascii="宋体" w:hAnsi="宋体" w:eastAsia="宋体" w:cs="宋体"/>
                <w:color w:val="000000"/>
                <w:highlight w:val="none"/>
                <w:lang w:bidi="ar"/>
              </w:rPr>
              <w:t xml:space="preserve">对部分外立面玻璃幕墙进行玻璃隔热贴膜，降低夏季室内温度，减少夏季制冷能耗。</w:t>
            </w:r>
            <w:r>
              <w:rPr>
                <w:rFonts w:ascii="宋体" w:hAnsi="宋体" w:eastAsia="宋体" w:cs="宋体"/>
                <w:color w:val="000000"/>
                <w:highlight w:val="none"/>
                <w:lang w:bidi="ar"/>
              </w:rPr>
            </w:r>
            <w:r/>
          </w:p>
        </w:tc>
      </w:tr>
      <w:tr>
        <w:trPr>
          <w:trHeight w:val="95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ascii="宋体" w:hAnsi="宋体" w:eastAsia="宋体" w:cs="宋体"/>
                <w:color w:val="000000"/>
                <w:highlight w:val="none"/>
                <w:lang w:bidi="ar"/>
              </w:rPr>
            </w:r>
            <w:r/>
          </w:p>
          <w:p>
            <w:pPr>
              <w:pStyle w:val="984"/>
              <w:jc w:val="center"/>
              <w:keepLines w:val="0"/>
              <w:keepNext w:val="0"/>
              <w:pageBreakBefore w:val="0"/>
              <w:spacing w:line="240" w:lineRule="auto"/>
              <w:widowControl/>
              <w:rPr>
                <w:rFonts w:hint="eastAsia" w:ascii="宋体" w:hAnsi="宋体" w:eastAsia="宋体" w:cs="宋体"/>
                <w:color w:val="000000"/>
                <w:highlight w:val="none"/>
                <w:lang w:eastAsia="zh-CN" w:bidi="ar"/>
              </w:rPr>
              <w:framePr w:vAnchor="text" w:hAnchor="page" w:x="1939" w:y="30"/>
            </w:pPr>
            <w:r>
              <w:rPr>
                <w:rFonts w:hint="eastAsia" w:ascii="宋体" w:hAnsi="宋体" w:eastAsia="宋体" w:cs="宋体"/>
                <w:color w:val="000000"/>
                <w:highlight w:val="none"/>
                <w:lang w:val="en-US" w:eastAsia="zh-CN" w:bidi="ar"/>
              </w:rPr>
              <w:t xml:space="preserve">3</w:t>
            </w:r>
            <w:r>
              <w:rPr>
                <w:rFonts w:hint="eastAsia" w:ascii="宋体" w:hAnsi="宋体" w:eastAsia="宋体" w:cs="宋体"/>
                <w:color w:val="00000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ascii="宋体" w:hAnsi="宋体" w:eastAsia="宋体" w:cs="宋体"/>
                <w:color w:val="000000"/>
                <w:highlight w:val="none"/>
                <w:lang w:bidi="ar"/>
              </w:rPr>
            </w:r>
            <w:r/>
          </w:p>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bookmarkStart w:id="60" w:name="_Hlk204756503"/>
            <w:r>
              <w:rPr>
                <w:rFonts w:hint="eastAsia" w:ascii="宋体" w:hAnsi="宋体" w:eastAsia="宋体" w:cs="宋体"/>
                <w:color w:val="000000"/>
                <w:highlight w:val="none"/>
                <w:lang w:bidi="ar"/>
              </w:rPr>
              <w:t xml:space="preserve">智慧照明系统改造</w:t>
            </w:r>
            <w:bookmarkEnd w:id="60"/>
            <w:r>
              <w:rPr>
                <w:rFonts w:ascii="宋体" w:hAnsi="宋体" w:eastAsia="宋体" w:cs="宋体"/>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pStyle w:val="984"/>
              <w:jc w:val="both"/>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hint="eastAsia" w:ascii="宋体" w:hAnsi="宋体" w:eastAsia="宋体" w:cs="宋体"/>
                <w:color w:val="000000"/>
                <w:highlight w:val="none"/>
                <w:lang w:bidi="ar"/>
              </w:rPr>
              <w:t xml:space="preserve">对现有照明系统增加照明节能管控设备，实现照明系统的分时控制、分区控制、模式控制、照度调节。减少公共区域及路灯的能源浪费。</w:t>
            </w:r>
            <w:r>
              <w:rPr>
                <w:rFonts w:ascii="宋体" w:hAnsi="宋体" w:eastAsia="宋体" w:cs="宋体"/>
                <w:color w:val="000000"/>
                <w:highlight w:val="none"/>
                <w:lang w:bidi="ar"/>
              </w:rPr>
            </w:r>
            <w:r/>
          </w:p>
        </w:tc>
      </w:tr>
      <w:tr>
        <w:trPr>
          <w:trHeight w:val="1232"/>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ascii="宋体" w:hAnsi="宋体" w:eastAsia="宋体" w:cs="宋体"/>
                <w:color w:val="000000"/>
                <w:highlight w:val="none"/>
                <w:lang w:bidi="ar"/>
              </w:rPr>
            </w:r>
            <w:r/>
          </w:p>
          <w:p>
            <w:pPr>
              <w:pStyle w:val="984"/>
              <w:jc w:val="center"/>
              <w:keepLines w:val="0"/>
              <w:keepNext w:val="0"/>
              <w:pageBreakBefore w:val="0"/>
              <w:spacing w:line="240" w:lineRule="auto"/>
              <w:widowControl/>
              <w:rPr>
                <w:rFonts w:hint="eastAsia" w:ascii="宋体" w:hAnsi="宋体" w:eastAsia="宋体" w:cs="宋体"/>
                <w:color w:val="000000"/>
                <w:highlight w:val="none"/>
                <w:lang w:eastAsia="zh-CN" w:bidi="ar"/>
              </w:rPr>
              <w:framePr w:vAnchor="text" w:hAnchor="page" w:x="1939" w:y="30"/>
            </w:pPr>
            <w:r>
              <w:rPr>
                <w:rFonts w:hint="eastAsia" w:ascii="宋体" w:hAnsi="宋体" w:eastAsia="宋体" w:cs="宋体"/>
                <w:color w:val="000000"/>
                <w:highlight w:val="none"/>
                <w:lang w:val="en-US" w:eastAsia="zh-CN" w:bidi="ar"/>
              </w:rPr>
              <w:t xml:space="preserve">4</w:t>
            </w:r>
            <w:r>
              <w:rPr>
                <w:rFonts w:hint="eastAsia" w:ascii="宋体" w:hAnsi="宋体" w:eastAsia="宋体" w:cs="宋体"/>
                <w:color w:val="00000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ascii="宋体" w:hAnsi="宋体" w:eastAsia="宋体" w:cs="宋体"/>
                <w:color w:val="000000"/>
                <w:highlight w:val="none"/>
                <w:lang w:bidi="ar"/>
              </w:rPr>
            </w:r>
            <w:r/>
          </w:p>
          <w:p>
            <w:pPr>
              <w:pStyle w:val="984"/>
              <w:jc w:val="center"/>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hint="eastAsia" w:ascii="宋体" w:hAnsi="宋体" w:eastAsia="宋体" w:cs="宋体"/>
                <w:color w:val="000000"/>
                <w:highlight w:val="none"/>
                <w:lang w:bidi="ar"/>
              </w:rPr>
              <w:t xml:space="preserve">智慧运维能源管理平台</w:t>
            </w:r>
            <w:r>
              <w:rPr>
                <w:rFonts w:ascii="宋体" w:hAnsi="宋体" w:eastAsia="宋体" w:cs="宋体"/>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pStyle w:val="984"/>
              <w:jc w:val="both"/>
              <w:keepLines w:val="0"/>
              <w:keepNext w:val="0"/>
              <w:pageBreakBefore w:val="0"/>
              <w:spacing w:line="240" w:lineRule="auto"/>
              <w:widowControl/>
              <w:rPr>
                <w:rFonts w:ascii="宋体" w:hAnsi="宋体" w:eastAsia="宋体" w:cs="宋体"/>
                <w:color w:val="000000"/>
                <w:highlight w:val="none"/>
                <w:lang w:bidi="ar"/>
              </w:rPr>
              <w:framePr w:vAnchor="text" w:hAnchor="page" w:x="1939" w:y="30"/>
            </w:pPr>
            <w:r>
              <w:rPr>
                <w:rFonts w:hint="eastAsia" w:ascii="宋体" w:hAnsi="宋体" w:eastAsia="宋体" w:cs="宋体"/>
                <w:color w:val="000000"/>
                <w:highlight w:val="none"/>
                <w:lang w:bidi="ar"/>
              </w:rPr>
              <w:t xml:space="preserve">智慧运维能源管理平台包括调度监控子系统、能源分析子系统、节能评估子系统、辅助决策子系统、配置管理系统。具有实用可视化效果，具备曲线图、柱状图、能源趋势等具象的可视化效果。</w:t>
            </w:r>
            <w:r>
              <w:rPr>
                <w:rFonts w:ascii="宋体" w:hAnsi="宋体" w:eastAsia="宋体" w:cs="宋体"/>
                <w:color w:val="000000"/>
                <w:highlight w:val="none"/>
                <w:lang w:bidi="ar"/>
              </w:rPr>
            </w:r>
            <w:r/>
          </w:p>
        </w:tc>
      </w:tr>
    </w:tbl>
    <w:p>
      <w:pPr>
        <w:pStyle w:val="984"/>
        <w:rPr>
          <w:rFonts w:ascii="Calibri" w:hAnsi="Calibri"/>
          <w:sz w:val="21"/>
          <w:szCs w:val="22"/>
          <w:highlight w:val="none"/>
          <w:lang w:val="en-US" w:eastAsia="zh-CN" w:bidi="ar-SA"/>
        </w:rPr>
      </w:pPr>
      <w:r>
        <w:rPr>
          <w:rFonts w:ascii="Calibri" w:hAnsi="Calibri"/>
          <w:sz w:val="21"/>
          <w:szCs w:val="22"/>
          <w:highlight w:val="none"/>
          <w:lang w:val="en-US" w:eastAsia="zh-CN" w:bidi="ar-SA"/>
        </w:rPr>
      </w:r>
      <w:r/>
    </w:p>
    <w:p>
      <w:pPr>
        <w:pStyle w:val="984"/>
        <w:rPr>
          <w:highlight w:val="none"/>
          <w:lang w:val="en-US" w:eastAsia="zh-CN"/>
        </w:rPr>
      </w:pPr>
      <w:r>
        <w:rPr>
          <w:highlight w:val="none"/>
          <w:lang w:val="en-US" w:eastAsia="zh-CN"/>
        </w:rPr>
      </w:r>
      <w:r/>
    </w:p>
    <w:p>
      <w:pPr>
        <w:pStyle w:val="984"/>
        <w:ind w:firstLine="422"/>
        <w:jc w:val="left"/>
        <w:keepLines w:val="0"/>
        <w:keepNext w:val="0"/>
        <w:pageBreakBefore w:val="0"/>
        <w:spacing w:line="432" w:lineRule="auto"/>
        <w:tabs>
          <w:tab w:val="left" w:pos="945" w:leader="none"/>
        </w:tabs>
        <w:rPr>
          <w:highlight w:val="none"/>
          <w:lang w:val="en-US" w:eastAsia="zh-CN"/>
        </w:rPr>
        <w:outlineLvl w:val="1"/>
      </w:pPr>
      <w:r>
        <w:rPr>
          <w:rFonts w:hint="eastAsia" w:ascii="宋体" w:hAnsi="宋体" w:eastAsia="宋体" w:cs="宋体"/>
          <w:b/>
          <w:color w:val="000000"/>
          <w:sz w:val="21"/>
          <w:highlight w:val="none"/>
        </w:rPr>
        <w:t xml:space="preserve">1.上述内容为基本改造方案，供应商必须承诺响应，否则为无效投标；</w:t>
      </w:r>
      <w:r>
        <w:rPr>
          <w:highlight w:val="none"/>
          <w:lang w:val="en-US" w:eastAsia="zh-CN"/>
        </w:rPr>
      </w:r>
      <w:r/>
    </w:p>
    <w:p>
      <w:pPr>
        <w:pStyle w:val="984"/>
        <w:ind w:firstLine="420"/>
        <w:jc w:val="left"/>
        <w:keepLines w:val="0"/>
        <w:keepNext w:val="0"/>
        <w:pageBreakBefore w:val="0"/>
        <w:spacing w:line="432" w:lineRule="auto"/>
        <w:tabs>
          <w:tab w:val="left" w:pos="945" w:leader="none"/>
        </w:tabs>
        <w:rPr>
          <w:highlight w:val="none"/>
          <w:lang w:val="en-US" w:eastAsia="zh-CN"/>
        </w:rPr>
        <w:outlineLvl w:val="1"/>
      </w:pPr>
      <w:r>
        <w:rPr>
          <w:rFonts w:hint="eastAsia" w:ascii="宋体" w:hAnsi="宋体" w:eastAsia="宋体" w:cs="宋体"/>
          <w:b/>
          <w:color w:val="000000"/>
          <w:sz w:val="21"/>
          <w:highlight w:val="none"/>
        </w:rPr>
        <w:t xml:space="preserve">2.供应商可根据已有资料，因地制宜，增加改造内容和方案，应选择技术先进、经济合理的技术或产品，技术或产品应成熟稳定可靠。</w:t>
      </w:r>
      <w:r>
        <w:rPr>
          <w:highlight w:val="none"/>
          <w:lang w:val="en-US" w:eastAsia="zh-CN"/>
        </w:rPr>
      </w:r>
      <w:r/>
    </w:p>
    <w:p>
      <w:pPr>
        <w:pStyle w:val="984"/>
        <w:ind w:firstLine="422"/>
        <w:jc w:val="left"/>
        <w:keepLines w:val="0"/>
        <w:keepNext w:val="0"/>
        <w:pageBreakBefore w:val="0"/>
        <w:spacing w:line="432" w:lineRule="auto"/>
        <w:widowControl/>
        <w:rPr>
          <w:rFonts w:ascii="宋体" w:hAnsi="宋体" w:eastAsia="宋体" w:cs="宋体"/>
          <w:b/>
          <w:sz w:val="21"/>
          <w:szCs w:val="21"/>
          <w:highlight w:val="none"/>
        </w:rPr>
      </w:pPr>
      <w:r>
        <w:rPr>
          <w:rFonts w:hint="eastAsia" w:ascii="宋体" w:hAnsi="宋体" w:eastAsia="宋体" w:cs="宋体"/>
          <w:b/>
          <w:color w:val="000000"/>
          <w:sz w:val="21"/>
          <w:highlight w:val="none"/>
        </w:rPr>
        <w:t xml:space="preserve">3.改造应在不影响公共机构日常办公生活的情况进行。</w:t>
      </w:r>
      <w:r>
        <w:rPr>
          <w:rFonts w:ascii="宋体" w:hAnsi="宋体" w:eastAsia="宋体" w:cs="宋体"/>
          <w:b/>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（2）主要设备技术要求</w:t>
      </w:r>
      <w:r>
        <w:rPr>
          <w:rFonts w:ascii="宋体" w:hAnsi="宋体" w:eastAsia="宋体" w:cs="宋体"/>
          <w:b/>
          <w:sz w:val="21"/>
          <w:szCs w:val="21"/>
          <w:highlight w:val="none"/>
        </w:rPr>
      </w:r>
      <w:r/>
    </w:p>
    <w:p>
      <w:pPr>
        <w:pStyle w:val="984"/>
        <w:ind w:left="400"/>
        <w:jc w:val="left"/>
        <w:keepLines w:val="0"/>
        <w:keepNext w:val="0"/>
        <w:pageBreakBefore w:val="0"/>
        <w:spacing w:line="432" w:lineRule="auto"/>
        <w:widowControl/>
        <w:rPr>
          <w:rFonts w:ascii="宋体" w:hAnsi="宋体" w:eastAsia="宋体" w:cs="宋体"/>
          <w:b/>
          <w:bCs/>
          <w:color w:val="000000"/>
          <w:sz w:val="21"/>
          <w:highlight w:val="none"/>
        </w:rPr>
        <w:outlineLvl w:val="2"/>
      </w:pPr>
      <w:r>
        <w:rPr>
          <w:rFonts w:hint="eastAsia" w:ascii="宋体" w:hAnsi="宋体" w:eastAsia="宋体" w:cs="宋体"/>
          <w:b/>
          <w:bCs/>
          <w:color w:val="000000"/>
          <w:sz w:val="21"/>
          <w:highlight w:val="none"/>
        </w:rPr>
        <w:t xml:space="preserve">1</w:t>
      </w:r>
      <w:r>
        <w:rPr>
          <w:rFonts w:hint="eastAsia" w:ascii="宋体" w:hAnsi="宋体" w:eastAsia="宋体" w:cs="宋体"/>
          <w:b/>
          <w:bCs/>
          <w:color w:val="000000"/>
          <w:sz w:val="21"/>
          <w:highlight w:val="none"/>
          <w:lang w:val="en-US" w:eastAsia="zh-CN"/>
        </w:rPr>
        <w:t xml:space="preserve">.</w:t>
      </w:r>
      <w:r>
        <w:rPr>
          <w:rFonts w:hint="eastAsia" w:ascii="宋体" w:hAnsi="宋体" w:eastAsia="宋体" w:cs="宋体"/>
          <w:b/>
          <w:bCs/>
          <w:color w:val="000000"/>
          <w:sz w:val="21"/>
          <w:highlight w:val="none"/>
        </w:rPr>
        <w:t xml:space="preserve">空调节能控制系统改造</w:t>
      </w:r>
      <w:r>
        <w:rPr>
          <w:rFonts w:ascii="宋体" w:hAnsi="宋体" w:eastAsia="宋体" w:cs="宋体"/>
          <w:b/>
          <w:bCs/>
          <w:color w:val="000000"/>
          <w:sz w:val="21"/>
          <w:highlight w:val="none"/>
        </w:rPr>
      </w:r>
      <w:r/>
    </w:p>
    <w:p>
      <w:pPr>
        <w:pStyle w:val="984"/>
        <w:ind w:firstLine="420"/>
        <w:jc w:val="left"/>
        <w:keepLines w:val="0"/>
        <w:keepNext w:val="0"/>
        <w:pageBreakBefore w:val="0"/>
        <w:spacing w:line="432" w:lineRule="auto"/>
        <w:widowControl/>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针对所有建筑的</w:t>
      </w:r>
      <w:r>
        <w:rPr>
          <w:rFonts w:hint="eastAsia" w:ascii="宋体" w:hAnsi="宋体" w:eastAsia="宋体" w:cs="宋体"/>
          <w:color w:val="000000"/>
          <w:sz w:val="21"/>
          <w:highlight w:val="none"/>
          <w:lang w:val="en-US" w:eastAsia="zh-CN"/>
        </w:rPr>
        <w:t xml:space="preserve">多联机设备</w:t>
      </w:r>
      <w:r>
        <w:rPr>
          <w:rFonts w:hint="eastAsia" w:ascii="宋体" w:hAnsi="宋体" w:eastAsia="宋体" w:cs="宋体"/>
          <w:color w:val="000000"/>
          <w:sz w:val="21"/>
          <w:highlight w:val="none"/>
        </w:rPr>
        <w:t xml:space="preserve">，搭建</w:t>
      </w:r>
      <w:r>
        <w:rPr>
          <w:rFonts w:hint="eastAsia" w:ascii="宋体" w:hAnsi="宋体" w:eastAsia="宋体" w:cs="宋体"/>
          <w:color w:val="000000"/>
          <w:sz w:val="21"/>
          <w:highlight w:val="none"/>
          <w:lang w:val="en-US" w:eastAsia="zh-CN"/>
        </w:rPr>
        <w:t xml:space="preserve">多联机</w:t>
      </w:r>
      <w:r>
        <w:rPr>
          <w:rFonts w:hint="eastAsia" w:ascii="宋体" w:hAnsi="宋体" w:eastAsia="宋体" w:cs="宋体"/>
          <w:color w:val="000000"/>
          <w:sz w:val="21"/>
          <w:highlight w:val="none"/>
        </w:rPr>
        <w:t xml:space="preserve">节能控制系统，可监控系统设备智能化运行，智能控制</w:t>
      </w:r>
      <w:r>
        <w:rPr>
          <w:rFonts w:hint="eastAsia" w:ascii="宋体" w:hAnsi="宋体" w:eastAsia="宋体" w:cs="宋体"/>
          <w:color w:val="000000"/>
          <w:sz w:val="21"/>
          <w:highlight w:val="none"/>
          <w:lang w:val="en-US" w:eastAsia="zh-CN"/>
        </w:rPr>
        <w:t xml:space="preserve">多联机</w:t>
      </w:r>
      <w:r>
        <w:rPr>
          <w:rFonts w:hint="eastAsia" w:ascii="宋体" w:hAnsi="宋体" w:eastAsia="宋体" w:cs="宋体"/>
          <w:color w:val="000000"/>
          <w:sz w:val="21"/>
          <w:highlight w:val="none"/>
        </w:rPr>
        <w:t xml:space="preserve">主机、水泵、空调外机、内机以及分体机的运行状态，在不改变用能单位舒适度的情况下，降低空调能耗。</w:t>
      </w:r>
      <w:r>
        <w:rPr>
          <w:rFonts w:ascii="宋体" w:hAnsi="宋体" w:eastAsia="宋体" w:cs="宋体"/>
          <w:color w:val="000000"/>
          <w:sz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硬件设备技术要求：</w:t>
      </w:r>
      <w:r>
        <w:rPr>
          <w:rFonts w:hint="eastAsia" w:ascii="宋体" w:hAnsi="宋体" w:eastAsia="宋体" w:cs="宋体"/>
          <w:color w:val="000000"/>
          <w:sz w:val="21"/>
          <w:highlight w:val="none"/>
        </w:rPr>
      </w:r>
      <w:r/>
    </w:p>
    <w:p>
      <w:pPr>
        <w:pStyle w:val="984"/>
        <w:ind w:firstLine="422"/>
        <w:keepLines w:val="0"/>
        <w:keepNext w:val="0"/>
        <w:pageBreakBefore w:val="0"/>
        <w:spacing w:line="432" w:lineRule="auto"/>
        <w:widowControl/>
        <w:rPr>
          <w:rFonts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a.VRV空调控制器</w:t>
      </w:r>
      <w:r>
        <w:rPr>
          <w:rFonts w:ascii="宋体" w:hAnsi="宋体" w:eastAsia="宋体" w:cs="宋体"/>
          <w:b/>
          <w:bCs/>
          <w:color w:val="000000"/>
          <w:sz w:val="21"/>
          <w:highlight w:val="none"/>
        </w:rPr>
      </w:r>
      <w:r/>
    </w:p>
    <w:p>
      <w:pPr>
        <w:pStyle w:val="984"/>
        <w:ind w:firstLine="420"/>
        <w:keepLines w:val="0"/>
        <w:keepNext w:val="0"/>
        <w:pageBreakBefore w:val="0"/>
        <w:spacing w:line="432"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输入电源：DC12~30V；</w:t>
      </w:r>
      <w:r>
        <w:rPr>
          <w:rFonts w:ascii="宋体" w:hAnsi="宋体" w:eastAsia="宋体" w:cs="宋体"/>
          <w:color w:val="000000"/>
          <w:sz w:val="21"/>
          <w:highlight w:val="none"/>
        </w:rPr>
      </w:r>
      <w:r/>
    </w:p>
    <w:p>
      <w:pPr>
        <w:pStyle w:val="984"/>
        <w:ind w:firstLine="420"/>
        <w:keepLines w:val="0"/>
        <w:keepNext w:val="0"/>
        <w:pageBreakBefore w:val="0"/>
        <w:spacing w:line="432"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工作环境：环境温度:-10~60℃；</w:t>
      </w:r>
      <w:r>
        <w:rPr>
          <w:rFonts w:ascii="宋体" w:hAnsi="宋体" w:eastAsia="宋体" w:cs="宋体"/>
          <w:color w:val="000000"/>
          <w:sz w:val="21"/>
          <w:highlight w:val="none"/>
        </w:rPr>
      </w:r>
      <w:r/>
    </w:p>
    <w:p>
      <w:pPr>
        <w:pStyle w:val="995"/>
        <w:ind w:firstLine="409"/>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环境湿度:5~85%RH(无凝露)；</w:t>
      </w:r>
      <w:r>
        <w:rPr>
          <w:rFonts w:hint="eastAsia" w:ascii="宋体" w:hAnsi="宋体" w:eastAsia="宋体" w:cs="宋体"/>
          <w:color w:val="000000"/>
          <w:sz w:val="21"/>
          <w:highlight w:val="none"/>
        </w:rPr>
      </w:r>
      <w:r/>
    </w:p>
    <w:p>
      <w:pPr>
        <w:pStyle w:val="984"/>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84"/>
        <w:ind w:firstLine="420"/>
        <w:keepLines w:val="0"/>
        <w:keepNext w:val="0"/>
        <w:pageBreakBefore w:val="0"/>
        <w:spacing w:line="432" w:lineRule="auto"/>
        <w:rPr>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color w:val="000000"/>
          <w:sz w:val="21"/>
          <w:highlight w:val="none"/>
        </w:rPr>
        <w:t xml:space="preserve">空调通讯线间电压：AC5V；</w:t>
      </w:r>
      <w:r>
        <w:rPr>
          <w:highlight w:val="none"/>
          <w:lang w:val="en-US" w:eastAsia="zh-CN"/>
        </w:rPr>
      </w:r>
      <w:r/>
    </w:p>
    <w:p>
      <w:pPr>
        <w:pStyle w:val="984"/>
        <w:ind w:firstLine="420"/>
        <w:keepLines w:val="0"/>
        <w:keepNext w:val="0"/>
        <w:pageBreakBefore w:val="0"/>
        <w:spacing w:line="432" w:lineRule="auto"/>
        <w:rPr>
          <w:rFonts w:ascii="宋体" w:hAnsi="宋体" w:eastAsia="宋体" w:cs="宋体"/>
          <w:color w:val="000000"/>
          <w:sz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highlight w:val="none"/>
        </w:rPr>
        <w:t xml:space="preserve">控制接口：1×RS485，1×空调接口；</w:t>
      </w:r>
      <w:r>
        <w:rPr>
          <w:rFonts w:ascii="宋体" w:hAnsi="宋体" w:eastAsia="宋体" w:cs="宋体"/>
          <w:color w:val="000000"/>
          <w:sz w:val="21"/>
          <w:highlight w:val="none"/>
        </w:rPr>
      </w:r>
      <w:r/>
    </w:p>
    <w:p>
      <w:pPr>
        <w:pStyle w:val="984"/>
        <w:ind w:firstLine="420"/>
        <w:keepLines w:val="0"/>
        <w:keepNext w:val="0"/>
        <w:pageBreakBefore w:val="0"/>
        <w:spacing w:line="432" w:lineRule="auto"/>
        <w:rPr>
          <w:rFonts w:ascii="宋体" w:hAnsi="宋体" w:eastAsia="宋体" w:cs="宋体"/>
          <w:color w:val="000000"/>
          <w:sz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highlight w:val="none"/>
        </w:rPr>
        <w:t xml:space="preserve">RS485端口通讯规格；</w:t>
      </w:r>
      <w:r>
        <w:rPr>
          <w:rFonts w:ascii="宋体" w:hAnsi="宋体" w:eastAsia="宋体" w:cs="宋体"/>
          <w:color w:val="000000"/>
          <w:sz w:val="21"/>
          <w:highlight w:val="none"/>
        </w:rPr>
      </w:r>
      <w:r/>
    </w:p>
    <w:p>
      <w:pPr>
        <w:pStyle w:val="984"/>
        <w:ind w:firstLine="420"/>
        <w:keepLines w:val="0"/>
        <w:keepNext w:val="0"/>
        <w:pageBreakBefore w:val="0"/>
        <w:spacing w:line="432"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传输模式：半双工上行通信协议；</w:t>
      </w:r>
      <w:r>
        <w:rPr>
          <w:rFonts w:ascii="宋体" w:hAnsi="宋体" w:eastAsia="宋体" w:cs="宋体"/>
          <w:color w:val="000000"/>
          <w:sz w:val="21"/>
          <w:highlight w:val="none"/>
        </w:rPr>
      </w:r>
      <w:r/>
    </w:p>
    <w:p>
      <w:pPr>
        <w:pStyle w:val="984"/>
        <w:ind w:firstLine="420"/>
        <w:keepLines w:val="0"/>
        <w:keepNext w:val="0"/>
        <w:pageBreakBefore w:val="0"/>
        <w:spacing w:line="432" w:lineRule="auto"/>
        <w:rPr>
          <w:highlight w:val="none"/>
          <w:lang w:val="en-US" w:eastAsia="zh-CN"/>
        </w:rPr>
      </w:pPr>
      <w:r>
        <w:rPr>
          <w:rFonts w:hint="eastAsia" w:ascii="宋体" w:hAnsi="宋体" w:eastAsia="宋体" w:cs="宋体"/>
          <w:color w:val="000000"/>
          <w:sz w:val="21"/>
          <w:highlight w:val="none"/>
        </w:rPr>
        <w:t xml:space="preserve">软件：嵌入软件系统，根据协议通过不同接口与空调总线进行对接，支持不同品牌空调协议解析。支持1路，32个内机，支持屏幕显示，支持本地直接调试，兼容壁挂安装和轨道安装。</w:t>
      </w:r>
      <w:r>
        <w:rPr>
          <w:highlight w:val="none"/>
          <w:lang w:val="en-US" w:eastAsia="zh-CN"/>
        </w:rPr>
      </w:r>
      <w:r/>
    </w:p>
    <w:p>
      <w:pPr>
        <w:pStyle w:val="984"/>
        <w:ind w:left="400"/>
        <w:jc w:val="left"/>
        <w:keepLines w:val="0"/>
        <w:keepNext w:val="0"/>
        <w:pageBreakBefore w:val="0"/>
        <w:spacing w:line="432" w:lineRule="auto"/>
        <w:widowControl/>
        <w:rPr>
          <w:rFonts w:hint="eastAsia" w:ascii="宋体" w:hAnsi="宋体" w:eastAsia="宋体" w:cs="宋体"/>
          <w:b/>
          <w:bCs/>
          <w:color w:val="000000"/>
          <w:sz w:val="21"/>
          <w:highlight w:val="none"/>
        </w:rPr>
        <w:outlineLvl w:val="2"/>
      </w:pPr>
      <w:r>
        <w:rPr>
          <w:rFonts w:hint="eastAsia" w:ascii="宋体" w:hAnsi="宋体" w:eastAsia="宋体" w:cs="宋体"/>
          <w:b/>
          <w:bCs/>
          <w:color w:val="000000"/>
          <w:sz w:val="21"/>
          <w:highlight w:val="none"/>
          <w:lang w:val="en-US" w:eastAsia="zh-CN"/>
        </w:rPr>
        <w:t xml:space="preserve">2.</w:t>
      </w:r>
      <w:r>
        <w:rPr>
          <w:rFonts w:hint="eastAsia" w:ascii="宋体" w:hAnsi="宋体" w:eastAsia="宋体" w:cs="宋体"/>
          <w:b/>
          <w:bCs/>
          <w:color w:val="000000"/>
          <w:sz w:val="21"/>
          <w:highlight w:val="none"/>
        </w:rPr>
        <w:t xml:space="preserve">建筑隔热系统</w:t>
      </w:r>
      <w:r>
        <w:rPr>
          <w:rFonts w:hint="eastAsia" w:ascii="宋体" w:hAnsi="宋体" w:eastAsia="宋体" w:cs="宋体"/>
          <w:b/>
          <w:bCs/>
          <w:color w:val="000000"/>
          <w:sz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sz w:val="21"/>
          <w:szCs w:val="21"/>
          <w:highlight w:val="none"/>
          <w:lang w:val="de-CH"/>
        </w:rPr>
      </w:pPr>
      <w:r>
        <w:rPr>
          <w:rFonts w:hint="eastAsia" w:ascii="宋体" w:hAnsi="宋体" w:eastAsia="宋体" w:cs="宋体"/>
          <w:szCs w:val="21"/>
          <w:highlight w:val="none"/>
          <w:lang w:val="de-CH"/>
        </w:rPr>
        <w:t xml:space="preserve">根据</w:t>
      </w:r>
      <w:r>
        <w:rPr>
          <w:rFonts w:hint="eastAsia" w:ascii="宋体" w:hAnsi="宋体" w:eastAsia="宋体" w:cs="宋体"/>
          <w:szCs w:val="21"/>
          <w:highlight w:val="none"/>
          <w:lang w:val="en-US" w:eastAsia="zh-CN"/>
        </w:rPr>
        <w:t xml:space="preserve">仪征市环境卫生管理处（</w:t>
      </w:r>
      <w:r>
        <w:rPr>
          <w:rFonts w:hint="eastAsia" w:ascii="宋体" w:hAnsi="宋体" w:eastAsia="宋体" w:cs="宋体"/>
          <w:szCs w:val="21"/>
          <w:highlight w:val="none"/>
          <w:lang w:val="de-CH" w:eastAsia="zh-CN"/>
        </w:rPr>
        <w:t xml:space="preserve">仪征市城市管理局</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de-CH"/>
        </w:rPr>
        <w:t xml:space="preserve">建筑情况，针对向阳面透明玻璃部分安装隔热膜，要求隔热膜能有效阻隔95%的红外线辐射，阻隔98%-99.5%的紫外线辐射。隔热膜还应具备其他几个关键特性：必须提供极高的隔热性与良好的透视性，以确保在不影响室内光线和视野的情况下，有效降低室内温度；其次应该具有超低的反光率，以避免在室内产生眩光或影响外观；隔热</w:t>
      </w:r>
      <w:r>
        <w:rPr>
          <w:rFonts w:hint="eastAsia" w:ascii="宋体" w:hAnsi="宋体" w:eastAsia="宋体" w:cs="宋体"/>
          <w:sz w:val="21"/>
          <w:szCs w:val="21"/>
          <w:highlight w:val="none"/>
          <w:lang w:val="de-CH"/>
        </w:rPr>
        <w:t xml:space="preserve">膜需要具备抗氧化的特性，以保证长期使用下的稳定性和耐久性；不能屏蔽GPS信号，确保在使用现代通讯设备时不会受到干扰。通过在夏季使用这些隔热膜，可以显著降低室内温度，从而减少对空调系统的依赖和使用量，达到节能减排的效果。而在冬季，这些隔热膜同样能够发挥其保温作用，减少热量流失，帮助维持室内温暖，进一步提高能源使用效率。</w:t>
      </w:r>
      <w:r>
        <w:rPr>
          <w:rFonts w:hint="eastAsia" w:ascii="宋体" w:hAnsi="宋体" w:eastAsia="宋体" w:cs="宋体"/>
          <w:sz w:val="21"/>
          <w:szCs w:val="21"/>
          <w:highlight w:val="none"/>
          <w:lang w:val="de-CH"/>
        </w:rPr>
      </w:r>
      <w:r/>
    </w:p>
    <w:p>
      <w:pPr>
        <w:pStyle w:val="984"/>
        <w:ind w:firstLine="420"/>
        <w:jc w:val="left"/>
        <w:keepLines w:val="0"/>
        <w:keepNext w:val="0"/>
        <w:pageBreakBefore w:val="0"/>
        <w:spacing w:line="432"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3.智慧照明系统改造</w:t>
      </w:r>
      <w:r>
        <w:rPr>
          <w:rFonts w:hint="eastAsia" w:ascii="宋体" w:hAnsi="宋体" w:eastAsia="宋体" w:cs="宋体"/>
          <w:b/>
          <w:bCs/>
          <w:sz w:val="21"/>
          <w:szCs w:val="21"/>
          <w:highlight w:val="none"/>
          <w:lang w:val="en-US" w:eastAsia="zh-CN"/>
        </w:rPr>
      </w:r>
      <w:r/>
    </w:p>
    <w:p>
      <w:pPr>
        <w:pStyle w:val="984"/>
        <w:ind w:firstLine="420"/>
        <w:jc w:val="left"/>
        <w:keepLines w:val="0"/>
        <w:keepNext w:val="0"/>
        <w:pageBreakBefore w:val="0"/>
        <w:spacing w:line="432" w:lineRule="auto"/>
        <w:widowControl/>
        <w:rPr>
          <w:rFonts w:ascii="宋体" w:hAnsi="宋体" w:eastAsia="宋体" w:cs="宋体"/>
          <w:color w:val="000000"/>
          <w:sz w:val="21"/>
          <w:highlight w:val="none"/>
        </w:rPr>
      </w:pPr>
      <w:r>
        <w:rPr>
          <w:rFonts w:hint="eastAsia" w:ascii="宋体" w:hAnsi="宋体" w:eastAsia="宋体" w:cs="宋体"/>
          <w:sz w:val="21"/>
          <w:szCs w:val="21"/>
          <w:highlight w:val="none"/>
          <w:lang w:val="de-CH"/>
        </w:rPr>
        <w:t xml:space="preserve">将能耗较高的灯具更换为高效绿色节能灯具，对现有照明系统增加照明节能管控设备，实现照</w:t>
      </w:r>
      <w:r>
        <w:rPr>
          <w:rFonts w:hint="eastAsia" w:ascii="宋体" w:hAnsi="宋体" w:eastAsia="宋体" w:cs="宋体"/>
          <w:color w:val="000000"/>
          <w:sz w:val="21"/>
          <w:highlight w:val="none"/>
        </w:rPr>
        <w:t xml:space="preserve">明系统的分时控制、分区控制、模式控制、照度调节。减少公共区域及路灯的能源浪费。</w:t>
      </w:r>
      <w:r>
        <w:rPr>
          <w:rFonts w:ascii="宋体" w:hAnsi="宋体" w:eastAsia="宋体" w:cs="宋体"/>
          <w:color w:val="000000"/>
          <w:sz w:val="21"/>
          <w:highlight w:val="none"/>
        </w:rPr>
      </w:r>
      <w:r/>
    </w:p>
    <w:p>
      <w:pPr>
        <w:pStyle w:val="984"/>
        <w:ind w:left="400"/>
        <w:jc w:val="left"/>
        <w:keepLines w:val="0"/>
        <w:keepNext w:val="0"/>
        <w:pageBreakBefore w:val="0"/>
        <w:spacing w:line="432" w:lineRule="auto"/>
        <w:widowControl/>
        <w:rPr>
          <w:rFonts w:hint="eastAsia" w:ascii="宋体" w:hAnsi="宋体" w:eastAsia="宋体" w:cs="宋体"/>
          <w:b/>
          <w:bCs/>
          <w:color w:val="000000"/>
          <w:sz w:val="21"/>
          <w:highlight w:val="none"/>
          <w:lang w:val="en-US" w:eastAsia="zh-CN"/>
        </w:rPr>
        <w:outlineLvl w:val="2"/>
      </w:pPr>
      <w:r>
        <w:rPr>
          <w:rFonts w:hint="eastAsia" w:ascii="宋体" w:hAnsi="宋体" w:eastAsia="宋体" w:cs="宋体"/>
          <w:b/>
          <w:bCs/>
          <w:color w:val="000000"/>
          <w:sz w:val="21"/>
          <w:highlight w:val="none"/>
          <w:lang w:val="en-US" w:eastAsia="zh-CN"/>
        </w:rPr>
        <w:t xml:space="preserve">4.智慧运维能源管理平台</w:t>
      </w:r>
      <w:r>
        <w:rPr>
          <w:rFonts w:hint="eastAsia" w:ascii="宋体" w:hAnsi="宋体" w:eastAsia="宋体" w:cs="宋体"/>
          <w:b/>
          <w:bCs/>
          <w:color w:val="000000"/>
          <w:sz w:val="21"/>
          <w:highlight w:val="none"/>
          <w:lang w:val="en-US" w:eastAsia="zh-CN"/>
        </w:rPr>
      </w:r>
      <w:r/>
    </w:p>
    <w:p>
      <w:pPr>
        <w:pStyle w:val="984"/>
        <w:ind w:firstLine="420"/>
        <w:jc w:val="left"/>
        <w:keepLines w:val="0"/>
        <w:keepNext w:val="0"/>
        <w:pageBreakBefore w:val="0"/>
        <w:spacing w:line="432" w:lineRule="auto"/>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通过这种方式，可以显著降低空调机组的冷凝温度和冷凝压力，进而实现风冷热泵机组的节能运行。目前，招标人无能源管理平台，且能源计量不够细分，无法精确统计和监控用能单位的能耗量，不能为能耗的精细化管理提供支撑，具体改造内容和效果如下：</w:t>
      </w:r>
      <w:r>
        <w:rPr>
          <w:rFonts w:hint="eastAsia" w:ascii="宋体" w:hAnsi="宋体" w:eastAsia="宋体" w:cs="宋体"/>
          <w:color w:val="000000"/>
          <w:sz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5.1能源管理平台须具有远程计量功能。</w:t>
      </w:r>
      <w:r>
        <w:rPr>
          <w:rFonts w:hint="eastAsia" w:ascii="宋体" w:hAnsi="宋体" w:eastAsia="宋体" w:cs="宋体"/>
          <w:color w:val="000000"/>
          <w:sz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5.2能源管理平台需具备能耗异常报警功能。</w:t>
      </w:r>
      <w:r>
        <w:rPr>
          <w:rFonts w:hint="eastAsia" w:ascii="宋体" w:hAnsi="宋体" w:eastAsia="宋体" w:cs="宋体"/>
          <w:color w:val="000000"/>
          <w:sz w:val="21"/>
          <w:highlight w:val="none"/>
        </w:rPr>
      </w:r>
      <w:r/>
    </w:p>
    <w:p>
      <w:pPr>
        <w:pStyle w:val="984"/>
        <w:ind w:firstLine="420"/>
        <w:jc w:val="left"/>
        <w:keepLines w:val="0"/>
        <w:keepNext w:val="0"/>
        <w:pageBreakBefore w:val="0"/>
        <w:spacing w:line="432" w:lineRule="auto"/>
        <w:widowControl/>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5.3能源管理平台需具有智能化管理系统，提供能源分析报告。</w:t>
      </w:r>
      <w:r>
        <w:rPr>
          <w:rFonts w:ascii="宋体" w:hAnsi="宋体" w:eastAsia="宋体" w:cs="宋体"/>
          <w:color w:val="000000"/>
          <w:sz w:val="21"/>
          <w:highlight w:val="none"/>
        </w:rPr>
      </w:r>
      <w:r/>
    </w:p>
    <w:p>
      <w:pPr>
        <w:pStyle w:val="984"/>
        <w:ind w:firstLine="420"/>
        <w:jc w:val="left"/>
        <w:keepLines w:val="0"/>
        <w:keepNext w:val="0"/>
        <w:pageBreakBefore w:val="0"/>
        <w:spacing w:line="432" w:lineRule="auto"/>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（三）管理要求</w:t>
      </w:r>
      <w:r>
        <w:rPr>
          <w:rFonts w:ascii="宋体" w:hAnsi="宋体" w:eastAsia="宋体" w:cs="宋体"/>
          <w:b/>
          <w:bCs/>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人员组织</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供应商应配备专业技术团队为本项目提供专业技术支持服务，专业技术人员应来自不同的专业领域，如网络专家、暖通设备专家、电力系统专家以及其它专业业务专家等。同时专家团队应对对采购人指派的操作人员进行适当的培训，以使其能承担相应的操作和设施维护要求。合同期内供应商应当确保其工作人员或者其聘请的第三方在项目实施、运行的整个过程中遵守采购人的相关规章制度。</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进度管理</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合同签订之日起90天内完成本项目的方案设计、建设及验收。</w:t>
      </w:r>
      <w:r>
        <w:rPr>
          <w:rFonts w:hint="eastAsia" w:ascii="宋体" w:hAnsi="宋体" w:eastAsia="宋体" w:cs="宋体"/>
          <w:sz w:val="21"/>
          <w:szCs w:val="21"/>
          <w:highlight w:val="none"/>
        </w:rPr>
      </w:r>
      <w:r/>
    </w:p>
    <w:p>
      <w:pPr>
        <w:pStyle w:val="984"/>
        <w:numPr>
          <w:ilvl w:val="0"/>
          <w:numId w:val="0"/>
        </w:numPr>
        <w:ind w:firstLine="420"/>
        <w:jc w:val="left"/>
        <w:keepLines w:val="0"/>
        <w:keepNext w:val="0"/>
        <w:pageBreakBefore w:val="0"/>
        <w:spacing w:line="432" w:lineRule="auto"/>
        <w:widowControl/>
        <w:rPr>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rPr>
        <w:t xml:space="preserve">风险管理</w:t>
      </w:r>
      <w:r>
        <w:rPr>
          <w:highlight w:val="none"/>
        </w:rPr>
      </w:r>
      <w:r/>
    </w:p>
    <w:p>
      <w:pPr>
        <w:pStyle w:val="984"/>
        <w:ind w:firstLine="420"/>
        <w:jc w:val="left"/>
        <w:keepLines w:val="0"/>
        <w:keepNext w:val="0"/>
        <w:pageBreakBefore w:val="0"/>
        <w:spacing w:line="432" w:lineRule="auto"/>
        <w:widowControl/>
        <w:rPr>
          <w:rFonts w:hint="eastAsia" w:ascii="宋体" w:hAnsi="宋体" w:eastAsia="宋体" w:cs="宋体"/>
          <w:sz w:val="21"/>
          <w:szCs w:val="21"/>
          <w:highlight w:val="none"/>
          <w:lang w:val="en-US" w:eastAsia="zh-CN"/>
        </w:rPr>
        <w:sectPr>
          <w:headerReference w:type="default" r:id="rId9"/>
          <w:footerReference w:type="default" r:id="rId13"/>
          <w:footnotePr/>
          <w:endnotePr/>
          <w:type w:val="nextPage"/>
          <w:pgSz w:w="11906" w:h="16839" w:orient="portrait"/>
          <w:pgMar w:top="1440" w:right="1531" w:bottom="1440" w:left="1531" w:header="0" w:footer="989" w:gutter="0"/>
          <w:cols w:num="1" w:sep="0" w:space="1701" w:equalWidth="1"/>
          <w:docGrid w:linePitch="360"/>
        </w:sectPr>
      </w:pPr>
      <w:r>
        <w:rPr>
          <w:rFonts w:hint="eastAsia" w:ascii="宋体" w:hAnsi="宋体" w:eastAsia="宋体" w:cs="宋体"/>
          <w:sz w:val="21"/>
          <w:szCs w:val="21"/>
          <w:highlight w:val="none"/>
        </w:rPr>
        <w:t xml:space="preserve">实际运行过程中，风险随时可能出现，供应商应根据项目实际情况加强风险管理，做好风险的识别，风险的量化分析，制定风险的应对预案。供应商应当确保其工作人员和其聘请的第三方</w:t>
      </w:r>
      <w:r>
        <w:rPr>
          <w:rFonts w:hint="eastAsia" w:ascii="宋体" w:hAnsi="宋体" w:eastAsia="宋体" w:cs="宋体"/>
          <w:sz w:val="21"/>
          <w:szCs w:val="21"/>
          <w:highlight w:val="none"/>
          <w:lang w:val="en-US" w:eastAsia="zh-CN"/>
        </w:rPr>
      </w:r>
      <w:r/>
    </w:p>
    <w:p>
      <w:pPr>
        <w:pStyle w:val="984"/>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严格遵守采购人有关施工场地安全和卫生等方面的规定，并听从采购人合理的现场指挥。</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服务质量</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文档要求</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知识产权</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对于结合采购人专门服务需求开发的部分，采购人享有知识产权。供应商在项目服务过程中涉及第三方产品，若出现技术、经济或法律上的纠纷，应由供应商全面承担并全权解决，确保不影响工作的正常开展。</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合同变更要求</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如在项目服务过程中需要调整合同中规定的工作内容，需经供应商与采购人共同同意，按合同变更程序办理。</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保密要求</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（1）供应商必须严格遵守采购人信息安全方面的要求。对于参与项目的人员均需要签订统一的信息保密协议。</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（2）供应商应对以下信息进行保密，具体包括：</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项目信息：如业务流程、技术方案、业务数据（静态数据、动态数据、历史数据）、报表指标、技术指标、计算机软件、数据库、操作手册、技术资料等。</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保密信息既包括书面认定为保密或专有的，又包括口头给予，随即被书面确认为保密或专有的信息。保密信息存储介质包括但不限于纸质文档、电子文档、光盘、U盘、服务器等文档。</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3）供应商组建的项目成员在项目单位履行职责期间，必须遵守采购人规定的任何成文或不成文的保密规章、制度，履行与其工作岗位相应的保密职责。不向不承担相应保密义务的任何第三人披露采购人的商业秘密。</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（四）其他要求</w:t>
      </w:r>
      <w:r>
        <w:rPr>
          <w:rFonts w:ascii="宋体" w:hAnsi="宋体" w:eastAsia="宋体" w:cs="宋体"/>
          <w:b/>
          <w:bCs/>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因国家相关部门或能源供应公司给予采购人、供应商优惠政策而降低的能源费用应根据优惠政策条件由各方各自受益。该项目招投标等产生的费用由中标方支付，另外，</w:t>
      </w:r>
      <w:r>
        <w:rPr>
          <w:rFonts w:hint="eastAsia" w:ascii="宋体" w:hAnsi="宋体" w:eastAsia="宋体" w:cs="宋体"/>
          <w:sz w:val="21"/>
          <w:szCs w:val="21"/>
          <w:highlight w:val="none"/>
          <w:lang w:eastAsia="zh-CN"/>
        </w:rPr>
        <w:t xml:space="preserve">仪征市城市管理局</w:t>
      </w:r>
      <w:r>
        <w:rPr>
          <w:rFonts w:hint="eastAsia" w:ascii="宋体" w:hAnsi="宋体" w:eastAsia="宋体" w:cs="宋体"/>
          <w:sz w:val="21"/>
          <w:szCs w:val="21"/>
          <w:highlight w:val="none"/>
        </w:rPr>
        <w:t xml:space="preserve">能源审计报告及托管基准值核定报告的费用合计人民币叁万元，由供应商中标后支付给第三方（能源审计公司）。</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如单位年度内发生用能设备增减（20kW及以上）、用能时间增减、用能区域增减、极端天气及设备损坏、遭外力破坏、办公人员增减（50人及以上）、能源资源价格调整等原因导致的能源消耗发生重大变化，双方依据合同约定的调整方式或聘请第三方核定机构确定变化量，具体方式以书面补充协议形式确定。</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本项目改造建设周期：自招标人下达开工令之日起90个日历天。</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考核要求：</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供暖质量：供暖季保证每天室内温度满足不低于20℃的条件。</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供冷质量：供冷季保证每天室内温度满足不高于26℃的条件。</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服务指标：项目服务满意率95%以上；能源消耗量、能源费用、峰谷电比等核心数据维持较好应用水平，并呈现持续改进态势。</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服务时间：提供365天*24小时的不间断运维服务指导，为用户提供最灵活的用能体验。</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项目保障：建立健全项目相关组织构架、设备、系统、记录、创新、奖惩等各环节、多维度的规章制度，并执行到位。</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供暖、供冷周期：供暖周期一般为1月</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日至3月15日和11月15日至12月31日，供冷周期一般为5月25日至9月25日，如采购人提出个性化需求，则以采购人需求为准。</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质量要求：符合国家相关技术规范和要求。</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服务期限：</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年(从项目验收之日起的次月1号进入运维期）。</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六、综合说明</w:t>
      </w:r>
      <w:r>
        <w:rPr>
          <w:rFonts w:ascii="宋体" w:hAnsi="宋体" w:eastAsia="宋体" w:cs="宋体"/>
          <w:b/>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投标人必须承诺招标文件中提出的全部要求，如果其中某些条款不响应时，应在投标文件中逐条列出，未列出的视同响应。</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报价包括但不限于软件产品、开发实施、数据采集与加工、实现本项目功能所需要的第三方软件及接口升级改造、项目涉及的设备、劳务、制作、维护、升级、培训、评估、保险、利润、税金、人员、交通、食宿、验收、检测等完成项目所需的一切费用。并综合考虑可能影响价格的各项因素。</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本项目中所供产品如属财政部最近一期节能产品、环境标志产品强制采购品目清单的，则</w:t>
      </w:r>
      <w:r>
        <w:rPr>
          <w:rFonts w:hint="eastAsia" w:ascii="宋体" w:hAnsi="宋体" w:eastAsia="宋体" w:cs="宋体"/>
          <w:sz w:val="21"/>
          <w:szCs w:val="21"/>
          <w:highlight w:val="none"/>
          <w:lang w:val="zh-CN"/>
        </w:rPr>
        <w:t xml:space="preserve">投标人</w:t>
      </w:r>
      <w:r>
        <w:rPr>
          <w:rFonts w:hint="eastAsia" w:ascii="宋体" w:hAnsi="宋体" w:eastAsia="宋体" w:cs="宋体"/>
          <w:sz w:val="21"/>
          <w:szCs w:val="21"/>
          <w:highlight w:val="none"/>
        </w:rPr>
        <w:t xml:space="preserve">所投品目清单内产品的品牌和型号必须是节能、环保产品，投标文件中应当提供相应产品获得国家确定的认证机构出具的、处于有效期之内的节能产品认证证明材料，否则视为非实质性响应。具体要求请在中国政府采购网查询。</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本项目中所供产品如属于环境标志产品政府采购品目清单/节能产品政府采购品目清单内的优先采购产品，各投标人可提供由国家确定的认证机构出具的、处于有效期之内的节能产品、环境标志产品认证证书复印件。在评审报价折扣率相同情况下，提供优先采购产品更多的供应商优先中标。在提供的优先采购产品数量也相同情况下，则由评审委员会组织以抽签方式确定中标单位。</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验收标准：</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（1）按照现行国家规范、标准的要求及江苏省的有关规定等及招标文件要求执行。</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（2）中标单位要承担成果验收时的相关费用。</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3）中标单位应当于项目完成之日书面通知采购单位验收，采购单位组织有关专家，依据本项目合同约定使用的技术标准和技术要求，对中标单位所完成的工作完成验收，并提出成果验收报告书，特殊情况另行协商。对中标单位所提供的成果质量有争议的，由项目所在地的主管部门裁决，其费用由败诉方承担。</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5、中标单位为本项目配备的所有服务人员若人员在服务期间内出现的工伤及其他意外事故，均由中标单位自行负责，采购单位不承担任何责任。</w:t>
      </w:r>
      <w:r>
        <w:rPr>
          <w:rFonts w:ascii="宋体" w:hAnsi="宋体" w:eastAsia="宋体" w:cs="宋体"/>
          <w:sz w:val="21"/>
          <w:szCs w:val="21"/>
          <w:highlight w:val="none"/>
        </w:rPr>
      </w:r>
      <w:r/>
    </w:p>
    <w:p>
      <w:pPr>
        <w:pStyle w:val="984"/>
        <w:ind w:firstLine="420"/>
        <w:jc w:val="left"/>
        <w:keepLines w:val="0"/>
        <w:keepNext w:val="0"/>
        <w:pageBreakBefore w:val="0"/>
        <w:spacing w:line="432"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6、其他要求详见合同文件条款，如第四章招标书中内容与合同文本条款中内容如有冲突，以第四章招标书中内容为准。</w:t>
      </w:r>
      <w:r>
        <w:rPr>
          <w:rFonts w:hint="eastAsia" w:ascii="宋体" w:hAnsi="宋体" w:eastAsia="宋体" w:cs="宋体"/>
          <w:sz w:val="21"/>
          <w:szCs w:val="21"/>
          <w:highlight w:val="none"/>
          <w:lang w:val="en-US" w:eastAsia="zh-CN"/>
        </w:rPr>
      </w:r>
      <w:r/>
    </w:p>
    <w:p>
      <w:pPr>
        <w:pStyle w:val="984"/>
        <w:ind w:firstLine="420"/>
        <w:jc w:val="left"/>
        <w:keepLines w:val="0"/>
        <w:keepNext w:val="0"/>
        <w:pageBreakBefore w:val="0"/>
        <w:spacing w:line="432"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十三、本项目为电子投标，中标单位在领取成交通知书时需递交两份完整的投标文件。</w:t>
      </w:r>
      <w:r>
        <w:rPr>
          <w:rFonts w:hint="eastAsia" w:ascii="宋体" w:hAnsi="宋体" w:eastAsia="宋体" w:cs="宋体"/>
          <w:b/>
          <w:bCs/>
          <w:sz w:val="21"/>
          <w:szCs w:val="21"/>
          <w:highlight w:val="none"/>
          <w:lang w:val="en-US" w:eastAsia="zh-CN"/>
        </w:rPr>
      </w:r>
      <w:r/>
    </w:p>
    <w:p>
      <w:pPr>
        <w:pStyle w:val="984"/>
        <w:ind w:firstLine="422"/>
        <w:keepLines w:val="0"/>
        <w:keepNext w:val="0"/>
        <w:pageBreakBefore w:val="0"/>
        <w:spacing w:line="432" w:lineRule="auto"/>
        <w:widowControl w:val="off"/>
        <w:rPr>
          <w:rFonts w:hint="eastAsia" w:eastAsia="宋体" w:cs="Times New Roman"/>
          <w:b/>
          <w:bCs w:val="0"/>
          <w:iCs/>
          <w:color w:val="000000"/>
          <w:sz w:val="21"/>
          <w:szCs w:val="21"/>
          <w:highlight w:val="none"/>
          <w:lang w:val="en-US" w:eastAsia="zh-CN"/>
        </w:rPr>
        <w:outlineLvl w:val="9"/>
      </w:pPr>
      <w:r>
        <w:rPr>
          <w:rFonts w:hint="eastAsia" w:eastAsia="宋体" w:cs="Times New Roman"/>
          <w:b/>
          <w:bCs w:val="0"/>
          <w:iCs/>
          <w:color w:val="000000"/>
          <w:sz w:val="21"/>
          <w:szCs w:val="21"/>
          <w:highlight w:val="none"/>
          <w:lang w:val="en-US" w:eastAsia="zh-CN"/>
        </w:rPr>
      </w:r>
      <w:r/>
    </w:p>
    <w:p>
      <w:pPr>
        <w:pStyle w:val="984"/>
        <w:ind w:firstLine="480"/>
        <w:jc w:val="center"/>
        <w:keepLines w:val="0"/>
        <w:keepNext w:val="0"/>
        <w:pageBreakBefore w:val="0"/>
        <w:spacing w:line="440" w:lineRule="exact"/>
        <w:widowControl w:val="off"/>
        <w:rPr>
          <w:rStyle w:val="996"/>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61" w:name="_Toc20429"/>
      <w:r>
        <w:rPr>
          <w:rStyle w:val="996"/>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996"/>
          <w:rFonts w:hint="eastAsia" w:ascii="Times New Roman" w:hAnsi="Times New Roman" w:eastAsia="宋体" w:cs="Times New Roman"/>
          <w:color w:val="000000"/>
          <w:sz w:val="36"/>
          <w:szCs w:val="36"/>
          <w:highlight w:val="none"/>
          <w:lang w:val="en-US" w:eastAsia="zh-CN"/>
        </w:rPr>
      </w:r>
      <w:r/>
    </w:p>
    <w:p>
      <w:pPr>
        <w:pStyle w:val="1039"/>
        <w:ind w:firstLine="422"/>
        <w:jc w:val="both"/>
        <w:keepLines w:val="0"/>
        <w:keepNext w:val="0"/>
        <w:pageBreakBefore w:val="0"/>
        <w:spacing w:before="240" w:after="0"/>
        <w:widowControl w:val="off"/>
        <w:rPr>
          <w:rFonts w:ascii="宋体" w:hAnsi="宋体"/>
          <w:b/>
          <w:color w:val="000000"/>
          <w:sz w:val="21"/>
          <w:szCs w:val="21"/>
          <w:highlight w:val="none"/>
        </w:rPr>
      </w:pPr>
      <w:r/>
      <w:bookmarkEnd w:id="61"/>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1039"/>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984"/>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984"/>
        <w:ind w:firstLine="420"/>
        <w:spacing w:line="360" w:lineRule="auto"/>
        <w:rPr>
          <w:rFonts w:ascii="宋体" w:hAnsi="宋体"/>
          <w:b/>
          <w:szCs w:val="21"/>
          <w:highlight w:val="none"/>
        </w:rPr>
      </w:pPr>
      <w:r>
        <w:rPr>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szCs w:val="21"/>
          <w:highlight w:val="none"/>
        </w:rPr>
      </w:r>
      <w:r/>
    </w:p>
    <w:p>
      <w:pPr>
        <w:pStyle w:val="1039"/>
        <w:ind w:left="315" w:firstLine="105"/>
        <w:rPr>
          <w:rFonts w:ascii="宋体" w:hAnsi="宋体"/>
          <w:sz w:val="21"/>
          <w:szCs w:val="21"/>
          <w:highlight w:val="none"/>
        </w:rPr>
      </w:pPr>
      <w:r>
        <w:rPr>
          <w:rFonts w:ascii="宋体" w:hAnsi="宋体"/>
          <w:sz w:val="21"/>
          <w:szCs w:val="21"/>
          <w:highlight w:val="none"/>
        </w:rPr>
        <w:t xml:space="preserve">1、小微型企业价格扣除</w:t>
      </w:r>
      <w:r>
        <w:rPr>
          <w:rFonts w:ascii="宋体" w:hAnsi="宋体"/>
          <w:sz w:val="21"/>
          <w:szCs w:val="21"/>
          <w:highlight w:val="none"/>
        </w:rPr>
      </w:r>
      <w:r/>
    </w:p>
    <w:p>
      <w:pPr>
        <w:pStyle w:val="1039"/>
        <w:ind w:firstLine="420"/>
        <w:rPr>
          <w:rFonts w:ascii="宋体" w:hAnsi="宋体"/>
          <w:sz w:val="21"/>
          <w:szCs w:val="21"/>
          <w:highlight w:val="none"/>
        </w:rPr>
      </w:pPr>
      <w:r>
        <w:rPr>
          <w:rFonts w:ascii="宋体" w:hAnsi="宋体"/>
          <w:sz w:val="21"/>
          <w:szCs w:val="21"/>
          <w:highlight w:val="none"/>
        </w:rPr>
        <w:t xml:space="preserve">（1）本项目对小型和微型企业产品给予</w:t>
      </w:r>
      <w:r>
        <w:rPr>
          <w:rFonts w:hint="eastAsia" w:ascii="宋体" w:hAnsi="宋体"/>
          <w:sz w:val="21"/>
          <w:szCs w:val="21"/>
          <w:highlight w:val="none"/>
        </w:rPr>
        <w:t xml:space="preserve">20</w:t>
      </w:r>
      <w:r>
        <w:rPr>
          <w:rFonts w:ascii="宋体" w:hAnsi="宋体"/>
          <w:sz w:val="21"/>
          <w:szCs w:val="21"/>
          <w:highlight w:val="none"/>
        </w:rPr>
        <w:t xml:space="preserve">%的扣除价格，用扣除后的价格参与评审。</w:t>
      </w:r>
      <w:r>
        <w:rPr>
          <w:rFonts w:ascii="宋体" w:hAnsi="宋体"/>
          <w:sz w:val="21"/>
          <w:szCs w:val="21"/>
          <w:highlight w:val="none"/>
        </w:rPr>
      </w:r>
      <w:r/>
    </w:p>
    <w:p>
      <w:pPr>
        <w:pStyle w:val="1039"/>
        <w:ind w:firstLine="420"/>
        <w:rPr>
          <w:rFonts w:ascii="宋体" w:hAnsi="宋体"/>
          <w:sz w:val="21"/>
          <w:szCs w:val="21"/>
          <w:highlight w:val="none"/>
        </w:rPr>
      </w:pPr>
      <w:r>
        <w:rPr>
          <w:rFonts w:ascii="宋体" w:hAnsi="宋体"/>
          <w:sz w:val="21"/>
          <w:szCs w:val="21"/>
          <w:highlight w:val="none"/>
        </w:rPr>
        <w:t xml:space="preserve">（2）供应商需按照采购文件的要求提供相应的《企业声明函》。</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2、残疾人福利单位价格扣除</w:t>
      </w:r>
      <w:r>
        <w:rPr>
          <w:rFonts w:ascii="宋体" w:hAnsi="宋体"/>
          <w:sz w:val="21"/>
          <w:szCs w:val="21"/>
          <w:highlight w:val="none"/>
        </w:rPr>
      </w:r>
      <w:r/>
    </w:p>
    <w:p>
      <w:pPr>
        <w:pStyle w:val="1039"/>
        <w:ind w:left="315" w:firstLine="105"/>
        <w:rPr>
          <w:rFonts w:ascii="宋体" w:hAnsi="宋体"/>
          <w:sz w:val="21"/>
          <w:szCs w:val="21"/>
          <w:highlight w:val="none"/>
        </w:rPr>
      </w:pPr>
      <w:r>
        <w:rPr>
          <w:rFonts w:ascii="宋体" w:hAnsi="宋体"/>
          <w:sz w:val="21"/>
          <w:szCs w:val="21"/>
          <w:highlight w:val="none"/>
        </w:rPr>
        <w:t xml:space="preserve">（1）本项目对残疾人福利性单位视同小型、微型企业，给予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%的价格扣除，用扣除</w:t>
      </w:r>
      <w:r>
        <w:rPr>
          <w:rFonts w:ascii="宋体" w:hAnsi="宋体"/>
          <w:sz w:val="21"/>
          <w:szCs w:val="21"/>
          <w:highlight w:val="none"/>
        </w:rPr>
      </w:r>
      <w:r/>
    </w:p>
    <w:p>
      <w:pPr>
        <w:pStyle w:val="1039"/>
        <w:ind w:firstLine="0"/>
        <w:rPr>
          <w:rFonts w:ascii="宋体" w:hAnsi="宋体"/>
          <w:sz w:val="21"/>
          <w:szCs w:val="21"/>
          <w:highlight w:val="none"/>
        </w:rPr>
      </w:pPr>
      <w:r>
        <w:rPr>
          <w:rFonts w:ascii="宋体" w:hAnsi="宋体"/>
          <w:sz w:val="21"/>
          <w:szCs w:val="21"/>
          <w:highlight w:val="none"/>
        </w:rPr>
        <w:t xml:space="preserve">后的价格参与评审。</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（2）残疾人福利单位需按照采购文件的要求提供《残疾人福利性单位声明函》。</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（3）残疾人福利单位标准请参照《关于促进残疾人就业政府采购政策的通知》（财库</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〔2017〕141号）。</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3、监狱和戒毒企业价格扣除</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（1）本项目对监狱和戒毒企业（简称监狱企业）视同小型、微型企业，给予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w:t>
      </w:r>
      <w:r>
        <w:rPr>
          <w:rFonts w:ascii="宋体" w:hAnsi="宋体"/>
          <w:sz w:val="21"/>
          <w:szCs w:val="21"/>
          <w:highlight w:val="none"/>
        </w:rPr>
      </w:r>
      <w:r/>
    </w:p>
    <w:p>
      <w:pPr>
        <w:pStyle w:val="1039"/>
        <w:ind w:firstLine="0"/>
        <w:rPr>
          <w:rFonts w:ascii="宋体" w:hAnsi="宋体"/>
          <w:sz w:val="21"/>
          <w:szCs w:val="21"/>
          <w:highlight w:val="none"/>
        </w:rPr>
      </w:pPr>
      <w:r>
        <w:rPr>
          <w:rFonts w:ascii="宋体" w:hAnsi="宋体"/>
          <w:sz w:val="21"/>
          <w:szCs w:val="21"/>
          <w:highlight w:val="none"/>
        </w:rPr>
        <w:t xml:space="preserve">格扣除，用扣除后的价格参与评审。</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（2）监狱企业参加政府采购活动时，需提供由省级以上监狱管理局、戒毒管理局(含新</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疆生产建设兵团)出具的属于监狱企业的证明文件。供应商如不提供上述证明文件，价格将</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不做相应扣除。</w:t>
      </w:r>
      <w:r>
        <w:rPr>
          <w:rFonts w:ascii="宋体" w:hAnsi="宋体"/>
          <w:sz w:val="21"/>
          <w:szCs w:val="21"/>
          <w:highlight w:val="none"/>
        </w:rPr>
      </w:r>
      <w:r/>
    </w:p>
    <w:p>
      <w:pPr>
        <w:pStyle w:val="1039"/>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（3）监狱企业标准请参照《关于政府采购支持监狱企业发展有关问题的通知》（财库[2014]68号）。</w:t>
      </w:r>
      <w:r>
        <w:rPr>
          <w:rFonts w:ascii="宋体" w:hAnsi="宋体"/>
          <w:sz w:val="21"/>
          <w:szCs w:val="21"/>
          <w:highlight w:val="none"/>
        </w:rPr>
      </w:r>
      <w:r/>
    </w:p>
    <w:p>
      <w:pPr>
        <w:pStyle w:val="1039"/>
        <w:ind w:firstLine="420"/>
        <w:rPr>
          <w:rFonts w:ascii="宋体" w:hAnsi="宋体"/>
          <w:sz w:val="21"/>
          <w:szCs w:val="21"/>
          <w:highlight w:val="none"/>
        </w:rPr>
      </w:pPr>
      <w:r>
        <w:rPr>
          <w:rFonts w:ascii="宋体" w:hAnsi="宋体"/>
          <w:sz w:val="21"/>
          <w:szCs w:val="21"/>
          <w:highlight w:val="none"/>
        </w:rPr>
        <w:t xml:space="preserve">4、残疾人福利单位、监狱企业属于小型、微型企业的，不重复享受政策。</w:t>
      </w:r>
      <w:r>
        <w:rPr>
          <w:rFonts w:ascii="宋体" w:hAnsi="宋体"/>
          <w:sz w:val="21"/>
          <w:szCs w:val="21"/>
          <w:highlight w:val="none"/>
        </w:rPr>
      </w:r>
      <w:r/>
    </w:p>
    <w:p>
      <w:pPr>
        <w:pStyle w:val="1039"/>
        <w:ind w:left="0" w:firstLine="420"/>
        <w:keepLines w:val="0"/>
        <w:keepNext w:val="0"/>
        <w:pageBreakBefore w:val="0"/>
        <w:spacing w:before="0" w:after="0"/>
        <w:widowControl w:val="off"/>
        <w:rPr>
          <w:rFonts w:ascii="宋体" w:hAnsi="宋体"/>
          <w:sz w:val="21"/>
          <w:szCs w:val="21"/>
          <w:highlight w:val="none"/>
        </w:rPr>
      </w:pPr>
      <w:r>
        <w:rPr>
          <w:rFonts w:ascii="宋体" w:hAnsi="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highlight w:val="none"/>
        </w:rPr>
        <w:t xml:space="preserve">6</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1039"/>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6、联合体各方均为小型、微型企业（残疾人福利单位、监狱企业）的，联合体享受</w:t>
      </w:r>
      <w:r>
        <w:rPr>
          <w:rFonts w:hint="eastAsia" w:ascii="宋体" w:hAnsi="宋体"/>
          <w:sz w:val="21"/>
          <w:szCs w:val="21"/>
          <w:highlight w:val="none"/>
        </w:rPr>
        <w:t xml:space="preserve">20</w:t>
      </w:r>
      <w:r>
        <w:rPr>
          <w:rFonts w:ascii="宋体" w:hAnsi="宋体"/>
          <w:sz w:val="21"/>
          <w:szCs w:val="21"/>
          <w:highlight w:val="none"/>
        </w:rPr>
        <w:t xml:space="preserve">%价格扣除，用扣除后的价格参与评审。</w:t>
      </w:r>
      <w:r>
        <w:rPr>
          <w:rFonts w:ascii="宋体" w:hAnsi="宋体"/>
          <w:sz w:val="21"/>
          <w:szCs w:val="21"/>
          <w:highlight w:val="none"/>
        </w:rPr>
      </w:r>
      <w:r/>
    </w:p>
    <w:p>
      <w:pPr>
        <w:pStyle w:val="1039"/>
        <w:ind w:firstLine="420"/>
        <w:rPr>
          <w:rFonts w:hint="eastAsia" w:ascii="宋体" w:hAnsi="宋体"/>
          <w:b w:val="0"/>
          <w:bCs/>
          <w:color w:val="000000"/>
          <w:sz w:val="21"/>
          <w:szCs w:val="21"/>
          <w:highlight w:val="none"/>
        </w:rPr>
        <w:outlineLvl w:val="1"/>
      </w:pPr>
      <w:r>
        <w:rPr>
          <w:rFonts w:hint="eastAsia" w:ascii="宋体" w:hAnsi="宋体"/>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b w:val="0"/>
          <w:bCs/>
          <w:color w:val="000000"/>
          <w:sz w:val="21"/>
          <w:szCs w:val="21"/>
          <w:highlight w:val="none"/>
        </w:rPr>
      </w:r>
      <w:r/>
    </w:p>
    <w:p>
      <w:pPr>
        <w:pStyle w:val="1039"/>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9099" w:type="dxa"/>
        <w:tblInd w:w="-2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6"/>
        <w:gridCol w:w="7433"/>
      </w:tblGrid>
      <w:tr>
        <w:trPr>
          <w:trHeight w:val="694"/>
        </w:trPr>
        <w:tc>
          <w:tcPr>
            <w:tcW w:w="1666" w:type="dxa"/>
            <w:vAlign w:val="center"/>
            <w:textDirection w:val="lrTb"/>
            <w:noWrap w:val="false"/>
          </w:tcPr>
          <w:p>
            <w:pPr>
              <w:pStyle w:val="984"/>
              <w:jc w:val="center"/>
              <w:spacing w:line="320" w:lineRule="exact"/>
              <w:widowControl/>
              <w:rPr>
                <w:rFonts w:ascii="宋体" w:hAnsi="宋体"/>
                <w:b/>
                <w:bCs/>
                <w:sz w:val="21"/>
                <w:szCs w:val="21"/>
                <w:highlight w:val="none"/>
              </w:rPr>
            </w:pPr>
            <w:r/>
            <w:bookmarkEnd w:id="54"/>
            <w:r>
              <w:rPr>
                <w:rFonts w:hint="eastAsia" w:ascii="宋体" w:hAnsi="宋体"/>
                <w:b/>
                <w:bCs/>
                <w:sz w:val="21"/>
                <w:szCs w:val="21"/>
                <w:highlight w:val="none"/>
              </w:rPr>
              <w:t xml:space="preserve">评分因素</w:t>
            </w:r>
            <w:r>
              <w:rPr>
                <w:rFonts w:ascii="宋体" w:hAnsi="宋体"/>
                <w:b/>
                <w:bCs/>
                <w:sz w:val="21"/>
                <w:szCs w:val="21"/>
                <w:highlight w:val="none"/>
              </w:rPr>
            </w:r>
            <w:r/>
          </w:p>
        </w:tc>
        <w:tc>
          <w:tcPr>
            <w:tcW w:w="7433" w:type="dxa"/>
            <w:vAlign w:val="center"/>
            <w:textDirection w:val="lrTb"/>
            <w:noWrap w:val="false"/>
          </w:tcPr>
          <w:p>
            <w:pPr>
              <w:pStyle w:val="984"/>
              <w:jc w:val="center"/>
              <w:spacing w:line="320" w:lineRule="exact"/>
              <w:widowControl/>
              <w:rPr>
                <w:rFonts w:ascii="宋体" w:hAnsi="宋体"/>
                <w:b/>
                <w:bCs/>
                <w:sz w:val="21"/>
                <w:szCs w:val="21"/>
                <w:highlight w:val="none"/>
              </w:rPr>
            </w:pPr>
            <w:r>
              <w:rPr>
                <w:rFonts w:hint="eastAsia" w:ascii="宋体" w:hAnsi="宋体"/>
                <w:b/>
                <w:bCs/>
                <w:sz w:val="21"/>
                <w:szCs w:val="21"/>
                <w:highlight w:val="none"/>
              </w:rPr>
              <w:t xml:space="preserve">评分内容及办法</w:t>
            </w:r>
            <w:r>
              <w:rPr>
                <w:rFonts w:ascii="宋体" w:hAnsi="宋体"/>
                <w:b/>
                <w:bCs/>
                <w:sz w:val="21"/>
                <w:szCs w:val="21"/>
                <w:highlight w:val="none"/>
              </w:rPr>
            </w:r>
            <w:r/>
          </w:p>
        </w:tc>
      </w:tr>
      <w:tr>
        <w:trPr>
          <w:trHeight w:val="1123"/>
        </w:trPr>
        <w:tc>
          <w:tcPr>
            <w:tcW w:w="1666" w:type="dxa"/>
            <w:vAlign w:val="center"/>
            <w:textDirection w:val="lrTb"/>
            <w:noWrap w:val="false"/>
          </w:tcPr>
          <w:p>
            <w:pPr>
              <w:pStyle w:val="98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p>
            <w:pPr>
              <w:pStyle w:val="984"/>
              <w:jc w:val="center"/>
              <w:rPr>
                <w:rFonts w:ascii="宋体" w:hAnsi="宋体" w:eastAsia="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ascii="宋体" w:hAnsi="宋体" w:eastAsia="宋体"/>
                <w:sz w:val="21"/>
                <w:szCs w:val="21"/>
                <w:highlight w:val="none"/>
                <w:lang w:val="en-US" w:eastAsia="zh-CN"/>
              </w:rPr>
            </w:r>
            <w:r/>
          </w:p>
        </w:tc>
        <w:tc>
          <w:tcPr>
            <w:tcW w:w="7433" w:type="dxa"/>
            <w:vAlign w:val="center"/>
            <w:textDirection w:val="lrTb"/>
            <w:noWrap w:val="false"/>
          </w:tcPr>
          <w:p>
            <w:pPr>
              <w:pStyle w:val="984"/>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sz w:val="21"/>
                <w:szCs w:val="21"/>
                <w:highlight w:val="none"/>
              </w:rPr>
            </w:r>
            <w:r/>
          </w:p>
          <w:p>
            <w:pPr>
              <w:pStyle w:val="984"/>
              <w:rPr>
                <w:rFonts w:hint="eastAsia"/>
                <w:sz w:val="21"/>
                <w:szCs w:val="21"/>
                <w:highlight w:val="none"/>
              </w:rPr>
            </w:pPr>
            <w:r>
              <w:rPr>
                <w:rFonts w:hint="eastAsia" w:ascii="宋体" w:hAnsi="宋体" w:eastAsia="宋体" w:cs="宋体"/>
                <w:sz w:val="21"/>
                <w:szCs w:val="21"/>
                <w:highlight w:val="none"/>
              </w:rPr>
              <w:t xml:space="preserve">投标报价得分=（评标基准价／投标报价)×</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。（小数点保留两位）</w:t>
            </w:r>
            <w:r>
              <w:rPr>
                <w:rFonts w:hint="eastAsia"/>
                <w:sz w:val="21"/>
                <w:szCs w:val="21"/>
                <w:highlight w:val="none"/>
              </w:rPr>
            </w:r>
            <w:r/>
          </w:p>
        </w:tc>
      </w:tr>
      <w:tr>
        <w:trPr>
          <w:trHeight w:val="1827"/>
        </w:trPr>
        <w:tc>
          <w:tcPr>
            <w:tcW w:w="1666" w:type="dxa"/>
            <w:vAlign w:val="center"/>
            <w:textDirection w:val="lrTb"/>
            <w:noWrap w:val="false"/>
          </w:tcPr>
          <w:p>
            <w:pPr>
              <w:pStyle w:val="984"/>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主要设备技术参数要求</w:t>
            </w:r>
            <w:r>
              <w:rPr>
                <w:rFonts w:hint="eastAsia" w:ascii="宋体" w:hAnsi="宋体" w:eastAsia="宋体" w:cs="宋体"/>
                <w:sz w:val="21"/>
                <w:szCs w:val="21"/>
                <w:highlight w:val="none"/>
                <w:lang w:val="en-US" w:eastAsia="zh-CN"/>
              </w:rPr>
            </w:r>
            <w:r/>
          </w:p>
          <w:p>
            <w:pPr>
              <w:pStyle w:val="984"/>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招标文件中具体的主要设备技术参数响应程度：全部响应满足招标文件参数要求的得 6 分；标注 “★” 的参数要求如有负偏离，每项扣2分；</w:t>
            </w:r>
            <w:r>
              <w:rPr>
                <w:rFonts w:hint="eastAsia" w:ascii="宋体" w:hAnsi="宋体"/>
                <w:color w:val="000000"/>
                <w:sz w:val="21"/>
                <w:szCs w:val="21"/>
                <w:highlight w:val="none"/>
                <w:lang w:val="en-US" w:eastAsia="zh-CN"/>
              </w:rPr>
              <w:t xml:space="preserve">未标注“</w:t>
            </w:r>
            <w:r>
              <w:rPr>
                <w:rFonts w:hint="eastAsia" w:ascii="宋体" w:hAnsi="宋体" w:eastAsia="宋体" w:cs="宋体"/>
                <w:sz w:val="21"/>
                <w:szCs w:val="21"/>
                <w:highlight w:val="none"/>
                <w:lang w:val="en-US" w:eastAsia="zh-CN" w:bidi="ar"/>
              </w:rPr>
              <w:t xml:space="preserve">★</w:t>
            </w:r>
            <w:r>
              <w:rPr>
                <w:rFonts w:hint="eastAsia" w:ascii="宋体" w:hAnsi="宋体"/>
                <w:color w:val="000000"/>
                <w:sz w:val="21"/>
                <w:szCs w:val="21"/>
                <w:highlight w:val="none"/>
                <w:lang w:val="en-US" w:eastAsia="zh-CN"/>
              </w:rPr>
              <w:t xml:space="preserve">”的条款，每出现一项偏离扣1分，扣完为止。</w:t>
            </w:r>
            <w:r>
              <w:rPr>
                <w:rFonts w:hint="eastAsia" w:ascii="宋体" w:hAnsi="宋体" w:eastAsia="宋体" w:cs="宋体"/>
                <w:sz w:val="21"/>
                <w:szCs w:val="21"/>
                <w:highlight w:val="none"/>
                <w:lang w:val="en-US" w:eastAsia="zh-CN" w:bidi="ar"/>
              </w:rPr>
            </w:r>
            <w:r/>
          </w:p>
          <w:p>
            <w:pPr>
              <w:pStyle w:val="991"/>
              <w:rPr>
                <w:rFonts w:hint="eastAsia"/>
                <w:highlight w:val="none"/>
              </w:rPr>
            </w:pPr>
            <w:r>
              <w:rPr>
                <w:rFonts w:hint="eastAsia" w:ascii="宋体" w:hAnsi="宋体"/>
                <w:b/>
                <w:bCs/>
                <w:i w:val="0"/>
                <w:iCs w:val="0"/>
                <w:color w:val="000000"/>
                <w:sz w:val="21"/>
                <w:szCs w:val="21"/>
                <w:highlight w:val="none"/>
                <w:u w:val="none"/>
                <w:lang w:val="en-US" w:eastAsia="zh-CN"/>
              </w:rPr>
              <w:t xml:space="preserve">（标注“</w:t>
            </w:r>
            <w:r>
              <w:rPr>
                <w:rFonts w:hint="eastAsia" w:ascii="宋体" w:hAnsi="宋体" w:eastAsia="宋体" w:cs="宋体"/>
                <w:sz w:val="21"/>
                <w:szCs w:val="21"/>
                <w:highlight w:val="none"/>
                <w:lang w:val="en-US" w:eastAsia="zh-CN" w:bidi="ar"/>
              </w:rPr>
              <w:t xml:space="preserve">★</w:t>
            </w:r>
            <w:r>
              <w:rPr>
                <w:rFonts w:hint="eastAsia" w:ascii="宋体" w:hAnsi="宋体"/>
                <w:b/>
                <w:bCs/>
                <w:i w:val="0"/>
                <w:iCs w:val="0"/>
                <w:color w:val="000000"/>
                <w:sz w:val="21"/>
                <w:szCs w:val="21"/>
                <w:highlight w:val="none"/>
                <w:u w:val="none"/>
                <w:lang w:val="en-US" w:eastAsia="zh-CN"/>
              </w:rPr>
              <w:t xml:space="preserve">”的须提供相关证明材料</w:t>
            </w:r>
            <w:r>
              <w:rPr>
                <w:rFonts w:ascii="宋体" w:hAnsi="宋体"/>
                <w:b/>
                <w:bCs/>
                <w:i w:val="0"/>
                <w:iCs w:val="0"/>
                <w:color w:val="000000"/>
                <w:sz w:val="21"/>
                <w:szCs w:val="21"/>
                <w:highlight w:val="none"/>
                <w:u w:val="none"/>
                <w:lang w:val="en-US" w:eastAsia="zh-CN"/>
              </w:rPr>
              <w:t xml:space="preserve">的</w:t>
            </w:r>
            <w:r>
              <w:rPr>
                <w:rFonts w:hint="eastAsia" w:ascii="宋体" w:hAnsi="宋体"/>
                <w:b/>
                <w:bCs/>
                <w:i w:val="0"/>
                <w:iCs w:val="0"/>
                <w:color w:val="000000"/>
                <w:sz w:val="21"/>
                <w:szCs w:val="21"/>
                <w:highlight w:val="none"/>
                <w:u w:val="none"/>
                <w:lang w:val="en-US" w:eastAsia="zh-CN"/>
              </w:rPr>
              <w:t xml:space="preserve">原件并扫描上传；未标注“</w:t>
            </w:r>
            <w:r>
              <w:rPr>
                <w:rFonts w:hint="eastAsia" w:ascii="宋体" w:hAnsi="宋体" w:eastAsia="宋体" w:cs="宋体"/>
                <w:sz w:val="21"/>
                <w:szCs w:val="21"/>
                <w:highlight w:val="none"/>
                <w:lang w:val="en-US" w:eastAsia="zh-CN" w:bidi="ar"/>
              </w:rPr>
              <w:t xml:space="preserve">★</w:t>
            </w:r>
            <w:r>
              <w:rPr>
                <w:rFonts w:hint="eastAsia" w:ascii="宋体" w:hAnsi="宋体"/>
                <w:b/>
                <w:bCs/>
                <w:i w:val="0"/>
                <w:iCs w:val="0"/>
                <w:color w:val="000000"/>
                <w:sz w:val="21"/>
                <w:szCs w:val="21"/>
                <w:highlight w:val="none"/>
                <w:u w:val="none"/>
                <w:lang w:val="en-US" w:eastAsia="zh-CN"/>
              </w:rPr>
              <w:t xml:space="preserve">”的条款提供技术要求响应及偏离表；不提供的不得分）</w:t>
            </w:r>
            <w:r>
              <w:rPr>
                <w:rFonts w:hint="eastAsia"/>
                <w:highlight w:val="none"/>
              </w:rPr>
            </w:r>
            <w:r/>
          </w:p>
        </w:tc>
      </w:tr>
      <w:tr>
        <w:trPr>
          <w:trHeight w:val="1109"/>
        </w:trPr>
        <w:tc>
          <w:tcPr>
            <w:tcW w:w="1666" w:type="dxa"/>
            <w:vAlign w:val="center"/>
            <w:vMerge w:val="restart"/>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服务团队人员配备</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（20分）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numPr>
                <w:ilvl w:val="0"/>
                <w:numId w:val="0"/>
              </w:numPr>
              <w:jc w:val="both"/>
              <w:rPr>
                <w:rFonts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投标人或其联合体单位拟投入本项目的项目经理</w:t>
            </w:r>
            <w:r>
              <w:rPr>
                <w:rFonts w:hint="eastAsia" w:ascii="宋体" w:hAnsi="宋体" w:eastAsia="宋体" w:cs="宋体"/>
                <w:sz w:val="21"/>
                <w:szCs w:val="21"/>
                <w:highlight w:val="none"/>
                <w:lang w:val="en-US" w:eastAsia="zh-CN" w:bidi="ar"/>
              </w:rPr>
              <w:t xml:space="preserve">：</w:t>
            </w:r>
            <w:r>
              <w:rPr>
                <w:rFonts w:ascii="宋体" w:hAnsi="宋体" w:eastAsia="宋体" w:cs="宋体"/>
                <w:sz w:val="21"/>
                <w:szCs w:val="21"/>
                <w:highlight w:val="none"/>
                <w:lang w:val="en-US" w:eastAsia="zh-CN" w:bidi="ar"/>
              </w:rPr>
            </w:r>
            <w:r/>
          </w:p>
          <w:p>
            <w:pPr>
              <w:pStyle w:val="984"/>
              <w:numPr>
                <w:ilvl w:val="0"/>
                <w:numId w:val="0"/>
              </w:numPr>
              <w:ind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1.同时具有二级及以上建造师证书（机电工程专业）、安全员 B 证，</w:t>
            </w:r>
            <w:r>
              <w:rPr>
                <w:rFonts w:hint="eastAsia" w:ascii="宋体" w:hAnsi="宋体" w:eastAsia="宋体" w:cs="宋体"/>
                <w:sz w:val="21"/>
                <w:szCs w:val="21"/>
                <w:highlight w:val="none"/>
                <w:lang w:val="en-US" w:eastAsia="zh-CN" w:bidi="ar"/>
              </w:rPr>
              <w:t xml:space="preserve">得2分；</w:t>
            </w:r>
            <w:r>
              <w:rPr>
                <w:rFonts w:hint="eastAsia" w:ascii="宋体" w:hAnsi="宋体" w:eastAsia="宋体" w:cs="宋体"/>
                <w:sz w:val="21"/>
                <w:szCs w:val="21"/>
                <w:highlight w:val="none"/>
                <w:lang w:val="en-US" w:eastAsia="zh-CN" w:bidi="ar"/>
              </w:rPr>
            </w:r>
            <w:r/>
          </w:p>
          <w:p>
            <w:pPr>
              <w:pStyle w:val="984"/>
              <w:numPr>
                <w:ilvl w:val="0"/>
                <w:numId w:val="0"/>
              </w:numPr>
              <w:ind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具有</w:t>
            </w:r>
            <w:r>
              <w:rPr>
                <w:rFonts w:hint="eastAsia" w:ascii="宋体" w:hAnsi="宋体" w:eastAsia="宋体" w:cs="宋体"/>
                <w:sz w:val="21"/>
                <w:szCs w:val="21"/>
                <w:highlight w:val="none"/>
                <w:lang w:val="en-US" w:eastAsia="zh-CN" w:bidi="ar"/>
              </w:rPr>
              <w:t xml:space="preserve">系统集成项目管理工程师、信息系统项目管理工程师证书；每提供一个得2分，本项最高得4分。</w:t>
            </w:r>
            <w:r>
              <w:rPr>
                <w:rFonts w:hint="eastAsia" w:ascii="宋体" w:hAnsi="宋体" w:eastAsia="宋体" w:cs="宋体"/>
                <w:sz w:val="21"/>
                <w:szCs w:val="21"/>
                <w:highlight w:val="none"/>
                <w:lang w:val="en-US" w:eastAsia="zh-CN" w:bidi="ar"/>
              </w:rPr>
            </w:r>
            <w:r/>
          </w:p>
          <w:p>
            <w:pPr>
              <w:pStyle w:val="984"/>
              <w:numPr>
                <w:ilvl w:val="0"/>
                <w:numId w:val="0"/>
              </w:numPr>
              <w:jc w:val="both"/>
              <w:rPr>
                <w:rFonts w:hint="eastAsia" w:ascii="宋体" w:hAnsi="宋体" w:eastAsia="宋体" w:cs="宋体"/>
                <w:sz w:val="21"/>
                <w:szCs w:val="21"/>
                <w:highlight w:val="none"/>
                <w:lang w:val="en-US" w:eastAsia="zh-CN"/>
              </w:rPr>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证书及投标</w:t>
            </w:r>
            <w:r>
              <w:rPr>
                <w:rFonts w:hint="eastAsia" w:ascii="宋体" w:hAnsi="宋体" w:eastAsia="宋体" w:cs="宋体"/>
                <w:b/>
                <w:bCs/>
                <w:color w:val="000000"/>
                <w:sz w:val="21"/>
                <w:szCs w:val="21"/>
                <w:highlight w:val="none"/>
                <w:lang w:val="en-US" w:eastAsia="zh-CN"/>
              </w:rPr>
              <w:t xml:space="preserve">人为其缴纳的</w:t>
            </w:r>
            <w:r>
              <w:rPr>
                <w:rFonts w:hint="eastAsia" w:ascii="宋体" w:hAnsi="宋体" w:eastAsia="宋体" w:cs="宋体"/>
                <w:b/>
                <w:bCs/>
                <w:color w:val="000000"/>
                <w:sz w:val="21"/>
                <w:szCs w:val="21"/>
                <w:highlight w:val="none"/>
              </w:rPr>
              <w:t xml:space="preserve">近三个月内任意一个月社保证明</w:t>
            </w:r>
            <w:r>
              <w:rPr>
                <w:rFonts w:hint="eastAsia" w:ascii="宋体" w:hAnsi="宋体" w:eastAsia="宋体" w:cs="宋体"/>
                <w:b/>
                <w:bCs/>
                <w:color w:val="000000"/>
                <w:sz w:val="21"/>
                <w:szCs w:val="21"/>
                <w:highlight w:val="none"/>
                <w:lang w:val="en-US" w:eastAsia="zh-CN"/>
              </w:rPr>
              <w:t xml:space="preserve">材料原件</w:t>
            </w:r>
            <w:r>
              <w:rPr>
                <w:rFonts w:hint="eastAsia" w:ascii="宋体" w:hAnsi="宋体" w:eastAsia="宋体" w:cs="宋体"/>
                <w:b/>
                <w:bCs/>
                <w:color w:val="000000"/>
                <w:sz w:val="21"/>
                <w:szCs w:val="21"/>
                <w:highlight w:val="none"/>
              </w:rPr>
              <w:t xml:space="preserve">，扫描上传）</w:t>
            </w:r>
            <w:r>
              <w:rPr>
                <w:rFonts w:hint="eastAsia" w:ascii="宋体" w:hAnsi="宋体" w:eastAsia="宋体" w:cs="宋体"/>
                <w:sz w:val="21"/>
                <w:szCs w:val="21"/>
                <w:highlight w:val="none"/>
                <w:lang w:val="en-US" w:eastAsia="zh-CN"/>
              </w:rPr>
            </w:r>
            <w:r/>
          </w:p>
        </w:tc>
      </w:tr>
      <w:tr>
        <w:trPr>
          <w:trHeight w:val="1109"/>
        </w:trPr>
        <w:tc>
          <w:tcPr>
            <w:tcW w:w="1666" w:type="dxa"/>
            <w:vAlign w:val="center"/>
            <w:vMerge w:val="continue"/>
            <w:textDirection w:val="lrTb"/>
            <w:noWrap w:val="false"/>
          </w:tcPr>
          <w:p>
            <w:pPr>
              <w:pStyle w:val="984"/>
              <w:jc w:val="both"/>
              <w:rPr>
                <w:highlight w:val="none"/>
              </w:rPr>
            </w:pPr>
            <w:r>
              <w:rPr>
                <w:highlight w:val="none"/>
              </w:rPr>
            </w:r>
            <w:r/>
          </w:p>
        </w:tc>
        <w:tc>
          <w:tcPr>
            <w:tcW w:w="7433" w:type="dxa"/>
            <w:vAlign w:val="center"/>
            <w:textDirection w:val="lrTb"/>
            <w:noWrap w:val="false"/>
          </w:tcPr>
          <w:p>
            <w:pPr>
              <w:pStyle w:val="984"/>
              <w:numPr>
                <w:ilvl w:val="0"/>
                <w:numId w:val="0"/>
              </w:numPr>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投标人或其联合体单位拟投入本项目服务团队的服务人员：（不含项目经理）</w:t>
            </w:r>
            <w:r>
              <w:rPr>
                <w:rFonts w:hint="eastAsia" w:ascii="宋体" w:hAnsi="宋体" w:eastAsia="宋体" w:cs="宋体"/>
                <w:sz w:val="21"/>
                <w:szCs w:val="21"/>
                <w:highlight w:val="none"/>
                <w:lang w:val="en-US" w:eastAsia="zh-CN" w:bidi="ar"/>
              </w:rPr>
            </w:r>
            <w:r/>
          </w:p>
          <w:p>
            <w:pPr>
              <w:pStyle w:val="984"/>
              <w:numPr>
                <w:ilvl w:val="0"/>
                <w:numId w:val="0"/>
              </w:numPr>
              <w:ind w:lef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1.具有系统集成项目管理工程师、网络工程师、信息系统项目管理师，每有一个得2分，本项最高得6分。</w:t>
            </w:r>
            <w:r>
              <w:rPr>
                <w:rFonts w:hint="eastAsia" w:ascii="宋体" w:hAnsi="宋体" w:eastAsia="宋体" w:cs="宋体"/>
                <w:sz w:val="21"/>
                <w:szCs w:val="21"/>
                <w:highlight w:val="none"/>
                <w:lang w:val="en-US" w:eastAsia="zh-CN" w:bidi="ar"/>
              </w:rPr>
            </w:r>
            <w:r/>
          </w:p>
          <w:p>
            <w:pPr>
              <w:pStyle w:val="984"/>
              <w:ind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2.具有电气专业高级工程师技术资格证书的，并在全国联网建设人才认证查询平台（中国建设人才服务信息网）可查验，每有一个得2分，本项最高得2分。</w:t>
            </w:r>
            <w:r>
              <w:rPr>
                <w:rFonts w:hint="eastAsia" w:ascii="宋体" w:hAnsi="宋体" w:eastAsia="宋体" w:cs="宋体"/>
                <w:sz w:val="21"/>
                <w:szCs w:val="21"/>
                <w:highlight w:val="none"/>
                <w:lang w:val="en-US" w:eastAsia="zh-CN" w:bidi="ar"/>
              </w:rPr>
            </w:r>
            <w:r/>
          </w:p>
          <w:p>
            <w:pPr>
              <w:pStyle w:val="984"/>
              <w:numPr>
                <w:ilvl w:val="0"/>
                <w:numId w:val="0"/>
              </w:numPr>
              <w:ind w:lef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3.具备政府部门颁发的高处作业证书、低压电工证书，每有1个得2分，本项最高得4分。</w:t>
            </w:r>
            <w:r>
              <w:rPr>
                <w:rFonts w:hint="eastAsia" w:ascii="宋体" w:hAnsi="宋体" w:eastAsia="宋体" w:cs="宋体"/>
                <w:sz w:val="21"/>
                <w:szCs w:val="21"/>
                <w:highlight w:val="none"/>
                <w:lang w:val="en-US" w:eastAsia="zh-CN" w:bidi="ar"/>
              </w:rPr>
            </w:r>
            <w:r/>
          </w:p>
          <w:p>
            <w:pPr>
              <w:pStyle w:val="984"/>
              <w:ind w:left="0" w:firstLine="420"/>
              <w:jc w:val="both"/>
              <w:keepLines w:val="0"/>
              <w:keepNext w:val="0"/>
              <w:pageBreakBefore w:val="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4.具备客户服务管理师国家职业资格证书，每有一个得2分，本项最高得2分。</w:t>
            </w:r>
            <w:r>
              <w:rPr>
                <w:rFonts w:hint="eastAsia" w:ascii="宋体" w:hAnsi="宋体" w:eastAsia="宋体" w:cs="宋体"/>
                <w:sz w:val="21"/>
                <w:szCs w:val="21"/>
                <w:highlight w:val="none"/>
                <w:lang w:val="en-US" w:eastAsia="zh-CN" w:bidi="ar"/>
              </w:rPr>
            </w:r>
            <w:r/>
          </w:p>
          <w:p>
            <w:pPr>
              <w:pStyle w:val="984"/>
              <w:numPr>
                <w:ilvl w:val="0"/>
                <w:numId w:val="0"/>
              </w:numPr>
              <w:jc w:val="both"/>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证书及投标</w:t>
            </w:r>
            <w:r>
              <w:rPr>
                <w:rFonts w:hint="eastAsia" w:ascii="宋体" w:hAnsi="宋体" w:eastAsia="宋体" w:cs="宋体"/>
                <w:b/>
                <w:bCs/>
                <w:color w:val="000000"/>
                <w:sz w:val="21"/>
                <w:szCs w:val="21"/>
                <w:highlight w:val="none"/>
                <w:lang w:val="en-US" w:eastAsia="zh-CN"/>
              </w:rPr>
              <w:t xml:space="preserve">人为其缴纳的</w:t>
            </w:r>
            <w:r>
              <w:rPr>
                <w:rFonts w:hint="eastAsia" w:ascii="宋体" w:hAnsi="宋体" w:eastAsia="宋体" w:cs="宋体"/>
                <w:b/>
                <w:bCs/>
                <w:color w:val="000000"/>
                <w:sz w:val="21"/>
                <w:szCs w:val="21"/>
                <w:highlight w:val="none"/>
              </w:rPr>
              <w:t xml:space="preserve">近三个月内任意一个月社保证明</w:t>
            </w:r>
            <w:r>
              <w:rPr>
                <w:rFonts w:hint="eastAsia" w:ascii="宋体" w:hAnsi="宋体" w:eastAsia="宋体" w:cs="宋体"/>
                <w:b/>
                <w:bCs/>
                <w:color w:val="000000"/>
                <w:sz w:val="21"/>
                <w:szCs w:val="21"/>
                <w:highlight w:val="none"/>
                <w:lang w:val="en-US" w:eastAsia="zh-CN"/>
              </w:rPr>
              <w:t xml:space="preserve">材料原件</w:t>
            </w:r>
            <w:r>
              <w:rPr>
                <w:rFonts w:hint="eastAsia" w:ascii="宋体" w:hAnsi="宋体" w:eastAsia="宋体" w:cs="宋体"/>
                <w:b/>
                <w:bCs/>
                <w:color w:val="000000"/>
                <w:sz w:val="21"/>
                <w:szCs w:val="21"/>
                <w:highlight w:val="none"/>
              </w:rPr>
              <w:t xml:space="preserve">，扫描上传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未提供或提供不全不得分，同一人员证书不重复得分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tc>
      </w:tr>
      <w:tr>
        <w:trPr>
          <w:trHeight w:val="1092"/>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综合能源节能改造项目案例（6分）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投标人或其联合体单位自202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年1月1日（以合同签订时间为准）至今承接过类似项目业绩的，每提供一个得2分，本项最高</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4"/>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color w:val="000000"/>
                <w:sz w:val="21"/>
                <w:szCs w:val="21"/>
                <w:highlight w:val="none"/>
              </w:rPr>
              <w:t xml:space="preserve">（提供相关业绩合同</w:t>
            </w:r>
            <w:r>
              <w:rPr>
                <w:rFonts w:hint="eastAsia" w:ascii="宋体" w:hAnsi="宋体" w:eastAsia="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rPr>
              <w:t xml:space="preserve">，扫描上传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未提供或提供不全不得分</w:t>
            </w:r>
            <w:r>
              <w:rPr>
                <w:rFonts w:hint="eastAsia" w:ascii="宋体" w:hAnsi="宋体" w:eastAsia="宋体" w:cs="宋体"/>
                <w:b/>
                <w:bCs/>
                <w:color w:val="000000"/>
                <w:sz w:val="21"/>
                <w:szCs w:val="21"/>
                <w:highlight w:val="none"/>
              </w:rPr>
              <w:t xml:space="preserve">）</w:t>
            </w:r>
            <w:r>
              <w:rPr>
                <w:rFonts w:hint="eastAsia" w:ascii="宋体" w:hAnsi="宋体" w:eastAsia="宋体" w:cs="宋体"/>
                <w:sz w:val="21"/>
                <w:szCs w:val="21"/>
                <w:highlight w:val="none"/>
                <w:lang w:val="en-US" w:eastAsia="zh-CN"/>
              </w:rPr>
            </w:r>
            <w:r/>
          </w:p>
        </w:tc>
      </w:tr>
      <w:tr>
        <w:trPr>
          <w:trHeight w:val="1375"/>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投标人</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综合实力</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（8分）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numPr>
                <w:ilvl w:val="0"/>
                <w:numId w:val="0"/>
              </w:numPr>
              <w:ind w:firstLine="420"/>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rPr>
              <w:t xml:space="preserve">投标人或其联合体单位具有节能技术服务认证证书得2分；</w:t>
            </w:r>
            <w:r>
              <w:rPr>
                <w:rFonts w:hint="eastAsia" w:ascii="宋体" w:hAnsi="宋体" w:eastAsia="宋体" w:cs="宋体"/>
                <w:color w:val="000000"/>
                <w:sz w:val="21"/>
                <w:szCs w:val="21"/>
                <w:highlight w:val="none"/>
                <w:lang w:val="en-US" w:eastAsia="zh-CN"/>
              </w:rPr>
            </w:r>
            <w:r/>
          </w:p>
          <w:p>
            <w:pPr>
              <w:pStyle w:val="984"/>
              <w:numPr>
                <w:ilvl w:val="0"/>
                <w:numId w:val="0"/>
              </w:numPr>
              <w:ind w:firstLine="420"/>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投标人或其联合体单位具有合同能源管理服务认证证书得2分；</w:t>
            </w:r>
            <w:r>
              <w:rPr>
                <w:rFonts w:hint="eastAsia" w:ascii="宋体" w:hAnsi="宋体" w:eastAsia="宋体" w:cs="宋体"/>
                <w:color w:val="000000"/>
                <w:sz w:val="21"/>
                <w:szCs w:val="21"/>
                <w:highlight w:val="none"/>
                <w:lang w:val="en-US" w:eastAsia="zh-CN"/>
              </w:rPr>
            </w:r>
            <w:r/>
          </w:p>
          <w:p>
            <w:pPr>
              <w:pStyle w:val="991"/>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3.投标人或其联合体单位具有综合</w:t>
            </w:r>
            <w:r>
              <w:rPr>
                <w:rFonts w:hint="eastAsia" w:ascii="宋体" w:hAnsi="宋体" w:eastAsia="宋体" w:cs="宋体"/>
                <w:color w:val="000000"/>
                <w:sz w:val="21"/>
                <w:szCs w:val="21"/>
                <w:highlight w:val="none"/>
              </w:rPr>
              <w:t xml:space="preserve">能源</w:t>
            </w:r>
            <w:r>
              <w:rPr>
                <w:rFonts w:hint="eastAsia" w:ascii="宋体" w:hAnsi="宋体" w:eastAsia="宋体" w:cs="宋体"/>
                <w:color w:val="000000"/>
                <w:sz w:val="21"/>
                <w:szCs w:val="21"/>
                <w:highlight w:val="none"/>
                <w:lang w:val="en-US" w:eastAsia="zh-CN"/>
              </w:rPr>
              <w:t xml:space="preserve">服务认证</w:t>
            </w:r>
            <w:r>
              <w:rPr>
                <w:rFonts w:hint="eastAsia" w:ascii="宋体" w:hAnsi="宋体" w:eastAsia="宋体" w:cs="宋体"/>
                <w:color w:val="000000"/>
                <w:sz w:val="21"/>
                <w:szCs w:val="21"/>
                <w:highlight w:val="none"/>
              </w:rPr>
              <w:t xml:space="preserve">证书得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2"/>
              <w:ind w:firstLine="420"/>
              <w:rPr>
                <w:rFonts w:eastAsia="宋体"/>
                <w:highlight w:val="none"/>
                <w:lang w:val="en-US" w:eastAsia="zh-CN"/>
              </w:rPr>
            </w:pPr>
            <w:r>
              <w:rPr>
                <w:rFonts w:hint="eastAsia" w:ascii="宋体" w:hAnsi="宋体" w:eastAsia="宋体" w:cs="宋体"/>
                <w:color w:val="000000"/>
                <w:sz w:val="21"/>
                <w:szCs w:val="21"/>
                <w:highlight w:val="none"/>
                <w:lang w:val="en-US" w:eastAsia="zh-CN"/>
              </w:rPr>
              <w:t xml:space="preserve">4.投标人或其联合体单位具有信息系统建设或服务能力评估体系证书的得 2分。</w:t>
            </w:r>
            <w:r>
              <w:rPr>
                <w:rFonts w:eastAsia="宋体"/>
                <w:highlight w:val="none"/>
                <w:lang w:val="en-US" w:eastAsia="zh-CN"/>
              </w:rPr>
            </w:r>
            <w:r/>
          </w:p>
          <w:p>
            <w:pPr>
              <w:pStyle w:val="984"/>
              <w:numPr>
                <w:ilvl w:val="0"/>
                <w:numId w:val="0"/>
              </w:numPr>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sz w:val="21"/>
                <w:szCs w:val="21"/>
                <w:highlight w:val="none"/>
                <w:lang w:val="en-US" w:eastAsia="zh-CN" w:bidi="ar"/>
              </w:rPr>
              <w:t xml:space="preserve">（1-3项提供有效期内的相关证书原件并扫描上传</w:t>
            </w:r>
            <w:r>
              <w:rPr>
                <w:rFonts w:hint="eastAsia" w:ascii="宋体" w:hAnsi="宋体" w:eastAsia="宋体" w:cs="宋体"/>
                <w:b/>
                <w:bCs/>
                <w:color w:val="000000"/>
                <w:sz w:val="21"/>
                <w:szCs w:val="21"/>
                <w:highlight w:val="none"/>
                <w:lang w:val="en-US" w:eastAsia="zh-CN"/>
              </w:rPr>
              <w:t xml:space="preserve">；第4项提供相关证书原件并扫描上传，未提供或提供不全的不得分</w:t>
            </w:r>
            <w:r>
              <w:rPr>
                <w:rFonts w:hint="eastAsia" w:ascii="宋体" w:hAnsi="宋体" w:eastAsia="宋体" w:cs="宋体"/>
                <w:b/>
                <w:bCs/>
                <w:sz w:val="21"/>
                <w:szCs w:val="21"/>
                <w:highlight w:val="none"/>
                <w:lang w:val="en-US" w:eastAsia="zh-CN" w:bidi="ar"/>
              </w:rPr>
              <w:t xml:space="preserve">）</w:t>
            </w:r>
            <w:r>
              <w:rPr>
                <w:rFonts w:hint="eastAsia" w:ascii="宋体" w:hAnsi="宋体" w:eastAsia="宋体" w:cs="宋体"/>
                <w:sz w:val="21"/>
                <w:szCs w:val="21"/>
                <w:highlight w:val="none"/>
                <w:lang w:val="en-US" w:eastAsia="zh-CN"/>
              </w:rPr>
            </w:r>
            <w:r/>
          </w:p>
        </w:tc>
      </w:tr>
      <w:tr>
        <w:trPr>
          <w:trHeight w:val="1401"/>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技术改造方案（20分）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numPr>
                <w:ilvl w:val="0"/>
                <w:numId w:val="0"/>
              </w:numPr>
              <w:jc w:val="left"/>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1.节能改造技术</w:t>
            </w:r>
            <w:r>
              <w:rPr>
                <w:rFonts w:hint="eastAsia" w:ascii="宋体" w:hAnsi="宋体" w:eastAsia="宋体" w:cs="宋体"/>
                <w:sz w:val="21"/>
                <w:szCs w:val="21"/>
                <w:highlight w:val="none"/>
                <w:lang w:val="en-US" w:eastAsia="zh-CN" w:bidi="ar"/>
              </w:rPr>
            </w:r>
            <w:r/>
          </w:p>
          <w:p>
            <w:pPr>
              <w:pStyle w:val="984"/>
              <w:numPr>
                <w:ilvl w:val="0"/>
                <w:numId w:val="0"/>
              </w:numPr>
              <w:ind w:firstLine="420"/>
              <w:jc w:val="left"/>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rPr>
              <w:t xml:space="preserve">根据投标人提供的</w:t>
            </w:r>
            <w:r>
              <w:rPr>
                <w:rFonts w:hint="eastAsia" w:ascii="宋体" w:hAnsi="宋体" w:eastAsia="宋体" w:cs="宋体"/>
                <w:color w:val="000000"/>
                <w:sz w:val="21"/>
                <w:szCs w:val="21"/>
                <w:highlight w:val="none"/>
                <w:lang w:val="en-US" w:eastAsia="zh-CN"/>
              </w:rPr>
              <w:t xml:space="preserve">节能改造技术</w:t>
            </w:r>
            <w:r>
              <w:rPr>
                <w:rFonts w:hint="eastAsia" w:ascii="宋体" w:hAnsi="宋体" w:eastAsia="宋体" w:cs="宋体"/>
                <w:color w:val="000000"/>
                <w:sz w:val="21"/>
                <w:szCs w:val="21"/>
                <w:highlight w:val="none"/>
              </w:rPr>
              <w:t xml:space="preserve">，优于招标文件的要求得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分，符合招标文件的要求得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
              </w:rPr>
            </w:r>
            <w:r/>
          </w:p>
          <w:p>
            <w:pPr>
              <w:pStyle w:val="984"/>
              <w:numPr>
                <w:ilvl w:val="0"/>
                <w:numId w:val="0"/>
              </w:numPr>
              <w:jc w:val="left"/>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2.节能改造方案</w:t>
            </w:r>
            <w:r>
              <w:rPr>
                <w:rFonts w:hint="eastAsia" w:ascii="宋体" w:hAnsi="宋体" w:eastAsia="宋体" w:cs="宋体"/>
                <w:sz w:val="21"/>
                <w:szCs w:val="21"/>
                <w:highlight w:val="none"/>
                <w:lang w:val="en-US" w:eastAsia="zh-CN" w:bidi="ar"/>
              </w:rPr>
            </w:r>
            <w:r/>
          </w:p>
          <w:p>
            <w:pPr>
              <w:pStyle w:val="984"/>
              <w:numPr>
                <w:ilvl w:val="0"/>
                <w:numId w:val="0"/>
              </w:numPr>
              <w:ind w:firstLine="420"/>
              <w:jc w:val="left"/>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rPr>
              <w:t xml:space="preserve">根据投标人提供的</w:t>
            </w:r>
            <w:r>
              <w:rPr>
                <w:rFonts w:hint="eastAsia" w:ascii="宋体" w:hAnsi="宋体" w:eastAsia="宋体" w:cs="宋体"/>
                <w:color w:val="000000"/>
                <w:sz w:val="21"/>
                <w:szCs w:val="21"/>
                <w:highlight w:val="none"/>
                <w:lang w:val="en-US" w:eastAsia="zh-CN"/>
              </w:rPr>
              <w:t xml:space="preserve">节能改造</w:t>
            </w:r>
            <w:r>
              <w:rPr>
                <w:rFonts w:hint="eastAsia" w:ascii="宋体" w:hAnsi="宋体" w:eastAsia="宋体" w:cs="宋体"/>
                <w:color w:val="000000"/>
                <w:sz w:val="21"/>
                <w:szCs w:val="21"/>
                <w:highlight w:val="none"/>
              </w:rPr>
              <w:t xml:space="preserve">方案，优于招标文件的要求得5分，符合招标文件的要求得3分，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
              </w:rPr>
            </w:r>
            <w:r/>
          </w:p>
          <w:p>
            <w:pPr>
              <w:pStyle w:val="984"/>
              <w:numPr>
                <w:ilvl w:val="0"/>
                <w:numId w:val="0"/>
              </w:numPr>
              <w:jc w:val="left"/>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3.商务合作方案</w:t>
            </w:r>
            <w:r>
              <w:rPr>
                <w:rFonts w:hint="eastAsia" w:ascii="宋体" w:hAnsi="宋体" w:eastAsia="宋体" w:cs="宋体"/>
                <w:sz w:val="21"/>
                <w:szCs w:val="21"/>
                <w:highlight w:val="none"/>
                <w:lang w:val="en-US" w:eastAsia="zh-CN" w:bidi="ar"/>
              </w:rPr>
            </w:r>
            <w:r/>
          </w:p>
          <w:p>
            <w:pPr>
              <w:pStyle w:val="984"/>
              <w:numPr>
                <w:ilvl w:val="0"/>
                <w:numId w:val="0"/>
              </w:numPr>
              <w:ind w:firstLine="420"/>
              <w:jc w:val="left"/>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rPr>
              <w:t xml:space="preserve">根据投标人提供的</w:t>
            </w:r>
            <w:r>
              <w:rPr>
                <w:rFonts w:hint="eastAsia" w:ascii="宋体" w:hAnsi="宋体" w:eastAsia="宋体" w:cs="宋体"/>
                <w:color w:val="000000"/>
                <w:sz w:val="21"/>
                <w:szCs w:val="21"/>
                <w:highlight w:val="none"/>
                <w:lang w:val="en-US" w:eastAsia="zh-CN"/>
              </w:rPr>
              <w:t xml:space="preserve">商务合作</w:t>
            </w:r>
            <w:r>
              <w:rPr>
                <w:rFonts w:hint="eastAsia" w:ascii="宋体" w:hAnsi="宋体" w:eastAsia="宋体" w:cs="宋体"/>
                <w:color w:val="000000"/>
                <w:sz w:val="21"/>
                <w:szCs w:val="21"/>
                <w:highlight w:val="none"/>
              </w:rPr>
              <w:t xml:space="preserve">方案，优于招标文件的要求得5分，符合招标文件的要求得3分，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
              </w:rPr>
            </w:r>
            <w:r/>
          </w:p>
          <w:p>
            <w:pPr>
              <w:pStyle w:val="984"/>
              <w:numPr>
                <w:ilvl w:val="0"/>
                <w:numId w:val="0"/>
              </w:numPr>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rPr>
              <w:t xml:space="preserve">项目案例</w:t>
            </w:r>
            <w:r>
              <w:rPr>
                <w:rFonts w:hint="eastAsia" w:ascii="宋体" w:hAnsi="宋体" w:eastAsia="宋体" w:cs="宋体"/>
                <w:sz w:val="21"/>
                <w:szCs w:val="21"/>
                <w:highlight w:val="none"/>
                <w:lang w:val="en-US" w:eastAsia="zh-CN"/>
              </w:rPr>
            </w:r>
            <w:r/>
          </w:p>
          <w:p>
            <w:pPr>
              <w:pStyle w:val="984"/>
              <w:numPr>
                <w:ilvl w:val="0"/>
                <w:numId w:val="0"/>
              </w:numPr>
              <w:ind w:left="0" w:firstLine="420"/>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根据投标人提供的</w:t>
            </w:r>
            <w:r>
              <w:rPr>
                <w:rFonts w:hint="eastAsia" w:ascii="宋体" w:hAnsi="宋体" w:eastAsia="宋体" w:cs="宋体"/>
                <w:color w:val="000000"/>
                <w:sz w:val="21"/>
                <w:szCs w:val="21"/>
                <w:highlight w:val="none"/>
                <w:lang w:val="en-US" w:eastAsia="zh-CN"/>
              </w:rPr>
              <w:t xml:space="preserve">项目案例</w:t>
            </w:r>
            <w:r>
              <w:rPr>
                <w:rFonts w:hint="eastAsia" w:ascii="宋体" w:hAnsi="宋体" w:eastAsia="宋体" w:cs="宋体"/>
                <w:color w:val="000000"/>
                <w:sz w:val="21"/>
                <w:szCs w:val="21"/>
                <w:highlight w:val="none"/>
              </w:rPr>
              <w:t xml:space="preserve">，优于招标文件的要求得5分，符合招标文件的要求得3分，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tc>
      </w:tr>
      <w:tr>
        <w:trPr>
          <w:trHeight w:val="1071"/>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高效纳米陶瓷膜改造方案</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根据投标人提供的</w:t>
            </w:r>
            <w:r>
              <w:rPr>
                <w:rFonts w:hint="eastAsia" w:ascii="宋体" w:hAnsi="宋体" w:eastAsia="宋体" w:cs="宋体"/>
                <w:color w:val="000000"/>
                <w:sz w:val="21"/>
                <w:szCs w:val="21"/>
                <w:highlight w:val="none"/>
                <w:lang w:val="en-US" w:eastAsia="zh-CN"/>
              </w:rPr>
              <w:t xml:space="preserve">高效纳米陶瓷膜改造</w:t>
            </w:r>
            <w:r>
              <w:rPr>
                <w:rFonts w:hint="eastAsia" w:ascii="宋体" w:hAnsi="宋体" w:eastAsia="宋体" w:cs="宋体"/>
                <w:sz w:val="21"/>
                <w:szCs w:val="21"/>
                <w:highlight w:val="none"/>
              </w:rPr>
              <w:t xml:space="preserve">方案</w:t>
            </w:r>
            <w:r>
              <w:rPr>
                <w:rFonts w:hint="eastAsia" w:ascii="宋体" w:hAnsi="宋体" w:eastAsia="宋体" w:cs="宋体"/>
                <w:color w:val="000000"/>
                <w:sz w:val="21"/>
                <w:szCs w:val="21"/>
                <w:highlight w:val="none"/>
              </w:rPr>
              <w:t xml:space="preserve">，优于招标文件的要求得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分，符合招标文件的要求得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val="en-US" w:eastAsia="zh-CN"/>
              </w:rPr>
            </w:r>
            <w:r/>
          </w:p>
        </w:tc>
      </w:tr>
      <w:tr>
        <w:trPr>
          <w:trHeight w:val="1092"/>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多联机组集中控制系统方案（4分）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根据投标人提供的</w:t>
            </w:r>
            <w:r>
              <w:rPr>
                <w:rFonts w:hint="eastAsia" w:ascii="宋体" w:hAnsi="宋体" w:eastAsia="宋体" w:cs="宋体"/>
                <w:color w:val="000000"/>
                <w:sz w:val="21"/>
                <w:szCs w:val="21"/>
                <w:highlight w:val="none"/>
                <w:lang w:val="en-US" w:eastAsia="zh-CN"/>
              </w:rPr>
              <w:t xml:space="preserve">多联机集中控制系统</w:t>
            </w:r>
            <w:r>
              <w:rPr>
                <w:rFonts w:hint="eastAsia" w:ascii="宋体" w:hAnsi="宋体" w:eastAsia="宋体" w:cs="宋体"/>
                <w:sz w:val="21"/>
                <w:szCs w:val="21"/>
                <w:highlight w:val="none"/>
              </w:rPr>
              <w:t xml:space="preserve">方案</w:t>
            </w:r>
            <w:r>
              <w:rPr>
                <w:rFonts w:hint="eastAsia" w:ascii="宋体" w:hAnsi="宋体" w:eastAsia="宋体" w:cs="宋体"/>
                <w:color w:val="000000"/>
                <w:sz w:val="21"/>
                <w:szCs w:val="21"/>
                <w:highlight w:val="none"/>
              </w:rPr>
              <w:t xml:space="preserve">，优于招标文件的要求得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分，符合招标文件的要求得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tc>
      </w:tr>
      <w:tr>
        <w:trPr>
          <w:trHeight w:val="1002"/>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智慧照明改造方案 </w:t>
            </w:r>
            <w:r>
              <w:rPr>
                <w:rFonts w:hint="eastAsia" w:ascii="宋体" w:hAnsi="宋体" w:eastAsia="宋体" w:cs="Times New Roman"/>
                <w:sz w:val="21"/>
                <w:szCs w:val="21"/>
                <w:highlight w:val="none"/>
                <w:lang w:val="en-US" w:eastAsia="zh-CN"/>
              </w:rPr>
            </w:r>
            <w:r/>
          </w:p>
          <w:p>
            <w:pPr>
              <w:pStyle w:val="984"/>
              <w:jc w:val="center"/>
              <w:rPr>
                <w:highlight w:val="none"/>
              </w:rPr>
            </w:pPr>
            <w:r>
              <w:rPr>
                <w:rFonts w:hint="eastAsia" w:ascii="宋体" w:hAnsi="宋体" w:eastAsia="宋体" w:cs="Times New Roman"/>
                <w:sz w:val="21"/>
                <w:szCs w:val="21"/>
                <w:highlight w:val="none"/>
                <w:lang w:val="en-US" w:eastAsia="zh-CN"/>
              </w:rPr>
              <w:t xml:space="preserve">(4分)</w:t>
            </w:r>
            <w:r>
              <w:rPr>
                <w:highlight w:val="none"/>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sz w:val="21"/>
                <w:szCs w:val="21"/>
                <w:highlight w:val="none"/>
                <w:lang w:eastAsia="zh-CN"/>
              </w:rPr>
              <w:suppressLineNumbers w:val="0"/>
            </w:pPr>
            <w:r>
              <w:rPr>
                <w:rFonts w:hint="eastAsia" w:ascii="宋体" w:hAnsi="宋体" w:eastAsia="宋体" w:cs="宋体"/>
                <w:color w:val="000000"/>
                <w:sz w:val="21"/>
                <w:szCs w:val="21"/>
                <w:highlight w:val="none"/>
              </w:rPr>
              <w:t xml:space="preserve">根据投标人提供的</w:t>
            </w:r>
            <w:r>
              <w:rPr>
                <w:rFonts w:hint="eastAsia" w:ascii="宋体" w:hAnsi="宋体" w:eastAsia="宋体" w:cs="宋体"/>
                <w:color w:val="000000"/>
                <w:sz w:val="21"/>
                <w:szCs w:val="21"/>
                <w:highlight w:val="none"/>
                <w:lang w:val="en-US" w:eastAsia="zh-CN"/>
              </w:rPr>
              <w:t xml:space="preserve">智慧照明改造</w:t>
            </w:r>
            <w:r>
              <w:rPr>
                <w:rFonts w:hint="eastAsia" w:ascii="宋体" w:hAnsi="宋体" w:eastAsia="宋体" w:cs="宋体"/>
                <w:sz w:val="21"/>
                <w:szCs w:val="21"/>
                <w:highlight w:val="none"/>
              </w:rPr>
              <w:t xml:space="preserve">方案</w:t>
            </w:r>
            <w:r>
              <w:rPr>
                <w:rFonts w:hint="eastAsia" w:ascii="宋体" w:hAnsi="宋体" w:eastAsia="宋体" w:cs="宋体"/>
                <w:color w:val="000000"/>
                <w:sz w:val="21"/>
                <w:szCs w:val="21"/>
                <w:highlight w:val="none"/>
              </w:rPr>
              <w:t xml:space="preserve">，优于招标文件的要求得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分，符合招标文件的要求得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r>
      <w:tr>
        <w:trPr>
          <w:trHeight w:val="1032"/>
        </w:trPr>
        <w:tc>
          <w:tcPr>
            <w:tcW w:w="1666" w:type="dxa"/>
            <w:vAlign w:val="center"/>
            <w:textDirection w:val="lrTb"/>
            <w:noWrap w:val="false"/>
          </w:tcPr>
          <w:p>
            <w:pPr>
              <w:pStyle w:val="984"/>
              <w:jc w:val="center"/>
              <w:rPr>
                <w:rFonts w:hint="eastAsia" w:ascii="宋体" w:hAnsi="宋体" w:eastAsia="宋体" w:cs="宋体"/>
                <w:sz w:val="21"/>
                <w:szCs w:val="21"/>
                <w:highlight w:val="none"/>
                <w:lang w:eastAsia="zh-CN"/>
              </w:rPr>
            </w:pPr>
            <w:r>
              <w:rPr>
                <w:rFonts w:hint="eastAsia" w:ascii="宋体" w:hAnsi="宋体" w:eastAsia="宋体" w:cs="Times New Roman"/>
                <w:sz w:val="21"/>
                <w:szCs w:val="21"/>
                <w:highlight w:val="none"/>
                <w:lang w:val="en-US" w:eastAsia="zh-CN"/>
              </w:rPr>
              <w:t xml:space="preserve">智慧运维能源管理平台方案（4分）</w:t>
            </w:r>
            <w:r>
              <w:rPr>
                <w:rFonts w:hint="eastAsia" w:ascii="宋体" w:hAnsi="宋体" w:eastAsia="宋体" w:cs="宋体"/>
                <w:sz w:val="21"/>
                <w:szCs w:val="21"/>
                <w:highlight w:val="none"/>
                <w:lang w:eastAsia="zh-CN"/>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bidi="ar"/>
              </w:rPr>
              <w:t xml:space="preserve">根据投标人提供的智慧运维能源管理方案，优于招标文件的要求得 4 分，符合招标文件的要求得2 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lang w:val="en-US" w:eastAsia="zh-CN" w:bidi="ar"/>
              </w:rPr>
              <w:t xml:space="preserve">未提供的不得分。</w:t>
            </w:r>
            <w:r>
              <w:rPr>
                <w:rFonts w:hint="eastAsia" w:ascii="宋体" w:hAnsi="宋体" w:eastAsia="宋体" w:cs="宋体"/>
                <w:sz w:val="21"/>
                <w:szCs w:val="21"/>
                <w:highlight w:val="none"/>
                <w:lang w:eastAsia="zh-CN"/>
              </w:rPr>
            </w:r>
            <w:r/>
          </w:p>
        </w:tc>
      </w:tr>
      <w:tr>
        <w:trPr>
          <w:trHeight w:val="1007"/>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能耗分析及现场诊断方案</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Times New Roman"/>
                <w:color w:val="000000"/>
                <w:sz w:val="21"/>
                <w:szCs w:val="21"/>
                <w:highlight w:val="none"/>
                <w:lang w:val="en-US" w:eastAsia="zh-CN"/>
              </w:rPr>
              <w:suppressLineNumbers w:val="0"/>
            </w:pPr>
            <w:r>
              <w:rPr>
                <w:rFonts w:hint="eastAsia" w:ascii="宋体" w:hAnsi="宋体" w:eastAsia="宋体" w:cs="宋体"/>
                <w:sz w:val="21"/>
                <w:szCs w:val="21"/>
                <w:highlight w:val="none"/>
                <w:lang w:val="en-US" w:eastAsia="zh-CN" w:bidi="ar"/>
              </w:rPr>
              <w:t xml:space="preserve">根据投标人提供的智慧运维能源管理方案，优于招标文件的要求得 4分，符合招标文件的要求得 2 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lang w:val="en-US" w:eastAsia="zh-CN" w:bidi="ar"/>
              </w:rPr>
              <w:t xml:space="preserve">未提供的不得分。</w:t>
            </w:r>
            <w:r>
              <w:rPr>
                <w:rFonts w:hint="eastAsia" w:ascii="宋体" w:hAnsi="宋体" w:eastAsia="宋体" w:cs="Times New Roman"/>
                <w:color w:val="000000"/>
                <w:sz w:val="21"/>
                <w:szCs w:val="21"/>
                <w:highlight w:val="none"/>
                <w:lang w:val="en-US" w:eastAsia="zh-CN"/>
              </w:rPr>
            </w:r>
            <w:r/>
          </w:p>
        </w:tc>
      </w:tr>
      <w:tr>
        <w:trPr>
          <w:trHeight w:val="90"/>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改造措施及收益成本方案</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ind w:firstLine="420"/>
              <w:jc w:val="left"/>
              <w:keepLines w:val="0"/>
              <w:keepNext w:val="0"/>
              <w:widowControl/>
              <w:rPr>
                <w:rFonts w:hint="eastAsia" w:ascii="仿宋" w:hAnsi="仿宋" w:eastAsia="仿宋" w:cs="仿宋"/>
                <w:b w:val="0"/>
                <w:bCs w:val="0"/>
                <w:color w:val="000000"/>
                <w:sz w:val="21"/>
                <w:szCs w:val="21"/>
                <w:highlight w:val="none"/>
                <w:lang w:val="en-US" w:eastAsia="zh-CN"/>
              </w:rPr>
              <w:suppressLineNumbers w:val="0"/>
            </w:pPr>
            <w:r>
              <w:rPr>
                <w:rFonts w:hint="eastAsia" w:ascii="宋体" w:hAnsi="宋体" w:eastAsia="宋体" w:cs="宋体"/>
                <w:sz w:val="21"/>
                <w:szCs w:val="21"/>
                <w:highlight w:val="none"/>
                <w:lang w:val="en-US" w:eastAsia="zh-CN" w:bidi="ar"/>
              </w:rPr>
              <w:t xml:space="preserve">根据投标人提供的智慧运维能源管理方案，优于招标文件的要求得 4 分，符合招标文件的要求得 2分，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lang w:val="en-US" w:eastAsia="zh-CN" w:bidi="ar"/>
              </w:rPr>
              <w:t xml:space="preserve">未提供的不得分。</w:t>
            </w:r>
            <w:r>
              <w:rPr>
                <w:rFonts w:hint="eastAsia" w:ascii="仿宋" w:hAnsi="仿宋" w:eastAsia="仿宋" w:cs="仿宋"/>
                <w:b w:val="0"/>
                <w:bCs w:val="0"/>
                <w:color w:val="000000"/>
                <w:sz w:val="21"/>
                <w:szCs w:val="21"/>
                <w:highlight w:val="none"/>
                <w:lang w:val="en-US" w:eastAsia="zh-CN"/>
              </w:rPr>
            </w:r>
            <w:r/>
          </w:p>
        </w:tc>
      </w:tr>
      <w:tr>
        <w:trPr>
          <w:trHeight w:val="1021"/>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托管型合同能源管理模式方案</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
              </w:rPr>
              <w:t xml:space="preserve">根据投标人提供的智慧运维能源管理方案，优于招标文件的要求得 3 分，符合招标文件的要求得1 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lang w:val="en-US" w:eastAsia="zh-CN" w:bidi="ar"/>
              </w:rPr>
              <w:t xml:space="preserve">未提供的不得分。</w:t>
            </w:r>
            <w:r>
              <w:rPr>
                <w:rFonts w:hint="eastAsia" w:ascii="宋体" w:hAnsi="宋体" w:eastAsia="宋体" w:cs="宋体"/>
                <w:sz w:val="21"/>
                <w:szCs w:val="21"/>
                <w:highlight w:val="none"/>
                <w:lang w:val="en-US" w:eastAsia="zh-CN"/>
              </w:rPr>
            </w:r>
            <w:r/>
          </w:p>
        </w:tc>
      </w:tr>
      <w:tr>
        <w:trPr>
          <w:trHeight w:val="797"/>
        </w:trPr>
        <w:tc>
          <w:tcPr>
            <w:tcW w:w="1666" w:type="dxa"/>
            <w:vAlign w:val="center"/>
            <w:textDirection w:val="lrTb"/>
            <w:noWrap w:val="false"/>
          </w:tcPr>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能源托管流程方案</w:t>
            </w:r>
            <w:r>
              <w:rPr>
                <w:rFonts w:hint="eastAsia" w:ascii="宋体" w:hAnsi="宋体" w:eastAsia="宋体" w:cs="Times New Roman"/>
                <w:sz w:val="21"/>
                <w:szCs w:val="21"/>
                <w:highlight w:val="none"/>
                <w:lang w:val="en-US" w:eastAsia="zh-CN"/>
              </w:rPr>
            </w:r>
            <w:r/>
          </w:p>
          <w:p>
            <w:pPr>
              <w:pStyle w:val="984"/>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4"/>
              <w:ind w:firstLine="420"/>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
              </w:rPr>
              <w:t xml:space="preserve">根据投标人提供的智慧运维能源管理方案，优于招标文件的要求得 3 分，符合招标文件的要求得 1 分，</w:t>
            </w:r>
            <w:r>
              <w:rPr>
                <w:rFonts w:hint="eastAsia" w:ascii="宋体" w:hAnsi="宋体" w:eastAsia="宋体" w:cs="宋体"/>
                <w:color w:val="000000"/>
                <w:sz w:val="21"/>
                <w:szCs w:val="21"/>
                <w:highlight w:val="none"/>
                <w:lang w:val="en-US" w:eastAsia="zh-CN"/>
              </w:rPr>
              <w:t xml:space="preserve">其他或</w:t>
            </w:r>
            <w:r>
              <w:rPr>
                <w:rFonts w:hint="eastAsia" w:ascii="宋体" w:hAnsi="宋体" w:eastAsia="宋体" w:cs="宋体"/>
                <w:sz w:val="21"/>
                <w:szCs w:val="21"/>
                <w:highlight w:val="none"/>
                <w:lang w:val="en-US" w:eastAsia="zh-CN" w:bidi="ar"/>
              </w:rPr>
              <w:t xml:space="preserve">未提供的不得分。</w:t>
            </w:r>
            <w:r>
              <w:rPr>
                <w:rFonts w:hint="eastAsia" w:ascii="宋体" w:hAnsi="宋体" w:eastAsia="宋体" w:cs="宋体"/>
                <w:sz w:val="21"/>
                <w:szCs w:val="21"/>
                <w:highlight w:val="none"/>
                <w:lang w:val="en-US" w:eastAsia="zh-CN"/>
              </w:rPr>
            </w:r>
            <w:r/>
          </w:p>
        </w:tc>
      </w:tr>
    </w:tbl>
    <w:p>
      <w:pPr>
        <w:pStyle w:val="985"/>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Start w:id="62" w:name="_Toc9788"/>
      <w:r>
        <w:rPr>
          <w:rFonts w:hint="eastAsia" w:ascii="宋体" w:hAnsi="宋体" w:cs="宋体"/>
          <w:color w:val="000000"/>
          <w:sz w:val="21"/>
          <w:szCs w:val="21"/>
          <w:highlight w:val="none"/>
        </w:rPr>
      </w:r>
      <w:r/>
    </w:p>
    <w:p>
      <w:pPr>
        <w:pStyle w:val="985"/>
        <w:jc w:val="center"/>
        <w:rPr>
          <w:rFonts w:ascii="宋体" w:hAnsi="宋体"/>
          <w:color w:val="000000"/>
          <w:highlight w:val="none"/>
        </w:rPr>
      </w:pPr>
      <w:r>
        <w:rPr>
          <w:rStyle w:val="996"/>
          <w:rFonts w:hint="eastAsia" w:ascii="Times New Roman" w:hAnsi="Times New Roman" w:eastAsia="宋体" w:cs="Times New Roman"/>
          <w:color w:val="000000"/>
          <w:sz w:val="36"/>
          <w:szCs w:val="36"/>
          <w:highlight w:val="none"/>
          <w:lang w:val="en-US" w:eastAsia="zh-CN" w:bidi="ar-SA"/>
        </w:rPr>
        <w:t xml:space="preserve">第六章 投标文件格式</w:t>
      </w:r>
      <w:bookmarkEnd w:id="62"/>
      <w:r>
        <w:rPr>
          <w:rFonts w:ascii="宋体" w:hAnsi="宋体"/>
          <w:color w:val="000000"/>
          <w:highlight w:val="none"/>
        </w:rPr>
      </w:r>
      <w:r/>
    </w:p>
    <w:p>
      <w:pPr>
        <w:pStyle w:val="984"/>
        <w:rPr>
          <w:rFonts w:ascii="黑体" w:eastAsia="黑体"/>
          <w:bCs/>
          <w:color w:val="000000"/>
          <w:sz w:val="44"/>
          <w:highlight w:val="none"/>
        </w:rPr>
      </w:pPr>
      <w:r>
        <w:rPr>
          <w:rFonts w:ascii="黑体" w:eastAsia="黑体"/>
          <w:bCs/>
          <w:color w:val="000000"/>
          <w:sz w:val="44"/>
          <w:highlight w:val="none"/>
        </w:rPr>
      </w:r>
      <w:r/>
    </w:p>
    <w:p>
      <w:pPr>
        <w:pStyle w:val="984"/>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84"/>
        <w:jc w:val="center"/>
        <w:rPr>
          <w:rFonts w:ascii="宋体" w:hAnsi="宋体"/>
          <w:b/>
          <w:color w:val="000000"/>
          <w:sz w:val="72"/>
          <w:highlight w:val="none"/>
        </w:rPr>
      </w:pPr>
      <w:r>
        <w:rPr>
          <w:rFonts w:ascii="宋体" w:hAnsi="宋体"/>
          <w:b/>
          <w:color w:val="000000"/>
          <w:sz w:val="72"/>
          <w:highlight w:val="none"/>
        </w:rPr>
      </w:r>
      <w:r/>
    </w:p>
    <w:p>
      <w:pPr>
        <w:pStyle w:val="984"/>
        <w:jc w:val="center"/>
        <w:rPr>
          <w:rFonts w:ascii="宋体" w:hAnsi="宋体"/>
          <w:b/>
          <w:color w:val="000000"/>
          <w:sz w:val="72"/>
          <w:highlight w:val="none"/>
        </w:rPr>
      </w:pPr>
      <w:r>
        <w:rPr>
          <w:rFonts w:ascii="宋体" w:hAnsi="宋体"/>
          <w:b/>
          <w:color w:val="000000"/>
          <w:sz w:val="72"/>
          <w:highlight w:val="none"/>
        </w:rPr>
      </w:r>
      <w:r/>
    </w:p>
    <w:p>
      <w:pPr>
        <w:pStyle w:val="984"/>
        <w:jc w:val="center"/>
        <w:rPr>
          <w:rFonts w:ascii="宋体" w:hAnsi="宋体"/>
          <w:b/>
          <w:color w:val="000000"/>
          <w:sz w:val="36"/>
          <w:highlight w:val="none"/>
        </w:rPr>
      </w:pPr>
      <w:r>
        <w:rPr>
          <w:rFonts w:ascii="宋体" w:hAnsi="宋体"/>
          <w:b/>
          <w:color w:val="000000"/>
          <w:sz w:val="36"/>
          <w:highlight w:val="none"/>
        </w:rPr>
      </w:r>
      <w:r/>
    </w:p>
    <w:p>
      <w:pPr>
        <w:pStyle w:val="984"/>
        <w:jc w:val="center"/>
        <w:rPr>
          <w:rFonts w:ascii="宋体" w:hAnsi="宋体"/>
          <w:b/>
          <w:color w:val="000000"/>
          <w:sz w:val="36"/>
          <w:highlight w:val="none"/>
        </w:rPr>
      </w:pPr>
      <w:r>
        <w:rPr>
          <w:rFonts w:ascii="宋体" w:hAnsi="宋体"/>
          <w:b/>
          <w:color w:val="000000"/>
          <w:sz w:val="36"/>
          <w:highlight w:val="none"/>
        </w:rPr>
      </w:r>
      <w:r/>
    </w:p>
    <w:p>
      <w:pPr>
        <w:pStyle w:val="984"/>
        <w:jc w:val="center"/>
        <w:rPr>
          <w:rFonts w:ascii="宋体" w:hAnsi="宋体"/>
          <w:b/>
          <w:color w:val="000000"/>
          <w:sz w:val="36"/>
          <w:highlight w:val="none"/>
        </w:rPr>
      </w:pPr>
      <w:r>
        <w:rPr>
          <w:rFonts w:ascii="宋体" w:hAnsi="宋体"/>
          <w:b/>
          <w:color w:val="000000"/>
          <w:sz w:val="36"/>
          <w:highlight w:val="none"/>
        </w:rPr>
      </w:r>
      <w:r/>
    </w:p>
    <w:p>
      <w:pPr>
        <w:pStyle w:val="984"/>
        <w:jc w:val="center"/>
        <w:rPr>
          <w:rFonts w:ascii="宋体" w:hAnsi="宋体"/>
          <w:b/>
          <w:color w:val="000000"/>
          <w:sz w:val="36"/>
          <w:highlight w:val="none"/>
        </w:rPr>
      </w:pPr>
      <w:r>
        <w:rPr>
          <w:rFonts w:ascii="宋体" w:hAnsi="宋体"/>
          <w:b/>
          <w:color w:val="000000"/>
          <w:sz w:val="36"/>
          <w:highlight w:val="none"/>
        </w:rPr>
      </w:r>
      <w:r/>
    </w:p>
    <w:p>
      <w:pPr>
        <w:pStyle w:val="984"/>
        <w:rPr>
          <w:rFonts w:ascii="宋体" w:hAnsi="宋体"/>
          <w:b/>
          <w:color w:val="000000"/>
          <w:sz w:val="36"/>
          <w:highlight w:val="none"/>
        </w:rPr>
      </w:pPr>
      <w:r>
        <w:rPr>
          <w:rFonts w:ascii="宋体" w:hAnsi="宋体"/>
          <w:b/>
          <w:color w:val="000000"/>
          <w:sz w:val="36"/>
          <w:highlight w:val="none"/>
        </w:rPr>
      </w:r>
      <w:r/>
    </w:p>
    <w:p>
      <w:pPr>
        <w:pStyle w:val="984"/>
        <w:jc w:val="center"/>
        <w:rPr>
          <w:rFonts w:ascii="宋体" w:hAnsi="宋体"/>
          <w:b/>
          <w:color w:val="000000"/>
          <w:sz w:val="36"/>
          <w:highlight w:val="none"/>
        </w:rPr>
      </w:pPr>
      <w:r>
        <w:rPr>
          <w:rFonts w:ascii="宋体" w:hAnsi="宋体"/>
          <w:b/>
          <w:color w:val="000000"/>
          <w:sz w:val="36"/>
          <w:highlight w:val="none"/>
        </w:rPr>
      </w:r>
      <w:r/>
    </w:p>
    <w:p>
      <w:pPr>
        <w:pStyle w:val="98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4"/>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4"/>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4"/>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98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一、</w:t>
      </w:r>
      <w:r>
        <w:rPr>
          <w:rFonts w:hint="eastAsia" w:ascii="宋体" w:hAnsi="宋体" w:cs="宋体"/>
          <w:i/>
          <w:iCs/>
          <w:color w:val="000000"/>
          <w:sz w:val="24"/>
          <w:szCs w:val="24"/>
          <w:highlight w:val="none"/>
          <w:u w:val="single"/>
        </w:rPr>
        <w:t xml:space="preserve">法人或者其他组织的营业执照等证明文件，自然人的身份证明</w:t>
      </w:r>
      <w:r>
        <w:rPr>
          <w:rFonts w:hint="eastAsia" w:ascii="宋体" w:hAnsi="宋体" w:cs="宋体"/>
          <w:i/>
          <w:iCs/>
          <w:color w:val="000000"/>
          <w:sz w:val="24"/>
          <w:szCs w:val="24"/>
          <w:highlight w:val="none"/>
          <w:u w:val="single"/>
        </w:rPr>
      </w:r>
      <w:r/>
    </w:p>
    <w:p>
      <w:pPr>
        <w:pStyle w:val="984"/>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二、</w:t>
      </w:r>
      <w:r>
        <w:rPr>
          <w:rFonts w:hint="eastAsia" w:ascii="宋体" w:hAnsi="宋体" w:cs="宋体"/>
          <w:i/>
          <w:iCs/>
          <w:color w:val="000000"/>
          <w:sz w:val="24"/>
          <w:szCs w:val="24"/>
          <w:highlight w:val="none"/>
          <w:u w:val="single"/>
        </w:rPr>
        <w:t xml:space="preserve"> 依法缴纳税收和社会保障资金的相关材料</w:t>
      </w:r>
      <w:r>
        <w:rPr>
          <w:rFonts w:hint="eastAsia" w:ascii="宋体" w:hAnsi="宋体" w:cs="宋体"/>
          <w:b/>
          <w:bCs/>
          <w:i/>
          <w:iCs/>
          <w:color w:val="000000"/>
          <w:sz w:val="24"/>
          <w:szCs w:val="24"/>
          <w:highlight w:val="none"/>
          <w:u w:val="single"/>
        </w:rPr>
        <w:t xml:space="preserve">（提供提交投标文件截止时间前</w:t>
      </w:r>
      <w:r>
        <w:rPr>
          <w:rFonts w:hint="eastAsia" w:ascii="宋体" w:hAnsi="宋体" w:cs="宋体"/>
          <w:b/>
          <w:bCs/>
          <w:i/>
          <w:iCs/>
          <w:color w:val="000000"/>
          <w:sz w:val="24"/>
          <w:szCs w:val="24"/>
          <w:highlight w:val="none"/>
          <w:u w:val="single"/>
          <w:lang w:val="en-US" w:eastAsia="zh-CN"/>
        </w:rPr>
        <w:t xml:space="preserve">三个月</w:t>
      </w:r>
      <w:r>
        <w:rPr>
          <w:rFonts w:hint="eastAsia" w:ascii="宋体" w:hAnsi="宋体" w:cs="宋体"/>
          <w:b/>
          <w:bCs/>
          <w:i/>
          <w:iCs/>
          <w:color w:val="000000"/>
          <w:sz w:val="24"/>
          <w:szCs w:val="24"/>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 w:val="24"/>
          <w:szCs w:val="24"/>
          <w:highlight w:val="none"/>
          <w:u w:val="single"/>
        </w:rPr>
      </w:r>
      <w:r/>
    </w:p>
    <w:p>
      <w:pPr>
        <w:pStyle w:val="984"/>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三、</w:t>
      </w:r>
      <w:r>
        <w:rPr>
          <w:rFonts w:hint="eastAsia" w:ascii="宋体" w:hAnsi="宋体" w:cs="宋体"/>
          <w:i/>
          <w:iCs/>
          <w:color w:val="000000"/>
          <w:sz w:val="24"/>
          <w:szCs w:val="24"/>
          <w:highlight w:val="none"/>
          <w:u w:val="single"/>
        </w:rPr>
        <w:t xml:space="preserve"> 上一年度的财务报告情况</w:t>
      </w:r>
      <w:r>
        <w:rPr>
          <w:rFonts w:hint="eastAsia" w:ascii="宋体" w:hAnsi="宋体" w:cs="宋体"/>
          <w:b/>
          <w:bCs/>
          <w:i/>
          <w:iCs/>
          <w:color w:val="000000"/>
          <w:sz w:val="24"/>
          <w:szCs w:val="24"/>
          <w:highlight w:val="none"/>
          <w:u w:val="single"/>
        </w:rPr>
        <w:t xml:space="preserve">（成立不满一年不需提供）</w:t>
      </w:r>
      <w:r>
        <w:rPr>
          <w:rFonts w:hint="eastAsia" w:ascii="宋体" w:hAnsi="宋体" w:cs="宋体"/>
          <w:b/>
          <w:bCs/>
          <w:i/>
          <w:iCs/>
          <w:color w:val="000000"/>
          <w:sz w:val="24"/>
          <w:szCs w:val="24"/>
          <w:highlight w:val="none"/>
          <w:u w:val="single"/>
        </w:rPr>
      </w:r>
      <w:r/>
    </w:p>
    <w:p>
      <w:pPr>
        <w:pStyle w:val="98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四、</w:t>
      </w:r>
      <w:r>
        <w:rPr>
          <w:rFonts w:hint="eastAsia" w:ascii="宋体" w:hAnsi="宋体" w:cs="宋体"/>
          <w:i/>
          <w:iCs/>
          <w:color w:val="000000"/>
          <w:sz w:val="24"/>
          <w:szCs w:val="24"/>
          <w:highlight w:val="none"/>
          <w:u w:val="single"/>
        </w:rPr>
        <w:t xml:space="preserve"> 具备履行合同所必需的设备和专业技术能力的书面声明</w:t>
      </w:r>
      <w:r>
        <w:rPr>
          <w:rFonts w:hint="eastAsia" w:ascii="宋体" w:hAnsi="宋体" w:cs="宋体"/>
          <w:i/>
          <w:iCs/>
          <w:color w:val="000000"/>
          <w:sz w:val="24"/>
          <w:szCs w:val="24"/>
          <w:highlight w:val="none"/>
          <w:u w:val="single"/>
        </w:rPr>
      </w:r>
      <w:r/>
    </w:p>
    <w:p>
      <w:pPr>
        <w:pStyle w:val="984"/>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五、</w:t>
      </w:r>
      <w:r>
        <w:rPr>
          <w:rFonts w:hint="eastAsia" w:ascii="宋体" w:hAnsi="宋体" w:cs="宋体"/>
          <w:i/>
          <w:iCs/>
          <w:color w:val="000000"/>
          <w:sz w:val="24"/>
          <w:szCs w:val="24"/>
          <w:highlight w:val="none"/>
          <w:u w:val="single"/>
        </w:rPr>
        <w:t xml:space="preserve"> 参加本次政府采购活动前3年内在经营活动中没有重大违法记录的书面声明</w:t>
      </w:r>
      <w:r>
        <w:rPr>
          <w:rFonts w:hint="eastAsia" w:ascii="宋体" w:hAnsi="宋体" w:cs="宋体"/>
          <w:i/>
          <w:iCs/>
          <w:color w:val="000000"/>
          <w:sz w:val="24"/>
          <w:szCs w:val="24"/>
          <w:highlight w:val="none"/>
          <w:u w:val="single"/>
        </w:rPr>
      </w:r>
      <w:r/>
    </w:p>
    <w:p>
      <w:pPr>
        <w:pStyle w:val="984"/>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984"/>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984"/>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rPr>
          <w:rFonts w:ascii="宋体" w:hAnsi="宋体"/>
          <w:i/>
          <w:color w:val="000000"/>
          <w:sz w:val="24"/>
          <w:szCs w:val="24"/>
          <w:highlight w:val="none"/>
          <w:u w:val="single"/>
        </w:rPr>
      </w:r>
      <w:r/>
    </w:p>
    <w:p>
      <w:pPr>
        <w:pStyle w:val="984"/>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rPr>
          <w:rFonts w:ascii="宋体" w:hAnsi="宋体"/>
          <w:i/>
          <w:color w:val="000000"/>
          <w:sz w:val="24"/>
          <w:szCs w:val="24"/>
          <w:highlight w:val="none"/>
          <w:u w:val="single"/>
        </w:rPr>
      </w:r>
      <w:r/>
    </w:p>
    <w:p>
      <w:pPr>
        <w:pStyle w:val="984"/>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rPr>
          <w:rFonts w:ascii="宋体" w:hAnsi="宋体"/>
          <w:i/>
          <w:color w:val="000000"/>
          <w:sz w:val="24"/>
          <w:szCs w:val="24"/>
          <w:highlight w:val="none"/>
          <w:u w:val="single"/>
        </w:rPr>
      </w:r>
      <w:r/>
    </w:p>
    <w:p>
      <w:pPr>
        <w:pStyle w:val="984"/>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val="0"/>
          <w:iCs w:val="0"/>
          <w:color w:val="000000"/>
          <w:sz w:val="24"/>
          <w:szCs w:val="24"/>
          <w:highlight w:val="none"/>
          <w:u w:val="none"/>
        </w:rPr>
        <w:t xml:space="preserve">中小企业声明函、</w:t>
      </w:r>
      <w:r>
        <w:rPr>
          <w:rFonts w:hint="eastAsia" w:ascii="宋体" w:hAnsi="宋体"/>
          <w:color w:val="000000"/>
          <w:sz w:val="24"/>
          <w:szCs w:val="24"/>
          <w:highlight w:val="none"/>
          <w:u w:val="none"/>
        </w:rPr>
        <w:t xml:space="preserve">残疾人福利性单位声明函）</w:t>
      </w:r>
      <w:r>
        <w:rPr>
          <w:rFonts w:ascii="宋体" w:hAnsi="宋体"/>
          <w:color w:val="000000"/>
          <w:sz w:val="24"/>
          <w:szCs w:val="24"/>
          <w:highlight w:val="none"/>
          <w:u w:val="none"/>
        </w:rPr>
      </w:r>
      <w:r/>
    </w:p>
    <w:p>
      <w:pPr>
        <w:pStyle w:val="984"/>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rPr>
          <w:rFonts w:hint="eastAsia" w:ascii="宋体" w:hAnsi="宋体" w:eastAsia="宋体"/>
          <w:sz w:val="24"/>
          <w:szCs w:val="24"/>
          <w:highlight w:val="none"/>
          <w:u w:val="none"/>
          <w:lang w:eastAsia="zh-CN"/>
        </w:rPr>
      </w:r>
      <w:r/>
    </w:p>
    <w:p>
      <w:pPr>
        <w:pStyle w:val="984"/>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rPr>
          <w:rFonts w:hint="eastAsia" w:ascii="宋体" w:hAnsi="宋体"/>
          <w:i w:val="0"/>
          <w:iCs/>
          <w:sz w:val="24"/>
          <w:szCs w:val="24"/>
          <w:highlight w:val="none"/>
          <w:u w:val="none"/>
        </w:rPr>
      </w:r>
      <w:r/>
    </w:p>
    <w:p>
      <w:pPr>
        <w:pStyle w:val="984"/>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rPr>
          <w:rFonts w:ascii="宋体" w:hAnsi="宋体"/>
          <w:color w:val="0000ff"/>
          <w:sz w:val="24"/>
          <w:szCs w:val="24"/>
          <w:highlight w:val="none"/>
          <w:u w:val="none"/>
        </w:rPr>
      </w:r>
      <w:r/>
    </w:p>
    <w:p>
      <w:pPr>
        <w:pStyle w:val="984"/>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rPr>
          <w:rFonts w:ascii="宋体" w:hAnsi="宋体"/>
          <w:sz w:val="24"/>
          <w:szCs w:val="24"/>
          <w:highlight w:val="none"/>
          <w:u w:val="none"/>
        </w:rPr>
      </w:r>
      <w:r/>
    </w:p>
    <w:p>
      <w:pPr>
        <w:pStyle w:val="984"/>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rPr>
          <w:rFonts w:ascii="宋体" w:hAnsi="宋体"/>
          <w:sz w:val="24"/>
          <w:szCs w:val="24"/>
          <w:highlight w:val="none"/>
          <w:u w:val="none"/>
        </w:rPr>
      </w:r>
      <w:r/>
    </w:p>
    <w:p>
      <w:pPr>
        <w:pStyle w:val="984"/>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rPr>
          <w:rFonts w:ascii="宋体" w:hAnsi="宋体"/>
          <w:i/>
          <w:color w:val="000000"/>
          <w:sz w:val="24"/>
          <w:szCs w:val="24"/>
          <w:highlight w:val="none"/>
          <w:u w:val="single"/>
        </w:rPr>
      </w:r>
      <w:r/>
    </w:p>
    <w:p>
      <w:pPr>
        <w:pStyle w:val="984"/>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rPr>
          <w:rFonts w:hint="eastAsia" w:ascii="宋体" w:hAnsi="宋体"/>
          <w:iCs/>
          <w:color w:val="000000"/>
          <w:sz w:val="24"/>
          <w:szCs w:val="24"/>
          <w:highlight w:val="none"/>
          <w:u w:val="none"/>
        </w:rPr>
      </w:r>
      <w:r/>
    </w:p>
    <w:p>
      <w:pPr>
        <w:pStyle w:val="984"/>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十九、</w:t>
      </w:r>
      <w:r>
        <w:rPr>
          <w:rFonts w:hint="eastAsia" w:ascii="宋体" w:hAnsi="宋体"/>
          <w:color w:val="000000"/>
          <w:sz w:val="24"/>
          <w:highlight w:val="none"/>
        </w:rPr>
        <w:t xml:space="preserve">其他 （投标人认为有必要提供的声明和文件，如有自拟并自行添加）</w:t>
      </w:r>
      <w:r>
        <w:rPr>
          <w:rFonts w:hint="eastAsia" w:ascii="宋体" w:hAnsi="宋体"/>
          <w:color w:val="000000"/>
          <w:sz w:val="24"/>
          <w:highlight w:val="none"/>
        </w:rPr>
      </w:r>
      <w:r/>
    </w:p>
    <w:p>
      <w:pPr>
        <w:pStyle w:val="984"/>
        <w:numPr>
          <w:ilvl w:val="0"/>
          <w:numId w:val="0"/>
        </w:numPr>
        <w:jc w:val="left"/>
        <w:keepLines/>
        <w:keepNext/>
        <w:pageBreakBefore w:val="0"/>
        <w:spacing w:after="480" w:line="360" w:lineRule="auto"/>
        <w:widowControl w:val="off"/>
        <w:rPr>
          <w:rFonts w:hint="eastAsia" w:ascii="宋体" w:hAnsi="宋体" w:cs="宋体"/>
          <w:b/>
          <w:bCs/>
          <w:i/>
          <w:sz w:val="24"/>
          <w:szCs w:val="24"/>
          <w:highlight w:val="none"/>
          <w:u w:val="single"/>
        </w:rPr>
        <w:outlineLvl w:val="1"/>
      </w:pPr>
      <w:r>
        <w:rPr>
          <w:rFonts w:hint="eastAsia" w:ascii="宋体" w:hAnsi="宋体"/>
          <w:b/>
          <w:bCs/>
          <w:color w:val="000000"/>
          <w:highlight w:val="none"/>
        </w:rPr>
        <w:br w:type="page" w:clear="all"/>
      </w:r>
      <w:r>
        <w:rPr>
          <w:rFonts w:hint="eastAsia" w:ascii="宋体" w:hAnsi="宋体"/>
          <w:b/>
          <w:bCs/>
          <w:i/>
          <w:iCs/>
          <w:color w:val="000000"/>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rPr>
          <w:rFonts w:hint="eastAsia" w:ascii="宋体" w:hAnsi="宋体" w:cs="宋体"/>
          <w:b/>
          <w:bCs/>
          <w:i/>
          <w:sz w:val="24"/>
          <w:szCs w:val="24"/>
          <w:highlight w:val="none"/>
          <w:u w:val="single"/>
        </w:rPr>
      </w:r>
      <w:r/>
    </w:p>
    <w:p>
      <w:pPr>
        <w:pStyle w:val="985"/>
        <w:keepLines/>
        <w:keepNext/>
        <w:pageBreakBefore w:val="0"/>
        <w:spacing w:before="0" w:after="0" w:line="360" w:lineRule="auto"/>
        <w:widowControl w:val="off"/>
        <w:rPr>
          <w:sz w:val="32"/>
          <w:szCs w:val="32"/>
          <w:highlight w:val="none"/>
        </w:rPr>
      </w:pPr>
      <w:r>
        <w:rPr>
          <w:sz w:val="32"/>
          <w:szCs w:val="32"/>
          <w:highlight w:val="none"/>
        </w:rPr>
      </w:r>
      <w:r/>
    </w:p>
    <w:p>
      <w:pPr>
        <w:pStyle w:val="984"/>
        <w:jc w:val="left"/>
        <w:keepLines/>
        <w:keepNext/>
        <w:spacing w:before="260" w:line="415" w:lineRule="auto"/>
        <w:rPr>
          <w:rFonts w:hint="eastAsia" w:ascii="宋体" w:hAnsi="宋体" w:cs="宋体"/>
          <w:b/>
          <w:bCs/>
          <w:i/>
          <w:sz w:val="24"/>
          <w:szCs w:val="24"/>
          <w:highlight w:val="none"/>
          <w:u w:val="single"/>
        </w:rPr>
        <w:outlineLvl w:val="1"/>
      </w:pPr>
      <w:r/>
      <w:bookmarkStart w:id="63" w:name="OLE_LINK1"/>
      <w:r/>
      <w:bookmarkStart w:id="64" w:name="OLE_LINK2"/>
      <w:r>
        <w:rPr>
          <w:rFonts w:hint="eastAsia" w:ascii="宋体" w:hAnsi="宋体" w:cs="宋体"/>
          <w:b/>
          <w:bCs/>
          <w:i/>
          <w:sz w:val="24"/>
          <w:szCs w:val="24"/>
          <w:highlight w:val="none"/>
          <w:u w:val="single"/>
        </w:rPr>
        <w:t xml:space="preserve">二、依法缴纳税收和社会保障资金的相关材料</w:t>
      </w:r>
      <w:r>
        <w:rPr>
          <w:rFonts w:hint="eastAsia" w:ascii="宋体" w:hAnsi="宋体" w:cs="宋体"/>
          <w:b/>
          <w:bCs/>
          <w:i/>
          <w:sz w:val="24"/>
          <w:szCs w:val="24"/>
          <w:highlight w:val="none"/>
          <w:u w:val="single"/>
        </w:rPr>
      </w:r>
      <w:r/>
    </w:p>
    <w:p>
      <w:pPr>
        <w:pStyle w:val="984"/>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63"/>
      <w:r/>
      <w:bookmarkEnd w:id="64"/>
      <w:r/>
      <w:bookmarkStart w:id="65" w:name="OLE_LINK3"/>
      <w:r/>
      <w:bookmarkStart w:id="66" w:name="OLE_LINK4"/>
      <w:r>
        <w:rPr>
          <w:rFonts w:hint="eastAsia" w:ascii="宋体" w:hAnsi="宋体" w:cs="宋体"/>
          <w:b/>
          <w:bCs/>
          <w:i/>
          <w:sz w:val="24"/>
          <w:szCs w:val="24"/>
          <w:highlight w:val="none"/>
          <w:u w:val="single"/>
        </w:rPr>
      </w:r>
      <w:r/>
    </w:p>
    <w:p>
      <w:pPr>
        <w:pStyle w:val="984"/>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三、上一年度的财务状况报告</w:t>
      </w:r>
      <w:r>
        <w:rPr>
          <w:rFonts w:ascii="宋体" w:hAnsi="宋体" w:cs="宋体"/>
          <w:b/>
          <w:bCs/>
          <w:i/>
          <w:sz w:val="24"/>
          <w:szCs w:val="24"/>
          <w:highlight w:val="none"/>
          <w:u w:val="single"/>
        </w:rPr>
      </w:r>
      <w:r/>
    </w:p>
    <w:p>
      <w:pPr>
        <w:pStyle w:val="984"/>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成立不满一年不需提供</w:t>
      </w:r>
      <w:bookmarkEnd w:id="65"/>
      <w:r/>
      <w:bookmarkEnd w:id="66"/>
      <w:r/>
      <w:bookmarkStart w:id="67" w:name="OLE_LINK5"/>
      <w:r/>
      <w:bookmarkStart w:id="68" w:name="OLE_LINK6"/>
      <w:r>
        <w:rPr>
          <w:rFonts w:hint="eastAsia" w:ascii="宋体" w:hAnsi="宋体" w:cs="宋体"/>
          <w:b/>
          <w:bCs/>
          <w:i/>
          <w:sz w:val="24"/>
          <w:szCs w:val="24"/>
          <w:highlight w:val="none"/>
          <w:u w:val="single"/>
        </w:rPr>
      </w:r>
      <w:r/>
    </w:p>
    <w:p>
      <w:pPr>
        <w:pStyle w:val="984"/>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rPr>
          <w:rFonts w:ascii="宋体" w:hAnsi="宋体" w:cs="宋体"/>
          <w:b/>
          <w:bCs/>
          <w:i/>
          <w:sz w:val="24"/>
          <w:szCs w:val="24"/>
          <w:highlight w:val="none"/>
          <w:u w:val="single"/>
        </w:rPr>
      </w:r>
      <w:r/>
    </w:p>
    <w:p>
      <w:pPr>
        <w:pStyle w:val="984"/>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rPr>
          <w:rFonts w:hint="eastAsia" w:ascii="宋体" w:hAnsi="宋体" w:cs="宋体"/>
          <w:b/>
          <w:bCs/>
          <w:sz w:val="24"/>
          <w:szCs w:val="24"/>
          <w:highlight w:val="none"/>
        </w:rPr>
      </w:r>
      <w:r/>
    </w:p>
    <w:p>
      <w:pPr>
        <w:pStyle w:val="984"/>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sz w:val="24"/>
          <w:szCs w:val="24"/>
          <w:highlight w:val="none"/>
        </w:rPr>
      </w:r>
      <w:r/>
    </w:p>
    <w:p>
      <w:pPr>
        <w:pStyle w:val="984"/>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84"/>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84"/>
        <w:jc w:val="left"/>
        <w:keepLines/>
        <w:keepNext/>
        <w:pageBreakBefore w:val="0"/>
        <w:spacing w:line="416" w:lineRule="auto"/>
        <w:widowControl w:val="off"/>
        <w:rPr>
          <w:rFonts w:hint="eastAsia" w:ascii="宋体" w:hAnsi="宋体" w:cs="宋体"/>
          <w:b/>
          <w:bCs/>
          <w:i/>
          <w:sz w:val="24"/>
          <w:szCs w:val="24"/>
          <w:highlight w:val="none"/>
          <w:u w:val="single"/>
        </w:rPr>
        <w:outlineLvl w:val="9"/>
      </w:pPr>
      <w:r/>
      <w:bookmarkEnd w:id="67"/>
      <w:r/>
      <w:bookmarkEnd w:id="68"/>
      <w:r>
        <w:rPr>
          <w:rFonts w:hint="eastAsia" w:ascii="宋体" w:hAnsi="宋体" w:cs="宋体"/>
          <w:b/>
          <w:bCs/>
          <w:i/>
          <w:sz w:val="24"/>
          <w:szCs w:val="24"/>
          <w:highlight w:val="none"/>
          <w:u w:val="single"/>
        </w:rPr>
      </w:r>
      <w:r/>
    </w:p>
    <w:p>
      <w:pPr>
        <w:pStyle w:val="984"/>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rPr>
          <w:rFonts w:ascii="宋体" w:hAnsi="宋体" w:cs="宋体"/>
          <w:b/>
          <w:bCs/>
          <w:i/>
          <w:sz w:val="24"/>
          <w:szCs w:val="24"/>
          <w:highlight w:val="none"/>
          <w:u w:val="single"/>
        </w:rPr>
      </w:r>
      <w:r/>
    </w:p>
    <w:p>
      <w:pPr>
        <w:pStyle w:val="984"/>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rPr>
          <w:rFonts w:ascii="宋体" w:hAnsi="宋体" w:cs="宋体"/>
          <w:b/>
          <w:bCs/>
          <w:sz w:val="24"/>
          <w:szCs w:val="24"/>
          <w:highlight w:val="none"/>
        </w:rPr>
      </w:r>
      <w:r/>
    </w:p>
    <w:p>
      <w:pPr>
        <w:pStyle w:val="984"/>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4"/>
          <w:highlight w:val="none"/>
        </w:rPr>
      </w:r>
      <w:r/>
    </w:p>
    <w:p>
      <w:pPr>
        <w:pStyle w:val="984"/>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sz w:val="24"/>
          <w:szCs w:val="24"/>
          <w:highlight w:val="none"/>
          <w:u w:val="single"/>
        </w:rPr>
      </w:r>
      <w:r/>
    </w:p>
    <w:p>
      <w:pPr>
        <w:pStyle w:val="984"/>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rPr>
          <w:rFonts w:ascii="宋体" w:hAnsi="宋体" w:cs="宋体"/>
          <w:i/>
          <w:sz w:val="28"/>
          <w:szCs w:val="28"/>
          <w:highlight w:val="none"/>
          <w:u w:val="single"/>
        </w:rPr>
      </w:r>
      <w:r/>
    </w:p>
    <w:p>
      <w:pPr>
        <w:pStyle w:val="984"/>
        <w:jc w:val="center"/>
        <w:spacing w:line="500" w:lineRule="exact"/>
        <w:rPr>
          <w:rFonts w:ascii="方正仿宋_GBK"/>
          <w:color w:val="000000"/>
          <w:szCs w:val="32"/>
          <w:highlight w:val="none"/>
        </w:rPr>
      </w:pPr>
      <w:r>
        <w:rPr>
          <w:rFonts w:hint="eastAsia" w:ascii="宋体" w:hAnsi="宋体"/>
          <w:b/>
          <w:color w:val="000000"/>
          <w:szCs w:val="21"/>
          <w:highlight w:val="none"/>
        </w:rPr>
        <w:t xml:space="preserve">供应商信用承诺函</w:t>
      </w:r>
      <w:r>
        <w:rPr>
          <w:rFonts w:ascii="方正仿宋_GBK"/>
          <w:color w:val="000000"/>
          <w:szCs w:val="32"/>
          <w:highlight w:val="none"/>
        </w:rPr>
      </w:r>
      <w:r/>
    </w:p>
    <w:p>
      <w:pPr>
        <w:pStyle w:val="984"/>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84"/>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84"/>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84"/>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000000"/>
          <w:sz w:val="21"/>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984"/>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法定代表人（负责人）：</w:t>
      </w:r>
      <w:r>
        <w:rPr>
          <w:rFonts w:hint="eastAsia" w:ascii="宋体" w:hAnsi="宋体"/>
          <w:color w:val="000000"/>
          <w:szCs w:val="21"/>
          <w:highlight w:val="none"/>
        </w:rPr>
      </w:r>
      <w:r/>
    </w:p>
    <w:p>
      <w:pPr>
        <w:pStyle w:val="987"/>
        <w:jc w:val="right"/>
        <w:rPr>
          <w:rFonts w:hint="eastAsia" w:ascii="宋体" w:hAnsi="宋体" w:eastAsia="宋体" w:cs="Times New Roman"/>
          <w:b w:val="0"/>
          <w:bCs w:val="0"/>
          <w:color w:val="000000"/>
          <w:sz w:val="21"/>
          <w:szCs w:val="21"/>
          <w:highlight w:val="none"/>
          <w:lang w:val="en-US" w:eastAsia="zh-CN" w:bidi="ar-SA"/>
        </w:rPr>
      </w:pPr>
      <w:r/>
      <w:bookmarkStart w:id="69" w:name="_Toc20792"/>
      <w:r>
        <w:rPr>
          <w:rFonts w:hint="eastAsia" w:ascii="宋体" w:hAnsi="宋体" w:eastAsia="宋体" w:cs="Times New Roman"/>
          <w:b w:val="0"/>
          <w:bCs w:val="0"/>
          <w:color w:val="000000"/>
          <w:sz w:val="21"/>
          <w:szCs w:val="21"/>
          <w:highlight w:val="none"/>
          <w:lang w:val="en-US" w:eastAsia="zh-CN" w:bidi="ar-SA"/>
        </w:rPr>
        <w:t xml:space="preserve">年    月    日</w:t>
      </w:r>
      <w:bookmarkEnd w:id="69"/>
      <w:r>
        <w:rPr>
          <w:rFonts w:hint="eastAsia" w:ascii="宋体" w:hAnsi="宋体" w:eastAsia="宋体" w:cs="Times New Roman"/>
          <w:b w:val="0"/>
          <w:bCs w:val="0"/>
          <w:color w:val="000000"/>
          <w:sz w:val="21"/>
          <w:szCs w:val="21"/>
          <w:highlight w:val="none"/>
          <w:lang w:val="en-US" w:eastAsia="zh-CN" w:bidi="ar-SA"/>
        </w:rPr>
      </w:r>
      <w:r/>
    </w:p>
    <w:p>
      <w:pPr>
        <w:pStyle w:val="984"/>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rPr>
          <w:rFonts w:hint="eastAsia" w:ascii="宋体" w:hAnsi="宋体" w:eastAsia="宋体" w:cs="宋体"/>
          <w:i/>
          <w:sz w:val="32"/>
          <w:szCs w:val="32"/>
          <w:highlight w:val="none"/>
          <w:u w:val="single"/>
          <w:lang w:eastAsia="zh-CN"/>
        </w:rPr>
      </w:r>
      <w:r/>
    </w:p>
    <w:p>
      <w:pPr>
        <w:pStyle w:val="984"/>
        <w:jc w:val="left"/>
        <w:spacing w:line="360" w:lineRule="auto"/>
        <w:rPr>
          <w:rFonts w:hint="eastAsia" w:ascii="宋体" w:hAnsi="宋体"/>
          <w:sz w:val="24"/>
          <w:highlight w:val="none"/>
        </w:rPr>
      </w:pPr>
      <w:r>
        <w:rPr>
          <w:rFonts w:hint="eastAsia" w:ascii="宋体" w:hAnsi="宋体"/>
          <w:sz w:val="24"/>
          <w:highlight w:val="none"/>
        </w:rPr>
      </w:r>
      <w:r/>
    </w:p>
    <w:p>
      <w:pPr>
        <w:pStyle w:val="984"/>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pStyle w:val="984"/>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rPr>
          <w:rFonts w:hint="eastAsia" w:ascii="宋体" w:hAnsi="宋体" w:eastAsia="宋体" w:cs="宋体"/>
          <w:b/>
          <w:bCs/>
          <w:i/>
          <w:sz w:val="24"/>
          <w:szCs w:val="24"/>
          <w:highlight w:val="none"/>
          <w:u w:val="single"/>
        </w:rPr>
      </w:r>
      <w:r/>
    </w:p>
    <w:p>
      <w:pPr>
        <w:pStyle w:val="1041"/>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041"/>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041"/>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41"/>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1041"/>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41"/>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41"/>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（加盖CA电子公章）</w:t>
      </w:r>
      <w:r>
        <w:rPr>
          <w:rFonts w:ascii="宋体" w:hAnsi="宋体"/>
          <w:color w:val="000000"/>
          <w:sz w:val="21"/>
          <w:szCs w:val="21"/>
          <w:highlight w:val="none"/>
        </w:rPr>
      </w:r>
      <w:r/>
    </w:p>
    <w:p>
      <w:pPr>
        <w:pStyle w:val="1041"/>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4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84"/>
        <w:spacing w:line="460" w:lineRule="exact"/>
        <w:rPr>
          <w:rFonts w:ascii="宋体" w:hAnsi="宋体"/>
          <w:bCs/>
          <w:color w:val="000000"/>
          <w:highlight w:val="none"/>
        </w:rPr>
      </w:pPr>
      <w:r>
        <w:rPr>
          <w:rFonts w:ascii="宋体" w:hAnsi="宋体"/>
          <w:bCs/>
          <w:color w:val="000000"/>
          <w:highlight w:val="none"/>
        </w:rPr>
      </w:r>
      <w:r/>
    </w:p>
    <w:p>
      <w:pPr>
        <w:pStyle w:val="984"/>
        <w:ind w:firstLine="420"/>
        <w:spacing w:line="460" w:lineRule="exact"/>
        <w:rPr>
          <w:rFonts w:hint="eastAsia" w:ascii="宋体" w:hAnsi="宋体"/>
          <w:bCs/>
          <w:color w:val="000000"/>
          <w:highlight w:val="none"/>
        </w:r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84"/>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rPr>
          <w:rFonts w:ascii="宋体" w:hAnsi="宋体" w:cs="宋体"/>
          <w:i/>
          <w:sz w:val="32"/>
          <w:szCs w:val="32"/>
          <w:highlight w:val="none"/>
          <w:u w:val="single"/>
        </w:rPr>
      </w:r>
      <w:r/>
    </w:p>
    <w:p>
      <w:pPr>
        <w:pStyle w:val="984"/>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1041"/>
        <w:ind w:left="0" w:firstLine="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）号</w:t>
      </w:r>
      <w:r>
        <w:rPr>
          <w:rFonts w:hint="eastAsia" w:ascii="宋体" w:hAnsi="宋体"/>
          <w:color w:val="000000"/>
          <w:sz w:val="21"/>
          <w:szCs w:val="21"/>
          <w:highlight w:val="none"/>
        </w:rPr>
        <w:t xml:space="preserve">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103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103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103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1039"/>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84"/>
        <w:ind w:firstLine="420"/>
        <w:spacing w:line="360" w:lineRule="auto"/>
        <w:rPr>
          <w:rFonts w:hint="eastAsia" w:ascii="宋体" w:hAnsi="宋体"/>
          <w:b/>
          <w:bCs/>
          <w:color w:val="000000"/>
          <w:highlight w:val="none"/>
        </w:rPr>
      </w:pPr>
      <w:r>
        <w:rPr>
          <w:rFonts w:hint="eastAsia" w:ascii="宋体" w:hAnsi="宋体"/>
          <w:color w:val="000000"/>
          <w:sz w:val="21"/>
          <w:szCs w:val="21"/>
          <w:highlight w:val="none"/>
        </w:rPr>
        <w:t xml:space="preserve">日 期：________年____月____日</w:t>
      </w:r>
      <w:r>
        <w:rPr>
          <w:rFonts w:hint="eastAsia" w:ascii="宋体" w:hAnsi="宋体"/>
          <w:b/>
          <w:bCs/>
          <w:color w:val="000000"/>
          <w:highlight w:val="none"/>
        </w:rPr>
      </w:r>
      <w:r/>
    </w:p>
    <w:p>
      <w:pPr>
        <w:pStyle w:val="984"/>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jc w:val="left"/>
        <w:keepLines/>
        <w:keepNext/>
        <w:pageBreakBefore w:val="0"/>
        <w:spacing w:line="416" w:lineRule="auto"/>
        <w:widowControl w:val="off"/>
        <w:rPr>
          <w:rFonts w:hint="eastAsia" w:ascii="宋体" w:hAnsi="宋体" w:eastAsia="宋体" w:cs="宋体"/>
          <w:b/>
          <w:bCs/>
          <w:i w:val="0"/>
          <w:iCs/>
          <w:sz w:val="24"/>
          <w:szCs w:val="24"/>
          <w:highlight w:val="none"/>
          <w:u w:val="single"/>
          <w:lang w:eastAsia="zh-CN"/>
        </w:rPr>
        <w:outlineLvl w:val="1"/>
      </w:pPr>
      <w:r>
        <w:rPr>
          <w:rFonts w:hint="eastAsia" w:ascii="宋体" w:hAnsi="宋体" w:eastAsia="宋体" w:cs="宋体"/>
          <w:b/>
          <w:bCs/>
          <w:i w:val="0"/>
          <w:iCs/>
          <w:sz w:val="24"/>
          <w:szCs w:val="24"/>
          <w:highlight w:val="none"/>
          <w:u w:val="single"/>
          <w:lang w:val="en-US" w:eastAsia="zh-CN"/>
        </w:rPr>
        <w:t xml:space="preserve">十一</w:t>
      </w:r>
      <w:r>
        <w:rPr>
          <w:rFonts w:hint="eastAsia" w:ascii="宋体" w:hAnsi="宋体" w:eastAsia="宋体" w:cs="宋体"/>
          <w:b/>
          <w:bCs/>
          <w:i w:val="0"/>
          <w:iCs/>
          <w:sz w:val="24"/>
          <w:szCs w:val="24"/>
          <w:highlight w:val="none"/>
          <w:u w:val="single"/>
          <w:lang w:eastAsia="zh-CN"/>
        </w:rPr>
        <w:t xml:space="preserve">、</w:t>
      </w:r>
      <w:r>
        <w:rPr>
          <w:rFonts w:hint="eastAsia" w:ascii="宋体" w:hAnsi="宋体" w:eastAsia="宋体" w:cs="宋体"/>
          <w:b/>
          <w:bCs/>
          <w:i w:val="0"/>
          <w:iCs/>
          <w:sz w:val="24"/>
          <w:szCs w:val="24"/>
          <w:highlight w:val="none"/>
          <w:u w:val="single"/>
          <w:lang w:val="en-US" w:eastAsia="zh-CN"/>
        </w:rPr>
        <w:t xml:space="preserve">中小</w:t>
      </w:r>
      <w:r>
        <w:rPr>
          <w:rFonts w:hint="eastAsia" w:ascii="宋体" w:hAnsi="宋体" w:eastAsia="宋体" w:cs="宋体"/>
          <w:b/>
          <w:bCs/>
          <w:i w:val="0"/>
          <w:iCs/>
          <w:sz w:val="24"/>
          <w:szCs w:val="24"/>
          <w:highlight w:val="none"/>
          <w:u w:val="single"/>
          <w:lang w:eastAsia="zh-CN"/>
        </w:rPr>
        <w:t xml:space="preserve">企业声明函（服务）</w:t>
      </w:r>
      <w:r>
        <w:rPr>
          <w:rFonts w:hint="eastAsia" w:ascii="宋体" w:hAnsi="宋体" w:eastAsia="宋体" w:cs="宋体"/>
          <w:b/>
          <w:bCs/>
          <w:i w:val="0"/>
          <w:iCs/>
          <w:sz w:val="24"/>
          <w:szCs w:val="24"/>
          <w:highlight w:val="none"/>
          <w:u w:val="single"/>
          <w:lang w:eastAsia="zh-CN"/>
        </w:rPr>
      </w:r>
      <w:r/>
    </w:p>
    <w:p>
      <w:pPr>
        <w:pStyle w:val="984"/>
        <w:jc w:val="center"/>
        <w:spacing w:before="312" w:after="312" w:line="360" w:lineRule="auto"/>
        <w:rPr>
          <w:rFonts w:hint="eastAsia"/>
          <w:b/>
          <w:bCs/>
          <w:color w:val="000000"/>
          <w:highlight w:val="none"/>
        </w:rPr>
      </w:pPr>
      <w:r>
        <w:rPr>
          <w:rFonts w:hint="eastAsia"/>
          <w:b/>
          <w:bCs/>
          <w:color w:val="000000"/>
          <w:highlight w:val="none"/>
        </w:rPr>
        <w:t xml:space="preserve">中小企业声明函（服务）</w:t>
      </w:r>
      <w:r>
        <w:rPr>
          <w:rFonts w:hint="eastAsia"/>
          <w:b/>
          <w:bCs/>
          <w:color w:val="000000"/>
          <w:highlight w:val="none"/>
        </w:rPr>
      </w:r>
      <w:r/>
    </w:p>
    <w:p>
      <w:pPr>
        <w:pStyle w:val="984"/>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color w:val="000000"/>
          <w:highlight w:val="none"/>
        </w:rPr>
      </w:r>
      <w:r/>
    </w:p>
    <w:p>
      <w:pPr>
        <w:pStyle w:val="984"/>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bCs/>
          <w:color w:val="ff0000"/>
          <w:highlight w:val="none"/>
          <w:u w:val="single"/>
        </w:rPr>
        <w:t xml:space="preserve">其他未列明行业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84"/>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84"/>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84"/>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84"/>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84"/>
        <w:ind w:firstLine="420"/>
        <w:jc w:val="left"/>
        <w:spacing w:line="360" w:lineRule="auto"/>
        <w:rPr>
          <w:rFonts w:hint="eastAsia"/>
          <w:color w:val="000000"/>
          <w:highlight w:val="none"/>
        </w:rPr>
      </w:pPr>
      <w:r>
        <w:rPr>
          <w:rFonts w:hint="eastAsia"/>
          <w:color w:val="000000"/>
          <w:highlight w:val="none"/>
        </w:rPr>
      </w:r>
      <w:r/>
    </w:p>
    <w:p>
      <w:pPr>
        <w:pStyle w:val="984"/>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84"/>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984"/>
        <w:ind w:firstLine="420"/>
        <w:jc w:val="left"/>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w:t>
      </w:r>
      <w:r>
        <w:rPr>
          <w:rFonts w:hint="eastAsia"/>
          <w:color w:val="000000"/>
          <w:highlight w:val="none"/>
        </w:rPr>
      </w:r>
      <w:r/>
    </w:p>
    <w:p>
      <w:pPr>
        <w:pStyle w:val="984"/>
        <w:ind w:firstLine="420"/>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、中小企业不得属于大企业的分支机构，不得存在控股股东为大企业的情形，不得存在与大企业的负责人为同一人的情形。</w:t>
      </w:r>
      <w:r>
        <w:rPr>
          <w:rFonts w:hint="eastAsia"/>
          <w:color w:val="000000"/>
          <w:highlight w:val="none"/>
        </w:rPr>
      </w:r>
      <w:r/>
    </w:p>
    <w:p>
      <w:pPr>
        <w:pStyle w:val="984"/>
        <w:ind w:firstLine="420"/>
        <w:jc w:val="left"/>
        <w:rPr>
          <w:color w:val="000000"/>
          <w:highlight w:val="none"/>
        </w:rPr>
      </w:pPr>
      <w:r>
        <w:rPr>
          <w:rFonts w:hint="eastAsia"/>
          <w:color w:val="000000"/>
          <w:highlight w:val="none"/>
          <w:lang w:val="en-US" w:eastAsia="zh-CN"/>
        </w:rPr>
        <w:t xml:space="preserve">5</w:t>
      </w:r>
      <w:r>
        <w:rPr>
          <w:rFonts w:hint="eastAsia"/>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84"/>
        <w:ind w:firstLine="420"/>
        <w:jc w:val="left"/>
        <w:rPr>
          <w:rFonts w:hint="eastAsia"/>
          <w:color w:val="000000"/>
          <w:highlight w:val="none"/>
        </w:rPr>
      </w:pPr>
      <w:r>
        <w:rPr>
          <w:rFonts w:hint="eastAsia"/>
          <w:color w:val="000000"/>
          <w:highlight w:val="none"/>
        </w:rPr>
      </w:r>
      <w:r/>
    </w:p>
    <w:p>
      <w:pPr>
        <w:pStyle w:val="984"/>
        <w:ind w:firstLine="420"/>
        <w:jc w:val="left"/>
        <w:rPr>
          <w:rFonts w:hint="eastAsia"/>
          <w:color w:val="000000"/>
          <w:highlight w:val="none"/>
        </w:rPr>
      </w:pPr>
      <w:r>
        <w:rPr>
          <w:rFonts w:hint="eastAsia"/>
          <w:color w:val="000000"/>
          <w:highlight w:val="none"/>
        </w:rPr>
      </w:r>
      <w:r/>
    </w:p>
    <w:p>
      <w:pPr>
        <w:pStyle w:val="984"/>
        <w:ind w:firstLine="4620"/>
        <w:jc w:val="left"/>
        <w:rPr>
          <w:rFonts w:hint="eastAsia"/>
          <w:color w:val="000000"/>
          <w:highlight w:val="none"/>
        </w:rPr>
      </w:pPr>
      <w:r>
        <w:rPr>
          <w:rFonts w:hint="eastAsia"/>
          <w:color w:val="000000"/>
          <w:highlight w:val="none"/>
        </w:rPr>
        <w:t xml:space="preserve">企业名称（加盖CA电子公章）：</w:t>
      </w:r>
      <w:r>
        <w:rPr>
          <w:rFonts w:hint="eastAsia"/>
          <w:color w:val="000000"/>
          <w:highlight w:val="none"/>
        </w:rPr>
      </w:r>
      <w:r/>
    </w:p>
    <w:p>
      <w:pPr>
        <w:pStyle w:val="984"/>
        <w:ind w:firstLine="4620"/>
        <w:jc w:val="lef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86"/>
        <w:jc w:val="center"/>
        <w:pageBreakBefore w:val="0"/>
        <w:spacing w:before="0" w:beforeAutospacing="0" w:after="300" w:line="300" w:lineRule="exact"/>
        <w:widowControl/>
        <w:rPr>
          <w:rFonts w:ascii="宋体" w:hAnsi="宋体"/>
          <w:color w:val="000000"/>
          <w:sz w:val="21"/>
          <w:szCs w:val="21"/>
          <w:highlight w:val="none"/>
        </w:rPr>
      </w:pPr>
      <w:r>
        <w:rPr>
          <w:rFonts w:hint="eastAsia" w:ascii="宋体" w:hAnsi="宋体"/>
          <w:b w:val="0"/>
          <w:bCs w:val="0"/>
          <w:color w:val="000000"/>
          <w:highlight w:val="none"/>
        </w:rPr>
        <w:br w:type="page" w:clear="all"/>
      </w:r>
      <w:bookmarkStart w:id="70" w:name="_Toc19691"/>
      <w:r/>
      <w:bookmarkStart w:id="71" w:name="_Toc19182"/>
      <w:r/>
      <w:bookmarkStart w:id="72" w:name="_Toc22620"/>
      <w:r/>
      <w:bookmarkStart w:id="73" w:name="_Toc13394"/>
      <w:r/>
      <w:bookmarkStart w:id="74" w:name="_Toc19241"/>
      <w:r/>
      <w:bookmarkStart w:id="75" w:name="_Toc91061195"/>
      <w:r>
        <w:rPr>
          <w:rFonts w:hint="eastAsia" w:ascii="宋体" w:hAnsi="宋体" w:cs="微软雅黑"/>
          <w:bCs w:val="0"/>
          <w:color w:val="000000"/>
          <w:sz w:val="21"/>
          <w:szCs w:val="21"/>
          <w:highlight w:val="none"/>
        </w:rPr>
        <w:t xml:space="preserve">中小微企业划型标准</w:t>
      </w:r>
      <w:bookmarkEnd w:id="70"/>
      <w:r/>
      <w:bookmarkEnd w:id="71"/>
      <w:r/>
      <w:bookmarkEnd w:id="72"/>
      <w:r/>
      <w:bookmarkEnd w:id="73"/>
      <w:r/>
      <w:bookmarkEnd w:id="74"/>
      <w:r/>
      <w:bookmarkEnd w:id="75"/>
      <w:r>
        <w:rPr>
          <w:rFonts w:ascii="宋体" w:hAnsi="宋体"/>
          <w:color w:val="000000"/>
          <w:sz w:val="21"/>
          <w:szCs w:val="21"/>
          <w:highlight w:val="none"/>
        </w:rPr>
      </w:r>
      <w:r/>
    </w:p>
    <w:p>
      <w:pPr>
        <w:pStyle w:val="1014"/>
        <w:pageBreakBefore w:val="0"/>
        <w:spacing w:before="0" w:beforeAutospacing="0" w:after="452" w:line="300" w:lineRule="exact"/>
        <w:widowControl/>
        <w:rPr>
          <w:rStyle w:val="1018"/>
          <w:rFonts w:hint="eastAsia" w:ascii="宋体" w:hAnsi="宋体" w:cs="仿宋"/>
          <w:color w:val="000000"/>
          <w:sz w:val="21"/>
          <w:szCs w:val="21"/>
          <w:highlight w:val="none"/>
        </w:rPr>
      </w:pPr>
      <w:r>
        <w:rPr>
          <w:rStyle w:val="1018"/>
          <w:rFonts w:hint="eastAsia" w:ascii="宋体" w:hAnsi="宋体" w:cs="仿宋"/>
          <w:color w:val="000000"/>
          <w:sz w:val="21"/>
          <w:szCs w:val="21"/>
          <w:highlight w:val="none"/>
        </w:rPr>
        <w:t xml:space="preserve">中小微企业划型标准如下：</w:t>
      </w:r>
      <w:r>
        <w:rPr>
          <w:rStyle w:val="1018"/>
          <w:rFonts w:hint="eastAsia" w:ascii="宋体" w:hAnsi="宋体" w:cs="仿宋"/>
          <w:color w:val="000000"/>
          <w:sz w:val="21"/>
          <w:szCs w:val="21"/>
          <w:highlight w:val="none"/>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tblCellSpacing w:w="15" w:type="dxa"/>
          <w:trHeight w:val="285"/>
        </w:trPr>
        <w:tc>
          <w:tcPr>
            <w:tcW w:w="1803" w:type="dxa"/>
            <w:vAlign w:val="center"/>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行业名称</w:t>
            </w:r>
            <w:r>
              <w:rPr>
                <w:rFonts w:ascii="宋体" w:hAnsi="宋体"/>
                <w:sz w:val="21"/>
                <w:highlight w:val="none"/>
              </w:rPr>
            </w:r>
            <w:r/>
          </w:p>
        </w:tc>
        <w:tc>
          <w:tcPr>
            <w:tcW w:w="1558" w:type="dxa"/>
            <w:vAlign w:val="center"/>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指标名称</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计量单位</w:t>
            </w:r>
            <w:r>
              <w:rPr>
                <w:rFonts w:ascii="宋体" w:hAnsi="宋体"/>
                <w:sz w:val="21"/>
                <w:highlight w:val="none"/>
              </w:rPr>
            </w:r>
            <w:r/>
          </w:p>
        </w:tc>
        <w:tc>
          <w:tcPr>
            <w:tcW w:w="1886" w:type="dxa"/>
            <w:vAlign w:val="center"/>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中型</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小型</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微型</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农、林、牧、渔</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500≤Y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50≤Y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工业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300≤X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20≤X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2000≤Y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300≤Y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建筑业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6000≤Y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300≤Y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6000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资产总额（</w:t>
            </w:r>
            <w:r>
              <w:rPr>
                <w:rStyle w:val="1031"/>
                <w:rFonts w:hint="eastAsia" w:ascii="宋体" w:hAnsi="宋体" w:cs="仿宋"/>
                <w:sz w:val="21"/>
                <w:highlight w:val="none"/>
              </w:rPr>
              <w:t xml:space="preserve">Z</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5000≤Z</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300≤Z</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Z</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批发业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20≤X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5≤X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5000≤Y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零售业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50≤X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500≤Y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交通运输业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300≤X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20≤X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3000≤Y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200≤Y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仓储业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20≤X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邮政业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300≤X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20≤X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2000≤Y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住宿业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2000≤Y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餐饮业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2000≤Y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信息传输业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软件和信息技术服务业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50≤Y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房地产开发经营</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资产总额（</w:t>
            </w:r>
            <w:r>
              <w:rPr>
                <w:rStyle w:val="1031"/>
                <w:rFonts w:hint="eastAsia" w:ascii="宋体" w:hAnsi="宋体" w:cs="仿宋"/>
                <w:sz w:val="21"/>
                <w:highlight w:val="none"/>
              </w:rPr>
              <w:t xml:space="preserve">Z</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5000≤Z</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2000≤Y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2000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物业管理</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300≤X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营业收入（</w:t>
            </w: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500≤Y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500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租赁和商务服务业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4"/>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资产总额（</w:t>
            </w:r>
            <w:r>
              <w:rPr>
                <w:rStyle w:val="1031"/>
                <w:rFonts w:hint="eastAsia" w:ascii="宋体" w:hAnsi="宋体" w:cs="仿宋"/>
                <w:sz w:val="21"/>
                <w:highlight w:val="none"/>
              </w:rPr>
              <w:t xml:space="preserve">Z</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8000≤Z</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120000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100≤Z</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8000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Y</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1061"/>
              <w:jc w:val="center"/>
              <w:rPr>
                <w:rFonts w:ascii="宋体" w:hAnsi="宋体"/>
                <w:sz w:val="21"/>
                <w:highlight w:val="none"/>
              </w:rPr>
            </w:pPr>
            <w:r>
              <w:rPr>
                <w:rStyle w:val="1031"/>
                <w:rFonts w:hint="eastAsia" w:ascii="宋体" w:hAnsi="宋体" w:cs="宋体"/>
                <w:sz w:val="21"/>
                <w:highlight w:val="none"/>
              </w:rPr>
              <w:t xml:space="preserve">其他未列明行业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从业人员（</w:t>
            </w: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3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100≤X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31"/>
                <w:rFonts w:hint="eastAsia" w:ascii="宋体" w:hAnsi="宋体" w:cs="仿宋"/>
                <w:sz w:val="21"/>
                <w:highlight w:val="none"/>
              </w:rPr>
              <w:t xml:space="preserve">10≤X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31"/>
                <w:rFonts w:hint="eastAsia" w:ascii="宋体" w:hAnsi="宋体" w:cs="仿宋"/>
                <w:sz w:val="21"/>
                <w:highlight w:val="none"/>
              </w:rPr>
              <w:t xml:space="preserve">X</w:t>
            </w:r>
            <w:r>
              <w:rPr>
                <w:rStyle w:val="1031"/>
                <w:rFonts w:hint="eastAsia" w:ascii="宋体" w:hAnsi="宋体" w:cs="宋体"/>
                <w:sz w:val="21"/>
                <w:highlight w:val="none"/>
              </w:rPr>
              <w:t xml:space="preserve">＜</w:t>
            </w:r>
            <w:r>
              <w:rPr>
                <w:rStyle w:val="1031"/>
                <w:rFonts w:hint="eastAsia" w:ascii="宋体" w:hAnsi="宋体" w:cs="仿宋"/>
                <w:sz w:val="21"/>
                <w:highlight w:val="none"/>
              </w:rPr>
              <w:t xml:space="preserve">10</w:t>
            </w:r>
            <w:r>
              <w:rPr>
                <w:rFonts w:ascii="宋体" w:hAnsi="宋体"/>
                <w:sz w:val="21"/>
                <w:highlight w:val="none"/>
              </w:rPr>
            </w:r>
            <w:r/>
          </w:p>
        </w:tc>
      </w:tr>
    </w:tbl>
    <w:p>
      <w:pPr>
        <w:pStyle w:val="984"/>
        <w:keepLines w:val="0"/>
        <w:keepNext w:val="0"/>
        <w:pageBreakBefore w:val="0"/>
        <w:spacing w:line="240" w:lineRule="auto"/>
        <w:widowControl w:val="off"/>
        <w:rPr>
          <w:rStyle w:val="1018"/>
          <w:rFonts w:hint="eastAsia" w:ascii="宋体" w:hAnsi="宋体" w:cs="仿宋"/>
          <w:color w:val="000000"/>
          <w:sz w:val="21"/>
          <w:szCs w:val="21"/>
          <w:highlight w:val="none"/>
        </w:rPr>
      </w:pPr>
      <w:r>
        <w:rPr>
          <w:rStyle w:val="1018"/>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18"/>
          <w:rFonts w:hint="eastAsia" w:ascii="宋体" w:hAnsi="宋体" w:cs="仿宋"/>
          <w:color w:val="000000"/>
          <w:sz w:val="21"/>
          <w:szCs w:val="21"/>
          <w:highlight w:val="none"/>
        </w:rPr>
      </w:r>
      <w:r/>
    </w:p>
    <w:p>
      <w:pPr>
        <w:pStyle w:val="984"/>
        <w:jc w:val="left"/>
        <w:keepLines w:val="0"/>
        <w:keepNext w:val="0"/>
        <w:pageBreakBefore w:val="0"/>
        <w:spacing w:line="360" w:lineRule="auto"/>
        <w:widowControl w:val="off"/>
        <w:rPr>
          <w:rFonts w:hint="eastAsia" w:ascii="黑体" w:hAnsi="黑体" w:eastAsia="黑体"/>
          <w:b/>
          <w:sz w:val="32"/>
          <w:szCs w:val="32"/>
          <w:highlight w:val="none"/>
        </w:rPr>
      </w:pPr>
      <w:r>
        <w:rPr>
          <w:rStyle w:val="1018"/>
          <w:rFonts w:hint="eastAsia" w:ascii="宋体" w:hAnsi="宋体" w:cs="仿宋"/>
          <w:color w:val="000000"/>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rPr>
          <w:rFonts w:hint="eastAsia" w:ascii="黑体" w:hAnsi="黑体" w:eastAsia="黑体"/>
          <w:b/>
          <w:sz w:val="32"/>
          <w:szCs w:val="32"/>
          <w:highlight w:val="none"/>
        </w:rPr>
      </w:r>
      <w:r/>
    </w:p>
    <w:p>
      <w:pPr>
        <w:pStyle w:val="984"/>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rPr>
          <w:rFonts w:hint="eastAsia" w:ascii="宋体" w:hAnsi="宋体"/>
          <w:sz w:val="21"/>
          <w:szCs w:val="21"/>
          <w:highlight w:val="none"/>
        </w:rPr>
      </w:r>
      <w:r/>
    </w:p>
    <w:p>
      <w:pPr>
        <w:pStyle w:val="984"/>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rFonts w:ascii="宋体" w:hAnsi="宋体"/>
          <w:sz w:val="21"/>
          <w:szCs w:val="21"/>
          <w:highlight w:val="none"/>
        </w:rPr>
      </w:r>
      <w:r/>
    </w:p>
    <w:p>
      <w:pPr>
        <w:pStyle w:val="9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84"/>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rPr>
          <w:rFonts w:ascii="宋体" w:hAnsi="宋体"/>
          <w:sz w:val="21"/>
          <w:szCs w:val="21"/>
          <w:highlight w:val="none"/>
        </w:rPr>
      </w:r>
      <w:r/>
    </w:p>
    <w:p>
      <w:pPr>
        <w:pStyle w:val="984"/>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pStyle w:val="984"/>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rPr>
          <w:rFonts w:ascii="宋体" w:hAnsi="宋体"/>
          <w:sz w:val="21"/>
          <w:szCs w:val="21"/>
          <w:highlight w:val="none"/>
        </w:rPr>
      </w:r>
      <w:r/>
    </w:p>
    <w:p>
      <w:pPr>
        <w:pStyle w:val="984"/>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rPr>
          <w:rFonts w:hint="eastAsia" w:ascii="宋体" w:hAnsi="宋体"/>
          <w:sz w:val="21"/>
          <w:szCs w:val="21"/>
          <w:highlight w:val="none"/>
        </w:rPr>
      </w:r>
      <w:r/>
    </w:p>
    <w:p>
      <w:pPr>
        <w:pStyle w:val="984"/>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rPr>
          <w:rFonts w:hint="eastAsia" w:ascii="宋体" w:hAnsi="宋体" w:eastAsia="宋体" w:cs="宋体"/>
          <w:sz w:val="32"/>
          <w:szCs w:val="32"/>
          <w:highlight w:val="none"/>
        </w:rPr>
      </w:r>
      <w:r/>
    </w:p>
    <w:p>
      <w:pPr>
        <w:pStyle w:val="984"/>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rPr>
          <w:rFonts w:ascii="宋体" w:hAnsi="宋体"/>
          <w:sz w:val="21"/>
          <w:szCs w:val="21"/>
          <w:highlight w:val="none"/>
        </w:rPr>
      </w:r>
      <w:r/>
    </w:p>
    <w:p>
      <w:pPr>
        <w:pStyle w:val="984"/>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rPr>
          <w:rFonts w:ascii="宋体" w:hAnsi="宋体"/>
          <w:sz w:val="21"/>
          <w:szCs w:val="21"/>
          <w:highlight w:val="none"/>
        </w:rPr>
      </w:r>
      <w:r/>
    </w:p>
    <w:p>
      <w:pPr>
        <w:pStyle w:val="984"/>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rPr>
          <w:rFonts w:ascii="宋体" w:hAnsi="宋体"/>
          <w:sz w:val="21"/>
          <w:szCs w:val="21"/>
          <w:highlight w:val="none"/>
        </w:rPr>
      </w:r>
      <w:r/>
    </w:p>
    <w:p>
      <w:pPr>
        <w:pStyle w:val="984"/>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rPr>
          <w:rFonts w:hint="eastAsia" w:ascii="宋体" w:hAnsi="宋体"/>
          <w:sz w:val="21"/>
          <w:szCs w:val="21"/>
          <w:highlight w:val="none"/>
        </w:rPr>
      </w:r>
      <w:r/>
    </w:p>
    <w:p>
      <w:pPr>
        <w:pStyle w:val="984"/>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84"/>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rPr>
          <w:rFonts w:ascii="宋体" w:hAnsi="宋体"/>
          <w:sz w:val="21"/>
          <w:szCs w:val="21"/>
          <w:highlight w:val="none"/>
        </w:rPr>
      </w:r>
      <w:r/>
    </w:p>
    <w:p>
      <w:pPr>
        <w:pStyle w:val="984"/>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rPr>
      </w:r>
      <w:r/>
    </w:p>
    <w:p>
      <w:pPr>
        <w:pStyle w:val="984"/>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84"/>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rPr>
          <w:rFonts w:ascii="宋体" w:hAnsi="宋体"/>
          <w:sz w:val="21"/>
          <w:szCs w:val="21"/>
          <w:highlight w:val="none"/>
        </w:rPr>
      </w:r>
      <w:r/>
    </w:p>
    <w:p>
      <w:pPr>
        <w:pStyle w:val="984"/>
        <w:jc w:val="left"/>
        <w:spacing w:line="360" w:lineRule="auto"/>
        <w:rPr>
          <w:rFonts w:hint="eastAsia" w:ascii="宋体" w:hAnsi="宋体"/>
          <w:b/>
          <w:bCs/>
          <w:color w:val="000000"/>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rPr>
          <w:rFonts w:hint="eastAsia" w:ascii="宋体" w:hAnsi="宋体"/>
          <w:b/>
          <w:bCs/>
          <w:color w:val="000000"/>
          <w:sz w:val="21"/>
          <w:szCs w:val="21"/>
          <w:highlight w:val="none"/>
        </w:rPr>
      </w:r>
      <w:r/>
    </w:p>
    <w:p>
      <w:pPr>
        <w:pStyle w:val="984"/>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bCs/>
          <w:sz w:val="24"/>
          <w:szCs w:val="24"/>
          <w:highlight w:val="none"/>
        </w:rPr>
      </w:r>
      <w:r/>
    </w:p>
    <w:p>
      <w:pPr>
        <w:pStyle w:val="98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84"/>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rPr>
          <w:rFonts w:hint="eastAsia" w:ascii="宋体" w:hAnsi="宋体"/>
          <w:b/>
          <w:sz w:val="32"/>
          <w:szCs w:val="32"/>
          <w:highlight w:val="none"/>
        </w:rPr>
      </w:r>
      <w:r/>
    </w:p>
    <w:tbl>
      <w:tblPr>
        <w:tblW w:w="8813" w:type="dxa"/>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984"/>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4993" w:type="dxa"/>
            <w:vAlign w:val="center"/>
            <w:textDirection w:val="lrTb"/>
            <w:noWrap w:val="false"/>
          </w:tcPr>
          <w:p>
            <w:pPr>
              <w:pStyle w:val="984"/>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rPr>
                <w:rFonts w:hint="eastAsia" w:ascii="宋体" w:hAnsi="宋体" w:eastAsia="宋体" w:cs="宋体"/>
                <w:b/>
                <w:szCs w:val="21"/>
                <w:highlight w:val="none"/>
              </w:rPr>
            </w:r>
            <w:r/>
          </w:p>
        </w:tc>
        <w:tc>
          <w:tcPr>
            <w:tcW w:w="1794" w:type="dxa"/>
            <w:vAlign w:val="center"/>
            <w:textDirection w:val="lrTb"/>
            <w:noWrap w:val="false"/>
          </w:tcPr>
          <w:p>
            <w:pPr>
              <w:pStyle w:val="984"/>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rPr>
                <w:rFonts w:hint="eastAsia" w:ascii="宋体" w:hAnsi="宋体" w:eastAsia="宋体" w:cs="宋体"/>
                <w:b/>
                <w:szCs w:val="21"/>
                <w:highlight w:val="none"/>
              </w:rPr>
            </w:r>
            <w:r/>
          </w:p>
          <w:p>
            <w:pPr>
              <w:pStyle w:val="984"/>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rPr>
                <w:rFonts w:hint="eastAsia" w:ascii="宋体" w:hAnsi="宋体" w:eastAsia="宋体" w:cs="宋体"/>
                <w:b/>
                <w:szCs w:val="21"/>
                <w:highlight w:val="none"/>
              </w:rPr>
            </w:r>
            <w:r/>
          </w:p>
        </w:tc>
        <w:tc>
          <w:tcPr>
            <w:tcW w:w="1186" w:type="dxa"/>
            <w:vAlign w:val="center"/>
            <w:textDirection w:val="lrTb"/>
            <w:noWrap w:val="false"/>
          </w:tcPr>
          <w:p>
            <w:pPr>
              <w:pStyle w:val="984"/>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984"/>
              <w:jc w:val="center"/>
              <w:rPr>
                <w:rFonts w:ascii="宋体" w:hAnsi="宋体"/>
                <w:b w:val="0"/>
                <w:bCs/>
                <w:szCs w:val="21"/>
                <w:highlight w:val="none"/>
              </w:rPr>
            </w:pPr>
            <w:r>
              <w:rPr>
                <w:rFonts w:hint="eastAsia" w:ascii="宋体" w:hAnsi="宋体"/>
                <w:b w:val="0"/>
                <w:bCs/>
                <w:szCs w:val="21"/>
                <w:highlight w:val="none"/>
              </w:rPr>
              <w:t xml:space="preserve">1</w:t>
            </w:r>
            <w:r>
              <w:rPr>
                <w:rFonts w:ascii="宋体" w:hAnsi="宋体"/>
                <w:b w:val="0"/>
                <w:bCs/>
                <w:szCs w:val="21"/>
                <w:highlight w:val="none"/>
              </w:rPr>
            </w:r>
            <w:r/>
          </w:p>
        </w:tc>
        <w:tc>
          <w:tcPr>
            <w:tcW w:w="4993" w:type="dxa"/>
            <w:vAlign w:val="center"/>
            <w:textDirection w:val="lrTb"/>
            <w:noWrap w:val="false"/>
          </w:tcPr>
          <w:p>
            <w:pPr>
              <w:pStyle w:val="984"/>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794" w:type="dxa"/>
            <w:vAlign w:val="center"/>
            <w:textDirection w:val="lrTb"/>
            <w:noWrap w:val="false"/>
          </w:tcPr>
          <w:p>
            <w:pPr>
              <w:pStyle w:val="984"/>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pStyle w:val="984"/>
              <w:rPr>
                <w:rFonts w:ascii="宋体" w:hAnsi="宋体"/>
                <w:b/>
                <w:szCs w:val="21"/>
                <w:highlight w:val="none"/>
              </w:rPr>
            </w:pPr>
            <w:r>
              <w:rPr>
                <w:rFonts w:ascii="宋体" w:hAnsi="宋体"/>
                <w:b/>
                <w:szCs w:val="21"/>
                <w:highlight w:val="none"/>
              </w:rPr>
            </w:r>
            <w:r/>
          </w:p>
        </w:tc>
      </w:tr>
      <w:tr>
        <w:trPr>
          <w:trHeight w:val="623"/>
        </w:trPr>
        <w:tc>
          <w:tcPr>
            <w:tcW w:w="840" w:type="dxa"/>
            <w:vAlign w:val="center"/>
            <w:textDirection w:val="lrTb"/>
            <w:noWrap w:val="false"/>
          </w:tcPr>
          <w:p>
            <w:pPr>
              <w:pStyle w:val="984"/>
              <w:jc w:val="center"/>
              <w:rPr>
                <w:rFonts w:ascii="宋体" w:hAnsi="宋体"/>
                <w:b w:val="0"/>
                <w:bCs/>
                <w:szCs w:val="21"/>
                <w:highlight w:val="none"/>
              </w:rPr>
            </w:pPr>
            <w:r>
              <w:rPr>
                <w:rFonts w:hint="eastAsia" w:ascii="宋体" w:hAnsi="宋体"/>
                <w:b w:val="0"/>
                <w:bCs/>
                <w:szCs w:val="21"/>
                <w:highlight w:val="none"/>
              </w:rPr>
              <w:t xml:space="preserve">2</w:t>
            </w:r>
            <w:r>
              <w:rPr>
                <w:rFonts w:ascii="宋体" w:hAnsi="宋体"/>
                <w:b w:val="0"/>
                <w:bCs/>
                <w:szCs w:val="21"/>
                <w:highlight w:val="none"/>
              </w:rPr>
            </w:r>
            <w:r/>
          </w:p>
        </w:tc>
        <w:tc>
          <w:tcPr>
            <w:tcW w:w="4993" w:type="dxa"/>
            <w:vAlign w:val="center"/>
            <w:textDirection w:val="lrTb"/>
            <w:noWrap w:val="false"/>
          </w:tcPr>
          <w:p>
            <w:pPr>
              <w:pStyle w:val="984"/>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pStyle w:val="984"/>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4"/>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84"/>
              <w:jc w:val="center"/>
              <w:rPr>
                <w:rFonts w:ascii="宋体" w:hAnsi="宋体"/>
                <w:b w:val="0"/>
                <w:bCs/>
                <w:szCs w:val="21"/>
                <w:highlight w:val="none"/>
              </w:rPr>
            </w:pPr>
            <w:r>
              <w:rPr>
                <w:rFonts w:hint="eastAsia" w:ascii="宋体" w:hAnsi="宋体"/>
                <w:b w:val="0"/>
                <w:bCs/>
                <w:szCs w:val="21"/>
                <w:highlight w:val="none"/>
              </w:rPr>
              <w:t xml:space="preserve">3</w:t>
            </w:r>
            <w:r>
              <w:rPr>
                <w:rFonts w:ascii="宋体" w:hAnsi="宋体"/>
                <w:b w:val="0"/>
                <w:bCs/>
                <w:szCs w:val="21"/>
                <w:highlight w:val="none"/>
              </w:rPr>
            </w:r>
            <w:r/>
          </w:p>
        </w:tc>
        <w:tc>
          <w:tcPr>
            <w:tcW w:w="4993" w:type="dxa"/>
            <w:vAlign w:val="center"/>
            <w:textDirection w:val="lrTb"/>
            <w:noWrap w:val="false"/>
          </w:tcPr>
          <w:p>
            <w:pPr>
              <w:pStyle w:val="984"/>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84"/>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4"/>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84"/>
              <w:jc w:val="center"/>
              <w:rPr>
                <w:rFonts w:ascii="宋体" w:hAnsi="宋体"/>
                <w:b w:val="0"/>
                <w:bCs/>
                <w:szCs w:val="21"/>
                <w:highlight w:val="none"/>
              </w:rPr>
            </w:pPr>
            <w:r>
              <w:rPr>
                <w:rFonts w:hint="eastAsia" w:ascii="宋体" w:hAnsi="宋体"/>
                <w:b w:val="0"/>
                <w:bCs/>
                <w:szCs w:val="21"/>
                <w:highlight w:val="none"/>
              </w:rPr>
              <w:t xml:space="preserve">4</w:t>
            </w:r>
            <w:r>
              <w:rPr>
                <w:rFonts w:ascii="宋体" w:hAnsi="宋体"/>
                <w:b w:val="0"/>
                <w:bCs/>
                <w:szCs w:val="21"/>
                <w:highlight w:val="none"/>
              </w:rPr>
            </w:r>
            <w:r/>
          </w:p>
        </w:tc>
        <w:tc>
          <w:tcPr>
            <w:tcW w:w="4993" w:type="dxa"/>
            <w:vAlign w:val="center"/>
            <w:textDirection w:val="lrTb"/>
            <w:noWrap w:val="false"/>
          </w:tcPr>
          <w:p>
            <w:pPr>
              <w:pStyle w:val="984"/>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84"/>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4"/>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84"/>
              <w:jc w:val="center"/>
              <w:rPr>
                <w:rFonts w:ascii="宋体" w:hAnsi="宋体"/>
                <w:b w:val="0"/>
                <w:bCs/>
                <w:szCs w:val="21"/>
                <w:highlight w:val="none"/>
              </w:rPr>
            </w:pPr>
            <w:r>
              <w:rPr>
                <w:rFonts w:hint="eastAsia" w:ascii="宋体" w:hAnsi="宋体"/>
                <w:b w:val="0"/>
                <w:bCs/>
                <w:szCs w:val="21"/>
                <w:highlight w:val="none"/>
              </w:rPr>
              <w:t xml:space="preserve">5</w:t>
            </w:r>
            <w:r>
              <w:rPr>
                <w:rFonts w:ascii="宋体" w:hAnsi="宋体"/>
                <w:b w:val="0"/>
                <w:bCs/>
                <w:szCs w:val="21"/>
                <w:highlight w:val="none"/>
              </w:rPr>
            </w:r>
            <w:r/>
          </w:p>
        </w:tc>
        <w:tc>
          <w:tcPr>
            <w:tcW w:w="4993" w:type="dxa"/>
            <w:vAlign w:val="center"/>
            <w:textDirection w:val="lrTb"/>
            <w:noWrap w:val="false"/>
          </w:tcPr>
          <w:p>
            <w:pPr>
              <w:pStyle w:val="984"/>
              <w:spacing w:line="0" w:lineRule="atLeast"/>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794" w:type="dxa"/>
            <w:vAlign w:val="center"/>
            <w:textDirection w:val="lrTb"/>
            <w:noWrap w:val="false"/>
          </w:tcPr>
          <w:p>
            <w:pPr>
              <w:pStyle w:val="984"/>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4"/>
              <w:rPr>
                <w:rFonts w:ascii="宋体" w:hAnsi="宋体"/>
                <w:szCs w:val="21"/>
                <w:highlight w:val="none"/>
              </w:rPr>
            </w:pPr>
            <w:r>
              <w:rPr>
                <w:rFonts w:ascii="宋体" w:hAnsi="宋体"/>
                <w:szCs w:val="21"/>
                <w:highlight w:val="none"/>
              </w:rPr>
            </w:r>
            <w:r/>
          </w:p>
        </w:tc>
      </w:tr>
    </w:tbl>
    <w:p>
      <w:pPr>
        <w:pStyle w:val="984"/>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84"/>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84"/>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84"/>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84"/>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84"/>
        <w:jc w:val="left"/>
        <w:keepLines w:val="0"/>
        <w:keepNext w:val="0"/>
        <w:pageBreakBefore w:val="0"/>
        <w:spacing w:line="360" w:lineRule="auto"/>
        <w:widowControl w:val="off"/>
        <w:rPr>
          <w:rFonts w:hint="eastAsia" w:ascii="宋体" w:hAnsi="宋体"/>
          <w:bCs/>
          <w:color w:val="000000"/>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rPr>
          <w:rFonts w:hint="eastAsia" w:ascii="宋体" w:hAnsi="宋体"/>
          <w:bCs/>
          <w:color w:val="000000"/>
          <w:highlight w:val="none"/>
        </w:rPr>
      </w:r>
      <w:r/>
    </w:p>
    <w:p>
      <w:pPr>
        <w:pStyle w:val="984"/>
        <w:jc w:val="center"/>
        <w:keepLines w:val="0"/>
        <w:keepNext w:val="0"/>
        <w:pageBreakBefore w:val="0"/>
        <w:spacing w:after="161" w:line="360" w:lineRule="auto"/>
        <w:widowControl w:val="off"/>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w:t>
      </w:r>
      <w:r>
        <w:rPr>
          <w:rFonts w:hint="eastAsia" w:ascii="黑体" w:hAnsi="黑体" w:eastAsia="黑体"/>
          <w:b/>
          <w:sz w:val="32"/>
          <w:szCs w:val="32"/>
          <w:highlight w:val="none"/>
        </w:rPr>
      </w:r>
      <w:r/>
    </w:p>
    <w:p>
      <w:pPr>
        <w:pStyle w:val="984"/>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投标人全称（加盖CA电子签章）：</w:t>
      </w:r>
      <w:r>
        <w:rPr>
          <w:rFonts w:ascii="宋体" w:hAnsi="宋体" w:eastAsia="宋体" w:cs="Times New Roman"/>
          <w:sz w:val="21"/>
          <w:szCs w:val="21"/>
          <w:highlight w:val="none"/>
        </w:rPr>
      </w:r>
      <w:r/>
    </w:p>
    <w:p>
      <w:pPr>
        <w:pStyle w:val="984"/>
        <w:keepLines w:val="0"/>
        <w:keepNext w:val="0"/>
        <w:pageBreakBefore w:val="0"/>
        <w:spacing w:line="360" w:lineRule="auto"/>
        <w:widowControl w:val="off"/>
        <w:rPr>
          <w:rFonts w:hint="eastAsia" w:eastAsia="宋体" w:cs="Times New Roman"/>
          <w:sz w:val="21"/>
          <w:szCs w:val="21"/>
          <w:highlight w:val="none"/>
        </w:rPr>
      </w:pPr>
      <w:r>
        <w:rPr>
          <w:rFonts w:hint="eastAsia" w:ascii="宋体" w:hAnsi="宋体" w:eastAsia="宋体" w:cs="Times New Roman"/>
          <w:sz w:val="21"/>
          <w:szCs w:val="21"/>
          <w:highlight w:val="none"/>
        </w:rPr>
        <w:t xml:space="preserve">项目名称：</w:t>
      </w:r>
      <w:r>
        <w:rPr>
          <w:rFonts w:hint="eastAsia" w:eastAsia="宋体" w:cs="Times New Roman"/>
          <w:sz w:val="21"/>
          <w:szCs w:val="21"/>
          <w:highlight w:val="none"/>
        </w:rPr>
      </w:r>
      <w:r/>
    </w:p>
    <w:p>
      <w:pPr>
        <w:pStyle w:val="984"/>
        <w:keepLines w:val="0"/>
        <w:keepNext w:val="0"/>
        <w:pageBreakBefore w:val="0"/>
        <w:spacing w:line="360" w:lineRule="auto"/>
        <w:widowControl w:val="off"/>
        <w:rPr>
          <w:rFonts w:ascii="黑体" w:hAnsi="黑体" w:eastAsia="黑体" w:cs="Times New Roman"/>
          <w:b/>
          <w:sz w:val="21"/>
          <w:szCs w:val="21"/>
          <w:highlight w:val="none"/>
        </w:rPr>
      </w:pPr>
      <w:r>
        <w:rPr>
          <w:rFonts w:hint="eastAsia" w:ascii="宋体" w:hAnsi="宋体" w:eastAsia="宋体" w:cs="Times New Roman"/>
          <w:sz w:val="21"/>
          <w:szCs w:val="21"/>
          <w:highlight w:val="none"/>
        </w:rPr>
        <w:t xml:space="preserve">项目编号：</w:t>
      </w:r>
      <w:r>
        <w:rPr>
          <w:rFonts w:ascii="黑体" w:hAnsi="黑体" w:eastAsia="黑体" w:cs="Times New Roman"/>
          <w:b/>
          <w:sz w:val="21"/>
          <w:szCs w:val="21"/>
          <w:highlight w:val="none"/>
        </w:rPr>
      </w:r>
      <w:r/>
    </w:p>
    <w:tbl>
      <w:tblPr>
        <w:tblW w:w="5449" w:type="pct"/>
        <w:tblInd w:w="-498" w:type="dxa"/>
        <w:tblLayout w:type="fixed"/>
        <w:tblCellMar>
          <w:left w:w="108" w:type="dxa"/>
          <w:top w:w="0" w:type="dxa"/>
          <w:right w:w="108" w:type="dxa"/>
          <w:bottom w:w="0" w:type="dxa"/>
        </w:tblCellMar>
        <w:tblLook w:val="04A0" w:firstRow="1" w:lastRow="0" w:firstColumn="1" w:lastColumn="0" w:noHBand="0" w:noVBand="1"/>
      </w:tblPr>
      <w:tblGrid>
        <w:gridCol w:w="3177"/>
        <w:gridCol w:w="1705"/>
        <w:gridCol w:w="1705"/>
        <w:gridCol w:w="1705"/>
        <w:gridCol w:w="1706"/>
      </w:tblGrid>
      <w:tr>
        <w:trPr>
          <w:cantSplit/>
          <w:trHeight w:val="711"/>
        </w:trPr>
        <w:tc>
          <w:tcPr>
            <w:tcBorders>
              <w:top w:val="single" w:color="000000" w:sz="4" w:space="0"/>
              <w:left w:val="single" w:color="000000" w:sz="4" w:space="0"/>
              <w:bottom w:val="single" w:color="000000" w:sz="4" w:space="0"/>
              <w:right w:val="single" w:color="000000" w:sz="4" w:space="0"/>
            </w:tcBorders>
            <w:tcW w:w="1588" w:type="dxa"/>
            <w:vAlign w:val="center"/>
            <w:vMerge w:val="restart"/>
            <w:textDirection w:val="lrTb"/>
            <w:noWrap/>
          </w:tcPr>
          <w:p>
            <w:pPr>
              <w:pStyle w:val="984"/>
              <w:jc w:val="center"/>
              <w:widowControl/>
              <w:rPr>
                <w:rFonts w:ascii="宋体" w:hAnsi="宋体" w:eastAsia="宋体" w:cs="宋体"/>
                <w:color w:val="000000"/>
                <w:szCs w:val="21"/>
                <w:highlight w:val="none"/>
              </w:rPr>
            </w:pPr>
            <w:r>
              <w:rPr>
                <w:rFonts w:hint="eastAsia" w:ascii="宋体" w:hAnsi="宋体" w:eastAsia="宋体" w:cs="Times New Roman"/>
                <w:sz w:val="21"/>
                <w:szCs w:val="21"/>
                <w:highlight w:val="none"/>
              </w:rPr>
              <w:t xml:space="preserve">项目名称</w:t>
            </w:r>
            <w:r>
              <w:rPr>
                <w:rFonts w:ascii="宋体" w:hAnsi="宋体" w:eastAsia="宋体" w:cs="宋体"/>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6821" w:type="dxa"/>
            <w:vAlign w:val="center"/>
            <w:textDirection w:val="lrTb"/>
            <w:noWrap/>
          </w:tcPr>
          <w:p>
            <w:pPr>
              <w:pStyle w:val="984"/>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电量基准</w:t>
            </w:r>
            <w:r>
              <w:rPr>
                <w:rFonts w:ascii="宋体" w:hAnsi="宋体" w:eastAsia="宋体" w:cs="宋体"/>
                <w:color w:val="000000"/>
                <w:szCs w:val="21"/>
                <w:highlight w:val="none"/>
              </w:rPr>
            </w:r>
            <w:r/>
          </w:p>
        </w:tc>
      </w:tr>
      <w:tr>
        <w:trPr>
          <w:cantSplit/>
          <w:trHeight w:val="577"/>
        </w:trPr>
        <w:tc>
          <w:tcPr>
            <w:tcBorders>
              <w:top w:val="single" w:color="000000" w:sz="4" w:space="0"/>
              <w:left w:val="single" w:color="000000" w:sz="4" w:space="0"/>
              <w:bottom w:val="single" w:color="000000" w:sz="4" w:space="0"/>
              <w:right w:val="single" w:color="000000" w:sz="4" w:space="0"/>
            </w:tcBorders>
            <w:tcW w:w="1588" w:type="dxa"/>
            <w:vAlign w:val="center"/>
            <w:vMerge w:val="continue"/>
            <w:textDirection w:val="lrTb"/>
            <w:noWrap w:val="false"/>
          </w:tcPr>
          <w:p>
            <w:pPr>
              <w:pStyle w:val="984"/>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84"/>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年基准用量（kWh）</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8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投标量</w:t>
            </w:r>
            <w:r>
              <w:rPr>
                <w:rFonts w:hint="eastAsia" w:ascii="宋体" w:hAnsi="宋体" w:eastAsia="宋体" w:cs="宋体"/>
                <w:color w:val="000000"/>
                <w:szCs w:val="21"/>
                <w:highlight w:val="none"/>
              </w:rPr>
            </w:r>
            <w:r/>
          </w:p>
          <w:p>
            <w:pPr>
              <w:pStyle w:val="984"/>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（kWh）</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8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基准单价</w:t>
            </w:r>
            <w:r>
              <w:rPr>
                <w:rFonts w:hint="eastAsia" w:ascii="宋体" w:hAnsi="宋体" w:eastAsia="宋体" w:cs="宋体"/>
                <w:color w:val="000000"/>
                <w:szCs w:val="21"/>
                <w:highlight w:val="none"/>
              </w:rPr>
            </w:r>
            <w:r/>
          </w:p>
          <w:p>
            <w:pPr>
              <w:pStyle w:val="984"/>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8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投标费用</w:t>
            </w:r>
            <w:r>
              <w:rPr>
                <w:rFonts w:hint="eastAsia" w:ascii="宋体" w:hAnsi="宋体" w:eastAsia="宋体" w:cs="宋体"/>
                <w:color w:val="000000"/>
                <w:szCs w:val="21"/>
                <w:highlight w:val="none"/>
              </w:rPr>
            </w:r>
            <w:r/>
          </w:p>
          <w:p>
            <w:pPr>
              <w:pStyle w:val="984"/>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ascii="宋体" w:hAnsi="宋体" w:eastAsia="宋体" w:cs="宋体"/>
                <w:color w:val="000000"/>
                <w:szCs w:val="21"/>
                <w:highlight w:val="none"/>
              </w:rPr>
            </w:r>
            <w:r/>
          </w:p>
        </w:tc>
      </w:tr>
      <w:tr>
        <w:trPr>
          <w:trHeight w:val="752"/>
        </w:trPr>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pStyle w:val="984"/>
              <w:jc w:val="center"/>
              <w:widowControl/>
              <w:rPr>
                <w:rFonts w:ascii="宋体" w:hAnsi="宋体" w:eastAsia="宋体" w:cs="宋体"/>
                <w:szCs w:val="21"/>
                <w:highlight w:val="none"/>
              </w:rPr>
            </w:pPr>
            <w:r>
              <w:rPr>
                <w:rFonts w:hint="eastAsia" w:ascii="宋体" w:hAnsi="宋体" w:eastAsia="宋体" w:cs="宋体"/>
                <w:szCs w:val="21"/>
                <w:highlight w:val="none"/>
                <w:lang w:eastAsia="zh-CN"/>
              </w:rPr>
              <w:t xml:space="preserve">仪征市环境卫生管理处（仪征市城市管理局）办公大楼能源费用托管项目</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4"/>
              <w:jc w:val="center"/>
              <w:widowControl/>
              <w:rPr>
                <w:rFonts w:ascii="宋体" w:hAnsi="宋体" w:eastAsia="宋体" w:cs="宋体"/>
                <w:szCs w:val="21"/>
                <w:highlight w:val="none"/>
                <w:lang w:val="en-US" w:eastAsia="zh-CN"/>
              </w:rPr>
            </w:pPr>
            <w:r>
              <w:rPr>
                <w:rFonts w:hint="eastAsia" w:ascii="宋体" w:hAnsi="宋体" w:eastAsia="宋体" w:cs="宋体"/>
                <w:szCs w:val="21"/>
                <w:highlight w:val="none"/>
              </w:rPr>
              <w:t xml:space="preserve">779949</w:t>
            </w:r>
            <w:r>
              <w:rPr>
                <w:rFonts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4"/>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4"/>
              <w:jc w:val="center"/>
              <w:widowControl/>
              <w:rPr>
                <w:rFonts w:ascii="宋体" w:hAnsi="宋体" w:eastAsia="宋体" w:cs="宋体"/>
                <w:szCs w:val="21"/>
                <w:highlight w:val="none"/>
                <w:lang w:val="en-US" w:eastAsia="zh-CN"/>
              </w:rPr>
            </w:pPr>
            <w:r>
              <w:rPr>
                <w:rFonts w:hint="eastAsia" w:ascii="宋体" w:hAnsi="宋体" w:eastAsia="宋体" w:cs="宋体"/>
                <w:szCs w:val="21"/>
                <w:highlight w:val="none"/>
              </w:rPr>
              <w:t xml:space="preserve">0.</w:t>
            </w:r>
            <w:r>
              <w:rPr>
                <w:rFonts w:hint="eastAsia" w:ascii="宋体" w:hAnsi="宋体" w:eastAsia="宋体" w:cs="宋体"/>
                <w:szCs w:val="21"/>
                <w:highlight w:val="none"/>
                <w:lang w:val="en-US" w:eastAsia="zh-CN"/>
              </w:rPr>
              <w:t xml:space="preserve">71</w:t>
            </w:r>
            <w:r>
              <w:rPr>
                <w:rFonts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8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708"/>
        </w:trPr>
        <w:tc>
          <w:tcPr>
            <w:gridSpan w:val="5"/>
            <w:tcBorders>
              <w:top w:val="single" w:color="000000" w:sz="4" w:space="0"/>
              <w:left w:val="single" w:color="000000" w:sz="4" w:space="0"/>
              <w:bottom w:val="single" w:color="000000" w:sz="4" w:space="0"/>
              <w:right w:val="single" w:color="000000" w:sz="4" w:space="0"/>
            </w:tcBorders>
            <w:tcW w:w="9998" w:type="dxa"/>
            <w:vAlign w:val="center"/>
            <w:textDirection w:val="lrTb"/>
            <w:noWrap/>
          </w:tcPr>
          <w:p>
            <w:pPr>
              <w:pStyle w:val="98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1年能源托管费用合计：    元</w:t>
            </w:r>
            <w:r>
              <w:rPr>
                <w:rFonts w:hint="eastAsia" w:ascii="宋体" w:hAnsi="宋体" w:eastAsia="宋体" w:cs="宋体"/>
                <w:color w:val="000000"/>
                <w:szCs w:val="21"/>
                <w:highlight w:val="none"/>
              </w:rPr>
            </w:r>
            <w:r/>
          </w:p>
        </w:tc>
      </w:tr>
      <w:tr>
        <w:trPr>
          <w:trHeight w:val="733"/>
        </w:trPr>
        <w:tc>
          <w:tcPr>
            <w:gridSpan w:val="5"/>
            <w:tcBorders>
              <w:top w:val="single" w:color="000000" w:sz="4" w:space="0"/>
              <w:left w:val="single" w:color="000000" w:sz="4" w:space="0"/>
              <w:bottom w:val="single" w:color="000000" w:sz="4" w:space="0"/>
              <w:right w:val="single" w:color="000000" w:sz="4" w:space="0"/>
            </w:tcBorders>
            <w:tcW w:w="9998" w:type="dxa"/>
            <w:vAlign w:val="center"/>
            <w:textDirection w:val="lrTb"/>
            <w:noWrap/>
          </w:tcPr>
          <w:p>
            <w:pPr>
              <w:pStyle w:val="98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8年能源托管费用合计：    元</w:t>
            </w:r>
            <w:r>
              <w:rPr>
                <w:rFonts w:hint="eastAsia" w:ascii="宋体" w:hAnsi="宋体" w:eastAsia="宋体" w:cs="宋体"/>
                <w:color w:val="000000"/>
                <w:szCs w:val="21"/>
                <w:highlight w:val="none"/>
              </w:rPr>
            </w:r>
            <w:r/>
          </w:p>
        </w:tc>
      </w:tr>
    </w:tbl>
    <w:p>
      <w:pPr>
        <w:pStyle w:val="984"/>
        <w:ind w:firstLine="57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84"/>
        <w:ind w:firstLine="570"/>
        <w:jc w:val="righ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rPr>
      </w:r>
      <w:r/>
    </w:p>
    <w:p>
      <w:pPr>
        <w:pStyle w:val="984"/>
        <w:ind w:firstLine="57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84"/>
        <w:ind w:firstLine="57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84"/>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备注：投标人报价时，投标量不得高于</w:t>
      </w:r>
      <w:r>
        <w:rPr>
          <w:rFonts w:hint="eastAsia" w:ascii="宋体" w:hAnsi="宋体" w:eastAsia="宋体" w:cs="宋体"/>
          <w:color w:val="000000"/>
          <w:szCs w:val="21"/>
          <w:highlight w:val="none"/>
        </w:rPr>
        <w:t xml:space="preserve">年</w:t>
      </w:r>
      <w:r>
        <w:rPr>
          <w:rFonts w:hint="eastAsia" w:ascii="宋体" w:hAnsi="宋体" w:eastAsia="宋体" w:cs="Times New Roman"/>
          <w:color w:val="000000"/>
          <w:sz w:val="21"/>
          <w:szCs w:val="21"/>
          <w:highlight w:val="none"/>
        </w:rPr>
        <w:t xml:space="preserve">基准用量，投标费用采用投标量乘以基准单价，未来支付费用时，以能源供应商实际能源单价结算。</w:t>
      </w:r>
      <w:r>
        <w:rPr>
          <w:rFonts w:hint="eastAsia" w:ascii="宋体" w:hAnsi="宋体" w:eastAsia="宋体" w:cs="Times New Roman"/>
          <w:color w:val="000000"/>
          <w:sz w:val="21"/>
          <w:szCs w:val="21"/>
          <w:highlight w:val="none"/>
        </w:rPr>
      </w:r>
      <w:r/>
    </w:p>
    <w:p>
      <w:pPr>
        <w:pStyle w:val="984"/>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84"/>
        <w:rPr>
          <w:rFonts w:hint="eastAsia" w:ascii="宋体" w:hAnsi="宋体"/>
          <w:color w:val="000000"/>
          <w:szCs w:val="21"/>
          <w:highlight w:val="none"/>
        </w:rPr>
      </w:pPr>
      <w:r>
        <w:rPr>
          <w:rFonts w:hint="eastAsia" w:ascii="宋体" w:hAnsi="宋体"/>
          <w:color w:val="000000"/>
          <w:szCs w:val="21"/>
          <w:highlight w:val="none"/>
        </w:rPr>
      </w:r>
      <w:r/>
    </w:p>
    <w:p>
      <w:pPr>
        <w:pStyle w:val="986"/>
        <w:ind w:firstLine="3213"/>
        <w:rPr>
          <w:rFonts w:hint="eastAsia" w:ascii="宋体" w:hAnsi="宋体"/>
          <w:bCs w:val="0"/>
          <w:color w:val="000000"/>
          <w:highlight w:val="none"/>
        </w:rPr>
      </w:pPr>
      <w:r>
        <w:rPr>
          <w:rFonts w:hint="eastAsia" w:ascii="宋体" w:hAnsi="宋体"/>
          <w:bCs w:val="0"/>
          <w:color w:val="000000"/>
          <w:highlight w:val="none"/>
        </w:rPr>
      </w:r>
      <w:r/>
    </w:p>
    <w:p>
      <w:pPr>
        <w:pStyle w:val="984"/>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rPr>
          <w:rFonts w:ascii="宋体" w:hAnsi="宋体" w:cs="宋体"/>
          <w:sz w:val="32"/>
          <w:szCs w:val="32"/>
          <w:highlight w:val="none"/>
        </w:rPr>
      </w:r>
      <w:r/>
    </w:p>
    <w:p>
      <w:pPr>
        <w:pStyle w:val="986"/>
        <w:jc w:val="center"/>
        <w:rPr>
          <w:rFonts w:hint="eastAsia" w:ascii="宋体" w:hAnsi="宋体"/>
          <w:color w:val="000000"/>
          <w:sz w:val="28"/>
          <w:szCs w:val="28"/>
          <w:highlight w:val="none"/>
        </w:rPr>
      </w:pPr>
      <w:r/>
      <w:bookmarkStart w:id="76" w:name="_Toc12761"/>
      <w:r>
        <w:rPr>
          <w:rFonts w:hint="eastAsia" w:ascii="宋体" w:hAnsi="宋体"/>
          <w:color w:val="000000"/>
          <w:sz w:val="28"/>
          <w:szCs w:val="28"/>
          <w:highlight w:val="none"/>
        </w:rPr>
        <w:t xml:space="preserve">技术要求响应及偏离表</w:t>
      </w:r>
      <w:bookmarkEnd w:id="76"/>
      <w:r>
        <w:rPr>
          <w:rFonts w:hint="eastAsia" w:ascii="宋体" w:hAnsi="宋体"/>
          <w:color w:val="000000"/>
          <w:sz w:val="28"/>
          <w:szCs w:val="28"/>
          <w:highlight w:val="none"/>
        </w:rPr>
      </w:r>
      <w:r/>
    </w:p>
    <w:p>
      <w:pPr>
        <w:pStyle w:val="984"/>
        <w:rPr>
          <w:highlight w:val="none"/>
        </w:rPr>
      </w:pPr>
      <w:r>
        <w:rPr>
          <w:highlight w:val="none"/>
        </w:rPr>
      </w:r>
      <w:r/>
    </w:p>
    <w:tbl>
      <w:tblPr>
        <w:tblW w:w="8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pStyle w:val="984"/>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687" w:type="dxa"/>
            <w:vAlign w:val="center"/>
            <w:textDirection w:val="lrTb"/>
            <w:noWrap w:val="false"/>
          </w:tcPr>
          <w:p>
            <w:pPr>
              <w:pStyle w:val="984"/>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招标文件要求</w:t>
            </w:r>
            <w:r>
              <w:rPr>
                <w:rFonts w:ascii="宋体" w:hAnsi="宋体"/>
                <w:color w:val="000000"/>
                <w:sz w:val="21"/>
                <w:szCs w:val="21"/>
                <w:highlight w:val="none"/>
              </w:rPr>
            </w:r>
            <w:r/>
          </w:p>
        </w:tc>
        <w:tc>
          <w:tcPr>
            <w:tcW w:w="2687" w:type="dxa"/>
            <w:vAlign w:val="center"/>
            <w:textDirection w:val="lrTb"/>
            <w:noWrap w:val="false"/>
          </w:tcPr>
          <w:p>
            <w:pPr>
              <w:pStyle w:val="984"/>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投标响应情况</w:t>
            </w:r>
            <w:r>
              <w:rPr>
                <w:rFonts w:ascii="宋体" w:hAnsi="宋体"/>
                <w:color w:val="000000"/>
                <w:sz w:val="21"/>
                <w:szCs w:val="21"/>
                <w:highlight w:val="none"/>
              </w:rPr>
            </w:r>
            <w:r/>
          </w:p>
        </w:tc>
        <w:tc>
          <w:tcPr>
            <w:tcW w:w="1232" w:type="dxa"/>
            <w:vAlign w:val="center"/>
            <w:textDirection w:val="lrTb"/>
            <w:noWrap w:val="false"/>
          </w:tcPr>
          <w:p>
            <w:pPr>
              <w:pStyle w:val="984"/>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超出、符合或偏离</w:t>
            </w:r>
            <w:r>
              <w:rPr>
                <w:rFonts w:ascii="宋体" w:hAnsi="宋体"/>
                <w:color w:val="000000"/>
                <w:sz w:val="21"/>
                <w:szCs w:val="21"/>
                <w:highlight w:val="none"/>
              </w:rPr>
            </w:r>
            <w:r/>
          </w:p>
        </w:tc>
        <w:tc>
          <w:tcPr>
            <w:tcW w:w="1105" w:type="dxa"/>
            <w:vAlign w:val="center"/>
            <w:textDirection w:val="lrTb"/>
            <w:noWrap w:val="false"/>
          </w:tcPr>
          <w:p>
            <w:pPr>
              <w:pStyle w:val="984"/>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rPr>
                <w:rFonts w:hint="eastAsia" w:ascii="宋体" w:hAnsi="宋体"/>
                <w:sz w:val="21"/>
                <w:szCs w:val="21"/>
                <w:highlight w:val="none"/>
              </w:rPr>
            </w:r>
            <w:r/>
          </w:p>
          <w:p>
            <w:pPr>
              <w:pStyle w:val="984"/>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材料</w:t>
            </w:r>
            <w:r>
              <w:rPr>
                <w:rFonts w:ascii="宋体" w:hAnsi="宋体"/>
                <w:color w:val="000000"/>
                <w:sz w:val="21"/>
                <w:szCs w:val="21"/>
                <w:highlight w:val="none"/>
              </w:rPr>
            </w:r>
            <w:r/>
          </w:p>
        </w:tc>
      </w:tr>
      <w:tr>
        <w:trPr>
          <w:cantSplit/>
          <w:trHeight w:val="64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r>
        <w:trPr>
          <w:cantSplit/>
          <w:trHeight w:val="654"/>
        </w:trPr>
        <w:tc>
          <w:tcPr>
            <w:tcW w:w="92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4"/>
              <w:jc w:val="center"/>
              <w:rPr>
                <w:rFonts w:ascii="宋体" w:hAnsi="宋体"/>
                <w:color w:val="000000"/>
                <w:szCs w:val="21"/>
                <w:highlight w:val="none"/>
              </w:rPr>
            </w:pPr>
            <w:r>
              <w:rPr>
                <w:rFonts w:ascii="宋体" w:hAnsi="宋体"/>
                <w:color w:val="000000"/>
                <w:szCs w:val="21"/>
                <w:highlight w:val="none"/>
              </w:rPr>
            </w:r>
            <w:r/>
          </w:p>
        </w:tc>
      </w:tr>
    </w:tbl>
    <w:p>
      <w:pPr>
        <w:pStyle w:val="984"/>
        <w:rPr>
          <w:rFonts w:ascii="宋体" w:hAnsi="宋体"/>
          <w:color w:val="000000"/>
          <w:sz w:val="24"/>
          <w:szCs w:val="24"/>
          <w:highlight w:val="none"/>
        </w:rPr>
      </w:pPr>
      <w:r>
        <w:rPr>
          <w:rFonts w:ascii="宋体" w:hAnsi="宋体"/>
          <w:color w:val="000000"/>
          <w:sz w:val="24"/>
          <w:szCs w:val="24"/>
          <w:highlight w:val="none"/>
        </w:rPr>
      </w:r>
      <w:r/>
    </w:p>
    <w:p>
      <w:pPr>
        <w:pStyle w:val="984"/>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注：行数不够，可自行添加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87"/>
        <w:rPr>
          <w:highlight w:val="none"/>
        </w:rPr>
      </w:pPr>
      <w:r>
        <w:rPr>
          <w:highlight w:val="none"/>
        </w:rPr>
      </w:r>
      <w:r/>
    </w:p>
    <w:p>
      <w:pPr>
        <w:pStyle w:val="984"/>
        <w:jc w:val="center"/>
        <w:rPr>
          <w:rFonts w:ascii="黑体" w:hAnsi="Arial" w:eastAsia="黑体"/>
          <w:b/>
          <w:color w:val="000000"/>
          <w:sz w:val="36"/>
          <w:highlight w:val="none"/>
        </w:rPr>
      </w:pPr>
      <w:r>
        <w:rPr>
          <w:rFonts w:ascii="黑体" w:hAnsi="Arial" w:eastAsia="黑体"/>
          <w:b/>
          <w:color w:val="000000"/>
          <w:sz w:val="36"/>
          <w:highlight w:val="none"/>
        </w:rPr>
      </w:r>
      <w:r/>
    </w:p>
    <w:p>
      <w:pPr>
        <w:pStyle w:val="984"/>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rPr>
          <w:rFonts w:ascii="宋体" w:hAnsi="宋体" w:cs="宋体"/>
          <w:sz w:val="32"/>
          <w:szCs w:val="32"/>
          <w:highlight w:val="none"/>
        </w:rPr>
      </w:r>
      <w:r/>
    </w:p>
    <w:p>
      <w:pPr>
        <w:pStyle w:val="986"/>
        <w:jc w:val="center"/>
        <w:rPr>
          <w:rFonts w:hint="eastAsia" w:ascii="宋体" w:hAnsi="宋体"/>
          <w:bCs w:val="0"/>
          <w:color w:val="000000"/>
          <w:sz w:val="28"/>
          <w:szCs w:val="28"/>
          <w:highlight w:val="none"/>
        </w:rPr>
      </w:pPr>
      <w:r/>
      <w:bookmarkStart w:id="77" w:name="_Toc15565"/>
      <w:r/>
      <w:bookmarkStart w:id="78" w:name="_Toc113352363"/>
      <w:r/>
      <w:bookmarkStart w:id="79" w:name="_Toc11513"/>
      <w:r/>
      <w:bookmarkStart w:id="80" w:name="_Toc14047"/>
      <w:r/>
      <w:bookmarkStart w:id="81" w:name="_Toc11043"/>
      <w:r>
        <w:rPr>
          <w:rFonts w:hint="eastAsia" w:ascii="宋体" w:hAnsi="宋体"/>
          <w:bCs w:val="0"/>
          <w:color w:val="000000"/>
          <w:sz w:val="28"/>
          <w:szCs w:val="28"/>
          <w:highlight w:val="none"/>
        </w:rPr>
        <w:t xml:space="preserve">商务</w:t>
      </w:r>
      <w:r>
        <w:rPr>
          <w:rFonts w:hint="eastAsia" w:ascii="宋体" w:hAnsi="宋体"/>
          <w:bCs w:val="0"/>
          <w:color w:val="000000"/>
          <w:sz w:val="28"/>
          <w:szCs w:val="28"/>
          <w:highlight w:val="none"/>
          <w:lang w:val="en-US" w:eastAsia="zh-CN"/>
        </w:rPr>
        <w:t xml:space="preserve">要求</w:t>
      </w:r>
      <w:r>
        <w:rPr>
          <w:rFonts w:hint="eastAsia" w:ascii="宋体" w:hAnsi="宋体"/>
          <w:bCs w:val="0"/>
          <w:color w:val="000000"/>
          <w:sz w:val="28"/>
          <w:szCs w:val="28"/>
          <w:highlight w:val="none"/>
        </w:rPr>
        <w:t xml:space="preserve">响应及偏离表</w:t>
      </w:r>
      <w:bookmarkEnd w:id="77"/>
      <w:r/>
      <w:bookmarkEnd w:id="78"/>
      <w:r/>
      <w:bookmarkEnd w:id="79"/>
      <w:r/>
      <w:bookmarkEnd w:id="80"/>
      <w:r/>
      <w:bookmarkEnd w:id="81"/>
      <w:r>
        <w:rPr>
          <w:rFonts w:hint="eastAsia" w:ascii="宋体" w:hAnsi="宋体"/>
          <w:bCs w:val="0"/>
          <w:color w:val="000000"/>
          <w:sz w:val="28"/>
          <w:szCs w:val="28"/>
          <w:highlight w:val="none"/>
        </w:rPr>
      </w:r>
      <w:r/>
    </w:p>
    <w:p>
      <w:pPr>
        <w:pStyle w:val="984"/>
        <w:rPr>
          <w:highlight w:val="none"/>
        </w:rPr>
      </w:pP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pStyle w:val="984"/>
              <w:jc w:val="center"/>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3015" w:type="dxa"/>
            <w:vAlign w:val="center"/>
            <w:textDirection w:val="lrTb"/>
            <w:noWrap w:val="false"/>
          </w:tcPr>
          <w:p>
            <w:pPr>
              <w:pStyle w:val="984"/>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rPr>
                <w:rFonts w:ascii="宋体" w:hAnsi="宋体" w:cs="宋体"/>
                <w:sz w:val="21"/>
                <w:szCs w:val="21"/>
                <w:highlight w:val="none"/>
              </w:rPr>
            </w:r>
            <w:r/>
          </w:p>
        </w:tc>
        <w:tc>
          <w:tcPr>
            <w:tcW w:w="2852" w:type="dxa"/>
            <w:vAlign w:val="center"/>
            <w:textDirection w:val="lrTb"/>
            <w:noWrap w:val="false"/>
          </w:tcPr>
          <w:p>
            <w:pPr>
              <w:pStyle w:val="984"/>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rPr>
                <w:rFonts w:ascii="宋体" w:hAnsi="宋体" w:cs="宋体"/>
                <w:sz w:val="21"/>
                <w:szCs w:val="21"/>
                <w:highlight w:val="none"/>
              </w:rPr>
            </w:r>
            <w:r/>
          </w:p>
        </w:tc>
        <w:tc>
          <w:tcPr>
            <w:tcW w:w="1308" w:type="dxa"/>
            <w:vAlign w:val="center"/>
            <w:textDirection w:val="lrTb"/>
            <w:noWrap w:val="false"/>
          </w:tcPr>
          <w:p>
            <w:pPr>
              <w:pStyle w:val="984"/>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rPr>
                <w:rFonts w:ascii="宋体" w:hAnsi="宋体" w:cs="宋体"/>
                <w:sz w:val="21"/>
                <w:szCs w:val="21"/>
                <w:highlight w:val="none"/>
              </w:rPr>
            </w:r>
            <w:r/>
          </w:p>
        </w:tc>
        <w:tc>
          <w:tcPr>
            <w:tcW w:w="1173" w:type="dxa"/>
            <w:vAlign w:val="center"/>
            <w:textDirection w:val="lrTb"/>
            <w:noWrap w:val="false"/>
          </w:tcPr>
          <w:p>
            <w:pPr>
              <w:pStyle w:val="984"/>
              <w:jc w:val="center"/>
              <w:rPr>
                <w:rFonts w:ascii="宋体" w:hAnsi="宋体" w:cs="宋体"/>
                <w:sz w:val="21"/>
                <w:szCs w:val="21"/>
                <w:highlight w:val="none"/>
              </w:rPr>
            </w:pPr>
            <w:r>
              <w:rPr>
                <w:rFonts w:hint="eastAsia" w:ascii="宋体" w:hAnsi="宋体" w:cs="宋体"/>
                <w:sz w:val="21"/>
                <w:szCs w:val="21"/>
                <w:highlight w:val="none"/>
              </w:rPr>
              <w:t xml:space="preserve">证明</w:t>
            </w:r>
            <w:r>
              <w:rPr>
                <w:rFonts w:ascii="宋体" w:hAnsi="宋体" w:cs="宋体"/>
                <w:sz w:val="21"/>
                <w:szCs w:val="21"/>
                <w:highlight w:val="none"/>
              </w:rPr>
            </w:r>
            <w:r/>
          </w:p>
          <w:p>
            <w:pPr>
              <w:pStyle w:val="984"/>
              <w:jc w:val="center"/>
              <w:rPr>
                <w:rFonts w:ascii="宋体" w:hAnsi="宋体" w:cs="宋体"/>
                <w:sz w:val="21"/>
                <w:szCs w:val="21"/>
                <w:highlight w:val="none"/>
              </w:rPr>
            </w:pPr>
            <w:r>
              <w:rPr>
                <w:rFonts w:hint="eastAsia" w:ascii="宋体" w:hAnsi="宋体" w:cs="宋体"/>
                <w:sz w:val="21"/>
                <w:szCs w:val="21"/>
                <w:highlight w:val="none"/>
              </w:rPr>
              <w:t xml:space="preserve">材料</w:t>
            </w: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4"/>
              <w:jc w:val="center"/>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r>
            <w:r/>
          </w:p>
        </w:tc>
        <w:tc>
          <w:tcPr>
            <w:tcW w:w="2852"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4"/>
              <w:jc w:val="center"/>
              <w:rPr>
                <w:rFonts w:ascii="宋体" w:hAnsi="宋体" w:cs="宋体"/>
                <w:sz w:val="21"/>
                <w:szCs w:val="21"/>
                <w:highlight w:val="none"/>
              </w:rPr>
            </w:pPr>
            <w:r>
              <w:rPr>
                <w:rFonts w:ascii="宋体" w:hAnsi="宋体" w:cs="宋体"/>
                <w:sz w:val="21"/>
                <w:szCs w:val="21"/>
                <w:highlight w:val="none"/>
              </w:rPr>
            </w:r>
            <w:r/>
          </w:p>
        </w:tc>
      </w:tr>
    </w:tbl>
    <w:p>
      <w:pPr>
        <w:pStyle w:val="1014"/>
        <w:spacing w:before="300" w:after="452" w:line="360" w:lineRule="auto"/>
        <w:widowControl/>
        <w:rPr>
          <w:rStyle w:val="1018"/>
          <w:rFonts w:hint="eastAsia" w:ascii="宋体" w:hAnsi="宋体" w:cs="仿宋"/>
          <w:color w:val="000000"/>
          <w:sz w:val="21"/>
          <w:szCs w:val="21"/>
          <w:highlight w:val="none"/>
        </w:rPr>
      </w:pPr>
      <w:r>
        <w:rPr>
          <w:rFonts w:hint="eastAsia" w:ascii="宋体" w:hAnsi="宋体" w:cs="宋体"/>
          <w:sz w:val="21"/>
          <w:szCs w:val="21"/>
          <w:highlight w:val="none"/>
        </w:rPr>
        <w:t xml:space="preserve">注： 行数不够，可自行添加。</w:t>
      </w:r>
      <w:r>
        <w:rPr>
          <w:rStyle w:val="1018"/>
          <w:rFonts w:hint="eastAsia" w:ascii="宋体" w:hAnsi="宋体" w:cs="仿宋"/>
          <w:color w:val="000000"/>
          <w:sz w:val="21"/>
          <w:szCs w:val="21"/>
          <w:highlight w:val="none"/>
        </w:rPr>
      </w:r>
      <w:r/>
    </w:p>
    <w:p>
      <w:pPr>
        <w:pStyle w:val="9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6"/>
        <w:jc w:val="left"/>
        <w:keepLines/>
        <w:keepNext/>
        <w:pageBreakBefore w:val="0"/>
        <w:spacing w:before="0" w:after="0" w:line="360" w:lineRule="auto"/>
        <w:widowControl w:val="off"/>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 </w:t>
      </w:r>
      <w:bookmarkStart w:id="82" w:name="_Toc8938"/>
      <w:r/>
      <w:bookmarkStart w:id="83" w:name="_Toc4311"/>
      <w:r/>
      <w:bookmarkStart w:id="84" w:name="_Toc6924"/>
      <w:r/>
      <w:bookmarkStart w:id="85" w:name="_Toc14628"/>
      <w:r>
        <w:rPr>
          <w:rFonts w:hint="eastAsia" w:ascii="宋体" w:hAnsi="宋体"/>
          <w:b w:val="0"/>
          <w:bCs w:val="0"/>
          <w:color w:val="000000"/>
          <w:szCs w:val="21"/>
          <w:highlight w:val="none"/>
        </w:rPr>
      </w:r>
      <w:r/>
    </w:p>
    <w:p>
      <w:pPr>
        <w:pStyle w:val="984"/>
        <w:jc w:val="left"/>
        <w:keepLines w:val="0"/>
        <w:keepNext w:val="0"/>
        <w:pageBreakBefore w:val="0"/>
        <w:spacing w:line="360" w:lineRule="auto"/>
        <w:widowControl w:val="off"/>
        <w:rPr>
          <w:rFonts w:hint="eastAsia" w:ascii="宋体" w:hAnsi="宋体"/>
          <w:b w:val="0"/>
          <w:bCs w:val="0"/>
          <w:color w:val="000000"/>
          <w:sz w:val="28"/>
          <w:szCs w:val="28"/>
          <w:highlight w:val="none"/>
        </w:rPr>
      </w:pPr>
      <w:r>
        <w:rPr>
          <w:rFonts w:hint="eastAsia" w:ascii="宋体" w:hAnsi="宋体"/>
          <w:b w:val="0"/>
          <w:bCs w:val="0"/>
          <w:color w:val="000000"/>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82"/>
      <w:r>
        <w:rPr>
          <w:rFonts w:hint="eastAsia" w:ascii="宋体" w:hAnsi="宋体"/>
          <w:b w:val="0"/>
          <w:bCs w:val="0"/>
          <w:color w:val="000000"/>
          <w:sz w:val="28"/>
          <w:szCs w:val="28"/>
          <w:highlight w:val="none"/>
        </w:rPr>
      </w:r>
      <w:r/>
    </w:p>
    <w:p>
      <w:pPr>
        <w:pStyle w:val="986"/>
        <w:jc w:val="center"/>
        <w:spacing w:line="360" w:lineRule="auto"/>
        <w:rPr>
          <w:rFonts w:eastAsia="仿宋_GB2312"/>
          <w:color w:val="000000"/>
          <w:sz w:val="28"/>
          <w:szCs w:val="28"/>
          <w:highlight w:val="none"/>
        </w:rPr>
      </w:pPr>
      <w:r/>
      <w:bookmarkStart w:id="86" w:name="_Toc3814"/>
      <w:r>
        <w:rPr>
          <w:rFonts w:hint="eastAsia" w:ascii="宋体" w:hAnsi="宋体"/>
          <w:color w:val="000000"/>
          <w:sz w:val="28"/>
          <w:szCs w:val="28"/>
          <w:highlight w:val="none"/>
        </w:rPr>
        <w:t xml:space="preserve">开标一览表</w:t>
      </w:r>
      <w:bookmarkEnd w:id="83"/>
      <w:r/>
      <w:bookmarkEnd w:id="84"/>
      <w:r/>
      <w:bookmarkEnd w:id="85"/>
      <w:r/>
      <w:bookmarkEnd w:id="86"/>
      <w:r>
        <w:rPr>
          <w:rFonts w:eastAsia="仿宋_GB2312"/>
          <w:color w:val="000000"/>
          <w:sz w:val="28"/>
          <w:szCs w:val="28"/>
          <w:highlight w:val="none"/>
        </w:rPr>
      </w:r>
      <w:r/>
    </w:p>
    <w:p>
      <w:pPr>
        <w:pStyle w:val="984"/>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84"/>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84"/>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984"/>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72"/>
        </w:trPr>
        <w:tc>
          <w:tcPr>
            <w:tcW w:w="8900" w:type="dxa"/>
            <w:vAlign w:val="center"/>
            <w:textDirection w:val="lrTb"/>
            <w:noWrap w:val="false"/>
          </w:tcPr>
          <w:p>
            <w:pPr>
              <w:pStyle w:val="1039"/>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sz w:val="24"/>
                <w:szCs w:val="24"/>
                <w:highlight w:val="none"/>
              </w:rPr>
            </w:r>
            <w:r/>
          </w:p>
        </w:tc>
      </w:tr>
      <w:tr>
        <w:trPr>
          <w:cantSplit/>
          <w:trHeight w:val="784"/>
        </w:trPr>
        <w:tc>
          <w:tcPr>
            <w:tcW w:w="8900" w:type="dxa"/>
            <w:vAlign w:val="center"/>
            <w:textDirection w:val="lrTb"/>
            <w:noWrap w:val="false"/>
          </w:tcPr>
          <w:p>
            <w:pPr>
              <w:pStyle w:val="1039"/>
              <w:ind w:firstLine="0"/>
              <w:pageBreakBefore w:val="0"/>
              <w:spacing w:before="0" w:after="0"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rPr>
                <w:rFonts w:ascii="宋体" w:hAnsi="宋体" w:eastAsia="宋体" w:cs="宋体"/>
                <w:sz w:val="24"/>
                <w:szCs w:val="24"/>
                <w:highlight w:val="none"/>
                <w:lang w:val="en-US" w:eastAsia="zh-CN"/>
              </w:rPr>
            </w:r>
            <w:r/>
          </w:p>
        </w:tc>
      </w:tr>
    </w:tbl>
    <w:p>
      <w:pPr>
        <w:pStyle w:val="984"/>
        <w:pageBreakBefore w:val="0"/>
        <w:spacing w:line="360" w:lineRule="auto"/>
        <w:rPr>
          <w:rFonts w:ascii="宋体" w:hAnsi="宋体"/>
          <w:sz w:val="24"/>
          <w:szCs w:val="24"/>
          <w:highlight w:val="none"/>
        </w:rPr>
      </w:pPr>
      <w:r>
        <w:rPr>
          <w:rFonts w:ascii="宋体" w:hAnsi="宋体"/>
          <w:sz w:val="24"/>
          <w:szCs w:val="24"/>
          <w:highlight w:val="none"/>
        </w:rPr>
      </w:r>
      <w:r/>
    </w:p>
    <w:p>
      <w:pPr>
        <w:pStyle w:val="984"/>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86"/>
        <w:ind w:firstLine="3213"/>
        <w:rPr>
          <w:rFonts w:ascii="宋体" w:hAnsi="宋体"/>
          <w:bCs w:val="0"/>
          <w:color w:val="000000"/>
          <w:highlight w:val="none"/>
        </w:rPr>
      </w:pPr>
      <w:r>
        <w:rPr>
          <w:rFonts w:ascii="宋体" w:hAnsi="宋体"/>
          <w:bCs w:val="0"/>
          <w:color w:val="000000"/>
          <w:highlight w:val="none"/>
        </w:rPr>
      </w:r>
      <w:r/>
    </w:p>
    <w:p>
      <w:pPr>
        <w:pStyle w:val="997"/>
        <w:ind w:firstLine="640"/>
        <w:rPr>
          <w:rFonts w:ascii="宋体" w:hAnsi="宋体"/>
          <w:color w:val="000000"/>
          <w:sz w:val="32"/>
          <w:szCs w:val="32"/>
          <w:highlight w:val="none"/>
        </w:rPr>
      </w:pPr>
      <w:r>
        <w:rPr>
          <w:rFonts w:ascii="宋体" w:hAnsi="宋体"/>
          <w:color w:val="000000"/>
          <w:sz w:val="32"/>
          <w:szCs w:val="32"/>
          <w:highlight w:val="none"/>
        </w:rPr>
      </w:r>
      <w:r/>
    </w:p>
    <w:p>
      <w:pPr>
        <w:pStyle w:val="984"/>
        <w:rPr>
          <w:rFonts w:ascii="宋体" w:hAnsi="宋体"/>
          <w:color w:val="000000"/>
          <w:sz w:val="32"/>
          <w:szCs w:val="32"/>
          <w:highlight w:val="none"/>
        </w:rPr>
      </w:pPr>
      <w:r>
        <w:rPr>
          <w:rFonts w:ascii="宋体" w:hAnsi="宋体"/>
          <w:color w:val="000000"/>
          <w:sz w:val="32"/>
          <w:szCs w:val="32"/>
          <w:highlight w:val="none"/>
        </w:rPr>
      </w:r>
      <w:r/>
    </w:p>
    <w:p>
      <w:pPr>
        <w:pStyle w:val="984"/>
        <w:jc w:val="left"/>
        <w:keepLines w:val="0"/>
        <w:keepNext w:val="0"/>
        <w:pageBreakBefore w:val="0"/>
        <w:spacing w:line="360" w:lineRule="auto"/>
        <w:widowControl w:val="off"/>
        <w:rPr>
          <w:rFonts w:ascii="宋体" w:hAnsi="宋体"/>
          <w:color w:val="000000"/>
          <w:sz w:val="24"/>
          <w:highlight w:val="none"/>
        </w:rPr>
      </w:pPr>
      <w:r/>
      <w:bookmarkStart w:id="87" w:name="_Toc113352361"/>
      <w:r/>
      <w:bookmarkStart w:id="88" w:name="_Toc32648"/>
      <w:r>
        <w:rPr>
          <w:rFonts w:hint="eastAsia" w:ascii="宋体" w:hAnsi="宋体"/>
          <w:bCs/>
          <w:color w:val="000000"/>
          <w:highlight w:val="none"/>
        </w:rPr>
        <w:br w:type="page" w:clear="all"/>
      </w:r>
      <w:bookmarkEnd w:id="87"/>
      <w:r/>
      <w:bookmarkEnd w:id="88"/>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rPr>
          <w:rFonts w:ascii="宋体" w:hAnsi="宋体"/>
          <w:color w:val="000000"/>
          <w:sz w:val="24"/>
          <w:highlight w:val="none"/>
        </w:rPr>
      </w:r>
      <w:r/>
    </w:p>
    <w:p>
      <w:pPr>
        <w:pStyle w:val="984"/>
        <w:jc w:val="center"/>
        <w:spacing w:before="312" w:line="360" w:lineRule="auto"/>
        <w:rPr>
          <w:rFonts w:ascii="宋体" w:hAnsi="宋体"/>
          <w:b/>
          <w:color w:val="000000"/>
          <w:highlight w:val="none"/>
        </w:rPr>
      </w:pP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84"/>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984"/>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2670"/>
        </w:trPr>
        <w:tc>
          <w:tcPr>
            <w:tcW w:w="9153" w:type="dxa"/>
            <w:vAlign w:val="top"/>
            <w:textDirection w:val="lrTb"/>
            <w:noWrap w:val="false"/>
          </w:tcPr>
          <w:p>
            <w:pPr>
              <w:pStyle w:val="98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8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8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417"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8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84"/>
                    </w:pPr>
                    <w:r/>
                    <w:r/>
                  </w:p>
                </w:txbxContent>
              </v:textbox>
            </v:shape>
          </w:pict>
        </mc:Fallback>
      </mc:AlternateContent>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tabs>
        <w:tab w:val="center" w:pos="4153" w:leader="none"/>
        <w:tab w:val="right" w:pos="8306" w:leader="none"/>
      </w:tabs>
      <w:pBdr>
        <w:bottom w:val="none" w:color="000000" w:sz="0" w:space="0"/>
      </w:pBdr>
    </w:pPr>
    <w:r/>
    <w:r/>
  </w:p>
  <w:p>
    <w:pPr>
      <w:pStyle w:val="1071"/>
      <w:jc w:val="both"/>
      <w:tabs>
        <w:tab w:val="center" w:pos="4153" w:leader="none"/>
        <w:tab w:val="right" w:pos="8306" w:leader="none"/>
      </w:tabs>
      <w:pBdr>
        <w:bottom w:val="none" w:color="000000" w:sz="0" w:space="0"/>
      </w:pBdr>
    </w:pPr>
    <w:r/>
    <w:r/>
  </w:p>
  <w:p>
    <w:pPr>
      <w:pStyle w:val="1071"/>
      <w:jc w:val="both"/>
      <w:tabs>
        <w:tab w:val="center" w:pos="4153" w:leader="none"/>
        <w:tab w:val="right" w:pos="8306" w:leader="none"/>
      </w:tabs>
      <w:pBdr>
        <w:bottom w:val="none" w:color="000000" w:sz="0" w:space="0"/>
      </w:pBdr>
    </w:pPr>
    <w:r/>
    <w:r/>
  </w:p>
  <w:p>
    <w:pPr>
      <w:pStyle w:val="1008"/>
      <w:jc w:val="both"/>
      <w:tabs>
        <w:tab w:val="center" w:pos="4153" w:leader="none"/>
        <w:tab w:val="right" w:pos="8306" w:leader="none"/>
      </w:tabs>
      <w:rPr>
        <w:rFonts w:hint="eastAsia" w:ascii="宋体" w:hAnsi="宋体" w:eastAsia="宋体" w:cs="Times New Roman"/>
        <w:b w:val="0"/>
        <w:bCs w:val="0"/>
        <w:color w:val="000000"/>
        <w:sz w:val="18"/>
        <w:szCs w:val="18"/>
        <w:highlight w:val="none"/>
        <w:lang w:eastAsia="zh-CN"/>
      </w:rPr>
      <w:pBdr>
        <w:bottom w:val="none" w:color="000000" w:sz="0" w:space="1"/>
      </w:pBdr>
    </w:pPr>
    <w:r>
      <w:rPr>
        <w:rFonts w:hint="eastAsia" w:ascii="宋体" w:hAnsi="宋体" w:eastAsia="宋体" w:cs="Times New Roman"/>
        <w:b w:val="0"/>
        <w:bCs w:val="0"/>
        <w:color w:val="000000"/>
        <w:sz w:val="18"/>
        <w:szCs w:val="18"/>
        <w:highlight w:val="none"/>
        <w:lang w:eastAsia="zh-CN"/>
      </w:rPr>
    </w:r>
    <w:r/>
  </w:p>
  <w:p>
    <w:pPr>
      <w:pStyle w:val="1008"/>
      <w:jc w:val="both"/>
      <w:tabs>
        <w:tab w:val="center" w:pos="4153" w:leader="none"/>
        <w:tab w:val="right" w:pos="8306" w:leader="none"/>
      </w:tabs>
      <w:rPr>
        <w:b w:val="0"/>
        <w:bCs w:val="0"/>
        <w:sz w:val="18"/>
        <w:szCs w:val="18"/>
      </w:rPr>
      <w:pBdr>
        <w:bottom w:val="single" w:color="000000" w:sz="4" w:space="1"/>
      </w:pBdr>
    </w:pPr>
    <w:r>
      <w:rPr>
        <w:rFonts w:hint="eastAsia" w:ascii="宋体" w:hAnsi="宋体" w:eastAsia="宋体" w:cs="Times New Roman"/>
        <w:b w:val="0"/>
        <w:bCs w:val="0"/>
        <w:color w:val="000000"/>
        <w:sz w:val="18"/>
        <w:szCs w:val="18"/>
        <w:highlight w:val="none"/>
        <w:lang w:eastAsia="zh-CN"/>
      </w:rPr>
      <w:t xml:space="preserve">JSZC-321081-BYGC-G2026-0010</w:t>
    </w:r>
    <w:r>
      <w:rPr>
        <w:rFonts w:hint="eastAsia" w:ascii="宋体" w:hAnsi="宋体" w:eastAsia="宋体" w:cs="Times New Roman"/>
        <w:b w:val="0"/>
        <w:bCs w:val="0"/>
        <w:color w:val="000000"/>
        <w:sz w:val="18"/>
        <w:szCs w:val="18"/>
        <w:highlight w:val="none"/>
        <w:lang w:val="en-US" w:eastAsia="zh-CN"/>
      </w:rPr>
      <w:t xml:space="preserve">                                               </w:t>
    </w:r>
    <w:r>
      <w:rPr>
        <w:rFonts w:hint="eastAsia" w:ascii="宋体" w:hAnsi="宋体" w:eastAsia="宋体" w:cs="Times New Roman"/>
        <w:b w:val="0"/>
        <w:bCs w:val="0"/>
        <w:color w:val="000000"/>
        <w:sz w:val="18"/>
        <w:szCs w:val="18"/>
        <w:highlight w:val="none"/>
        <w:lang w:eastAsia="zh-CN"/>
      </w:rPr>
      <w:t xml:space="preserve">扬州博远工程咨询有限公司</w:t>
    </w:r>
    <w:r>
      <w:rPr>
        <w:b w:val="0"/>
        <w:bCs w:val="0"/>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JSZC-321081-BYGC-G2026-0010</w:t>
    </w:r>
    <w:r>
      <w:rPr>
        <w:rFonts w:hint="eastAsia" w:ascii="宋体" w:hAnsi="宋体"/>
        <w:b w:val="0"/>
        <w:bCs w:val="0"/>
        <w:color w:val="000000"/>
        <w:sz w:val="18"/>
        <w:szCs w:val="18"/>
        <w:highlight w:val="none"/>
        <w:lang w:val="en-US" w:eastAsia="zh-CN"/>
      </w:rPr>
      <w:t xml:space="preserve">                                                </w:t>
    </w:r>
    <w:r>
      <w:rPr>
        <w:rFonts w:hint="eastAsia" w:ascii="宋体" w:hAnsi="宋体"/>
        <w:b w:val="0"/>
        <w:bCs w:val="0"/>
        <w:color w:val="000000"/>
        <w:sz w:val="18"/>
        <w:szCs w:val="18"/>
        <w:highlight w:val="none"/>
        <w:lang w:eastAsia="zh-CN"/>
      </w:rPr>
      <w:t xml:space="preserve">扬州博远工程咨询有限公司</w:t>
    </w:r>
    <w:r>
      <w:rPr>
        <w:b w:val="0"/>
        <w:bCs w:val="0"/>
        <w:sz w:val="18"/>
        <w:szCs w:val="18"/>
      </w:rPr>
    </w:r>
    <w:r/>
  </w:p>
  <w:p>
    <w:pPr>
      <w:pStyle w:val="100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1"/>
      <w:isLgl w:val="false"/>
      <w:suff w:val="tab"/>
      <w:lvlText w:val=""/>
      <w:lvlJc w:val="left"/>
      <w:pPr>
        <w:pStyle w:val="98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Heading 1"/>
    <w:basedOn w:val="984"/>
    <w:next w:val="984"/>
    <w:link w:val="807"/>
    <w:uiPriority w:val="9"/>
    <w:qFormat/>
    <w:pPr>
      <w:keepLines/>
      <w:keepNext/>
      <w:spacing w:before="480" w:after="200"/>
      <w:outlineLvl w:val="0"/>
    </w:pPr>
    <w:rPr>
      <w:rFonts w:ascii="Arial" w:hAnsi="Arial" w:eastAsia="Arial" w:cs="Arial"/>
      <w:sz w:val="40"/>
      <w:szCs w:val="40"/>
    </w:rPr>
  </w:style>
  <w:style w:type="character" w:styleId="807">
    <w:name w:val="Heading 1 Char"/>
    <w:link w:val="806"/>
    <w:uiPriority w:val="9"/>
    <w:rPr>
      <w:rFonts w:ascii="Arial" w:hAnsi="Arial" w:eastAsia="Arial" w:cs="Arial"/>
      <w:sz w:val="40"/>
      <w:szCs w:val="40"/>
    </w:rPr>
  </w:style>
  <w:style w:type="paragraph" w:styleId="808">
    <w:name w:val="Heading 2"/>
    <w:basedOn w:val="984"/>
    <w:next w:val="984"/>
    <w:link w:val="809"/>
    <w:uiPriority w:val="9"/>
    <w:unhideWhenUsed/>
    <w:qFormat/>
    <w:pPr>
      <w:keepLines/>
      <w:keepNext/>
      <w:spacing w:before="360" w:after="200"/>
      <w:outlineLvl w:val="1"/>
    </w:pPr>
    <w:rPr>
      <w:rFonts w:ascii="Arial" w:hAnsi="Arial" w:eastAsia="Arial" w:cs="Arial"/>
      <w:sz w:val="34"/>
    </w:rPr>
  </w:style>
  <w:style w:type="character" w:styleId="809">
    <w:name w:val="Heading 2 Char"/>
    <w:link w:val="808"/>
    <w:uiPriority w:val="9"/>
    <w:rPr>
      <w:rFonts w:ascii="Arial" w:hAnsi="Arial" w:eastAsia="Arial" w:cs="Arial"/>
      <w:sz w:val="34"/>
    </w:rPr>
  </w:style>
  <w:style w:type="paragraph" w:styleId="810">
    <w:name w:val="Heading 3"/>
    <w:basedOn w:val="984"/>
    <w:next w:val="984"/>
    <w:link w:val="811"/>
    <w:uiPriority w:val="9"/>
    <w:unhideWhenUsed/>
    <w:qFormat/>
    <w:pPr>
      <w:keepLines/>
      <w:keepNext/>
      <w:spacing w:before="320" w:after="200"/>
      <w:outlineLvl w:val="2"/>
    </w:pPr>
    <w:rPr>
      <w:rFonts w:ascii="Arial" w:hAnsi="Arial" w:eastAsia="Arial" w:cs="Arial"/>
      <w:sz w:val="30"/>
      <w:szCs w:val="30"/>
    </w:rPr>
  </w:style>
  <w:style w:type="character" w:styleId="811">
    <w:name w:val="Heading 3 Char"/>
    <w:link w:val="810"/>
    <w:uiPriority w:val="9"/>
    <w:rPr>
      <w:rFonts w:ascii="Arial" w:hAnsi="Arial" w:eastAsia="Arial" w:cs="Arial"/>
      <w:sz w:val="30"/>
      <w:szCs w:val="30"/>
    </w:rPr>
  </w:style>
  <w:style w:type="paragraph" w:styleId="812">
    <w:name w:val="Heading 4"/>
    <w:basedOn w:val="984"/>
    <w:next w:val="984"/>
    <w:link w:val="813"/>
    <w:uiPriority w:val="9"/>
    <w:unhideWhenUsed/>
    <w:qFormat/>
    <w:pPr>
      <w:keepLines/>
      <w:keepNext/>
      <w:spacing w:before="320" w:after="200"/>
      <w:outlineLvl w:val="3"/>
    </w:pPr>
    <w:rPr>
      <w:rFonts w:ascii="Arial" w:hAnsi="Arial" w:eastAsia="Arial" w:cs="Arial"/>
      <w:b/>
      <w:bCs/>
      <w:sz w:val="26"/>
      <w:szCs w:val="26"/>
    </w:rPr>
  </w:style>
  <w:style w:type="character" w:styleId="813">
    <w:name w:val="Heading 4 Char"/>
    <w:link w:val="812"/>
    <w:uiPriority w:val="9"/>
    <w:rPr>
      <w:rFonts w:ascii="Arial" w:hAnsi="Arial" w:eastAsia="Arial" w:cs="Arial"/>
      <w:b/>
      <w:bCs/>
      <w:sz w:val="26"/>
      <w:szCs w:val="26"/>
    </w:rPr>
  </w:style>
  <w:style w:type="paragraph" w:styleId="814">
    <w:name w:val="Heading 5"/>
    <w:basedOn w:val="984"/>
    <w:next w:val="984"/>
    <w:link w:val="815"/>
    <w:uiPriority w:val="9"/>
    <w:unhideWhenUsed/>
    <w:qFormat/>
    <w:pPr>
      <w:keepLines/>
      <w:keepNext/>
      <w:spacing w:before="320" w:after="200"/>
      <w:outlineLvl w:val="4"/>
    </w:pPr>
    <w:rPr>
      <w:rFonts w:ascii="Arial" w:hAnsi="Arial" w:eastAsia="Arial" w:cs="Arial"/>
      <w:b/>
      <w:bCs/>
      <w:sz w:val="24"/>
      <w:szCs w:val="24"/>
    </w:rPr>
  </w:style>
  <w:style w:type="character" w:styleId="815">
    <w:name w:val="Heading 5 Char"/>
    <w:link w:val="814"/>
    <w:uiPriority w:val="9"/>
    <w:rPr>
      <w:rFonts w:ascii="Arial" w:hAnsi="Arial" w:eastAsia="Arial" w:cs="Arial"/>
      <w:b/>
      <w:bCs/>
      <w:sz w:val="24"/>
      <w:szCs w:val="24"/>
    </w:rPr>
  </w:style>
  <w:style w:type="paragraph" w:styleId="816">
    <w:name w:val="Heading 6"/>
    <w:basedOn w:val="984"/>
    <w:next w:val="984"/>
    <w:link w:val="817"/>
    <w:uiPriority w:val="9"/>
    <w:unhideWhenUsed/>
    <w:qFormat/>
    <w:pPr>
      <w:keepLines/>
      <w:keepNext/>
      <w:spacing w:before="320" w:after="200"/>
      <w:outlineLvl w:val="5"/>
    </w:pPr>
    <w:rPr>
      <w:rFonts w:ascii="Arial" w:hAnsi="Arial" w:eastAsia="Arial" w:cs="Arial"/>
      <w:b/>
      <w:bCs/>
      <w:sz w:val="22"/>
      <w:szCs w:val="22"/>
    </w:rPr>
  </w:style>
  <w:style w:type="character" w:styleId="817">
    <w:name w:val="Heading 6 Char"/>
    <w:link w:val="816"/>
    <w:uiPriority w:val="9"/>
    <w:rPr>
      <w:rFonts w:ascii="Arial" w:hAnsi="Arial" w:eastAsia="Arial" w:cs="Arial"/>
      <w:b/>
      <w:bCs/>
      <w:sz w:val="22"/>
      <w:szCs w:val="22"/>
    </w:rPr>
  </w:style>
  <w:style w:type="paragraph" w:styleId="818">
    <w:name w:val="Heading 7"/>
    <w:basedOn w:val="984"/>
    <w:next w:val="984"/>
    <w:link w:val="819"/>
    <w:uiPriority w:val="9"/>
    <w:unhideWhenUsed/>
    <w:qFormat/>
    <w:pPr>
      <w:keepLines/>
      <w:keepNext/>
      <w:spacing w:before="320" w:after="200"/>
      <w:outlineLvl w:val="6"/>
    </w:pPr>
    <w:rPr>
      <w:rFonts w:ascii="Arial" w:hAnsi="Arial" w:eastAsia="Arial" w:cs="Arial"/>
      <w:b/>
      <w:bCs/>
      <w:i/>
      <w:iCs/>
      <w:sz w:val="22"/>
      <w:szCs w:val="22"/>
    </w:rPr>
  </w:style>
  <w:style w:type="character" w:styleId="819">
    <w:name w:val="Heading 7 Char"/>
    <w:link w:val="818"/>
    <w:uiPriority w:val="9"/>
    <w:rPr>
      <w:rFonts w:ascii="Arial" w:hAnsi="Arial" w:eastAsia="Arial" w:cs="Arial"/>
      <w:b/>
      <w:bCs/>
      <w:i/>
      <w:iCs/>
      <w:sz w:val="22"/>
      <w:szCs w:val="22"/>
    </w:rPr>
  </w:style>
  <w:style w:type="paragraph" w:styleId="820">
    <w:name w:val="Heading 8"/>
    <w:basedOn w:val="984"/>
    <w:next w:val="984"/>
    <w:link w:val="821"/>
    <w:uiPriority w:val="9"/>
    <w:unhideWhenUsed/>
    <w:qFormat/>
    <w:pPr>
      <w:keepLines/>
      <w:keepNext/>
      <w:spacing w:before="320" w:after="200"/>
      <w:outlineLvl w:val="7"/>
    </w:pPr>
    <w:rPr>
      <w:rFonts w:ascii="Arial" w:hAnsi="Arial" w:eastAsia="Arial" w:cs="Arial"/>
      <w:i/>
      <w:iCs/>
      <w:sz w:val="22"/>
      <w:szCs w:val="22"/>
    </w:rPr>
  </w:style>
  <w:style w:type="character" w:styleId="821">
    <w:name w:val="Heading 8 Char"/>
    <w:link w:val="820"/>
    <w:uiPriority w:val="9"/>
    <w:rPr>
      <w:rFonts w:ascii="Arial" w:hAnsi="Arial" w:eastAsia="Arial" w:cs="Arial"/>
      <w:i/>
      <w:iCs/>
      <w:sz w:val="22"/>
      <w:szCs w:val="22"/>
    </w:rPr>
  </w:style>
  <w:style w:type="paragraph" w:styleId="822">
    <w:name w:val="Heading 9"/>
    <w:basedOn w:val="984"/>
    <w:next w:val="984"/>
    <w:link w:val="823"/>
    <w:uiPriority w:val="9"/>
    <w:unhideWhenUsed/>
    <w:qFormat/>
    <w:pPr>
      <w:keepLines/>
      <w:keepNext/>
      <w:spacing w:before="320" w:after="200"/>
      <w:outlineLvl w:val="8"/>
    </w:pPr>
    <w:rPr>
      <w:rFonts w:ascii="Arial" w:hAnsi="Arial" w:eastAsia="Arial" w:cs="Arial"/>
      <w:i/>
      <w:iCs/>
      <w:sz w:val="21"/>
      <w:szCs w:val="21"/>
    </w:rPr>
  </w:style>
  <w:style w:type="character" w:styleId="823">
    <w:name w:val="Heading 9 Char"/>
    <w:link w:val="822"/>
    <w:uiPriority w:val="9"/>
    <w:rPr>
      <w:rFonts w:ascii="Arial" w:hAnsi="Arial" w:eastAsia="Arial" w:cs="Arial"/>
      <w:i/>
      <w:iCs/>
      <w:sz w:val="21"/>
      <w:szCs w:val="21"/>
    </w:rPr>
  </w:style>
  <w:style w:type="paragraph" w:styleId="824">
    <w:name w:val="List Paragraph"/>
    <w:basedOn w:val="984"/>
    <w:uiPriority w:val="34"/>
    <w:qFormat/>
    <w:pPr>
      <w:contextualSpacing/>
      <w:ind w:left="720"/>
    </w:pPr>
  </w:style>
  <w:style w:type="paragraph" w:styleId="825">
    <w:name w:val="No Spacing"/>
    <w:uiPriority w:val="1"/>
    <w:qFormat/>
    <w:pPr>
      <w:spacing w:before="0" w:after="0" w:line="240" w:lineRule="auto"/>
    </w:pPr>
  </w:style>
  <w:style w:type="paragraph" w:styleId="826">
    <w:name w:val="Title"/>
    <w:basedOn w:val="984"/>
    <w:next w:val="984"/>
    <w:link w:val="827"/>
    <w:uiPriority w:val="10"/>
    <w:qFormat/>
    <w:pPr>
      <w:contextualSpacing/>
      <w:spacing w:before="300" w:after="200"/>
    </w:pPr>
    <w:rPr>
      <w:sz w:val="48"/>
      <w:szCs w:val="48"/>
    </w:rPr>
  </w:style>
  <w:style w:type="character" w:styleId="827">
    <w:name w:val="Title Char"/>
    <w:link w:val="826"/>
    <w:uiPriority w:val="10"/>
    <w:rPr>
      <w:sz w:val="48"/>
      <w:szCs w:val="48"/>
    </w:rPr>
  </w:style>
  <w:style w:type="paragraph" w:styleId="828">
    <w:name w:val="Subtitle"/>
    <w:basedOn w:val="984"/>
    <w:next w:val="984"/>
    <w:link w:val="829"/>
    <w:uiPriority w:val="11"/>
    <w:qFormat/>
    <w:pPr>
      <w:spacing w:before="200" w:after="200"/>
    </w:pPr>
    <w:rPr>
      <w:sz w:val="24"/>
      <w:szCs w:val="24"/>
    </w:rPr>
  </w:style>
  <w:style w:type="character" w:styleId="829">
    <w:name w:val="Subtitle Char"/>
    <w:link w:val="828"/>
    <w:uiPriority w:val="11"/>
    <w:rPr>
      <w:sz w:val="24"/>
      <w:szCs w:val="24"/>
    </w:rPr>
  </w:style>
  <w:style w:type="paragraph" w:styleId="830">
    <w:name w:val="Quote"/>
    <w:basedOn w:val="984"/>
    <w:next w:val="984"/>
    <w:link w:val="831"/>
    <w:uiPriority w:val="29"/>
    <w:qFormat/>
    <w:pPr>
      <w:ind w:left="720" w:right="720"/>
    </w:pPr>
    <w:rPr>
      <w:i/>
    </w:rPr>
  </w:style>
  <w:style w:type="character" w:styleId="831">
    <w:name w:val="Quote Char"/>
    <w:link w:val="830"/>
    <w:uiPriority w:val="29"/>
    <w:rPr>
      <w:i/>
    </w:rPr>
  </w:style>
  <w:style w:type="paragraph" w:styleId="832">
    <w:name w:val="Intense Quote"/>
    <w:basedOn w:val="984"/>
    <w:next w:val="98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Intense Quote Char"/>
    <w:link w:val="832"/>
    <w:uiPriority w:val="30"/>
    <w:rPr>
      <w:i/>
    </w:rPr>
  </w:style>
  <w:style w:type="paragraph" w:styleId="834">
    <w:name w:val="Header"/>
    <w:basedOn w:val="984"/>
    <w:link w:val="835"/>
    <w:uiPriority w:val="99"/>
    <w:unhideWhenUsed/>
    <w:pPr>
      <w:spacing w:after="0" w:line="240" w:lineRule="auto"/>
      <w:tabs>
        <w:tab w:val="center" w:pos="7143" w:leader="none"/>
        <w:tab w:val="right" w:pos="14287" w:leader="none"/>
      </w:tabs>
    </w:pPr>
  </w:style>
  <w:style w:type="character" w:styleId="835">
    <w:name w:val="Header Char"/>
    <w:link w:val="834"/>
    <w:uiPriority w:val="99"/>
  </w:style>
  <w:style w:type="paragraph" w:styleId="836">
    <w:name w:val="Footer"/>
    <w:basedOn w:val="984"/>
    <w:link w:val="839"/>
    <w:uiPriority w:val="99"/>
    <w:unhideWhenUsed/>
    <w:pPr>
      <w:spacing w:after="0" w:line="240" w:lineRule="auto"/>
      <w:tabs>
        <w:tab w:val="center" w:pos="7143" w:leader="none"/>
        <w:tab w:val="right" w:pos="14287" w:leader="none"/>
      </w:tabs>
    </w:pPr>
  </w:style>
  <w:style w:type="character" w:styleId="837">
    <w:name w:val="Footer Char"/>
    <w:link w:val="836"/>
    <w:uiPriority w:val="99"/>
  </w:style>
  <w:style w:type="paragraph" w:styleId="838">
    <w:name w:val="Caption"/>
    <w:basedOn w:val="984"/>
    <w:next w:val="984"/>
    <w:uiPriority w:val="35"/>
    <w:semiHidden/>
    <w:unhideWhenUsed/>
    <w:qFormat/>
    <w:pPr>
      <w:spacing w:line="276" w:lineRule="auto"/>
    </w:pPr>
    <w:rPr>
      <w:b/>
      <w:bCs/>
      <w:color w:val="4f81bd" w:themeColor="accent1"/>
      <w:sz w:val="18"/>
      <w:szCs w:val="18"/>
    </w:rPr>
  </w:style>
  <w:style w:type="character" w:styleId="839">
    <w:name w:val="Caption Char"/>
    <w:basedOn w:val="838"/>
    <w:link w:val="836"/>
    <w:uiPriority w:val="99"/>
  </w:style>
  <w:style w:type="table" w:styleId="8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Hyperlink"/>
    <w:uiPriority w:val="99"/>
    <w:unhideWhenUsed/>
    <w:rPr>
      <w:color w:val="0000ff" w:themeColor="hyperlink"/>
      <w:u w:val="single"/>
    </w:rPr>
  </w:style>
  <w:style w:type="paragraph" w:styleId="967">
    <w:name w:val="footnote text"/>
    <w:basedOn w:val="984"/>
    <w:link w:val="968"/>
    <w:uiPriority w:val="99"/>
    <w:semiHidden/>
    <w:unhideWhenUsed/>
    <w:pPr>
      <w:spacing w:after="40" w:line="240" w:lineRule="auto"/>
    </w:pPr>
    <w:rPr>
      <w:sz w:val="18"/>
    </w:rPr>
  </w:style>
  <w:style w:type="character" w:styleId="968">
    <w:name w:val="Footnote Text Char"/>
    <w:link w:val="967"/>
    <w:uiPriority w:val="99"/>
    <w:rPr>
      <w:sz w:val="18"/>
    </w:rPr>
  </w:style>
  <w:style w:type="character" w:styleId="969">
    <w:name w:val="footnote reference"/>
    <w:uiPriority w:val="99"/>
    <w:unhideWhenUsed/>
    <w:rPr>
      <w:vertAlign w:val="superscript"/>
    </w:rPr>
  </w:style>
  <w:style w:type="paragraph" w:styleId="970">
    <w:name w:val="endnote text"/>
    <w:basedOn w:val="984"/>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uiPriority w:val="99"/>
    <w:semiHidden/>
    <w:unhideWhenUsed/>
    <w:rPr>
      <w:vertAlign w:val="superscript"/>
    </w:rPr>
  </w:style>
  <w:style w:type="paragraph" w:styleId="973">
    <w:name w:val="toc 1"/>
    <w:basedOn w:val="984"/>
    <w:next w:val="984"/>
    <w:uiPriority w:val="39"/>
    <w:unhideWhenUsed/>
    <w:pPr>
      <w:ind w:left="0" w:right="0" w:firstLine="0"/>
      <w:spacing w:after="57"/>
    </w:pPr>
  </w:style>
  <w:style w:type="paragraph" w:styleId="974">
    <w:name w:val="toc 2"/>
    <w:basedOn w:val="984"/>
    <w:next w:val="984"/>
    <w:uiPriority w:val="39"/>
    <w:unhideWhenUsed/>
    <w:pPr>
      <w:ind w:left="283" w:right="0" w:firstLine="0"/>
      <w:spacing w:after="57"/>
    </w:pPr>
  </w:style>
  <w:style w:type="paragraph" w:styleId="975">
    <w:name w:val="toc 3"/>
    <w:basedOn w:val="984"/>
    <w:next w:val="984"/>
    <w:uiPriority w:val="39"/>
    <w:unhideWhenUsed/>
    <w:pPr>
      <w:ind w:left="567" w:right="0" w:firstLine="0"/>
      <w:spacing w:after="57"/>
    </w:pPr>
  </w:style>
  <w:style w:type="paragraph" w:styleId="976">
    <w:name w:val="toc 4"/>
    <w:basedOn w:val="984"/>
    <w:next w:val="984"/>
    <w:uiPriority w:val="39"/>
    <w:unhideWhenUsed/>
    <w:pPr>
      <w:ind w:left="850" w:right="0" w:firstLine="0"/>
      <w:spacing w:after="57"/>
    </w:pPr>
  </w:style>
  <w:style w:type="paragraph" w:styleId="977">
    <w:name w:val="toc 5"/>
    <w:basedOn w:val="984"/>
    <w:next w:val="984"/>
    <w:uiPriority w:val="39"/>
    <w:unhideWhenUsed/>
    <w:pPr>
      <w:ind w:left="1134" w:right="0" w:firstLine="0"/>
      <w:spacing w:after="57"/>
    </w:pPr>
  </w:style>
  <w:style w:type="paragraph" w:styleId="978">
    <w:name w:val="toc 6"/>
    <w:basedOn w:val="984"/>
    <w:next w:val="984"/>
    <w:uiPriority w:val="39"/>
    <w:unhideWhenUsed/>
    <w:pPr>
      <w:ind w:left="1417" w:right="0" w:firstLine="0"/>
      <w:spacing w:after="57"/>
    </w:pPr>
  </w:style>
  <w:style w:type="paragraph" w:styleId="979">
    <w:name w:val="toc 7"/>
    <w:basedOn w:val="984"/>
    <w:next w:val="984"/>
    <w:uiPriority w:val="39"/>
    <w:unhideWhenUsed/>
    <w:pPr>
      <w:ind w:left="1701" w:right="0" w:firstLine="0"/>
      <w:spacing w:after="57"/>
    </w:pPr>
  </w:style>
  <w:style w:type="paragraph" w:styleId="980">
    <w:name w:val="toc 8"/>
    <w:basedOn w:val="984"/>
    <w:next w:val="984"/>
    <w:uiPriority w:val="39"/>
    <w:unhideWhenUsed/>
    <w:pPr>
      <w:ind w:left="1984" w:right="0" w:firstLine="0"/>
      <w:spacing w:after="57"/>
    </w:pPr>
  </w:style>
  <w:style w:type="paragraph" w:styleId="981">
    <w:name w:val="toc 9"/>
    <w:basedOn w:val="984"/>
    <w:next w:val="984"/>
    <w:uiPriority w:val="39"/>
    <w:unhideWhenUsed/>
    <w:pPr>
      <w:ind w:left="2268" w:right="0" w:firstLine="0"/>
      <w:spacing w:after="57"/>
    </w:pPr>
  </w:style>
  <w:style w:type="paragraph" w:styleId="982">
    <w:name w:val="TOC Heading"/>
    <w:uiPriority w:val="39"/>
    <w:unhideWhenUsed/>
  </w:style>
  <w:style w:type="paragraph" w:styleId="983">
    <w:name w:val="table of figures"/>
    <w:basedOn w:val="984"/>
    <w:next w:val="984"/>
    <w:uiPriority w:val="99"/>
    <w:unhideWhenUsed/>
    <w:pPr>
      <w:spacing w:after="0" w:afterAutospacing="0"/>
    </w:pPr>
  </w:style>
  <w:style w:type="paragraph" w:styleId="984" w:default="1">
    <w:name w:val="Normal"/>
    <w:next w:val="991"/>
    <w:link w:val="984"/>
    <w:qFormat/>
    <w:pPr>
      <w:jc w:val="both"/>
      <w:widowControl w:val="off"/>
    </w:pPr>
    <w:rPr>
      <w:rFonts w:ascii="Calibri" w:hAnsi="Calibri"/>
      <w:sz w:val="21"/>
      <w:szCs w:val="22"/>
      <w:lang w:val="en-US" w:eastAsia="zh-CN" w:bidi="ar-SA"/>
    </w:rPr>
  </w:style>
  <w:style w:type="paragraph" w:styleId="985">
    <w:name w:val="标题 1"/>
    <w:basedOn w:val="984"/>
    <w:next w:val="984"/>
    <w:link w:val="996"/>
    <w:uiPriority w:val="9"/>
    <w:qFormat/>
    <w:pPr>
      <w:keepLines/>
      <w:keepNext/>
      <w:spacing w:before="340" w:after="330" w:line="578" w:lineRule="auto"/>
      <w:outlineLvl w:val="0"/>
    </w:pPr>
    <w:rPr>
      <w:b/>
      <w:bCs/>
      <w:sz w:val="44"/>
      <w:szCs w:val="44"/>
    </w:rPr>
  </w:style>
  <w:style w:type="paragraph" w:styleId="986">
    <w:name w:val="标题 2"/>
    <w:basedOn w:val="984"/>
    <w:next w:val="984"/>
    <w:link w:val="984"/>
    <w:uiPriority w:val="9"/>
    <w:qFormat/>
    <w:pPr>
      <w:keepLines/>
      <w:keepNext/>
      <w:spacing w:before="260" w:after="260" w:line="416" w:lineRule="auto"/>
      <w:outlineLvl w:val="1"/>
    </w:pPr>
    <w:rPr>
      <w:rFonts w:ascii="Cambria" w:hAnsi="Cambria"/>
      <w:b/>
      <w:bCs/>
      <w:sz w:val="32"/>
      <w:szCs w:val="32"/>
    </w:rPr>
  </w:style>
  <w:style w:type="paragraph" w:styleId="987">
    <w:name w:val="标题 3"/>
    <w:basedOn w:val="984"/>
    <w:next w:val="984"/>
    <w:link w:val="984"/>
    <w:qFormat/>
    <w:pPr>
      <w:keepLines/>
      <w:keepNext/>
      <w:spacing w:before="260" w:after="260" w:line="416" w:lineRule="auto"/>
      <w:outlineLvl w:val="2"/>
    </w:pPr>
    <w:rPr>
      <w:rFonts w:ascii="Calibri" w:hAnsi="Calibri" w:eastAsia="宋体" w:cs="Times New Roman"/>
      <w:b/>
      <w:bCs/>
      <w:sz w:val="32"/>
      <w:szCs w:val="32"/>
    </w:rPr>
  </w:style>
  <w:style w:type="paragraph" w:styleId="988">
    <w:name w:val="标题 4"/>
    <w:basedOn w:val="984"/>
    <w:next w:val="984"/>
    <w:link w:val="984"/>
    <w:qFormat/>
    <w:pPr>
      <w:spacing w:before="280" w:after="290" w:line="377" w:lineRule="auto"/>
      <w:outlineLvl w:val="3"/>
    </w:pPr>
    <w:rPr>
      <w:rFonts w:ascii="Arial" w:hAnsi="Arial" w:eastAsia="黑体" w:cs="Times New Roman"/>
      <w:b/>
      <w:bCs/>
      <w:sz w:val="28"/>
      <w:szCs w:val="28"/>
    </w:rPr>
  </w:style>
  <w:style w:type="character" w:styleId="989">
    <w:name w:val="默认段落字体"/>
    <w:next w:val="989"/>
    <w:link w:val="984"/>
    <w:semiHidden/>
  </w:style>
  <w:style w:type="table" w:styleId="990">
    <w:name w:val="普通表格"/>
    <w:next w:val="990"/>
    <w:link w:val="984"/>
    <w:semiHidden/>
    <w:tblPr/>
  </w:style>
  <w:style w:type="paragraph" w:styleId="991">
    <w:name w:val="正文1"/>
    <w:basedOn w:val="984"/>
    <w:next w:val="992"/>
    <w:link w:val="984"/>
    <w:qFormat/>
    <w:pPr>
      <w:jc w:val="left"/>
      <w:spacing w:line="360" w:lineRule="atLeast"/>
    </w:pPr>
    <w:rPr>
      <w:rFonts w:ascii="宋体" w:hAnsi="Calibri" w:eastAsia="宋体" w:cs="Times New Roman"/>
      <w:sz w:val="24"/>
      <w:szCs w:val="20"/>
    </w:rPr>
  </w:style>
  <w:style w:type="paragraph" w:styleId="992">
    <w:name w:val="正文文本1"/>
    <w:basedOn w:val="991"/>
    <w:next w:val="993"/>
    <w:link w:val="984"/>
    <w:qFormat/>
    <w:pPr>
      <w:spacing w:after="120"/>
    </w:pPr>
    <w:rPr>
      <w:lang w:val="en-US" w:eastAsia="en-US"/>
    </w:rPr>
  </w:style>
  <w:style w:type="paragraph" w:styleId="993">
    <w:name w:val="一级条标题"/>
    <w:basedOn w:val="994"/>
    <w:next w:val="995"/>
    <w:link w:val="98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4">
    <w:name w:val="章标题"/>
    <w:next w:val="984"/>
    <w:link w:val="98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5">
    <w:name w:val="段"/>
    <w:basedOn w:val="991"/>
    <w:next w:val="984"/>
    <w:link w:val="984"/>
    <w:qFormat/>
    <w:pPr>
      <w:ind w:firstLine="200"/>
      <w:widowControl/>
    </w:pPr>
    <w:rPr>
      <w:rFonts w:ascii="宋体"/>
      <w:sz w:val="20"/>
      <w:szCs w:val="20"/>
    </w:rPr>
  </w:style>
  <w:style w:type="character" w:styleId="996">
    <w:name w:val="标题 1 字符"/>
    <w:next w:val="996"/>
    <w:link w:val="985"/>
    <w:uiPriority w:val="9"/>
    <w:rPr>
      <w:b/>
      <w:bCs/>
      <w:sz w:val="44"/>
      <w:szCs w:val="44"/>
    </w:rPr>
  </w:style>
  <w:style w:type="paragraph" w:styleId="997">
    <w:name w:val="正文缩进"/>
    <w:basedOn w:val="984"/>
    <w:next w:val="997"/>
    <w:link w:val="984"/>
    <w:unhideWhenUsed/>
    <w:pPr>
      <w:ind w:firstLine="420"/>
    </w:pPr>
  </w:style>
  <w:style w:type="paragraph" w:styleId="998">
    <w:name w:val="批注文字"/>
    <w:basedOn w:val="984"/>
    <w:next w:val="998"/>
    <w:link w:val="984"/>
    <w:uiPriority w:val="99"/>
    <w:unhideWhenUsed/>
    <w:pPr>
      <w:jc w:val="left"/>
    </w:pPr>
  </w:style>
  <w:style w:type="paragraph" w:styleId="999">
    <w:name w:val="正文文本"/>
    <w:basedOn w:val="984"/>
    <w:next w:val="999"/>
    <w:link w:val="984"/>
    <w:rPr>
      <w:rFonts w:ascii="楷体_GB2312" w:hAnsi="Arial" w:eastAsia="楷体_GB2312"/>
      <w:sz w:val="28"/>
      <w:szCs w:val="28"/>
    </w:rPr>
  </w:style>
  <w:style w:type="paragraph" w:styleId="1000">
    <w:name w:val="正文文本缩进"/>
    <w:basedOn w:val="984"/>
    <w:next w:val="1000"/>
    <w:link w:val="984"/>
    <w:uiPriority w:val="99"/>
    <w:unhideWhenUsed/>
    <w:qFormat/>
    <w:pPr>
      <w:ind w:left="420"/>
      <w:spacing w:after="120"/>
    </w:pPr>
  </w:style>
  <w:style w:type="paragraph" w:styleId="1001">
    <w:name w:val="列表项目符号 2"/>
    <w:basedOn w:val="984"/>
    <w:next w:val="1001"/>
    <w:link w:val="984"/>
    <w:pPr>
      <w:numPr>
        <w:ilvl w:val="0"/>
        <w:numId w:val="1"/>
      </w:numPr>
      <w:tabs>
        <w:tab w:val="left" w:pos="780" w:leader="none"/>
      </w:tabs>
    </w:pPr>
  </w:style>
  <w:style w:type="paragraph" w:styleId="1002">
    <w:name w:val="索引 4"/>
    <w:next w:val="984"/>
    <w:link w:val="984"/>
    <w:qFormat/>
    <w:pPr>
      <w:ind w:left="600"/>
      <w:jc w:val="both"/>
      <w:widowControl w:val="off"/>
    </w:pPr>
    <w:rPr>
      <w:rFonts w:ascii="Calibri" w:hAnsi="Calibri" w:eastAsia="宋体" w:cs="Times New Roman"/>
      <w:sz w:val="21"/>
      <w:szCs w:val="24"/>
      <w:lang w:val="en-US" w:eastAsia="zh-CN" w:bidi="ar-SA"/>
    </w:rPr>
  </w:style>
  <w:style w:type="paragraph" w:styleId="1003">
    <w:name w:val="目录 3"/>
    <w:basedOn w:val="984"/>
    <w:next w:val="984"/>
    <w:link w:val="984"/>
    <w:pPr>
      <w:ind w:left="840"/>
    </w:pPr>
  </w:style>
  <w:style w:type="paragraph" w:styleId="1004">
    <w:name w:val="纯文本"/>
    <w:basedOn w:val="984"/>
    <w:next w:val="1004"/>
    <w:link w:val="984"/>
    <w:unhideWhenUsed/>
    <w:qFormat/>
    <w:rPr>
      <w:rFonts w:ascii="宋体" w:hAnsi="Courier New"/>
    </w:rPr>
  </w:style>
  <w:style w:type="paragraph" w:styleId="1005">
    <w:name w:val="日期"/>
    <w:basedOn w:val="984"/>
    <w:next w:val="984"/>
    <w:link w:val="984"/>
    <w:qFormat/>
    <w:rPr>
      <w:rFonts w:ascii="Times New Roman" w:hAnsi="Times New Roman"/>
      <w:sz w:val="24"/>
      <w:szCs w:val="20"/>
    </w:rPr>
  </w:style>
  <w:style w:type="paragraph" w:styleId="1006">
    <w:name w:val="页脚"/>
    <w:basedOn w:val="984"/>
    <w:next w:val="1006"/>
    <w:link w:val="984"/>
    <w:uiPriority w:val="99"/>
    <w:unhideWhenUsed/>
    <w:pPr>
      <w:jc w:val="left"/>
      <w:tabs>
        <w:tab w:val="center" w:pos="4153" w:leader="none"/>
        <w:tab w:val="right" w:pos="8306" w:leader="none"/>
      </w:tabs>
    </w:pPr>
    <w:rPr>
      <w:sz w:val="18"/>
      <w:szCs w:val="18"/>
    </w:rPr>
  </w:style>
  <w:style w:type="paragraph" w:styleId="1007">
    <w:name w:val="寄信人地址"/>
    <w:basedOn w:val="984"/>
    <w:next w:val="1007"/>
    <w:link w:val="984"/>
    <w:uiPriority w:val="99"/>
    <w:unhideWhenUsed/>
    <w:qFormat/>
    <w:rPr>
      <w:rFonts w:ascii="Arial" w:hAnsi="Arial"/>
    </w:rPr>
  </w:style>
  <w:style w:type="paragraph" w:styleId="1008">
    <w:name w:val="页眉"/>
    <w:basedOn w:val="984"/>
    <w:next w:val="1008"/>
    <w:link w:val="984"/>
    <w:uiPriority w:val="99"/>
    <w:unhideWhenUsed/>
    <w:pPr>
      <w:jc w:val="center"/>
      <w:tabs>
        <w:tab w:val="center" w:pos="4153" w:leader="none"/>
        <w:tab w:val="right" w:pos="8306" w:leader="none"/>
      </w:tabs>
      <w:pBdr>
        <w:bottom w:val="single" w:color="000000" w:sz="6" w:space="1"/>
      </w:pBdr>
    </w:pPr>
    <w:rPr>
      <w:sz w:val="18"/>
      <w:szCs w:val="18"/>
    </w:rPr>
  </w:style>
  <w:style w:type="paragraph" w:styleId="1009">
    <w:name w:val="目录 1"/>
    <w:basedOn w:val="984"/>
    <w:next w:val="984"/>
    <w:link w:val="984"/>
    <w:uiPriority w:val="39"/>
    <w:unhideWhenUsed/>
  </w:style>
  <w:style w:type="paragraph" w:styleId="1010">
    <w:name w:val="目录 2"/>
    <w:basedOn w:val="984"/>
    <w:next w:val="984"/>
    <w:link w:val="984"/>
    <w:pPr>
      <w:ind w:left="420"/>
    </w:pPr>
  </w:style>
  <w:style w:type="paragraph" w:styleId="1011">
    <w:name w:val="目录 9"/>
    <w:basedOn w:val="984"/>
    <w:next w:val="984"/>
    <w:link w:val="984"/>
    <w:uiPriority w:val="39"/>
    <w:unhideWhenUsed/>
    <w:qFormat/>
    <w:pPr>
      <w:ind w:left="1680"/>
      <w:jc w:val="left"/>
    </w:pPr>
    <w:rPr>
      <w:rFonts w:ascii="等线" w:eastAsia="等线"/>
      <w:sz w:val="18"/>
      <w:szCs w:val="18"/>
    </w:rPr>
  </w:style>
  <w:style w:type="paragraph" w:styleId="1012">
    <w:name w:val="正文文本 2"/>
    <w:basedOn w:val="984"/>
    <w:next w:val="1012"/>
    <w:link w:val="984"/>
    <w:qFormat/>
    <w:pPr>
      <w:spacing w:after="120" w:line="480" w:lineRule="auto"/>
    </w:pPr>
    <w:rPr>
      <w:szCs w:val="24"/>
    </w:rPr>
  </w:style>
  <w:style w:type="paragraph" w:styleId="1013">
    <w:name w:val="HTML 预设格式"/>
    <w:basedOn w:val="984"/>
    <w:next w:val="1013"/>
    <w:link w:val="98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14">
    <w:name w:val="普通(网站)"/>
    <w:basedOn w:val="984"/>
    <w:next w:val="1014"/>
    <w:link w:val="984"/>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1015">
    <w:name w:val="正文首行缩进"/>
    <w:basedOn w:val="984"/>
    <w:next w:val="1015"/>
    <w:link w:val="984"/>
    <w:unhideWhenUsed/>
    <w:qFormat/>
    <w:pPr>
      <w:ind w:firstLine="420"/>
    </w:pPr>
    <w:rPr>
      <w:rFonts w:ascii="Times New Roman" w:hAnsi="Times New Roman"/>
      <w:sz w:val="18"/>
      <w:szCs w:val="18"/>
    </w:rPr>
  </w:style>
  <w:style w:type="paragraph" w:styleId="1016">
    <w:name w:val="正文首行缩进 2"/>
    <w:basedOn w:val="1000"/>
    <w:next w:val="1016"/>
    <w:link w:val="984"/>
    <w:uiPriority w:val="99"/>
    <w:unhideWhenUsed/>
    <w:qFormat/>
    <w:pPr>
      <w:ind w:left="200" w:firstLine="420"/>
    </w:pPr>
  </w:style>
  <w:style w:type="table" w:styleId="1017">
    <w:name w:val="网格型"/>
    <w:basedOn w:val="990"/>
    <w:next w:val="1017"/>
    <w:link w:val="984"/>
    <w:qFormat/>
    <w:pPr>
      <w:jc w:val="both"/>
      <w:widowControl w:val="off"/>
    </w:pPr>
    <w:tblPr/>
  </w:style>
  <w:style w:type="character" w:styleId="1018">
    <w:name w:val="要点"/>
    <w:next w:val="1018"/>
    <w:link w:val="984"/>
    <w:qFormat/>
    <w:rPr>
      <w:b/>
      <w:bCs/>
    </w:rPr>
  </w:style>
  <w:style w:type="character" w:styleId="1019">
    <w:name w:val="页码"/>
    <w:next w:val="1019"/>
    <w:link w:val="984"/>
    <w:qFormat/>
  </w:style>
  <w:style w:type="character" w:styleId="1020">
    <w:name w:val="已访问的超链接"/>
    <w:next w:val="1020"/>
    <w:link w:val="984"/>
    <w:rPr>
      <w:color w:val="444444"/>
      <w:u w:val="none"/>
    </w:rPr>
  </w:style>
  <w:style w:type="character" w:styleId="1021">
    <w:name w:val="强调"/>
    <w:next w:val="1021"/>
    <w:link w:val="984"/>
    <w:qFormat/>
    <w:rPr>
      <w:b w:val="0"/>
      <w:i w:val="0"/>
    </w:rPr>
  </w:style>
  <w:style w:type="character" w:styleId="1022">
    <w:name w:val="HTML 定义"/>
    <w:next w:val="1022"/>
    <w:link w:val="984"/>
    <w:rPr>
      <w:b w:val="0"/>
      <w:i w:val="0"/>
    </w:rPr>
  </w:style>
  <w:style w:type="character" w:styleId="1023">
    <w:name w:val="HTML 缩写"/>
    <w:next w:val="1023"/>
    <w:link w:val="984"/>
  </w:style>
  <w:style w:type="character" w:styleId="1024">
    <w:name w:val="HTML 变量"/>
    <w:next w:val="1024"/>
    <w:link w:val="984"/>
    <w:rPr>
      <w:b w:val="0"/>
      <w:i w:val="0"/>
    </w:rPr>
  </w:style>
  <w:style w:type="character" w:styleId="1025">
    <w:name w:val="超链接"/>
    <w:next w:val="1025"/>
    <w:link w:val="984"/>
    <w:rPr>
      <w:color w:val="444444"/>
      <w:u w:val="none"/>
    </w:rPr>
  </w:style>
  <w:style w:type="character" w:styleId="1026">
    <w:name w:val="HTML 代码"/>
    <w:next w:val="1026"/>
    <w:link w:val="984"/>
    <w:rPr>
      <w:rFonts w:ascii="Courier New" w:hAnsi="Courier New"/>
      <w:b w:val="0"/>
      <w:i w:val="0"/>
      <w:sz w:val="20"/>
    </w:rPr>
  </w:style>
  <w:style w:type="character" w:styleId="1027">
    <w:name w:val="HTML 引文"/>
    <w:next w:val="1027"/>
    <w:link w:val="984"/>
    <w:rPr>
      <w:b w:val="0"/>
      <w:i w:val="0"/>
    </w:rPr>
  </w:style>
  <w:style w:type="paragraph" w:styleId="1028">
    <w:name w:val="Default"/>
    <w:next w:val="984"/>
    <w:link w:val="984"/>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1029">
    <w:name w:val="正文缩进1"/>
    <w:basedOn w:val="984"/>
    <w:next w:val="1029"/>
    <w:link w:val="984"/>
    <w:unhideWhenUsed/>
    <w:qFormat/>
    <w:pPr>
      <w:ind w:firstLine="420"/>
    </w:pPr>
  </w:style>
  <w:style w:type="paragraph" w:styleId="1030">
    <w:name w:val="标题 31"/>
    <w:next w:val="984"/>
    <w:link w:val="984"/>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1031">
    <w:name w:val="要点1"/>
    <w:next w:val="1031"/>
    <w:link w:val="984"/>
    <w:qFormat/>
    <w:rPr>
      <w:rFonts w:ascii="Calibri" w:hAnsi="Calibri"/>
      <w:sz w:val="21"/>
      <w:szCs w:val="22"/>
      <w:lang w:val="en-US" w:eastAsia="zh-CN" w:bidi="ar-SA"/>
    </w:rPr>
  </w:style>
  <w:style w:type="paragraph" w:styleId="1032">
    <w:name w:val="引文目录标题1"/>
    <w:basedOn w:val="984"/>
    <w:next w:val="984"/>
    <w:link w:val="984"/>
    <w:uiPriority w:val="99"/>
    <w:unhideWhenUsed/>
    <w:qFormat/>
    <w:pPr>
      <w:spacing w:before="120"/>
    </w:pPr>
    <w:rPr>
      <w:rFonts w:ascii="Cambria" w:hAnsi="Cambria"/>
      <w:sz w:val="24"/>
    </w:rPr>
  </w:style>
  <w:style w:type="character" w:styleId="1033">
    <w:name w:val="hover4"/>
    <w:next w:val="1033"/>
    <w:link w:val="984"/>
    <w:rPr>
      <w:color w:val="0063ba"/>
    </w:rPr>
  </w:style>
  <w:style w:type="character" w:styleId="1034">
    <w:name w:val="active5"/>
    <w:next w:val="1034"/>
    <w:link w:val="984"/>
    <w:rPr>
      <w:color w:val="ffffff"/>
      <w:shd w:val="clear" w:color="auto" w:fill="e22323"/>
    </w:rPr>
  </w:style>
  <w:style w:type="character" w:styleId="1035">
    <w:name w:val="margin_right202"/>
    <w:next w:val="1035"/>
    <w:link w:val="984"/>
  </w:style>
  <w:style w:type="character" w:styleId="1036">
    <w:name w:val="before"/>
    <w:next w:val="1036"/>
    <w:link w:val="984"/>
    <w:rPr>
      <w:shd w:val="clear" w:color="auto" w:fill="e22323"/>
    </w:rPr>
  </w:style>
  <w:style w:type="paragraph" w:styleId="1037">
    <w:name w:val="无间隔"/>
    <w:next w:val="1037"/>
    <w:link w:val="984"/>
    <w:uiPriority w:val="99"/>
    <w:qFormat/>
    <w:pPr>
      <w:jc w:val="both"/>
      <w:widowControl w:val="off"/>
    </w:pPr>
    <w:rPr>
      <w:sz w:val="21"/>
      <w:szCs w:val="21"/>
      <w:lang w:val="en-US" w:eastAsia="zh-CN" w:bidi="ar-SA"/>
    </w:rPr>
  </w:style>
  <w:style w:type="paragraph" w:styleId="1038">
    <w:name w:val="列出段落1"/>
    <w:basedOn w:val="984"/>
    <w:next w:val="1038"/>
    <w:link w:val="984"/>
    <w:qFormat/>
    <w:pPr>
      <w:contextualSpacing/>
      <w:ind w:left="720"/>
      <w:jc w:val="left"/>
      <w:widowControl/>
    </w:pPr>
    <w:rPr>
      <w:sz w:val="24"/>
      <w:szCs w:val="24"/>
      <w:lang w:eastAsia="en-US" w:bidi="en-US"/>
    </w:rPr>
  </w:style>
  <w:style w:type="paragraph" w:styleId="1039">
    <w:name w:val="普通正文"/>
    <w:basedOn w:val="984"/>
    <w:next w:val="1039"/>
    <w:link w:val="984"/>
    <w:pPr>
      <w:ind w:firstLine="480"/>
      <w:jc w:val="left"/>
      <w:spacing w:before="120" w:after="120" w:line="360" w:lineRule="auto"/>
    </w:pPr>
    <w:rPr>
      <w:rFonts w:ascii="Arial" w:hAnsi="Arial"/>
      <w:sz w:val="24"/>
      <w:szCs w:val="24"/>
    </w:rPr>
  </w:style>
  <w:style w:type="paragraph" w:styleId="1040">
    <w:name w:val="列表段落"/>
    <w:basedOn w:val="984"/>
    <w:next w:val="1040"/>
    <w:link w:val="984"/>
    <w:uiPriority w:val="99"/>
    <w:qFormat/>
    <w:pPr>
      <w:ind w:firstLine="420"/>
    </w:pPr>
  </w:style>
  <w:style w:type="paragraph" w:styleId="1041">
    <w:name w:val="Char"/>
    <w:basedOn w:val="984"/>
    <w:next w:val="1041"/>
    <w:link w:val="984"/>
    <w:qFormat/>
    <w:pPr>
      <w:ind w:firstLine="200"/>
      <w:tabs>
        <w:tab w:val="left" w:pos="360" w:leader="none"/>
      </w:tabs>
    </w:pPr>
    <w:rPr>
      <w:rFonts w:ascii="Times New Roman" w:hAnsi="Times New Roman"/>
      <w:sz w:val="28"/>
      <w:szCs w:val="30"/>
    </w:rPr>
  </w:style>
  <w:style w:type="paragraph" w:styleId="1042">
    <w:name w:val="Table Paragraph"/>
    <w:basedOn w:val="984"/>
    <w:next w:val="1042"/>
    <w:link w:val="984"/>
    <w:uiPriority w:val="1"/>
    <w:qFormat/>
    <w:pPr>
      <w:jc w:val="left"/>
    </w:pPr>
    <w:rPr>
      <w:rFonts w:ascii="宋体" w:hAnsi="宋体" w:cs="宋体"/>
      <w:sz w:val="22"/>
      <w:szCs w:val="22"/>
      <w:lang w:val="zh-CN" w:bidi="zh-CN"/>
    </w:rPr>
  </w:style>
  <w:style w:type="paragraph" w:styleId="1043">
    <w:name w:val="目录 11"/>
    <w:basedOn w:val="1044"/>
    <w:next w:val="1044"/>
    <w:link w:val="984"/>
    <w:qFormat/>
    <w:pPr>
      <w:jc w:val="left"/>
      <w:spacing w:after="100" w:line="259" w:lineRule="auto"/>
      <w:widowControl/>
    </w:pPr>
    <w:rPr>
      <w:sz w:val="22"/>
    </w:rPr>
  </w:style>
  <w:style w:type="paragraph" w:styleId="1044">
    <w:name w:val="正文11"/>
    <w:next w:val="1043"/>
    <w:link w:val="984"/>
    <w:qFormat/>
    <w:pPr>
      <w:jc w:val="both"/>
      <w:widowControl w:val="off"/>
    </w:pPr>
    <w:rPr>
      <w:rFonts w:ascii="Calibri" w:hAnsi="Calibri" w:eastAsia="宋体" w:cs="Times New Roman"/>
      <w:sz w:val="21"/>
      <w:szCs w:val="22"/>
      <w:lang w:val="en-US" w:eastAsia="zh-CN" w:bidi="ar-SA"/>
    </w:rPr>
  </w:style>
  <w:style w:type="paragraph" w:styleId="1045">
    <w:name w:val="表内文字居左"/>
    <w:next w:val="1045"/>
    <w:link w:val="984"/>
    <w:pPr>
      <w:jc w:val="both"/>
      <w:widowControl w:val="off"/>
    </w:pPr>
    <w:rPr>
      <w:rFonts w:ascii="Times New Roman" w:hAnsi="Times New Roman" w:eastAsia="宋体" w:cs="Times New Roman"/>
      <w:sz w:val="24"/>
      <w:szCs w:val="24"/>
      <w:lang w:val="en-US" w:eastAsia="zh-CN" w:bidi="ar-SA"/>
    </w:rPr>
  </w:style>
  <w:style w:type="paragraph" w:styleId="1046">
    <w:name w:val="[Normal]"/>
    <w:basedOn w:val="984"/>
    <w:next w:val="1046"/>
    <w:link w:val="984"/>
    <w:qFormat/>
    <w:pPr>
      <w:ind w:firstLine="0"/>
      <w:jc w:val="left"/>
      <w:spacing w:line="240" w:lineRule="auto"/>
    </w:pPr>
    <w:rPr>
      <w:rFonts w:ascii="宋体" w:eastAsia="宋体" w:cs="宋体"/>
      <w:sz w:val="24"/>
    </w:rPr>
  </w:style>
  <w:style w:type="paragraph" w:styleId="1047">
    <w:name w:val="正文首行缩进 21"/>
    <w:basedOn w:val="1048"/>
    <w:next w:val="1047"/>
    <w:link w:val="984"/>
    <w:qFormat/>
    <w:pPr>
      <w:ind w:firstLine="420"/>
    </w:pPr>
  </w:style>
  <w:style w:type="paragraph" w:styleId="1048">
    <w:name w:val="正文文本缩进1"/>
    <w:basedOn w:val="984"/>
    <w:next w:val="1049"/>
    <w:link w:val="984"/>
    <w:uiPriority w:val="99"/>
    <w:qFormat/>
    <w:pPr>
      <w:ind w:left="420"/>
      <w:spacing w:after="120"/>
    </w:pPr>
    <w:rPr>
      <w:sz w:val="20"/>
      <w:szCs w:val="24"/>
    </w:rPr>
  </w:style>
  <w:style w:type="paragraph" w:styleId="1049">
    <w:name w:val="寄信人地址1"/>
    <w:basedOn w:val="984"/>
    <w:next w:val="1049"/>
    <w:link w:val="984"/>
    <w:qFormat/>
    <w:rPr>
      <w:rFonts w:ascii="Arial" w:hAnsi="Arial"/>
    </w:rPr>
  </w:style>
  <w:style w:type="paragraph" w:styleId="1050">
    <w:name w:val="正文文本11"/>
    <w:basedOn w:val="984"/>
    <w:next w:val="1051"/>
    <w:link w:val="984"/>
    <w:qFormat/>
    <w:rPr>
      <w:rFonts w:ascii="楷体_GB2312" w:hAnsi="Arial" w:eastAsia="楷体_GB2312"/>
      <w:sz w:val="28"/>
      <w:szCs w:val="28"/>
    </w:rPr>
  </w:style>
  <w:style w:type="paragraph" w:styleId="1051">
    <w:name w:val="正文文本 21"/>
    <w:basedOn w:val="984"/>
    <w:next w:val="1051"/>
    <w:link w:val="984"/>
    <w:uiPriority w:val="99"/>
    <w:qFormat/>
    <w:pPr>
      <w:ind w:left="720" w:firstLine="5680"/>
      <w:widowControl/>
    </w:pPr>
  </w:style>
  <w:style w:type="paragraph" w:styleId="1052">
    <w:name w:val="纯文本1"/>
    <w:basedOn w:val="984"/>
    <w:next w:val="1052"/>
    <w:link w:val="984"/>
    <w:unhideWhenUsed/>
    <w:qFormat/>
    <w:rPr>
      <w:rFonts w:ascii="宋体" w:hAnsi="Courier New"/>
    </w:rPr>
  </w:style>
  <w:style w:type="table" w:styleId="1053">
    <w:name w:val="网格型4"/>
    <w:basedOn w:val="1054"/>
    <w:next w:val="1053"/>
    <w:link w:val="984"/>
    <w:uiPriority w:val="59"/>
    <w:qFormat/>
    <w:tblPr/>
  </w:style>
  <w:style w:type="table" w:styleId="1054">
    <w:name w:val="普通表格1"/>
    <w:next w:val="1054"/>
    <w:link w:val="984"/>
    <w:semiHidden/>
    <w:qFormat/>
    <w:tblPr/>
  </w:style>
  <w:style w:type="paragraph" w:styleId="1055">
    <w:name w:val="正文（缩进）"/>
    <w:basedOn w:val="984"/>
    <w:next w:val="1056"/>
    <w:link w:val="984"/>
    <w:qFormat/>
    <w:pPr>
      <w:ind w:firstLine="480"/>
    </w:pPr>
  </w:style>
  <w:style w:type="paragraph" w:styleId="1056">
    <w:name w:val="Char Char Char Char Char Char Char Char Char"/>
    <w:basedOn w:val="984"/>
    <w:next w:val="1051"/>
    <w:link w:val="984"/>
    <w:uiPriority w:val="99"/>
    <w:qFormat/>
    <w:pPr>
      <w:ind w:left="360" w:firstLine="5784"/>
    </w:pPr>
  </w:style>
  <w:style w:type="paragraph" w:styleId="1057">
    <w:name w:val="默认段落字体 Para Char Char Char Char Char Char Char"/>
    <w:basedOn w:val="984"/>
    <w:next w:val="1058"/>
    <w:link w:val="984"/>
    <w:uiPriority w:val="99"/>
    <w:qFormat/>
    <w:pPr>
      <w:ind w:firstLine="200"/>
    </w:pPr>
    <w:rPr>
      <w:rFonts w:cs="Arial"/>
    </w:rPr>
  </w:style>
  <w:style w:type="paragraph" w:styleId="1058">
    <w:name w:val="样式 首行缩进:  2 字符"/>
    <w:basedOn w:val="984"/>
    <w:next w:val="1059"/>
    <w:link w:val="984"/>
    <w:uiPriority w:val="99"/>
    <w:qFormat/>
    <w:pPr>
      <w:ind w:left="480" w:firstLine="5856"/>
      <w:spacing w:line="360" w:lineRule="auto"/>
    </w:pPr>
  </w:style>
  <w:style w:type="paragraph" w:styleId="1059">
    <w:name w:val="样式 段后: 0.25 行"/>
    <w:basedOn w:val="984"/>
    <w:next w:val="1060"/>
    <w:link w:val="984"/>
    <w:uiPriority w:val="99"/>
    <w:qFormat/>
    <w:pPr>
      <w:ind w:left="420" w:firstLine="5796"/>
      <w:spacing w:line="300" w:lineRule="auto"/>
      <w:widowControl/>
    </w:pPr>
  </w:style>
  <w:style w:type="paragraph" w:styleId="1060">
    <w:name w:val="正文 New New New New New New New New New New New New New New"/>
    <w:next w:val="1011"/>
    <w:link w:val="984"/>
    <w:uiPriority w:val="99"/>
    <w:qFormat/>
    <w:pPr>
      <w:ind w:firstLine="2048"/>
      <w:jc w:val="both"/>
      <w:widowControl w:val="off"/>
    </w:pPr>
    <w:rPr>
      <w:rFonts w:ascii="Calibri" w:hAnsi="Calibri" w:eastAsia="宋体" w:cs="Times New Roman"/>
      <w:lang w:val="en-US" w:eastAsia="zh-CN" w:bidi="ar-SA"/>
    </w:rPr>
  </w:style>
  <w:style w:type="paragraph" w:styleId="1061">
    <w:name w:val="普通(网站)1"/>
    <w:basedOn w:val="984"/>
    <w:next w:val="1061"/>
    <w:link w:val="984"/>
    <w:qFormat/>
    <w:rPr>
      <w:rFonts w:ascii="Times New Roman" w:hAnsi="Times New Roman"/>
      <w:sz w:val="24"/>
    </w:rPr>
  </w:style>
  <w:style w:type="paragraph" w:styleId="1062">
    <w:name w:val="目录 91"/>
    <w:basedOn w:val="984"/>
    <w:next w:val="984"/>
    <w:link w:val="984"/>
    <w:uiPriority w:val="99"/>
    <w:qFormat/>
    <w:pPr>
      <w:ind w:left="3360"/>
    </w:pPr>
  </w:style>
  <w:style w:type="character" w:styleId="1063">
    <w:name w:val="NormalCharacter1"/>
    <w:next w:val="1063"/>
    <w:link w:val="984"/>
    <w:semiHidden/>
    <w:qFormat/>
  </w:style>
  <w:style w:type="character" w:styleId="1064">
    <w:name w:val="font11"/>
    <w:basedOn w:val="989"/>
    <w:next w:val="1064"/>
    <w:link w:val="984"/>
    <w:qFormat/>
    <w:rPr>
      <w:rFonts w:hint="eastAsia" w:ascii="宋体" w:hAnsi="宋体" w:eastAsia="宋体" w:cs="宋体"/>
      <w:b/>
      <w:bCs/>
      <w:color w:val="000000"/>
      <w:sz w:val="21"/>
      <w:szCs w:val="21"/>
      <w:u w:val="none"/>
    </w:rPr>
  </w:style>
  <w:style w:type="character" w:styleId="1065">
    <w:name w:val="font21"/>
    <w:basedOn w:val="989"/>
    <w:next w:val="1065"/>
    <w:link w:val="984"/>
    <w:qFormat/>
    <w:rPr>
      <w:rFonts w:hint="eastAsia" w:ascii="宋体" w:hAnsi="宋体" w:eastAsia="宋体" w:cs="宋体"/>
      <w:color w:val="000000"/>
      <w:sz w:val="21"/>
      <w:szCs w:val="21"/>
      <w:u w:val="none"/>
    </w:rPr>
  </w:style>
  <w:style w:type="paragraph" w:styleId="1066">
    <w:name w:val="标题 21"/>
    <w:basedOn w:val="984"/>
    <w:next w:val="984"/>
    <w:link w:val="984"/>
    <w:qFormat/>
    <w:pPr>
      <w:jc w:val="center"/>
      <w:keepLines/>
      <w:keepNext/>
      <w:spacing w:before="260" w:after="260" w:line="416" w:lineRule="auto"/>
      <w:outlineLvl w:val="1"/>
    </w:pPr>
    <w:rPr>
      <w:rFonts w:ascii="Arial" w:hAnsi="Arial" w:eastAsia="幼圆" w:cs="Arial"/>
      <w:b/>
      <w:bCs/>
      <w:sz w:val="44"/>
      <w:szCs w:val="44"/>
    </w:rPr>
  </w:style>
  <w:style w:type="paragraph" w:styleId="1067">
    <w:name w:val="标题 11"/>
    <w:basedOn w:val="984"/>
    <w:next w:val="984"/>
    <w:link w:val="984"/>
    <w:uiPriority w:val="9"/>
    <w:qFormat/>
    <w:pPr>
      <w:keepLines/>
      <w:keepNext/>
      <w:spacing w:before="340" w:after="330" w:line="578" w:lineRule="auto"/>
      <w:outlineLvl w:val="0"/>
    </w:pPr>
    <w:rPr>
      <w:b/>
      <w:bCs/>
      <w:sz w:val="44"/>
      <w:szCs w:val="44"/>
    </w:rPr>
  </w:style>
  <w:style w:type="character" w:styleId="1068">
    <w:name w:val="font01"/>
    <w:basedOn w:val="989"/>
    <w:next w:val="1068"/>
    <w:link w:val="984"/>
    <w:qFormat/>
    <w:rPr>
      <w:rFonts w:hint="eastAsia" w:ascii="宋体" w:hAnsi="宋体" w:eastAsia="宋体" w:cs="宋体"/>
      <w:color w:val="000000"/>
      <w:sz w:val="22"/>
      <w:szCs w:val="22"/>
      <w:u w:val="none"/>
    </w:rPr>
  </w:style>
  <w:style w:type="paragraph" w:styleId="1069">
    <w:name w:val="Table Text"/>
    <w:next w:val="1069"/>
    <w:link w:val="984"/>
    <w:qFormat/>
    <w:pPr>
      <w:jc w:val="both"/>
      <w:widowControl w:val="off"/>
    </w:pPr>
    <w:rPr>
      <w:rFonts w:ascii="Calibri" w:hAnsi="Calibri" w:eastAsia="宋体" w:cs="Times New Roman"/>
      <w:sz w:val="20"/>
      <w:szCs w:val="20"/>
      <w:lang w:eastAsia="en-US"/>
    </w:rPr>
  </w:style>
  <w:style w:type="table" w:styleId="1070">
    <w:name w:val="Table Normal"/>
    <w:next w:val="1070"/>
    <w:link w:val="984"/>
    <w:uiPriority w:val="2"/>
    <w:qFormat/>
    <w:tblPr/>
  </w:style>
  <w:style w:type="paragraph" w:styleId="1071">
    <w:name w:val="页眉1"/>
    <w:next w:val="1071"/>
    <w:link w:val="984"/>
    <w:uiPriority w:val="99"/>
    <w:unhideWhenUsed/>
    <w:qFormat/>
    <w:pPr>
      <w:jc w:val="center"/>
      <w:widowControl w:val="off"/>
      <w:tabs>
        <w:tab w:val="center" w:pos="4153" w:leader="none"/>
        <w:tab w:val="right" w:pos="8306" w:leader="none"/>
      </w:tabs>
      <w:pBdr>
        <w:bottom w:val="single" w:color="000000" w:sz="6" w:space="1"/>
      </w:pBdr>
    </w:pPr>
    <w:rPr>
      <w:rFonts w:ascii="Calibri" w:hAnsi="Calibri" w:eastAsia="宋体" w:cs="Times New Roman"/>
      <w:sz w:val="18"/>
      <w:szCs w:val="18"/>
    </w:rPr>
  </w:style>
  <w:style w:type="character" w:styleId="1072" w:default="1">
    <w:name w:val="Default Paragraph Font"/>
    <w:uiPriority w:val="1"/>
    <w:semiHidden/>
    <w:unhideWhenUsed/>
  </w:style>
  <w:style w:type="numbering" w:styleId="1073" w:default="1">
    <w:name w:val="No List"/>
    <w:uiPriority w:val="99"/>
    <w:semiHidden/>
    <w:unhideWhenUsed/>
  </w:style>
  <w:style w:type="table" w:styleId="10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7</cp:revision>
  <dcterms:created xsi:type="dcterms:W3CDTF">2023-04-26T18:39:00Z</dcterms:created>
  <dcterms:modified xsi:type="dcterms:W3CDTF">2026-09-15T02:52:11Z</dcterms:modified>
</cp:coreProperties>
</file>