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94A806">
      <w:pPr>
        <w:jc w:val="center"/>
        <w:rPr>
          <w:rFonts w:hint="default" w:ascii="Times New Roman" w:hAnsi="Times New Roman" w:eastAsia="宋体" w:cs="Times New Roman"/>
          <w:b/>
          <w:kern w:val="44"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kern w:val="44"/>
          <w:sz w:val="32"/>
          <w:szCs w:val="32"/>
          <w:lang w:eastAsia="zh-CN"/>
        </w:rPr>
        <w:t>工程量清单</w:t>
      </w:r>
      <w:r>
        <w:rPr>
          <w:rFonts w:hint="default" w:ascii="Times New Roman" w:hAnsi="Times New Roman" w:eastAsia="宋体" w:cs="Times New Roman"/>
          <w:b/>
          <w:kern w:val="44"/>
          <w:sz w:val="30"/>
          <w:szCs w:val="30"/>
        </w:rPr>
        <w:t>编制说明</w:t>
      </w:r>
    </w:p>
    <w:p w14:paraId="7B2A8779">
      <w:pPr>
        <w:rPr>
          <w:rFonts w:hint="default" w:ascii="Times New Roman" w:hAnsi="Times New Roman" w:eastAsia="宋体" w:cs="Times New Roman"/>
          <w:b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sz w:val="28"/>
          <w:szCs w:val="28"/>
        </w:rPr>
        <w:t>一、工程概况</w:t>
      </w:r>
    </w:p>
    <w:p w14:paraId="333FFB29">
      <w:pPr>
        <w:tabs>
          <w:tab w:val="left" w:pos="1620"/>
          <w:tab w:val="left" w:pos="5760"/>
          <w:tab w:val="left" w:pos="8640"/>
        </w:tabs>
        <w:adjustRightInd w:val="0"/>
        <w:snapToGrid w:val="0"/>
        <w:spacing w:line="500" w:lineRule="exact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杨毛嘴</w:t>
      </w:r>
      <w:bookmarkStart w:id="0" w:name="_GoBack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退化湿地生态修复</w:t>
      </w:r>
      <w:bookmarkEnd w:id="0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（202601）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位于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江苏泗洪洪泽湖湿地国家级自然保护区杨毛嘴区域。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本工程实施修复面积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981.56亩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，主要工程内容为</w:t>
      </w:r>
      <w:r>
        <w:rPr>
          <w:rFonts w:hint="eastAsia" w:cs="Times New Roman"/>
          <w:sz w:val="24"/>
          <w:szCs w:val="24"/>
          <w:lang w:val="en-US" w:eastAsia="zh-CN"/>
        </w:rPr>
        <w:t>湿地水系疏通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、栖息地生境修复、有害生物防治等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。其中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，</w:t>
      </w:r>
      <w:r>
        <w:rPr>
          <w:rFonts w:hint="eastAsia" w:cs="Times New Roman"/>
          <w:sz w:val="24"/>
          <w:szCs w:val="24"/>
          <w:lang w:val="en-US" w:eastAsia="zh-CN"/>
        </w:rPr>
        <w:t>湿地水系疏通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（航道水系连通和内陆滩涂水系连通）及栖息地生境修复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总土方量105806立方米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；有害生物防治（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空心莲子草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打捞）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重点防治区域面积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131000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平方米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；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有害生物隔离桩总长度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31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米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（含大门）。</w:t>
      </w:r>
    </w:p>
    <w:p w14:paraId="2FE93862">
      <w:pPr>
        <w:rPr>
          <w:rFonts w:hint="default" w:ascii="Times New Roman" w:hAnsi="Times New Roman" w:eastAsia="宋体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en-US" w:eastAsia="zh-CN"/>
        </w:rPr>
        <w:t>二、</w:t>
      </w:r>
      <w:r>
        <w:rPr>
          <w:rFonts w:hint="default" w:ascii="Times New Roman" w:hAnsi="Times New Roman" w:eastAsia="宋体" w:cs="Times New Roman"/>
          <w:b/>
          <w:sz w:val="28"/>
          <w:szCs w:val="28"/>
        </w:rPr>
        <w:t>编制依据</w:t>
      </w:r>
    </w:p>
    <w:p w14:paraId="588F0763">
      <w:pPr>
        <w:tabs>
          <w:tab w:val="left" w:pos="1620"/>
          <w:tab w:val="left" w:pos="5760"/>
          <w:tab w:val="left" w:pos="8640"/>
        </w:tabs>
        <w:adjustRightInd w:val="0"/>
        <w:snapToGrid w:val="0"/>
        <w:spacing w:line="500" w:lineRule="exact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1)</w:t>
      </w:r>
      <w:r>
        <w:rPr>
          <w:rFonts w:hint="eastAsia" w:cs="Times New Roman"/>
          <w:sz w:val="24"/>
          <w:szCs w:val="24"/>
          <w:lang w:val="en-US" w:eastAsia="zh-CN"/>
        </w:rPr>
        <w:t xml:space="preserve"> 江苏永威环境科技股份有限公司于2026年7月的编制</w:t>
      </w:r>
      <w:r>
        <w:rPr>
          <w:rFonts w:hint="eastAsia" w:cs="Times New Roman"/>
          <w:sz w:val="24"/>
          <w:szCs w:val="24"/>
          <w:lang w:eastAsia="zh-CN"/>
        </w:rPr>
        <w:t>《杨毛嘴退化湿地生态修复（202601）</w:t>
      </w:r>
      <w:r>
        <w:rPr>
          <w:rFonts w:hint="eastAsia" w:cs="Times New Roman"/>
          <w:sz w:val="24"/>
          <w:szCs w:val="24"/>
          <w:lang w:val="en-US" w:eastAsia="zh-CN"/>
        </w:rPr>
        <w:t>施工图</w:t>
      </w:r>
      <w:r>
        <w:rPr>
          <w:rFonts w:hint="eastAsia" w:cs="Times New Roman"/>
          <w:sz w:val="24"/>
          <w:szCs w:val="24"/>
          <w:lang w:eastAsia="zh-CN"/>
        </w:rPr>
        <w:t>》</w:t>
      </w:r>
      <w:r>
        <w:rPr>
          <w:rFonts w:hint="eastAsia" w:cs="Times New Roman"/>
          <w:sz w:val="24"/>
          <w:szCs w:val="24"/>
          <w:lang w:val="en-US" w:eastAsia="zh-CN"/>
        </w:rPr>
        <w:t>图纸</w:t>
      </w:r>
      <w:r>
        <w:rPr>
          <w:rFonts w:hint="default" w:ascii="Times New Roman" w:hAnsi="Times New Roman" w:eastAsia="宋体" w:cs="Times New Roman"/>
          <w:sz w:val="24"/>
          <w:szCs w:val="24"/>
        </w:rPr>
        <w:t>。</w:t>
      </w:r>
      <w:r>
        <w:rPr>
          <w:rFonts w:hint="default" w:ascii="Times New Roman" w:hAnsi="Times New Roman" w:eastAsia="宋体" w:cs="Times New Roman"/>
          <w:sz w:val="24"/>
          <w:szCs w:val="24"/>
        </w:rPr>
        <w:br w:type="textWrapping"/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   2)</w:t>
      </w:r>
      <w:r>
        <w:rPr>
          <w:rFonts w:hint="eastAsia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国家和地方政府有关建设和造价管理的法律、法规和规程。</w:t>
      </w:r>
    </w:p>
    <w:p w14:paraId="5A4C3988">
      <w:pPr>
        <w:tabs>
          <w:tab w:val="left" w:pos="1620"/>
          <w:tab w:val="left" w:pos="5760"/>
          <w:tab w:val="left" w:pos="8640"/>
        </w:tabs>
        <w:adjustRightInd w:val="0"/>
        <w:snapToGrid w:val="0"/>
        <w:spacing w:line="500" w:lineRule="exact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3)</w:t>
      </w:r>
      <w:r>
        <w:rPr>
          <w:rFonts w:hint="eastAsia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现行计价规范：《水利工程工程量清单计价规范》（GB50501-2007）。</w:t>
      </w:r>
      <w:r>
        <w:rPr>
          <w:rFonts w:hint="default" w:ascii="Times New Roman" w:hAnsi="Times New Roman" w:eastAsia="宋体" w:cs="Times New Roman"/>
          <w:sz w:val="24"/>
          <w:szCs w:val="24"/>
        </w:rPr>
        <w:br w:type="textWrapping"/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   4)</w:t>
      </w:r>
      <w:r>
        <w:rPr>
          <w:rFonts w:hint="eastAsia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《江苏省水利工程设计概（估）算编制规定》（2017年修订版）</w:t>
      </w:r>
      <w:r>
        <w:rPr>
          <w:rFonts w:hint="eastAsia" w:cs="Times New Roman"/>
          <w:sz w:val="24"/>
          <w:szCs w:val="24"/>
          <w:lang w:val="en-US" w:eastAsia="zh-CN"/>
        </w:rPr>
        <w:t>。</w:t>
      </w:r>
    </w:p>
    <w:p w14:paraId="05B46EE4">
      <w:pPr>
        <w:tabs>
          <w:tab w:val="left" w:pos="1620"/>
          <w:tab w:val="left" w:pos="5760"/>
          <w:tab w:val="left" w:pos="8640"/>
        </w:tabs>
        <w:adjustRightInd w:val="0"/>
        <w:snapToGrid w:val="0"/>
        <w:spacing w:line="500" w:lineRule="exact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5)</w:t>
      </w:r>
      <w:r>
        <w:rPr>
          <w:rFonts w:hint="eastAsia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相关定额：《江苏省水利工程预算定额建筑工程》（2010版）、《江苏省水利工程预算定额建筑工程》（2010版）、《江苏省水利工程预算定额安装工程》（2010版）、《江苏省水利工程施工机械台时费定额》（2019 年含税版）、《江苏省水利工程预算定额建筑工程、安装工程动态基价表》（2019 年含税版）。</w:t>
      </w:r>
    </w:p>
    <w:p w14:paraId="08A023DF">
      <w:pPr>
        <w:tabs>
          <w:tab w:val="left" w:pos="1620"/>
          <w:tab w:val="left" w:pos="5760"/>
          <w:tab w:val="left" w:pos="8640"/>
        </w:tabs>
        <w:adjustRightInd w:val="0"/>
        <w:snapToGrid w:val="0"/>
        <w:spacing w:line="500" w:lineRule="exact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6)《省水利厅关于调整水利工程计价依据增值税计算标准的通知》（苏水基[2019]6号文）。</w:t>
      </w:r>
    </w:p>
    <w:p w14:paraId="765BF37A">
      <w:pPr>
        <w:tabs>
          <w:tab w:val="left" w:pos="1620"/>
          <w:tab w:val="left" w:pos="5760"/>
          <w:tab w:val="left" w:pos="8640"/>
        </w:tabs>
        <w:adjustRightInd w:val="0"/>
        <w:snapToGrid w:val="0"/>
        <w:spacing w:line="500" w:lineRule="exact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7）《省水利厅关于印发《江苏省水利建设工程安全文明措施费使用管理办法》的通知》（苏水规[2017]2号文）、《省水利厅关于印发《省水利工程安全文明措施费分解表》的通知》（苏水安[2017]3号文）。</w:t>
      </w:r>
    </w:p>
    <w:p w14:paraId="39B6AFB9">
      <w:pPr>
        <w:tabs>
          <w:tab w:val="left" w:pos="1620"/>
          <w:tab w:val="left" w:pos="5760"/>
          <w:tab w:val="left" w:pos="8640"/>
        </w:tabs>
        <w:adjustRightInd w:val="0"/>
        <w:snapToGrid w:val="0"/>
        <w:spacing w:line="500" w:lineRule="exact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8)</w:t>
      </w:r>
      <w:r>
        <w:rPr>
          <w:rFonts w:hint="eastAsia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建设单位提供的有关的答疑等其他资料。</w:t>
      </w:r>
    </w:p>
    <w:p w14:paraId="656E5986">
      <w:pPr>
        <w:rPr>
          <w:rFonts w:hint="default" w:ascii="Times New Roman" w:hAnsi="Times New Roman" w:eastAsia="宋体" w:cs="Times New Roman"/>
          <w:b/>
          <w:sz w:val="24"/>
          <w:szCs w:val="24"/>
        </w:rPr>
      </w:pPr>
    </w:p>
    <w:p w14:paraId="70CDA2C3">
      <w:pPr>
        <w:rPr>
          <w:rFonts w:hint="default" w:ascii="Times New Roman" w:hAnsi="Times New Roman" w:eastAsia="宋体" w:cs="Times New Roman"/>
          <w:b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en-US" w:eastAsia="zh-CN"/>
        </w:rPr>
        <w:t>三、</w:t>
      </w:r>
      <w:r>
        <w:rPr>
          <w:rFonts w:hint="default" w:ascii="Times New Roman" w:hAnsi="Times New Roman" w:eastAsia="宋体" w:cs="Times New Roman"/>
          <w:b/>
          <w:sz w:val="28"/>
          <w:szCs w:val="28"/>
        </w:rPr>
        <w:t>编制说明</w:t>
      </w:r>
    </w:p>
    <w:p w14:paraId="60C3712A">
      <w:pPr>
        <w:tabs>
          <w:tab w:val="left" w:pos="1620"/>
          <w:tab w:val="left" w:pos="5760"/>
          <w:tab w:val="left" w:pos="8640"/>
        </w:tabs>
        <w:adjustRightInd w:val="0"/>
        <w:snapToGrid w:val="0"/>
        <w:spacing w:line="500" w:lineRule="exact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highlight w:val="yellow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1、本工程土方工程量根据设计院图纸计算，总价承包，量仅供参考，投标人投标前应自行核实；土方开挖含表土清理、保护层开挖，土壤类别综合考虑。</w:t>
      </w:r>
    </w:p>
    <w:p w14:paraId="4952A6BD">
      <w:pPr>
        <w:tabs>
          <w:tab w:val="left" w:pos="1620"/>
          <w:tab w:val="left" w:pos="5760"/>
          <w:tab w:val="left" w:pos="8640"/>
        </w:tabs>
        <w:adjustRightInd w:val="0"/>
        <w:snapToGrid w:val="0"/>
        <w:spacing w:line="500" w:lineRule="exact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2、土方运输方案施工单位须踏勘现场后结合自身情况确定，运距施工单位自行考虑，需满足建设单位及环保部门要求。投标单位应统筹考虑施工期取土、弃土的交通组织，以及取土区、弃土区内部的翻运、堆填施工顺序，并综合考虑在投标报价中。</w:t>
      </w:r>
    </w:p>
    <w:p w14:paraId="725ED7C0">
      <w:pPr>
        <w:tabs>
          <w:tab w:val="left" w:pos="1620"/>
          <w:tab w:val="left" w:pos="5760"/>
          <w:tab w:val="left" w:pos="8640"/>
        </w:tabs>
        <w:adjustRightInd w:val="0"/>
        <w:snapToGrid w:val="0"/>
        <w:spacing w:line="500" w:lineRule="exact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3、投标单位应做好施工现场的踏勘工作，应充分考虑河道排水、井点降水，二次搬运等施工中可能发生的措施费用，根据自身实际情况综合考虑报价，费用包干，结算不做调整。</w:t>
      </w:r>
    </w:p>
    <w:p w14:paraId="7BCCBEB7">
      <w:pPr>
        <w:tabs>
          <w:tab w:val="left" w:pos="1620"/>
          <w:tab w:val="left" w:pos="5760"/>
          <w:tab w:val="left" w:pos="8640"/>
        </w:tabs>
        <w:adjustRightInd w:val="0"/>
        <w:snapToGrid w:val="0"/>
        <w:spacing w:line="500" w:lineRule="exact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sz w:val="24"/>
          <w:szCs w:val="24"/>
        </w:rPr>
        <w:t>、投标单位要考虑运输及场内短驳。</w:t>
      </w:r>
    </w:p>
    <w:p w14:paraId="576AF019">
      <w:pPr>
        <w:tabs>
          <w:tab w:val="left" w:pos="1620"/>
          <w:tab w:val="left" w:pos="5760"/>
          <w:tab w:val="left" w:pos="8640"/>
        </w:tabs>
        <w:adjustRightInd w:val="0"/>
        <w:snapToGrid w:val="0"/>
        <w:spacing w:line="500" w:lineRule="exact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cs="Times New Roman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sz w:val="24"/>
          <w:szCs w:val="24"/>
        </w:rPr>
        <w:t>、安全文明措施费为不可竞争费。投标单位应当根据招标文件，结合工程特点及自身的施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工技术和管理水平，按照水利建设工程安全文明措施费分解表进行逐项、合理报价。</w:t>
      </w:r>
    </w:p>
    <w:p w14:paraId="48661C2C">
      <w:pPr>
        <w:tabs>
          <w:tab w:val="left" w:pos="1620"/>
          <w:tab w:val="left" w:pos="5760"/>
          <w:tab w:val="left" w:pos="8640"/>
        </w:tabs>
        <w:adjustRightInd w:val="0"/>
        <w:snapToGrid w:val="0"/>
        <w:spacing w:line="500" w:lineRule="exact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</w:rPr>
        <w:t>、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“安全文明措施”清单参照省水利厅苏水安[2017]3号文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及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苏水基〔2023〕8号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文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，投标时须附安全文明措施费分解表，参考格式分为十大项和若干子项，项目清单大项不得调整，子项可根据工程实际适当增减或调整。具体详见江苏省水利建设工程安全文明措施费使用管理办法“苏水规[2017] 2号文”。</w:t>
      </w:r>
    </w:p>
    <w:p w14:paraId="4DC2BD73">
      <w:pPr>
        <w:tabs>
          <w:tab w:val="left" w:pos="1620"/>
          <w:tab w:val="left" w:pos="5760"/>
          <w:tab w:val="left" w:pos="8640"/>
        </w:tabs>
        <w:adjustRightInd w:val="0"/>
        <w:snapToGrid w:val="0"/>
        <w:spacing w:line="500" w:lineRule="exact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sz w:val="24"/>
          <w:szCs w:val="24"/>
        </w:rPr>
        <w:t>、措施清单中的办公、生活、文化福利等临时设施，结算时不得在安全文明措施费中再计量该费用。</w:t>
      </w:r>
    </w:p>
    <w:p w14:paraId="61C5A185">
      <w:pPr>
        <w:tabs>
          <w:tab w:val="left" w:pos="1620"/>
          <w:tab w:val="left" w:pos="5760"/>
          <w:tab w:val="left" w:pos="8640"/>
        </w:tabs>
        <w:adjustRightInd w:val="0"/>
        <w:snapToGrid w:val="0"/>
        <w:spacing w:line="500" w:lineRule="exact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sz w:val="24"/>
          <w:szCs w:val="24"/>
        </w:rPr>
        <w:t>、本项目建筑安装工程一切险、第三者责任险保险费按承包人提交的保险费付款凭证和单据支付，但最高不超过投标书内的报价，其他保险费承包人应分摊到相应子目单价中，不单独计量。</w:t>
      </w:r>
    </w:p>
    <w:p w14:paraId="2FDC9DEB">
      <w:pPr>
        <w:tabs>
          <w:tab w:val="left" w:pos="1620"/>
          <w:tab w:val="left" w:pos="5760"/>
          <w:tab w:val="left" w:pos="8640"/>
        </w:tabs>
        <w:adjustRightInd w:val="0"/>
        <w:snapToGrid w:val="0"/>
        <w:spacing w:line="500" w:lineRule="exact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sz w:val="24"/>
          <w:szCs w:val="24"/>
        </w:rPr>
        <w:t>、施工接水、接电不单独列清单，含在综合报价中。</w:t>
      </w:r>
    </w:p>
    <w:p w14:paraId="57B93439">
      <w:pPr>
        <w:tabs>
          <w:tab w:val="left" w:pos="1620"/>
          <w:tab w:val="left" w:pos="5760"/>
          <w:tab w:val="left" w:pos="8640"/>
        </w:tabs>
        <w:adjustRightInd w:val="0"/>
        <w:snapToGrid w:val="0"/>
        <w:spacing w:line="500" w:lineRule="exact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eastAsia" w:cs="Times New Roman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sz w:val="24"/>
          <w:szCs w:val="24"/>
        </w:rPr>
        <w:t>、投标人在报价时应结合本单位的具体情况，充分考虑各自实际的施工组织设计、施工方案及技术措施，据实报价，一旦中标，除非设计图纸发生重大变更导致施工方案变化，投标报价的施工方案费用均不再调整，因现场实际方案与投标报价时方案不一致引起的费用改变，也不再另计。</w:t>
      </w:r>
    </w:p>
    <w:p w14:paraId="3700231D">
      <w:pPr>
        <w:numPr>
          <w:ilvl w:val="0"/>
          <w:numId w:val="0"/>
        </w:numPr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wZTgzMzg4YTI1MzU0MzJkMDA5ZjY5NDEyOTM2NzUifQ=="/>
  </w:docVars>
  <w:rsids>
    <w:rsidRoot w:val="701208F6"/>
    <w:rsid w:val="054A7B79"/>
    <w:rsid w:val="069212C3"/>
    <w:rsid w:val="08447DBB"/>
    <w:rsid w:val="0B863F2A"/>
    <w:rsid w:val="148166BA"/>
    <w:rsid w:val="19526877"/>
    <w:rsid w:val="1C0A000F"/>
    <w:rsid w:val="1D034655"/>
    <w:rsid w:val="22543B20"/>
    <w:rsid w:val="297B4DA5"/>
    <w:rsid w:val="2B66758D"/>
    <w:rsid w:val="2BC43604"/>
    <w:rsid w:val="34980548"/>
    <w:rsid w:val="37190CBD"/>
    <w:rsid w:val="377C1237"/>
    <w:rsid w:val="3DBD5497"/>
    <w:rsid w:val="3FC512A1"/>
    <w:rsid w:val="40AF5427"/>
    <w:rsid w:val="47AD476C"/>
    <w:rsid w:val="4DD22666"/>
    <w:rsid w:val="5CAB4497"/>
    <w:rsid w:val="5CCC7719"/>
    <w:rsid w:val="5F982167"/>
    <w:rsid w:val="672F0B13"/>
    <w:rsid w:val="674775BE"/>
    <w:rsid w:val="67BB2DBD"/>
    <w:rsid w:val="6B7E145F"/>
    <w:rsid w:val="701208F6"/>
    <w:rsid w:val="703A3FA5"/>
    <w:rsid w:val="739D45D9"/>
    <w:rsid w:val="7852316E"/>
    <w:rsid w:val="791C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1365</Words>
  <Characters>1463</Characters>
  <Lines>0</Lines>
  <Paragraphs>0</Paragraphs>
  <TotalTime>1</TotalTime>
  <ScaleCrop>false</ScaleCrop>
  <LinksUpToDate>false</LinksUpToDate>
  <CharactersWithSpaces>1480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2024-03-29T07:20:00Z</dcterms:created>
  <dc:creator>Yuki-Yuki</dc:creator>
  <cp:lastModifiedBy>Yuki-Yuki</cp:lastModifiedBy>
  <cp:lastPrinted>2026-08-12T06:42:00Z</cp:lastPrinted>
  <dcterms:modified xsi:type="dcterms:W3CDTF">2026-09-09T08:56:32Z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83A0454860654380971D4059DE00DBD4_13</vt:lpwstr>
  </property>
  <property fmtid="{D5CDD505-2E9C-101B-9397-08002B2CF9AE}" pid="4" name="KSOTemplateDocerSaveRecord">
    <vt:lpwstr>eyJoZGlkIjoiNTkwZTgzMzg4YTI1MzU0MzJkMDA5ZjY5NDEyOTM2NzUiLCJ1c2VySWQiOiIyNzU3MjQ1MTgifQ==</vt:lpwstr>
  </property>
</Properties>
</file>