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62C6E1"/>
    <w:p w14:paraId="73658ED7"/>
    <w:p w14:paraId="5AAF470F">
      <w:pPr>
        <w:rPr>
          <w:b/>
          <w:sz w:val="96"/>
          <w:szCs w:val="96"/>
        </w:rPr>
      </w:pPr>
    </w:p>
    <w:p w14:paraId="45912FC4">
      <w:pPr>
        <w:spacing w:before="120" w:after="120" w:line="360" w:lineRule="auto"/>
        <w:jc w:val="center"/>
        <w:rPr>
          <w:rFonts w:hint="eastAsia" w:ascii="宋体" w:hAnsi="宋体" w:eastAsia="宋体" w:cs="宋体"/>
          <w:b/>
          <w:sz w:val="96"/>
          <w:szCs w:val="72"/>
        </w:rPr>
      </w:pPr>
      <w:r>
        <w:rPr>
          <w:rFonts w:hint="eastAsia" w:ascii="宋体" w:hAnsi="宋体" w:eastAsia="宋体" w:cs="宋体"/>
          <w:b/>
          <w:bCs/>
          <w:color w:val="000000"/>
          <w:sz w:val="84"/>
          <w:szCs w:val="84"/>
        </w:rPr>
        <w:t>竞争性磋商文件</w:t>
      </w:r>
    </w:p>
    <w:p w14:paraId="0F6FB307">
      <w:pPr>
        <w:rPr>
          <w:rFonts w:hint="eastAsia" w:ascii="宋体" w:hAnsi="宋体" w:eastAsia="宋体" w:cs="宋体"/>
        </w:rPr>
      </w:pPr>
    </w:p>
    <w:p w14:paraId="3BD9087B">
      <w:pPr>
        <w:rPr>
          <w:rFonts w:hint="eastAsia" w:ascii="宋体" w:hAnsi="宋体" w:eastAsia="宋体" w:cs="宋体"/>
        </w:rPr>
      </w:pPr>
    </w:p>
    <w:p w14:paraId="4ED8036A">
      <w:pPr>
        <w:rPr>
          <w:rFonts w:hint="eastAsia" w:ascii="宋体" w:hAnsi="宋体" w:eastAsia="宋体" w:cs="宋体"/>
        </w:rPr>
      </w:pPr>
    </w:p>
    <w:p w14:paraId="574954BB">
      <w:pPr>
        <w:rPr>
          <w:rFonts w:hint="eastAsia" w:ascii="宋体" w:hAnsi="宋体" w:eastAsia="宋体" w:cs="宋体"/>
        </w:rPr>
      </w:pPr>
    </w:p>
    <w:p w14:paraId="70EF39F2">
      <w:pPr>
        <w:rPr>
          <w:rFonts w:hint="eastAsia" w:ascii="宋体" w:hAnsi="宋体" w:eastAsia="宋体" w:cs="宋体"/>
          <w:b/>
          <w:sz w:val="44"/>
          <w:szCs w:val="44"/>
        </w:rPr>
      </w:pPr>
    </w:p>
    <w:p w14:paraId="1C2FC9AB">
      <w:pPr>
        <w:rPr>
          <w:rFonts w:hint="eastAsia" w:ascii="宋体" w:hAnsi="宋体" w:eastAsia="宋体" w:cs="宋体"/>
          <w:b/>
          <w:sz w:val="44"/>
          <w:szCs w:val="44"/>
        </w:rPr>
      </w:pPr>
    </w:p>
    <w:p w14:paraId="71EE6DC7">
      <w:pPr>
        <w:ind w:firstLine="1767"/>
        <w:rPr>
          <w:rFonts w:hint="eastAsia" w:ascii="宋体" w:hAnsi="宋体" w:eastAsia="宋体" w:cs="宋体"/>
          <w:b/>
          <w:sz w:val="44"/>
          <w:szCs w:val="44"/>
        </w:rPr>
      </w:pPr>
    </w:p>
    <w:p w14:paraId="35D08088">
      <w:pPr>
        <w:ind w:firstLine="883" w:firstLineChars="200"/>
        <w:jc w:val="left"/>
        <w:rPr>
          <w:rFonts w:hint="eastAsia" w:ascii="宋体" w:hAnsi="宋体" w:eastAsia="宋体" w:cs="宋体"/>
          <w:b/>
          <w:sz w:val="44"/>
          <w:szCs w:val="44"/>
          <w:lang w:eastAsia="zh-CN"/>
        </w:rPr>
      </w:pPr>
      <w:r>
        <w:rPr>
          <w:rFonts w:hint="eastAsia" w:ascii="宋体" w:hAnsi="宋体" w:eastAsia="宋体" w:cs="宋体"/>
          <w:b/>
          <w:sz w:val="44"/>
          <w:szCs w:val="44"/>
        </w:rPr>
        <w:t>项目名称：</w:t>
      </w:r>
      <w:r>
        <w:rPr>
          <w:rFonts w:hint="eastAsia" w:ascii="宋体" w:hAnsi="宋体" w:eastAsia="宋体" w:cs="宋体"/>
          <w:b/>
          <w:sz w:val="44"/>
          <w:szCs w:val="44"/>
          <w:lang w:eastAsia="zh-CN"/>
        </w:rPr>
        <w:t>常熟市人民法院全流程无纸化辅助服务</w:t>
      </w:r>
    </w:p>
    <w:p w14:paraId="6B8BCB3B">
      <w:pPr>
        <w:ind w:firstLine="883" w:firstLineChars="200"/>
        <w:jc w:val="left"/>
        <w:rPr>
          <w:rFonts w:hint="eastAsia" w:ascii="宋体" w:hAnsi="宋体" w:eastAsia="宋体" w:cs="宋体"/>
          <w:b/>
          <w:sz w:val="44"/>
          <w:szCs w:val="44"/>
          <w:lang w:eastAsia="zh-CN"/>
        </w:rPr>
      </w:pPr>
      <w:r>
        <w:rPr>
          <w:rFonts w:hint="eastAsia" w:ascii="宋体" w:hAnsi="宋体" w:eastAsia="宋体" w:cs="宋体"/>
          <w:b/>
          <w:sz w:val="44"/>
          <w:szCs w:val="44"/>
        </w:rPr>
        <w:t>项目编号：</w:t>
      </w:r>
      <w:r>
        <w:rPr>
          <w:rFonts w:hint="eastAsia" w:ascii="宋体" w:hAnsi="宋体" w:cs="宋体"/>
          <w:b/>
          <w:sz w:val="44"/>
          <w:szCs w:val="44"/>
          <w:lang w:eastAsia="zh-CN"/>
        </w:rPr>
        <w:t>JSZC-320581-CSXC-C2026-0048</w:t>
      </w:r>
    </w:p>
    <w:p w14:paraId="68B7300F">
      <w:pPr>
        <w:ind w:firstLine="883"/>
        <w:jc w:val="left"/>
        <w:rPr>
          <w:rFonts w:hint="eastAsia" w:ascii="宋体" w:hAnsi="宋体" w:eastAsia="宋体" w:cs="宋体"/>
          <w:b/>
          <w:sz w:val="44"/>
          <w:szCs w:val="44"/>
        </w:rPr>
      </w:pPr>
      <w:r>
        <w:rPr>
          <w:rFonts w:hint="eastAsia" w:ascii="宋体" w:hAnsi="宋体" w:eastAsia="宋体" w:cs="宋体"/>
          <w:b/>
          <w:sz w:val="44"/>
          <w:szCs w:val="44"/>
        </w:rPr>
        <w:t>项目属性：服务类项目</w:t>
      </w:r>
    </w:p>
    <w:p w14:paraId="0AA410FE">
      <w:pPr>
        <w:rPr>
          <w:rFonts w:hint="eastAsia" w:ascii="宋体" w:hAnsi="宋体" w:eastAsia="宋体" w:cs="宋体"/>
          <w:b/>
          <w:sz w:val="44"/>
          <w:szCs w:val="44"/>
        </w:rPr>
      </w:pPr>
    </w:p>
    <w:p w14:paraId="407456C6">
      <w:pPr>
        <w:rPr>
          <w:rFonts w:hint="eastAsia" w:ascii="宋体" w:hAnsi="宋体" w:eastAsia="宋体" w:cs="宋体"/>
          <w:b/>
          <w:sz w:val="44"/>
          <w:szCs w:val="44"/>
        </w:rPr>
      </w:pPr>
    </w:p>
    <w:p w14:paraId="11C41EE5">
      <w:pPr>
        <w:rPr>
          <w:rFonts w:hint="eastAsia" w:ascii="宋体" w:hAnsi="宋体" w:eastAsia="宋体" w:cs="宋体"/>
          <w:b/>
          <w:sz w:val="44"/>
          <w:szCs w:val="44"/>
        </w:rPr>
      </w:pPr>
    </w:p>
    <w:p w14:paraId="48F8548B">
      <w:pPr>
        <w:rPr>
          <w:rFonts w:hint="eastAsia" w:ascii="宋体" w:hAnsi="宋体" w:eastAsia="宋体" w:cs="宋体"/>
          <w:b/>
          <w:sz w:val="44"/>
          <w:szCs w:val="44"/>
        </w:rPr>
      </w:pPr>
    </w:p>
    <w:p w14:paraId="360C6E17">
      <w:pPr>
        <w:pStyle w:val="19"/>
        <w:rPr>
          <w:rFonts w:hint="eastAsia" w:ascii="宋体" w:hAnsi="宋体" w:eastAsia="宋体" w:cs="宋体"/>
        </w:rPr>
      </w:pPr>
    </w:p>
    <w:p w14:paraId="75C6F895">
      <w:pPr>
        <w:rPr>
          <w:rFonts w:hint="eastAsia" w:ascii="宋体" w:hAnsi="宋体" w:eastAsia="宋体" w:cs="宋体"/>
        </w:rPr>
      </w:pPr>
    </w:p>
    <w:p w14:paraId="76DB045A">
      <w:pPr>
        <w:jc w:val="center"/>
        <w:rPr>
          <w:rFonts w:hint="eastAsia" w:ascii="宋体" w:hAnsi="宋体" w:eastAsia="宋体" w:cs="宋体"/>
          <w:b/>
          <w:sz w:val="44"/>
          <w:szCs w:val="44"/>
        </w:rPr>
      </w:pPr>
      <w:r>
        <w:rPr>
          <w:rFonts w:hint="eastAsia" w:ascii="宋体" w:hAnsi="宋体" w:eastAsia="宋体" w:cs="宋体"/>
          <w:b/>
          <w:sz w:val="44"/>
          <w:szCs w:val="44"/>
        </w:rPr>
        <w:t>江苏协诚工程咨询有限公司</w:t>
      </w:r>
    </w:p>
    <w:p w14:paraId="68C8205C">
      <w:pPr>
        <w:jc w:val="center"/>
        <w:rPr>
          <w:rFonts w:hint="eastAsia" w:ascii="宋体" w:hAnsi="宋体" w:eastAsia="宋体" w:cs="宋体"/>
          <w:b/>
          <w:sz w:val="44"/>
          <w:szCs w:val="44"/>
        </w:rPr>
      </w:pPr>
      <w:r>
        <w:rPr>
          <w:rFonts w:hint="eastAsia" w:ascii="宋体" w:hAnsi="宋体" w:eastAsia="宋体" w:cs="宋体"/>
          <w:b/>
          <w:sz w:val="44"/>
          <w:szCs w:val="44"/>
        </w:rPr>
        <w:t>202</w:t>
      </w:r>
      <w:r>
        <w:rPr>
          <w:rFonts w:hint="eastAsia" w:ascii="宋体" w:hAnsi="宋体" w:eastAsia="宋体" w:cs="宋体"/>
          <w:b/>
          <w:sz w:val="44"/>
          <w:szCs w:val="44"/>
          <w:lang w:val="en-US" w:eastAsia="zh-CN"/>
        </w:rPr>
        <w:t>6</w:t>
      </w:r>
      <w:r>
        <w:rPr>
          <w:rFonts w:hint="eastAsia" w:ascii="宋体" w:hAnsi="宋体" w:eastAsia="宋体" w:cs="宋体"/>
          <w:b/>
          <w:sz w:val="44"/>
          <w:szCs w:val="44"/>
        </w:rPr>
        <w:t>年</w:t>
      </w:r>
      <w:r>
        <w:rPr>
          <w:rFonts w:hint="eastAsia" w:ascii="宋体" w:hAnsi="宋体" w:eastAsia="宋体" w:cs="宋体"/>
          <w:b/>
          <w:sz w:val="44"/>
          <w:szCs w:val="44"/>
          <w:lang w:val="en-US" w:eastAsia="zh-CN"/>
        </w:rPr>
        <w:t>10</w:t>
      </w:r>
      <w:r>
        <w:rPr>
          <w:rFonts w:hint="eastAsia" w:ascii="宋体" w:hAnsi="宋体" w:eastAsia="宋体" w:cs="宋体"/>
          <w:b/>
          <w:sz w:val="44"/>
          <w:szCs w:val="44"/>
        </w:rPr>
        <w:t>月</w:t>
      </w:r>
      <w:r>
        <w:rPr>
          <w:rFonts w:hint="eastAsia" w:ascii="宋体" w:hAnsi="宋体" w:cs="宋体"/>
          <w:b/>
          <w:sz w:val="44"/>
          <w:szCs w:val="44"/>
          <w:lang w:val="en-US" w:eastAsia="zh-CN"/>
        </w:rPr>
        <w:t>13</w:t>
      </w:r>
      <w:r>
        <w:rPr>
          <w:rFonts w:hint="eastAsia" w:ascii="宋体" w:hAnsi="宋体" w:eastAsia="宋体" w:cs="宋体"/>
          <w:b/>
          <w:sz w:val="44"/>
          <w:szCs w:val="44"/>
        </w:rPr>
        <w:t>日</w:t>
      </w:r>
    </w:p>
    <w:p w14:paraId="582EAEF0">
      <w:pPr>
        <w:jc w:val="center"/>
        <w:rPr>
          <w:rFonts w:hint="eastAsia" w:ascii="宋体" w:hAnsi="宋体" w:eastAsia="宋体" w:cs="宋体"/>
          <w:b/>
          <w:sz w:val="36"/>
          <w:szCs w:val="36"/>
        </w:rPr>
        <w:sectPr>
          <w:headerReference r:id="rId3" w:type="default"/>
          <w:footerReference r:id="rId4" w:type="default"/>
          <w:pgSz w:w="11907" w:h="16839"/>
          <w:pgMar w:top="1440" w:right="1077" w:bottom="1440" w:left="1077" w:header="0" w:footer="0" w:gutter="0"/>
          <w:pgNumType w:start="1"/>
          <w:cols w:space="720" w:num="1"/>
          <w:titlePg/>
          <w:docGrid w:linePitch="360" w:charSpace="0"/>
        </w:sectPr>
      </w:pPr>
    </w:p>
    <w:p w14:paraId="2014526F">
      <w:pPr>
        <w:jc w:val="center"/>
        <w:rPr>
          <w:rFonts w:hint="eastAsia" w:ascii="宋体" w:hAnsi="宋体" w:eastAsia="宋体" w:cs="宋体"/>
          <w:b/>
          <w:sz w:val="36"/>
          <w:szCs w:val="36"/>
        </w:rPr>
      </w:pPr>
      <w:r>
        <w:rPr>
          <w:rFonts w:hint="eastAsia" w:ascii="宋体" w:hAnsi="宋体" w:eastAsia="宋体" w:cs="宋体"/>
          <w:b/>
          <w:sz w:val="36"/>
          <w:szCs w:val="36"/>
        </w:rPr>
        <w:t>目   录</w:t>
      </w:r>
    </w:p>
    <w:p w14:paraId="6FD4F4AE">
      <w:pPr>
        <w:pStyle w:val="36"/>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TOC \o "1-3" \h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_Toc5345 </w:instrText>
      </w:r>
      <w:r>
        <w:rPr>
          <w:rFonts w:hint="eastAsia" w:ascii="宋体" w:hAnsi="宋体" w:eastAsia="宋体" w:cs="宋体"/>
        </w:rPr>
        <w:fldChar w:fldCharType="separate"/>
      </w:r>
      <w:r>
        <w:rPr>
          <w:rFonts w:hint="eastAsia" w:ascii="宋体" w:hAnsi="宋体" w:eastAsia="宋体" w:cs="宋体"/>
        </w:rPr>
        <w:t>第一章  磋商邀请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_Toc5345 \h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rPr>
        <w:fldChar w:fldCharType="end"/>
      </w:r>
    </w:p>
    <w:p w14:paraId="5FDD82D0">
      <w:pPr>
        <w:pStyle w:val="36"/>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_Toc11264 </w:instrText>
      </w:r>
      <w:r>
        <w:rPr>
          <w:rFonts w:hint="eastAsia" w:ascii="宋体" w:hAnsi="宋体" w:eastAsia="宋体" w:cs="宋体"/>
        </w:rPr>
        <w:fldChar w:fldCharType="separate"/>
      </w:r>
      <w:r>
        <w:rPr>
          <w:rFonts w:hint="eastAsia" w:ascii="宋体" w:hAnsi="宋体" w:eastAsia="宋体" w:cs="宋体"/>
        </w:rPr>
        <w:t>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_Toc11264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105B56C8">
      <w:pPr>
        <w:pStyle w:val="24"/>
        <w:tabs>
          <w:tab w:val="right" w:leader="dot" w:pos="9753"/>
        </w:tabs>
        <w:rPr>
          <w:rFonts w:hint="eastAsia" w:ascii="宋体" w:hAnsi="宋体" w:eastAsia="宋体" w:cs="宋体"/>
          <w:i w:val="0"/>
          <w:iCs w:val="0"/>
        </w:rPr>
      </w:pPr>
      <w:r>
        <w:rPr>
          <w:rFonts w:hint="eastAsia" w:ascii="宋体" w:hAnsi="宋体" w:eastAsia="宋体" w:cs="宋体"/>
          <w:i w:val="0"/>
          <w:iCs w:val="0"/>
        </w:rPr>
        <w:fldChar w:fldCharType="begin"/>
      </w:r>
      <w:r>
        <w:rPr>
          <w:rFonts w:hint="eastAsia" w:ascii="宋体" w:hAnsi="宋体" w:eastAsia="宋体" w:cs="宋体"/>
          <w:i w:val="0"/>
          <w:iCs w:val="0"/>
        </w:rPr>
        <w:instrText xml:space="preserve"> HYPERLINK \l _Toc10603 </w:instrText>
      </w:r>
      <w:r>
        <w:rPr>
          <w:rFonts w:hint="eastAsia" w:ascii="宋体" w:hAnsi="宋体" w:eastAsia="宋体" w:cs="宋体"/>
          <w:i w:val="0"/>
          <w:iCs w:val="0"/>
        </w:rPr>
        <w:fldChar w:fldCharType="separate"/>
      </w:r>
      <w:r>
        <w:rPr>
          <w:rFonts w:hint="eastAsia" w:ascii="宋体" w:hAnsi="宋体" w:eastAsia="宋体" w:cs="宋体"/>
          <w:bCs/>
          <w:i w:val="0"/>
          <w:iCs w:val="0"/>
          <w:szCs w:val="32"/>
        </w:rPr>
        <w:t>一、总则</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_Toc10603 \h </w:instrText>
      </w:r>
      <w:r>
        <w:rPr>
          <w:rFonts w:hint="eastAsia" w:ascii="宋体" w:hAnsi="宋体" w:eastAsia="宋体" w:cs="宋体"/>
          <w:i w:val="0"/>
          <w:iCs w:val="0"/>
        </w:rPr>
        <w:fldChar w:fldCharType="separate"/>
      </w:r>
      <w:r>
        <w:rPr>
          <w:rFonts w:hint="eastAsia" w:ascii="宋体" w:hAnsi="宋体" w:eastAsia="宋体" w:cs="宋体"/>
          <w:i w:val="0"/>
          <w:iCs w:val="0"/>
        </w:rPr>
        <w:t>5</w:t>
      </w:r>
      <w:r>
        <w:rPr>
          <w:rFonts w:hint="eastAsia" w:ascii="宋体" w:hAnsi="宋体" w:eastAsia="宋体" w:cs="宋体"/>
          <w:i w:val="0"/>
          <w:iCs w:val="0"/>
        </w:rPr>
        <w:fldChar w:fldCharType="end"/>
      </w:r>
      <w:r>
        <w:rPr>
          <w:rFonts w:hint="eastAsia" w:ascii="宋体" w:hAnsi="宋体" w:eastAsia="宋体" w:cs="宋体"/>
          <w:i w:val="0"/>
          <w:iCs w:val="0"/>
        </w:rPr>
        <w:fldChar w:fldCharType="end"/>
      </w:r>
    </w:p>
    <w:p w14:paraId="0DE0E49E">
      <w:pPr>
        <w:pStyle w:val="24"/>
        <w:tabs>
          <w:tab w:val="right" w:leader="dot" w:pos="9753"/>
        </w:tabs>
        <w:rPr>
          <w:rFonts w:hint="eastAsia" w:ascii="宋体" w:hAnsi="宋体" w:eastAsia="宋体" w:cs="宋体"/>
          <w:i w:val="0"/>
          <w:iCs w:val="0"/>
        </w:rPr>
      </w:pPr>
      <w:r>
        <w:rPr>
          <w:rFonts w:hint="eastAsia" w:ascii="宋体" w:hAnsi="宋体" w:eastAsia="宋体" w:cs="宋体"/>
          <w:i w:val="0"/>
          <w:iCs w:val="0"/>
        </w:rPr>
        <w:fldChar w:fldCharType="begin"/>
      </w:r>
      <w:r>
        <w:rPr>
          <w:rFonts w:hint="eastAsia" w:ascii="宋体" w:hAnsi="宋体" w:eastAsia="宋体" w:cs="宋体"/>
          <w:i w:val="0"/>
          <w:iCs w:val="0"/>
        </w:rPr>
        <w:instrText xml:space="preserve"> HYPERLINK \l _Toc22979 </w:instrText>
      </w:r>
      <w:r>
        <w:rPr>
          <w:rFonts w:hint="eastAsia" w:ascii="宋体" w:hAnsi="宋体" w:eastAsia="宋体" w:cs="宋体"/>
          <w:i w:val="0"/>
          <w:iCs w:val="0"/>
        </w:rPr>
        <w:fldChar w:fldCharType="separate"/>
      </w:r>
      <w:r>
        <w:rPr>
          <w:rFonts w:hint="eastAsia" w:ascii="宋体" w:hAnsi="宋体" w:eastAsia="宋体" w:cs="宋体"/>
          <w:bCs/>
          <w:i w:val="0"/>
          <w:iCs w:val="0"/>
          <w:szCs w:val="32"/>
        </w:rPr>
        <w:t>二、磋商文件</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_Toc22979 \h </w:instrText>
      </w:r>
      <w:r>
        <w:rPr>
          <w:rFonts w:hint="eastAsia" w:ascii="宋体" w:hAnsi="宋体" w:eastAsia="宋体" w:cs="宋体"/>
          <w:i w:val="0"/>
          <w:iCs w:val="0"/>
        </w:rPr>
        <w:fldChar w:fldCharType="separate"/>
      </w:r>
      <w:r>
        <w:rPr>
          <w:rFonts w:hint="eastAsia" w:ascii="宋体" w:hAnsi="宋体" w:eastAsia="宋体" w:cs="宋体"/>
          <w:i w:val="0"/>
          <w:iCs w:val="0"/>
        </w:rPr>
        <w:t>5</w:t>
      </w:r>
      <w:r>
        <w:rPr>
          <w:rFonts w:hint="eastAsia" w:ascii="宋体" w:hAnsi="宋体" w:eastAsia="宋体" w:cs="宋体"/>
          <w:i w:val="0"/>
          <w:iCs w:val="0"/>
        </w:rPr>
        <w:fldChar w:fldCharType="end"/>
      </w:r>
      <w:r>
        <w:rPr>
          <w:rFonts w:hint="eastAsia" w:ascii="宋体" w:hAnsi="宋体" w:eastAsia="宋体" w:cs="宋体"/>
          <w:i w:val="0"/>
          <w:iCs w:val="0"/>
        </w:rPr>
        <w:fldChar w:fldCharType="end"/>
      </w:r>
    </w:p>
    <w:p w14:paraId="2C8E5228">
      <w:pPr>
        <w:pStyle w:val="24"/>
        <w:tabs>
          <w:tab w:val="right" w:leader="dot" w:pos="9753"/>
        </w:tabs>
        <w:rPr>
          <w:rFonts w:hint="eastAsia" w:ascii="宋体" w:hAnsi="宋体" w:eastAsia="宋体" w:cs="宋体"/>
          <w:i w:val="0"/>
          <w:iCs w:val="0"/>
        </w:rPr>
      </w:pPr>
      <w:r>
        <w:rPr>
          <w:rFonts w:hint="eastAsia" w:ascii="宋体" w:hAnsi="宋体" w:eastAsia="宋体" w:cs="宋体"/>
          <w:i w:val="0"/>
          <w:iCs w:val="0"/>
        </w:rPr>
        <w:fldChar w:fldCharType="begin"/>
      </w:r>
      <w:r>
        <w:rPr>
          <w:rFonts w:hint="eastAsia" w:ascii="宋体" w:hAnsi="宋体" w:eastAsia="宋体" w:cs="宋体"/>
          <w:i w:val="0"/>
          <w:iCs w:val="0"/>
        </w:rPr>
        <w:instrText xml:space="preserve"> HYPERLINK \l _Toc15392 </w:instrText>
      </w:r>
      <w:r>
        <w:rPr>
          <w:rFonts w:hint="eastAsia" w:ascii="宋体" w:hAnsi="宋体" w:eastAsia="宋体" w:cs="宋体"/>
          <w:i w:val="0"/>
          <w:iCs w:val="0"/>
        </w:rPr>
        <w:fldChar w:fldCharType="separate"/>
      </w:r>
      <w:r>
        <w:rPr>
          <w:rFonts w:hint="eastAsia" w:ascii="宋体" w:hAnsi="宋体" w:eastAsia="宋体" w:cs="宋体"/>
          <w:bCs/>
          <w:i w:val="0"/>
          <w:iCs w:val="0"/>
          <w:szCs w:val="32"/>
        </w:rPr>
        <w:t>三、响应文件的编制</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_Toc15392 \h </w:instrText>
      </w:r>
      <w:r>
        <w:rPr>
          <w:rFonts w:hint="eastAsia" w:ascii="宋体" w:hAnsi="宋体" w:eastAsia="宋体" w:cs="宋体"/>
          <w:i w:val="0"/>
          <w:iCs w:val="0"/>
        </w:rPr>
        <w:fldChar w:fldCharType="separate"/>
      </w:r>
      <w:r>
        <w:rPr>
          <w:rFonts w:hint="eastAsia" w:ascii="宋体" w:hAnsi="宋体" w:eastAsia="宋体" w:cs="宋体"/>
          <w:i w:val="0"/>
          <w:iCs w:val="0"/>
        </w:rPr>
        <w:t>6</w:t>
      </w:r>
      <w:r>
        <w:rPr>
          <w:rFonts w:hint="eastAsia" w:ascii="宋体" w:hAnsi="宋体" w:eastAsia="宋体" w:cs="宋体"/>
          <w:i w:val="0"/>
          <w:iCs w:val="0"/>
        </w:rPr>
        <w:fldChar w:fldCharType="end"/>
      </w:r>
      <w:r>
        <w:rPr>
          <w:rFonts w:hint="eastAsia" w:ascii="宋体" w:hAnsi="宋体" w:eastAsia="宋体" w:cs="宋体"/>
          <w:i w:val="0"/>
          <w:iCs w:val="0"/>
        </w:rPr>
        <w:fldChar w:fldCharType="end"/>
      </w:r>
    </w:p>
    <w:p w14:paraId="54167529">
      <w:pPr>
        <w:pStyle w:val="24"/>
        <w:tabs>
          <w:tab w:val="right" w:leader="dot" w:pos="9753"/>
        </w:tabs>
        <w:rPr>
          <w:rFonts w:hint="eastAsia" w:ascii="宋体" w:hAnsi="宋体" w:eastAsia="宋体" w:cs="宋体"/>
          <w:i w:val="0"/>
          <w:iCs w:val="0"/>
        </w:rPr>
      </w:pPr>
      <w:r>
        <w:rPr>
          <w:rFonts w:hint="eastAsia" w:ascii="宋体" w:hAnsi="宋体" w:eastAsia="宋体" w:cs="宋体"/>
          <w:i w:val="0"/>
          <w:iCs w:val="0"/>
        </w:rPr>
        <w:fldChar w:fldCharType="begin"/>
      </w:r>
      <w:r>
        <w:rPr>
          <w:rFonts w:hint="eastAsia" w:ascii="宋体" w:hAnsi="宋体" w:eastAsia="宋体" w:cs="宋体"/>
          <w:i w:val="0"/>
          <w:iCs w:val="0"/>
        </w:rPr>
        <w:instrText xml:space="preserve"> HYPERLINK \l _Toc13134 </w:instrText>
      </w:r>
      <w:r>
        <w:rPr>
          <w:rFonts w:hint="eastAsia" w:ascii="宋体" w:hAnsi="宋体" w:eastAsia="宋体" w:cs="宋体"/>
          <w:i w:val="0"/>
          <w:iCs w:val="0"/>
        </w:rPr>
        <w:fldChar w:fldCharType="separate"/>
      </w:r>
      <w:r>
        <w:rPr>
          <w:rFonts w:hint="eastAsia" w:ascii="宋体" w:hAnsi="宋体" w:eastAsia="宋体" w:cs="宋体"/>
          <w:bCs/>
          <w:i w:val="0"/>
          <w:iCs w:val="0"/>
          <w:szCs w:val="32"/>
        </w:rPr>
        <w:t>四、响应文件的递交</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_Toc13134 \h </w:instrText>
      </w:r>
      <w:r>
        <w:rPr>
          <w:rFonts w:hint="eastAsia" w:ascii="宋体" w:hAnsi="宋体" w:eastAsia="宋体" w:cs="宋体"/>
          <w:i w:val="0"/>
          <w:iCs w:val="0"/>
        </w:rPr>
        <w:fldChar w:fldCharType="separate"/>
      </w:r>
      <w:r>
        <w:rPr>
          <w:rFonts w:hint="eastAsia" w:ascii="宋体" w:hAnsi="宋体" w:eastAsia="宋体" w:cs="宋体"/>
          <w:i w:val="0"/>
          <w:iCs w:val="0"/>
        </w:rPr>
        <w:t>7</w:t>
      </w:r>
      <w:r>
        <w:rPr>
          <w:rFonts w:hint="eastAsia" w:ascii="宋体" w:hAnsi="宋体" w:eastAsia="宋体" w:cs="宋体"/>
          <w:i w:val="0"/>
          <w:iCs w:val="0"/>
        </w:rPr>
        <w:fldChar w:fldCharType="end"/>
      </w:r>
      <w:r>
        <w:rPr>
          <w:rFonts w:hint="eastAsia" w:ascii="宋体" w:hAnsi="宋体" w:eastAsia="宋体" w:cs="宋体"/>
          <w:i w:val="0"/>
          <w:iCs w:val="0"/>
        </w:rPr>
        <w:fldChar w:fldCharType="end"/>
      </w:r>
    </w:p>
    <w:p w14:paraId="16504F19">
      <w:pPr>
        <w:pStyle w:val="24"/>
        <w:tabs>
          <w:tab w:val="right" w:leader="dot" w:pos="9753"/>
        </w:tabs>
        <w:rPr>
          <w:rFonts w:hint="eastAsia" w:ascii="宋体" w:hAnsi="宋体" w:eastAsia="宋体" w:cs="宋体"/>
          <w:i w:val="0"/>
          <w:iCs w:val="0"/>
        </w:rPr>
      </w:pPr>
      <w:r>
        <w:rPr>
          <w:rFonts w:hint="eastAsia" w:ascii="宋体" w:hAnsi="宋体" w:eastAsia="宋体" w:cs="宋体"/>
          <w:i w:val="0"/>
          <w:iCs w:val="0"/>
        </w:rPr>
        <w:fldChar w:fldCharType="begin"/>
      </w:r>
      <w:r>
        <w:rPr>
          <w:rFonts w:hint="eastAsia" w:ascii="宋体" w:hAnsi="宋体" w:eastAsia="宋体" w:cs="宋体"/>
          <w:i w:val="0"/>
          <w:iCs w:val="0"/>
        </w:rPr>
        <w:instrText xml:space="preserve"> HYPERLINK \l _Toc18849 </w:instrText>
      </w:r>
      <w:r>
        <w:rPr>
          <w:rFonts w:hint="eastAsia" w:ascii="宋体" w:hAnsi="宋体" w:eastAsia="宋体" w:cs="宋体"/>
          <w:i w:val="0"/>
          <w:iCs w:val="0"/>
        </w:rPr>
        <w:fldChar w:fldCharType="separate"/>
      </w:r>
      <w:r>
        <w:rPr>
          <w:rFonts w:hint="eastAsia" w:ascii="宋体" w:hAnsi="宋体" w:eastAsia="宋体" w:cs="宋体"/>
          <w:bCs/>
          <w:i w:val="0"/>
          <w:iCs w:val="0"/>
          <w:szCs w:val="32"/>
        </w:rPr>
        <w:t>五、磋商与评审</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_Toc18849 \h </w:instrText>
      </w:r>
      <w:r>
        <w:rPr>
          <w:rFonts w:hint="eastAsia" w:ascii="宋体" w:hAnsi="宋体" w:eastAsia="宋体" w:cs="宋体"/>
          <w:i w:val="0"/>
          <w:iCs w:val="0"/>
        </w:rPr>
        <w:fldChar w:fldCharType="separate"/>
      </w:r>
      <w:r>
        <w:rPr>
          <w:rFonts w:hint="eastAsia" w:ascii="宋体" w:hAnsi="宋体" w:eastAsia="宋体" w:cs="宋体"/>
          <w:i w:val="0"/>
          <w:iCs w:val="0"/>
        </w:rPr>
        <w:t>8</w:t>
      </w:r>
      <w:r>
        <w:rPr>
          <w:rFonts w:hint="eastAsia" w:ascii="宋体" w:hAnsi="宋体" w:eastAsia="宋体" w:cs="宋体"/>
          <w:i w:val="0"/>
          <w:iCs w:val="0"/>
        </w:rPr>
        <w:fldChar w:fldCharType="end"/>
      </w:r>
      <w:r>
        <w:rPr>
          <w:rFonts w:hint="eastAsia" w:ascii="宋体" w:hAnsi="宋体" w:eastAsia="宋体" w:cs="宋体"/>
          <w:i w:val="0"/>
          <w:iCs w:val="0"/>
        </w:rPr>
        <w:fldChar w:fldCharType="end"/>
      </w:r>
    </w:p>
    <w:p w14:paraId="7A8B8B59">
      <w:pPr>
        <w:pStyle w:val="24"/>
        <w:tabs>
          <w:tab w:val="right" w:leader="dot" w:pos="9753"/>
        </w:tabs>
        <w:rPr>
          <w:rFonts w:hint="eastAsia" w:ascii="宋体" w:hAnsi="宋体" w:eastAsia="宋体" w:cs="宋体"/>
          <w:i w:val="0"/>
          <w:iCs w:val="0"/>
        </w:rPr>
      </w:pPr>
      <w:r>
        <w:rPr>
          <w:rFonts w:hint="eastAsia" w:ascii="宋体" w:hAnsi="宋体" w:eastAsia="宋体" w:cs="宋体"/>
          <w:i w:val="0"/>
          <w:iCs w:val="0"/>
        </w:rPr>
        <w:fldChar w:fldCharType="begin"/>
      </w:r>
      <w:r>
        <w:rPr>
          <w:rFonts w:hint="eastAsia" w:ascii="宋体" w:hAnsi="宋体" w:eastAsia="宋体" w:cs="宋体"/>
          <w:i w:val="0"/>
          <w:iCs w:val="0"/>
        </w:rPr>
        <w:instrText xml:space="preserve"> HYPERLINK \l _Toc20223 </w:instrText>
      </w:r>
      <w:r>
        <w:rPr>
          <w:rFonts w:hint="eastAsia" w:ascii="宋体" w:hAnsi="宋体" w:eastAsia="宋体" w:cs="宋体"/>
          <w:i w:val="0"/>
          <w:iCs w:val="0"/>
        </w:rPr>
        <w:fldChar w:fldCharType="separate"/>
      </w:r>
      <w:r>
        <w:rPr>
          <w:rFonts w:hint="eastAsia" w:ascii="宋体" w:hAnsi="宋体" w:eastAsia="宋体" w:cs="宋体"/>
          <w:bCs/>
          <w:i w:val="0"/>
          <w:iCs w:val="0"/>
          <w:szCs w:val="32"/>
        </w:rPr>
        <w:t>六、成交</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_Toc20223 \h </w:instrText>
      </w:r>
      <w:r>
        <w:rPr>
          <w:rFonts w:hint="eastAsia" w:ascii="宋体" w:hAnsi="宋体" w:eastAsia="宋体" w:cs="宋体"/>
          <w:i w:val="0"/>
          <w:iCs w:val="0"/>
        </w:rPr>
        <w:fldChar w:fldCharType="separate"/>
      </w:r>
      <w:r>
        <w:rPr>
          <w:rFonts w:hint="eastAsia" w:ascii="宋体" w:hAnsi="宋体" w:eastAsia="宋体" w:cs="宋体"/>
          <w:i w:val="0"/>
          <w:iCs w:val="0"/>
        </w:rPr>
        <w:t>13</w:t>
      </w:r>
      <w:r>
        <w:rPr>
          <w:rFonts w:hint="eastAsia" w:ascii="宋体" w:hAnsi="宋体" w:eastAsia="宋体" w:cs="宋体"/>
          <w:i w:val="0"/>
          <w:iCs w:val="0"/>
        </w:rPr>
        <w:fldChar w:fldCharType="end"/>
      </w:r>
      <w:r>
        <w:rPr>
          <w:rFonts w:hint="eastAsia" w:ascii="宋体" w:hAnsi="宋体" w:eastAsia="宋体" w:cs="宋体"/>
          <w:i w:val="0"/>
          <w:iCs w:val="0"/>
        </w:rPr>
        <w:fldChar w:fldCharType="end"/>
      </w:r>
    </w:p>
    <w:p w14:paraId="54365927">
      <w:pPr>
        <w:pStyle w:val="24"/>
        <w:tabs>
          <w:tab w:val="right" w:leader="dot" w:pos="9753"/>
        </w:tabs>
        <w:rPr>
          <w:rFonts w:hint="eastAsia" w:ascii="宋体" w:hAnsi="宋体" w:eastAsia="宋体" w:cs="宋体"/>
          <w:i w:val="0"/>
          <w:iCs w:val="0"/>
        </w:rPr>
      </w:pPr>
      <w:r>
        <w:rPr>
          <w:rFonts w:hint="eastAsia" w:ascii="宋体" w:hAnsi="宋体" w:eastAsia="宋体" w:cs="宋体"/>
          <w:i w:val="0"/>
          <w:iCs w:val="0"/>
        </w:rPr>
        <w:fldChar w:fldCharType="begin"/>
      </w:r>
      <w:r>
        <w:rPr>
          <w:rFonts w:hint="eastAsia" w:ascii="宋体" w:hAnsi="宋体" w:eastAsia="宋体" w:cs="宋体"/>
          <w:i w:val="0"/>
          <w:iCs w:val="0"/>
        </w:rPr>
        <w:instrText xml:space="preserve"> HYPERLINK \l _Toc29206 </w:instrText>
      </w:r>
      <w:r>
        <w:rPr>
          <w:rFonts w:hint="eastAsia" w:ascii="宋体" w:hAnsi="宋体" w:eastAsia="宋体" w:cs="宋体"/>
          <w:i w:val="0"/>
          <w:iCs w:val="0"/>
        </w:rPr>
        <w:fldChar w:fldCharType="separate"/>
      </w:r>
      <w:r>
        <w:rPr>
          <w:rFonts w:hint="eastAsia" w:ascii="宋体" w:hAnsi="宋体" w:eastAsia="宋体" w:cs="宋体"/>
          <w:bCs/>
          <w:i w:val="0"/>
          <w:iCs w:val="0"/>
          <w:szCs w:val="32"/>
        </w:rPr>
        <w:t>七、授予合同</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_Toc29206 \h </w:instrText>
      </w:r>
      <w:r>
        <w:rPr>
          <w:rFonts w:hint="eastAsia" w:ascii="宋体" w:hAnsi="宋体" w:eastAsia="宋体" w:cs="宋体"/>
          <w:i w:val="0"/>
          <w:iCs w:val="0"/>
        </w:rPr>
        <w:fldChar w:fldCharType="separate"/>
      </w:r>
      <w:r>
        <w:rPr>
          <w:rFonts w:hint="eastAsia" w:ascii="宋体" w:hAnsi="宋体" w:eastAsia="宋体" w:cs="宋体"/>
          <w:i w:val="0"/>
          <w:iCs w:val="0"/>
        </w:rPr>
        <w:t>14</w:t>
      </w:r>
      <w:r>
        <w:rPr>
          <w:rFonts w:hint="eastAsia" w:ascii="宋体" w:hAnsi="宋体" w:eastAsia="宋体" w:cs="宋体"/>
          <w:i w:val="0"/>
          <w:iCs w:val="0"/>
        </w:rPr>
        <w:fldChar w:fldCharType="end"/>
      </w:r>
      <w:r>
        <w:rPr>
          <w:rFonts w:hint="eastAsia" w:ascii="宋体" w:hAnsi="宋体" w:eastAsia="宋体" w:cs="宋体"/>
          <w:i w:val="0"/>
          <w:iCs w:val="0"/>
        </w:rPr>
        <w:fldChar w:fldCharType="end"/>
      </w:r>
    </w:p>
    <w:p w14:paraId="0C6CF23C">
      <w:pPr>
        <w:pStyle w:val="36"/>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_Toc2735 </w:instrText>
      </w:r>
      <w:r>
        <w:rPr>
          <w:rFonts w:hint="eastAsia" w:ascii="宋体" w:hAnsi="宋体" w:eastAsia="宋体" w:cs="宋体"/>
        </w:rPr>
        <w:fldChar w:fldCharType="separate"/>
      </w:r>
      <w:r>
        <w:rPr>
          <w:rFonts w:hint="eastAsia" w:ascii="宋体" w:hAnsi="宋体" w:eastAsia="宋体" w:cs="宋体"/>
          <w:szCs w:val="36"/>
        </w:rPr>
        <w:t>第三章  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_Toc2735 \h </w:instrText>
      </w:r>
      <w:r>
        <w:rPr>
          <w:rFonts w:hint="eastAsia" w:ascii="宋体" w:hAnsi="宋体" w:eastAsia="宋体" w:cs="宋体"/>
        </w:rPr>
        <w:fldChar w:fldCharType="separate"/>
      </w:r>
      <w:r>
        <w:rPr>
          <w:rFonts w:hint="eastAsia" w:ascii="宋体" w:hAnsi="宋体" w:eastAsia="宋体" w:cs="宋体"/>
        </w:rPr>
        <w:t>15</w:t>
      </w:r>
      <w:r>
        <w:rPr>
          <w:rFonts w:hint="eastAsia" w:ascii="宋体" w:hAnsi="宋体" w:eastAsia="宋体" w:cs="宋体"/>
        </w:rPr>
        <w:fldChar w:fldCharType="end"/>
      </w:r>
      <w:r>
        <w:rPr>
          <w:rFonts w:hint="eastAsia" w:ascii="宋体" w:hAnsi="宋体" w:eastAsia="宋体" w:cs="宋体"/>
        </w:rPr>
        <w:fldChar w:fldCharType="end"/>
      </w:r>
    </w:p>
    <w:p w14:paraId="7DFB3FED">
      <w:pPr>
        <w:pStyle w:val="36"/>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_Toc10486 </w:instrText>
      </w:r>
      <w:r>
        <w:rPr>
          <w:rFonts w:hint="eastAsia" w:ascii="宋体" w:hAnsi="宋体" w:eastAsia="宋体" w:cs="宋体"/>
        </w:rPr>
        <w:fldChar w:fldCharType="separate"/>
      </w:r>
      <w:r>
        <w:rPr>
          <w:rFonts w:hint="eastAsia" w:ascii="宋体" w:hAnsi="宋体" w:eastAsia="宋体" w:cs="宋体"/>
          <w:szCs w:val="22"/>
        </w:rPr>
        <w:t>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_Toc10486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rPr>
        <w:fldChar w:fldCharType="end"/>
      </w:r>
    </w:p>
    <w:p w14:paraId="0E3BFDAA">
      <w:pPr>
        <w:pStyle w:val="36"/>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_Toc3293 </w:instrText>
      </w:r>
      <w:r>
        <w:rPr>
          <w:rFonts w:hint="eastAsia" w:ascii="宋体" w:hAnsi="宋体" w:eastAsia="宋体" w:cs="宋体"/>
        </w:rPr>
        <w:fldChar w:fldCharType="separate"/>
      </w:r>
      <w:r>
        <w:rPr>
          <w:rFonts w:hint="eastAsia" w:ascii="宋体" w:hAnsi="宋体" w:eastAsia="宋体" w:cs="宋体"/>
          <w:szCs w:val="22"/>
        </w:rPr>
        <w:t xml:space="preserve">第五章  </w:t>
      </w:r>
      <w:r>
        <w:rPr>
          <w:rFonts w:hint="eastAsia" w:ascii="宋体" w:hAnsi="宋体" w:eastAsia="宋体" w:cs="宋体"/>
          <w:bCs/>
          <w:szCs w:val="22"/>
        </w:rPr>
        <w:t>评审方法与评审标准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_Toc3293 \h </w:instrText>
      </w:r>
      <w:r>
        <w:rPr>
          <w:rFonts w:hint="eastAsia" w:ascii="宋体" w:hAnsi="宋体" w:eastAsia="宋体" w:cs="宋体"/>
        </w:rPr>
        <w:fldChar w:fldCharType="separate"/>
      </w:r>
      <w:r>
        <w:rPr>
          <w:rFonts w:hint="eastAsia" w:ascii="宋体" w:hAnsi="宋体" w:eastAsia="宋体" w:cs="宋体"/>
        </w:rPr>
        <w:t>32</w:t>
      </w:r>
      <w:r>
        <w:rPr>
          <w:rFonts w:hint="eastAsia" w:ascii="宋体" w:hAnsi="宋体" w:eastAsia="宋体" w:cs="宋体"/>
        </w:rPr>
        <w:fldChar w:fldCharType="end"/>
      </w:r>
      <w:r>
        <w:rPr>
          <w:rFonts w:hint="eastAsia" w:ascii="宋体" w:hAnsi="宋体" w:eastAsia="宋体" w:cs="宋体"/>
        </w:rPr>
        <w:fldChar w:fldCharType="end"/>
      </w:r>
    </w:p>
    <w:p w14:paraId="49749197">
      <w:pPr>
        <w:pStyle w:val="36"/>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_Toc35 </w:instrText>
      </w:r>
      <w:r>
        <w:rPr>
          <w:rFonts w:hint="eastAsia" w:ascii="宋体" w:hAnsi="宋体" w:eastAsia="宋体" w:cs="宋体"/>
        </w:rPr>
        <w:fldChar w:fldCharType="separate"/>
      </w:r>
      <w:r>
        <w:rPr>
          <w:rFonts w:hint="eastAsia" w:ascii="宋体" w:hAnsi="宋体" w:eastAsia="宋体" w:cs="宋体"/>
        </w:rPr>
        <w:t>第六章  磋商响应文件格式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_Toc35 \h </w:instrText>
      </w:r>
      <w:r>
        <w:rPr>
          <w:rFonts w:hint="eastAsia" w:ascii="宋体" w:hAnsi="宋体" w:eastAsia="宋体" w:cs="宋体"/>
        </w:rPr>
        <w:fldChar w:fldCharType="separate"/>
      </w:r>
      <w:r>
        <w:rPr>
          <w:rFonts w:hint="eastAsia" w:ascii="宋体" w:hAnsi="宋体" w:eastAsia="宋体" w:cs="宋体"/>
        </w:rPr>
        <w:t>37</w:t>
      </w:r>
      <w:r>
        <w:rPr>
          <w:rFonts w:hint="eastAsia" w:ascii="宋体" w:hAnsi="宋体" w:eastAsia="宋体" w:cs="宋体"/>
        </w:rPr>
        <w:fldChar w:fldCharType="end"/>
      </w:r>
      <w:r>
        <w:rPr>
          <w:rFonts w:hint="eastAsia" w:ascii="宋体" w:hAnsi="宋体" w:eastAsia="宋体" w:cs="宋体"/>
        </w:rPr>
        <w:fldChar w:fldCharType="end"/>
      </w:r>
    </w:p>
    <w:p w14:paraId="660157FE">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_Toc30678 </w:instrText>
      </w:r>
      <w:r>
        <w:rPr>
          <w:rFonts w:hint="eastAsia" w:ascii="宋体" w:hAnsi="宋体" w:eastAsia="宋体" w:cs="宋体"/>
        </w:rPr>
        <w:fldChar w:fldCharType="separate"/>
      </w:r>
      <w:r>
        <w:rPr>
          <w:rFonts w:hint="eastAsia" w:ascii="宋体" w:hAnsi="宋体" w:eastAsia="宋体" w:cs="宋体"/>
          <w:szCs w:val="24"/>
        </w:rPr>
        <w:t>附件1 报价一览表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_Toc30678 \h </w:instrText>
      </w:r>
      <w:r>
        <w:rPr>
          <w:rFonts w:hint="eastAsia" w:ascii="宋体" w:hAnsi="宋体" w:eastAsia="宋体" w:cs="宋体"/>
        </w:rPr>
        <w:fldChar w:fldCharType="separate"/>
      </w:r>
      <w:r>
        <w:rPr>
          <w:rFonts w:hint="eastAsia" w:ascii="宋体" w:hAnsi="宋体" w:eastAsia="宋体" w:cs="宋体"/>
        </w:rPr>
        <w:t>40</w:t>
      </w:r>
      <w:r>
        <w:rPr>
          <w:rFonts w:hint="eastAsia" w:ascii="宋体" w:hAnsi="宋体" w:eastAsia="宋体" w:cs="宋体"/>
        </w:rPr>
        <w:fldChar w:fldCharType="end"/>
      </w:r>
      <w:r>
        <w:rPr>
          <w:rFonts w:hint="eastAsia" w:ascii="宋体" w:hAnsi="宋体" w:eastAsia="宋体" w:cs="宋体"/>
        </w:rPr>
        <w:fldChar w:fldCharType="end"/>
      </w:r>
    </w:p>
    <w:p w14:paraId="5F8E4F93">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_Toc20699 </w:instrText>
      </w:r>
      <w:r>
        <w:rPr>
          <w:rFonts w:hint="eastAsia" w:ascii="宋体" w:hAnsi="宋体" w:eastAsia="宋体" w:cs="宋体"/>
        </w:rPr>
        <w:fldChar w:fldCharType="separate"/>
      </w:r>
      <w:r>
        <w:rPr>
          <w:rFonts w:hint="eastAsia" w:ascii="宋体" w:hAnsi="宋体" w:eastAsia="宋体" w:cs="宋体"/>
          <w:szCs w:val="24"/>
        </w:rPr>
        <w:t xml:space="preserve">附件2 </w:t>
      </w:r>
      <w:r>
        <w:rPr>
          <w:rFonts w:hint="eastAsia" w:ascii="宋体" w:hAnsi="宋体" w:eastAsia="宋体" w:cs="宋体"/>
          <w:szCs w:val="24"/>
          <w:lang w:val="en-US" w:eastAsia="zh-CN"/>
        </w:rPr>
        <w:t>投入费用</w:t>
      </w:r>
      <w:r>
        <w:rPr>
          <w:rFonts w:hint="eastAsia" w:ascii="宋体" w:hAnsi="宋体" w:eastAsia="宋体" w:cs="宋体"/>
          <w:szCs w:val="24"/>
        </w:rPr>
        <w:t>明细表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_Toc20699 \h </w:instrText>
      </w:r>
      <w:r>
        <w:rPr>
          <w:rFonts w:hint="eastAsia" w:ascii="宋体" w:hAnsi="宋体" w:eastAsia="宋体" w:cs="宋体"/>
        </w:rPr>
        <w:fldChar w:fldCharType="separate"/>
      </w:r>
      <w:r>
        <w:rPr>
          <w:rFonts w:hint="eastAsia" w:ascii="宋体" w:hAnsi="宋体" w:eastAsia="宋体" w:cs="宋体"/>
        </w:rPr>
        <w:t>41</w:t>
      </w:r>
      <w:r>
        <w:rPr>
          <w:rFonts w:hint="eastAsia" w:ascii="宋体" w:hAnsi="宋体" w:eastAsia="宋体" w:cs="宋体"/>
        </w:rPr>
        <w:fldChar w:fldCharType="end"/>
      </w:r>
      <w:r>
        <w:rPr>
          <w:rFonts w:hint="eastAsia" w:ascii="宋体" w:hAnsi="宋体" w:eastAsia="宋体" w:cs="宋体"/>
        </w:rPr>
        <w:fldChar w:fldCharType="end"/>
      </w:r>
    </w:p>
    <w:p w14:paraId="39221FEC">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_Toc10078 </w:instrText>
      </w:r>
      <w:r>
        <w:rPr>
          <w:rFonts w:hint="eastAsia" w:ascii="宋体" w:hAnsi="宋体" w:eastAsia="宋体" w:cs="宋体"/>
        </w:rPr>
        <w:fldChar w:fldCharType="separate"/>
      </w:r>
      <w:r>
        <w:rPr>
          <w:rFonts w:hint="eastAsia" w:ascii="宋体" w:hAnsi="宋体" w:eastAsia="宋体" w:cs="宋体"/>
          <w:szCs w:val="24"/>
        </w:rPr>
        <w:t>附件3 服务要求响应及偏离表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_Toc10078 \h </w:instrText>
      </w:r>
      <w:r>
        <w:rPr>
          <w:rFonts w:hint="eastAsia" w:ascii="宋体" w:hAnsi="宋体" w:eastAsia="宋体" w:cs="宋体"/>
        </w:rPr>
        <w:fldChar w:fldCharType="separate"/>
      </w:r>
      <w:r>
        <w:rPr>
          <w:rFonts w:hint="eastAsia" w:ascii="宋体" w:hAnsi="宋体" w:eastAsia="宋体" w:cs="宋体"/>
        </w:rPr>
        <w:t>42</w:t>
      </w:r>
      <w:r>
        <w:rPr>
          <w:rFonts w:hint="eastAsia" w:ascii="宋体" w:hAnsi="宋体" w:eastAsia="宋体" w:cs="宋体"/>
        </w:rPr>
        <w:fldChar w:fldCharType="end"/>
      </w:r>
      <w:r>
        <w:rPr>
          <w:rFonts w:hint="eastAsia" w:ascii="宋体" w:hAnsi="宋体" w:eastAsia="宋体" w:cs="宋体"/>
        </w:rPr>
        <w:fldChar w:fldCharType="end"/>
      </w:r>
    </w:p>
    <w:p w14:paraId="41761E05">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_Toc22867 </w:instrText>
      </w:r>
      <w:r>
        <w:rPr>
          <w:rFonts w:hint="eastAsia" w:ascii="宋体" w:hAnsi="宋体" w:eastAsia="宋体" w:cs="宋体"/>
        </w:rPr>
        <w:fldChar w:fldCharType="separate"/>
      </w:r>
      <w:r>
        <w:rPr>
          <w:rFonts w:hint="eastAsia" w:ascii="宋体" w:hAnsi="宋体" w:eastAsia="宋体" w:cs="宋体"/>
          <w:szCs w:val="24"/>
        </w:rPr>
        <w:t>附件4 商务要求响应及偏离表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_Toc22867 \h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rPr>
          <w:rFonts w:hint="eastAsia" w:ascii="宋体" w:hAnsi="宋体" w:eastAsia="宋体" w:cs="宋体"/>
        </w:rPr>
        <w:fldChar w:fldCharType="end"/>
      </w:r>
    </w:p>
    <w:p w14:paraId="1621AB6F">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_Toc21610 </w:instrText>
      </w:r>
      <w:r>
        <w:rPr>
          <w:rFonts w:hint="eastAsia" w:ascii="宋体" w:hAnsi="宋体" w:eastAsia="宋体" w:cs="宋体"/>
        </w:rPr>
        <w:fldChar w:fldCharType="separate"/>
      </w:r>
      <w:r>
        <w:rPr>
          <w:rFonts w:hint="eastAsia" w:ascii="宋体" w:hAnsi="宋体" w:eastAsia="宋体" w:cs="宋体"/>
          <w:szCs w:val="24"/>
        </w:rPr>
        <w:t>附件5 具备履行合同所必需的设备和专业技术能力的书面声明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_Toc21610 \h </w:instrText>
      </w:r>
      <w:r>
        <w:rPr>
          <w:rFonts w:hint="eastAsia" w:ascii="宋体" w:hAnsi="宋体" w:eastAsia="宋体" w:cs="宋体"/>
        </w:rPr>
        <w:fldChar w:fldCharType="separate"/>
      </w:r>
      <w:r>
        <w:rPr>
          <w:rFonts w:hint="eastAsia" w:ascii="宋体" w:hAnsi="宋体" w:eastAsia="宋体" w:cs="宋体"/>
        </w:rPr>
        <w:t>44</w:t>
      </w:r>
      <w:r>
        <w:rPr>
          <w:rFonts w:hint="eastAsia" w:ascii="宋体" w:hAnsi="宋体" w:eastAsia="宋体" w:cs="宋体"/>
        </w:rPr>
        <w:fldChar w:fldCharType="end"/>
      </w:r>
      <w:r>
        <w:rPr>
          <w:rFonts w:hint="eastAsia" w:ascii="宋体" w:hAnsi="宋体" w:eastAsia="宋体" w:cs="宋体"/>
        </w:rPr>
        <w:fldChar w:fldCharType="end"/>
      </w:r>
    </w:p>
    <w:p w14:paraId="5FF97D26">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_Toc23537 </w:instrText>
      </w:r>
      <w:r>
        <w:rPr>
          <w:rFonts w:hint="eastAsia" w:ascii="宋体" w:hAnsi="宋体" w:eastAsia="宋体" w:cs="宋体"/>
        </w:rPr>
        <w:fldChar w:fldCharType="separate"/>
      </w:r>
      <w:r>
        <w:rPr>
          <w:rFonts w:hint="eastAsia" w:ascii="宋体" w:hAnsi="宋体" w:eastAsia="宋体" w:cs="宋体"/>
          <w:szCs w:val="24"/>
        </w:rPr>
        <w:t>附件6 参加政府采购活动前 3 年内在经营活动中没有重大违法记录的书面声明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_Toc23537 \h </w:instrText>
      </w:r>
      <w:r>
        <w:rPr>
          <w:rFonts w:hint="eastAsia" w:ascii="宋体" w:hAnsi="宋体" w:eastAsia="宋体" w:cs="宋体"/>
        </w:rPr>
        <w:fldChar w:fldCharType="separate"/>
      </w:r>
      <w:r>
        <w:rPr>
          <w:rFonts w:hint="eastAsia" w:ascii="宋体" w:hAnsi="宋体" w:eastAsia="宋体" w:cs="宋体"/>
        </w:rPr>
        <w:t>45</w:t>
      </w:r>
      <w:r>
        <w:rPr>
          <w:rFonts w:hint="eastAsia" w:ascii="宋体" w:hAnsi="宋体" w:eastAsia="宋体" w:cs="宋体"/>
        </w:rPr>
        <w:fldChar w:fldCharType="end"/>
      </w:r>
      <w:r>
        <w:rPr>
          <w:rFonts w:hint="eastAsia" w:ascii="宋体" w:hAnsi="宋体" w:eastAsia="宋体" w:cs="宋体"/>
        </w:rPr>
        <w:fldChar w:fldCharType="end"/>
      </w:r>
    </w:p>
    <w:p w14:paraId="3C971091">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_Toc6123 </w:instrText>
      </w:r>
      <w:r>
        <w:rPr>
          <w:rFonts w:hint="eastAsia" w:ascii="宋体" w:hAnsi="宋体" w:eastAsia="宋体" w:cs="宋体"/>
        </w:rPr>
        <w:fldChar w:fldCharType="separate"/>
      </w:r>
      <w:r>
        <w:rPr>
          <w:rFonts w:hint="eastAsia" w:ascii="宋体" w:hAnsi="宋体" w:eastAsia="宋体" w:cs="宋体"/>
          <w:szCs w:val="24"/>
        </w:rPr>
        <w:t>附件7 法人授权书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_Toc6123 \h </w:instrText>
      </w:r>
      <w:r>
        <w:rPr>
          <w:rFonts w:hint="eastAsia" w:ascii="宋体" w:hAnsi="宋体" w:eastAsia="宋体" w:cs="宋体"/>
        </w:rPr>
        <w:fldChar w:fldCharType="separate"/>
      </w:r>
      <w:r>
        <w:rPr>
          <w:rFonts w:hint="eastAsia" w:ascii="宋体" w:hAnsi="宋体" w:eastAsia="宋体" w:cs="宋体"/>
        </w:rPr>
        <w:t>46</w:t>
      </w:r>
      <w:r>
        <w:rPr>
          <w:rFonts w:hint="eastAsia" w:ascii="宋体" w:hAnsi="宋体" w:eastAsia="宋体" w:cs="宋体"/>
        </w:rPr>
        <w:fldChar w:fldCharType="end"/>
      </w:r>
      <w:r>
        <w:rPr>
          <w:rFonts w:hint="eastAsia" w:ascii="宋体" w:hAnsi="宋体" w:eastAsia="宋体" w:cs="宋体"/>
        </w:rPr>
        <w:fldChar w:fldCharType="end"/>
      </w:r>
    </w:p>
    <w:p w14:paraId="69C8B529">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_Toc30075 </w:instrText>
      </w:r>
      <w:r>
        <w:rPr>
          <w:rFonts w:hint="eastAsia" w:ascii="宋体" w:hAnsi="宋体" w:eastAsia="宋体" w:cs="宋体"/>
        </w:rPr>
        <w:fldChar w:fldCharType="separate"/>
      </w:r>
      <w:r>
        <w:rPr>
          <w:rFonts w:hint="eastAsia" w:ascii="宋体" w:hAnsi="宋体" w:eastAsia="宋体" w:cs="宋体"/>
          <w:szCs w:val="24"/>
        </w:rPr>
        <w:t>附件8 磋商响应函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_Toc30075 \h </w:instrText>
      </w:r>
      <w:r>
        <w:rPr>
          <w:rFonts w:hint="eastAsia" w:ascii="宋体" w:hAnsi="宋体" w:eastAsia="宋体" w:cs="宋体"/>
        </w:rPr>
        <w:fldChar w:fldCharType="separate"/>
      </w:r>
      <w:r>
        <w:rPr>
          <w:rFonts w:hint="eastAsia" w:ascii="宋体" w:hAnsi="宋体" w:eastAsia="宋体" w:cs="宋体"/>
        </w:rPr>
        <w:t>47</w:t>
      </w:r>
      <w:r>
        <w:rPr>
          <w:rFonts w:hint="eastAsia" w:ascii="宋体" w:hAnsi="宋体" w:eastAsia="宋体" w:cs="宋体"/>
        </w:rPr>
        <w:fldChar w:fldCharType="end"/>
      </w:r>
      <w:r>
        <w:rPr>
          <w:rFonts w:hint="eastAsia" w:ascii="宋体" w:hAnsi="宋体" w:eastAsia="宋体" w:cs="宋体"/>
        </w:rPr>
        <w:fldChar w:fldCharType="end"/>
      </w:r>
    </w:p>
    <w:p w14:paraId="199E1687">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_Toc19649 </w:instrText>
      </w:r>
      <w:r>
        <w:rPr>
          <w:rFonts w:hint="eastAsia" w:ascii="宋体" w:hAnsi="宋体" w:eastAsia="宋体" w:cs="宋体"/>
        </w:rPr>
        <w:fldChar w:fldCharType="separate"/>
      </w:r>
      <w:r>
        <w:rPr>
          <w:rFonts w:hint="eastAsia" w:ascii="宋体" w:hAnsi="宋体" w:eastAsia="宋体" w:cs="宋体"/>
          <w:szCs w:val="24"/>
        </w:rPr>
        <w:t>附件9 中小企业声明函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_Toc19649 \h </w:instrText>
      </w:r>
      <w:r>
        <w:rPr>
          <w:rFonts w:hint="eastAsia" w:ascii="宋体" w:hAnsi="宋体" w:eastAsia="宋体" w:cs="宋体"/>
        </w:rPr>
        <w:fldChar w:fldCharType="separate"/>
      </w:r>
      <w:r>
        <w:rPr>
          <w:rFonts w:hint="eastAsia" w:ascii="宋体" w:hAnsi="宋体" w:eastAsia="宋体" w:cs="宋体"/>
        </w:rPr>
        <w:t>48</w:t>
      </w:r>
      <w:r>
        <w:rPr>
          <w:rFonts w:hint="eastAsia" w:ascii="宋体" w:hAnsi="宋体" w:eastAsia="宋体" w:cs="宋体"/>
        </w:rPr>
        <w:fldChar w:fldCharType="end"/>
      </w:r>
      <w:r>
        <w:rPr>
          <w:rFonts w:hint="eastAsia" w:ascii="宋体" w:hAnsi="宋体" w:eastAsia="宋体" w:cs="宋体"/>
        </w:rPr>
        <w:fldChar w:fldCharType="end"/>
      </w:r>
    </w:p>
    <w:p w14:paraId="32AB3B15">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_Toc18881 </w:instrText>
      </w:r>
      <w:r>
        <w:rPr>
          <w:rFonts w:hint="eastAsia" w:ascii="宋体" w:hAnsi="宋体" w:eastAsia="宋体" w:cs="宋体"/>
        </w:rPr>
        <w:fldChar w:fldCharType="separate"/>
      </w:r>
      <w:r>
        <w:rPr>
          <w:rFonts w:hint="eastAsia" w:ascii="宋体" w:hAnsi="宋体" w:eastAsia="宋体" w:cs="宋体"/>
          <w:szCs w:val="24"/>
        </w:rPr>
        <w:t>附件10 残疾人福利性单位声明函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_Toc18881 \h </w:instrText>
      </w:r>
      <w:r>
        <w:rPr>
          <w:rFonts w:hint="eastAsia" w:ascii="宋体" w:hAnsi="宋体" w:eastAsia="宋体" w:cs="宋体"/>
        </w:rPr>
        <w:fldChar w:fldCharType="separate"/>
      </w:r>
      <w:r>
        <w:rPr>
          <w:rFonts w:hint="eastAsia" w:ascii="宋体" w:hAnsi="宋体" w:eastAsia="宋体" w:cs="宋体"/>
        </w:rPr>
        <w:t>49</w:t>
      </w:r>
      <w:r>
        <w:rPr>
          <w:rFonts w:hint="eastAsia" w:ascii="宋体" w:hAnsi="宋体" w:eastAsia="宋体" w:cs="宋体"/>
        </w:rPr>
        <w:fldChar w:fldCharType="end"/>
      </w:r>
      <w:r>
        <w:rPr>
          <w:rFonts w:hint="eastAsia" w:ascii="宋体" w:hAnsi="宋体" w:eastAsia="宋体" w:cs="宋体"/>
        </w:rPr>
        <w:fldChar w:fldCharType="end"/>
      </w:r>
    </w:p>
    <w:p w14:paraId="5BE5DC07">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_Toc4668 </w:instrText>
      </w:r>
      <w:r>
        <w:rPr>
          <w:rFonts w:hint="eastAsia" w:ascii="宋体" w:hAnsi="宋体" w:eastAsia="宋体" w:cs="宋体"/>
        </w:rPr>
        <w:fldChar w:fldCharType="separate"/>
      </w:r>
      <w:r>
        <w:rPr>
          <w:rFonts w:hint="eastAsia" w:ascii="宋体" w:hAnsi="宋体" w:eastAsia="宋体" w:cs="宋体"/>
          <w:szCs w:val="24"/>
        </w:rPr>
        <w:t>附件11 实质性要求响应及偏离表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_Toc4668 \h </w:instrText>
      </w:r>
      <w:r>
        <w:rPr>
          <w:rFonts w:hint="eastAsia" w:ascii="宋体" w:hAnsi="宋体" w:eastAsia="宋体" w:cs="宋体"/>
        </w:rPr>
        <w:fldChar w:fldCharType="separate"/>
      </w:r>
      <w:r>
        <w:rPr>
          <w:rFonts w:hint="eastAsia" w:ascii="宋体" w:hAnsi="宋体" w:eastAsia="宋体" w:cs="宋体"/>
        </w:rPr>
        <w:t>50</w:t>
      </w:r>
      <w:r>
        <w:rPr>
          <w:rFonts w:hint="eastAsia" w:ascii="宋体" w:hAnsi="宋体" w:eastAsia="宋体" w:cs="宋体"/>
        </w:rPr>
        <w:fldChar w:fldCharType="end"/>
      </w:r>
      <w:r>
        <w:rPr>
          <w:rFonts w:hint="eastAsia" w:ascii="宋体" w:hAnsi="宋体" w:eastAsia="宋体" w:cs="宋体"/>
        </w:rPr>
        <w:fldChar w:fldCharType="end"/>
      </w:r>
    </w:p>
    <w:p w14:paraId="5F7A181E">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_Toc25221 </w:instrText>
      </w:r>
      <w:r>
        <w:rPr>
          <w:rFonts w:hint="eastAsia" w:ascii="宋体" w:hAnsi="宋体" w:eastAsia="宋体" w:cs="宋体"/>
        </w:rPr>
        <w:fldChar w:fldCharType="separate"/>
      </w:r>
      <w:r>
        <w:rPr>
          <w:rFonts w:hint="eastAsia" w:ascii="宋体" w:hAnsi="宋体" w:eastAsia="宋体" w:cs="宋体"/>
          <w:szCs w:val="24"/>
        </w:rPr>
        <w:t>附件12 项目实施方案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_Toc25221 \h </w:instrText>
      </w:r>
      <w:r>
        <w:rPr>
          <w:rFonts w:hint="eastAsia" w:ascii="宋体" w:hAnsi="宋体" w:eastAsia="宋体" w:cs="宋体"/>
        </w:rPr>
        <w:fldChar w:fldCharType="separate"/>
      </w:r>
      <w:r>
        <w:rPr>
          <w:rFonts w:hint="eastAsia" w:ascii="宋体" w:hAnsi="宋体" w:eastAsia="宋体" w:cs="宋体"/>
        </w:rPr>
        <w:t>53</w:t>
      </w:r>
      <w:r>
        <w:rPr>
          <w:rFonts w:hint="eastAsia" w:ascii="宋体" w:hAnsi="宋体" w:eastAsia="宋体" w:cs="宋体"/>
        </w:rPr>
        <w:fldChar w:fldCharType="end"/>
      </w:r>
      <w:r>
        <w:rPr>
          <w:rFonts w:hint="eastAsia" w:ascii="宋体" w:hAnsi="宋体" w:eastAsia="宋体" w:cs="宋体"/>
        </w:rPr>
        <w:fldChar w:fldCharType="end"/>
      </w:r>
    </w:p>
    <w:p w14:paraId="364257AB">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_Toc31723 </w:instrText>
      </w:r>
      <w:r>
        <w:rPr>
          <w:rFonts w:hint="eastAsia" w:ascii="宋体" w:hAnsi="宋体" w:eastAsia="宋体" w:cs="宋体"/>
        </w:rPr>
        <w:fldChar w:fldCharType="separate"/>
      </w:r>
      <w:r>
        <w:rPr>
          <w:rFonts w:hint="eastAsia" w:ascii="宋体" w:hAnsi="宋体" w:eastAsia="宋体" w:cs="宋体"/>
          <w:szCs w:val="24"/>
        </w:rPr>
        <w:t>附件13 项目组人员一览表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_Toc31723 \h </w:instrText>
      </w:r>
      <w:r>
        <w:rPr>
          <w:rFonts w:hint="eastAsia" w:ascii="宋体" w:hAnsi="宋体" w:eastAsia="宋体" w:cs="宋体"/>
        </w:rPr>
        <w:fldChar w:fldCharType="separate"/>
      </w:r>
      <w:r>
        <w:rPr>
          <w:rFonts w:hint="eastAsia" w:ascii="宋体" w:hAnsi="宋体" w:eastAsia="宋体" w:cs="宋体"/>
        </w:rPr>
        <w:t>54</w:t>
      </w:r>
      <w:r>
        <w:rPr>
          <w:rFonts w:hint="eastAsia" w:ascii="宋体" w:hAnsi="宋体" w:eastAsia="宋体" w:cs="宋体"/>
        </w:rPr>
        <w:fldChar w:fldCharType="end"/>
      </w:r>
      <w:r>
        <w:rPr>
          <w:rFonts w:hint="eastAsia" w:ascii="宋体" w:hAnsi="宋体" w:eastAsia="宋体" w:cs="宋体"/>
        </w:rPr>
        <w:fldChar w:fldCharType="end"/>
      </w:r>
    </w:p>
    <w:p w14:paraId="09EFA334">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_Toc15021 </w:instrText>
      </w:r>
      <w:r>
        <w:rPr>
          <w:rFonts w:hint="eastAsia" w:ascii="宋体" w:hAnsi="宋体" w:eastAsia="宋体" w:cs="宋体"/>
        </w:rPr>
        <w:fldChar w:fldCharType="separate"/>
      </w:r>
      <w:r>
        <w:rPr>
          <w:rFonts w:hint="eastAsia" w:ascii="宋体" w:hAnsi="宋体" w:eastAsia="宋体" w:cs="宋体"/>
          <w:szCs w:val="24"/>
        </w:rPr>
        <w:t>附件14 设备工具配备</w:t>
      </w:r>
      <w:r>
        <w:rPr>
          <w:rFonts w:hint="eastAsia" w:ascii="宋体" w:hAnsi="宋体" w:eastAsia="宋体" w:cs="宋体"/>
          <w:szCs w:val="24"/>
          <w:lang w:val="en-US" w:eastAsia="zh-CN"/>
        </w:rPr>
        <w:t>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_Toc15021 \h </w:instrText>
      </w:r>
      <w:r>
        <w:rPr>
          <w:rFonts w:hint="eastAsia" w:ascii="宋体" w:hAnsi="宋体" w:eastAsia="宋体" w:cs="宋体"/>
        </w:rPr>
        <w:fldChar w:fldCharType="separate"/>
      </w:r>
      <w:r>
        <w:rPr>
          <w:rFonts w:hint="eastAsia" w:ascii="宋体" w:hAnsi="宋体" w:eastAsia="宋体" w:cs="宋体"/>
        </w:rPr>
        <w:t>55</w:t>
      </w:r>
      <w:r>
        <w:rPr>
          <w:rFonts w:hint="eastAsia" w:ascii="宋体" w:hAnsi="宋体" w:eastAsia="宋体" w:cs="宋体"/>
        </w:rPr>
        <w:fldChar w:fldCharType="end"/>
      </w:r>
      <w:r>
        <w:rPr>
          <w:rFonts w:hint="eastAsia" w:ascii="宋体" w:hAnsi="宋体" w:eastAsia="宋体" w:cs="宋体"/>
        </w:rPr>
        <w:fldChar w:fldCharType="end"/>
      </w:r>
    </w:p>
    <w:p w14:paraId="62DE6C72">
      <w:pPr>
        <w:pStyle w:val="47"/>
        <w:tabs>
          <w:tab w:val="right" w:leader="dot" w:pos="9753"/>
          <w:tab w:val="clear" w:pos="9450"/>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_Toc8314 </w:instrText>
      </w:r>
      <w:r>
        <w:rPr>
          <w:rFonts w:hint="eastAsia" w:ascii="宋体" w:hAnsi="宋体" w:eastAsia="宋体" w:cs="宋体"/>
        </w:rPr>
        <w:fldChar w:fldCharType="separate"/>
      </w:r>
      <w:r>
        <w:rPr>
          <w:rFonts w:hint="eastAsia" w:ascii="宋体" w:hAnsi="宋体" w:eastAsia="宋体" w:cs="宋体"/>
          <w:szCs w:val="24"/>
        </w:rPr>
        <w:t>附件1</w:t>
      </w:r>
      <w:r>
        <w:rPr>
          <w:rFonts w:hint="eastAsia" w:ascii="宋体" w:hAnsi="宋体" w:eastAsia="宋体" w:cs="宋体"/>
          <w:szCs w:val="24"/>
          <w:lang w:val="en-US" w:eastAsia="zh-CN"/>
        </w:rPr>
        <w:t>5</w:t>
      </w:r>
      <w:r>
        <w:rPr>
          <w:rFonts w:hint="eastAsia" w:ascii="宋体" w:hAnsi="宋体" w:eastAsia="宋体" w:cs="宋体"/>
          <w:szCs w:val="24"/>
        </w:rPr>
        <w:t xml:space="preserve"> 业绩一览表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_Toc8314 \h </w:instrText>
      </w:r>
      <w:r>
        <w:rPr>
          <w:rFonts w:hint="eastAsia" w:ascii="宋体" w:hAnsi="宋体" w:eastAsia="宋体" w:cs="宋体"/>
        </w:rPr>
        <w:fldChar w:fldCharType="separate"/>
      </w:r>
      <w:r>
        <w:rPr>
          <w:rFonts w:hint="eastAsia" w:ascii="宋体" w:hAnsi="宋体" w:eastAsia="宋体" w:cs="宋体"/>
        </w:rPr>
        <w:t>56</w:t>
      </w:r>
      <w:r>
        <w:rPr>
          <w:rFonts w:hint="eastAsia" w:ascii="宋体" w:hAnsi="宋体" w:eastAsia="宋体" w:cs="宋体"/>
        </w:rPr>
        <w:fldChar w:fldCharType="end"/>
      </w:r>
      <w:r>
        <w:rPr>
          <w:rFonts w:hint="eastAsia" w:ascii="宋体" w:hAnsi="宋体" w:eastAsia="宋体" w:cs="宋体"/>
        </w:rPr>
        <w:fldChar w:fldCharType="end"/>
      </w:r>
    </w:p>
    <w:p w14:paraId="5C4A6F60">
      <w:pPr>
        <w:ind w:left="525"/>
        <w:rPr>
          <w:rFonts w:hint="eastAsia" w:ascii="宋体" w:hAnsi="宋体" w:eastAsia="宋体" w:cs="宋体"/>
        </w:rPr>
      </w:pPr>
      <w:r>
        <w:rPr>
          <w:rFonts w:hint="eastAsia" w:ascii="宋体" w:hAnsi="宋体" w:eastAsia="宋体" w:cs="宋体"/>
        </w:rPr>
        <w:fldChar w:fldCharType="end"/>
      </w:r>
    </w:p>
    <w:p w14:paraId="0FFB54CE">
      <w:pPr>
        <w:pStyle w:val="2"/>
        <w:rPr>
          <w:rFonts w:hint="eastAsia" w:ascii="宋体" w:hAnsi="宋体" w:eastAsia="宋体" w:cs="宋体"/>
        </w:rPr>
      </w:pPr>
      <w:r>
        <w:rPr>
          <w:rFonts w:hint="eastAsia" w:ascii="宋体" w:hAnsi="宋体" w:eastAsia="宋体" w:cs="宋体"/>
        </w:rPr>
        <w:br w:type="page" w:clear="all"/>
      </w:r>
      <w:bookmarkStart w:id="0" w:name="_Toc159312646"/>
      <w:bookmarkStart w:id="1" w:name="_Toc12919"/>
      <w:bookmarkStart w:id="2" w:name="_Toc103080641"/>
      <w:bookmarkStart w:id="3" w:name="_Toc5345"/>
      <w:r>
        <w:rPr>
          <w:rFonts w:hint="eastAsia" w:ascii="宋体" w:hAnsi="宋体" w:eastAsia="宋体" w:cs="宋体"/>
        </w:rPr>
        <w:t>第一章  磋商邀请</w:t>
      </w:r>
      <w:bookmarkEnd w:id="0"/>
      <w:bookmarkEnd w:id="1"/>
      <w:bookmarkEnd w:id="2"/>
      <w:bookmarkEnd w:id="3"/>
    </w:p>
    <w:p w14:paraId="45E43D24">
      <w:pPr>
        <w:keepNext w:val="0"/>
        <w:keepLines w:val="0"/>
        <w:pageBreakBefore w:val="0"/>
        <w:widowControl/>
        <w:kinsoku/>
        <w:wordWrap/>
        <w:overflowPunct/>
        <w:topLinePunct w:val="0"/>
        <w:autoSpaceDE/>
        <w:autoSpaceDN/>
        <w:bidi w:val="0"/>
        <w:adjustRightInd/>
        <w:snapToGrid/>
        <w:spacing w:line="440" w:lineRule="exact"/>
        <w:ind w:firstLine="720"/>
        <w:textAlignment w:val="auto"/>
        <w:rPr>
          <w:rFonts w:hint="eastAsia" w:ascii="宋体" w:hAnsi="宋体" w:eastAsia="宋体" w:cs="宋体"/>
          <w:sz w:val="24"/>
          <w:szCs w:val="24"/>
        </w:rPr>
      </w:pPr>
      <w:r>
        <w:rPr>
          <w:rFonts w:hint="eastAsia" w:ascii="宋体" w:hAnsi="宋体" w:eastAsia="宋体" w:cs="宋体"/>
          <w:sz w:val="24"/>
          <w:szCs w:val="24"/>
        </w:rPr>
        <w:t>受</w:t>
      </w:r>
      <w:r>
        <w:rPr>
          <w:rFonts w:hint="eastAsia" w:ascii="宋体" w:hAnsi="宋体" w:eastAsia="宋体" w:cs="宋体"/>
          <w:sz w:val="24"/>
          <w:szCs w:val="24"/>
          <w:lang w:eastAsia="zh-CN"/>
        </w:rPr>
        <w:t>常熟市人民法院</w:t>
      </w:r>
      <w:r>
        <w:rPr>
          <w:rFonts w:hint="eastAsia" w:ascii="宋体" w:hAnsi="宋体" w:eastAsia="宋体" w:cs="宋体"/>
          <w:sz w:val="24"/>
          <w:szCs w:val="24"/>
        </w:rPr>
        <w:t>的委托，江苏协诚工程咨询有限公司就</w:t>
      </w:r>
      <w:r>
        <w:rPr>
          <w:rFonts w:hint="eastAsia" w:ascii="宋体" w:hAnsi="宋体" w:eastAsia="宋体" w:cs="宋体"/>
          <w:sz w:val="24"/>
          <w:szCs w:val="24"/>
          <w:lang w:eastAsia="zh-CN"/>
        </w:rPr>
        <w:t>常熟市人民法院全流程无纸化辅助服务（</w:t>
      </w:r>
      <w:r>
        <w:rPr>
          <w:rFonts w:hint="eastAsia" w:ascii="宋体" w:hAnsi="宋体" w:cs="宋体"/>
          <w:sz w:val="24"/>
          <w:szCs w:val="24"/>
          <w:lang w:eastAsia="zh-CN"/>
        </w:rPr>
        <w:t>JSZC-320581-CSXC-C2026-0048</w:t>
      </w:r>
      <w:r>
        <w:rPr>
          <w:rFonts w:hint="eastAsia" w:ascii="宋体" w:hAnsi="宋体" w:eastAsia="宋体" w:cs="宋体"/>
          <w:sz w:val="24"/>
          <w:szCs w:val="24"/>
          <w:lang w:eastAsia="zh-CN"/>
        </w:rPr>
        <w:t>）</w:t>
      </w:r>
      <w:r>
        <w:rPr>
          <w:rFonts w:hint="eastAsia" w:ascii="宋体" w:hAnsi="宋体" w:eastAsia="宋体" w:cs="宋体"/>
          <w:sz w:val="24"/>
          <w:szCs w:val="24"/>
        </w:rPr>
        <w:t>项目进行竞争性磋商采购，欢迎符合条件的供应商参加磋商。</w:t>
      </w:r>
    </w:p>
    <w:p w14:paraId="1E1ED7BD">
      <w:pPr>
        <w:keepNext w:val="0"/>
        <w:keepLines w:val="0"/>
        <w:pageBreakBefore w:val="0"/>
        <w:pBdr>
          <w:top w:val="single" w:color="auto" w:sz="4" w:space="1"/>
          <w:left w:val="single" w:color="auto" w:sz="4" w:space="0"/>
          <w:bottom w:val="single" w:color="auto" w:sz="4" w:space="1"/>
          <w:right w:val="single" w:color="auto" w:sz="4" w:space="4"/>
        </w:pBdr>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rPr>
      </w:pPr>
      <w:r>
        <w:rPr>
          <w:rFonts w:hint="eastAsia" w:ascii="宋体" w:hAnsi="宋体" w:eastAsia="宋体" w:cs="宋体"/>
          <w:b/>
          <w:sz w:val="24"/>
          <w:szCs w:val="24"/>
        </w:rPr>
        <w:t>项目概况</w:t>
      </w:r>
    </w:p>
    <w:p w14:paraId="2E7AD75B">
      <w:pPr>
        <w:keepNext w:val="0"/>
        <w:keepLines w:val="0"/>
        <w:pageBreakBefore w:val="0"/>
        <w:pBdr>
          <w:top w:val="single" w:color="auto" w:sz="4" w:space="1"/>
          <w:left w:val="single" w:color="auto" w:sz="4" w:space="0"/>
          <w:bottom w:val="single" w:color="auto" w:sz="4" w:space="1"/>
          <w:right w:val="single" w:color="auto" w:sz="4" w:space="4"/>
        </w:pBdr>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u w:val="single"/>
          <w:lang w:eastAsia="zh-CN"/>
        </w:rPr>
        <w:t>常熟市人民法院全流程无纸化辅助服务</w:t>
      </w:r>
      <w:r>
        <w:rPr>
          <w:rFonts w:hint="eastAsia" w:ascii="宋体" w:hAnsi="宋体" w:eastAsia="宋体" w:cs="宋体"/>
          <w:sz w:val="24"/>
          <w:szCs w:val="24"/>
        </w:rPr>
        <w:t>采购项目的潜在供应商应在“苏采云政府采购一体化平台”中参与项目获取采购文件，并于</w:t>
      </w:r>
      <w:r>
        <w:rPr>
          <w:rFonts w:hint="eastAsia" w:ascii="宋体" w:hAnsi="宋体" w:eastAsia="宋体" w:cs="宋体"/>
          <w:sz w:val="24"/>
          <w:szCs w:val="24"/>
          <w:u w:val="single"/>
        </w:rPr>
        <w:t>202</w:t>
      </w:r>
      <w:r>
        <w:rPr>
          <w:rFonts w:hint="eastAsia" w:ascii="宋体" w:hAnsi="宋体" w:eastAsia="宋体" w:cs="宋体"/>
          <w:sz w:val="24"/>
          <w:szCs w:val="24"/>
          <w:u w:val="single"/>
          <w:lang w:val="en-US" w:eastAsia="zh-CN"/>
        </w:rPr>
        <w:t>6</w:t>
      </w:r>
      <w:r>
        <w:rPr>
          <w:rFonts w:hint="eastAsia" w:ascii="宋体" w:hAnsi="宋体" w:eastAsia="宋体" w:cs="宋体"/>
          <w:sz w:val="24"/>
          <w:szCs w:val="24"/>
          <w:u w:val="single"/>
        </w:rPr>
        <w:t>年</w:t>
      </w:r>
      <w:r>
        <w:rPr>
          <w:rFonts w:hint="eastAsia" w:ascii="宋体" w:hAnsi="宋体" w:eastAsia="宋体" w:cs="宋体"/>
          <w:sz w:val="24"/>
          <w:u w:val="single"/>
          <w:lang w:val="en-US" w:eastAsia="zh-CN"/>
        </w:rPr>
        <w:t>10</w:t>
      </w:r>
      <w:r>
        <w:rPr>
          <w:rFonts w:hint="eastAsia" w:ascii="宋体" w:hAnsi="宋体" w:eastAsia="宋体" w:cs="宋体"/>
          <w:sz w:val="24"/>
          <w:u w:val="single"/>
        </w:rPr>
        <w:t>月</w:t>
      </w:r>
      <w:r>
        <w:rPr>
          <w:rFonts w:hint="eastAsia" w:ascii="宋体" w:hAnsi="宋体" w:cs="宋体"/>
          <w:sz w:val="24"/>
          <w:u w:val="single"/>
          <w:lang w:val="en-US" w:eastAsia="zh-CN"/>
        </w:rPr>
        <w:t>26</w:t>
      </w:r>
      <w:r>
        <w:rPr>
          <w:rFonts w:hint="eastAsia" w:ascii="宋体" w:hAnsi="宋体" w:eastAsia="宋体" w:cs="宋体"/>
          <w:sz w:val="24"/>
          <w:u w:val="single"/>
        </w:rPr>
        <w:t>日</w:t>
      </w:r>
      <w:r>
        <w:rPr>
          <w:rFonts w:hint="eastAsia" w:ascii="宋体" w:hAnsi="宋体" w:cs="宋体"/>
          <w:sz w:val="24"/>
          <w:szCs w:val="24"/>
          <w:u w:val="single"/>
          <w:lang w:val="en-US" w:eastAsia="zh-CN"/>
        </w:rPr>
        <w:t>9</w:t>
      </w:r>
      <w:r>
        <w:rPr>
          <w:rFonts w:hint="eastAsia" w:ascii="宋体" w:hAnsi="宋体" w:eastAsia="宋体" w:cs="宋体"/>
          <w:sz w:val="24"/>
          <w:szCs w:val="24"/>
          <w:u w:val="single"/>
        </w:rPr>
        <w:t>点00分</w:t>
      </w:r>
      <w:r>
        <w:rPr>
          <w:rFonts w:hint="eastAsia" w:ascii="宋体" w:hAnsi="宋体" w:eastAsia="宋体" w:cs="宋体"/>
          <w:sz w:val="24"/>
          <w:szCs w:val="24"/>
        </w:rPr>
        <w:t>（北京时间）前按规定提交响应文件。</w:t>
      </w:r>
    </w:p>
    <w:p w14:paraId="0173DF6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rPr>
      </w:pPr>
      <w:r>
        <w:rPr>
          <w:rFonts w:hint="eastAsia" w:ascii="宋体" w:hAnsi="宋体" w:eastAsia="宋体" w:cs="宋体"/>
          <w:b/>
          <w:sz w:val="24"/>
          <w:szCs w:val="24"/>
        </w:rPr>
        <w:t>一、项目基本情况</w:t>
      </w:r>
    </w:p>
    <w:p w14:paraId="7859790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常熟市人民法院全流程无纸化辅助服务</w:t>
      </w:r>
    </w:p>
    <w:p w14:paraId="54401F3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cs="宋体"/>
          <w:sz w:val="24"/>
          <w:szCs w:val="24"/>
          <w:lang w:eastAsia="zh-CN"/>
        </w:rPr>
        <w:t>JSZC-320581-CSXC-C2026-0048</w:t>
      </w:r>
    </w:p>
    <w:p w14:paraId="4B611AB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4D66057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预算金额：人民币</w:t>
      </w:r>
      <w:r>
        <w:rPr>
          <w:rFonts w:hint="eastAsia" w:ascii="宋体" w:hAnsi="宋体" w:eastAsia="宋体" w:cs="宋体"/>
          <w:sz w:val="24"/>
          <w:szCs w:val="24"/>
          <w:lang w:val="en-US" w:eastAsia="zh-CN"/>
        </w:rPr>
        <w:t>3000</w:t>
      </w:r>
      <w:r>
        <w:rPr>
          <w:rFonts w:hint="eastAsia" w:ascii="宋体" w:hAnsi="宋体" w:eastAsia="宋体" w:cs="宋体"/>
          <w:sz w:val="24"/>
          <w:szCs w:val="24"/>
        </w:rPr>
        <w:t>000.00元整。</w:t>
      </w:r>
    </w:p>
    <w:p w14:paraId="12EB02FF">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最高限价：设定单价最高限价为</w:t>
      </w:r>
      <w:r>
        <w:rPr>
          <w:rFonts w:hint="eastAsia" w:ascii="宋体" w:hAnsi="宋体" w:eastAsia="宋体" w:cs="宋体"/>
          <w:sz w:val="24"/>
          <w:szCs w:val="24"/>
          <w:lang w:val="en-US" w:eastAsia="zh-CN"/>
        </w:rPr>
        <w:t>54</w:t>
      </w:r>
      <w:r>
        <w:rPr>
          <w:rFonts w:hint="eastAsia" w:ascii="宋体" w:hAnsi="宋体" w:eastAsia="宋体" w:cs="宋体"/>
          <w:sz w:val="24"/>
          <w:szCs w:val="24"/>
        </w:rPr>
        <w:t>.00元/件。</w:t>
      </w:r>
    </w:p>
    <w:p w14:paraId="014F6F9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rPr>
        <w:t>采购</w:t>
      </w:r>
      <w:r>
        <w:rPr>
          <w:rFonts w:hint="eastAsia" w:ascii="宋体" w:hAnsi="宋体" w:eastAsia="宋体" w:cs="宋体"/>
          <w:sz w:val="24"/>
          <w:szCs w:val="24"/>
          <w:highlight w:val="none"/>
        </w:rPr>
        <w:t>需求：</w:t>
      </w:r>
      <w:r>
        <w:rPr>
          <w:rFonts w:hint="eastAsia" w:ascii="宋体" w:hAnsi="宋体" w:eastAsia="宋体" w:cs="宋体"/>
          <w:sz w:val="24"/>
          <w:szCs w:val="24"/>
          <w:highlight w:val="none"/>
          <w:lang w:eastAsia="zh-CN"/>
        </w:rPr>
        <w:t>常熟市人民法院</w:t>
      </w:r>
      <w:r>
        <w:rPr>
          <w:rFonts w:hint="eastAsia" w:ascii="宋体" w:hAnsi="宋体" w:eastAsia="宋体" w:cs="宋体"/>
          <w:sz w:val="24"/>
          <w:szCs w:val="24"/>
          <w:highlight w:val="none"/>
        </w:rPr>
        <w:t>所需的</w:t>
      </w:r>
      <w:r>
        <w:rPr>
          <w:rFonts w:hint="eastAsia" w:ascii="宋体" w:hAnsi="宋体" w:eastAsia="宋体" w:cs="宋体"/>
          <w:sz w:val="24"/>
          <w:szCs w:val="24"/>
          <w:highlight w:val="none"/>
          <w:lang w:eastAsia="zh-CN"/>
        </w:rPr>
        <w:t>常熟市人民法院全流程无纸化辅助服务，包括完成常熟市人民法院</w:t>
      </w:r>
      <w:r>
        <w:rPr>
          <w:rFonts w:hint="eastAsia" w:ascii="宋体" w:hAnsi="宋体" w:eastAsia="宋体" w:cs="宋体"/>
          <w:color w:val="auto"/>
          <w:sz w:val="24"/>
          <w:szCs w:val="24"/>
          <w:highlight w:val="none"/>
          <w:lang w:val="en-US" w:eastAsia="zh-CN"/>
        </w:rPr>
        <w:t>全院（含院本部、</w:t>
      </w:r>
      <w:r>
        <w:rPr>
          <w:rFonts w:hint="eastAsia" w:ascii="宋体" w:hAnsi="宋体" w:eastAsia="宋体" w:cs="宋体"/>
          <w:color w:val="auto"/>
          <w:sz w:val="24"/>
          <w:szCs w:val="24"/>
          <w:highlight w:val="none"/>
          <w:lang w:eastAsia="zh-CN"/>
        </w:rPr>
        <w:t>派出法庭及执行局</w:t>
      </w:r>
      <w:r>
        <w:rPr>
          <w:rFonts w:hint="eastAsia" w:ascii="宋体" w:hAnsi="宋体" w:eastAsia="宋体" w:cs="宋体"/>
          <w:color w:val="auto"/>
          <w:sz w:val="24"/>
          <w:szCs w:val="24"/>
          <w:highlight w:val="none"/>
          <w:lang w:val="en-US" w:eastAsia="zh-CN"/>
        </w:rPr>
        <w:t>等）</w:t>
      </w:r>
      <w:r>
        <w:rPr>
          <w:rFonts w:hint="eastAsia" w:ascii="宋体" w:hAnsi="宋体" w:eastAsia="宋体" w:cs="宋体"/>
          <w:sz w:val="24"/>
          <w:szCs w:val="24"/>
          <w:highlight w:val="none"/>
          <w:lang w:eastAsia="zh-CN"/>
        </w:rPr>
        <w:t>约</w:t>
      </w:r>
      <w:r>
        <w:rPr>
          <w:rFonts w:hint="eastAsia" w:ascii="宋体" w:hAnsi="宋体" w:eastAsia="宋体" w:cs="宋体"/>
          <w:sz w:val="24"/>
          <w:szCs w:val="24"/>
          <w:highlight w:val="none"/>
          <w:lang w:val="en-US" w:eastAsia="zh-CN"/>
        </w:rPr>
        <w:t>54</w:t>
      </w:r>
      <w:r>
        <w:rPr>
          <w:rFonts w:hint="eastAsia" w:ascii="宋体" w:hAnsi="宋体" w:eastAsia="宋体" w:cs="宋体"/>
          <w:sz w:val="24"/>
          <w:szCs w:val="24"/>
          <w:highlight w:val="none"/>
          <w:lang w:eastAsia="zh-CN"/>
        </w:rPr>
        <w:t>000件各类案件全流程无纸化数字化集约化辅助服务。</w:t>
      </w:r>
    </w:p>
    <w:p w14:paraId="43A4F4D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hint="eastAsia" w:ascii="宋体" w:hAnsi="宋体" w:eastAsia="宋体" w:cs="宋体"/>
          <w:sz w:val="24"/>
          <w:szCs w:val="24"/>
          <w:highlight w:val="none"/>
          <w:lang w:eastAsia="zh-CN"/>
        </w:rPr>
        <w:t>自合同签订之日起1年</w:t>
      </w:r>
      <w:r>
        <w:rPr>
          <w:rFonts w:hint="eastAsia" w:ascii="宋体" w:hAnsi="宋体" w:eastAsia="宋体" w:cs="宋体"/>
          <w:sz w:val="24"/>
          <w:szCs w:val="24"/>
          <w:highlight w:val="none"/>
        </w:rPr>
        <w:t>。</w:t>
      </w:r>
    </w:p>
    <w:p w14:paraId="5CA2EB0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本项目不接受联合体投标。</w:t>
      </w:r>
    </w:p>
    <w:p w14:paraId="6E7433F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二、申请人的资格要求</w:t>
      </w:r>
    </w:p>
    <w:p w14:paraId="43AE243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highlight w:val="none"/>
        </w:rPr>
        <w:t>1、满足《中华人民共和国</w:t>
      </w:r>
      <w:r>
        <w:rPr>
          <w:rFonts w:hint="eastAsia" w:ascii="宋体" w:hAnsi="宋体" w:eastAsia="宋体" w:cs="宋体"/>
          <w:color w:val="333333"/>
          <w:sz w:val="24"/>
          <w:szCs w:val="24"/>
        </w:rPr>
        <w:t>政府采购法》第二十二条规定：</w:t>
      </w:r>
    </w:p>
    <w:p w14:paraId="3457BCB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rPr>
        <w:t>（1）具有独立承担民事责任的能力。</w:t>
      </w:r>
    </w:p>
    <w:p w14:paraId="3712939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rPr>
        <w:t>（2）具有良好的商业信誉和健全的财务会计制度。</w:t>
      </w:r>
    </w:p>
    <w:p w14:paraId="7DFA0A8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rPr>
        <w:t>（3）具有履行合同所必需的设备和专业技术能力。</w:t>
      </w:r>
    </w:p>
    <w:p w14:paraId="6AD9745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rPr>
        <w:t>（4）有依法缴纳税收和社会保障资金的良好记录。</w:t>
      </w:r>
    </w:p>
    <w:p w14:paraId="5996EFC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rPr>
        <w:t>（5）参加采购活动前三年内，在经营活动中没有重大违法记录。</w:t>
      </w:r>
    </w:p>
    <w:p w14:paraId="647B1E4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bCs/>
          <w:color w:val="000000"/>
          <w:sz w:val="24"/>
          <w:szCs w:val="24"/>
        </w:rPr>
      </w:pPr>
      <w:r>
        <w:rPr>
          <w:rFonts w:hint="eastAsia" w:ascii="宋体" w:hAnsi="宋体" w:eastAsia="宋体" w:cs="宋体"/>
          <w:sz w:val="24"/>
          <w:szCs w:val="24"/>
          <w:highlight w:val="none"/>
        </w:rPr>
        <w:t>2、落实政府采购政策需满足的资格要求：</w:t>
      </w:r>
      <w:r>
        <w:rPr>
          <w:rFonts w:hint="eastAsia" w:ascii="宋体" w:hAnsi="宋体" w:eastAsia="宋体" w:cs="宋体"/>
          <w:b/>
          <w:bCs/>
          <w:color w:val="000000"/>
          <w:sz w:val="24"/>
          <w:szCs w:val="24"/>
          <w:highlight w:val="none"/>
        </w:rPr>
        <w:t>本项目专门面向中小企业采购，所属行业为软件和信息技术服务业，投标时须提供《</w:t>
      </w:r>
      <w:r>
        <w:rPr>
          <w:rFonts w:hint="eastAsia" w:ascii="宋体" w:hAnsi="宋体" w:eastAsia="宋体" w:cs="宋体"/>
          <w:b/>
          <w:bCs/>
          <w:color w:val="000000"/>
          <w:sz w:val="24"/>
          <w:szCs w:val="24"/>
        </w:rPr>
        <w:t>中小企业声明函》。</w:t>
      </w:r>
    </w:p>
    <w:p w14:paraId="46030651">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color w:val="000000"/>
          <w:sz w:val="24"/>
          <w:szCs w:val="24"/>
        </w:rPr>
        <w:t>注：对残疾人福利性单位、监狱企业视同小型、微型企业，但须按要求提供有关声明函或证明文件。</w:t>
      </w:r>
    </w:p>
    <w:p w14:paraId="1EA82DA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rPr>
        <w:t>3、本项目的特定资格要求：</w:t>
      </w:r>
      <w:r>
        <w:rPr>
          <w:rFonts w:hint="eastAsia" w:ascii="宋体" w:hAnsi="宋体" w:eastAsia="宋体" w:cs="宋体"/>
          <w:sz w:val="24"/>
          <w:szCs w:val="24"/>
          <w:lang w:val="en-US" w:eastAsia="zh-CN"/>
        </w:rPr>
        <w:t>无</w:t>
      </w:r>
      <w:r>
        <w:rPr>
          <w:rFonts w:hint="eastAsia" w:ascii="宋体" w:hAnsi="宋体" w:eastAsia="宋体" w:cs="宋体"/>
          <w:sz w:val="24"/>
          <w:szCs w:val="24"/>
          <w:lang w:eastAsia="zh-CN"/>
        </w:rPr>
        <w:t>。</w:t>
      </w:r>
    </w:p>
    <w:p w14:paraId="33269C3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4、其他要求：</w:t>
      </w:r>
    </w:p>
    <w:p w14:paraId="23D529A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14:paraId="103A911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000000"/>
          <w:sz w:val="24"/>
          <w:szCs w:val="24"/>
        </w:rPr>
      </w:pPr>
      <w:r>
        <w:rPr>
          <w:rFonts w:hint="eastAsia" w:ascii="宋体" w:hAnsi="宋体" w:eastAsia="宋体" w:cs="宋体"/>
          <w:sz w:val="24"/>
          <w:szCs w:val="24"/>
        </w:rPr>
        <w:t>（2）单位负责人为同一人或者存在直接控股、管理关系的不同供应商，不得参加同一合同项下的政府采购活动。</w:t>
      </w:r>
    </w:p>
    <w:p w14:paraId="029578B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rPr>
      </w:pPr>
      <w:r>
        <w:rPr>
          <w:rFonts w:hint="eastAsia" w:ascii="宋体" w:hAnsi="宋体" w:eastAsia="宋体" w:cs="宋体"/>
          <w:b/>
          <w:sz w:val="24"/>
          <w:szCs w:val="24"/>
        </w:rPr>
        <w:t>三、获取采购文件</w:t>
      </w:r>
    </w:p>
    <w:p w14:paraId="460AFA4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1、时间：自招标文件公告发布之日起五个工作日。</w:t>
      </w:r>
    </w:p>
    <w:p w14:paraId="4B0C19F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2、方式：在“苏采云政府采购一体化平台”自行免费下载磋商文件。</w:t>
      </w:r>
    </w:p>
    <w:p w14:paraId="07E8438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（1）参与采购活动：供应商进入苏州市政府采购网，点击网站首页底部苏采云图标，插入CA证书</w:t>
      </w:r>
      <w:r>
        <w:rPr>
          <w:rFonts w:hint="eastAsia" w:ascii="宋体" w:hAnsi="宋体" w:eastAsia="宋体" w:cs="宋体"/>
          <w:sz w:val="24"/>
          <w:szCs w:val="24"/>
          <w:lang w:eastAsia="zh-CN"/>
        </w:rPr>
        <w:t>登录</w:t>
      </w:r>
      <w:r>
        <w:rPr>
          <w:rFonts w:hint="eastAsia" w:ascii="宋体" w:hAnsi="宋体" w:eastAsia="宋体" w:cs="宋体"/>
          <w:sz w:val="24"/>
          <w:szCs w:val="24"/>
        </w:rPr>
        <w:t>“苏采云”系统后选择具体项目，点击“我要参与”并签章提交《投标供应商确认函》，提交《投标供应商确认函》日期视同为依法获取磋商文件日期。对《投标供应商确认函》供应商应予打印保留。</w:t>
      </w:r>
    </w:p>
    <w:p w14:paraId="556222B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（2）电子投标准备：供应商在“苏采云”系统中操作成功参与项目后，必须在“已参与项目”界面中下载电子磋商文件（后缀名为</w:t>
      </w:r>
      <w:r>
        <w:rPr>
          <w:rFonts w:hint="eastAsia" w:ascii="宋体" w:hAnsi="宋体" w:eastAsia="宋体" w:cs="宋体"/>
          <w:sz w:val="24"/>
          <w:szCs w:val="24"/>
          <w:lang w:eastAsia="zh-CN"/>
        </w:rPr>
        <w:t>“</w:t>
      </w:r>
      <w:r>
        <w:rPr>
          <w:rFonts w:hint="eastAsia" w:ascii="宋体" w:hAnsi="宋体" w:eastAsia="宋体" w:cs="宋体"/>
          <w:sz w:val="24"/>
          <w:szCs w:val="24"/>
        </w:rPr>
        <w:t>kedt”）并导入政府采购客户端工具后方可进行电子响应文件的制作和提交（具体详见《苏采云系统供应商操作手册》，网址链接https://czju.suzhou.gov.cn/zfcg/html/content/20231220161910031.shtml）。</w:t>
      </w:r>
    </w:p>
    <w:p w14:paraId="2DBD14F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rPr>
      </w:pPr>
      <w:r>
        <w:rPr>
          <w:rFonts w:hint="eastAsia" w:ascii="宋体" w:hAnsi="宋体" w:eastAsia="宋体" w:cs="宋体"/>
          <w:b/>
          <w:sz w:val="24"/>
          <w:szCs w:val="24"/>
        </w:rPr>
        <w:t>四、</w:t>
      </w:r>
      <w:r>
        <w:rPr>
          <w:rFonts w:hint="eastAsia" w:ascii="宋体" w:hAnsi="宋体" w:eastAsia="宋体" w:cs="宋体"/>
          <w:b/>
          <w:sz w:val="24"/>
          <w:szCs w:val="21"/>
        </w:rPr>
        <w:t>响应文件提交</w:t>
      </w:r>
    </w:p>
    <w:p w14:paraId="08CD597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1、截止时间：202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cs="宋体"/>
          <w:sz w:val="24"/>
          <w:szCs w:val="24"/>
          <w:lang w:val="en-US" w:eastAsia="zh-CN"/>
        </w:rPr>
        <w:t>26</w:t>
      </w:r>
      <w:r>
        <w:rPr>
          <w:rFonts w:hint="eastAsia" w:ascii="宋体" w:hAnsi="宋体" w:eastAsia="宋体" w:cs="宋体"/>
          <w:sz w:val="24"/>
          <w:szCs w:val="24"/>
        </w:rPr>
        <w:t>日</w:t>
      </w:r>
      <w:r>
        <w:rPr>
          <w:rFonts w:hint="eastAsia" w:ascii="宋体" w:hAnsi="宋体" w:cs="宋体"/>
          <w:sz w:val="24"/>
          <w:szCs w:val="24"/>
          <w:lang w:val="en-US" w:eastAsia="zh-CN"/>
        </w:rPr>
        <w:t>9</w:t>
      </w:r>
      <w:r>
        <w:rPr>
          <w:rFonts w:hint="eastAsia" w:ascii="宋体" w:hAnsi="宋体" w:eastAsia="宋体" w:cs="宋体"/>
          <w:sz w:val="24"/>
          <w:szCs w:val="24"/>
        </w:rPr>
        <w:t>点00分（北京时间）</w:t>
      </w:r>
    </w:p>
    <w:p w14:paraId="455CC1B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2、开标地点：苏采云系统网上开标大厅</w:t>
      </w:r>
    </w:p>
    <w:p w14:paraId="24C69A0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3、本项目采用电子化采购形式，供应商应当按照《苏采云系统供应商操作手册</w:t>
      </w:r>
      <w:r>
        <w:rPr>
          <w:rFonts w:hint="eastAsia" w:ascii="宋体" w:hAnsi="宋体" w:eastAsia="宋体" w:cs="宋体"/>
          <w:sz w:val="24"/>
          <w:szCs w:val="24"/>
          <w:lang w:eastAsia="zh-CN"/>
        </w:rPr>
        <w:t>》的</w:t>
      </w:r>
      <w:r>
        <w:rPr>
          <w:rFonts w:hint="eastAsia" w:ascii="宋体" w:hAnsi="宋体" w:eastAsia="宋体" w:cs="宋体"/>
          <w:sz w:val="24"/>
          <w:szCs w:val="24"/>
        </w:rPr>
        <w:t>规定，须在投标截止时间前制作并上传电子响应文件至“苏采云”系统，否则视为放弃参加该采购项目。供应商应</w:t>
      </w:r>
      <w:r>
        <w:rPr>
          <w:rFonts w:hint="eastAsia" w:ascii="宋体" w:hAnsi="宋体" w:eastAsia="宋体" w:cs="宋体"/>
          <w:sz w:val="24"/>
          <w:szCs w:val="24"/>
          <w:lang w:eastAsia="zh-CN"/>
        </w:rPr>
        <w:t>充分考虑</w:t>
      </w:r>
      <w:r>
        <w:rPr>
          <w:rFonts w:hint="eastAsia" w:ascii="宋体" w:hAnsi="宋体" w:eastAsia="宋体" w:cs="宋体"/>
          <w:sz w:val="24"/>
          <w:szCs w:val="24"/>
        </w:rPr>
        <w:t>网络环境、网络带宽等风险因素，如因供应商自身原因造成的电子响应文件上传不成功由供应商自行承担全部责任。</w:t>
      </w:r>
    </w:p>
    <w:p w14:paraId="0CC501F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4、本项目采用不见面开标，供应商登录“苏采云”系统在平台首页点击“开标大厅”，进入江苏省政府采购一体化不见面开标（采购）大厅，在今日项目列表，点击项目，进入不见面开标系统。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4"/>
          <w:szCs w:val="24"/>
        </w:rPr>
        <w:t>本项目为不见面磋商项目，开启阶段供应商在【供应商解密】环节必须使用CA证书解密电子响应文件，如在系统规定的解密时间内未能完成解密的视为放弃参与本项目。</w:t>
      </w:r>
    </w:p>
    <w:p w14:paraId="261B857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请供应商确保电脑、系统及其他设备（视频输入输出设备等）无误，且开启直至项目结束始终保持系统在线状态。</w:t>
      </w:r>
    </w:p>
    <w:p w14:paraId="7309B66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1"/>
        </w:rPr>
      </w:pPr>
      <w:r>
        <w:rPr>
          <w:rFonts w:hint="eastAsia" w:ascii="宋体" w:hAnsi="宋体" w:eastAsia="宋体" w:cs="宋体"/>
          <w:b/>
          <w:sz w:val="24"/>
          <w:szCs w:val="24"/>
        </w:rPr>
        <w:t>五、</w:t>
      </w:r>
      <w:r>
        <w:rPr>
          <w:rFonts w:hint="eastAsia" w:ascii="宋体" w:hAnsi="宋体" w:eastAsia="宋体" w:cs="宋体"/>
          <w:b/>
          <w:bCs/>
          <w:sz w:val="24"/>
          <w:szCs w:val="21"/>
        </w:rPr>
        <w:t>公告期限</w:t>
      </w:r>
    </w:p>
    <w:p w14:paraId="1C34993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公告期限：自本公告发布之日起3个工作日</w:t>
      </w:r>
    </w:p>
    <w:p w14:paraId="7E09CF4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1"/>
        </w:rPr>
      </w:pPr>
      <w:r>
        <w:rPr>
          <w:rFonts w:hint="eastAsia" w:ascii="宋体" w:hAnsi="宋体" w:eastAsia="宋体" w:cs="宋体"/>
          <w:b/>
          <w:sz w:val="24"/>
          <w:szCs w:val="24"/>
        </w:rPr>
        <w:t>六、</w:t>
      </w:r>
      <w:r>
        <w:rPr>
          <w:rFonts w:hint="eastAsia" w:ascii="宋体" w:hAnsi="宋体" w:eastAsia="宋体" w:cs="宋体"/>
          <w:b/>
          <w:sz w:val="24"/>
          <w:szCs w:val="21"/>
        </w:rPr>
        <w:t>其他补充事宜</w:t>
      </w:r>
    </w:p>
    <w:p w14:paraId="113C4D7A">
      <w:pPr>
        <w:keepNext w:val="0"/>
        <w:keepLines w:val="0"/>
        <w:pageBreakBefore w:val="0"/>
        <w:shd w:val="clear" w:color="auto" w:fill="FFFFFF"/>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2"/>
        </w:rPr>
      </w:pPr>
      <w:r>
        <w:rPr>
          <w:rFonts w:hint="eastAsia" w:ascii="宋体" w:hAnsi="宋体" w:eastAsia="宋体" w:cs="宋体"/>
          <w:sz w:val="24"/>
          <w:szCs w:val="22"/>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18C36246">
      <w:pPr>
        <w:keepNext w:val="0"/>
        <w:keepLines w:val="0"/>
        <w:pageBreakBefore w:val="0"/>
        <w:shd w:val="clear" w:color="auto" w:fill="FFFFFF"/>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2"/>
        </w:rPr>
      </w:pPr>
      <w:r>
        <w:rPr>
          <w:rFonts w:hint="eastAsia" w:ascii="宋体" w:hAnsi="宋体" w:eastAsia="宋体" w:cs="宋体"/>
          <w:sz w:val="24"/>
          <w:szCs w:val="22"/>
        </w:rPr>
        <w:t>2、供应商在“苏采云”系统操作过程中如有疑问，请按以下方式联系：</w:t>
      </w:r>
    </w:p>
    <w:p w14:paraId="73C9F514">
      <w:pPr>
        <w:keepNext w:val="0"/>
        <w:keepLines w:val="0"/>
        <w:pageBreakBefore w:val="0"/>
        <w:shd w:val="clear" w:color="auto" w:fill="FFFFFF"/>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2"/>
        </w:rPr>
      </w:pPr>
      <w:r>
        <w:rPr>
          <w:rFonts w:hint="eastAsia" w:ascii="宋体" w:hAnsi="宋体" w:eastAsia="宋体" w:cs="宋体"/>
          <w:sz w:val="24"/>
          <w:szCs w:val="22"/>
        </w:rPr>
        <w:t>CA技术咨询电话：400-608-6099；电子签章技术咨询电话：15380932027、15371015030、13675197356、13675197221；“苏采云”系统联系方式：13914088964，18261002950，0512-69820854，0519-86722802。</w:t>
      </w:r>
    </w:p>
    <w:p w14:paraId="2E5CE740">
      <w:pPr>
        <w:keepNext w:val="0"/>
        <w:keepLines w:val="0"/>
        <w:pageBreakBefore w:val="0"/>
        <w:shd w:val="clear" w:color="auto" w:fill="FFFFFF"/>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2"/>
        </w:rPr>
      </w:pPr>
      <w:r>
        <w:rPr>
          <w:rFonts w:hint="eastAsia" w:ascii="宋体" w:hAnsi="宋体" w:eastAsia="宋体" w:cs="宋体"/>
          <w:sz w:val="24"/>
          <w:szCs w:val="22"/>
        </w:rPr>
        <w:t>3、有关本次采购的事项若存在变动或修改，敬请及时关注“苏州市政府采购网”发布的更正公告，并按规定获取相关信息内容。</w:t>
      </w:r>
    </w:p>
    <w:p w14:paraId="0C96469A">
      <w:pPr>
        <w:keepNext w:val="0"/>
        <w:keepLines w:val="0"/>
        <w:pageBreakBefore w:val="0"/>
        <w:shd w:val="clear" w:color="auto" w:fill="FFFFFF"/>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2"/>
        </w:rPr>
      </w:pPr>
      <w:r>
        <w:rPr>
          <w:rFonts w:hint="eastAsia" w:ascii="宋体" w:hAnsi="宋体" w:eastAsia="宋体" w:cs="宋体"/>
          <w:sz w:val="24"/>
          <w:szCs w:val="22"/>
        </w:rPr>
        <w:t>4、本次采购项目有关时间要求均以北京时间为标准，使用24小时制。</w:t>
      </w:r>
    </w:p>
    <w:p w14:paraId="5F797958">
      <w:pPr>
        <w:keepNext w:val="0"/>
        <w:keepLines w:val="0"/>
        <w:pageBreakBefore w:val="0"/>
        <w:shd w:val="clear" w:color="auto" w:fill="FFFFFF"/>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2"/>
        </w:rPr>
      </w:pPr>
      <w:r>
        <w:rPr>
          <w:rFonts w:hint="eastAsia" w:ascii="宋体" w:hAnsi="宋体" w:eastAsia="宋体" w:cs="宋体"/>
          <w:sz w:val="24"/>
          <w:szCs w:val="22"/>
        </w:rPr>
        <w:t>5、本次招标不收取投标保证金。</w:t>
      </w:r>
    </w:p>
    <w:p w14:paraId="1ED58A16">
      <w:pPr>
        <w:keepNext w:val="0"/>
        <w:keepLines w:val="0"/>
        <w:pageBreakBefore w:val="0"/>
        <w:shd w:val="clear" w:color="auto" w:fill="FFFFFF"/>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2"/>
        </w:rPr>
      </w:pPr>
      <w:r>
        <w:rPr>
          <w:rFonts w:hint="eastAsia" w:ascii="宋体" w:hAnsi="宋体" w:eastAsia="宋体" w:cs="宋体"/>
          <w:sz w:val="24"/>
          <w:szCs w:val="22"/>
        </w:rPr>
        <w:t>6、公告媒体：苏州市政府采购网、江苏政府采购网</w:t>
      </w:r>
    </w:p>
    <w:p w14:paraId="5A52E76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rPr>
      </w:pPr>
      <w:r>
        <w:rPr>
          <w:rFonts w:hint="eastAsia" w:ascii="宋体" w:hAnsi="宋体" w:eastAsia="宋体" w:cs="宋体"/>
          <w:b/>
          <w:sz w:val="24"/>
          <w:szCs w:val="24"/>
        </w:rPr>
        <w:t>七、</w:t>
      </w:r>
      <w:r>
        <w:rPr>
          <w:rFonts w:hint="eastAsia" w:ascii="宋体" w:hAnsi="宋体" w:eastAsia="宋体" w:cs="宋体"/>
          <w:b/>
          <w:bCs/>
          <w:color w:val="000000"/>
          <w:sz w:val="24"/>
        </w:rPr>
        <w:t>凡对本次采购提出询问，请按以下方式联系</w:t>
      </w:r>
    </w:p>
    <w:p w14:paraId="4AFB274C">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216FF7F1">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常熟市人民法院</w:t>
      </w:r>
    </w:p>
    <w:p w14:paraId="208D3C03">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址：常熟市淮河路2号</w:t>
      </w:r>
    </w:p>
    <w:p w14:paraId="5F784A1E">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联系方式：0512-52</w:t>
      </w:r>
      <w:r>
        <w:rPr>
          <w:rFonts w:hint="eastAsia" w:ascii="宋体" w:hAnsi="宋体" w:eastAsia="宋体" w:cs="宋体"/>
          <w:sz w:val="24"/>
          <w:szCs w:val="24"/>
          <w:highlight w:val="none"/>
          <w:lang w:val="en-US" w:eastAsia="zh-CN"/>
        </w:rPr>
        <w:t>802023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钱俊华</w:t>
      </w:r>
      <w:r>
        <w:rPr>
          <w:rFonts w:hint="eastAsia" w:ascii="宋体" w:hAnsi="宋体" w:eastAsia="宋体" w:cs="宋体"/>
          <w:sz w:val="24"/>
          <w:szCs w:val="24"/>
          <w:highlight w:val="none"/>
        </w:rPr>
        <w:t>）</w:t>
      </w:r>
    </w:p>
    <w:p w14:paraId="469F508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65A95E6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名    称：江苏协诚工程咨询有限公司</w:t>
      </w:r>
    </w:p>
    <w:p w14:paraId="43E63D1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地    址：常熟市勤丰路泰慈新村4号</w:t>
      </w:r>
    </w:p>
    <w:p w14:paraId="5306E93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联系方式：0512-52213738（濮静亚）</w:t>
      </w:r>
    </w:p>
    <w:p w14:paraId="45C6BB8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403EA72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项目联系人：濮静亚</w:t>
      </w:r>
    </w:p>
    <w:p w14:paraId="66B3233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电    话：0512-52213738</w:t>
      </w:r>
    </w:p>
    <w:p w14:paraId="254D7EBE">
      <w:pPr>
        <w:pStyle w:val="2"/>
        <w:pageBreakBefore w:val="0"/>
        <w:kinsoku/>
        <w:wordWrap/>
        <w:overflowPunct/>
        <w:topLinePunct w:val="0"/>
        <w:autoSpaceDE/>
        <w:autoSpaceDN/>
        <w:bidi w:val="0"/>
        <w:adjustRightInd/>
        <w:snapToGrid/>
        <w:spacing w:line="440" w:lineRule="exact"/>
        <w:rPr>
          <w:rFonts w:hint="eastAsia" w:ascii="宋体" w:hAnsi="宋体" w:eastAsia="宋体" w:cs="宋体"/>
        </w:rPr>
      </w:pPr>
      <w:r>
        <w:rPr>
          <w:rFonts w:hint="eastAsia" w:ascii="宋体" w:hAnsi="宋体" w:eastAsia="宋体" w:cs="宋体"/>
        </w:rPr>
        <w:br w:type="page" w:clear="all"/>
      </w:r>
      <w:bookmarkStart w:id="4" w:name="_Toc159312647"/>
      <w:bookmarkStart w:id="5" w:name="_Toc11264"/>
      <w:bookmarkStart w:id="6" w:name="_Toc26091"/>
      <w:bookmarkStart w:id="7" w:name="_Toc103080642"/>
      <w:r>
        <w:rPr>
          <w:rFonts w:hint="eastAsia" w:ascii="宋体" w:hAnsi="宋体" w:eastAsia="宋体" w:cs="宋体"/>
        </w:rPr>
        <w:t>第二章  供应商须知</w:t>
      </w:r>
      <w:bookmarkEnd w:id="4"/>
      <w:bookmarkEnd w:id="5"/>
      <w:bookmarkEnd w:id="6"/>
      <w:bookmarkEnd w:id="7"/>
    </w:p>
    <w:p w14:paraId="42E7E4E9">
      <w:pPr>
        <w:keepNext/>
        <w:keepLines/>
        <w:pageBreakBefore w:val="0"/>
        <w:kinsoku/>
        <w:wordWrap/>
        <w:overflowPunct/>
        <w:topLinePunct w:val="0"/>
        <w:autoSpaceDE/>
        <w:autoSpaceDN/>
        <w:bidi w:val="0"/>
        <w:adjustRightInd/>
        <w:snapToGrid/>
        <w:spacing w:line="440" w:lineRule="exact"/>
        <w:outlineLvl w:val="2"/>
        <w:rPr>
          <w:rFonts w:hint="eastAsia" w:ascii="宋体" w:hAnsi="宋体" w:eastAsia="宋体" w:cs="宋体"/>
          <w:b/>
          <w:bCs/>
          <w:color w:val="000000"/>
          <w:sz w:val="32"/>
          <w:szCs w:val="32"/>
        </w:rPr>
      </w:pPr>
      <w:bookmarkStart w:id="8" w:name="_Toc159312648"/>
      <w:bookmarkStart w:id="9" w:name="_Toc6871"/>
      <w:bookmarkStart w:id="10" w:name="_Toc10603"/>
      <w:r>
        <w:rPr>
          <w:rFonts w:hint="eastAsia" w:ascii="宋体" w:hAnsi="宋体" w:eastAsia="宋体" w:cs="宋体"/>
          <w:b/>
          <w:bCs/>
          <w:color w:val="000000"/>
          <w:sz w:val="32"/>
          <w:szCs w:val="32"/>
        </w:rPr>
        <w:t>一、总则</w:t>
      </w:r>
      <w:bookmarkEnd w:id="8"/>
      <w:bookmarkEnd w:id="9"/>
      <w:bookmarkEnd w:id="10"/>
    </w:p>
    <w:p w14:paraId="0D3F13CF">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sz w:val="24"/>
          <w:szCs w:val="24"/>
        </w:rPr>
      </w:pPr>
      <w:r>
        <w:rPr>
          <w:rFonts w:hint="eastAsia" w:ascii="宋体" w:hAnsi="宋体" w:eastAsia="宋体" w:cs="宋体"/>
          <w:b/>
          <w:color w:val="000000"/>
          <w:sz w:val="28"/>
          <w:szCs w:val="28"/>
        </w:rPr>
        <w:t>1、采购方式及适用法律</w:t>
      </w:r>
    </w:p>
    <w:p w14:paraId="60C0B0EB">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1.1 本次政府采购活动采取竞争性磋商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以下简称磋商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方式，本磋商文件仅适用于磋商公告中所述项目。</w:t>
      </w:r>
    </w:p>
    <w:p w14:paraId="4DAC31DF">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1.2本次磋商及由此产生的合同受中华人民共和国有关的法律法规制约和保护。</w:t>
      </w:r>
    </w:p>
    <w:p w14:paraId="75FE81E5">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sz w:val="24"/>
          <w:szCs w:val="24"/>
        </w:rPr>
      </w:pPr>
      <w:r>
        <w:rPr>
          <w:rFonts w:hint="eastAsia" w:ascii="宋体" w:hAnsi="宋体" w:eastAsia="宋体" w:cs="宋体"/>
          <w:b/>
          <w:color w:val="000000"/>
          <w:sz w:val="28"/>
          <w:szCs w:val="28"/>
        </w:rPr>
        <w:t>2、定义</w:t>
      </w:r>
    </w:p>
    <w:p w14:paraId="3A1D02F8">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2.1“采购人”系指购买本项目货物并接受相关服务的国家机关、事业单位、团体组织。</w:t>
      </w:r>
    </w:p>
    <w:p w14:paraId="6B50FCD5">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2.2“采购代理机构”系指依法接受采购人委托，从事货物和服务等政府采购业务的采购代理机构（以下简称“代理机构”）。本项目采购代理机构为江苏协诚工程咨询有限公司。</w:t>
      </w:r>
    </w:p>
    <w:p w14:paraId="68D96C90">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2.3“供应商”系指响应磋商、参加磋商竞争的供应商。</w:t>
      </w:r>
    </w:p>
    <w:p w14:paraId="681D83EF">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3、合格的供应商</w:t>
      </w:r>
    </w:p>
    <w:p w14:paraId="0AAC23A1">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3.1满足磋商公告中供应商的资格要求的规定，详见《第一章 磋商邀请》中申请人资格要求。</w:t>
      </w:r>
    </w:p>
    <w:p w14:paraId="38128248">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3.2满足本文件实质性要求和条件的规定。</w:t>
      </w:r>
    </w:p>
    <w:p w14:paraId="1D7B5913">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4、磋商费用</w:t>
      </w:r>
    </w:p>
    <w:p w14:paraId="2F0BC98D">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4.1供应商应自行承担所有与参加本次磋商有关的费用，无论磋商过程中的做法和结果如何，江苏协诚工程咨询有限公司（下面简称“采购代理机构”）在任何情况下均无义务和责任承担这些费用。</w:t>
      </w:r>
    </w:p>
    <w:p w14:paraId="2ED86157">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4.2本次磋商采购代理机构和采购人不收取标书工本费。</w:t>
      </w:r>
    </w:p>
    <w:p w14:paraId="2515884A">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4.3本项</w:t>
      </w:r>
      <w:r>
        <w:rPr>
          <w:rFonts w:hint="eastAsia" w:ascii="宋体" w:hAnsi="宋体" w:eastAsia="宋体" w:cs="宋体"/>
          <w:color w:val="000000"/>
          <w:sz w:val="24"/>
          <w:szCs w:val="24"/>
          <w:highlight w:val="none"/>
        </w:rPr>
        <w:t>目成交服务费为</w:t>
      </w:r>
      <w:r>
        <w:rPr>
          <w:rFonts w:hint="eastAsia" w:ascii="宋体" w:hAnsi="宋体" w:eastAsia="宋体" w:cs="宋体"/>
          <w:b w:val="0"/>
          <w:bCs w:val="0"/>
          <w:color w:val="000000"/>
          <w:sz w:val="24"/>
          <w:szCs w:val="24"/>
          <w:highlight w:val="none"/>
        </w:rPr>
        <w:t>：人民币</w:t>
      </w:r>
      <w:r>
        <w:rPr>
          <w:rFonts w:hint="eastAsia" w:ascii="宋体" w:hAnsi="宋体" w:eastAsia="宋体" w:cs="宋体"/>
          <w:b w:val="0"/>
          <w:bCs w:val="0"/>
          <w:color w:val="000000"/>
          <w:sz w:val="24"/>
          <w:szCs w:val="24"/>
          <w:highlight w:val="none"/>
          <w:lang w:val="en-US" w:eastAsia="zh-CN"/>
        </w:rPr>
        <w:t>21700</w:t>
      </w:r>
      <w:r>
        <w:rPr>
          <w:rFonts w:hint="eastAsia" w:ascii="宋体" w:hAnsi="宋体" w:eastAsia="宋体" w:cs="宋体"/>
          <w:b w:val="0"/>
          <w:bCs w:val="0"/>
          <w:color w:val="000000"/>
          <w:sz w:val="24"/>
          <w:szCs w:val="24"/>
          <w:highlight w:val="none"/>
        </w:rPr>
        <w:t>.00元整，</w:t>
      </w:r>
      <w:r>
        <w:rPr>
          <w:rFonts w:hint="eastAsia"/>
          <w:b w:val="0"/>
          <w:bCs w:val="0"/>
          <w:sz w:val="24"/>
          <w:szCs w:val="24"/>
          <w:highlight w:val="none"/>
        </w:rPr>
        <w:t>自代理服务履约完毕之日起30个工作日内由采购人向代理机构直接支付，一次性付清。</w:t>
      </w:r>
    </w:p>
    <w:p w14:paraId="57D32F05">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5、磋商文件的约束力</w:t>
      </w:r>
    </w:p>
    <w:p w14:paraId="43E7B6E4">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5.1供应商一旦参加本项目采购活动，即被认为接受了本磋商文件的规定和约束。</w:t>
      </w:r>
    </w:p>
    <w:p w14:paraId="299D5A4D">
      <w:pPr>
        <w:keepNext/>
        <w:keepLines/>
        <w:pageBreakBefore w:val="0"/>
        <w:kinsoku/>
        <w:wordWrap/>
        <w:overflowPunct/>
        <w:topLinePunct w:val="0"/>
        <w:autoSpaceDE/>
        <w:autoSpaceDN/>
        <w:bidi w:val="0"/>
        <w:adjustRightInd/>
        <w:snapToGrid/>
        <w:spacing w:line="440" w:lineRule="exact"/>
        <w:outlineLvl w:val="2"/>
        <w:rPr>
          <w:rFonts w:hint="eastAsia" w:ascii="宋体" w:hAnsi="宋体" w:eastAsia="宋体" w:cs="宋体"/>
          <w:b/>
          <w:bCs/>
          <w:color w:val="000000"/>
          <w:sz w:val="32"/>
          <w:szCs w:val="32"/>
        </w:rPr>
      </w:pPr>
      <w:bookmarkStart w:id="11" w:name="_Toc22979"/>
      <w:bookmarkStart w:id="12" w:name="_Toc159312649"/>
      <w:bookmarkStart w:id="13" w:name="_Toc25196"/>
      <w:r>
        <w:rPr>
          <w:rFonts w:hint="eastAsia" w:ascii="宋体" w:hAnsi="宋体" w:eastAsia="宋体" w:cs="宋体"/>
          <w:b/>
          <w:bCs/>
          <w:color w:val="000000"/>
          <w:sz w:val="32"/>
          <w:szCs w:val="32"/>
        </w:rPr>
        <w:t>二、磋商文件</w:t>
      </w:r>
      <w:bookmarkEnd w:id="11"/>
      <w:bookmarkEnd w:id="12"/>
      <w:bookmarkEnd w:id="13"/>
    </w:p>
    <w:p w14:paraId="6B35BC75">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6、磋商文件构成</w:t>
      </w:r>
    </w:p>
    <w:p w14:paraId="57CA8434">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6.1磋商文件由以下部分组成：</w:t>
      </w:r>
    </w:p>
    <w:p w14:paraId="00FF5A21">
      <w:pPr>
        <w:pageBreakBefore w:val="0"/>
        <w:kinsoku/>
        <w:wordWrap/>
        <w:overflowPunct/>
        <w:topLinePunct w:val="0"/>
        <w:autoSpaceDE/>
        <w:autoSpaceDN/>
        <w:bidi w:val="0"/>
        <w:adjustRightInd/>
        <w:snapToGrid/>
        <w:spacing w:line="440" w:lineRule="exact"/>
        <w:ind w:firstLine="650"/>
        <w:rPr>
          <w:rFonts w:hint="eastAsia" w:ascii="宋体" w:hAnsi="宋体" w:eastAsia="宋体" w:cs="宋体"/>
          <w:sz w:val="24"/>
          <w:szCs w:val="24"/>
        </w:rPr>
      </w:pPr>
      <w:r>
        <w:rPr>
          <w:rFonts w:hint="eastAsia" w:ascii="宋体" w:hAnsi="宋体" w:eastAsia="宋体" w:cs="宋体"/>
          <w:color w:val="000000"/>
          <w:sz w:val="24"/>
          <w:szCs w:val="24"/>
        </w:rPr>
        <w:t>（1）磋商邀请</w:t>
      </w:r>
    </w:p>
    <w:p w14:paraId="3E1CD160">
      <w:pPr>
        <w:pageBreakBefore w:val="0"/>
        <w:kinsoku/>
        <w:wordWrap/>
        <w:overflowPunct/>
        <w:topLinePunct w:val="0"/>
        <w:autoSpaceDE/>
        <w:autoSpaceDN/>
        <w:bidi w:val="0"/>
        <w:adjustRightInd/>
        <w:snapToGrid/>
        <w:spacing w:line="440" w:lineRule="exact"/>
        <w:ind w:firstLine="650"/>
        <w:rPr>
          <w:rFonts w:hint="eastAsia" w:ascii="宋体" w:hAnsi="宋体" w:eastAsia="宋体" w:cs="宋体"/>
          <w:sz w:val="24"/>
          <w:szCs w:val="24"/>
        </w:rPr>
      </w:pPr>
      <w:r>
        <w:rPr>
          <w:rFonts w:hint="eastAsia" w:ascii="宋体" w:hAnsi="宋体" w:eastAsia="宋体" w:cs="宋体"/>
          <w:color w:val="000000"/>
          <w:sz w:val="24"/>
          <w:szCs w:val="24"/>
        </w:rPr>
        <w:t>（2）供应商须知</w:t>
      </w:r>
    </w:p>
    <w:p w14:paraId="5067730D">
      <w:pPr>
        <w:pageBreakBefore w:val="0"/>
        <w:kinsoku/>
        <w:wordWrap/>
        <w:overflowPunct/>
        <w:topLinePunct w:val="0"/>
        <w:autoSpaceDE/>
        <w:autoSpaceDN/>
        <w:bidi w:val="0"/>
        <w:adjustRightInd/>
        <w:snapToGrid/>
        <w:spacing w:line="440" w:lineRule="exact"/>
        <w:ind w:firstLine="650"/>
        <w:rPr>
          <w:rFonts w:hint="eastAsia" w:ascii="宋体" w:hAnsi="宋体" w:eastAsia="宋体" w:cs="宋体"/>
          <w:sz w:val="24"/>
          <w:szCs w:val="24"/>
        </w:rPr>
      </w:pPr>
      <w:r>
        <w:rPr>
          <w:rFonts w:hint="eastAsia" w:ascii="宋体" w:hAnsi="宋体" w:eastAsia="宋体" w:cs="宋体"/>
          <w:color w:val="000000"/>
          <w:sz w:val="24"/>
          <w:szCs w:val="24"/>
        </w:rPr>
        <w:t>（3）合同文本</w:t>
      </w:r>
    </w:p>
    <w:p w14:paraId="4ACE7A8E">
      <w:pPr>
        <w:pageBreakBefore w:val="0"/>
        <w:kinsoku/>
        <w:wordWrap/>
        <w:overflowPunct/>
        <w:topLinePunct w:val="0"/>
        <w:autoSpaceDE/>
        <w:autoSpaceDN/>
        <w:bidi w:val="0"/>
        <w:adjustRightInd/>
        <w:snapToGrid/>
        <w:spacing w:line="440" w:lineRule="exact"/>
        <w:ind w:firstLine="650"/>
        <w:rPr>
          <w:rFonts w:hint="eastAsia" w:ascii="宋体" w:hAnsi="宋体" w:eastAsia="宋体" w:cs="宋体"/>
          <w:color w:val="000000"/>
          <w:sz w:val="24"/>
          <w:szCs w:val="24"/>
        </w:rPr>
      </w:pPr>
      <w:r>
        <w:rPr>
          <w:rFonts w:hint="eastAsia" w:ascii="宋体" w:hAnsi="宋体" w:eastAsia="宋体" w:cs="宋体"/>
          <w:color w:val="000000"/>
          <w:sz w:val="24"/>
          <w:szCs w:val="24"/>
        </w:rPr>
        <w:t>（4）采购需求</w:t>
      </w:r>
    </w:p>
    <w:p w14:paraId="49BC9E5D">
      <w:pPr>
        <w:pageBreakBefore w:val="0"/>
        <w:kinsoku/>
        <w:wordWrap/>
        <w:overflowPunct/>
        <w:topLinePunct w:val="0"/>
        <w:autoSpaceDE/>
        <w:autoSpaceDN/>
        <w:bidi w:val="0"/>
        <w:adjustRightInd/>
        <w:snapToGrid/>
        <w:spacing w:line="440" w:lineRule="exact"/>
        <w:ind w:firstLine="650"/>
        <w:rPr>
          <w:rFonts w:hint="eastAsia" w:ascii="宋体" w:hAnsi="宋体" w:eastAsia="宋体" w:cs="宋体"/>
          <w:color w:val="000000"/>
          <w:sz w:val="24"/>
          <w:szCs w:val="24"/>
        </w:rPr>
      </w:pPr>
      <w:r>
        <w:rPr>
          <w:rFonts w:hint="eastAsia" w:ascii="宋体" w:hAnsi="宋体" w:eastAsia="宋体" w:cs="宋体"/>
          <w:color w:val="000000"/>
          <w:sz w:val="24"/>
          <w:szCs w:val="24"/>
        </w:rPr>
        <w:t>（5）评审方法与评审标准</w:t>
      </w:r>
    </w:p>
    <w:p w14:paraId="6DD196B9">
      <w:pPr>
        <w:pageBreakBefore w:val="0"/>
        <w:kinsoku/>
        <w:wordWrap/>
        <w:overflowPunct/>
        <w:topLinePunct w:val="0"/>
        <w:autoSpaceDE/>
        <w:autoSpaceDN/>
        <w:bidi w:val="0"/>
        <w:adjustRightInd/>
        <w:snapToGrid/>
        <w:spacing w:line="440" w:lineRule="exact"/>
        <w:ind w:firstLine="650"/>
        <w:rPr>
          <w:rFonts w:hint="eastAsia" w:ascii="宋体" w:hAnsi="宋体" w:eastAsia="宋体" w:cs="宋体"/>
          <w:color w:val="000000"/>
          <w:sz w:val="24"/>
          <w:szCs w:val="24"/>
        </w:rPr>
      </w:pPr>
      <w:r>
        <w:rPr>
          <w:rFonts w:hint="eastAsia" w:ascii="宋体" w:hAnsi="宋体" w:eastAsia="宋体" w:cs="宋体"/>
          <w:color w:val="000000"/>
          <w:sz w:val="24"/>
          <w:szCs w:val="24"/>
        </w:rPr>
        <w:t>（6）磋商响应文件格式</w:t>
      </w:r>
    </w:p>
    <w:p w14:paraId="0F28D514">
      <w:pPr>
        <w:pageBreakBefore w:val="0"/>
        <w:kinsoku/>
        <w:wordWrap/>
        <w:overflowPunct/>
        <w:topLinePunct w:val="0"/>
        <w:autoSpaceDE/>
        <w:autoSpaceDN/>
        <w:bidi w:val="0"/>
        <w:adjustRightInd/>
        <w:snapToGrid/>
        <w:spacing w:line="440" w:lineRule="exact"/>
        <w:ind w:firstLine="787"/>
        <w:rPr>
          <w:rFonts w:hint="eastAsia" w:ascii="宋体" w:hAnsi="宋体" w:eastAsia="宋体" w:cs="宋体"/>
          <w:sz w:val="24"/>
          <w:szCs w:val="24"/>
        </w:rPr>
      </w:pPr>
      <w:r>
        <w:rPr>
          <w:rFonts w:hint="eastAsia" w:ascii="宋体" w:hAnsi="宋体" w:eastAsia="宋体" w:cs="宋体"/>
          <w:color w:val="000000"/>
          <w:sz w:val="24"/>
          <w:szCs w:val="24"/>
        </w:rPr>
        <w:t>请仔细检查磋商文件是否齐全，如有缺漏请立即与代理机构联系解决。</w:t>
      </w:r>
    </w:p>
    <w:p w14:paraId="7E5D9C13">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9955CDD">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6.3磋商文件及其更正事项如不是直接从指定媒体地址下载获得的，采购人或代理机构对磋商文件及其补遗的真实性、完整性不承担任何责任。</w:t>
      </w:r>
    </w:p>
    <w:p w14:paraId="074042B9">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7、磋商文件的澄清、修改</w:t>
      </w:r>
    </w:p>
    <w:p w14:paraId="727DF440">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7.1出于实际需要或澄清供应商问题的情况下，代理机构可对已发出的磋商文件进行必要的澄清或者修改，并将在指定媒体上发布。各供应商应在投标截止时间前关注苏州市政府采购网“补充通知”栏，按规定获取相关信息内容，否则其投标风险由供应商承担。</w:t>
      </w:r>
    </w:p>
    <w:p w14:paraId="36CD706B">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7.2代理机构有权按照法定的要求顺延投标截止时间和开标时间。</w:t>
      </w:r>
    </w:p>
    <w:p w14:paraId="5FE9475A">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7.3有关澄清或者修改的内容将作为磋商文件的组成部分，对所有供应商具有约束力。</w:t>
      </w:r>
    </w:p>
    <w:p w14:paraId="3820DBB4">
      <w:pPr>
        <w:keepNext/>
        <w:keepLines/>
        <w:pageBreakBefore w:val="0"/>
        <w:kinsoku/>
        <w:wordWrap/>
        <w:overflowPunct/>
        <w:topLinePunct w:val="0"/>
        <w:autoSpaceDE/>
        <w:autoSpaceDN/>
        <w:bidi w:val="0"/>
        <w:adjustRightInd/>
        <w:snapToGrid/>
        <w:spacing w:line="440" w:lineRule="exact"/>
        <w:outlineLvl w:val="2"/>
        <w:rPr>
          <w:rFonts w:hint="eastAsia" w:ascii="宋体" w:hAnsi="宋体" w:eastAsia="宋体" w:cs="宋体"/>
          <w:b/>
          <w:bCs/>
          <w:color w:val="000000"/>
          <w:sz w:val="32"/>
          <w:szCs w:val="32"/>
        </w:rPr>
      </w:pPr>
      <w:bookmarkStart w:id="14" w:name="_Toc7182"/>
      <w:bookmarkStart w:id="15" w:name="_Toc159312650"/>
      <w:bookmarkStart w:id="16" w:name="_Toc15392"/>
      <w:r>
        <w:rPr>
          <w:rFonts w:hint="eastAsia" w:ascii="宋体" w:hAnsi="宋体" w:eastAsia="宋体" w:cs="宋体"/>
          <w:b/>
          <w:bCs/>
          <w:color w:val="000000"/>
          <w:sz w:val="32"/>
          <w:szCs w:val="32"/>
        </w:rPr>
        <w:t>三、响应文件的编制</w:t>
      </w:r>
      <w:bookmarkEnd w:id="14"/>
      <w:bookmarkEnd w:id="15"/>
      <w:bookmarkEnd w:id="16"/>
    </w:p>
    <w:p w14:paraId="1491E09C">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8、响应文件的语言及度量衡单位</w:t>
      </w:r>
    </w:p>
    <w:p w14:paraId="212A7242">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sz w:val="24"/>
          <w:szCs w:val="24"/>
        </w:rPr>
      </w:pPr>
      <w:r>
        <w:rPr>
          <w:rFonts w:hint="eastAsia" w:ascii="宋体" w:hAnsi="宋体" w:eastAsia="宋体" w:cs="宋体"/>
          <w:color w:val="000000"/>
          <w:sz w:val="24"/>
          <w:szCs w:val="24"/>
        </w:rPr>
        <w:t>8.1供应商提交的响应文件以及供应商与代理机构就有关磋商的所有来往通知、函件和文件均应使用</w:t>
      </w:r>
      <w:r>
        <w:rPr>
          <w:rFonts w:hint="eastAsia" w:ascii="宋体" w:hAnsi="宋体" w:eastAsia="宋体" w:cs="宋体"/>
          <w:b/>
          <w:bCs/>
          <w:color w:val="000000"/>
          <w:sz w:val="24"/>
          <w:szCs w:val="24"/>
        </w:rPr>
        <w:t>简体中文</w:t>
      </w:r>
      <w:r>
        <w:rPr>
          <w:rFonts w:hint="eastAsia" w:ascii="宋体" w:hAnsi="宋体" w:eastAsia="宋体" w:cs="宋体"/>
          <w:color w:val="000000"/>
          <w:sz w:val="24"/>
          <w:szCs w:val="24"/>
        </w:rPr>
        <w:t>。</w:t>
      </w:r>
    </w:p>
    <w:p w14:paraId="58DA7AC8">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8.2除技术性能另有规定外，响应文件所使用的度量衡单位，均须采用国家法定计量单位。</w:t>
      </w:r>
    </w:p>
    <w:p w14:paraId="2FF5EF9C">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9、响应文件构成</w:t>
      </w:r>
    </w:p>
    <w:p w14:paraId="31E5248C">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1"/>
        </w:rPr>
      </w:pPr>
      <w:r>
        <w:rPr>
          <w:rFonts w:hint="eastAsia" w:ascii="宋体" w:hAnsi="宋体" w:eastAsia="宋体" w:cs="宋体"/>
          <w:color w:val="000000"/>
          <w:sz w:val="24"/>
          <w:szCs w:val="24"/>
        </w:rPr>
        <w:t>9.1供应商编写的响应文件应包括资格证明文件、报价一览表、投入费用明细表、磋商响应函、</w:t>
      </w:r>
      <w:r>
        <w:rPr>
          <w:rFonts w:hint="eastAsia" w:ascii="宋体" w:hAnsi="宋体" w:eastAsia="宋体" w:cs="宋体"/>
          <w:sz w:val="24"/>
          <w:szCs w:val="24"/>
        </w:rPr>
        <w:t>服务（或商务）要求响应及偏离表</w:t>
      </w:r>
      <w:r>
        <w:rPr>
          <w:rFonts w:hint="eastAsia" w:ascii="宋体" w:hAnsi="宋体" w:eastAsia="宋体" w:cs="宋体"/>
          <w:color w:val="000000"/>
          <w:sz w:val="24"/>
          <w:szCs w:val="21"/>
        </w:rPr>
        <w:t>等部分。</w:t>
      </w:r>
    </w:p>
    <w:p w14:paraId="5DC0E4F7">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9.2如标书制作工具中格式和内容与指定媒体发布的磋商文件不一致，请以指定媒体发布的磋商文件为准。</w:t>
      </w:r>
    </w:p>
    <w:p w14:paraId="344B5F10">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10、证明磋商响应标的符合磋商文件规定的文件</w:t>
      </w:r>
    </w:p>
    <w:p w14:paraId="4A3355CD">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10.1供应商应按照磋商文件要求提交证明文件，证明其及磋商响应标的符合磋商文件规定。</w:t>
      </w:r>
    </w:p>
    <w:p w14:paraId="0637DE22">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10.2磋商文件对证明文件无明确形式要求的，证明文件可以以文字资料、图纸和数据等形式提交。</w:t>
      </w:r>
    </w:p>
    <w:p w14:paraId="6C6F3589">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rPr>
        <w:t>11、磋商响应函</w:t>
      </w:r>
      <w:r>
        <w:rPr>
          <w:rFonts w:hint="eastAsia" w:ascii="宋体" w:hAnsi="宋体" w:eastAsia="宋体" w:cs="宋体"/>
          <w:b/>
          <w:color w:val="000000"/>
          <w:sz w:val="28"/>
          <w:szCs w:val="28"/>
          <w:lang w:eastAsia="zh-CN"/>
        </w:rPr>
        <w:t>、</w:t>
      </w:r>
      <w:r>
        <w:rPr>
          <w:rFonts w:hint="eastAsia" w:ascii="宋体" w:hAnsi="宋体" w:eastAsia="宋体" w:cs="宋体"/>
          <w:b/>
          <w:color w:val="000000"/>
          <w:sz w:val="28"/>
          <w:szCs w:val="28"/>
        </w:rPr>
        <w:t>报价一览表</w:t>
      </w:r>
      <w:r>
        <w:rPr>
          <w:rFonts w:hint="eastAsia" w:ascii="宋体" w:hAnsi="宋体" w:eastAsia="宋体" w:cs="宋体"/>
          <w:b/>
          <w:color w:val="000000"/>
          <w:sz w:val="28"/>
          <w:szCs w:val="28"/>
          <w:lang w:val="en-US" w:eastAsia="zh-CN"/>
        </w:rPr>
        <w:t>和投入费用明细表</w:t>
      </w:r>
    </w:p>
    <w:p w14:paraId="3B908A03">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11.1供应商应按照磋商文件中提供的格式完整、正确填写磋商响应函、报价一览表和投入费用明细表。</w:t>
      </w:r>
    </w:p>
    <w:p w14:paraId="781BBDE2">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12、服务（或商务）要求响应及偏离表</w:t>
      </w:r>
    </w:p>
    <w:p w14:paraId="39A3E077">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12.1供应商需对磋商文件中的服务要求与商务要求逐项作出响应或偏离，并说明原因。</w:t>
      </w:r>
    </w:p>
    <w:p w14:paraId="1FA8886B">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rPr>
        <w:t>12.2</w:t>
      </w:r>
      <w:r>
        <w:rPr>
          <w:rFonts w:hint="eastAsia" w:ascii="宋体" w:hAnsi="宋体" w:eastAsia="宋体" w:cs="宋体"/>
          <w:color w:val="000000"/>
          <w:sz w:val="24"/>
          <w:szCs w:val="24"/>
          <w:lang w:val="zh-CN"/>
        </w:rPr>
        <w:t>供应商需按照磋商文件要求，在响应文件中提供与服务要求和商务要求相关的证明材料。</w:t>
      </w:r>
    </w:p>
    <w:p w14:paraId="62A1D0FE">
      <w:pPr>
        <w:keepNext/>
        <w:keepLines/>
        <w:pageBreakBefore w:val="0"/>
        <w:kinsoku/>
        <w:wordWrap/>
        <w:overflowPunct/>
        <w:topLinePunct w:val="0"/>
        <w:autoSpaceDE/>
        <w:autoSpaceDN/>
        <w:bidi w:val="0"/>
        <w:adjustRightInd/>
        <w:snapToGrid/>
        <w:spacing w:line="440" w:lineRule="exact"/>
        <w:ind w:firstLine="141"/>
        <w:rPr>
          <w:rFonts w:hint="eastAsia" w:ascii="宋体" w:hAnsi="宋体" w:eastAsia="宋体" w:cs="宋体"/>
          <w:b/>
          <w:color w:val="000000"/>
          <w:sz w:val="28"/>
          <w:szCs w:val="28"/>
        </w:rPr>
      </w:pPr>
      <w:r>
        <w:rPr>
          <w:rFonts w:hint="eastAsia" w:ascii="宋体" w:hAnsi="宋体" w:eastAsia="宋体" w:cs="宋体"/>
          <w:b/>
          <w:color w:val="000000"/>
          <w:sz w:val="28"/>
          <w:szCs w:val="28"/>
        </w:rPr>
        <w:t>13、项目实施方案、人员情况、业绩情况及其他</w:t>
      </w:r>
    </w:p>
    <w:p w14:paraId="1F0D5ABA">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13.1供应商需根据磋商文件要求提供有关项目实施方案。</w:t>
      </w:r>
    </w:p>
    <w:p w14:paraId="3F26928A">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13.2供应商需根据磋商文件要求提供</w:t>
      </w:r>
      <w:r>
        <w:rPr>
          <w:rFonts w:hint="eastAsia" w:ascii="宋体" w:hAnsi="宋体" w:eastAsia="宋体" w:cs="宋体"/>
          <w:color w:val="000000"/>
          <w:sz w:val="24"/>
        </w:rPr>
        <w:t>有关人员配备情况</w:t>
      </w:r>
      <w:r>
        <w:rPr>
          <w:rFonts w:hint="eastAsia" w:ascii="宋体" w:hAnsi="宋体" w:eastAsia="宋体" w:cs="宋体"/>
          <w:color w:val="000000"/>
          <w:sz w:val="24"/>
          <w:szCs w:val="24"/>
        </w:rPr>
        <w:t>等。</w:t>
      </w:r>
    </w:p>
    <w:p w14:paraId="7EB8F3E4">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13.3供应商需根据磋商文件要求提供实施的类似项目业绩情况。</w:t>
      </w:r>
      <w:bookmarkStart w:id="17" w:name="_Toc49090510"/>
      <w:bookmarkEnd w:id="17"/>
      <w:bookmarkStart w:id="18" w:name="_Toc14577359"/>
      <w:bookmarkEnd w:id="18"/>
    </w:p>
    <w:p w14:paraId="35E917FE">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14、磋商有效期</w:t>
      </w:r>
    </w:p>
    <w:p w14:paraId="34515BF9">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sz w:val="24"/>
          <w:szCs w:val="24"/>
        </w:rPr>
      </w:pPr>
      <w:r>
        <w:rPr>
          <w:rFonts w:hint="eastAsia" w:ascii="宋体" w:hAnsi="宋体" w:eastAsia="宋体" w:cs="宋体"/>
          <w:color w:val="000000"/>
          <w:sz w:val="24"/>
          <w:szCs w:val="24"/>
        </w:rPr>
        <w:t>14.1磋商有效期为代理机构规定的提交响应文件截止之日后</w:t>
      </w:r>
      <w:r>
        <w:rPr>
          <w:rFonts w:hint="eastAsia" w:ascii="宋体" w:hAnsi="宋体" w:eastAsia="宋体" w:cs="宋体"/>
          <w:b/>
          <w:bCs/>
          <w:color w:val="000000"/>
          <w:sz w:val="24"/>
          <w:szCs w:val="24"/>
          <w:u w:val="single"/>
        </w:rPr>
        <w:t>六十（60）天</w:t>
      </w:r>
      <w:r>
        <w:rPr>
          <w:rFonts w:hint="eastAsia" w:ascii="宋体" w:hAnsi="宋体" w:eastAsia="宋体" w:cs="宋体"/>
          <w:color w:val="000000"/>
          <w:sz w:val="24"/>
          <w:szCs w:val="24"/>
        </w:rPr>
        <w:t>。磋商有效期比规定短的将被视为非实质性响应磋商文件而予以拒绝。</w:t>
      </w:r>
    </w:p>
    <w:p w14:paraId="252ADBA6">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15、磋商有效期的延长</w:t>
      </w:r>
    </w:p>
    <w:p w14:paraId="6D21E056">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2DBD675A">
      <w:pPr>
        <w:keepNext/>
        <w:keepLines/>
        <w:pageBreakBefore w:val="0"/>
        <w:kinsoku/>
        <w:wordWrap/>
        <w:overflowPunct/>
        <w:topLinePunct w:val="0"/>
        <w:autoSpaceDE/>
        <w:autoSpaceDN/>
        <w:bidi w:val="0"/>
        <w:adjustRightInd/>
        <w:snapToGrid/>
        <w:spacing w:line="440" w:lineRule="exact"/>
        <w:outlineLvl w:val="2"/>
        <w:rPr>
          <w:rFonts w:hint="eastAsia" w:ascii="宋体" w:hAnsi="宋体" w:eastAsia="宋体" w:cs="宋体"/>
          <w:b/>
          <w:bCs/>
          <w:color w:val="000000"/>
          <w:sz w:val="32"/>
          <w:szCs w:val="32"/>
        </w:rPr>
      </w:pPr>
      <w:bookmarkStart w:id="19" w:name="_Toc159312651"/>
      <w:bookmarkStart w:id="20" w:name="_Toc13134"/>
      <w:bookmarkStart w:id="21" w:name="_Toc13237"/>
      <w:r>
        <w:rPr>
          <w:rFonts w:hint="eastAsia" w:ascii="宋体" w:hAnsi="宋体" w:eastAsia="宋体" w:cs="宋体"/>
          <w:b/>
          <w:bCs/>
          <w:color w:val="000000"/>
          <w:sz w:val="32"/>
          <w:szCs w:val="32"/>
        </w:rPr>
        <w:t>四、响应文件的递交</w:t>
      </w:r>
      <w:bookmarkEnd w:id="19"/>
      <w:bookmarkEnd w:id="20"/>
      <w:bookmarkEnd w:id="21"/>
    </w:p>
    <w:p w14:paraId="36B9CECF">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16、电子磋商响应文件的递交</w:t>
      </w:r>
    </w:p>
    <w:p w14:paraId="7BD4C78F">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16.1供应商应当按照《苏采云系统供应商操作手册》规定，在提交响应文件截止时间前制作并上传电子响应文件。</w:t>
      </w:r>
    </w:p>
    <w:p w14:paraId="6BBB915D">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17、提交响应文件截止时间</w:t>
      </w:r>
    </w:p>
    <w:p w14:paraId="0A0CEDB3">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
          <w:sz w:val="24"/>
          <w:szCs w:val="24"/>
        </w:rPr>
      </w:pPr>
      <w:r>
        <w:rPr>
          <w:rFonts w:hint="eastAsia" w:ascii="宋体" w:hAnsi="宋体" w:eastAsia="宋体" w:cs="宋体"/>
          <w:b/>
          <w:color w:val="000000"/>
          <w:sz w:val="24"/>
          <w:szCs w:val="24"/>
        </w:rPr>
        <w:t>17.1供应商上传电子响应文件的时间不得迟于磋商公告中规定的提交响应文件截止时间。</w:t>
      </w:r>
    </w:p>
    <w:p w14:paraId="284AA89B">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sz w:val="24"/>
          <w:szCs w:val="24"/>
        </w:rPr>
      </w:pPr>
      <w:r>
        <w:rPr>
          <w:rFonts w:hint="eastAsia" w:ascii="宋体" w:hAnsi="宋体" w:eastAsia="宋体" w:cs="宋体"/>
          <w:color w:val="000000"/>
          <w:sz w:val="24"/>
          <w:szCs w:val="24"/>
        </w:rPr>
        <w:t>供应商应充分考虑到网络环境、网络带宽等风险因素，如因供应商自身原因造成的电子响应文件上传不成功的作无效响应处理。</w:t>
      </w:r>
    </w:p>
    <w:p w14:paraId="521DC6DE">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17.2代理机构可以按照规定，通过修改磋商文件酌情延长提交响应文件截止日期，在此情况下，供应商的所有权利和义务以及供应商受制的截止日期均应以延长后新的截止日期为准。</w:t>
      </w:r>
    </w:p>
    <w:p w14:paraId="1E0C3299">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18、响应文件的拒收</w:t>
      </w:r>
    </w:p>
    <w:p w14:paraId="018C95F9">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18.1代理机构拒绝接收在其规定的提交响应文件截止时间后上传的任何电子响应文件。</w:t>
      </w:r>
    </w:p>
    <w:p w14:paraId="28806BC2">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19、响应文件的撤回和修改</w:t>
      </w:r>
    </w:p>
    <w:p w14:paraId="4644E7FE">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19.1响应文件的撤回</w:t>
      </w:r>
    </w:p>
    <w:p w14:paraId="591D9B16">
      <w:pPr>
        <w:pageBreakBefore w:val="0"/>
        <w:kinsoku/>
        <w:wordWrap/>
        <w:overflowPunct/>
        <w:topLinePunct w:val="0"/>
        <w:autoSpaceDE/>
        <w:autoSpaceDN/>
        <w:bidi w:val="0"/>
        <w:adjustRightInd/>
        <w:snapToGrid/>
        <w:spacing w:line="440" w:lineRule="exact"/>
        <w:ind w:firstLine="787"/>
        <w:rPr>
          <w:rFonts w:hint="eastAsia" w:ascii="宋体" w:hAnsi="宋体" w:eastAsia="宋体" w:cs="宋体"/>
          <w:sz w:val="24"/>
          <w:szCs w:val="24"/>
        </w:rPr>
      </w:pPr>
      <w:r>
        <w:rPr>
          <w:rFonts w:hint="eastAsia" w:ascii="宋体" w:hAnsi="宋体" w:eastAsia="宋体" w:cs="宋体"/>
          <w:color w:val="000000"/>
          <w:sz w:val="24"/>
          <w:szCs w:val="24"/>
        </w:rPr>
        <w:t>19.1.1电子响应文件的撤回</w:t>
      </w:r>
    </w:p>
    <w:p w14:paraId="4D9126A5">
      <w:pPr>
        <w:pageBreakBefore w:val="0"/>
        <w:kinsoku/>
        <w:wordWrap/>
        <w:overflowPunct/>
        <w:topLinePunct w:val="0"/>
        <w:autoSpaceDE/>
        <w:autoSpaceDN/>
        <w:bidi w:val="0"/>
        <w:adjustRightInd/>
        <w:snapToGrid/>
        <w:spacing w:line="440" w:lineRule="exact"/>
        <w:ind w:firstLine="787"/>
        <w:rPr>
          <w:rFonts w:hint="eastAsia" w:ascii="宋体" w:hAnsi="宋体" w:eastAsia="宋体" w:cs="宋体"/>
          <w:sz w:val="24"/>
          <w:szCs w:val="24"/>
        </w:rPr>
      </w:pPr>
      <w:r>
        <w:rPr>
          <w:rFonts w:hint="eastAsia" w:ascii="宋体" w:hAnsi="宋体" w:eastAsia="宋体" w:cs="宋体"/>
          <w:color w:val="000000"/>
          <w:sz w:val="24"/>
          <w:szCs w:val="24"/>
        </w:rPr>
        <w:t>供应商可在提交响应文件截止时间前，撤回其电子响应文件，具体操作方法见《</w:t>
      </w:r>
      <w:r>
        <w:rPr>
          <w:rFonts w:hint="eastAsia" w:ascii="宋体" w:hAnsi="宋体" w:eastAsia="宋体" w:cs="宋体"/>
          <w:sz w:val="24"/>
          <w:szCs w:val="24"/>
        </w:rPr>
        <w:t>苏采云系统供应商操作手册</w:t>
      </w:r>
      <w:r>
        <w:rPr>
          <w:rFonts w:hint="eastAsia" w:ascii="宋体" w:hAnsi="宋体" w:eastAsia="宋体" w:cs="宋体"/>
          <w:color w:val="000000"/>
          <w:sz w:val="24"/>
          <w:szCs w:val="24"/>
        </w:rPr>
        <w:t>》。</w:t>
      </w:r>
    </w:p>
    <w:p w14:paraId="397A86E0">
      <w:pPr>
        <w:pageBreakBefore w:val="0"/>
        <w:kinsoku/>
        <w:wordWrap/>
        <w:overflowPunct/>
        <w:topLinePunct w:val="0"/>
        <w:autoSpaceDE/>
        <w:autoSpaceDN/>
        <w:bidi w:val="0"/>
        <w:adjustRightInd/>
        <w:snapToGrid/>
        <w:spacing w:line="440" w:lineRule="exact"/>
        <w:ind w:firstLine="787"/>
        <w:rPr>
          <w:rFonts w:hint="eastAsia" w:ascii="宋体" w:hAnsi="宋体" w:eastAsia="宋体" w:cs="宋体"/>
          <w:color w:val="000000"/>
          <w:sz w:val="24"/>
          <w:szCs w:val="24"/>
        </w:rPr>
      </w:pPr>
      <w:r>
        <w:rPr>
          <w:rFonts w:hint="eastAsia" w:ascii="宋体" w:hAnsi="宋体" w:eastAsia="宋体" w:cs="宋体"/>
          <w:color w:val="000000"/>
          <w:sz w:val="24"/>
          <w:szCs w:val="24"/>
        </w:rPr>
        <w:t>19.1.2供应商撤回电子响应文件，则认为其不再参与本项目磋商活动。</w:t>
      </w:r>
    </w:p>
    <w:p w14:paraId="2E76829B">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19.2响应文件的修改</w:t>
      </w:r>
    </w:p>
    <w:p w14:paraId="46B777CF">
      <w:pPr>
        <w:pageBreakBefore w:val="0"/>
        <w:kinsoku/>
        <w:wordWrap/>
        <w:overflowPunct/>
        <w:topLinePunct w:val="0"/>
        <w:autoSpaceDE/>
        <w:autoSpaceDN/>
        <w:bidi w:val="0"/>
        <w:adjustRightInd/>
        <w:snapToGrid/>
        <w:spacing w:line="440" w:lineRule="exact"/>
        <w:ind w:firstLine="787"/>
        <w:rPr>
          <w:rFonts w:hint="eastAsia" w:ascii="宋体" w:hAnsi="宋体" w:eastAsia="宋体" w:cs="宋体"/>
          <w:sz w:val="24"/>
          <w:szCs w:val="24"/>
        </w:rPr>
      </w:pPr>
      <w:r>
        <w:rPr>
          <w:rFonts w:hint="eastAsia" w:ascii="宋体" w:hAnsi="宋体" w:eastAsia="宋体" w:cs="宋体"/>
          <w:color w:val="000000"/>
          <w:sz w:val="24"/>
          <w:szCs w:val="24"/>
        </w:rPr>
        <w:t>供应商可在提交响应文件截止时间前，对其电子响应文件进行修改，具体操作方法见《</w:t>
      </w:r>
      <w:r>
        <w:rPr>
          <w:rFonts w:hint="eastAsia" w:ascii="宋体" w:hAnsi="宋体" w:eastAsia="宋体" w:cs="宋体"/>
          <w:sz w:val="24"/>
          <w:szCs w:val="24"/>
        </w:rPr>
        <w:t>苏采云系统供应商操作手册</w:t>
      </w:r>
      <w:r>
        <w:rPr>
          <w:rFonts w:hint="eastAsia" w:ascii="宋体" w:hAnsi="宋体" w:eastAsia="宋体" w:cs="宋体"/>
          <w:color w:val="000000"/>
          <w:sz w:val="24"/>
          <w:szCs w:val="24"/>
        </w:rPr>
        <w:t>》。</w:t>
      </w:r>
    </w:p>
    <w:p w14:paraId="7673B04D">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19.3在提交响应文件截止时间之后，供应商不得对其电子响应文件作任何修改。</w:t>
      </w:r>
    </w:p>
    <w:p w14:paraId="16E8DC8A">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19.4在提交响应文件截止时间至磋商文件中规定的磋商有效期满之间的这段时间内，供应商不得撤回其响应文件。</w:t>
      </w:r>
    </w:p>
    <w:p w14:paraId="6DCC5F3B">
      <w:pPr>
        <w:keepNext/>
        <w:keepLines/>
        <w:pageBreakBefore w:val="0"/>
        <w:kinsoku/>
        <w:wordWrap/>
        <w:overflowPunct/>
        <w:topLinePunct w:val="0"/>
        <w:autoSpaceDE/>
        <w:autoSpaceDN/>
        <w:bidi w:val="0"/>
        <w:adjustRightInd/>
        <w:snapToGrid/>
        <w:spacing w:line="440" w:lineRule="exact"/>
        <w:outlineLvl w:val="2"/>
        <w:rPr>
          <w:rFonts w:hint="eastAsia" w:ascii="宋体" w:hAnsi="宋体" w:eastAsia="宋体" w:cs="宋体"/>
          <w:b/>
          <w:bCs/>
          <w:color w:val="000000"/>
          <w:sz w:val="32"/>
          <w:szCs w:val="32"/>
        </w:rPr>
      </w:pPr>
      <w:bookmarkStart w:id="22" w:name="_Toc18849"/>
      <w:bookmarkStart w:id="23" w:name="_Toc32271"/>
      <w:bookmarkStart w:id="24" w:name="_Toc159312652"/>
      <w:r>
        <w:rPr>
          <w:rFonts w:hint="eastAsia" w:ascii="宋体" w:hAnsi="宋体" w:eastAsia="宋体" w:cs="宋体"/>
          <w:b/>
          <w:bCs/>
          <w:color w:val="000000"/>
          <w:sz w:val="32"/>
          <w:szCs w:val="32"/>
        </w:rPr>
        <w:t>五、磋商与评审</w:t>
      </w:r>
      <w:bookmarkEnd w:id="22"/>
      <w:bookmarkEnd w:id="23"/>
      <w:bookmarkEnd w:id="24"/>
    </w:p>
    <w:p w14:paraId="7881BD41">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20、开标</w:t>
      </w:r>
    </w:p>
    <w:p w14:paraId="4644478E">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20.1代理机构将在磋商公告中规定的时间和地点组织公开开标。供应商应当按照《苏采云系统供应商操作手册》规定，参加开标活动和在苏采云系统规定的时间内对响应文件进行解密。</w:t>
      </w:r>
    </w:p>
    <w:p w14:paraId="4380863A">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20.2开标仪式由代理机构组织。苏采云系统将自动对项目进行开标，并宣布各供应商名称。</w:t>
      </w:r>
    </w:p>
    <w:p w14:paraId="7491ECD0">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20.3供应商在开标过程中涉及到的响应文件解密、开标结果确认等工作，应按照《苏采云系统供应商操作手册》规定执行。</w:t>
      </w:r>
    </w:p>
    <w:p w14:paraId="54CF2592">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20.4供应商如果对开标过程和开标记录有疑义，应当根据《操作手册》规定提出。</w:t>
      </w:r>
    </w:p>
    <w:p w14:paraId="19263F9F">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21、磋商小组</w:t>
      </w:r>
    </w:p>
    <w:p w14:paraId="3FC815B2">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21.1代理机构依法组建磋商小组与供应商就采购具体事宜分别进行磋商。</w:t>
      </w:r>
    </w:p>
    <w:p w14:paraId="78E5AD7E">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21.2磋商小组由采购人代表和评审专家共三人以上单数组成。</w:t>
      </w:r>
    </w:p>
    <w:p w14:paraId="05139645">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21.3磋商小组负责对响应文件的有效性、完整性和响应程度进行审查，对提交最后报价的供应商的响应文件和最后报价进行综合评分，并推荐成交候选供应商。</w:t>
      </w:r>
    </w:p>
    <w:p w14:paraId="790FEF56">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21.4磋商小组将对供应商的商业、技术秘密等予以保密。</w:t>
      </w:r>
    </w:p>
    <w:p w14:paraId="60EAB268">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22、评审过程的保密与公正</w:t>
      </w:r>
    </w:p>
    <w:p w14:paraId="4CC5664F">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22.1磋商小组、采购人和代理机构工作人员、相关监督人员等与评审工作有关的人员，对评审情况以及在评审过程中获悉的国家秘密、商业秘密负有保密责任。</w:t>
      </w:r>
    </w:p>
    <w:p w14:paraId="510CF0BA">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22.2在评审过程中，供应商不得以任何行为影响磋商评审过程，否则其响应文件将被作为无效响应文件。</w:t>
      </w:r>
    </w:p>
    <w:p w14:paraId="18CB2592">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22.3在项目评审期间，代理机构将设专门人员与供应商联系。</w:t>
      </w:r>
    </w:p>
    <w:p w14:paraId="31FAA270">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22.4代理机构和磋商小组不向未成交的供应商解释未成交原因，也不公布评审过程中的相关细节。</w:t>
      </w:r>
    </w:p>
    <w:p w14:paraId="77BFD822">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23、评审过程中</w:t>
      </w:r>
      <w:r>
        <w:rPr>
          <w:rFonts w:hint="eastAsia" w:ascii="宋体" w:hAnsi="宋体" w:eastAsia="宋体" w:cs="宋体"/>
          <w:b/>
          <w:color w:val="000000"/>
          <w:sz w:val="28"/>
          <w:szCs w:val="28"/>
          <w:lang w:eastAsia="zh-CN"/>
        </w:rPr>
        <w:t>的</w:t>
      </w:r>
      <w:r>
        <w:rPr>
          <w:rFonts w:hint="eastAsia" w:ascii="宋体" w:hAnsi="宋体" w:eastAsia="宋体" w:cs="宋体"/>
          <w:b/>
          <w:color w:val="000000"/>
          <w:sz w:val="28"/>
          <w:szCs w:val="28"/>
        </w:rPr>
        <w:t>澄清</w:t>
      </w:r>
    </w:p>
    <w:p w14:paraId="6CD3981D">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0F73E79">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磋商小组并非对每个供应商都作澄清要求。</w:t>
      </w:r>
    </w:p>
    <w:p w14:paraId="22FA5994">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90A831C">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23.3接到磋商小组澄清、说明和更正要求的供应商如未按规定做出澄清、说明和更正，其风险由供应商自行承担。</w:t>
      </w:r>
    </w:p>
    <w:p w14:paraId="28963A2C">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24、对响应文件的审查</w:t>
      </w:r>
    </w:p>
    <w:p w14:paraId="4E2E573D">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24.1响应文件审查分为资格审查和符合性审查。</w:t>
      </w:r>
    </w:p>
    <w:p w14:paraId="7EA42BD7">
      <w:pPr>
        <w:pageBreakBefore w:val="0"/>
        <w:kinsoku/>
        <w:wordWrap/>
        <w:overflowPunct/>
        <w:topLinePunct w:val="0"/>
        <w:autoSpaceDE/>
        <w:autoSpaceDN/>
        <w:bidi w:val="0"/>
        <w:adjustRightInd/>
        <w:snapToGrid/>
        <w:spacing w:line="440" w:lineRule="exact"/>
        <w:ind w:firstLine="787"/>
        <w:rPr>
          <w:rFonts w:hint="eastAsia" w:ascii="宋体" w:hAnsi="宋体" w:eastAsia="宋体" w:cs="宋体"/>
          <w:color w:val="000000"/>
          <w:sz w:val="24"/>
          <w:szCs w:val="24"/>
        </w:rPr>
      </w:pPr>
      <w:r>
        <w:rPr>
          <w:rFonts w:hint="eastAsia" w:ascii="宋体" w:hAnsi="宋体" w:eastAsia="宋体" w:cs="宋体"/>
          <w:color w:val="000000"/>
          <w:sz w:val="24"/>
          <w:szCs w:val="24"/>
        </w:rPr>
        <w:t>24.1.1资格审查：由磋商小组依据法律法规和磋商文件的规定，对响应文件中的资格证明文件进行审查，以确定供应商是否具备参加磋商的资格。</w:t>
      </w:r>
    </w:p>
    <w:p w14:paraId="3201FB32">
      <w:pPr>
        <w:pageBreakBefore w:val="0"/>
        <w:kinsoku/>
        <w:wordWrap/>
        <w:overflowPunct/>
        <w:topLinePunct w:val="0"/>
        <w:autoSpaceDE/>
        <w:autoSpaceDN/>
        <w:bidi w:val="0"/>
        <w:adjustRightInd/>
        <w:snapToGrid/>
        <w:spacing w:line="440" w:lineRule="exact"/>
        <w:ind w:firstLine="787"/>
        <w:rPr>
          <w:rFonts w:hint="eastAsia" w:ascii="宋体" w:hAnsi="宋体" w:eastAsia="宋体" w:cs="宋体"/>
          <w:color w:val="000000"/>
          <w:sz w:val="24"/>
          <w:szCs w:val="24"/>
        </w:rPr>
      </w:pPr>
      <w:r>
        <w:rPr>
          <w:rFonts w:hint="eastAsia" w:ascii="宋体" w:hAnsi="宋体" w:eastAsia="宋体" w:cs="宋体"/>
          <w:color w:val="000000"/>
          <w:sz w:val="24"/>
          <w:szCs w:val="24"/>
        </w:rPr>
        <w:t>磋商小组在进行资格审查的同时，将在“信用中国”网站（www.creditchina.gov.cn）查询供应商的信用记录，以确定供应商是否具备磋商资格，查询结果留存并归档。</w:t>
      </w:r>
    </w:p>
    <w:p w14:paraId="2A9784CB">
      <w:pPr>
        <w:pageBreakBefore w:val="0"/>
        <w:kinsoku/>
        <w:wordWrap/>
        <w:overflowPunct/>
        <w:topLinePunct w:val="0"/>
        <w:autoSpaceDE/>
        <w:autoSpaceDN/>
        <w:bidi w:val="0"/>
        <w:adjustRightInd/>
        <w:snapToGrid/>
        <w:spacing w:line="440" w:lineRule="exact"/>
        <w:ind w:firstLine="787"/>
        <w:rPr>
          <w:rFonts w:hint="eastAsia" w:ascii="宋体" w:hAnsi="宋体" w:eastAsia="宋体" w:cs="宋体"/>
          <w:color w:val="000000"/>
          <w:sz w:val="24"/>
          <w:szCs w:val="24"/>
        </w:rPr>
      </w:pPr>
      <w:r>
        <w:rPr>
          <w:rFonts w:hint="eastAsia" w:ascii="宋体" w:hAnsi="宋体" w:eastAsia="宋体" w:cs="宋体"/>
          <w:color w:val="000000"/>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553A2BB5">
      <w:pPr>
        <w:pageBreakBefore w:val="0"/>
        <w:kinsoku/>
        <w:wordWrap/>
        <w:overflowPunct/>
        <w:topLinePunct w:val="0"/>
        <w:autoSpaceDE/>
        <w:autoSpaceDN/>
        <w:bidi w:val="0"/>
        <w:adjustRightInd/>
        <w:snapToGrid/>
        <w:spacing w:line="440" w:lineRule="exact"/>
        <w:ind w:firstLine="787"/>
        <w:rPr>
          <w:rFonts w:hint="eastAsia" w:ascii="宋体" w:hAnsi="宋体" w:eastAsia="宋体" w:cs="宋体"/>
          <w:color w:val="000000"/>
          <w:sz w:val="24"/>
          <w:szCs w:val="24"/>
        </w:rPr>
      </w:pPr>
      <w:r>
        <w:rPr>
          <w:rFonts w:hint="eastAsia" w:ascii="宋体" w:hAnsi="宋体" w:eastAsia="宋体" w:cs="宋体"/>
          <w:color w:val="000000"/>
          <w:sz w:val="24"/>
          <w:szCs w:val="24"/>
        </w:rPr>
        <w:t>24.1.2符合性审查：依据磋商文件的规定，由磋商小组从响应文件的有效性、完整性和对磋商文件的响应程度进行审查，以确定是否对磋商文件的实质性要求作出响应。</w:t>
      </w:r>
    </w:p>
    <w:p w14:paraId="3F18CA09">
      <w:pPr>
        <w:pageBreakBefore w:val="0"/>
        <w:kinsoku/>
        <w:wordWrap/>
        <w:overflowPunct/>
        <w:topLinePunct w:val="0"/>
        <w:autoSpaceDE/>
        <w:autoSpaceDN/>
        <w:bidi w:val="0"/>
        <w:adjustRightInd/>
        <w:snapToGrid/>
        <w:spacing w:line="440" w:lineRule="exact"/>
        <w:ind w:firstLine="787"/>
        <w:rPr>
          <w:rFonts w:hint="eastAsia" w:ascii="宋体" w:hAnsi="宋体" w:eastAsia="宋体" w:cs="宋体"/>
          <w:color w:val="000000"/>
          <w:sz w:val="24"/>
          <w:szCs w:val="24"/>
        </w:rPr>
      </w:pPr>
      <w:r>
        <w:rPr>
          <w:rFonts w:hint="eastAsia" w:ascii="宋体" w:hAnsi="宋体" w:eastAsia="宋体" w:cs="宋体"/>
          <w:color w:val="000000"/>
          <w:sz w:val="24"/>
          <w:szCs w:val="24"/>
        </w:rPr>
        <w:t>24.1.3未通过资格审查或符合性审查的供应商，磋商小组将在苏采云系统中告知未通过资格审查或符合性审查的原因，评审结束后，磋商小组将不再告知未通过资格审查或符合性审查的原因。</w:t>
      </w:r>
    </w:p>
    <w:p w14:paraId="47AAAEDA">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24.2在详细评审之前，磋商小组将首先审查每份响应文件是否实质性响应了磋商文件的要求。实质性响应的响应文件应该是与磋商文件要求的条款、条件和规格相符，没有重大偏离或保留。</w:t>
      </w:r>
    </w:p>
    <w:p w14:paraId="35C04DB9">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2D8C06E">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24.3如果响应文件实质上没有响应磋商文件的要求，评委会将予以拒绝，供应商不得通过修改或撤销不合要求的偏离或保留而使其投标成为实质性响应的投标。</w:t>
      </w:r>
    </w:p>
    <w:p w14:paraId="4F91DBAD">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24.4评委会将对确定为实质性响应的响应文件进行进一步审核，看其是否有计算上或累加上的算术错误，修正错误的原则如下：</w:t>
      </w:r>
    </w:p>
    <w:p w14:paraId="27E8D29A">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1"/>
        </w:rPr>
      </w:pPr>
      <w:r>
        <w:rPr>
          <w:rFonts w:hint="eastAsia" w:ascii="宋体" w:hAnsi="宋体" w:eastAsia="宋体" w:cs="宋体"/>
          <w:bCs/>
          <w:color w:val="000000"/>
          <w:sz w:val="24"/>
          <w:szCs w:val="21"/>
        </w:rPr>
        <w:t>（1）响应文件中报价一览表内容与响应文件中相应内容不一致的，以报价一览表为准。</w:t>
      </w:r>
    </w:p>
    <w:p w14:paraId="30BC01D7">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1"/>
        </w:rPr>
      </w:pPr>
      <w:r>
        <w:rPr>
          <w:rFonts w:hint="eastAsia" w:ascii="宋体" w:hAnsi="宋体" w:eastAsia="宋体" w:cs="宋体"/>
          <w:bCs/>
          <w:color w:val="000000"/>
          <w:sz w:val="24"/>
          <w:szCs w:val="21"/>
        </w:rPr>
        <w:t>（2）大写金额和小写金额不一致的，以大写金额为准。</w:t>
      </w:r>
    </w:p>
    <w:p w14:paraId="6186E849">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1"/>
        </w:rPr>
      </w:pPr>
      <w:r>
        <w:rPr>
          <w:rFonts w:hint="eastAsia" w:ascii="宋体" w:hAnsi="宋体" w:eastAsia="宋体" w:cs="宋体"/>
          <w:bCs/>
          <w:color w:val="000000"/>
          <w:sz w:val="24"/>
          <w:szCs w:val="21"/>
        </w:rPr>
        <w:t>（3）单价金额小数点或者百分比有明显错位的，以报价一览表的总价为准，并修改单价。</w:t>
      </w:r>
    </w:p>
    <w:p w14:paraId="52610A46">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1"/>
        </w:rPr>
      </w:pPr>
      <w:r>
        <w:rPr>
          <w:rFonts w:hint="eastAsia" w:ascii="宋体" w:hAnsi="宋体" w:eastAsia="宋体" w:cs="宋体"/>
          <w:bCs/>
          <w:color w:val="000000"/>
          <w:sz w:val="24"/>
          <w:szCs w:val="21"/>
        </w:rPr>
        <w:t>（4）总价金额与按单价汇总金额不一致的，以单价金额计算结果为准。</w:t>
      </w:r>
    </w:p>
    <w:p w14:paraId="32C53B4A">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bCs/>
          <w:color w:val="000000"/>
          <w:sz w:val="24"/>
          <w:szCs w:val="21"/>
        </w:rPr>
      </w:pPr>
      <w:r>
        <w:rPr>
          <w:rFonts w:hint="eastAsia" w:ascii="宋体" w:hAnsi="宋体" w:eastAsia="宋体" w:cs="宋体"/>
          <w:bCs/>
          <w:color w:val="000000"/>
          <w:sz w:val="24"/>
          <w:szCs w:val="21"/>
        </w:rPr>
        <w:t>同时出现两种以上错误的，按照前款规定的顺序修正。</w:t>
      </w:r>
    </w:p>
    <w:p w14:paraId="3C94D791">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24.5评委会将按上述修正错误的方法调整响应文件中的报价价格，并通过苏采云系统告知供应商，调整后的价格应对供应商具有约束力。如果供应商不接受修正后的价格，则其投标将被拒绝。</w:t>
      </w:r>
    </w:p>
    <w:p w14:paraId="6A72DE13">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25、未实质性响应磋商文件的情形和废标条款</w:t>
      </w:r>
    </w:p>
    <w:p w14:paraId="0801843F">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25.1未实质性响应磋商文件的情形</w:t>
      </w:r>
    </w:p>
    <w:p w14:paraId="1AA55EAC">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25.1.1供应商在苏采云系统规定的时间内未成功解密电子响应文件的。</w:t>
      </w:r>
    </w:p>
    <w:p w14:paraId="37BD8F34">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25.1.2供应商未按照磋商文件要求上传电子响应文件的。</w:t>
      </w:r>
    </w:p>
    <w:p w14:paraId="63FC3C8E">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25.1.3同一供应商提交两个（含两个）以上不同的响应文件或者最后报价的。</w:t>
      </w:r>
    </w:p>
    <w:p w14:paraId="6122692E">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25.1.4供应商不具备磋商文件中规定资格要求的。</w:t>
      </w:r>
    </w:p>
    <w:p w14:paraId="0DE36A19">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25.1.5供应商的最后报价超过了采购预算</w:t>
      </w:r>
      <w:r>
        <w:rPr>
          <w:rFonts w:hint="eastAsia" w:ascii="宋体" w:hAnsi="宋体" w:eastAsia="宋体" w:cs="宋体"/>
          <w:color w:val="000000"/>
          <w:sz w:val="24"/>
        </w:rPr>
        <w:t>或最高限价的</w:t>
      </w:r>
      <w:r>
        <w:rPr>
          <w:rFonts w:hint="eastAsia" w:ascii="宋体" w:hAnsi="宋体" w:eastAsia="宋体" w:cs="宋体"/>
          <w:color w:val="000000"/>
          <w:sz w:val="24"/>
          <w:szCs w:val="24"/>
        </w:rPr>
        <w:t>。</w:t>
      </w:r>
    </w:p>
    <w:p w14:paraId="085E0647">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25.1.6未通过符合性审查的。</w:t>
      </w:r>
    </w:p>
    <w:p w14:paraId="1FCDC865">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25.1.7未通过异常低价审查的。</w:t>
      </w:r>
    </w:p>
    <w:p w14:paraId="3D4F1A6A">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25.1.</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不符合磋商文件中规定的实质性要求和条件的。</w:t>
      </w:r>
    </w:p>
    <w:p w14:paraId="4DAEF8CE">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25.1.</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C39CC84">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25.1.</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响应文件含有采购人不能接受的附加条件的。</w:t>
      </w:r>
    </w:p>
    <w:p w14:paraId="4D0D230C">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bCs/>
          <w:color w:val="000000"/>
          <w:sz w:val="24"/>
          <w:szCs w:val="24"/>
        </w:rPr>
      </w:pPr>
      <w:r>
        <w:rPr>
          <w:rFonts w:hint="eastAsia" w:ascii="宋体" w:hAnsi="宋体" w:eastAsia="宋体" w:cs="宋体"/>
          <w:bCs/>
          <w:color w:val="000000"/>
          <w:sz w:val="24"/>
          <w:szCs w:val="24"/>
        </w:rPr>
        <w:t>25.1.1</w:t>
      </w:r>
      <w:r>
        <w:rPr>
          <w:rFonts w:hint="eastAsia" w:ascii="宋体" w:hAnsi="宋体" w:eastAsia="宋体" w:cs="宋体"/>
          <w:bCs/>
          <w:color w:val="000000"/>
          <w:sz w:val="24"/>
          <w:szCs w:val="24"/>
          <w:lang w:val="en-US" w:eastAsia="zh-CN"/>
        </w:rPr>
        <w:t>1</w:t>
      </w:r>
      <w:r>
        <w:rPr>
          <w:rFonts w:hint="eastAsia" w:ascii="宋体" w:hAnsi="宋体" w:eastAsia="宋体" w:cs="宋体"/>
          <w:bCs/>
          <w:color w:val="000000"/>
          <w:sz w:val="24"/>
          <w:szCs w:val="24"/>
        </w:rPr>
        <w:t>评标委员会认为供应商的报价明显低于其他通过符合性审查供应商的报价，有可能影响产品质量或者不能诚信履约的，将通过</w:t>
      </w:r>
      <w:r>
        <w:rPr>
          <w:rFonts w:hint="eastAsia" w:ascii="宋体" w:hAnsi="宋体" w:eastAsia="宋体" w:cs="宋体"/>
          <w:color w:val="000000"/>
          <w:sz w:val="24"/>
          <w:szCs w:val="24"/>
        </w:rPr>
        <w:t>苏采云系统</w:t>
      </w:r>
      <w:r>
        <w:rPr>
          <w:rFonts w:hint="eastAsia" w:ascii="宋体" w:hAnsi="宋体" w:eastAsia="宋体" w:cs="宋体"/>
          <w:bCs/>
          <w:color w:val="000000"/>
          <w:sz w:val="24"/>
          <w:szCs w:val="24"/>
        </w:rPr>
        <w:t>要求其在合理的时间内提供说明，必要时提交相关证明材料；供应商不能证明其报价合理性的，评标委员会应当将其作为无效投标处理。</w:t>
      </w:r>
    </w:p>
    <w:p w14:paraId="42F84BC1">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25.1.1</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响应文件未按照磋商文件要求加盖CA电子公章的。</w:t>
      </w:r>
    </w:p>
    <w:p w14:paraId="632BC8DA">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25.1.1</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未实质性响应磋商文件的响应文件按无效响应处理。</w:t>
      </w:r>
    </w:p>
    <w:p w14:paraId="5D426EED">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25.1.1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如果响应文件实质上没有响应磋商文件的要求，磋商小组将予以拒绝，供应商不得通过修改或撤销不合要求的偏离或保留而使其成为实质性响应的文件。</w:t>
      </w:r>
    </w:p>
    <w:p w14:paraId="16FDB334">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25.1.1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供应商在项目评审全过程中应保持通讯畅通，并安排专人与代理机构及磋商小组联系。</w:t>
      </w:r>
    </w:p>
    <w:p w14:paraId="30736490">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25.2废标条款</w:t>
      </w:r>
    </w:p>
    <w:p w14:paraId="4AC12EDC">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25.2.1符合专业条件的供应商或者对磋商文件作实质响应的供应商不足三家的。</w:t>
      </w:r>
    </w:p>
    <w:p w14:paraId="3F89645D">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25.2.2出现影响采购公正的违法、违规行为的。</w:t>
      </w:r>
    </w:p>
    <w:p w14:paraId="6633E1BB">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25.2.3因重大变故，采购任务取消的。</w:t>
      </w:r>
    </w:p>
    <w:p w14:paraId="00BCB1A1">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25.2.4评标委员会认定磋商文件存在歧义、重大缺陷导致评审工作无法进行。</w:t>
      </w:r>
    </w:p>
    <w:p w14:paraId="534E5A2D">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25.2.5因苏采云</w:t>
      </w:r>
      <w:r>
        <w:rPr>
          <w:rFonts w:hint="eastAsia" w:ascii="宋体" w:hAnsi="宋体" w:eastAsia="宋体" w:cs="宋体"/>
          <w:color w:val="000000"/>
          <w:sz w:val="24"/>
          <w:szCs w:val="24"/>
          <w:lang w:eastAsia="zh-CN"/>
        </w:rPr>
        <w:t>系统故障</w:t>
      </w:r>
      <w:r>
        <w:rPr>
          <w:rFonts w:hint="eastAsia" w:ascii="宋体" w:hAnsi="宋体" w:eastAsia="宋体" w:cs="宋体"/>
          <w:color w:val="000000"/>
          <w:sz w:val="24"/>
          <w:szCs w:val="24"/>
        </w:rPr>
        <w:t>原因造成开标不成功的。</w:t>
      </w:r>
    </w:p>
    <w:p w14:paraId="6B77B10E">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25.2.6</w:t>
      </w:r>
      <w:r>
        <w:rPr>
          <w:rFonts w:hint="eastAsia" w:ascii="宋体" w:hAnsi="宋体" w:eastAsia="宋体" w:cs="宋体"/>
          <w:color w:val="000000"/>
          <w:sz w:val="24"/>
        </w:rPr>
        <w:t>响应文件接受截止时间结束后参加磋商的供应商不足</w:t>
      </w:r>
      <w:r>
        <w:rPr>
          <w:rFonts w:hint="eastAsia" w:ascii="宋体" w:hAnsi="宋体" w:eastAsia="宋体" w:cs="宋体"/>
          <w:color w:val="000000"/>
          <w:sz w:val="24"/>
          <w:szCs w:val="24"/>
        </w:rPr>
        <w:t>三家的处理。</w:t>
      </w:r>
    </w:p>
    <w:p w14:paraId="28E6620C">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25.2.7如出现</w:t>
      </w:r>
      <w:r>
        <w:rPr>
          <w:rFonts w:hint="eastAsia" w:ascii="宋体" w:hAnsi="宋体" w:eastAsia="宋体" w:cs="宋体"/>
          <w:color w:val="000000"/>
          <w:sz w:val="24"/>
        </w:rPr>
        <w:t>接受截止时间</w:t>
      </w:r>
      <w:r>
        <w:rPr>
          <w:rFonts w:hint="eastAsia" w:ascii="宋体" w:hAnsi="宋体" w:eastAsia="宋体" w:cs="宋体"/>
          <w:color w:val="000000"/>
          <w:sz w:val="24"/>
          <w:szCs w:val="24"/>
        </w:rPr>
        <w:t>结束后参加的供应商或者在评标期间对磋商文件做出实质响应的供应商不足三家情况，按政府采购相关规定执行。</w:t>
      </w:r>
    </w:p>
    <w:p w14:paraId="20809387">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26、磋商程序及评审方法和评审标准</w:t>
      </w:r>
    </w:p>
    <w:p w14:paraId="1C2E9D19">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26.1磋商程序</w:t>
      </w:r>
    </w:p>
    <w:p w14:paraId="272DFFA7">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26.1.1磋商小组审查供应商解密的响应文件。</w:t>
      </w:r>
    </w:p>
    <w:p w14:paraId="477EB043">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26.1.2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6D350BAF">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26.1.3磋商小组要求供应商澄清、说明或者更正响应文件应当以书面形式做出。供应商的澄清、说明或者更正应当由其单位加盖电子公章。</w:t>
      </w:r>
    </w:p>
    <w:p w14:paraId="4EB4358D">
      <w:pPr>
        <w:pStyle w:val="13"/>
        <w:pageBreakBefore w:val="0"/>
        <w:kinsoku/>
        <w:wordWrap/>
        <w:overflowPunct/>
        <w:topLinePunct w:val="0"/>
        <w:autoSpaceDE/>
        <w:autoSpaceDN/>
        <w:bidi w:val="0"/>
        <w:adjustRightInd/>
        <w:snapToGrid/>
        <w:spacing w:line="440" w:lineRule="exact"/>
        <w:rPr>
          <w:rFonts w:hint="eastAsia" w:ascii="宋体" w:hAnsi="宋体" w:eastAsia="宋体" w:cs="宋体"/>
          <w:b/>
          <w:sz w:val="24"/>
          <w:szCs w:val="24"/>
        </w:rPr>
      </w:pPr>
      <w:r>
        <w:rPr>
          <w:rFonts w:hint="eastAsia" w:ascii="宋体" w:hAnsi="宋体" w:eastAsia="宋体" w:cs="宋体"/>
          <w:b/>
          <w:sz w:val="24"/>
          <w:szCs w:val="24"/>
        </w:rPr>
        <w:t>注：本项目供应商的澄清、说明或者补正采用线上澄清</w:t>
      </w:r>
      <w:r>
        <w:rPr>
          <w:rFonts w:hint="eastAsia" w:ascii="宋体" w:hAnsi="宋体" w:eastAsia="宋体" w:cs="宋体"/>
          <w:b/>
          <w:sz w:val="24"/>
          <w:szCs w:val="24"/>
          <w:lang w:eastAsia="zh-CN"/>
        </w:rPr>
        <w:t>：</w:t>
      </w:r>
      <w:r>
        <w:rPr>
          <w:rFonts w:hint="eastAsia" w:ascii="宋体" w:hAnsi="宋体" w:eastAsia="宋体" w:cs="宋体"/>
          <w:b/>
          <w:sz w:val="24"/>
          <w:szCs w:val="24"/>
        </w:rPr>
        <w:t>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5FE39834">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26.1.4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64345B41">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26.1.5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61689B75">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26.1.6磋商结束后，磋商小组将在苏采云系统向所有实质性响应的供应商发布最后报价要求函及最后报价格式表，要求所有实质性响应的供应商在规定时间内提交最后报价。</w:t>
      </w:r>
    </w:p>
    <w:p w14:paraId="3047DA82">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26.1.7供应商未在磋商小组规定的时间内在苏采云系统中提交最后报价的视为放弃磋商，其响应文件按无效响应处理，最后报价格式表须加盖CA电子公章</w:t>
      </w:r>
      <w:r>
        <w:rPr>
          <w:rFonts w:hint="eastAsia" w:ascii="宋体" w:hAnsi="宋体" w:eastAsia="宋体" w:cs="宋体"/>
          <w:sz w:val="24"/>
          <w:szCs w:val="24"/>
          <w:lang w:eastAsia="zh-CN"/>
        </w:rPr>
        <w:t>，</w:t>
      </w:r>
      <w:r>
        <w:rPr>
          <w:rFonts w:hint="eastAsia" w:ascii="宋体" w:hAnsi="宋体" w:eastAsia="宋体" w:cs="宋体"/>
          <w:sz w:val="24"/>
          <w:szCs w:val="24"/>
        </w:rPr>
        <w:t>否则视为未提交最后报价。（此处规定时间的计算以系统中的倒计时间为准，系统中的线上最后报价只有一次机会，提交后无法撤回，请供应商慎重提交）</w:t>
      </w:r>
    </w:p>
    <w:p w14:paraId="6E8502CA">
      <w:pPr>
        <w:pStyle w:val="13"/>
        <w:pageBreakBefore w:val="0"/>
        <w:kinsoku/>
        <w:wordWrap/>
        <w:overflowPunct/>
        <w:topLinePunct w:val="0"/>
        <w:autoSpaceDE/>
        <w:autoSpaceDN/>
        <w:bidi w:val="0"/>
        <w:adjustRightInd/>
        <w:snapToGrid/>
        <w:spacing w:line="440" w:lineRule="exact"/>
        <w:ind w:firstLine="422"/>
        <w:rPr>
          <w:rFonts w:hint="eastAsia" w:ascii="宋体" w:hAnsi="宋体" w:eastAsia="宋体" w:cs="宋体"/>
          <w:b/>
          <w:sz w:val="24"/>
          <w:szCs w:val="24"/>
        </w:rPr>
      </w:pPr>
      <w:r>
        <w:rPr>
          <w:rFonts w:hint="eastAsia" w:ascii="宋体" w:hAnsi="宋体" w:eastAsia="宋体" w:cs="宋体"/>
          <w:b/>
          <w:sz w:val="24"/>
          <w:szCs w:val="24"/>
        </w:rPr>
        <w:t>注：已提交响应文件的供应商，在提交最后报价之前，可以根据磋商情况退出磋商，并在苏采云系统中提交“退出磋商函”并加盖CA电子公章。</w:t>
      </w:r>
    </w:p>
    <w:p w14:paraId="3D683AEB">
      <w:pPr>
        <w:pStyle w:val="13"/>
        <w:pageBreakBefore w:val="0"/>
        <w:kinsoku/>
        <w:wordWrap/>
        <w:overflowPunct/>
        <w:topLinePunct w:val="0"/>
        <w:autoSpaceDE/>
        <w:autoSpaceDN/>
        <w:bidi w:val="0"/>
        <w:adjustRightInd/>
        <w:snapToGrid/>
        <w:spacing w:line="440" w:lineRule="exact"/>
        <w:ind w:firstLine="422"/>
        <w:rPr>
          <w:rFonts w:hint="eastAsia" w:ascii="宋体" w:hAnsi="宋体" w:eastAsia="宋体" w:cs="宋体"/>
          <w:b/>
          <w:sz w:val="24"/>
          <w:szCs w:val="24"/>
        </w:rPr>
      </w:pPr>
      <w:r>
        <w:rPr>
          <w:rFonts w:hint="eastAsia" w:ascii="宋体" w:hAnsi="宋体" w:eastAsia="宋体" w:cs="宋体"/>
          <w:b/>
          <w:sz w:val="24"/>
          <w:szCs w:val="24"/>
        </w:rPr>
        <w:t>*进入项目评审流程后，建议各供应商法定代表人或授权委托人始终保持通讯顺畅，时刻关注不见面开标大厅，不离开不见面开标大厅。</w:t>
      </w:r>
    </w:p>
    <w:p w14:paraId="29A9E246">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26.1.8经磋商确定最终采购需求和提交最后报价的供应商后，由磋商小组采用综合评分法对提交最后报价的供应商的响应文件和最后报价进行综合评分。</w:t>
      </w:r>
    </w:p>
    <w:p w14:paraId="46DA29F5">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26.1.9磋商小组根据磋商成交原则确定成交供应商，并将结果通知所有参加磋商的供应商。</w:t>
      </w:r>
    </w:p>
    <w:p w14:paraId="05B530B7">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26.1.10如磋商过程中出现本采购文件未尽事宜，由磋商小组根据政府采购有关法律、法规讨论决定。</w:t>
      </w:r>
    </w:p>
    <w:p w14:paraId="4D55CC46">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26.2评审方法和评审标准</w:t>
      </w:r>
    </w:p>
    <w:p w14:paraId="58A61BC1">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26.2.1评审方法。经磋商确定最终采购需求和提交最后报价的供应商后，由磋商小组采用综合评分法对提交最后报价的供应商的响应文件和最后报价进行综合评分。</w:t>
      </w:r>
    </w:p>
    <w:p w14:paraId="364F0369">
      <w:pPr>
        <w:pageBreakBefore w:val="0"/>
        <w:kinsoku/>
        <w:wordWrap/>
        <w:overflowPunct/>
        <w:topLinePunct w:val="0"/>
        <w:autoSpaceDE/>
        <w:autoSpaceDN/>
        <w:bidi w:val="0"/>
        <w:adjustRightInd/>
        <w:snapToGrid/>
        <w:spacing w:line="440" w:lineRule="exact"/>
        <w:ind w:firstLine="476"/>
        <w:rPr>
          <w:rFonts w:hint="eastAsia" w:ascii="宋体" w:hAnsi="宋体" w:eastAsia="宋体" w:cs="宋体"/>
          <w:sz w:val="24"/>
          <w:szCs w:val="24"/>
        </w:rPr>
      </w:pPr>
      <w:r>
        <w:rPr>
          <w:rFonts w:hint="eastAsia" w:ascii="宋体" w:hAnsi="宋体" w:eastAsia="宋体" w:cs="宋体"/>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F860EEC">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26.2.2评审标准</w:t>
      </w:r>
    </w:p>
    <w:p w14:paraId="660E019A">
      <w:pPr>
        <w:pageBreakBefore w:val="0"/>
        <w:kinsoku/>
        <w:wordWrap/>
        <w:overflowPunct/>
        <w:topLinePunct w:val="0"/>
        <w:autoSpaceDE/>
        <w:autoSpaceDN/>
        <w:bidi w:val="0"/>
        <w:adjustRightInd/>
        <w:snapToGrid/>
        <w:spacing w:line="440" w:lineRule="exact"/>
        <w:ind w:firstLine="715"/>
        <w:rPr>
          <w:rFonts w:hint="eastAsia" w:ascii="宋体" w:hAnsi="宋体" w:eastAsia="宋体" w:cs="宋体"/>
          <w:sz w:val="24"/>
          <w:szCs w:val="24"/>
        </w:rPr>
      </w:pPr>
      <w:r>
        <w:rPr>
          <w:rFonts w:hint="eastAsia" w:ascii="宋体" w:hAnsi="宋体" w:eastAsia="宋体" w:cs="宋体"/>
          <w:color w:val="000000"/>
          <w:sz w:val="24"/>
          <w:szCs w:val="24"/>
        </w:rPr>
        <w:t>见本磋商文件第五章规定。</w:t>
      </w:r>
    </w:p>
    <w:p w14:paraId="5BFC0415">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26.3采购活动终止的情况</w:t>
      </w:r>
    </w:p>
    <w:p w14:paraId="13B4608E">
      <w:pPr>
        <w:pageBreakBefore w:val="0"/>
        <w:kinsoku/>
        <w:wordWrap/>
        <w:overflowPunct/>
        <w:topLinePunct w:val="0"/>
        <w:autoSpaceDE/>
        <w:autoSpaceDN/>
        <w:bidi w:val="0"/>
        <w:adjustRightInd/>
        <w:snapToGrid/>
        <w:spacing w:line="440" w:lineRule="exact"/>
        <w:ind w:firstLine="600"/>
        <w:rPr>
          <w:rFonts w:hint="eastAsia" w:ascii="宋体" w:hAnsi="宋体" w:eastAsia="宋体" w:cs="宋体"/>
          <w:sz w:val="24"/>
          <w:szCs w:val="24"/>
        </w:rPr>
      </w:pPr>
      <w:r>
        <w:rPr>
          <w:rFonts w:hint="eastAsia" w:ascii="宋体" w:hAnsi="宋体" w:eastAsia="宋体" w:cs="宋体"/>
          <w:color w:val="000000"/>
          <w:sz w:val="24"/>
          <w:szCs w:val="24"/>
        </w:rPr>
        <w:t>出现下列情形之一的，本次竞争性磋商采购活动将被终止：</w:t>
      </w:r>
    </w:p>
    <w:p w14:paraId="0FEB9FE0">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26.3.1因情况变化，不再符合规定的竞争性磋商采购方式适用情形的。</w:t>
      </w:r>
    </w:p>
    <w:p w14:paraId="04BE74AC">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26.3.2出现影响采购公正的违法、违规行为的。</w:t>
      </w:r>
    </w:p>
    <w:p w14:paraId="02E0070F">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26.3.3在采购过程中符合要求的供应商或者最后报价未超过采购预算的供应商不足3家的。</w:t>
      </w:r>
    </w:p>
    <w:p w14:paraId="18DF9140">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color w:val="000000"/>
          <w:sz w:val="24"/>
          <w:szCs w:val="24"/>
        </w:rPr>
      </w:pPr>
      <w:r>
        <w:rPr>
          <w:rFonts w:hint="eastAsia" w:ascii="宋体" w:hAnsi="宋体" w:eastAsia="宋体" w:cs="宋体"/>
          <w:sz w:val="24"/>
          <w:szCs w:val="24"/>
        </w:rPr>
        <w:t>26.3.4在苏采云系统规定时间内成功解密电子响应文件的供应商不足3家的</w:t>
      </w:r>
      <w:r>
        <w:rPr>
          <w:rFonts w:hint="eastAsia" w:ascii="宋体" w:hAnsi="宋体" w:eastAsia="宋体" w:cs="宋体"/>
          <w:color w:val="000000"/>
          <w:sz w:val="24"/>
          <w:szCs w:val="24"/>
        </w:rPr>
        <w:t>。</w:t>
      </w:r>
    </w:p>
    <w:p w14:paraId="28423763">
      <w:pPr>
        <w:keepNext/>
        <w:keepLines/>
        <w:pageBreakBefore w:val="0"/>
        <w:kinsoku/>
        <w:wordWrap/>
        <w:overflowPunct/>
        <w:topLinePunct w:val="0"/>
        <w:autoSpaceDE/>
        <w:autoSpaceDN/>
        <w:bidi w:val="0"/>
        <w:adjustRightInd/>
        <w:snapToGrid/>
        <w:spacing w:line="440" w:lineRule="exact"/>
        <w:outlineLvl w:val="2"/>
        <w:rPr>
          <w:rFonts w:hint="eastAsia" w:ascii="宋体" w:hAnsi="宋体" w:eastAsia="宋体" w:cs="宋体"/>
          <w:b/>
          <w:bCs/>
          <w:color w:val="000000"/>
          <w:sz w:val="32"/>
          <w:szCs w:val="32"/>
        </w:rPr>
      </w:pPr>
      <w:bookmarkStart w:id="25" w:name="_Toc3652"/>
      <w:bookmarkStart w:id="26" w:name="_Toc159312653"/>
      <w:bookmarkStart w:id="27" w:name="_Toc20223"/>
      <w:r>
        <w:rPr>
          <w:rFonts w:hint="eastAsia" w:ascii="宋体" w:hAnsi="宋体" w:eastAsia="宋体" w:cs="宋体"/>
          <w:b/>
          <w:bCs/>
          <w:color w:val="000000"/>
          <w:sz w:val="32"/>
          <w:szCs w:val="32"/>
        </w:rPr>
        <w:t>六、成交</w:t>
      </w:r>
      <w:bookmarkEnd w:id="25"/>
      <w:bookmarkEnd w:id="26"/>
      <w:bookmarkEnd w:id="27"/>
    </w:p>
    <w:p w14:paraId="5D2B0752">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27、确定成交供应商</w:t>
      </w:r>
    </w:p>
    <w:p w14:paraId="6AAD3D77">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27.1磋商小组将采用综合评分法对提交最后报价的供应商的响应文件和最后报价进行综合评分，按评审后得分由高到低顺序排列。得分相同的，按投标报价由低到高顺序排列。得分且投标报价相同的并列，由采购人或者采购人委托评标委员会采取随机抽取的方式确定。</w:t>
      </w:r>
    </w:p>
    <w:p w14:paraId="54D7C525">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27.2</w:t>
      </w:r>
      <w:r>
        <w:rPr>
          <w:rFonts w:hint="eastAsia" w:ascii="宋体" w:hAnsi="宋体" w:eastAsia="宋体" w:cs="宋体"/>
          <w:sz w:val="24"/>
          <w:szCs w:val="24"/>
        </w:rPr>
        <w:t>磋商小组根据排列情况将推荐成交候选人，并根据采购人委托直接确定成交供应商。</w:t>
      </w:r>
    </w:p>
    <w:p w14:paraId="23F166DC">
      <w:pPr>
        <w:pageBreakBefore w:val="0"/>
        <w:kinsoku/>
        <w:wordWrap/>
        <w:overflowPunct/>
        <w:topLinePunct w:val="0"/>
        <w:autoSpaceDE/>
        <w:autoSpaceDN/>
        <w:bidi w:val="0"/>
        <w:adjustRightInd/>
        <w:snapToGrid/>
        <w:spacing w:line="440" w:lineRule="exact"/>
        <w:ind w:firstLine="361"/>
        <w:rPr>
          <w:rFonts w:hint="eastAsia" w:ascii="宋体" w:hAnsi="宋体" w:eastAsia="宋体" w:cs="宋体"/>
          <w:sz w:val="24"/>
          <w:szCs w:val="24"/>
        </w:rPr>
      </w:pPr>
      <w:r>
        <w:rPr>
          <w:rFonts w:hint="eastAsia" w:ascii="宋体" w:hAnsi="宋体" w:eastAsia="宋体" w:cs="宋体"/>
          <w:b/>
          <w:bCs/>
          <w:color w:val="000000"/>
          <w:sz w:val="24"/>
          <w:szCs w:val="24"/>
        </w:rPr>
        <w:t>注：“有效供应商”是指通过资格性和符合性检查的供应商。</w:t>
      </w:r>
    </w:p>
    <w:p w14:paraId="16625580">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27.3采购人确定成交供应商后，代理机构将在“苏州政府采购网”发布成交结果公告，公告期限为1个工作日。</w:t>
      </w:r>
    </w:p>
    <w:p w14:paraId="79C30944">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27.4若有充分证据证明，成交供应商出现下列情况之一的，一经查实，将被取消成交资格：</w:t>
      </w:r>
    </w:p>
    <w:p w14:paraId="057F55F0">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27.4.1提供虚假材料谋取成交的。</w:t>
      </w:r>
    </w:p>
    <w:p w14:paraId="16CDA4DA">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27.4.2与评审专家、采购人、其他供应商或者代理机构工作人员恶意串通的。</w:t>
      </w:r>
    </w:p>
    <w:p w14:paraId="1DD9688E">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27.4.3向评审专家、采购人或代理机构工作人员行贿或者提供其他不正当利益的。</w:t>
      </w:r>
    </w:p>
    <w:p w14:paraId="6C3125EB">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27.4.4恶意竞争，最后报价明显低于其自身合理成本且又无法提供证明的。</w:t>
      </w:r>
    </w:p>
    <w:p w14:paraId="1B3E2A82">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27.4.5不满足本磋商文件规定的实质性要求，但在评审过程中又未被磋商小组发现的。</w:t>
      </w:r>
    </w:p>
    <w:p w14:paraId="112F2205">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27.4.6成交后无正当理由拒不与采购人签订政府采购合同或者未按照磋商文件确定的事项签订政府采购合同的。</w:t>
      </w:r>
    </w:p>
    <w:p w14:paraId="2212668E">
      <w:pPr>
        <w:pageBreakBefore w:val="0"/>
        <w:kinsoku/>
        <w:wordWrap/>
        <w:overflowPunct/>
        <w:topLinePunct w:val="0"/>
        <w:autoSpaceDE/>
        <w:autoSpaceDN/>
        <w:bidi w:val="0"/>
        <w:adjustRightInd/>
        <w:snapToGrid/>
        <w:spacing w:line="440" w:lineRule="exact"/>
        <w:ind w:firstLine="720"/>
        <w:rPr>
          <w:rFonts w:hint="eastAsia" w:ascii="宋体" w:hAnsi="宋体" w:eastAsia="宋体" w:cs="宋体"/>
          <w:sz w:val="24"/>
          <w:szCs w:val="24"/>
        </w:rPr>
      </w:pPr>
      <w:r>
        <w:rPr>
          <w:rFonts w:hint="eastAsia" w:ascii="宋体" w:hAnsi="宋体" w:eastAsia="宋体" w:cs="宋体"/>
          <w:color w:val="000000"/>
          <w:sz w:val="24"/>
          <w:szCs w:val="24"/>
        </w:rPr>
        <w:t>27.4.7将政府采购合同转包的。</w:t>
      </w:r>
    </w:p>
    <w:p w14:paraId="02C70878">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28、成交通知书</w:t>
      </w:r>
    </w:p>
    <w:p w14:paraId="08678097">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28.1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D1D4BF3">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28.2成交通知书将是合同的一个组成部分。对采购人和成交供应商均具有法律效力。成交通知书发出后，采购人改变成交结果的，或者成交供应商放弃成交项目的，应当依法承担法律责任。</w:t>
      </w:r>
    </w:p>
    <w:p w14:paraId="4F3CC49C">
      <w:pPr>
        <w:keepNext/>
        <w:keepLines/>
        <w:pageBreakBefore w:val="0"/>
        <w:kinsoku/>
        <w:wordWrap/>
        <w:overflowPunct/>
        <w:topLinePunct w:val="0"/>
        <w:autoSpaceDE/>
        <w:autoSpaceDN/>
        <w:bidi w:val="0"/>
        <w:adjustRightInd/>
        <w:snapToGrid/>
        <w:spacing w:line="440" w:lineRule="exact"/>
        <w:outlineLvl w:val="2"/>
        <w:rPr>
          <w:rFonts w:hint="eastAsia" w:ascii="宋体" w:hAnsi="宋体" w:eastAsia="宋体" w:cs="宋体"/>
          <w:b/>
          <w:bCs/>
          <w:color w:val="000000"/>
          <w:sz w:val="32"/>
          <w:szCs w:val="32"/>
        </w:rPr>
      </w:pPr>
      <w:bookmarkStart w:id="28" w:name="_Toc29206"/>
      <w:bookmarkStart w:id="29" w:name="_Toc159312654"/>
      <w:bookmarkStart w:id="30" w:name="_Toc26188"/>
      <w:r>
        <w:rPr>
          <w:rFonts w:hint="eastAsia" w:ascii="宋体" w:hAnsi="宋体" w:eastAsia="宋体" w:cs="宋体"/>
          <w:b/>
          <w:bCs/>
          <w:color w:val="000000"/>
          <w:sz w:val="32"/>
          <w:szCs w:val="32"/>
        </w:rPr>
        <w:t>七、授予合同</w:t>
      </w:r>
      <w:bookmarkEnd w:id="28"/>
      <w:bookmarkEnd w:id="29"/>
      <w:bookmarkEnd w:id="30"/>
    </w:p>
    <w:p w14:paraId="4FB06CE5">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29、签订合同</w:t>
      </w:r>
    </w:p>
    <w:p w14:paraId="1A6C78CE">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29.l成交供应商应当在成交通知书发出之日起三十日内，按照磋商文件确定的事项与采购人签订政府采购合同。</w:t>
      </w:r>
    </w:p>
    <w:p w14:paraId="3214B4F9">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29.2磋商文件、成交供应商的响应文件及磋商过程中有关澄清、承诺文件均应作为合同附件。</w:t>
      </w:r>
    </w:p>
    <w:p w14:paraId="744229F0">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29.3签订合同后，成交供应商不得将合同标的进行转包。成交供应商也不得采用分包形式履行合同,否则采购人有权终止合同。转包或分包造成采购人损失的，成交供应商应承担相应赔偿责任。</w:t>
      </w:r>
    </w:p>
    <w:p w14:paraId="752F9866">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29.4如果成交供应商没有按照规定签订合同，其中标资格将被取消，合同可以授予下一个中标候选人（以此类推）或重新组织采购。</w:t>
      </w:r>
    </w:p>
    <w:p w14:paraId="3D812FCE">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30、标的物的追加</w:t>
      </w:r>
    </w:p>
    <w:p w14:paraId="213185AA">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30.1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5B25B6CB">
      <w:pPr>
        <w:keepNext/>
        <w:keepLines/>
        <w:pageBreakBefore w:val="0"/>
        <w:kinsoku/>
        <w:wordWrap/>
        <w:overflowPunct/>
        <w:topLinePunct w:val="0"/>
        <w:autoSpaceDE/>
        <w:autoSpaceDN/>
        <w:bidi w:val="0"/>
        <w:adjustRightInd/>
        <w:snapToGrid/>
        <w:spacing w:line="440" w:lineRule="exact"/>
        <w:ind w:firstLine="138"/>
        <w:rPr>
          <w:rFonts w:hint="eastAsia" w:ascii="宋体" w:hAnsi="宋体" w:eastAsia="宋体" w:cs="宋体"/>
          <w:b/>
          <w:color w:val="000000"/>
          <w:sz w:val="28"/>
          <w:szCs w:val="28"/>
        </w:rPr>
      </w:pPr>
      <w:r>
        <w:rPr>
          <w:rFonts w:hint="eastAsia" w:ascii="宋体" w:hAnsi="宋体" w:eastAsia="宋体" w:cs="宋体"/>
          <w:b/>
          <w:color w:val="000000"/>
          <w:sz w:val="28"/>
          <w:szCs w:val="28"/>
        </w:rPr>
        <w:t>31、政府采购履约资金扶持政策</w:t>
      </w:r>
    </w:p>
    <w:p w14:paraId="7E73C107">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成交供应商可凭政府采购合同办理融资贷款，详情请见苏州市政府采购网“政府采购合同信用融资”专栏。</w:t>
      </w:r>
    </w:p>
    <w:p w14:paraId="72ADEFA2">
      <w:pPr>
        <w:pStyle w:val="2"/>
        <w:pageBreakBefore w:val="0"/>
        <w:kinsoku/>
        <w:wordWrap/>
        <w:overflowPunct/>
        <w:topLinePunct w:val="0"/>
        <w:autoSpaceDE/>
        <w:autoSpaceDN/>
        <w:bidi w:val="0"/>
        <w:adjustRightInd/>
        <w:snapToGrid/>
        <w:spacing w:line="440" w:lineRule="exact"/>
        <w:rPr>
          <w:rFonts w:hint="eastAsia" w:ascii="宋体" w:hAnsi="宋体" w:eastAsia="宋体" w:cs="宋体"/>
          <w:szCs w:val="36"/>
        </w:rPr>
      </w:pPr>
      <w:r>
        <w:rPr>
          <w:rFonts w:hint="eastAsia" w:ascii="宋体" w:hAnsi="宋体" w:eastAsia="宋体" w:cs="宋体"/>
        </w:rPr>
        <w:br w:type="page" w:clear="all"/>
      </w:r>
      <w:bookmarkStart w:id="31" w:name="_Toc159312655"/>
      <w:bookmarkStart w:id="32" w:name="_Toc4605"/>
      <w:bookmarkStart w:id="33" w:name="_Toc22334"/>
      <w:bookmarkStart w:id="34" w:name="_Toc2735"/>
      <w:bookmarkStart w:id="35" w:name="_Toc239"/>
      <w:bookmarkStart w:id="36" w:name="_Toc103080650"/>
      <w:r>
        <w:rPr>
          <w:rFonts w:hint="eastAsia" w:ascii="宋体" w:hAnsi="宋体" w:eastAsia="宋体" w:cs="宋体"/>
          <w:szCs w:val="36"/>
        </w:rPr>
        <w:t>第三章  合同</w:t>
      </w:r>
      <w:bookmarkEnd w:id="31"/>
      <w:bookmarkEnd w:id="32"/>
      <w:bookmarkEnd w:id="33"/>
      <w:r>
        <w:rPr>
          <w:rFonts w:hint="eastAsia" w:ascii="宋体" w:hAnsi="宋体" w:eastAsia="宋体" w:cs="宋体"/>
          <w:szCs w:val="36"/>
        </w:rPr>
        <w:t>文本</w:t>
      </w:r>
      <w:bookmarkEnd w:id="34"/>
      <w:bookmarkEnd w:id="35"/>
    </w:p>
    <w:p w14:paraId="5CF5C096">
      <w:pPr>
        <w:pageBreakBefore w:val="0"/>
        <w:kinsoku/>
        <w:wordWrap/>
        <w:overflowPunct/>
        <w:topLinePunct w:val="0"/>
        <w:autoSpaceDE/>
        <w:autoSpaceDN/>
        <w:bidi w:val="0"/>
        <w:adjustRightInd/>
        <w:snapToGrid/>
        <w:spacing w:line="44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常熟市政府采购服务合同</w:t>
      </w:r>
    </w:p>
    <w:p w14:paraId="4ECC07EE">
      <w:pPr>
        <w:pageBreakBefore w:val="0"/>
        <w:kinsoku/>
        <w:wordWrap/>
        <w:overflowPunct/>
        <w:topLinePunct w:val="0"/>
        <w:autoSpaceDE/>
        <w:autoSpaceDN/>
        <w:bidi w:val="0"/>
        <w:adjustRightInd/>
        <w:snapToGrid/>
        <w:spacing w:line="44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编号：</w:t>
      </w:r>
    </w:p>
    <w:p w14:paraId="725D9C6E">
      <w:pPr>
        <w:pageBreakBefore w:val="0"/>
        <w:kinsoku/>
        <w:wordWrap/>
        <w:overflowPunct/>
        <w:topLinePunct w:val="0"/>
        <w:autoSpaceDE/>
        <w:autoSpaceDN/>
        <w:bidi w:val="0"/>
        <w:adjustRightInd/>
        <w:snapToGrid/>
        <w:spacing w:line="44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签订地点：常熟市</w:t>
      </w:r>
    </w:p>
    <w:p w14:paraId="59835928">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p>
    <w:p w14:paraId="581D1698">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甲方：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eastAsia="zh-CN"/>
        </w:rPr>
        <w:t>常熟市人民法院</w:t>
      </w:r>
      <w:r>
        <w:rPr>
          <w:rFonts w:hint="eastAsia" w:ascii="宋体" w:hAnsi="宋体" w:eastAsia="宋体" w:cs="宋体"/>
          <w:bCs/>
          <w:color w:val="000000"/>
          <w:sz w:val="24"/>
          <w:szCs w:val="24"/>
          <w:u w:val="single"/>
        </w:rPr>
        <w:t xml:space="preserve">   </w:t>
      </w:r>
    </w:p>
    <w:p w14:paraId="4EF993D8">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乙方：</w:t>
      </w:r>
      <w:r>
        <w:rPr>
          <w:rFonts w:hint="eastAsia" w:ascii="宋体" w:hAnsi="宋体" w:eastAsia="宋体" w:cs="宋体"/>
          <w:bCs/>
          <w:color w:val="000000"/>
          <w:sz w:val="24"/>
          <w:szCs w:val="24"/>
          <w:u w:val="single"/>
        </w:rPr>
        <w:t xml:space="preserve">                                  </w:t>
      </w:r>
    </w:p>
    <w:p w14:paraId="0C7E7858">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信用融资回款账户：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（如无可不填写）</w:t>
      </w:r>
    </w:p>
    <w:p w14:paraId="75A96AD5">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开户银行：</w:t>
      </w:r>
      <w:r>
        <w:rPr>
          <w:rFonts w:hint="eastAsia" w:ascii="宋体" w:hAnsi="宋体" w:eastAsia="宋体" w:cs="宋体"/>
          <w:bCs/>
          <w:color w:val="000000"/>
          <w:sz w:val="24"/>
          <w:szCs w:val="24"/>
          <w:u w:val="single"/>
        </w:rPr>
        <w:t xml:space="preserve">                                        </w:t>
      </w:r>
    </w:p>
    <w:p w14:paraId="72F50919">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p>
    <w:p w14:paraId="42ADD8CB">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 </w:t>
      </w:r>
      <w:r>
        <w:rPr>
          <w:rFonts w:hint="eastAsia" w:ascii="宋体" w:hAnsi="宋体" w:eastAsia="宋体" w:cs="宋体"/>
          <w:bCs/>
          <w:color w:val="000000"/>
          <w:sz w:val="24"/>
          <w:szCs w:val="24"/>
          <w:u w:val="single"/>
          <w:lang w:eastAsia="zh-CN"/>
        </w:rPr>
        <w:t>常熟市人民法院全流程无纸化辅助服务</w:t>
      </w:r>
      <w:r>
        <w:rPr>
          <w:rFonts w:hint="eastAsia" w:ascii="宋体" w:hAnsi="宋体" w:eastAsia="宋体" w:cs="宋体"/>
          <w:bCs/>
          <w:color w:val="000000"/>
          <w:sz w:val="24"/>
          <w:szCs w:val="24"/>
        </w:rPr>
        <w:t xml:space="preserve"> 项目（项目编号：</w:t>
      </w:r>
      <w:r>
        <w:rPr>
          <w:rFonts w:hint="eastAsia" w:ascii="宋体" w:hAnsi="宋体" w:cs="宋体"/>
          <w:bCs/>
          <w:color w:val="000000"/>
          <w:sz w:val="24"/>
          <w:szCs w:val="24"/>
          <w:u w:val="single"/>
          <w:lang w:eastAsia="zh-CN"/>
        </w:rPr>
        <w:t>JSZC-320581-CSXC-C2026-0048</w:t>
      </w:r>
      <w:r>
        <w:rPr>
          <w:rFonts w:hint="eastAsia" w:ascii="宋体" w:hAnsi="宋体" w:eastAsia="宋体" w:cs="宋体"/>
          <w:bCs/>
          <w:color w:val="000000"/>
          <w:sz w:val="24"/>
          <w:szCs w:val="24"/>
        </w:rPr>
        <w:t>）政府采购结果签订本合同。</w:t>
      </w:r>
    </w:p>
    <w:p w14:paraId="51198A3E">
      <w:pPr>
        <w:pageBreakBefore w:val="0"/>
        <w:kinsoku/>
        <w:wordWrap/>
        <w:overflowPunct/>
        <w:topLinePunct w:val="0"/>
        <w:autoSpaceDE/>
        <w:autoSpaceDN/>
        <w:bidi w:val="0"/>
        <w:adjustRightInd/>
        <w:snapToGrid/>
        <w:spacing w:line="440" w:lineRule="exact"/>
        <w:rPr>
          <w:rFonts w:hint="eastAsia" w:ascii="宋体" w:hAnsi="宋体" w:eastAsia="宋体" w:cs="宋体"/>
          <w:b/>
          <w:color w:val="000000"/>
          <w:sz w:val="24"/>
          <w:szCs w:val="24"/>
        </w:rPr>
      </w:pPr>
      <w:bookmarkStart w:id="37" w:name="_Toc6311"/>
      <w:bookmarkStart w:id="38" w:name="_Toc6773"/>
      <w:bookmarkStart w:id="39" w:name="_Toc18585"/>
      <w:bookmarkStart w:id="40" w:name="_Toc2918"/>
      <w:bookmarkStart w:id="41" w:name="_Toc22185"/>
      <w:r>
        <w:rPr>
          <w:rFonts w:hint="eastAsia" w:ascii="宋体" w:hAnsi="宋体" w:eastAsia="宋体" w:cs="宋体"/>
          <w:b/>
          <w:color w:val="000000"/>
          <w:sz w:val="24"/>
          <w:szCs w:val="24"/>
        </w:rPr>
        <w:t>第一条 定义</w:t>
      </w:r>
    </w:p>
    <w:p w14:paraId="683C408E">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除非另有特别解释或说明，本合同有关词语应按如下定义解释：</w:t>
      </w:r>
    </w:p>
    <w:p w14:paraId="6BEBBBA6">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1.1合同：甲乙双方签署的，与本项目相关的合同书、附件、附录、其他文件以及政府采购程序中的全部文件。</w:t>
      </w:r>
    </w:p>
    <w:p w14:paraId="35CE6B69">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1.2甲方：购买本合同项下服务的国家机关、事业单位、团体组织。</w:t>
      </w:r>
    </w:p>
    <w:p w14:paraId="42BFC74E">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1.3乙方：提供本合同项下服务的法人、其他组织或自然人。</w:t>
      </w:r>
    </w:p>
    <w:p w14:paraId="29277175">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1.4服务：提供本合同规定的乙方承担的</w:t>
      </w:r>
      <w:r>
        <w:rPr>
          <w:rFonts w:hint="eastAsia" w:ascii="宋体" w:hAnsi="宋体" w:eastAsia="宋体" w:cs="宋体"/>
          <w:bCs/>
          <w:color w:val="000000"/>
          <w:sz w:val="24"/>
          <w:szCs w:val="24"/>
          <w:u w:val="single"/>
          <w:lang w:eastAsia="zh-CN"/>
        </w:rPr>
        <w:t>常熟市人民法院全流程无纸化辅助服务</w:t>
      </w:r>
      <w:r>
        <w:rPr>
          <w:rFonts w:hint="eastAsia" w:ascii="宋体" w:hAnsi="宋体" w:eastAsia="宋体" w:cs="宋体"/>
          <w:bCs/>
          <w:color w:val="000000"/>
          <w:sz w:val="24"/>
          <w:szCs w:val="24"/>
        </w:rPr>
        <w:t>及相关工作。</w:t>
      </w:r>
    </w:p>
    <w:p w14:paraId="38C0D4BC">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1.5合同价款：根据合同规定乙方在正确地完全履行合同义务后甲方应支付给乙方的价款，包含了甲方购买合同项下相关服务的一切费用。</w:t>
      </w:r>
    </w:p>
    <w:p w14:paraId="560CCE17">
      <w:pPr>
        <w:pageBreakBefore w:val="0"/>
        <w:kinsoku/>
        <w:wordWrap/>
        <w:overflowPunct/>
        <w:topLinePunct w:val="0"/>
        <w:autoSpaceDE/>
        <w:autoSpaceDN/>
        <w:bidi w:val="0"/>
        <w:adjustRightInd/>
        <w:snapToGrid/>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第二条 组成本合同的文件</w:t>
      </w:r>
    </w:p>
    <w:p w14:paraId="4B2ADB71">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2.1下列文件是组成本合同的不可分割的部分：</w:t>
      </w:r>
    </w:p>
    <w:p w14:paraId="7479BC14">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①中标或成交通知书；</w:t>
      </w:r>
    </w:p>
    <w:p w14:paraId="7D3CD51D">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②磋商文件、竞争性谈判文件、询价文件、单一来源谈判记录、竞争性磋商文件等（以下统称“采购文件”）；</w:t>
      </w:r>
    </w:p>
    <w:p w14:paraId="349DC9DA">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③乙方的投标文件或响应文件；</w:t>
      </w:r>
    </w:p>
    <w:p w14:paraId="1E4F9B68">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④乙方在报价过程中所作的</w:t>
      </w:r>
      <w:r>
        <w:rPr>
          <w:rFonts w:hint="eastAsia" w:ascii="宋体" w:hAnsi="宋体" w:eastAsia="宋体" w:cs="宋体"/>
          <w:bCs/>
          <w:color w:val="000000"/>
          <w:sz w:val="24"/>
          <w:szCs w:val="24"/>
          <w:lang w:eastAsia="zh-CN"/>
        </w:rPr>
        <w:t>其他</w:t>
      </w:r>
      <w:r>
        <w:rPr>
          <w:rFonts w:hint="eastAsia" w:ascii="宋体" w:hAnsi="宋体" w:eastAsia="宋体" w:cs="宋体"/>
          <w:bCs/>
          <w:color w:val="000000"/>
          <w:sz w:val="24"/>
          <w:szCs w:val="24"/>
        </w:rPr>
        <w:t>承诺、声明、书面澄清等。</w:t>
      </w:r>
    </w:p>
    <w:p w14:paraId="7347623B">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bookmarkStart w:id="42" w:name="_Hlk144021334"/>
      <w:r>
        <w:rPr>
          <w:rFonts w:hint="eastAsia" w:ascii="宋体" w:hAnsi="宋体" w:eastAsia="宋体" w:cs="宋体"/>
          <w:bCs/>
          <w:color w:val="000000"/>
          <w:sz w:val="24"/>
          <w:szCs w:val="24"/>
        </w:rPr>
        <w:t>2.2上述文件之间如果出现不一致的，以甲方文件确定的内容为准，但乙方文件的内容对甲方更有利的，适用乙方文件。</w:t>
      </w:r>
    </w:p>
    <w:p w14:paraId="0BA04952">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2.3乙方文件应当符合采购文件确定的原则，如果乙方文件中的表述，形式上符合磋商文件原则，但具体内容对甲方不利、对乙方有利的，视为背离采购文件，不予适用。</w:t>
      </w:r>
      <w:bookmarkEnd w:id="37"/>
      <w:bookmarkEnd w:id="38"/>
      <w:bookmarkEnd w:id="39"/>
      <w:bookmarkEnd w:id="40"/>
      <w:bookmarkEnd w:id="41"/>
      <w:bookmarkEnd w:id="42"/>
    </w:p>
    <w:p w14:paraId="7E02C3CE">
      <w:pPr>
        <w:pageBreakBefore w:val="0"/>
        <w:kinsoku/>
        <w:wordWrap/>
        <w:overflowPunct/>
        <w:topLinePunct w:val="0"/>
        <w:autoSpaceDE/>
        <w:autoSpaceDN/>
        <w:bidi w:val="0"/>
        <w:adjustRightInd/>
        <w:snapToGrid/>
        <w:spacing w:line="440" w:lineRule="exact"/>
        <w:rPr>
          <w:rFonts w:hint="eastAsia" w:ascii="宋体" w:hAnsi="宋体" w:eastAsia="宋体" w:cs="宋体"/>
          <w:b/>
          <w:color w:val="000000"/>
          <w:sz w:val="24"/>
          <w:szCs w:val="24"/>
        </w:rPr>
      </w:pPr>
      <w:bookmarkStart w:id="43" w:name="_Toc5635"/>
      <w:bookmarkStart w:id="44" w:name="_Toc13918"/>
      <w:bookmarkStart w:id="45" w:name="_Toc1386"/>
      <w:bookmarkStart w:id="46" w:name="_Toc21124"/>
      <w:bookmarkStart w:id="47" w:name="_Toc4929"/>
      <w:r>
        <w:rPr>
          <w:rFonts w:hint="eastAsia" w:ascii="宋体" w:hAnsi="宋体" w:eastAsia="宋体" w:cs="宋体"/>
          <w:b/>
          <w:color w:val="000000"/>
          <w:sz w:val="24"/>
          <w:szCs w:val="24"/>
        </w:rPr>
        <w:t>第三条 合同内容</w:t>
      </w:r>
    </w:p>
    <w:p w14:paraId="5457E825">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3.1服务内容：</w:t>
      </w:r>
      <w:r>
        <w:rPr>
          <w:rFonts w:hint="eastAsia" w:ascii="宋体" w:hAnsi="宋体" w:eastAsia="宋体" w:cs="宋体"/>
          <w:bCs/>
          <w:color w:val="000000"/>
          <w:sz w:val="24"/>
          <w:szCs w:val="24"/>
          <w:lang w:eastAsia="zh-CN"/>
        </w:rPr>
        <w:t>常熟市人民法院</w:t>
      </w:r>
      <w:r>
        <w:rPr>
          <w:rFonts w:hint="eastAsia" w:ascii="宋体" w:hAnsi="宋体" w:eastAsia="宋体" w:cs="宋体"/>
          <w:bCs/>
          <w:color w:val="000000"/>
          <w:sz w:val="24"/>
          <w:szCs w:val="24"/>
        </w:rPr>
        <w:t>所需的</w:t>
      </w:r>
      <w:r>
        <w:rPr>
          <w:rFonts w:hint="eastAsia" w:ascii="宋体" w:hAnsi="宋体" w:eastAsia="宋体" w:cs="宋体"/>
          <w:bCs/>
          <w:color w:val="000000"/>
          <w:sz w:val="24"/>
          <w:szCs w:val="24"/>
          <w:lang w:eastAsia="zh-CN"/>
        </w:rPr>
        <w:t>常熟市人民法院全流程无纸化辅助服务</w:t>
      </w:r>
      <w:r>
        <w:rPr>
          <w:rFonts w:hint="eastAsia" w:ascii="宋体" w:hAnsi="宋体" w:eastAsia="宋体" w:cs="宋体"/>
          <w:bCs/>
          <w:color w:val="000000"/>
          <w:sz w:val="24"/>
          <w:szCs w:val="24"/>
        </w:rPr>
        <w:t>。</w:t>
      </w:r>
    </w:p>
    <w:p w14:paraId="346ACA9D">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3.2服务期限：</w:t>
      </w:r>
      <w:r>
        <w:rPr>
          <w:rFonts w:hint="eastAsia" w:ascii="宋体" w:hAnsi="宋体" w:eastAsia="宋体" w:cs="宋体"/>
          <w:bCs/>
          <w:color w:val="000000"/>
          <w:sz w:val="24"/>
          <w:szCs w:val="24"/>
          <w:lang w:eastAsia="zh-CN"/>
        </w:rPr>
        <w:t>自合同签订之日起1年</w:t>
      </w:r>
      <w:r>
        <w:rPr>
          <w:rFonts w:hint="eastAsia" w:ascii="宋体" w:hAnsi="宋体" w:eastAsia="宋体" w:cs="宋体"/>
          <w:bCs/>
          <w:color w:val="000000"/>
          <w:sz w:val="24"/>
          <w:szCs w:val="24"/>
        </w:rPr>
        <w:t>。</w:t>
      </w:r>
    </w:p>
    <w:p w14:paraId="28D00D12">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3.3乙方承诺上述服务由乙方自行完成，不转包予第三方完成。</w:t>
      </w:r>
    </w:p>
    <w:p w14:paraId="1A10191D">
      <w:pPr>
        <w:pageBreakBefore w:val="0"/>
        <w:kinsoku/>
        <w:wordWrap/>
        <w:overflowPunct/>
        <w:topLinePunct w:val="0"/>
        <w:autoSpaceDE/>
        <w:autoSpaceDN/>
        <w:bidi w:val="0"/>
        <w:adjustRightInd/>
        <w:snapToGrid/>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第四条 合同价款</w:t>
      </w:r>
    </w:p>
    <w:p w14:paraId="48AD035E">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sz w:val="24"/>
        </w:rPr>
      </w:pPr>
      <w:r>
        <w:rPr>
          <w:rFonts w:hint="eastAsia" w:ascii="宋体" w:hAnsi="宋体" w:eastAsia="宋体" w:cs="宋体"/>
          <w:sz w:val="24"/>
        </w:rPr>
        <w:t>4.1合同单价按此次采购结果执行，合同单价金额为人民币</w:t>
      </w:r>
      <w:r>
        <w:rPr>
          <w:rFonts w:hint="eastAsia" w:ascii="宋体" w:hAnsi="宋体" w:eastAsia="宋体" w:cs="宋体"/>
          <w:sz w:val="24"/>
          <w:u w:val="single"/>
        </w:rPr>
        <w:t xml:space="preserve">    </w:t>
      </w:r>
      <w:r>
        <w:rPr>
          <w:rFonts w:hint="eastAsia" w:ascii="宋体" w:hAnsi="宋体" w:eastAsia="宋体" w:cs="宋体"/>
          <w:sz w:val="24"/>
        </w:rPr>
        <w:t>元/件（大写</w:t>
      </w:r>
      <w:r>
        <w:rPr>
          <w:rFonts w:hint="eastAsia" w:ascii="宋体" w:hAnsi="宋体" w:eastAsia="宋体" w:cs="宋体"/>
          <w:sz w:val="24"/>
          <w:u w:val="single"/>
        </w:rPr>
        <w:t xml:space="preserve">     </w:t>
      </w:r>
      <w:r>
        <w:rPr>
          <w:rFonts w:hint="eastAsia" w:ascii="宋体" w:hAnsi="宋体" w:eastAsia="宋体" w:cs="宋体"/>
          <w:sz w:val="24"/>
        </w:rPr>
        <w:t>/件）。本合同为固定单价合同。</w:t>
      </w:r>
    </w:p>
    <w:p w14:paraId="30671334">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4.2本合同执行期间合同单价不变。</w:t>
      </w:r>
    </w:p>
    <w:p w14:paraId="3EABE3D3">
      <w:pPr>
        <w:pageBreakBefore w:val="0"/>
        <w:kinsoku/>
        <w:wordWrap/>
        <w:overflowPunct/>
        <w:topLinePunct w:val="0"/>
        <w:autoSpaceDE/>
        <w:autoSpaceDN/>
        <w:bidi w:val="0"/>
        <w:adjustRightInd/>
        <w:snapToGrid/>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第五条 支付结算</w:t>
      </w:r>
    </w:p>
    <w:p w14:paraId="221D5A3D">
      <w:pPr>
        <w:pStyle w:val="20"/>
        <w:pageBreakBefore w:val="0"/>
        <w:kinsoku/>
        <w:wordWrap/>
        <w:overflowPunct/>
        <w:topLinePunct w:val="0"/>
        <w:autoSpaceDE/>
        <w:autoSpaceDN/>
        <w:bidi w:val="0"/>
        <w:adjustRightInd/>
        <w:snapToGrid/>
        <w:spacing w:line="440" w:lineRule="exact"/>
        <w:ind w:firstLine="573"/>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.1 按实际</w:t>
      </w:r>
      <w:r>
        <w:rPr>
          <w:rFonts w:hint="eastAsia" w:ascii="宋体" w:hAnsi="宋体" w:eastAsia="宋体" w:cs="宋体"/>
          <w:bCs/>
          <w:sz w:val="24"/>
          <w:szCs w:val="24"/>
        </w:rPr>
        <w:t>完成的无纸化数字化集约化案件</w:t>
      </w:r>
      <w:r>
        <w:rPr>
          <w:rFonts w:hint="eastAsia" w:ascii="宋体" w:hAnsi="宋体" w:eastAsia="宋体" w:cs="宋体"/>
          <w:sz w:val="24"/>
          <w:szCs w:val="24"/>
        </w:rPr>
        <w:t>数进行结算。</w:t>
      </w:r>
    </w:p>
    <w:p w14:paraId="0FCCCCB9">
      <w:pPr>
        <w:pStyle w:val="20"/>
        <w:pageBreakBefore w:val="0"/>
        <w:kinsoku/>
        <w:wordWrap/>
        <w:overflowPunct/>
        <w:topLinePunct w:val="0"/>
        <w:autoSpaceDE/>
        <w:autoSpaceDN/>
        <w:bidi w:val="0"/>
        <w:adjustRightInd/>
        <w:snapToGrid/>
        <w:spacing w:line="440" w:lineRule="exact"/>
        <w:ind w:firstLine="5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.2 按季度结算支付，每季度后的30日内，</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按实际完成的无纸化数字化集约化案件数</w:t>
      </w:r>
      <w:r>
        <w:rPr>
          <w:rFonts w:hint="eastAsia" w:ascii="宋体" w:hAnsi="宋体" w:eastAsia="宋体" w:cs="宋体"/>
          <w:sz w:val="24"/>
          <w:szCs w:val="24"/>
          <w:highlight w:val="none"/>
          <w:lang w:val="en-US" w:eastAsia="zh-CN"/>
        </w:rPr>
        <w:t>根据考核后</w:t>
      </w:r>
      <w:r>
        <w:rPr>
          <w:rFonts w:hint="eastAsia" w:ascii="宋体" w:hAnsi="宋体" w:eastAsia="宋体" w:cs="宋体"/>
          <w:sz w:val="24"/>
          <w:szCs w:val="24"/>
          <w:highlight w:val="none"/>
        </w:rPr>
        <w:t>进行结算。</w:t>
      </w:r>
    </w:p>
    <w:p w14:paraId="2CDD6F94">
      <w:pPr>
        <w:pStyle w:val="20"/>
        <w:pageBreakBefore w:val="0"/>
        <w:kinsoku/>
        <w:wordWrap/>
        <w:overflowPunct/>
        <w:topLinePunct w:val="0"/>
        <w:autoSpaceDE/>
        <w:autoSpaceDN/>
        <w:bidi w:val="0"/>
        <w:adjustRightInd/>
        <w:snapToGrid/>
        <w:spacing w:line="440" w:lineRule="exact"/>
        <w:ind w:firstLine="892" w:firstLineChars="37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6.2.1</w:t>
      </w:r>
      <w:r>
        <w:rPr>
          <w:rFonts w:hint="eastAsia" w:ascii="宋体" w:hAnsi="宋体" w:eastAsia="宋体" w:cs="宋体"/>
          <w:sz w:val="24"/>
          <w:szCs w:val="24"/>
          <w:highlight w:val="none"/>
        </w:rPr>
        <w:t>季度考核98分以上全额支付当季度费用</w:t>
      </w:r>
    </w:p>
    <w:p w14:paraId="42D3E6DB">
      <w:pPr>
        <w:pStyle w:val="20"/>
        <w:pageBreakBefore w:val="0"/>
        <w:kinsoku/>
        <w:wordWrap/>
        <w:overflowPunct/>
        <w:topLinePunct w:val="0"/>
        <w:autoSpaceDE/>
        <w:autoSpaceDN/>
        <w:bidi w:val="0"/>
        <w:adjustRightInd/>
        <w:snapToGrid/>
        <w:spacing w:line="440" w:lineRule="exact"/>
        <w:ind w:firstLine="892" w:firstLineChars="37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6.2.2</w:t>
      </w:r>
      <w:r>
        <w:rPr>
          <w:rFonts w:hint="eastAsia" w:ascii="宋体" w:hAnsi="宋体" w:eastAsia="宋体" w:cs="宋体"/>
          <w:sz w:val="24"/>
          <w:szCs w:val="24"/>
          <w:highlight w:val="none"/>
        </w:rPr>
        <w:t>当季度考核在9</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分-98分（含98分），扣除当季度费用的10%</w:t>
      </w:r>
    </w:p>
    <w:p w14:paraId="7F63B099">
      <w:pPr>
        <w:pStyle w:val="20"/>
        <w:pageBreakBefore w:val="0"/>
        <w:kinsoku/>
        <w:wordWrap/>
        <w:overflowPunct/>
        <w:topLinePunct w:val="0"/>
        <w:autoSpaceDE/>
        <w:autoSpaceDN/>
        <w:bidi w:val="0"/>
        <w:adjustRightInd/>
        <w:snapToGrid/>
        <w:spacing w:line="440" w:lineRule="exact"/>
        <w:ind w:firstLine="892" w:firstLineChars="37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6.2.3</w:t>
      </w:r>
      <w:r>
        <w:rPr>
          <w:rFonts w:hint="eastAsia" w:ascii="宋体" w:hAnsi="宋体" w:eastAsia="宋体" w:cs="宋体"/>
          <w:sz w:val="24"/>
          <w:szCs w:val="24"/>
          <w:highlight w:val="none"/>
        </w:rPr>
        <w:t>当季度考核在90分（含90分）-95分（含95分），扣除当季度费用的20%</w:t>
      </w:r>
    </w:p>
    <w:p w14:paraId="32996F85">
      <w:pPr>
        <w:pStyle w:val="20"/>
        <w:pageBreakBefore w:val="0"/>
        <w:kinsoku/>
        <w:wordWrap/>
        <w:overflowPunct/>
        <w:topLinePunct w:val="0"/>
        <w:autoSpaceDE/>
        <w:autoSpaceDN/>
        <w:bidi w:val="0"/>
        <w:adjustRightInd/>
        <w:snapToGrid/>
        <w:spacing w:line="440" w:lineRule="exact"/>
        <w:ind w:firstLine="892" w:firstLineChars="372"/>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6.2.4</w:t>
      </w:r>
      <w:r>
        <w:rPr>
          <w:rFonts w:hint="eastAsia" w:ascii="宋体" w:hAnsi="宋体" w:eastAsia="宋体" w:cs="宋体"/>
          <w:sz w:val="24"/>
          <w:szCs w:val="24"/>
          <w:highlight w:val="none"/>
        </w:rPr>
        <w:t>当季度低于90分或发生泄密、丢失卷宗等安全事故的，扣除当季度一切费用，且</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有权解除合同，并要求</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偿付违约金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违约金</w:t>
      </w:r>
      <w:r>
        <w:rPr>
          <w:rFonts w:hint="eastAsia" w:ascii="宋体" w:hAnsi="宋体" w:eastAsia="宋体" w:cs="宋体"/>
          <w:sz w:val="24"/>
          <w:szCs w:val="24"/>
          <w:highlight w:val="none"/>
          <w:lang w:eastAsia="zh-CN"/>
        </w:rPr>
        <w:t>按54000案件数*成交单价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20％</w:t>
      </w:r>
      <w:r>
        <w:rPr>
          <w:rFonts w:hint="eastAsia" w:ascii="宋体" w:hAnsi="宋体" w:eastAsia="宋体" w:cs="宋体"/>
          <w:sz w:val="24"/>
          <w:szCs w:val="24"/>
          <w:highlight w:val="none"/>
          <w:lang w:val="en-US" w:eastAsia="zh-CN"/>
        </w:rPr>
        <w:t>计算</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382F1D6E">
      <w:pPr>
        <w:pageBreakBefore w:val="0"/>
        <w:kinsoku/>
        <w:wordWrap/>
        <w:overflowPunct/>
        <w:topLinePunct w:val="0"/>
        <w:autoSpaceDE/>
        <w:autoSpaceDN/>
        <w:bidi w:val="0"/>
        <w:adjustRightInd/>
        <w:snapToGrid/>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注：1</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支付方式包括但不限于数字人民币、现金、支票、汇票等。</w:t>
      </w:r>
    </w:p>
    <w:p w14:paraId="6E0303CE">
      <w:pPr>
        <w:pageBreakBefore w:val="0"/>
        <w:numPr>
          <w:ilvl w:val="0"/>
          <w:numId w:val="0"/>
        </w:numPr>
        <w:kinsoku/>
        <w:wordWrap/>
        <w:overflowPunct/>
        <w:topLinePunct w:val="0"/>
        <w:autoSpaceDE/>
        <w:autoSpaceDN/>
        <w:bidi w:val="0"/>
        <w:adjustRightInd/>
        <w:snapToGrid/>
        <w:spacing w:line="440" w:lineRule="exact"/>
        <w:ind w:firstLine="964" w:firstLineChars="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2）</w:t>
      </w:r>
      <w:r>
        <w:rPr>
          <w:rFonts w:hint="eastAsia" w:ascii="宋体" w:hAnsi="宋体" w:eastAsia="宋体" w:cs="宋体"/>
          <w:b/>
          <w:bCs/>
          <w:sz w:val="24"/>
          <w:szCs w:val="24"/>
          <w:highlight w:val="none"/>
        </w:rPr>
        <w:t>以上每次付款前乙方均应提供符合甲方要求的同等金额的合法有效发票。否则，</w:t>
      </w:r>
      <w:r>
        <w:rPr>
          <w:rFonts w:hint="eastAsia" w:ascii="宋体" w:hAnsi="宋体" w:eastAsia="宋体" w:cs="宋体"/>
          <w:b/>
          <w:bCs/>
          <w:sz w:val="24"/>
          <w:szCs w:val="24"/>
          <w:highlight w:val="none"/>
          <w:lang w:val="en-US" w:eastAsia="zh-CN" w:bidi="ar-SA"/>
        </w:rPr>
        <w:t>甲方有权顺延付款时间且不承担任何违约或赔偿责任。</w:t>
      </w:r>
    </w:p>
    <w:p w14:paraId="77C473B7">
      <w:pPr>
        <w:pageBreakBefore w:val="0"/>
        <w:kinsoku/>
        <w:wordWrap/>
        <w:overflowPunct/>
        <w:topLinePunct w:val="0"/>
        <w:autoSpaceDE/>
        <w:autoSpaceDN/>
        <w:bidi w:val="0"/>
        <w:adjustRightInd/>
        <w:snapToGrid/>
        <w:spacing w:line="44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第六条 验收办法</w:t>
      </w:r>
    </w:p>
    <w:p w14:paraId="502E71A6">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6.1甲方依法组织履约验收工作。</w:t>
      </w:r>
    </w:p>
    <w:p w14:paraId="06441468">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6.2甲方按照采购文件确定的验收</w:t>
      </w:r>
      <w:r>
        <w:rPr>
          <w:rFonts w:hint="eastAsia" w:ascii="宋体" w:hAnsi="宋体" w:eastAsia="宋体" w:cs="宋体"/>
          <w:bCs/>
          <w:color w:val="000000"/>
          <w:sz w:val="24"/>
          <w:szCs w:val="24"/>
          <w:lang w:val="en-US" w:eastAsia="zh-CN"/>
        </w:rPr>
        <w:t>标准及</w:t>
      </w:r>
      <w:r>
        <w:rPr>
          <w:rFonts w:hint="eastAsia" w:ascii="宋体" w:hAnsi="宋体" w:eastAsia="宋体" w:cs="宋体"/>
          <w:bCs/>
          <w:color w:val="000000"/>
          <w:sz w:val="24"/>
          <w:szCs w:val="24"/>
        </w:rPr>
        <w:t>考核</w:t>
      </w:r>
      <w:r>
        <w:rPr>
          <w:rFonts w:hint="eastAsia" w:ascii="宋体" w:hAnsi="宋体" w:eastAsia="宋体" w:cs="宋体"/>
          <w:bCs/>
          <w:color w:val="000000"/>
          <w:sz w:val="24"/>
          <w:szCs w:val="24"/>
          <w:lang w:val="en-US" w:eastAsia="zh-CN"/>
        </w:rPr>
        <w:t>表</w:t>
      </w:r>
      <w:r>
        <w:rPr>
          <w:rFonts w:hint="eastAsia" w:ascii="宋体" w:hAnsi="宋体" w:eastAsia="宋体" w:cs="宋体"/>
          <w:bCs/>
          <w:color w:val="000000"/>
          <w:sz w:val="24"/>
          <w:szCs w:val="24"/>
        </w:rPr>
        <w:t>（包括履约验收的时间、方式、程序等内容），综合考核情况和服务效果进行验收。乙方应根据验收</w:t>
      </w:r>
      <w:r>
        <w:rPr>
          <w:rFonts w:hint="eastAsia" w:ascii="宋体" w:hAnsi="宋体" w:eastAsia="宋体" w:cs="宋体"/>
          <w:bCs/>
          <w:color w:val="000000"/>
          <w:sz w:val="24"/>
          <w:szCs w:val="24"/>
          <w:lang w:val="en-US" w:eastAsia="zh-CN"/>
        </w:rPr>
        <w:t>标准</w:t>
      </w:r>
      <w:r>
        <w:rPr>
          <w:rFonts w:hint="eastAsia" w:ascii="宋体" w:hAnsi="宋体" w:eastAsia="宋体" w:cs="宋体"/>
          <w:bCs/>
          <w:color w:val="000000"/>
          <w:sz w:val="24"/>
          <w:szCs w:val="24"/>
        </w:rPr>
        <w:t>内容做好相应配合工作。</w:t>
      </w:r>
    </w:p>
    <w:p w14:paraId="4071B820">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6.3对于实际使用人和甲方分离的项目，甲方邀请实际使用人参与验收。</w:t>
      </w:r>
    </w:p>
    <w:p w14:paraId="42B7FB4D">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6.4如有必要，甲方邀请参加本项目的其他供应商或第三方专业机构及专家参与验收，相关意见将作为验收书的参考资料。</w:t>
      </w:r>
    </w:p>
    <w:p w14:paraId="2F872DFC">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6.5甲方成立验收小组，按照采购合同的约定对乙方的履约情况进行验收。验收时</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甲方按照采购合同的约定对每一项技术、服务、安全标准的履约情况进行确认。验收结束后</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验收小组出具验收书</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列明各项标准的验收情况及项目总体评价</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由验收双方共同签署。验收结果与采购合同约定的资金支付挂钩。履约验收的各项资料存档备查。</w:t>
      </w:r>
    </w:p>
    <w:p w14:paraId="4F8B3A8D">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6.6 验收合格的项目</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甲方根据采购合同的约定及时向乙方支付合同款项。验收不合格的项目，甲方依法及时处理。</w:t>
      </w:r>
      <w:bookmarkEnd w:id="43"/>
      <w:bookmarkEnd w:id="44"/>
      <w:bookmarkEnd w:id="45"/>
      <w:bookmarkEnd w:id="46"/>
      <w:bookmarkEnd w:id="47"/>
    </w:p>
    <w:p w14:paraId="6B90732F">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第七条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p>
    <w:p w14:paraId="7EE21225">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7.1甲方权利义务</w:t>
      </w:r>
    </w:p>
    <w:p w14:paraId="42853955">
      <w:pPr>
        <w:pageBreakBefore w:val="0"/>
        <w:kinsoku/>
        <w:wordWrap/>
        <w:overflowPunct/>
        <w:topLinePunct w:val="0"/>
        <w:autoSpaceDE/>
        <w:autoSpaceDN/>
        <w:bidi w:val="0"/>
        <w:adjustRightInd/>
        <w:snapToGrid/>
        <w:spacing w:line="440" w:lineRule="exact"/>
        <w:ind w:firstLine="799"/>
        <w:rPr>
          <w:rFonts w:hint="eastAsia" w:ascii="宋体" w:hAnsi="宋体" w:eastAsia="宋体" w:cs="宋体"/>
          <w:bCs/>
          <w:color w:val="000000"/>
          <w:sz w:val="24"/>
          <w:szCs w:val="24"/>
        </w:rPr>
      </w:pPr>
      <w:r>
        <w:rPr>
          <w:rFonts w:hint="eastAsia" w:ascii="宋体" w:hAnsi="宋体" w:eastAsia="宋体" w:cs="宋体"/>
          <w:bCs/>
          <w:color w:val="000000"/>
          <w:sz w:val="24"/>
          <w:szCs w:val="24"/>
        </w:rPr>
        <w:t>7.1.1 甲方权利</w:t>
      </w:r>
    </w:p>
    <w:p w14:paraId="4F358EEF">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甲方有权随时向乙方了解服务进展，提出改进意见和建议；甲方有权根据实际履约质量和进度情况要求乙方按照本合同约定加强管理直至提供符合约定的服务。</w:t>
      </w:r>
    </w:p>
    <w:p w14:paraId="44404B22">
      <w:pPr>
        <w:pageBreakBefore w:val="0"/>
        <w:kinsoku/>
        <w:wordWrap/>
        <w:overflowPunct/>
        <w:topLinePunct w:val="0"/>
        <w:autoSpaceDE/>
        <w:autoSpaceDN/>
        <w:bidi w:val="0"/>
        <w:adjustRightInd/>
        <w:snapToGrid/>
        <w:spacing w:line="440" w:lineRule="exact"/>
        <w:ind w:firstLine="799"/>
        <w:rPr>
          <w:rFonts w:hint="eastAsia" w:ascii="宋体" w:hAnsi="宋体" w:eastAsia="宋体" w:cs="宋体"/>
          <w:bCs/>
          <w:color w:val="000000"/>
          <w:sz w:val="24"/>
          <w:szCs w:val="24"/>
        </w:rPr>
      </w:pPr>
      <w:r>
        <w:rPr>
          <w:rFonts w:hint="eastAsia" w:ascii="宋体" w:hAnsi="宋体" w:eastAsia="宋体" w:cs="宋体"/>
          <w:bCs/>
          <w:color w:val="000000"/>
          <w:sz w:val="24"/>
          <w:szCs w:val="24"/>
        </w:rPr>
        <w:t>7.1.2甲方义务</w:t>
      </w:r>
    </w:p>
    <w:p w14:paraId="617D2535">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甲方应按时支付合同价款；为乙方履行合同提供必要的便利条件；本合同约定的其他义务。</w:t>
      </w:r>
    </w:p>
    <w:p w14:paraId="64EE8708">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7.2乙方权利义务</w:t>
      </w:r>
    </w:p>
    <w:p w14:paraId="1AA2EB73">
      <w:pPr>
        <w:pageBreakBefore w:val="0"/>
        <w:kinsoku/>
        <w:wordWrap/>
        <w:overflowPunct/>
        <w:topLinePunct w:val="0"/>
        <w:autoSpaceDE/>
        <w:autoSpaceDN/>
        <w:bidi w:val="0"/>
        <w:adjustRightInd/>
        <w:snapToGrid/>
        <w:spacing w:line="440" w:lineRule="exact"/>
        <w:ind w:firstLine="799"/>
        <w:rPr>
          <w:rFonts w:hint="eastAsia" w:ascii="宋体" w:hAnsi="宋体" w:eastAsia="宋体" w:cs="宋体"/>
          <w:bCs/>
          <w:color w:val="000000"/>
          <w:sz w:val="24"/>
          <w:szCs w:val="24"/>
        </w:rPr>
      </w:pPr>
      <w:r>
        <w:rPr>
          <w:rFonts w:hint="eastAsia" w:ascii="宋体" w:hAnsi="宋体" w:eastAsia="宋体" w:cs="宋体"/>
          <w:bCs/>
          <w:color w:val="000000"/>
          <w:sz w:val="24"/>
          <w:szCs w:val="24"/>
        </w:rPr>
        <w:t>7.2.1乙方权利</w:t>
      </w:r>
    </w:p>
    <w:p w14:paraId="5A43F531">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乙方有权按照合同获得合同价款；乙方有权根据服务内容的需要，请求甲方予以配合。</w:t>
      </w:r>
    </w:p>
    <w:p w14:paraId="08C2C968">
      <w:pPr>
        <w:pageBreakBefore w:val="0"/>
        <w:kinsoku/>
        <w:wordWrap/>
        <w:overflowPunct/>
        <w:topLinePunct w:val="0"/>
        <w:autoSpaceDE/>
        <w:autoSpaceDN/>
        <w:bidi w:val="0"/>
        <w:adjustRightInd/>
        <w:snapToGrid/>
        <w:spacing w:line="440" w:lineRule="exact"/>
        <w:ind w:firstLine="799"/>
        <w:rPr>
          <w:rFonts w:hint="eastAsia" w:ascii="宋体" w:hAnsi="宋体" w:eastAsia="宋体" w:cs="宋体"/>
          <w:bCs/>
          <w:color w:val="000000"/>
          <w:sz w:val="24"/>
          <w:szCs w:val="24"/>
        </w:rPr>
      </w:pPr>
      <w:r>
        <w:rPr>
          <w:rFonts w:hint="eastAsia" w:ascii="宋体" w:hAnsi="宋体" w:eastAsia="宋体" w:cs="宋体"/>
          <w:bCs/>
          <w:color w:val="000000"/>
          <w:sz w:val="24"/>
          <w:szCs w:val="24"/>
        </w:rPr>
        <w:t>7.2.2除其他有关条款的约定外，乙方义务还包括：</w:t>
      </w:r>
    </w:p>
    <w:p w14:paraId="36A34EB1">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1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①</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sz w:val="24"/>
          <w:szCs w:val="24"/>
          <w:u w:val="single"/>
        </w:rPr>
        <w:t xml:space="preserve"> 2人 </w:t>
      </w:r>
      <w:r>
        <w:rPr>
          <w:rFonts w:hint="eastAsia" w:ascii="宋体" w:hAnsi="宋体" w:eastAsia="宋体" w:cs="宋体"/>
          <w:bCs/>
          <w:color w:val="000000"/>
          <w:sz w:val="24"/>
          <w:szCs w:val="24"/>
        </w:rPr>
        <w:t>的，视为乙方丧失提供服务的能力。</w:t>
      </w:r>
    </w:p>
    <w:p w14:paraId="21FA6BFF">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2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②</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乙方应安排身体健康、品性良好的服务人员为甲方提供服务。</w:t>
      </w:r>
    </w:p>
    <w:p w14:paraId="79487A9D">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3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③</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乙方应保证服务人员的稳定，未经甲方同意，不得变更服务人员。</w:t>
      </w:r>
    </w:p>
    <w:p w14:paraId="0BBF6682">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4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④</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乙方应当及时响应甲方的服务需求，在甲方提出派员到场服务时，应当与甲方确定到场时间。</w:t>
      </w:r>
    </w:p>
    <w:p w14:paraId="3BC18B52">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5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⑤</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定期组织服务人员进行培训学习，不断提高服务人员业务技能。</w:t>
      </w:r>
    </w:p>
    <w:p w14:paraId="0476F79D">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6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⑥</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乙方做好</w:t>
      </w:r>
      <w:r>
        <w:rPr>
          <w:rFonts w:hint="eastAsia" w:ascii="宋体" w:hAnsi="宋体" w:eastAsia="宋体" w:cs="宋体"/>
          <w:bCs/>
          <w:color w:val="000000"/>
          <w:sz w:val="24"/>
          <w:szCs w:val="24"/>
          <w:lang w:val="en-US" w:eastAsia="zh-CN"/>
        </w:rPr>
        <w:t>服务</w:t>
      </w:r>
      <w:r>
        <w:rPr>
          <w:rFonts w:hint="eastAsia" w:ascii="宋体" w:hAnsi="宋体" w:eastAsia="宋体" w:cs="宋体"/>
          <w:bCs/>
          <w:color w:val="000000"/>
          <w:sz w:val="24"/>
          <w:szCs w:val="24"/>
        </w:rPr>
        <w:t>工作，对在工作中出现的服务人员的人身安全承担责任，并对由于服务人员的原因导致的第三人的人身财产损失承担赔偿责任。</w:t>
      </w:r>
    </w:p>
    <w:p w14:paraId="3B0C1FF8">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7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⑦</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21DF946B">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8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⑧</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法规、政策规定由乙方承担的其他责任。</w:t>
      </w:r>
    </w:p>
    <w:p w14:paraId="6794AF67">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第八条 质量保证</w:t>
      </w:r>
    </w:p>
    <w:p w14:paraId="6A73B5FA">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乙方各项服务承诺指标及所采取的措施按照采购文件要求及相应文件的承诺予以确定。</w:t>
      </w:r>
    </w:p>
    <w:p w14:paraId="1EF1F6CC">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第九条 违约责任</w:t>
      </w:r>
    </w:p>
    <w:p w14:paraId="4B1D7ECF">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rPr>
        <w:t>0.5 ％</w:t>
      </w:r>
      <w:r>
        <w:rPr>
          <w:rFonts w:hint="eastAsia" w:ascii="宋体" w:hAnsi="宋体" w:eastAsia="宋体" w:cs="宋体"/>
          <w:bCs/>
          <w:color w:val="000000"/>
          <w:sz w:val="24"/>
          <w:szCs w:val="24"/>
        </w:rPr>
        <w:t>的滞纳金，但累计总额不超过欠款总额的</w:t>
      </w:r>
      <w:r>
        <w:rPr>
          <w:rFonts w:hint="eastAsia" w:ascii="宋体" w:hAnsi="宋体" w:eastAsia="宋体" w:cs="宋体"/>
          <w:bCs/>
          <w:color w:val="000000"/>
          <w:sz w:val="24"/>
          <w:szCs w:val="24"/>
          <w:u w:val="single"/>
        </w:rPr>
        <w:t xml:space="preserve"> 5 ％</w:t>
      </w:r>
      <w:r>
        <w:rPr>
          <w:rFonts w:hint="eastAsia" w:ascii="宋体" w:hAnsi="宋体" w:eastAsia="宋体" w:cs="宋体"/>
          <w:bCs/>
          <w:color w:val="000000"/>
          <w:sz w:val="24"/>
          <w:szCs w:val="24"/>
        </w:rPr>
        <w:t>。</w:t>
      </w:r>
    </w:p>
    <w:p w14:paraId="5FC683CD">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9.2有下列情形之一的，乙方应当向甲方支付合同约定合同总价（按54000案件数*成交单价）金额</w:t>
      </w:r>
      <w:r>
        <w:rPr>
          <w:rFonts w:hint="eastAsia" w:ascii="宋体" w:hAnsi="宋体" w:eastAsia="宋体" w:cs="宋体"/>
          <w:bCs/>
          <w:color w:val="000000"/>
          <w:sz w:val="24"/>
          <w:szCs w:val="24"/>
          <w:u w:val="single"/>
        </w:rPr>
        <w:t xml:space="preserve"> 5 %</w:t>
      </w:r>
      <w:r>
        <w:rPr>
          <w:rFonts w:hint="eastAsia" w:ascii="宋体" w:hAnsi="宋体" w:eastAsia="宋体" w:cs="宋体"/>
          <w:bCs/>
          <w:color w:val="000000"/>
          <w:sz w:val="24"/>
          <w:szCs w:val="24"/>
        </w:rPr>
        <w:t>的违约金：</w:t>
      </w:r>
    </w:p>
    <w:p w14:paraId="47F0CA5E">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9.2.1乙方服务团队成员未经甲方同意发生变更，经甲方要求恢复后，未在合理期限内（</w:t>
      </w:r>
      <w:r>
        <w:rPr>
          <w:rFonts w:hint="eastAsia" w:ascii="宋体" w:hAnsi="宋体" w:eastAsia="宋体" w:cs="宋体"/>
          <w:bCs/>
          <w:color w:val="000000"/>
          <w:sz w:val="24"/>
          <w:szCs w:val="24"/>
          <w:u w:val="single"/>
        </w:rPr>
        <w:t xml:space="preserve"> 7 </w:t>
      </w:r>
      <w:r>
        <w:rPr>
          <w:rFonts w:hint="eastAsia" w:ascii="宋体" w:hAnsi="宋体" w:eastAsia="宋体" w:cs="宋体"/>
          <w:bCs/>
          <w:color w:val="000000"/>
          <w:sz w:val="24"/>
          <w:szCs w:val="24"/>
        </w:rPr>
        <w:t>日内）恢复的；</w:t>
      </w:r>
    </w:p>
    <w:p w14:paraId="1D2B4F19">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9.2</w:t>
      </w:r>
      <w:r>
        <w:rPr>
          <w:rFonts w:hint="eastAsia" w:ascii="宋体" w:hAnsi="宋体" w:eastAsia="宋体" w:cs="宋体"/>
          <w:bCs/>
          <w:color w:val="000000"/>
          <w:sz w:val="24"/>
          <w:szCs w:val="24"/>
        </w:rPr>
        <w:t>.2乙方服务团队成员的证书、工作经验、学历等方面与</w:t>
      </w:r>
      <w:r>
        <w:rPr>
          <w:rFonts w:hint="eastAsia" w:ascii="宋体" w:hAnsi="宋体" w:eastAsia="宋体" w:cs="宋体"/>
          <w:bCs/>
          <w:color w:val="000000"/>
          <w:sz w:val="24"/>
          <w:szCs w:val="24"/>
          <w:lang w:val="en-US" w:eastAsia="zh-CN"/>
        </w:rPr>
        <w:t>磋商</w:t>
      </w:r>
      <w:r>
        <w:rPr>
          <w:rFonts w:hint="eastAsia" w:ascii="宋体" w:hAnsi="宋体" w:eastAsia="宋体" w:cs="宋体"/>
          <w:bCs/>
          <w:color w:val="000000"/>
          <w:sz w:val="24"/>
          <w:szCs w:val="24"/>
        </w:rPr>
        <w:t>文件及</w:t>
      </w:r>
      <w:r>
        <w:rPr>
          <w:rFonts w:hint="eastAsia" w:ascii="宋体" w:hAnsi="宋体" w:eastAsia="宋体" w:cs="宋体"/>
          <w:bCs/>
          <w:color w:val="000000"/>
          <w:sz w:val="24"/>
          <w:szCs w:val="24"/>
          <w:lang w:val="en-US" w:eastAsia="zh-CN"/>
        </w:rPr>
        <w:t>响应</w:t>
      </w:r>
      <w:r>
        <w:rPr>
          <w:rFonts w:hint="eastAsia" w:ascii="宋体" w:hAnsi="宋体" w:eastAsia="宋体" w:cs="宋体"/>
          <w:bCs/>
          <w:color w:val="000000"/>
          <w:sz w:val="24"/>
          <w:szCs w:val="24"/>
        </w:rPr>
        <w:t>文件要求不符；</w:t>
      </w:r>
    </w:p>
    <w:p w14:paraId="2AC54DD4">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w:t>
      </w: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rPr>
        <w:t>乙方单位总体服务能力发生下降，专业技术人员减员或资质下降人数达到</w:t>
      </w:r>
      <w:r>
        <w:rPr>
          <w:rFonts w:hint="eastAsia" w:ascii="宋体" w:hAnsi="宋体" w:eastAsia="宋体" w:cs="宋体"/>
          <w:bCs/>
          <w:color w:val="000000"/>
          <w:sz w:val="24"/>
          <w:szCs w:val="24"/>
          <w:u w:val="single"/>
        </w:rPr>
        <w:t xml:space="preserve"> 1</w:t>
      </w:r>
      <w:r>
        <w:rPr>
          <w:rFonts w:hint="eastAsia" w:ascii="宋体" w:hAnsi="宋体" w:eastAsia="宋体" w:cs="宋体"/>
          <w:bCs/>
          <w:color w:val="000000"/>
          <w:sz w:val="24"/>
          <w:szCs w:val="24"/>
        </w:rPr>
        <w:t>人 的；</w:t>
      </w:r>
    </w:p>
    <w:p w14:paraId="6EDD8E3D">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w:t>
      </w:r>
      <w:r>
        <w:rPr>
          <w:rFonts w:hint="eastAsia" w:ascii="宋体" w:hAnsi="宋体" w:eastAsia="宋体" w:cs="宋体"/>
          <w:bCs/>
          <w:color w:val="000000"/>
          <w:sz w:val="24"/>
          <w:szCs w:val="24"/>
          <w:lang w:val="en-US" w:eastAsia="zh-CN"/>
        </w:rPr>
        <w:t>4</w:t>
      </w:r>
      <w:r>
        <w:rPr>
          <w:rFonts w:hint="eastAsia" w:ascii="宋体" w:hAnsi="宋体" w:eastAsia="宋体" w:cs="宋体"/>
          <w:bCs/>
          <w:color w:val="000000"/>
          <w:sz w:val="24"/>
          <w:szCs w:val="24"/>
        </w:rPr>
        <w:t>乙方人员无故未能按约到甲方提供服务，服务期限内达到</w:t>
      </w:r>
      <w:r>
        <w:rPr>
          <w:rFonts w:hint="eastAsia" w:ascii="宋体" w:hAnsi="宋体" w:eastAsia="宋体" w:cs="宋体"/>
          <w:bCs/>
          <w:color w:val="000000"/>
          <w:sz w:val="24"/>
          <w:szCs w:val="24"/>
          <w:u w:val="single"/>
        </w:rPr>
        <w:t xml:space="preserve"> 1 </w:t>
      </w:r>
      <w:r>
        <w:rPr>
          <w:rFonts w:hint="eastAsia" w:ascii="宋体" w:hAnsi="宋体" w:eastAsia="宋体" w:cs="宋体"/>
          <w:bCs/>
          <w:color w:val="000000"/>
          <w:sz w:val="24"/>
          <w:szCs w:val="24"/>
        </w:rPr>
        <w:t>人次的；</w:t>
      </w:r>
    </w:p>
    <w:p w14:paraId="246C0C77">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w:t>
      </w:r>
      <w:r>
        <w:rPr>
          <w:rFonts w:hint="eastAsia" w:ascii="宋体" w:hAnsi="宋体" w:eastAsia="宋体" w:cs="宋体"/>
          <w:bCs/>
          <w:color w:val="000000"/>
          <w:sz w:val="24"/>
          <w:szCs w:val="24"/>
          <w:lang w:val="en-US" w:eastAsia="zh-CN"/>
        </w:rPr>
        <w:t>5</w:t>
      </w:r>
      <w:r>
        <w:rPr>
          <w:rFonts w:hint="eastAsia" w:ascii="宋体" w:hAnsi="宋体" w:eastAsia="宋体" w:cs="宋体"/>
          <w:bCs/>
          <w:color w:val="000000"/>
          <w:sz w:val="24"/>
          <w:szCs w:val="24"/>
        </w:rPr>
        <w:t>乙方人员不能响应甲方紧急服务需求的；</w:t>
      </w:r>
    </w:p>
    <w:p w14:paraId="51600FC0">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w:t>
      </w:r>
      <w:r>
        <w:rPr>
          <w:rFonts w:hint="eastAsia" w:ascii="宋体" w:hAnsi="宋体" w:eastAsia="宋体" w:cs="宋体"/>
          <w:bCs/>
          <w:color w:val="000000"/>
          <w:sz w:val="24"/>
          <w:szCs w:val="24"/>
          <w:lang w:val="en-US" w:eastAsia="zh-CN"/>
        </w:rPr>
        <w:t>6</w:t>
      </w:r>
      <w:r>
        <w:rPr>
          <w:rFonts w:hint="eastAsia" w:ascii="宋体" w:hAnsi="宋体" w:eastAsia="宋体" w:cs="宋体"/>
          <w:bCs/>
          <w:color w:val="000000"/>
          <w:sz w:val="24"/>
          <w:szCs w:val="24"/>
        </w:rPr>
        <w:t>因乙方服务人员原因在服务期间给甲方造成不良影响的，服务期限内达到</w:t>
      </w:r>
      <w:r>
        <w:rPr>
          <w:rFonts w:hint="eastAsia" w:ascii="宋体" w:hAnsi="宋体" w:eastAsia="宋体" w:cs="宋体"/>
          <w:bCs/>
          <w:color w:val="000000"/>
          <w:sz w:val="24"/>
          <w:szCs w:val="24"/>
          <w:u w:val="single"/>
        </w:rPr>
        <w:t xml:space="preserve"> 1 </w:t>
      </w:r>
      <w:r>
        <w:rPr>
          <w:rFonts w:hint="eastAsia" w:ascii="宋体" w:hAnsi="宋体" w:eastAsia="宋体" w:cs="宋体"/>
          <w:bCs/>
          <w:color w:val="000000"/>
          <w:sz w:val="24"/>
          <w:szCs w:val="24"/>
        </w:rPr>
        <w:t>次的；</w:t>
      </w:r>
    </w:p>
    <w:p w14:paraId="1193C9E4">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w:t>
      </w:r>
      <w:r>
        <w:rPr>
          <w:rFonts w:hint="eastAsia" w:ascii="宋体" w:hAnsi="宋体" w:eastAsia="宋体" w:cs="宋体"/>
          <w:bCs/>
          <w:color w:val="000000"/>
          <w:sz w:val="24"/>
          <w:szCs w:val="24"/>
          <w:lang w:val="en-US" w:eastAsia="zh-CN"/>
        </w:rPr>
        <w:t>7</w:t>
      </w:r>
      <w:r>
        <w:rPr>
          <w:rFonts w:hint="eastAsia" w:ascii="宋体" w:hAnsi="宋体" w:eastAsia="宋体" w:cs="宋体"/>
          <w:bCs/>
          <w:color w:val="000000"/>
          <w:sz w:val="24"/>
          <w:szCs w:val="24"/>
        </w:rPr>
        <w:t>乙方及其服务人员虚报服务内容、服务时间等，骗取甲方服务费用的；</w:t>
      </w:r>
    </w:p>
    <w:p w14:paraId="3799205B">
      <w:pPr>
        <w:pageBreakBefore w:val="0"/>
        <w:kinsoku/>
        <w:wordWrap/>
        <w:overflowPunct/>
        <w:topLinePunct w:val="0"/>
        <w:autoSpaceDE/>
        <w:autoSpaceDN/>
        <w:bidi w:val="0"/>
        <w:adjustRightInd/>
        <w:snapToGrid/>
        <w:spacing w:line="440" w:lineRule="exact"/>
        <w:ind w:firstLine="240" w:firstLineChars="1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lang w:val="en-US" w:eastAsia="zh-CN"/>
        </w:rPr>
        <w:t>9.3</w:t>
      </w:r>
      <w:r>
        <w:rPr>
          <w:rFonts w:hint="eastAsia" w:ascii="宋体" w:hAnsi="宋体" w:eastAsia="宋体" w:cs="宋体"/>
          <w:bCs/>
          <w:color w:val="000000"/>
          <w:sz w:val="24"/>
          <w:szCs w:val="24"/>
        </w:rPr>
        <w:t>根据第七条乙方义务，如乙方未按本合同规定提供相关服务或未能履行本合同规定的其他义务的，甲方有权依据考核结果结算当期服务费金额并要求乙方限期整改，逾期不整改或整改后</w:t>
      </w:r>
      <w:r>
        <w:rPr>
          <w:rFonts w:hint="eastAsia" w:ascii="宋体" w:hAnsi="宋体" w:eastAsia="宋体" w:cs="宋体"/>
          <w:bCs/>
          <w:color w:val="000000"/>
          <w:sz w:val="24"/>
          <w:szCs w:val="24"/>
          <w:highlight w:val="none"/>
        </w:rPr>
        <w:t>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按54000案件数*成交单价</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20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的违约金。</w:t>
      </w:r>
    </w:p>
    <w:p w14:paraId="63C51216">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9.</w:t>
      </w:r>
      <w:r>
        <w:rPr>
          <w:rFonts w:hint="eastAsia" w:ascii="宋体" w:hAnsi="宋体" w:eastAsia="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乙方在承担上述9.2</w:t>
      </w:r>
      <w:r>
        <w:rPr>
          <w:rFonts w:hint="eastAsia" w:ascii="宋体" w:hAnsi="宋体" w:eastAsia="宋体" w:cs="宋体"/>
          <w:bCs/>
          <w:color w:val="000000"/>
          <w:sz w:val="24"/>
          <w:szCs w:val="24"/>
        </w:rPr>
        <w:t>项中一项或多项违约责任后，仍应继续履行合同规定的义务（甲方解除合同的除外）。甲方未能及时追究乙方的任何一项违约责任并不表明甲方放弃追究乙方该项或其他违约责任。</w:t>
      </w:r>
    </w:p>
    <w:p w14:paraId="3106607C">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第十条 合同的解除</w:t>
      </w:r>
    </w:p>
    <w:p w14:paraId="56F087FC">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出现下列情形之一的，甲方有权解除本合同：</w:t>
      </w:r>
    </w:p>
    <w:p w14:paraId="23E3E1AA">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10.1乙方单位总体服务能力发生下降，专业技术人员减员或资质下降人数达到</w:t>
      </w:r>
      <w:r>
        <w:rPr>
          <w:rFonts w:hint="eastAsia" w:ascii="宋体" w:hAnsi="宋体" w:eastAsia="宋体" w:cs="宋体"/>
          <w:bCs/>
          <w:color w:val="000000"/>
          <w:sz w:val="24"/>
          <w:szCs w:val="24"/>
          <w:u w:val="single"/>
        </w:rPr>
        <w:t xml:space="preserve"> 2 </w:t>
      </w:r>
      <w:r>
        <w:rPr>
          <w:rFonts w:hint="eastAsia" w:ascii="宋体" w:hAnsi="宋体" w:eastAsia="宋体" w:cs="宋体"/>
          <w:bCs/>
          <w:color w:val="000000"/>
          <w:sz w:val="24"/>
          <w:szCs w:val="24"/>
        </w:rPr>
        <w:t>人的；</w:t>
      </w:r>
    </w:p>
    <w:p w14:paraId="717C128E">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10.2乙方人员无故未能按约到甲方提供服务，服务期限内达到</w:t>
      </w:r>
      <w:r>
        <w:rPr>
          <w:rFonts w:hint="eastAsia" w:ascii="宋体" w:hAnsi="宋体" w:eastAsia="宋体" w:cs="宋体"/>
          <w:bCs/>
          <w:color w:val="000000"/>
          <w:sz w:val="24"/>
          <w:szCs w:val="24"/>
          <w:u w:val="single"/>
        </w:rPr>
        <w:t xml:space="preserve"> 2 </w:t>
      </w:r>
      <w:r>
        <w:rPr>
          <w:rFonts w:hint="eastAsia" w:ascii="宋体" w:hAnsi="宋体" w:eastAsia="宋体" w:cs="宋体"/>
          <w:bCs/>
          <w:color w:val="000000"/>
          <w:sz w:val="24"/>
          <w:szCs w:val="24"/>
        </w:rPr>
        <w:t>人次的；</w:t>
      </w:r>
    </w:p>
    <w:p w14:paraId="691A10E2">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10.3乙方人员不能响应甲方紧急服务需求的，经甲方指出后未能改正的；</w:t>
      </w:r>
    </w:p>
    <w:p w14:paraId="6BC49E8A">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10.4因乙方服务人员原因在服务期间给甲方造成不良影响的，服务期限内达到</w:t>
      </w:r>
      <w:r>
        <w:rPr>
          <w:rFonts w:hint="eastAsia" w:ascii="宋体" w:hAnsi="宋体" w:eastAsia="宋体" w:cs="宋体"/>
          <w:bCs/>
          <w:color w:val="000000"/>
          <w:sz w:val="24"/>
          <w:szCs w:val="24"/>
          <w:u w:val="single"/>
        </w:rPr>
        <w:t xml:space="preserve"> 2 </w:t>
      </w:r>
      <w:r>
        <w:rPr>
          <w:rFonts w:hint="eastAsia" w:ascii="宋体" w:hAnsi="宋体" w:eastAsia="宋体" w:cs="宋体"/>
          <w:bCs/>
          <w:color w:val="000000"/>
          <w:sz w:val="24"/>
          <w:szCs w:val="24"/>
        </w:rPr>
        <w:t>次的；</w:t>
      </w:r>
    </w:p>
    <w:p w14:paraId="7F148953">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10.5乙方及其服务人员虚报服务内容、服务时间等，骗取甲方服务费用的；</w:t>
      </w:r>
    </w:p>
    <w:p w14:paraId="7CABC086">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10.6因乙方不当服务或服务人员违法，给甲方造成严重不良影响的；</w:t>
      </w:r>
    </w:p>
    <w:p w14:paraId="555EA10C">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10.7乙方一年内因生产安全事故受到行政处罚达到3次的，或者因为乙方发生生产安全事故、环境损害事故，给甲方造成重大不良影响的或导致甲方受到行政处罚的。</w:t>
      </w:r>
    </w:p>
    <w:p w14:paraId="585C3576">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第十一条 不可抗力</w:t>
      </w:r>
    </w:p>
    <w:p w14:paraId="610355EA">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11.1不可抗力，是指不能预见、不能避免并不能克服的客观情况，如战争、动乱、洪水、地震、风暴等。</w:t>
      </w:r>
    </w:p>
    <w:p w14:paraId="391B89A1">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3A6A036">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11.3发生不可抗力事件，任何一方均不对因不可抗力无法履行或迟延履行本合同义务而使另一方蒙受的任何损失承担责任，法律另有规定的除外。</w:t>
      </w:r>
    </w:p>
    <w:p w14:paraId="2DC94618">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11.4合同各方应根据不可抗力对本合同履行的影响程度，协商确定是否终止或是继续履行本合同。</w:t>
      </w:r>
    </w:p>
    <w:p w14:paraId="0245F026">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第十二条 合同的变更、中止</w:t>
      </w:r>
    </w:p>
    <w:p w14:paraId="3DC8D3E1">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本合同一经签订，双方均不得擅自变更或中止合同，除非合同的继续履行将损害国家利益和社会公共利益。</w:t>
      </w:r>
    </w:p>
    <w:p w14:paraId="690921F9">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第十三条 合同的终止</w:t>
      </w:r>
    </w:p>
    <w:p w14:paraId="28F7B435">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13.1 本合同因下列原因而终止：</w:t>
      </w:r>
    </w:p>
    <w:p w14:paraId="52B1AAD8">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13.1.1 本合同正常履行完毕；</w:t>
      </w:r>
    </w:p>
    <w:p w14:paraId="4D433D30">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13.1.2 因不可抗力导致本合同无法履行或履行不必要；</w:t>
      </w:r>
    </w:p>
    <w:p w14:paraId="0CA58E79">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13.1.3 任何一方行使解除权解除本合同；</w:t>
      </w:r>
    </w:p>
    <w:p w14:paraId="71D9F1E8">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13.1.4 合同的继续履行将损害国家利益和社会公共利益且不宜变更、中止的。</w:t>
      </w:r>
    </w:p>
    <w:p w14:paraId="40F8CA31">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13.2除上述情形外，甲乙双方不得擅自终止合同。</w:t>
      </w:r>
    </w:p>
    <w:p w14:paraId="390A5BE1">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第十四条 合同的转让</w:t>
      </w:r>
    </w:p>
    <w:p w14:paraId="18CD79EE">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乙方不得将其合同项下的权利义务部分或全部转让给第三方。</w:t>
      </w:r>
    </w:p>
    <w:p w14:paraId="563A8940">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第十五条 履约保证金</w:t>
      </w:r>
    </w:p>
    <w:p w14:paraId="7DD56518">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无</w:t>
      </w:r>
    </w:p>
    <w:p w14:paraId="422AE0BA">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第十六条 争议解决方式</w:t>
      </w:r>
    </w:p>
    <w:p w14:paraId="3A0F4432">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16.1在执行本合同过程中所发生的或与本合同有关的一切争端，甲乙双方友好协商解决。如协商不能解决，则全部争端由甲方所在地人民法院管辖。</w:t>
      </w:r>
    </w:p>
    <w:p w14:paraId="39EC0E70">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16.2如因乙方违约，导致甲方起诉的，甲方由此产生的诉讼费用、律师费用、差旅费用等，均由乙方承担。</w:t>
      </w:r>
    </w:p>
    <w:p w14:paraId="21F661C6">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第十七条 通知与送达</w:t>
      </w:r>
    </w:p>
    <w:p w14:paraId="368D76D5">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17.1甲乙双方因履行本合同需要向对方发送通知、文件、资料的，均以下列联系信息确定内容进行：</w:t>
      </w:r>
    </w:p>
    <w:p w14:paraId="3452D85B">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17.1.1甲方联系信息：</w:t>
      </w:r>
    </w:p>
    <w:p w14:paraId="38889846">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指定收件人：</w:t>
      </w:r>
      <w:r>
        <w:rPr>
          <w:rFonts w:hint="eastAsia" w:ascii="宋体" w:hAnsi="宋体" w:eastAsia="宋体" w:cs="宋体"/>
          <w:bCs/>
          <w:color w:val="000000"/>
          <w:sz w:val="24"/>
          <w:szCs w:val="24"/>
          <w:u w:val="single"/>
        </w:rPr>
        <w:t xml:space="preserve">                           </w:t>
      </w:r>
    </w:p>
    <w:p w14:paraId="5B71FE8E">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送达地址：</w:t>
      </w:r>
      <w:r>
        <w:rPr>
          <w:rFonts w:hint="eastAsia" w:ascii="宋体" w:hAnsi="宋体" w:eastAsia="宋体" w:cs="宋体"/>
          <w:bCs/>
          <w:color w:val="000000"/>
          <w:sz w:val="24"/>
          <w:szCs w:val="24"/>
          <w:u w:val="single"/>
        </w:rPr>
        <w:t xml:space="preserve">                           </w:t>
      </w:r>
    </w:p>
    <w:p w14:paraId="07CDDCA7">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指定电子收件方式：</w:t>
      </w:r>
      <w:r>
        <w:rPr>
          <w:rFonts w:hint="eastAsia" w:ascii="宋体" w:hAnsi="宋体" w:eastAsia="宋体" w:cs="宋体"/>
          <w:bCs/>
          <w:color w:val="000000"/>
          <w:sz w:val="24"/>
          <w:szCs w:val="24"/>
          <w:u w:val="single"/>
        </w:rPr>
        <w:t xml:space="preserve">                           </w:t>
      </w:r>
    </w:p>
    <w:p w14:paraId="644499CE">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17.1.2乙方联系信息：</w:t>
      </w:r>
    </w:p>
    <w:p w14:paraId="1410C5A4">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指定收件人：</w:t>
      </w:r>
      <w:r>
        <w:rPr>
          <w:rFonts w:hint="eastAsia" w:ascii="宋体" w:hAnsi="宋体" w:eastAsia="宋体" w:cs="宋体"/>
          <w:bCs/>
          <w:color w:val="000000"/>
          <w:sz w:val="24"/>
          <w:szCs w:val="24"/>
          <w:u w:val="single"/>
        </w:rPr>
        <w:t xml:space="preserve">                           </w:t>
      </w:r>
    </w:p>
    <w:p w14:paraId="6CBF9683">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送达地址：</w:t>
      </w:r>
      <w:r>
        <w:rPr>
          <w:rFonts w:hint="eastAsia" w:ascii="宋体" w:hAnsi="宋体" w:eastAsia="宋体" w:cs="宋体"/>
          <w:bCs/>
          <w:color w:val="000000"/>
          <w:sz w:val="24"/>
          <w:szCs w:val="24"/>
          <w:u w:val="single"/>
        </w:rPr>
        <w:t xml:space="preserve">                           </w:t>
      </w:r>
    </w:p>
    <w:p w14:paraId="053497CA">
      <w:pPr>
        <w:pageBreakBefore w:val="0"/>
        <w:kinsoku/>
        <w:wordWrap/>
        <w:overflowPunct/>
        <w:topLinePunct w:val="0"/>
        <w:autoSpaceDE/>
        <w:autoSpaceDN/>
        <w:bidi w:val="0"/>
        <w:adjustRightInd/>
        <w:snapToGrid/>
        <w:spacing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指定电子收件方式：</w:t>
      </w:r>
      <w:r>
        <w:rPr>
          <w:rFonts w:hint="eastAsia" w:ascii="宋体" w:hAnsi="宋体" w:eastAsia="宋体" w:cs="宋体"/>
          <w:bCs/>
          <w:color w:val="000000"/>
          <w:sz w:val="24"/>
          <w:szCs w:val="24"/>
          <w:u w:val="single"/>
        </w:rPr>
        <w:t xml:space="preserve">                           </w:t>
      </w:r>
    </w:p>
    <w:p w14:paraId="7864804B">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17.2双方确认前述联系信息作为解决争议时接受人民法院诉讼文书的送达地址和联系方式。</w:t>
      </w:r>
    </w:p>
    <w:p w14:paraId="106BDB67">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17.3任何一方改变前述联系信息的，应在发生变更后的3天内告知对方并做好通知到达对方前可能存在的邮件的接收。如未通知的，视为没有变更。</w:t>
      </w:r>
    </w:p>
    <w:p w14:paraId="0EB1B256">
      <w:pPr>
        <w:pageBreakBefore w:val="0"/>
        <w:kinsoku/>
        <w:wordWrap/>
        <w:overflowPunct/>
        <w:topLinePunct w:val="0"/>
        <w:autoSpaceDE/>
        <w:autoSpaceDN/>
        <w:bidi w:val="0"/>
        <w:adjustRightInd/>
        <w:snapToGrid/>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第十八条 合同生效及其他</w:t>
      </w:r>
    </w:p>
    <w:p w14:paraId="74D4DF60">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18.1 合同在双方加盖公章或双方法定代表人、授权代表签字后生效。</w:t>
      </w:r>
    </w:p>
    <w:p w14:paraId="7A5D498D">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18.2 本合同一式五份，以简体中文书写，甲方两份、乙方两份、江苏协诚工程咨询有限公司一份。</w:t>
      </w:r>
    </w:p>
    <w:p w14:paraId="13B256D3">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4"/>
        </w:rPr>
      </w:pPr>
      <w:r>
        <w:rPr>
          <w:rFonts w:hint="eastAsia" w:ascii="宋体" w:hAnsi="宋体" w:eastAsia="宋体" w:cs="宋体"/>
          <w:bCs/>
          <w:color w:val="000000"/>
          <w:sz w:val="24"/>
          <w:szCs w:val="24"/>
        </w:rPr>
        <w:t>18.3 本合同应按照中华人民共和国的现行法律进行解释。</w:t>
      </w:r>
    </w:p>
    <w:p w14:paraId="24870435">
      <w:pPr>
        <w:pageBreakBefore w:val="0"/>
        <w:widowControl/>
        <w:kinsoku/>
        <w:wordWrap/>
        <w:overflowPunct/>
        <w:topLinePunct w:val="0"/>
        <w:autoSpaceDE/>
        <w:autoSpaceDN/>
        <w:bidi w:val="0"/>
        <w:adjustRightInd/>
        <w:snapToGrid/>
        <w:spacing w:line="440" w:lineRule="exact"/>
        <w:ind w:firstLine="620"/>
        <w:rPr>
          <w:rFonts w:hint="eastAsia" w:ascii="宋体" w:hAnsi="宋体" w:eastAsia="宋体" w:cs="宋体"/>
          <w:bCs/>
          <w:color w:val="000000"/>
          <w:sz w:val="24"/>
          <w:szCs w:val="24"/>
        </w:rPr>
      </w:pPr>
    </w:p>
    <w:p w14:paraId="480862E8">
      <w:pPr>
        <w:pageBreakBefore w:val="0"/>
        <w:widowControl/>
        <w:kinsoku/>
        <w:wordWrap/>
        <w:overflowPunct/>
        <w:topLinePunct w:val="0"/>
        <w:autoSpaceDE/>
        <w:autoSpaceDN/>
        <w:bidi w:val="0"/>
        <w:adjustRightInd/>
        <w:snapToGrid/>
        <w:spacing w:line="440" w:lineRule="exact"/>
        <w:ind w:firstLine="620"/>
        <w:rPr>
          <w:rFonts w:hint="eastAsia" w:ascii="宋体" w:hAnsi="宋体" w:eastAsia="宋体" w:cs="宋体"/>
          <w:bCs/>
          <w:color w:val="000000"/>
          <w:sz w:val="24"/>
          <w:szCs w:val="24"/>
        </w:rPr>
      </w:pPr>
      <w:r>
        <w:rPr>
          <w:rFonts w:hint="eastAsia" w:ascii="宋体" w:hAnsi="宋体" w:eastAsia="宋体" w:cs="宋体"/>
          <w:bCs/>
          <w:color w:val="000000"/>
          <w:sz w:val="24"/>
          <w:szCs w:val="24"/>
        </w:rPr>
        <w:t>甲方（公章）：                           乙方（公章）：</w:t>
      </w:r>
    </w:p>
    <w:p w14:paraId="034CBFE6">
      <w:pPr>
        <w:pageBreakBefore w:val="0"/>
        <w:widowControl/>
        <w:kinsoku/>
        <w:wordWrap/>
        <w:overflowPunct/>
        <w:topLinePunct w:val="0"/>
        <w:autoSpaceDE/>
        <w:autoSpaceDN/>
        <w:bidi w:val="0"/>
        <w:adjustRightInd/>
        <w:snapToGrid/>
        <w:spacing w:line="440" w:lineRule="exact"/>
        <w:ind w:firstLine="620"/>
        <w:rPr>
          <w:rFonts w:hint="eastAsia" w:ascii="宋体" w:hAnsi="宋体" w:eastAsia="宋体" w:cs="宋体"/>
          <w:bCs/>
          <w:color w:val="000000"/>
          <w:sz w:val="24"/>
          <w:szCs w:val="24"/>
        </w:rPr>
      </w:pPr>
      <w:r>
        <w:rPr>
          <w:rFonts w:hint="eastAsia" w:ascii="宋体" w:hAnsi="宋体" w:eastAsia="宋体" w:cs="宋体"/>
          <w:color w:val="000000"/>
          <w:sz w:val="24"/>
          <w:szCs w:val="24"/>
        </w:rPr>
        <w:t>法定（授权）代表人（签字）：             法定（授权）代表人（签字）：</w:t>
      </w:r>
    </w:p>
    <w:p w14:paraId="1994DFFB">
      <w:pPr>
        <w:pageBreakBefore w:val="0"/>
        <w:widowControl/>
        <w:kinsoku/>
        <w:wordWrap/>
        <w:overflowPunct/>
        <w:topLinePunct w:val="0"/>
        <w:autoSpaceDE/>
        <w:autoSpaceDN/>
        <w:bidi w:val="0"/>
        <w:adjustRightInd/>
        <w:snapToGrid/>
        <w:spacing w:line="440" w:lineRule="exact"/>
        <w:ind w:firstLine="72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p>
    <w:p w14:paraId="05EE30FF">
      <w:pPr>
        <w:pageBreakBefore w:val="0"/>
        <w:widowControl/>
        <w:kinsoku/>
        <w:wordWrap/>
        <w:overflowPunct/>
        <w:topLinePunct w:val="0"/>
        <w:autoSpaceDE/>
        <w:autoSpaceDN/>
        <w:bidi w:val="0"/>
        <w:adjustRightInd/>
        <w:snapToGrid/>
        <w:spacing w:line="440" w:lineRule="exact"/>
        <w:ind w:firstLine="620"/>
        <w:jc w:val="left"/>
        <w:rPr>
          <w:rFonts w:hint="eastAsia" w:ascii="宋体" w:hAnsi="宋体" w:eastAsia="宋体" w:cs="宋体"/>
          <w:bCs/>
          <w:color w:val="000000"/>
          <w:sz w:val="24"/>
          <w:szCs w:val="24"/>
        </w:rPr>
        <w:sectPr>
          <w:headerReference r:id="rId5" w:type="first"/>
          <w:footerReference r:id="rId7" w:type="first"/>
          <w:footerReference r:id="rId6" w:type="default"/>
          <w:pgSz w:w="11907" w:h="16839"/>
          <w:pgMar w:top="1440" w:right="1077" w:bottom="1440" w:left="1077" w:header="0" w:footer="0" w:gutter="0"/>
          <w:pgNumType w:start="1"/>
          <w:cols w:space="720" w:num="1"/>
          <w:titlePg/>
          <w:docGrid w:linePitch="360" w:charSpace="0"/>
        </w:sectPr>
      </w:pPr>
    </w:p>
    <w:p w14:paraId="37A5B9DF">
      <w:pPr>
        <w:pStyle w:val="2"/>
        <w:pageBreakBefore w:val="0"/>
        <w:kinsoku/>
        <w:wordWrap/>
        <w:overflowPunct/>
        <w:topLinePunct w:val="0"/>
        <w:autoSpaceDE/>
        <w:autoSpaceDN/>
        <w:bidi w:val="0"/>
        <w:adjustRightInd/>
        <w:snapToGrid/>
        <w:spacing w:line="440" w:lineRule="exact"/>
        <w:rPr>
          <w:rFonts w:hint="eastAsia" w:ascii="宋体" w:hAnsi="宋体" w:eastAsia="宋体" w:cs="宋体"/>
          <w:szCs w:val="22"/>
        </w:rPr>
      </w:pPr>
      <w:bookmarkStart w:id="48" w:name="_Toc21192"/>
      <w:bookmarkStart w:id="49" w:name="_Toc10486"/>
      <w:bookmarkStart w:id="50" w:name="_Toc159312656"/>
      <w:r>
        <w:rPr>
          <w:rFonts w:hint="eastAsia" w:ascii="宋体" w:hAnsi="宋体" w:eastAsia="宋体" w:cs="宋体"/>
          <w:szCs w:val="22"/>
        </w:rPr>
        <w:t xml:space="preserve">第四章  </w:t>
      </w:r>
      <w:bookmarkEnd w:id="36"/>
      <w:r>
        <w:rPr>
          <w:rFonts w:hint="eastAsia" w:ascii="宋体" w:hAnsi="宋体" w:eastAsia="宋体" w:cs="宋体"/>
          <w:szCs w:val="22"/>
        </w:rPr>
        <w:t>采购需求</w:t>
      </w:r>
      <w:bookmarkEnd w:id="48"/>
      <w:bookmarkEnd w:id="49"/>
      <w:bookmarkEnd w:id="50"/>
    </w:p>
    <w:p w14:paraId="6301A94E">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lang w:eastAsia="zh-CN"/>
        </w:rPr>
      </w:pPr>
      <w:r>
        <w:rPr>
          <w:rFonts w:hint="eastAsia" w:ascii="宋体" w:hAnsi="宋体" w:eastAsia="宋体" w:cs="宋体"/>
          <w:b/>
          <w:bCs/>
          <w:sz w:val="28"/>
          <w:szCs w:val="28"/>
        </w:rPr>
        <w:t>项目名称：</w:t>
      </w:r>
      <w:r>
        <w:rPr>
          <w:rFonts w:hint="eastAsia" w:ascii="宋体" w:hAnsi="宋体" w:eastAsia="宋体" w:cs="宋体"/>
          <w:b/>
          <w:bCs/>
          <w:sz w:val="28"/>
          <w:szCs w:val="28"/>
          <w:lang w:eastAsia="zh-CN"/>
        </w:rPr>
        <w:t>常熟市人民法院全流程无纸化辅助服务</w:t>
      </w:r>
    </w:p>
    <w:p w14:paraId="0B7AB9E0">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lang w:eastAsia="zh-CN"/>
        </w:rPr>
      </w:pPr>
      <w:r>
        <w:rPr>
          <w:rFonts w:hint="eastAsia" w:ascii="宋体" w:hAnsi="宋体" w:eastAsia="宋体" w:cs="宋体"/>
          <w:b/>
          <w:bCs/>
          <w:sz w:val="28"/>
          <w:szCs w:val="28"/>
        </w:rPr>
        <w:t>项目编号：</w:t>
      </w:r>
      <w:r>
        <w:rPr>
          <w:rFonts w:hint="eastAsia" w:ascii="宋体" w:hAnsi="宋体" w:cs="宋体"/>
          <w:b/>
          <w:bCs/>
          <w:sz w:val="28"/>
          <w:szCs w:val="28"/>
          <w:lang w:eastAsia="zh-CN"/>
        </w:rPr>
        <w:t>JSZC-320581-CSXC-C2026-0048</w:t>
      </w:r>
    </w:p>
    <w:p w14:paraId="2736BBDF">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lang w:eastAsia="zh-CN"/>
        </w:rPr>
      </w:pPr>
      <w:r>
        <w:rPr>
          <w:rFonts w:hint="eastAsia" w:ascii="宋体" w:hAnsi="宋体" w:eastAsia="宋体" w:cs="宋体"/>
          <w:b/>
          <w:bCs/>
          <w:sz w:val="28"/>
          <w:szCs w:val="28"/>
        </w:rPr>
        <w:t>采 购 人：</w:t>
      </w:r>
      <w:r>
        <w:rPr>
          <w:rFonts w:hint="eastAsia" w:ascii="宋体" w:hAnsi="宋体" w:eastAsia="宋体" w:cs="宋体"/>
          <w:b/>
          <w:bCs/>
          <w:sz w:val="28"/>
          <w:szCs w:val="28"/>
          <w:lang w:eastAsia="zh-CN"/>
        </w:rPr>
        <w:t>常熟市人民法院</w:t>
      </w:r>
    </w:p>
    <w:p w14:paraId="54DC7197">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lang w:val="zh-CN"/>
        </w:rPr>
      </w:pPr>
      <w:bookmarkStart w:id="51" w:name="_Toc418490526"/>
      <w:r>
        <w:rPr>
          <w:rFonts w:hint="eastAsia" w:ascii="宋体" w:hAnsi="宋体" w:eastAsia="宋体" w:cs="宋体"/>
          <w:b/>
          <w:bCs/>
          <w:sz w:val="28"/>
          <w:szCs w:val="28"/>
          <w:lang w:val="zh-CN"/>
        </w:rPr>
        <w:t>一、</w:t>
      </w:r>
      <w:r>
        <w:rPr>
          <w:rFonts w:hint="eastAsia" w:ascii="宋体" w:hAnsi="宋体" w:eastAsia="宋体" w:cs="宋体"/>
          <w:b/>
          <w:sz w:val="28"/>
          <w:szCs w:val="28"/>
          <w:lang w:val="zh-CN"/>
        </w:rPr>
        <w:t>项目说明：</w:t>
      </w:r>
    </w:p>
    <w:p w14:paraId="2D4C32E3">
      <w:pPr>
        <w:pageBreakBefore w:val="0"/>
        <w:kinsoku/>
        <w:wordWrap/>
        <w:overflowPunct/>
        <w:topLinePunct w:val="0"/>
        <w:autoSpaceDE/>
        <w:autoSpaceDN/>
        <w:bidi w:val="0"/>
        <w:adjustRightInd/>
        <w:snapToGrid/>
        <w:spacing w:line="440" w:lineRule="exact"/>
        <w:ind w:right="216" w:firstLine="480"/>
        <w:rPr>
          <w:rFonts w:hint="eastAsia" w:ascii="宋体" w:hAnsi="宋体" w:eastAsia="宋体" w:cs="宋体"/>
          <w:sz w:val="24"/>
          <w:szCs w:val="24"/>
          <w:highlight w:val="none"/>
        </w:rPr>
      </w:pPr>
      <w:r>
        <w:rPr>
          <w:rFonts w:hint="eastAsia" w:ascii="宋体" w:hAnsi="宋体" w:eastAsia="宋体" w:cs="宋体"/>
          <w:sz w:val="24"/>
          <w:szCs w:val="24"/>
          <w:lang w:val="en-US" w:eastAsia="zh-CN"/>
        </w:rPr>
        <w:t>1</w:t>
      </w:r>
      <w:r>
        <w:rPr>
          <w:rFonts w:hint="eastAsia" w:ascii="宋体" w:hAnsi="宋体" w:eastAsia="宋体" w:cs="宋体"/>
          <w:sz w:val="24"/>
          <w:szCs w:val="24"/>
        </w:rPr>
        <w:t>、本项目采购内容：</w:t>
      </w:r>
      <w:r>
        <w:rPr>
          <w:rFonts w:hint="eastAsia" w:ascii="宋体" w:hAnsi="宋体" w:eastAsia="宋体" w:cs="宋体"/>
          <w:sz w:val="24"/>
          <w:szCs w:val="24"/>
          <w:lang w:eastAsia="zh-CN"/>
        </w:rPr>
        <w:t>常熟市人民法院</w:t>
      </w:r>
      <w:r>
        <w:rPr>
          <w:rFonts w:hint="eastAsia" w:ascii="宋体" w:hAnsi="宋体" w:eastAsia="宋体" w:cs="宋体"/>
          <w:sz w:val="24"/>
          <w:szCs w:val="24"/>
        </w:rPr>
        <w:t>所需的</w:t>
      </w:r>
      <w:r>
        <w:rPr>
          <w:rFonts w:hint="eastAsia" w:ascii="宋体" w:hAnsi="宋体" w:eastAsia="宋体" w:cs="宋体"/>
          <w:sz w:val="24"/>
          <w:szCs w:val="24"/>
          <w:lang w:eastAsia="zh-CN"/>
        </w:rPr>
        <w:t>常熟市人民法院全流程无纸化辅助服务，包括完成常熟市</w:t>
      </w:r>
      <w:r>
        <w:rPr>
          <w:rFonts w:hint="eastAsia" w:ascii="宋体" w:hAnsi="宋体" w:eastAsia="宋体" w:cs="宋体"/>
          <w:sz w:val="24"/>
          <w:szCs w:val="24"/>
          <w:highlight w:val="none"/>
          <w:lang w:eastAsia="zh-CN"/>
        </w:rPr>
        <w:t>人民法院</w:t>
      </w:r>
      <w:r>
        <w:rPr>
          <w:rFonts w:hint="eastAsia" w:ascii="宋体" w:hAnsi="宋体" w:eastAsia="宋体" w:cs="宋体"/>
          <w:sz w:val="24"/>
          <w:szCs w:val="24"/>
          <w:highlight w:val="none"/>
          <w:lang w:val="en-US" w:eastAsia="zh-CN"/>
        </w:rPr>
        <w:t>全院（含院本部、</w:t>
      </w:r>
      <w:r>
        <w:rPr>
          <w:rFonts w:hint="eastAsia" w:ascii="宋体" w:hAnsi="宋体" w:eastAsia="宋体" w:cs="宋体"/>
          <w:sz w:val="24"/>
          <w:szCs w:val="24"/>
          <w:highlight w:val="none"/>
          <w:lang w:eastAsia="zh-CN"/>
        </w:rPr>
        <w:t>派出法庭及执行局</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lang w:eastAsia="zh-CN"/>
        </w:rPr>
        <w:t>约54000件各类案件全流程无纸化数字化集约化辅助服务</w:t>
      </w:r>
      <w:r>
        <w:rPr>
          <w:rFonts w:hint="eastAsia" w:ascii="宋体" w:hAnsi="宋体" w:eastAsia="宋体" w:cs="宋体"/>
          <w:sz w:val="24"/>
          <w:szCs w:val="24"/>
          <w:highlight w:val="none"/>
        </w:rPr>
        <w:t>。包括①完成全院</w:t>
      </w:r>
      <w:r>
        <w:rPr>
          <w:rFonts w:hint="eastAsia" w:ascii="宋体" w:hAnsi="宋体" w:eastAsia="宋体" w:cs="宋体"/>
          <w:sz w:val="24"/>
          <w:szCs w:val="24"/>
          <w:highlight w:val="none"/>
          <w:lang w:val="en-US" w:eastAsia="zh-CN"/>
        </w:rPr>
        <w:t>服务期限内</w:t>
      </w:r>
      <w:r>
        <w:rPr>
          <w:rFonts w:hint="eastAsia" w:ascii="宋体" w:hAnsi="宋体" w:eastAsia="宋体" w:cs="宋体"/>
          <w:sz w:val="24"/>
          <w:szCs w:val="24"/>
          <w:highlight w:val="none"/>
        </w:rPr>
        <w:t>新增案件全流程无纸化辅助服务；②完成旧存及新增非无纸化案件档案卷纸质材料数字化扫描归档工作（含文书档案整理归档）；③配置辅助人员服务集约化需求。围绕全流程无纸化要求，紧盯“全流程网上办案、全案卷宗电子化、全方位智能服务化”目标，落实电子卷宗专业化外包管理，专门进行立案材料、补充材料、移送上诉电子卷宗的质检、扫描、精确编目、中间库管理、纸质归档、电子转档、纸质材料与电子卷宗材料核验、装订、装盒、上架备份等工作，校验后形成的电子材料随审判业务的各个流程环节进行流转。通过专业服务外包解决无纸化办案中存在的问题和堵点，全程对纸质卷宗材料实行数字化集中管理，解放法官和书记员，推动审判流程再造，实现案件立案、审理、裁判、结案、送达、归档各环节网上办理，全过程网上留痕。同时结合“一张网”部署要求，配置满足运行环境要求的扫描设备、中间库管理平台，具体数量详见</w:t>
      </w:r>
      <w:r>
        <w:rPr>
          <w:rFonts w:hint="eastAsia" w:ascii="宋体" w:hAnsi="宋体" w:eastAsia="宋体" w:cs="宋体"/>
          <w:sz w:val="24"/>
          <w:szCs w:val="24"/>
          <w:highlight w:val="none"/>
          <w:lang w:val="en-US" w:eastAsia="zh-CN"/>
        </w:rPr>
        <w:t>项目服务要求</w:t>
      </w:r>
      <w:r>
        <w:rPr>
          <w:rFonts w:hint="eastAsia" w:ascii="宋体" w:hAnsi="宋体" w:eastAsia="宋体" w:cs="宋体"/>
          <w:sz w:val="24"/>
          <w:szCs w:val="24"/>
          <w:highlight w:val="none"/>
        </w:rPr>
        <w:t>。</w:t>
      </w:r>
    </w:p>
    <w:p w14:paraId="2EB9F0F4">
      <w:pPr>
        <w:pageBreakBefore w:val="0"/>
        <w:kinsoku/>
        <w:wordWrap/>
        <w:overflowPunct/>
        <w:topLinePunct w:val="0"/>
        <w:autoSpaceDE/>
        <w:autoSpaceDN/>
        <w:bidi w:val="0"/>
        <w:adjustRightInd/>
        <w:snapToGrid/>
        <w:spacing w:line="440" w:lineRule="exact"/>
        <w:ind w:right="216"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、服务期限：</w:t>
      </w:r>
      <w:r>
        <w:rPr>
          <w:rFonts w:hint="eastAsia" w:ascii="宋体" w:hAnsi="宋体" w:eastAsia="宋体" w:cs="宋体"/>
          <w:sz w:val="24"/>
          <w:szCs w:val="24"/>
          <w:highlight w:val="none"/>
          <w:lang w:eastAsia="zh-CN"/>
        </w:rPr>
        <w:t>自合同签订之日起1年</w:t>
      </w:r>
      <w:r>
        <w:rPr>
          <w:rFonts w:hint="eastAsia" w:ascii="宋体" w:hAnsi="宋体" w:eastAsia="宋体" w:cs="宋体"/>
          <w:sz w:val="24"/>
          <w:szCs w:val="24"/>
          <w:highlight w:val="none"/>
        </w:rPr>
        <w:t>。</w:t>
      </w:r>
    </w:p>
    <w:p w14:paraId="47B94A93">
      <w:pPr>
        <w:pageBreakBefore w:val="0"/>
        <w:kinsoku/>
        <w:wordWrap/>
        <w:overflowPunct/>
        <w:topLinePunct w:val="0"/>
        <w:autoSpaceDE/>
        <w:autoSpaceDN/>
        <w:bidi w:val="0"/>
        <w:adjustRightInd/>
        <w:snapToGrid/>
        <w:spacing w:line="440" w:lineRule="exact"/>
        <w:ind w:right="216"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、项目实施地点：常熟市人民法院</w:t>
      </w:r>
      <w:r>
        <w:rPr>
          <w:rFonts w:hint="eastAsia" w:ascii="宋体" w:hAnsi="宋体" w:eastAsia="宋体" w:cs="宋体"/>
          <w:sz w:val="24"/>
          <w:szCs w:val="24"/>
          <w:highlight w:val="none"/>
          <w:lang w:val="en-US" w:eastAsia="zh-CN"/>
        </w:rPr>
        <w:t>全院（含院本部、</w:t>
      </w:r>
      <w:r>
        <w:rPr>
          <w:rFonts w:hint="eastAsia" w:ascii="宋体" w:hAnsi="宋体" w:eastAsia="宋体" w:cs="宋体"/>
          <w:sz w:val="24"/>
          <w:szCs w:val="24"/>
          <w:highlight w:val="none"/>
          <w:lang w:eastAsia="zh-CN"/>
        </w:rPr>
        <w:t>派出法庭及执行局</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rPr>
        <w:t>，具体地址如下：</w:t>
      </w:r>
    </w:p>
    <w:tbl>
      <w:tblPr>
        <w:tblStyle w:val="55"/>
        <w:tblW w:w="8647"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6"/>
        <w:gridCol w:w="4961"/>
      </w:tblGrid>
      <w:tr w14:paraId="4F5D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686" w:type="dxa"/>
          </w:tcPr>
          <w:p w14:paraId="255E08A7">
            <w:pPr>
              <w:pStyle w:val="20"/>
              <w:pageBreakBefore w:val="0"/>
              <w:kinsoku/>
              <w:wordWrap/>
              <w:overflowPunct/>
              <w:topLinePunct w:val="0"/>
              <w:autoSpaceDE/>
              <w:autoSpaceDN/>
              <w:bidi w:val="0"/>
              <w:adjustRightInd/>
              <w:snapToGrid/>
              <w:spacing w:line="44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名称</w:t>
            </w:r>
          </w:p>
        </w:tc>
        <w:tc>
          <w:tcPr>
            <w:tcW w:w="4961" w:type="dxa"/>
          </w:tcPr>
          <w:p w14:paraId="237EB7CD">
            <w:pPr>
              <w:pStyle w:val="20"/>
              <w:pageBreakBefore w:val="0"/>
              <w:kinsoku/>
              <w:wordWrap/>
              <w:overflowPunct/>
              <w:topLinePunct w:val="0"/>
              <w:autoSpaceDE/>
              <w:autoSpaceDN/>
              <w:bidi w:val="0"/>
              <w:adjustRightInd/>
              <w:snapToGrid/>
              <w:spacing w:line="44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地址</w:t>
            </w:r>
          </w:p>
        </w:tc>
      </w:tr>
      <w:tr w14:paraId="6E7E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686" w:type="dxa"/>
          </w:tcPr>
          <w:p w14:paraId="2F14FD2F">
            <w:pPr>
              <w:pStyle w:val="20"/>
              <w:pageBreakBefore w:val="0"/>
              <w:kinsoku/>
              <w:wordWrap/>
              <w:overflowPunct/>
              <w:topLinePunct w:val="0"/>
              <w:autoSpaceDE/>
              <w:autoSpaceDN/>
              <w:bidi w:val="0"/>
              <w:adjustRightInd/>
              <w:snapToGrid/>
              <w:spacing w:line="440" w:lineRule="exact"/>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常熟市人民法院院本部</w:t>
            </w:r>
          </w:p>
        </w:tc>
        <w:tc>
          <w:tcPr>
            <w:tcW w:w="4961" w:type="dxa"/>
          </w:tcPr>
          <w:p w14:paraId="052F09C6">
            <w:pPr>
              <w:pStyle w:val="20"/>
              <w:pageBreakBefore w:val="0"/>
              <w:kinsoku/>
              <w:wordWrap/>
              <w:overflowPunct/>
              <w:topLinePunct w:val="0"/>
              <w:autoSpaceDE/>
              <w:autoSpaceDN/>
              <w:bidi w:val="0"/>
              <w:adjustRightInd/>
              <w:snapToGrid/>
              <w:spacing w:line="440" w:lineRule="exact"/>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lang w:bidi="ar"/>
              </w:rPr>
              <w:t>江苏省常熟市琴川街道</w:t>
            </w:r>
            <w:r>
              <w:rPr>
                <w:rFonts w:hint="eastAsia" w:ascii="宋体" w:hAnsi="宋体" w:eastAsia="宋体" w:cs="宋体"/>
                <w:b w:val="0"/>
                <w:bCs w:val="0"/>
                <w:sz w:val="24"/>
                <w:szCs w:val="24"/>
                <w:highlight w:val="none"/>
                <w:lang w:val="en-US" w:eastAsia="zh-CN"/>
              </w:rPr>
              <w:t>淮河路2号</w:t>
            </w:r>
          </w:p>
        </w:tc>
      </w:tr>
      <w:tr w14:paraId="58A6B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686" w:type="dxa"/>
            <w:vAlign w:val="center"/>
          </w:tcPr>
          <w:p w14:paraId="620FB753">
            <w:pPr>
              <w:pStyle w:val="2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执行局（执行指挥中心）</w:t>
            </w:r>
          </w:p>
        </w:tc>
        <w:tc>
          <w:tcPr>
            <w:tcW w:w="4961" w:type="dxa"/>
            <w:vAlign w:val="center"/>
          </w:tcPr>
          <w:p w14:paraId="0FF8D8ED">
            <w:pPr>
              <w:pStyle w:val="20"/>
              <w:pageBreakBefore w:val="0"/>
              <w:widowControl/>
              <w:kinsoku/>
              <w:wordWrap/>
              <w:overflowPunct/>
              <w:topLinePunct w:val="0"/>
              <w:autoSpaceDE/>
              <w:autoSpaceDN/>
              <w:bidi w:val="0"/>
              <w:adjustRightInd/>
              <w:snapToGrid/>
              <w:spacing w:line="440" w:lineRule="exact"/>
              <w:ind w:firstLine="0"/>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江苏省常熟市琴川街道九里大街30号</w:t>
            </w:r>
          </w:p>
        </w:tc>
      </w:tr>
      <w:tr w14:paraId="138F1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686" w:type="dxa"/>
            <w:vAlign w:val="center"/>
          </w:tcPr>
          <w:p w14:paraId="0E42C539">
            <w:pPr>
              <w:pStyle w:val="2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虞山人民法庭</w:t>
            </w:r>
          </w:p>
        </w:tc>
        <w:tc>
          <w:tcPr>
            <w:tcW w:w="4961" w:type="dxa"/>
            <w:vAlign w:val="center"/>
          </w:tcPr>
          <w:p w14:paraId="3294DA80">
            <w:pPr>
              <w:pStyle w:val="20"/>
              <w:pageBreakBefore w:val="0"/>
              <w:widowControl/>
              <w:kinsoku/>
              <w:wordWrap/>
              <w:overflowPunct/>
              <w:topLinePunct w:val="0"/>
              <w:autoSpaceDE/>
              <w:autoSpaceDN/>
              <w:bidi w:val="0"/>
              <w:adjustRightInd/>
              <w:snapToGrid/>
              <w:spacing w:line="440" w:lineRule="exact"/>
              <w:ind w:firstLine="0"/>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江苏省常熟市琴川街道富义路2号</w:t>
            </w:r>
          </w:p>
        </w:tc>
      </w:tr>
      <w:tr w14:paraId="196C6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686" w:type="dxa"/>
            <w:vAlign w:val="center"/>
          </w:tcPr>
          <w:p w14:paraId="743A6143">
            <w:pPr>
              <w:pStyle w:val="2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支塘人民法庭</w:t>
            </w:r>
          </w:p>
        </w:tc>
        <w:tc>
          <w:tcPr>
            <w:tcW w:w="4961" w:type="dxa"/>
            <w:vAlign w:val="center"/>
          </w:tcPr>
          <w:p w14:paraId="7EB24E22">
            <w:pPr>
              <w:pStyle w:val="20"/>
              <w:pageBreakBefore w:val="0"/>
              <w:widowControl/>
              <w:kinsoku/>
              <w:wordWrap/>
              <w:overflowPunct/>
              <w:topLinePunct w:val="0"/>
              <w:autoSpaceDE/>
              <w:autoSpaceDN/>
              <w:bidi w:val="0"/>
              <w:adjustRightInd/>
              <w:snapToGrid/>
              <w:spacing w:line="440" w:lineRule="exact"/>
              <w:ind w:firstLine="0"/>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江苏省常熟市支塘镇集贤路279号</w:t>
            </w:r>
          </w:p>
        </w:tc>
      </w:tr>
      <w:tr w14:paraId="42666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686" w:type="dxa"/>
            <w:vAlign w:val="center"/>
          </w:tcPr>
          <w:p w14:paraId="6E8C9E55">
            <w:pPr>
              <w:pStyle w:val="2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尚湖</w:t>
            </w:r>
            <w:r>
              <w:rPr>
                <w:rFonts w:hint="eastAsia" w:ascii="宋体" w:hAnsi="宋体" w:eastAsia="宋体" w:cs="宋体"/>
                <w:sz w:val="24"/>
                <w:szCs w:val="24"/>
                <w:highlight w:val="none"/>
                <w:lang w:val="en-US" w:eastAsia="zh-CN" w:bidi="ar"/>
              </w:rPr>
              <w:t>审判站</w:t>
            </w:r>
          </w:p>
        </w:tc>
        <w:tc>
          <w:tcPr>
            <w:tcW w:w="4961" w:type="dxa"/>
            <w:vAlign w:val="center"/>
          </w:tcPr>
          <w:p w14:paraId="23A314EC">
            <w:pPr>
              <w:pStyle w:val="20"/>
              <w:pageBreakBefore w:val="0"/>
              <w:widowControl/>
              <w:kinsoku/>
              <w:wordWrap/>
              <w:overflowPunct/>
              <w:topLinePunct w:val="0"/>
              <w:autoSpaceDE/>
              <w:autoSpaceDN/>
              <w:bidi w:val="0"/>
              <w:adjustRightInd/>
              <w:snapToGrid/>
              <w:spacing w:line="440" w:lineRule="exact"/>
              <w:ind w:firstLine="0"/>
              <w:jc w:val="center"/>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江苏省常熟市尚湖镇尤巷路7号</w:t>
            </w:r>
          </w:p>
        </w:tc>
      </w:tr>
      <w:tr w14:paraId="629B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686" w:type="dxa"/>
            <w:vAlign w:val="center"/>
          </w:tcPr>
          <w:p w14:paraId="6D862BC4">
            <w:pPr>
              <w:pStyle w:val="2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辛庄人民法庭</w:t>
            </w:r>
          </w:p>
        </w:tc>
        <w:tc>
          <w:tcPr>
            <w:tcW w:w="4961" w:type="dxa"/>
            <w:vAlign w:val="center"/>
          </w:tcPr>
          <w:p w14:paraId="4F49F078">
            <w:pPr>
              <w:pStyle w:val="20"/>
              <w:pageBreakBefore w:val="0"/>
              <w:widowControl/>
              <w:kinsoku/>
              <w:wordWrap/>
              <w:overflowPunct/>
              <w:topLinePunct w:val="0"/>
              <w:autoSpaceDE/>
              <w:autoSpaceDN/>
              <w:bidi w:val="0"/>
              <w:adjustRightInd/>
              <w:snapToGrid/>
              <w:spacing w:line="440" w:lineRule="exact"/>
              <w:ind w:firstLine="0"/>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江苏省常熟市辛庄镇正义路12号</w:t>
            </w:r>
          </w:p>
        </w:tc>
      </w:tr>
      <w:tr w14:paraId="1488A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686" w:type="dxa"/>
            <w:vAlign w:val="center"/>
          </w:tcPr>
          <w:p w14:paraId="703204BC">
            <w:pPr>
              <w:pStyle w:val="2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古里人民法庭</w:t>
            </w:r>
          </w:p>
        </w:tc>
        <w:tc>
          <w:tcPr>
            <w:tcW w:w="4961" w:type="dxa"/>
            <w:vAlign w:val="center"/>
          </w:tcPr>
          <w:p w14:paraId="49EC97CF">
            <w:pPr>
              <w:pStyle w:val="20"/>
              <w:pageBreakBefore w:val="0"/>
              <w:widowControl/>
              <w:kinsoku/>
              <w:wordWrap/>
              <w:overflowPunct/>
              <w:topLinePunct w:val="0"/>
              <w:autoSpaceDE/>
              <w:autoSpaceDN/>
              <w:bidi w:val="0"/>
              <w:adjustRightInd/>
              <w:snapToGrid/>
              <w:spacing w:line="440" w:lineRule="exact"/>
              <w:ind w:firstLine="0"/>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江苏省常熟市古里镇文学街288号</w:t>
            </w:r>
          </w:p>
        </w:tc>
      </w:tr>
      <w:tr w14:paraId="01819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686" w:type="dxa"/>
            <w:vAlign w:val="center"/>
          </w:tcPr>
          <w:p w14:paraId="5AB7F5ED">
            <w:pPr>
              <w:pStyle w:val="2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海虞人民法庭</w:t>
            </w:r>
          </w:p>
        </w:tc>
        <w:tc>
          <w:tcPr>
            <w:tcW w:w="4961" w:type="dxa"/>
            <w:vAlign w:val="center"/>
          </w:tcPr>
          <w:p w14:paraId="5E627078">
            <w:pPr>
              <w:pStyle w:val="20"/>
              <w:pageBreakBefore w:val="0"/>
              <w:widowControl/>
              <w:kinsoku/>
              <w:wordWrap/>
              <w:overflowPunct/>
              <w:topLinePunct w:val="0"/>
              <w:autoSpaceDE/>
              <w:autoSpaceDN/>
              <w:bidi w:val="0"/>
              <w:adjustRightInd/>
              <w:snapToGrid/>
              <w:spacing w:line="440" w:lineRule="exact"/>
              <w:ind w:firstLine="0"/>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江苏省常熟市海虞镇海阳路68号</w:t>
            </w:r>
          </w:p>
        </w:tc>
      </w:tr>
      <w:tr w14:paraId="27DB4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686" w:type="dxa"/>
            <w:vAlign w:val="center"/>
          </w:tcPr>
          <w:p w14:paraId="629511BA">
            <w:pPr>
              <w:pStyle w:val="2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梅李人民法庭</w:t>
            </w:r>
          </w:p>
        </w:tc>
        <w:tc>
          <w:tcPr>
            <w:tcW w:w="4961" w:type="dxa"/>
            <w:vAlign w:val="center"/>
          </w:tcPr>
          <w:p w14:paraId="0BD5E5BD">
            <w:pPr>
              <w:pStyle w:val="20"/>
              <w:pageBreakBefore w:val="0"/>
              <w:widowControl/>
              <w:kinsoku/>
              <w:wordWrap/>
              <w:overflowPunct/>
              <w:topLinePunct w:val="0"/>
              <w:autoSpaceDE/>
              <w:autoSpaceDN/>
              <w:bidi w:val="0"/>
              <w:adjustRightInd/>
              <w:snapToGrid/>
              <w:spacing w:line="440" w:lineRule="exact"/>
              <w:ind w:firstLine="0"/>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江苏省常熟市梅李镇梅北路45号</w:t>
            </w:r>
          </w:p>
        </w:tc>
      </w:tr>
      <w:tr w14:paraId="703E0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686" w:type="dxa"/>
            <w:vAlign w:val="center"/>
          </w:tcPr>
          <w:p w14:paraId="22770D84">
            <w:pPr>
              <w:pStyle w:val="2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经济开发区人民法庭</w:t>
            </w:r>
          </w:p>
        </w:tc>
        <w:tc>
          <w:tcPr>
            <w:tcW w:w="4961" w:type="dxa"/>
            <w:vAlign w:val="center"/>
          </w:tcPr>
          <w:p w14:paraId="4C4E3B19">
            <w:pPr>
              <w:pStyle w:val="20"/>
              <w:pageBreakBefore w:val="0"/>
              <w:widowControl/>
              <w:kinsoku/>
              <w:wordWrap/>
              <w:overflowPunct/>
              <w:topLinePunct w:val="0"/>
              <w:autoSpaceDE/>
              <w:autoSpaceDN/>
              <w:bidi w:val="0"/>
              <w:adjustRightInd/>
              <w:snapToGrid/>
              <w:spacing w:line="440" w:lineRule="exact"/>
              <w:ind w:firstLine="0"/>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江苏省常熟市碧溪街道虹桥路11号</w:t>
            </w:r>
          </w:p>
        </w:tc>
      </w:tr>
    </w:tbl>
    <w:p w14:paraId="2A308648">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4、供应商如需对项目现场进行踏勘，费用由供应商自行承担。现场踏勘联系人：</w:t>
      </w:r>
      <w:r>
        <w:rPr>
          <w:rFonts w:hint="eastAsia" w:ascii="宋体" w:hAnsi="宋体" w:eastAsia="宋体" w:cs="宋体"/>
          <w:sz w:val="24"/>
          <w:szCs w:val="24"/>
          <w:highlight w:val="none"/>
          <w:lang w:val="en-US" w:eastAsia="zh-CN"/>
        </w:rPr>
        <w:t>钱俊华</w:t>
      </w:r>
      <w:r>
        <w:rPr>
          <w:rFonts w:hint="eastAsia" w:ascii="宋体" w:hAnsi="宋体" w:eastAsia="宋体" w:cs="宋体"/>
          <w:sz w:val="24"/>
          <w:szCs w:val="24"/>
          <w:highlight w:val="none"/>
        </w:rPr>
        <w:t>，联系电话：0512-52802023。供应商在报价时应充分考虑现场实际情况，采购人不负担因供应商对项目现场情况考虑不周而产生的其他任何费用。</w:t>
      </w:r>
    </w:p>
    <w:p w14:paraId="6F56B0EE">
      <w:pPr>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b/>
          <w:bCs/>
          <w:sz w:val="24"/>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、本项</w:t>
      </w:r>
      <w:r>
        <w:rPr>
          <w:rFonts w:hint="eastAsia" w:ascii="宋体" w:hAnsi="宋体" w:eastAsia="宋体" w:cs="宋体"/>
          <w:sz w:val="24"/>
          <w:szCs w:val="24"/>
        </w:rPr>
        <w:t>目采购预算为￥</w:t>
      </w:r>
      <w:r>
        <w:rPr>
          <w:rFonts w:hint="eastAsia" w:ascii="宋体" w:hAnsi="宋体" w:eastAsia="宋体" w:cs="宋体"/>
          <w:sz w:val="24"/>
          <w:szCs w:val="24"/>
          <w:lang w:val="en-US" w:eastAsia="zh-CN"/>
        </w:rPr>
        <w:t>3000</w:t>
      </w:r>
      <w:r>
        <w:rPr>
          <w:rFonts w:hint="eastAsia" w:ascii="宋体" w:hAnsi="宋体" w:eastAsia="宋体" w:cs="宋体"/>
          <w:sz w:val="24"/>
          <w:szCs w:val="24"/>
        </w:rPr>
        <w:t>000.00元（人民币</w:t>
      </w:r>
      <w:r>
        <w:rPr>
          <w:rFonts w:hint="eastAsia" w:ascii="宋体" w:hAnsi="宋体" w:eastAsia="宋体" w:cs="宋体"/>
          <w:sz w:val="24"/>
          <w:szCs w:val="24"/>
          <w:lang w:val="en-US" w:eastAsia="zh-CN"/>
        </w:rPr>
        <w:t>叁佰万元整</w:t>
      </w:r>
      <w:r>
        <w:rPr>
          <w:rFonts w:hint="eastAsia" w:ascii="宋体" w:hAnsi="宋体" w:eastAsia="宋体" w:cs="宋体"/>
          <w:sz w:val="24"/>
          <w:szCs w:val="24"/>
        </w:rPr>
        <w:t>）；</w:t>
      </w:r>
      <w:r>
        <w:rPr>
          <w:rFonts w:hint="eastAsia" w:ascii="宋体" w:hAnsi="宋体" w:eastAsia="宋体" w:cs="宋体"/>
          <w:b/>
          <w:bCs/>
          <w:sz w:val="24"/>
          <w:szCs w:val="24"/>
        </w:rPr>
        <w:t>供应商按单价报价，单价最高限价</w:t>
      </w:r>
      <w:r>
        <w:rPr>
          <w:rFonts w:hint="eastAsia" w:ascii="宋体" w:hAnsi="宋体" w:eastAsia="宋体" w:cs="宋体"/>
          <w:b/>
          <w:bCs/>
          <w:sz w:val="24"/>
          <w:szCs w:val="24"/>
          <w:lang w:val="en-US" w:eastAsia="zh-CN"/>
        </w:rPr>
        <w:t>为</w:t>
      </w:r>
      <w:r>
        <w:rPr>
          <w:rFonts w:hint="eastAsia" w:ascii="宋体" w:hAnsi="宋体" w:eastAsia="宋体" w:cs="宋体"/>
          <w:b/>
          <w:bCs/>
          <w:sz w:val="24"/>
          <w:szCs w:val="24"/>
        </w:rPr>
        <w:t>54.00元/件，</w:t>
      </w:r>
      <w:r>
        <w:rPr>
          <w:rFonts w:hint="eastAsia" w:ascii="宋体" w:hAnsi="宋体" w:eastAsia="宋体" w:cs="宋体"/>
          <w:b/>
          <w:bCs/>
          <w:sz w:val="24"/>
        </w:rPr>
        <w:t>供应商的每轮报价</w:t>
      </w:r>
      <w:r>
        <w:rPr>
          <w:rFonts w:hint="eastAsia" w:ascii="宋体" w:hAnsi="宋体" w:eastAsia="宋体" w:cs="宋体"/>
          <w:b/>
          <w:bCs/>
          <w:sz w:val="24"/>
          <w:lang w:val="en-US" w:eastAsia="zh-CN"/>
        </w:rPr>
        <w:t>单价</w:t>
      </w:r>
      <w:r>
        <w:rPr>
          <w:rFonts w:hint="eastAsia" w:ascii="宋体" w:hAnsi="宋体" w:eastAsia="宋体" w:cs="宋体"/>
          <w:b/>
          <w:bCs/>
          <w:sz w:val="24"/>
        </w:rPr>
        <w:t>均不得超过单价最高限价，否则将失去磋商资格。</w:t>
      </w:r>
    </w:p>
    <w:p w14:paraId="7BA3FDE8">
      <w:pPr>
        <w:pageBreakBefore w:val="0"/>
        <w:kinsoku/>
        <w:wordWrap/>
        <w:overflowPunct/>
        <w:topLinePunct w:val="0"/>
        <w:autoSpaceDE/>
        <w:autoSpaceDN/>
        <w:bidi w:val="0"/>
        <w:adjustRightInd/>
        <w:snapToGrid/>
        <w:spacing w:line="440" w:lineRule="exact"/>
        <w:ind w:right="216" w:firstLine="241"/>
        <w:rPr>
          <w:rFonts w:hint="eastAsia" w:ascii="宋体" w:hAnsi="宋体" w:eastAsia="宋体" w:cs="宋体"/>
          <w:b/>
          <w:bCs/>
          <w:sz w:val="24"/>
          <w:szCs w:val="24"/>
        </w:rPr>
      </w:pPr>
      <w:r>
        <w:rPr>
          <w:rFonts w:hint="eastAsia" w:ascii="宋体" w:hAnsi="宋体" w:eastAsia="宋体" w:cs="宋体"/>
          <w:b/>
          <w:bCs/>
          <w:sz w:val="24"/>
          <w:szCs w:val="24"/>
        </w:rPr>
        <w:t>★6、付款方式：</w:t>
      </w:r>
    </w:p>
    <w:p w14:paraId="45F5FE16">
      <w:pPr>
        <w:pStyle w:val="20"/>
        <w:pageBreakBefore w:val="0"/>
        <w:kinsoku/>
        <w:wordWrap/>
        <w:overflowPunct/>
        <w:topLinePunct w:val="0"/>
        <w:autoSpaceDE/>
        <w:autoSpaceDN/>
        <w:bidi w:val="0"/>
        <w:adjustRightInd/>
        <w:snapToGrid/>
        <w:spacing w:line="440" w:lineRule="exact"/>
        <w:ind w:firstLine="573"/>
        <w:rPr>
          <w:rFonts w:hint="eastAsia" w:ascii="宋体" w:hAnsi="宋体" w:eastAsia="宋体" w:cs="宋体"/>
          <w:sz w:val="24"/>
          <w:szCs w:val="24"/>
        </w:rPr>
      </w:pPr>
      <w:bookmarkStart w:id="52" w:name="_Hlk162336423"/>
      <w:r>
        <w:rPr>
          <w:rFonts w:hint="eastAsia" w:ascii="宋体" w:hAnsi="宋体" w:eastAsia="宋体" w:cs="宋体"/>
          <w:sz w:val="24"/>
          <w:szCs w:val="24"/>
          <w:lang w:val="en-US" w:eastAsia="zh-CN"/>
        </w:rPr>
        <w:t>6</w:t>
      </w:r>
      <w:r>
        <w:rPr>
          <w:rFonts w:hint="eastAsia" w:ascii="宋体" w:hAnsi="宋体" w:eastAsia="宋体" w:cs="宋体"/>
          <w:sz w:val="24"/>
          <w:szCs w:val="24"/>
        </w:rPr>
        <w:t>.1</w:t>
      </w:r>
      <w:bookmarkStart w:id="53" w:name="_Hlk165290459"/>
      <w:r>
        <w:rPr>
          <w:rFonts w:hint="eastAsia" w:ascii="宋体" w:hAnsi="宋体" w:eastAsia="宋体" w:cs="宋体"/>
          <w:sz w:val="24"/>
          <w:szCs w:val="24"/>
        </w:rPr>
        <w:t xml:space="preserve"> 按实际</w:t>
      </w:r>
      <w:r>
        <w:rPr>
          <w:rFonts w:hint="eastAsia" w:ascii="宋体" w:hAnsi="宋体" w:eastAsia="宋体" w:cs="宋体"/>
          <w:bCs/>
          <w:sz w:val="24"/>
          <w:szCs w:val="24"/>
        </w:rPr>
        <w:t>完成的无纸化数字化集约化案件</w:t>
      </w:r>
      <w:r>
        <w:rPr>
          <w:rFonts w:hint="eastAsia" w:ascii="宋体" w:hAnsi="宋体" w:eastAsia="宋体" w:cs="宋体"/>
          <w:sz w:val="24"/>
          <w:szCs w:val="24"/>
        </w:rPr>
        <w:t>数进行结算。</w:t>
      </w:r>
    </w:p>
    <w:p w14:paraId="600AB4E1">
      <w:pPr>
        <w:pStyle w:val="20"/>
        <w:pageBreakBefore w:val="0"/>
        <w:kinsoku/>
        <w:wordWrap/>
        <w:overflowPunct/>
        <w:topLinePunct w:val="0"/>
        <w:autoSpaceDE/>
        <w:autoSpaceDN/>
        <w:bidi w:val="0"/>
        <w:adjustRightInd/>
        <w:snapToGrid/>
        <w:spacing w:line="440" w:lineRule="exact"/>
        <w:ind w:firstLine="5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 xml:space="preserve">.2 </w:t>
      </w:r>
      <w:bookmarkEnd w:id="53"/>
      <w:r>
        <w:rPr>
          <w:rFonts w:hint="eastAsia" w:ascii="宋体" w:hAnsi="宋体" w:eastAsia="宋体" w:cs="宋体"/>
          <w:sz w:val="24"/>
          <w:szCs w:val="24"/>
          <w:highlight w:val="none"/>
        </w:rPr>
        <w:t>按季度结算支付，每季度后的30日内，</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按实际完成的无纸化数字化集约化案件数</w:t>
      </w:r>
      <w:r>
        <w:rPr>
          <w:rFonts w:hint="eastAsia" w:ascii="宋体" w:hAnsi="宋体" w:eastAsia="宋体" w:cs="宋体"/>
          <w:sz w:val="24"/>
          <w:szCs w:val="24"/>
          <w:highlight w:val="none"/>
          <w:lang w:val="en-US" w:eastAsia="zh-CN"/>
        </w:rPr>
        <w:t>根据考核后</w:t>
      </w:r>
      <w:r>
        <w:rPr>
          <w:rFonts w:hint="eastAsia" w:ascii="宋体" w:hAnsi="宋体" w:eastAsia="宋体" w:cs="宋体"/>
          <w:sz w:val="24"/>
          <w:szCs w:val="24"/>
          <w:highlight w:val="none"/>
        </w:rPr>
        <w:t>进行结算。</w:t>
      </w:r>
    </w:p>
    <w:p w14:paraId="2A278A9E">
      <w:pPr>
        <w:pStyle w:val="20"/>
        <w:pageBreakBefore w:val="0"/>
        <w:kinsoku/>
        <w:wordWrap/>
        <w:overflowPunct/>
        <w:topLinePunct w:val="0"/>
        <w:autoSpaceDE/>
        <w:autoSpaceDN/>
        <w:bidi w:val="0"/>
        <w:adjustRightInd/>
        <w:snapToGrid/>
        <w:spacing w:line="440" w:lineRule="exact"/>
        <w:ind w:firstLine="892" w:firstLineChars="37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6.2.1</w:t>
      </w:r>
      <w:r>
        <w:rPr>
          <w:rFonts w:hint="eastAsia" w:ascii="宋体" w:hAnsi="宋体" w:eastAsia="宋体" w:cs="宋体"/>
          <w:sz w:val="24"/>
          <w:szCs w:val="24"/>
          <w:highlight w:val="none"/>
        </w:rPr>
        <w:t>季度考核98分以上全额支付当季度费用</w:t>
      </w:r>
    </w:p>
    <w:p w14:paraId="3615B313">
      <w:pPr>
        <w:pStyle w:val="20"/>
        <w:pageBreakBefore w:val="0"/>
        <w:kinsoku/>
        <w:wordWrap/>
        <w:overflowPunct/>
        <w:topLinePunct w:val="0"/>
        <w:autoSpaceDE/>
        <w:autoSpaceDN/>
        <w:bidi w:val="0"/>
        <w:adjustRightInd/>
        <w:snapToGrid/>
        <w:spacing w:line="440" w:lineRule="exact"/>
        <w:ind w:firstLine="892" w:firstLineChars="37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6.2.2</w:t>
      </w:r>
      <w:r>
        <w:rPr>
          <w:rFonts w:hint="eastAsia" w:ascii="宋体" w:hAnsi="宋体" w:eastAsia="宋体" w:cs="宋体"/>
          <w:sz w:val="24"/>
          <w:szCs w:val="24"/>
          <w:highlight w:val="none"/>
        </w:rPr>
        <w:t>当季度考核在9</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分-98分（含98分），扣除当季度费用的10%</w:t>
      </w:r>
    </w:p>
    <w:p w14:paraId="4FA64AAC">
      <w:pPr>
        <w:pStyle w:val="20"/>
        <w:pageBreakBefore w:val="0"/>
        <w:kinsoku/>
        <w:wordWrap/>
        <w:overflowPunct/>
        <w:topLinePunct w:val="0"/>
        <w:autoSpaceDE/>
        <w:autoSpaceDN/>
        <w:bidi w:val="0"/>
        <w:adjustRightInd/>
        <w:snapToGrid/>
        <w:spacing w:line="440" w:lineRule="exact"/>
        <w:ind w:firstLine="892" w:firstLineChars="37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6.2.3</w:t>
      </w:r>
      <w:r>
        <w:rPr>
          <w:rFonts w:hint="eastAsia" w:ascii="宋体" w:hAnsi="宋体" w:eastAsia="宋体" w:cs="宋体"/>
          <w:sz w:val="24"/>
          <w:szCs w:val="24"/>
          <w:highlight w:val="none"/>
        </w:rPr>
        <w:t>当季度考核在90分（含90分）-95分（含95分），扣除当季度费用的20%</w:t>
      </w:r>
    </w:p>
    <w:p w14:paraId="3EB21640">
      <w:pPr>
        <w:pStyle w:val="20"/>
        <w:pageBreakBefore w:val="0"/>
        <w:kinsoku/>
        <w:wordWrap/>
        <w:overflowPunct/>
        <w:topLinePunct w:val="0"/>
        <w:autoSpaceDE/>
        <w:autoSpaceDN/>
        <w:bidi w:val="0"/>
        <w:adjustRightInd/>
        <w:snapToGrid/>
        <w:spacing w:line="440" w:lineRule="exact"/>
        <w:ind w:firstLine="892" w:firstLineChars="37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6.2.4</w:t>
      </w:r>
      <w:r>
        <w:rPr>
          <w:rFonts w:hint="eastAsia" w:ascii="宋体" w:hAnsi="宋体" w:eastAsia="宋体" w:cs="宋体"/>
          <w:sz w:val="24"/>
          <w:szCs w:val="24"/>
          <w:highlight w:val="none"/>
        </w:rPr>
        <w:t>当季度低于90分或发生泄密、丢失卷宗等安全事故的，扣除当季度一切费用，且</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有权解除合同，并要求</w:t>
      </w:r>
      <w:r>
        <w:rPr>
          <w:rFonts w:hint="eastAsia" w:ascii="宋体" w:hAnsi="宋体" w:eastAsia="宋体" w:cs="宋体"/>
          <w:sz w:val="24"/>
          <w:szCs w:val="24"/>
          <w:highlight w:val="none"/>
          <w:lang w:val="en-US" w:eastAsia="zh-CN"/>
        </w:rPr>
        <w:t>成交供应商</w:t>
      </w:r>
      <w:r>
        <w:rPr>
          <w:rFonts w:hint="eastAsia" w:ascii="宋体" w:hAnsi="宋体" w:eastAsia="宋体" w:cs="宋体"/>
          <w:sz w:val="24"/>
          <w:szCs w:val="24"/>
          <w:highlight w:val="none"/>
        </w:rPr>
        <w:t>偿付违约金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违约金</w:t>
      </w:r>
      <w:r>
        <w:rPr>
          <w:rFonts w:hint="eastAsia" w:ascii="宋体" w:hAnsi="宋体" w:eastAsia="宋体" w:cs="宋体"/>
          <w:sz w:val="24"/>
          <w:szCs w:val="24"/>
          <w:highlight w:val="none"/>
          <w:lang w:eastAsia="zh-CN"/>
        </w:rPr>
        <w:t>按54000案件数*成交单价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20％</w:t>
      </w:r>
      <w:r>
        <w:rPr>
          <w:rFonts w:hint="eastAsia" w:ascii="宋体" w:hAnsi="宋体" w:eastAsia="宋体" w:cs="宋体"/>
          <w:sz w:val="24"/>
          <w:szCs w:val="24"/>
          <w:highlight w:val="none"/>
          <w:lang w:val="en-US" w:eastAsia="zh-CN"/>
        </w:rPr>
        <w:t>计算</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bookmarkEnd w:id="52"/>
    <w:p w14:paraId="1A4C96FA">
      <w:pPr>
        <w:pageBreakBefore w:val="0"/>
        <w:kinsoku/>
        <w:wordWrap/>
        <w:overflowPunct/>
        <w:topLinePunct w:val="0"/>
        <w:autoSpaceDE/>
        <w:autoSpaceDN/>
        <w:bidi w:val="0"/>
        <w:adjustRightInd/>
        <w:snapToGrid/>
        <w:spacing w:line="440" w:lineRule="exact"/>
        <w:ind w:firstLine="482"/>
        <w:rPr>
          <w:rFonts w:hint="eastAsia" w:ascii="宋体" w:hAnsi="宋体" w:eastAsia="宋体" w:cs="宋体"/>
          <w:b/>
          <w:bCs/>
          <w:sz w:val="24"/>
          <w:szCs w:val="24"/>
        </w:rPr>
      </w:pPr>
      <w:r>
        <w:rPr>
          <w:rFonts w:hint="eastAsia" w:ascii="宋体" w:hAnsi="宋体" w:eastAsia="宋体" w:cs="宋体"/>
          <w:b/>
          <w:bCs/>
          <w:sz w:val="24"/>
          <w:szCs w:val="24"/>
          <w:highlight w:val="none"/>
        </w:rPr>
        <w:t>注：1</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支付方式包</w:t>
      </w:r>
      <w:r>
        <w:rPr>
          <w:rFonts w:hint="eastAsia" w:ascii="宋体" w:hAnsi="宋体" w:eastAsia="宋体" w:cs="宋体"/>
          <w:b/>
          <w:bCs/>
          <w:sz w:val="24"/>
          <w:szCs w:val="24"/>
        </w:rPr>
        <w:t>括但不限于数字人民币、现金、支票、汇票等。</w:t>
      </w:r>
    </w:p>
    <w:p w14:paraId="182F9A82">
      <w:pPr>
        <w:pageBreakBefore w:val="0"/>
        <w:numPr>
          <w:ilvl w:val="0"/>
          <w:numId w:val="0"/>
        </w:numPr>
        <w:kinsoku/>
        <w:wordWrap/>
        <w:overflowPunct/>
        <w:topLinePunct w:val="0"/>
        <w:autoSpaceDE/>
        <w:autoSpaceDN/>
        <w:bidi w:val="0"/>
        <w:adjustRightInd/>
        <w:snapToGrid/>
        <w:spacing w:line="440" w:lineRule="exact"/>
        <w:ind w:firstLine="964" w:firstLineChars="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2）以上每次付款前成交供应商均应提供符合采购人要求的同等金额的合法有效发票。否则，采购人有权顺延付款时间且不承担任何违约或赔偿责任。</w:t>
      </w:r>
    </w:p>
    <w:p w14:paraId="285ADC81">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sz w:val="24"/>
          <w:szCs w:val="24"/>
        </w:rPr>
      </w:pPr>
      <w:r>
        <w:rPr>
          <w:rFonts w:hint="eastAsia" w:ascii="宋体" w:hAnsi="宋体" w:eastAsia="宋体" w:cs="宋体"/>
          <w:sz w:val="24"/>
          <w:szCs w:val="24"/>
        </w:rPr>
        <w:t>7、本项目不得以任何形式进行转包及分包。</w:t>
      </w:r>
    </w:p>
    <w:p w14:paraId="312C10D1">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rPr>
        <w:t>二、项</w:t>
      </w:r>
      <w:r>
        <w:rPr>
          <w:rFonts w:hint="eastAsia" w:ascii="宋体" w:hAnsi="宋体" w:eastAsia="宋体" w:cs="宋体"/>
          <w:b/>
          <w:bCs/>
          <w:sz w:val="28"/>
          <w:szCs w:val="28"/>
          <w:highlight w:val="none"/>
        </w:rPr>
        <w:t>目服务要求：</w:t>
      </w:r>
    </w:p>
    <w:p w14:paraId="0C90951D">
      <w:pPr>
        <w:pageBreakBefore w:val="0"/>
        <w:kinsoku/>
        <w:wordWrap/>
        <w:overflowPunct/>
        <w:topLinePunct w:val="0"/>
        <w:autoSpaceDE/>
        <w:autoSpaceDN/>
        <w:bidi w:val="0"/>
        <w:adjustRightInd/>
        <w:snapToGrid/>
        <w:spacing w:line="440" w:lineRule="exact"/>
        <w:ind w:firstLine="241" w:firstLineChars="100"/>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1、基本要求</w:t>
      </w:r>
    </w:p>
    <w:p w14:paraId="270D3C08">
      <w:pPr>
        <w:spacing w:line="440" w:lineRule="exact"/>
        <w:ind w:firstLine="480" w:firstLineChars="200"/>
        <w:rPr>
          <w:rFonts w:hint="eastAsia" w:ascii="宋体" w:hAnsi="宋体" w:eastAsia="宋体" w:cs="宋体"/>
          <w:sz w:val="24"/>
          <w:szCs w:val="24"/>
          <w:highlight w:val="none"/>
          <w:lang w:val="en-US" w:eastAsia="zh-Hans" w:bidi="ar-SA"/>
        </w:rPr>
      </w:pPr>
      <w:r>
        <w:rPr>
          <w:rFonts w:hint="eastAsia" w:ascii="宋体" w:hAnsi="宋体" w:eastAsia="宋体" w:cs="宋体"/>
          <w:sz w:val="24"/>
          <w:szCs w:val="24"/>
          <w:highlight w:val="none"/>
          <w:lang w:val="en-US" w:eastAsia="zh-CN" w:bidi="ar-SA"/>
        </w:rPr>
        <w:t>1</w:t>
      </w:r>
      <w:r>
        <w:rPr>
          <w:rFonts w:hint="eastAsia" w:ascii="宋体" w:hAnsi="宋体" w:eastAsia="宋体" w:cs="宋体"/>
          <w:sz w:val="24"/>
          <w:szCs w:val="24"/>
          <w:highlight w:val="none"/>
          <w:lang w:val="en-US" w:eastAsia="zh-Hans" w:bidi="ar-SA"/>
        </w:rPr>
        <w:t>.1</w:t>
      </w:r>
      <w:bookmarkStart w:id="54" w:name="_Hlk145414735"/>
      <w:r>
        <w:rPr>
          <w:rFonts w:hint="eastAsia" w:ascii="宋体" w:hAnsi="宋体" w:eastAsia="宋体" w:cs="宋体"/>
          <w:sz w:val="24"/>
          <w:szCs w:val="24"/>
          <w:highlight w:val="none"/>
          <w:lang w:val="en-US" w:eastAsia="zh-Hans" w:bidi="ar-SA"/>
        </w:rPr>
        <w:t>完成</w:t>
      </w:r>
      <w:bookmarkEnd w:id="54"/>
      <w:r>
        <w:rPr>
          <w:rFonts w:hint="eastAsia" w:ascii="宋体" w:hAnsi="宋体" w:eastAsia="宋体" w:cs="宋体"/>
          <w:sz w:val="24"/>
          <w:szCs w:val="24"/>
          <w:highlight w:val="none"/>
          <w:lang w:val="en-US" w:eastAsia="zh-Hans" w:bidi="ar-SA"/>
        </w:rPr>
        <w:t>全院</w:t>
      </w:r>
      <w:r>
        <w:rPr>
          <w:rFonts w:hint="eastAsia" w:ascii="宋体" w:hAnsi="宋体" w:eastAsia="宋体" w:cs="宋体"/>
          <w:sz w:val="24"/>
          <w:szCs w:val="24"/>
          <w:highlight w:val="none"/>
          <w:lang w:val="en-US" w:eastAsia="zh-CN" w:bidi="ar-SA"/>
        </w:rPr>
        <w:t>（</w:t>
      </w:r>
      <w:r>
        <w:rPr>
          <w:rFonts w:hint="eastAsia" w:ascii="宋体" w:hAnsi="宋体" w:eastAsia="宋体" w:cs="宋体"/>
          <w:sz w:val="24"/>
          <w:szCs w:val="24"/>
          <w:highlight w:val="none"/>
          <w:lang w:val="en-US" w:eastAsia="zh-CN"/>
        </w:rPr>
        <w:t>含院本部、</w:t>
      </w:r>
      <w:r>
        <w:rPr>
          <w:rFonts w:hint="eastAsia" w:ascii="宋体" w:hAnsi="宋体" w:eastAsia="宋体" w:cs="宋体"/>
          <w:sz w:val="24"/>
          <w:szCs w:val="24"/>
          <w:highlight w:val="none"/>
          <w:lang w:eastAsia="zh-CN"/>
        </w:rPr>
        <w:t>派出法庭及执行局</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lang w:val="en-US" w:eastAsia="zh-CN" w:bidi="ar-SA"/>
        </w:rPr>
        <w:t>）服务期限内约54000件</w:t>
      </w:r>
      <w:r>
        <w:rPr>
          <w:rFonts w:hint="eastAsia" w:ascii="宋体" w:hAnsi="宋体" w:eastAsia="宋体" w:cs="宋体"/>
          <w:sz w:val="24"/>
          <w:szCs w:val="24"/>
          <w:highlight w:val="none"/>
          <w:lang w:val="en-US" w:eastAsia="zh-Hans" w:bidi="ar-SA"/>
        </w:rPr>
        <w:t>新增案件全流程无纸化辅助服务</w:t>
      </w:r>
      <w:r>
        <w:rPr>
          <w:rFonts w:hint="eastAsia" w:ascii="宋体" w:hAnsi="宋体" w:eastAsia="宋体" w:cs="宋体"/>
          <w:sz w:val="24"/>
          <w:szCs w:val="24"/>
          <w:highlight w:val="none"/>
          <w:lang w:val="en-US" w:eastAsia="zh-CN" w:bidi="ar-SA"/>
        </w:rPr>
        <w:t>。</w:t>
      </w:r>
    </w:p>
    <w:p w14:paraId="724F69BC">
      <w:pPr>
        <w:spacing w:line="440" w:lineRule="exact"/>
        <w:ind w:firstLine="720" w:firstLineChars="3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1.1.1负责立案前扫描、处理、系统引入。（1）对立案纸质材料扫描图像处理并引入材料系统，纸质材料移送中间库。（2）对网上立案的电子材料进行校对、图像处理并引入材料系统，方便网上立案审核。</w:t>
      </w:r>
    </w:p>
    <w:p w14:paraId="19B3A296">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1.1.2案件随案生成扫描、精确编目。主要完成：（1）扫描主要工作：后台对纸质材料即时扫描、修图、核对，纸质材料放入中间库，当天</w:t>
      </w:r>
      <w:r>
        <w:rPr>
          <w:rFonts w:hint="eastAsia" w:ascii="宋体" w:hAnsi="宋体" w:eastAsia="宋体" w:cs="宋体"/>
          <w:sz w:val="24"/>
          <w:szCs w:val="24"/>
          <w:lang w:val="en-US" w:eastAsia="zh-CN" w:bidi="ar-SA"/>
        </w:rPr>
        <w:t>完成。（2）编目主要工作：即时对扫描后的卷宗材料图片进行排序、精确编目，当天完成。（3）对需要二审移送电子卷宗质量检查，避免返回，如图像是否清晰，有无漏扫、编目是否合格等工作。</w:t>
      </w:r>
    </w:p>
    <w:p w14:paraId="50CE425D">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1.1.3纸质卷宗中间库管理：（1）中间库主要工作：定点柜台式实时接收、抓拍登记、登记卷宗纸质材料，存取，并移交扫描人员扫描后及时存柜，配合书记员临时查阅和补充材料交接。（2）中间库管理卷宗通过RFID进行定位管理，实现批量出入库及快速定位盘点。</w:t>
      </w:r>
    </w:p>
    <w:p w14:paraId="1D9C676A">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1.1.4电子诉讼卷宗归档、质检、卷宗装订、档案部门纸质档案电子档案接收管理备份。主要完成：（1）电子诉讼卷宗归档、质检、卷宗装订工作：结案后书记员和承办法官负责核对电子卷宗，辅助进行电子转档、书记员核对无异后点击归档，装订人员根据归档申请，对照书记员转档后的电子档案将纸质材料按照电子卷顺序逐一核对、逐页做好排序、确保纸质档案的排序结构与电子档案完全一致并质检后归档。（2）专人对院本部、执行局及8个外派法庭实物卷和归档清单的核对及进行案卷封面信息的（归档日期、保管期限）等敲章敲号，档案部门纸质档案电子档案接收管理备份：接收审核纸质和电子诉讼档案，对不符合接收标准的予以退还，完成电子诉讼档案异质备份工作。（3）接收的纸质档案按照档案的类别、年份、编号等进行排序、装盒、制作盒信息标识及上架。</w:t>
      </w:r>
    </w:p>
    <w:p w14:paraId="408BDD53">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1.1.5软硬件设备配置清单如下：</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9"/>
        <w:gridCol w:w="5140"/>
        <w:gridCol w:w="1973"/>
      </w:tblGrid>
      <w:tr w14:paraId="76AA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9" w:type="dxa"/>
          </w:tcPr>
          <w:p w14:paraId="5A202502">
            <w:pPr>
              <w:spacing w:line="440" w:lineRule="exact"/>
              <w:ind w:firstLine="240" w:firstLineChars="10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序号</w:t>
            </w:r>
          </w:p>
        </w:tc>
        <w:tc>
          <w:tcPr>
            <w:tcW w:w="5140" w:type="dxa"/>
          </w:tcPr>
          <w:p w14:paraId="13F681FE">
            <w:pPr>
              <w:spacing w:line="440" w:lineRule="exact"/>
              <w:ind w:firstLine="480" w:firstLineChars="20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设备/系统</w:t>
            </w:r>
          </w:p>
        </w:tc>
        <w:tc>
          <w:tcPr>
            <w:tcW w:w="1973" w:type="dxa"/>
          </w:tcPr>
          <w:p w14:paraId="6C0B6D23">
            <w:pPr>
              <w:spacing w:line="440" w:lineRule="exact"/>
              <w:ind w:firstLine="480" w:firstLineChars="20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数量</w:t>
            </w:r>
          </w:p>
        </w:tc>
      </w:tr>
      <w:tr w14:paraId="09441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9" w:type="dxa"/>
          </w:tcPr>
          <w:p w14:paraId="70B30A63">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p>
        </w:tc>
        <w:tc>
          <w:tcPr>
            <w:tcW w:w="5140" w:type="dxa"/>
          </w:tcPr>
          <w:p w14:paraId="119897D5">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平板扫描仪（支持换龙芯电脑3A6000+麒麟系统环境适配使用）</w:t>
            </w:r>
          </w:p>
        </w:tc>
        <w:tc>
          <w:tcPr>
            <w:tcW w:w="1973" w:type="dxa"/>
          </w:tcPr>
          <w:p w14:paraId="49F8665C">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≥9台</w:t>
            </w:r>
          </w:p>
        </w:tc>
      </w:tr>
      <w:tr w14:paraId="2227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9" w:type="dxa"/>
          </w:tcPr>
          <w:p w14:paraId="074E9D01">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p>
        </w:tc>
        <w:tc>
          <w:tcPr>
            <w:tcW w:w="5140" w:type="dxa"/>
          </w:tcPr>
          <w:p w14:paraId="0F164681">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小型高速扫描仪（支持换龙芯电脑3A6000+麒麟系统环境适配使用）</w:t>
            </w:r>
          </w:p>
        </w:tc>
        <w:tc>
          <w:tcPr>
            <w:tcW w:w="1973" w:type="dxa"/>
          </w:tcPr>
          <w:p w14:paraId="43D686FB">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≥9台</w:t>
            </w:r>
          </w:p>
        </w:tc>
      </w:tr>
      <w:tr w14:paraId="0B4AC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9" w:type="dxa"/>
          </w:tcPr>
          <w:p w14:paraId="5946FD96">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p>
        </w:tc>
        <w:tc>
          <w:tcPr>
            <w:tcW w:w="5140" w:type="dxa"/>
          </w:tcPr>
          <w:p w14:paraId="34BE5AFB">
            <w:pPr>
              <w:spacing w:line="440" w:lineRule="exact"/>
              <w:ind w:firstLine="480" w:firstLineChars="2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大型高速扫描仪（支持换龙芯电脑3A6000+麒麟系统环境适配使用）</w:t>
            </w:r>
          </w:p>
        </w:tc>
        <w:tc>
          <w:tcPr>
            <w:tcW w:w="1973" w:type="dxa"/>
          </w:tcPr>
          <w:p w14:paraId="4CC1FE3F">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≥5台</w:t>
            </w:r>
          </w:p>
        </w:tc>
      </w:tr>
      <w:tr w14:paraId="6349B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409" w:type="dxa"/>
            <w:vAlign w:val="top"/>
          </w:tcPr>
          <w:p w14:paraId="3BA400AB">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w:t>
            </w:r>
          </w:p>
        </w:tc>
        <w:tc>
          <w:tcPr>
            <w:tcW w:w="5140" w:type="dxa"/>
          </w:tcPr>
          <w:p w14:paraId="1D52706E">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单机部署电子卷宗随案同步生成软件（匹配运行环境）</w:t>
            </w:r>
          </w:p>
        </w:tc>
        <w:tc>
          <w:tcPr>
            <w:tcW w:w="1973" w:type="dxa"/>
          </w:tcPr>
          <w:p w14:paraId="6D1A3218">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≥23套</w:t>
            </w:r>
          </w:p>
        </w:tc>
      </w:tr>
      <w:tr w14:paraId="1F03E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409" w:type="dxa"/>
          </w:tcPr>
          <w:p w14:paraId="24029B5C">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w:t>
            </w:r>
          </w:p>
        </w:tc>
        <w:tc>
          <w:tcPr>
            <w:tcW w:w="5140" w:type="dxa"/>
          </w:tcPr>
          <w:p w14:paraId="20D4467D">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中间库（含实体档案流转管理系统及配套卷宗管理及流转登记设备（高拍仪、写字板、摄像头、主机、盘点设备、电子标签等））</w:t>
            </w:r>
          </w:p>
        </w:tc>
        <w:tc>
          <w:tcPr>
            <w:tcW w:w="1973" w:type="dxa"/>
          </w:tcPr>
          <w:p w14:paraId="3C428262">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≥10套</w:t>
            </w:r>
          </w:p>
        </w:tc>
      </w:tr>
      <w:tr w14:paraId="40AAA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22" w:type="dxa"/>
            <w:gridSpan w:val="3"/>
          </w:tcPr>
          <w:p w14:paraId="2C461273">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注：供应商有对应软件的自主知识产权证明。</w:t>
            </w:r>
          </w:p>
        </w:tc>
      </w:tr>
    </w:tbl>
    <w:p w14:paraId="5A5CFA52">
      <w:pPr>
        <w:spacing w:line="440" w:lineRule="exact"/>
        <w:ind w:firstLine="240" w:firstLineChars="100"/>
        <w:rPr>
          <w:rFonts w:hint="eastAsia" w:ascii="宋体" w:hAnsi="宋体" w:eastAsia="宋体" w:cs="宋体"/>
          <w:sz w:val="24"/>
          <w:szCs w:val="24"/>
          <w:lang w:val="en-US" w:eastAsia="zh-Hans" w:bidi="ar-SA"/>
        </w:rPr>
      </w:pPr>
      <w:bookmarkStart w:id="55" w:name="_Hlk145334118"/>
      <w:r>
        <w:rPr>
          <w:rFonts w:hint="eastAsia" w:ascii="宋体" w:hAnsi="宋体" w:eastAsia="宋体" w:cs="宋体"/>
          <w:sz w:val="24"/>
          <w:szCs w:val="24"/>
          <w:lang w:val="en-US" w:eastAsia="zh-CN" w:bidi="ar-SA"/>
        </w:rPr>
        <w:t>1.2</w:t>
      </w:r>
      <w:r>
        <w:rPr>
          <w:rFonts w:hint="eastAsia" w:ascii="宋体" w:hAnsi="宋体" w:eastAsia="宋体" w:cs="宋体"/>
          <w:sz w:val="24"/>
          <w:szCs w:val="24"/>
          <w:lang w:val="en-US" w:eastAsia="zh-Hans" w:bidi="ar-SA"/>
        </w:rPr>
        <w:t>完成旧存及新增非无纸化案件档案卷</w:t>
      </w:r>
      <w:r>
        <w:rPr>
          <w:rFonts w:hint="eastAsia" w:ascii="宋体" w:hAnsi="宋体" w:eastAsia="宋体" w:cs="宋体"/>
          <w:sz w:val="24"/>
          <w:szCs w:val="24"/>
          <w:lang w:val="en-US" w:eastAsia="zh-CN" w:bidi="ar-SA"/>
        </w:rPr>
        <w:t>不少于</w:t>
      </w:r>
      <w:r>
        <w:rPr>
          <w:rFonts w:hint="eastAsia" w:ascii="宋体" w:hAnsi="宋体" w:eastAsia="宋体" w:cs="宋体"/>
          <w:sz w:val="24"/>
          <w:szCs w:val="24"/>
          <w:lang w:val="en-US" w:eastAsia="zh-Hans" w:bidi="ar-SA"/>
        </w:rPr>
        <w:t>200万页纸质材料数字化扫描归档工作</w:t>
      </w:r>
      <w:r>
        <w:rPr>
          <w:rFonts w:hint="eastAsia" w:ascii="宋体" w:hAnsi="宋体" w:eastAsia="宋体" w:cs="宋体"/>
          <w:sz w:val="24"/>
          <w:szCs w:val="24"/>
          <w:lang w:val="en-US" w:eastAsia="zh-CN" w:bidi="ar-SA"/>
        </w:rPr>
        <w:t>（含文书档案整理归档）</w:t>
      </w:r>
      <w:r>
        <w:rPr>
          <w:rFonts w:hint="eastAsia" w:ascii="宋体" w:hAnsi="宋体" w:eastAsia="宋体" w:cs="宋体"/>
          <w:sz w:val="24"/>
          <w:szCs w:val="24"/>
          <w:lang w:val="en-US" w:eastAsia="zh-Hans" w:bidi="ar-SA"/>
        </w:rPr>
        <w:t>。</w:t>
      </w:r>
    </w:p>
    <w:bookmarkEnd w:id="55"/>
    <w:p w14:paraId="7E3B5184">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1.2.1数字化加工符合依据国家档案局下发的《纸质档案数字化规范》（DA/T 31-2017）、江苏省高级人民法院下发的《诉讼档案数字化加工技术规范》（苏高法办〔2010〕18号）、苏州市档案局下发的《苏州市档案数字化操作规程》（档发〔2018〕39号）和江苏省档案局、江苏省国家保密局下发的《江苏省档案数字化安全保密管理规定（试行）》（苏档规发〔2016〕2号）的要求对新增不少于200万页纸质归档材料进行数字化加工并挂接档案系统，确保档案部门利用方便。</w:t>
      </w:r>
    </w:p>
    <w:p w14:paraId="5E0B763E">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1.2.2保证</w:t>
      </w:r>
      <w:r>
        <w:rPr>
          <w:rFonts w:hint="eastAsia" w:ascii="宋体" w:hAnsi="宋体" w:eastAsia="宋体" w:cs="宋体"/>
          <w:sz w:val="24"/>
          <w:szCs w:val="24"/>
          <w:lang w:val="en-US" w:eastAsia="zh-Hans" w:bidi="ar-SA"/>
        </w:rPr>
        <w:t>纸质材料</w:t>
      </w:r>
      <w:r>
        <w:rPr>
          <w:rFonts w:hint="eastAsia" w:ascii="宋体" w:hAnsi="宋体" w:eastAsia="宋体" w:cs="宋体"/>
          <w:sz w:val="24"/>
          <w:szCs w:val="24"/>
          <w:lang w:val="en-US" w:eastAsia="zh-CN" w:bidi="ar-SA"/>
        </w:rPr>
        <w:t>扫描图像与原件一致、整洁、清晰。做好档案资料原件、复印件鉴别相关工作</w:t>
      </w:r>
      <w:r>
        <w:rPr>
          <w:rFonts w:hint="eastAsia" w:ascii="宋体" w:hAnsi="宋体" w:eastAsia="宋体" w:cs="宋体"/>
          <w:sz w:val="24"/>
          <w:szCs w:val="24"/>
          <w:lang w:val="en-US" w:eastAsia="zh-Hans" w:bidi="ar-SA"/>
        </w:rPr>
        <w:t>对纸质材料进行规范化整理，检查纸质材料的完整性，</w:t>
      </w:r>
      <w:r>
        <w:rPr>
          <w:rFonts w:hint="eastAsia" w:ascii="宋体" w:hAnsi="宋体" w:eastAsia="宋体" w:cs="宋体"/>
          <w:sz w:val="24"/>
          <w:szCs w:val="24"/>
          <w:lang w:val="en-US" w:eastAsia="zh-CN" w:bidi="ar-SA"/>
        </w:rPr>
        <w:t>按照</w:t>
      </w:r>
      <w:r>
        <w:rPr>
          <w:rFonts w:hint="eastAsia" w:ascii="宋体" w:hAnsi="宋体" w:eastAsia="宋体" w:cs="宋体"/>
          <w:sz w:val="24"/>
          <w:szCs w:val="24"/>
          <w:lang w:val="en-US" w:eastAsia="zh-Hans" w:bidi="ar-SA"/>
        </w:rPr>
        <w:t>材料</w:t>
      </w:r>
      <w:r>
        <w:rPr>
          <w:rFonts w:hint="eastAsia" w:ascii="宋体" w:hAnsi="宋体" w:eastAsia="宋体" w:cs="宋体"/>
          <w:sz w:val="24"/>
          <w:szCs w:val="24"/>
          <w:lang w:val="en-US" w:eastAsia="zh-CN" w:bidi="ar-SA"/>
        </w:rPr>
        <w:t>的类别</w:t>
      </w:r>
      <w:r>
        <w:rPr>
          <w:rFonts w:hint="eastAsia" w:ascii="宋体" w:hAnsi="宋体" w:eastAsia="宋体" w:cs="宋体"/>
          <w:sz w:val="24"/>
          <w:szCs w:val="24"/>
          <w:lang w:val="en-US" w:eastAsia="zh-Hans" w:bidi="ar-SA"/>
        </w:rPr>
        <w:t>分类组件</w:t>
      </w:r>
      <w:r>
        <w:rPr>
          <w:rFonts w:hint="eastAsia" w:ascii="宋体" w:hAnsi="宋体" w:eastAsia="宋体" w:cs="宋体"/>
          <w:sz w:val="24"/>
          <w:szCs w:val="24"/>
          <w:lang w:val="en-US" w:eastAsia="zh-CN" w:bidi="ar-SA"/>
        </w:rPr>
        <w:t>、</w:t>
      </w:r>
      <w:r>
        <w:rPr>
          <w:rFonts w:hint="eastAsia" w:ascii="宋体" w:hAnsi="宋体" w:eastAsia="宋体" w:cs="宋体"/>
          <w:sz w:val="24"/>
          <w:szCs w:val="24"/>
          <w:lang w:val="en-US" w:eastAsia="zh-Hans" w:bidi="ar-SA"/>
        </w:rPr>
        <w:t>排序敲页、</w:t>
      </w:r>
      <w:r>
        <w:rPr>
          <w:rFonts w:hint="eastAsia" w:ascii="宋体" w:hAnsi="宋体" w:eastAsia="宋体" w:cs="宋体"/>
          <w:sz w:val="24"/>
          <w:szCs w:val="24"/>
          <w:lang w:val="en-US" w:eastAsia="zh-CN" w:bidi="ar-SA"/>
        </w:rPr>
        <w:t>编目、编号等各类标注完整、准确，达到规范要求。</w:t>
      </w:r>
    </w:p>
    <w:p w14:paraId="7C3A9CDE">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1.2.3扫描分辨率要求300dpi上，特殊情况下，如文字偏小、密集、清晰度较差等，应适当提高分辨率。全文无偏斜、模糊、失真、颠倒及挂接错误等，各项著录、编目完整规范，数据合并双层PDF并挂接，挂接质量全面达标，确保</w:t>
      </w:r>
      <w:r>
        <w:rPr>
          <w:rFonts w:hint="eastAsia" w:ascii="宋体" w:hAnsi="宋体" w:eastAsia="宋体" w:cs="宋体"/>
          <w:sz w:val="24"/>
          <w:szCs w:val="24"/>
          <w:lang w:val="en-US" w:eastAsia="zh-Hans" w:bidi="ar-SA"/>
        </w:rPr>
        <w:t>电子</w:t>
      </w:r>
      <w:r>
        <w:rPr>
          <w:rFonts w:hint="eastAsia" w:ascii="宋体" w:hAnsi="宋体" w:eastAsia="宋体" w:cs="宋体"/>
          <w:sz w:val="24"/>
          <w:szCs w:val="24"/>
          <w:lang w:val="en-US" w:eastAsia="zh-CN" w:bidi="ar-SA"/>
        </w:rPr>
        <w:t>数据完整、安全、有效、可用。</w:t>
      </w:r>
    </w:p>
    <w:p w14:paraId="36214CC9">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1.2.4纸质卷扫描完成后，要进行细致、认真的复原装订。档案装订应尽量按照原来的装订孔进行穿线装订，力求保护原件。</w:t>
      </w:r>
    </w:p>
    <w:p w14:paraId="66ED8242">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1.2.5供应商自带全部设备，扫描设备不得包含云存储等功能，只能作为本项目专用，不得将设备挪作他用或随意将不属于本项目的资料带进工作场所进行操作。数字化工作中使用的软件必须是正版软件。扫描中需要数据转移，由采购人提供移动介质，不得使用自带的移动介质进行数据转移。项目结束后，供应商自带的设备中的储存设备需交由采购人处置。</w:t>
      </w:r>
    </w:p>
    <w:p w14:paraId="795CEBED">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1.2.6档案扫描完成后，工作现场上的数据必须全部交由采购人存档。纸质档案数字化要求：纸质档案数字化加工包括：前期检查、整理、排序、登记、修复、扫描、制作、质检、档案目录完善、校验、档案装订、数据挂接、装盒、上架等；加工过程中必须确保档案载体的安全完整以及档案信息内容安全。重点完成电子档案备份工作。</w:t>
      </w:r>
    </w:p>
    <w:p w14:paraId="7E91446C">
      <w:pPr>
        <w:spacing w:line="44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1.2.7软硬件设备配置清单如下：</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8"/>
        <w:gridCol w:w="4270"/>
        <w:gridCol w:w="2840"/>
      </w:tblGrid>
      <w:tr w14:paraId="0DE3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408" w:type="dxa"/>
          </w:tcPr>
          <w:p w14:paraId="4B390B46">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序号</w:t>
            </w:r>
          </w:p>
        </w:tc>
        <w:tc>
          <w:tcPr>
            <w:tcW w:w="4270" w:type="dxa"/>
          </w:tcPr>
          <w:p w14:paraId="248F8C20">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设备/系统</w:t>
            </w:r>
          </w:p>
        </w:tc>
        <w:tc>
          <w:tcPr>
            <w:tcW w:w="2840" w:type="dxa"/>
          </w:tcPr>
          <w:p w14:paraId="5B559BA6">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数量</w:t>
            </w:r>
          </w:p>
        </w:tc>
      </w:tr>
      <w:tr w14:paraId="3A307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408" w:type="dxa"/>
          </w:tcPr>
          <w:p w14:paraId="47BC3691">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p>
        </w:tc>
        <w:tc>
          <w:tcPr>
            <w:tcW w:w="4270" w:type="dxa"/>
          </w:tcPr>
          <w:p w14:paraId="7F301A60">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平板扫描仪</w:t>
            </w:r>
          </w:p>
        </w:tc>
        <w:tc>
          <w:tcPr>
            <w:tcW w:w="2840" w:type="dxa"/>
          </w:tcPr>
          <w:p w14:paraId="4DAC65B0">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≥1台</w:t>
            </w:r>
          </w:p>
        </w:tc>
      </w:tr>
      <w:tr w14:paraId="0E3BE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408" w:type="dxa"/>
          </w:tcPr>
          <w:p w14:paraId="2711BF1E">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p>
        </w:tc>
        <w:tc>
          <w:tcPr>
            <w:tcW w:w="4270" w:type="dxa"/>
          </w:tcPr>
          <w:p w14:paraId="2503ECDC">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大型高速扫描仪</w:t>
            </w:r>
          </w:p>
        </w:tc>
        <w:tc>
          <w:tcPr>
            <w:tcW w:w="2840" w:type="dxa"/>
          </w:tcPr>
          <w:p w14:paraId="533CC96E">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≥2台</w:t>
            </w:r>
          </w:p>
        </w:tc>
      </w:tr>
      <w:tr w14:paraId="5A50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408" w:type="dxa"/>
          </w:tcPr>
          <w:p w14:paraId="37293086">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p>
        </w:tc>
        <w:tc>
          <w:tcPr>
            <w:tcW w:w="4270" w:type="dxa"/>
          </w:tcPr>
          <w:p w14:paraId="5C430E51">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档案数字化加工流程管理软件</w:t>
            </w:r>
          </w:p>
        </w:tc>
        <w:tc>
          <w:tcPr>
            <w:tcW w:w="2840" w:type="dxa"/>
          </w:tcPr>
          <w:p w14:paraId="07782891">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≥1套</w:t>
            </w:r>
          </w:p>
        </w:tc>
      </w:tr>
      <w:tr w14:paraId="75884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408" w:type="dxa"/>
          </w:tcPr>
          <w:p w14:paraId="61BB479D">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w:t>
            </w:r>
          </w:p>
        </w:tc>
        <w:tc>
          <w:tcPr>
            <w:tcW w:w="4270" w:type="dxa"/>
          </w:tcPr>
          <w:p w14:paraId="75CDF4BC">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电子档案备份软件</w:t>
            </w:r>
          </w:p>
        </w:tc>
        <w:tc>
          <w:tcPr>
            <w:tcW w:w="2840" w:type="dxa"/>
          </w:tcPr>
          <w:p w14:paraId="203A1946">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≥1套</w:t>
            </w:r>
          </w:p>
        </w:tc>
      </w:tr>
      <w:tr w14:paraId="6793F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518" w:type="dxa"/>
            <w:gridSpan w:val="3"/>
          </w:tcPr>
          <w:p w14:paraId="373EAF54">
            <w:pPr>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注：供应商有对应软件的自主知识产权证明。</w:t>
            </w:r>
          </w:p>
        </w:tc>
      </w:tr>
    </w:tbl>
    <w:p w14:paraId="5AFD392B">
      <w:pPr>
        <w:pageBreakBefore w:val="0"/>
        <w:kinsoku/>
        <w:wordWrap/>
        <w:overflowPunct/>
        <w:topLinePunct w:val="0"/>
        <w:autoSpaceDE/>
        <w:autoSpaceDN/>
        <w:bidi w:val="0"/>
        <w:adjustRightInd/>
        <w:snapToGrid/>
        <w:spacing w:line="440" w:lineRule="exact"/>
        <w:ind w:firstLine="241" w:firstLineChars="100"/>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2、关键服务环节要求</w:t>
      </w:r>
    </w:p>
    <w:p w14:paraId="627552FF">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2.1为保证后期电子卷宗快速顺利使用及电子归档，其中立案庭及中间库服务人员在接收到材料后24小时内完成采集上传，全流程加工的数字化影像需按照《纸质档案数字化规范》（DA/T 31-2017），为保证影像质量及即时性，供应商需配置相应功能的加工软件。</w:t>
      </w:r>
    </w:p>
    <w:p w14:paraId="51569328">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2.2上传后系统自动匹配生成的对应条目、对应影像的分类，编目人员进行逐页检查、手动纠偏、补充完善，并根据各个法官审判习惯进行顺序调整，条目完整性补充修改、图片证据所属修正等工作。为保证条目准确，供应商需配置专业著录系统。</w:t>
      </w:r>
    </w:p>
    <w:p w14:paraId="5EE1791B">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2.3定点柜台式实时接收、抓拍登记、登记卷宗纸质材料，存取，并移交扫描人员扫描后及时存柜，配合书记员临时查阅和补充材料交接。为保证材料的流转管理的可靠性，需配置相关设施设备及软件进行管理。</w:t>
      </w:r>
    </w:p>
    <w:p w14:paraId="217F13B8">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2.4集约化纸质装卷中心，对通过复验的无纸化电子档案，进行纸质材料归档，整理装订，敲页码，核对目录并完成装订等。装卷的纸质档案需满足归档验签要求，避免档案部门退卷。</w:t>
      </w:r>
    </w:p>
    <w:p w14:paraId="485843BF">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2.5纸质档案数字化要求：纸质档案数字化加工包括：前期检查、整理、排序、登记、修复、扫描、制作、质检、档案目录完善、校验、档案装订、数据挂接、备份等；加工过程中必须确保档案载体的安全完整以及档案信息内容安全。</w:t>
      </w:r>
    </w:p>
    <w:p w14:paraId="75085557">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2.6纸质档案装盒上架要求：纸质档案装盒上架包括：库房检查、核对、装盒、排序、上下架、倒架等；加工过程中必须按照档案部门的要求操作，确保档案实体安全完整。</w:t>
      </w:r>
    </w:p>
    <w:p w14:paraId="6E0E6FF6">
      <w:pPr>
        <w:pageBreakBefore w:val="0"/>
        <w:kinsoku/>
        <w:wordWrap/>
        <w:overflowPunct/>
        <w:topLinePunct w:val="0"/>
        <w:autoSpaceDE/>
        <w:autoSpaceDN/>
        <w:bidi w:val="0"/>
        <w:adjustRightInd/>
        <w:snapToGrid/>
        <w:spacing w:line="440" w:lineRule="exact"/>
        <w:ind w:firstLine="241" w:firstLineChars="100"/>
        <w:outlineLvl w:val="9"/>
        <w:rPr>
          <w:rFonts w:hint="eastAsia" w:ascii="宋体" w:hAnsi="宋体" w:eastAsia="宋体" w:cs="宋体"/>
          <w:b/>
          <w:bCs/>
          <w:sz w:val="24"/>
          <w:szCs w:val="24"/>
        </w:rPr>
      </w:pPr>
      <w:r>
        <w:rPr>
          <w:rFonts w:hint="eastAsia" w:ascii="宋体" w:hAnsi="宋体" w:eastAsia="宋体" w:cs="宋体"/>
          <w:b/>
          <w:bCs/>
          <w:sz w:val="24"/>
          <w:szCs w:val="24"/>
        </w:rPr>
        <w:t>3、人员和设备要求</w:t>
      </w:r>
    </w:p>
    <w:p w14:paraId="5417CD81">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3.1供应商配置不少于35人的专业服务团队驻场，明确1名项目负责人，按照立案采集、过程卷采集、补录、中间库、辅助转档、装卷、整理归档、归档扫描、装盒上架等环节进行配置，资源保障的情况下配合无纸化审判辅助相关服务</w:t>
      </w:r>
      <w:r>
        <w:rPr>
          <w:rFonts w:hint="eastAsia" w:ascii="宋体" w:hAnsi="宋体" w:eastAsia="宋体" w:cs="宋体"/>
          <w:sz w:val="24"/>
          <w:szCs w:val="24"/>
          <w:highlight w:val="none"/>
          <w:lang w:val="en-US" w:eastAsia="zh-CN" w:bidi="ar-SA"/>
        </w:rPr>
        <w:t>，其中不少于10人岗位要求大专（含）以上学历，打字速度不低于100个/分钟。项目负责人负责跟踪推进项目工作和问题的协调落实，要求具备信息系统项目管理、信息安全等方面的专</w:t>
      </w:r>
      <w:r>
        <w:rPr>
          <w:rFonts w:hint="eastAsia" w:ascii="宋体" w:hAnsi="宋体" w:eastAsia="宋体" w:cs="宋体"/>
          <w:sz w:val="24"/>
          <w:szCs w:val="24"/>
          <w:lang w:val="en-US" w:eastAsia="zh-CN" w:bidi="ar-SA"/>
        </w:rPr>
        <w:t>业技术，具有相关工作管理经验，辅助1名技术人员配合设备及系统调试。根据各个环节及质量标准要求进行相应调整配置，同时考虑</w:t>
      </w:r>
      <w:r>
        <w:rPr>
          <w:rFonts w:hint="eastAsia" w:ascii="宋体" w:hAnsi="宋体" w:eastAsia="宋体" w:cs="宋体"/>
          <w:bCs/>
          <w:color w:val="000000" w:themeColor="text1"/>
          <w:sz w:val="24"/>
          <w:lang w:val="en-US" w:eastAsia="zh-CN"/>
          <w14:textFill>
            <w14:solidFill>
              <w14:schemeClr w14:val="tx1"/>
            </w14:solidFill>
          </w14:textFill>
        </w:rPr>
        <w:t>“一张网”</w:t>
      </w:r>
      <w:r>
        <w:rPr>
          <w:rFonts w:hint="eastAsia" w:ascii="宋体" w:hAnsi="宋体" w:eastAsia="宋体" w:cs="宋体"/>
          <w:sz w:val="24"/>
          <w:szCs w:val="24"/>
          <w:lang w:val="en-US" w:eastAsia="zh-CN" w:bidi="ar-SA"/>
        </w:rPr>
        <w:t>及信创环境的要求，配置专业技术人员保障。质量标准如下：</w:t>
      </w:r>
    </w:p>
    <w:p w14:paraId="082FF49E">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（1）目录数据库与图像文件挂接错误，卷内目录不完全对应，或目录数据库、图像文件之一出现不完整、不清晰、有错误等质量问题时，抽检标记视为“不合格”。</w:t>
      </w:r>
    </w:p>
    <w:p w14:paraId="70D18E80">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（2）档案装卷：检查材料类别、顺序及页码、目录，差错率≤1‰。</w:t>
      </w:r>
    </w:p>
    <w:p w14:paraId="6DCFB964">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（3）扫描图像：漏扫率≤0.1‰。</w:t>
      </w:r>
    </w:p>
    <w:p w14:paraId="1EAC161B">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（4）图像质量：图像质量情况完好率99%。</w:t>
      </w:r>
    </w:p>
    <w:p w14:paraId="0538156F">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（5）格式封装：图像文件的命名差错率≤1‰。</w:t>
      </w:r>
    </w:p>
    <w:p w14:paraId="037E2F4D">
      <w:pPr>
        <w:spacing w:line="440" w:lineRule="exact"/>
        <w:ind w:firstLine="720" w:firstLineChars="3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（6）</w:t>
      </w:r>
      <w:r>
        <w:rPr>
          <w:rFonts w:hint="eastAsia" w:ascii="宋体" w:hAnsi="宋体" w:eastAsia="宋体" w:cs="宋体"/>
          <w:sz w:val="24"/>
          <w:szCs w:val="24"/>
          <w:highlight w:val="none"/>
          <w:lang w:val="en-US" w:eastAsia="zh-CN"/>
        </w:rPr>
        <w:t>编目著录</w:t>
      </w:r>
      <w:r>
        <w:rPr>
          <w:rFonts w:hint="eastAsia" w:ascii="宋体" w:hAnsi="宋体" w:eastAsia="宋体" w:cs="宋体"/>
          <w:sz w:val="24"/>
          <w:szCs w:val="24"/>
          <w:highlight w:val="none"/>
          <w:lang w:val="en-US" w:eastAsia="zh-CN" w:bidi="ar-SA"/>
        </w:rPr>
        <w:t>：</w:t>
      </w:r>
      <w:r>
        <w:rPr>
          <w:rFonts w:hint="eastAsia" w:ascii="宋体" w:hAnsi="宋体" w:eastAsia="宋体" w:cs="宋体"/>
          <w:sz w:val="24"/>
          <w:szCs w:val="24"/>
          <w:highlight w:val="none"/>
          <w:lang w:val="en-US" w:eastAsia="zh-CN"/>
        </w:rPr>
        <w:t>编目著录</w:t>
      </w:r>
      <w:r>
        <w:rPr>
          <w:rFonts w:hint="eastAsia" w:ascii="宋体" w:hAnsi="宋体" w:eastAsia="宋体" w:cs="宋体"/>
          <w:sz w:val="24"/>
          <w:szCs w:val="24"/>
          <w:highlight w:val="none"/>
          <w:lang w:val="en-US" w:eastAsia="zh-CN" w:bidi="ar-SA"/>
        </w:rPr>
        <w:t>正确率98%</w:t>
      </w:r>
    </w:p>
    <w:p w14:paraId="54796526">
      <w:pPr>
        <w:spacing w:line="440" w:lineRule="exact"/>
        <w:ind w:firstLine="720" w:firstLineChars="3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（7）条目与图像挂接：挂接正确率98%</w:t>
      </w:r>
    </w:p>
    <w:p w14:paraId="4B48B306">
      <w:pPr>
        <w:spacing w:line="440" w:lineRule="exact"/>
        <w:ind w:firstLine="720" w:firstLineChars="3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（8）诉讼原始材料：100%不缺失，并能随时定位其具体位置。</w:t>
      </w:r>
    </w:p>
    <w:p w14:paraId="2D37F537">
      <w:pPr>
        <w:spacing w:line="440" w:lineRule="exact"/>
        <w:ind w:firstLine="720" w:firstLineChars="3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（9）服务人员：证书、工作经验、学历等方面符合磋商文件、响应文件、政府采购合同的要求。</w:t>
      </w:r>
    </w:p>
    <w:p w14:paraId="10AFCAC9">
      <w:pPr>
        <w:spacing w:line="440" w:lineRule="exact"/>
        <w:ind w:firstLine="723" w:firstLineChars="30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3.2人员更换，应提前半个月通知采购人并提前征询采购人同意，非经采购人允许，不得随意更换。确保服务质量不因人员变动而受影响。如确需更换的，需保证服务人员的职称、证书、资历等要求不低于响应文件中拟投入人员。</w:t>
      </w:r>
    </w:p>
    <w:p w14:paraId="52B5F4BE">
      <w:pPr>
        <w:spacing w:line="440" w:lineRule="exact"/>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3.3供应商配置相应的</w:t>
      </w:r>
      <w:r>
        <w:rPr>
          <w:rFonts w:hint="eastAsia" w:ascii="宋体" w:hAnsi="宋体" w:eastAsia="宋体" w:cs="宋体"/>
          <w:color w:val="000000"/>
          <w:kern w:val="2"/>
          <w:sz w:val="24"/>
          <w:szCs w:val="24"/>
          <w:highlight w:val="none"/>
          <w:lang w:val="en-US" w:eastAsia="zh-CN"/>
        </w:rPr>
        <w:t>扫描仪、中间库设备及系统、电子卷宗采集软件、档案流转管理软件、档案数字化加工软件</w:t>
      </w:r>
      <w:r>
        <w:rPr>
          <w:rFonts w:hint="eastAsia" w:ascii="宋体" w:hAnsi="宋体" w:eastAsia="宋体" w:cs="宋体"/>
          <w:sz w:val="24"/>
          <w:szCs w:val="24"/>
          <w:lang w:val="en-US" w:eastAsia="zh-CN"/>
        </w:rPr>
        <w:t>等软硬件</w:t>
      </w:r>
      <w:r>
        <w:rPr>
          <w:rFonts w:hint="eastAsia" w:ascii="宋体" w:hAnsi="宋体" w:eastAsia="宋体" w:cs="宋体"/>
          <w:sz w:val="24"/>
          <w:szCs w:val="24"/>
          <w:lang w:val="en-US" w:eastAsia="zh-CN" w:bidi="ar-SA"/>
        </w:rPr>
        <w:t>，确保成果质量及效率，并对纸质材料全流程安全管理。</w:t>
      </w:r>
    </w:p>
    <w:p w14:paraId="003A17CE">
      <w:pPr>
        <w:pageBreakBefore w:val="0"/>
        <w:kinsoku/>
        <w:wordWrap/>
        <w:overflowPunct/>
        <w:topLinePunct w:val="0"/>
        <w:autoSpaceDE/>
        <w:autoSpaceDN/>
        <w:bidi w:val="0"/>
        <w:adjustRightInd/>
        <w:snapToGrid/>
        <w:spacing w:line="440" w:lineRule="exact"/>
        <w:ind w:firstLine="241" w:firstLineChars="100"/>
        <w:outlineLvl w:val="9"/>
        <w:rPr>
          <w:rFonts w:hint="eastAsia" w:ascii="宋体" w:hAnsi="宋体" w:eastAsia="宋体" w:cs="宋体"/>
          <w:b/>
          <w:bCs/>
          <w:sz w:val="24"/>
          <w:szCs w:val="24"/>
        </w:rPr>
      </w:pPr>
      <w:r>
        <w:rPr>
          <w:rFonts w:hint="eastAsia" w:ascii="宋体" w:hAnsi="宋体" w:eastAsia="宋体" w:cs="宋体"/>
          <w:b/>
          <w:bCs/>
          <w:sz w:val="24"/>
          <w:szCs w:val="24"/>
        </w:rPr>
        <w:t>4、安全要求</w:t>
      </w:r>
    </w:p>
    <w:p w14:paraId="266D951A">
      <w:pPr>
        <w:pStyle w:val="20"/>
        <w:spacing w:line="440" w:lineRule="exact"/>
        <w:ind w:firstLine="562" w:firstLineChars="200"/>
        <w:rPr>
          <w:rFonts w:hint="eastAsia" w:ascii="宋体" w:hAnsi="宋体" w:eastAsia="宋体" w:cs="宋体"/>
          <w:sz w:val="24"/>
          <w:szCs w:val="24"/>
        </w:rPr>
      </w:pPr>
      <w:r>
        <w:rPr>
          <w:rFonts w:hint="eastAsia" w:ascii="宋体" w:hAnsi="宋体" w:eastAsia="宋体" w:cs="宋体"/>
          <w:b/>
          <w:bCs/>
          <w:sz w:val="28"/>
          <w:szCs w:val="28"/>
        </w:rPr>
        <w:t>★</w:t>
      </w:r>
      <w:r>
        <w:rPr>
          <w:rFonts w:hint="eastAsia" w:ascii="宋体" w:hAnsi="宋体" w:eastAsia="宋体" w:cs="宋体"/>
          <w:sz w:val="24"/>
          <w:szCs w:val="24"/>
          <w:lang w:val="en-US" w:eastAsia="zh-CN"/>
        </w:rPr>
        <w:t>4</w:t>
      </w:r>
      <w:r>
        <w:rPr>
          <w:rFonts w:hint="eastAsia" w:ascii="宋体" w:hAnsi="宋体" w:eastAsia="宋体" w:cs="宋体"/>
          <w:sz w:val="24"/>
          <w:szCs w:val="24"/>
        </w:rPr>
        <w:t>.1严格遵守常熟市人民法院保密规定：各类案件无纸化数字化集约化全流程工作必须在常熟市人民法院指定的场所内进行，确保场所正常秩序和安全。不得遗失、损坏诉讼材料，泄露审判工作秘密，如有违法者，将追究法律责任。</w:t>
      </w:r>
    </w:p>
    <w:p w14:paraId="4B1C0D09">
      <w:pPr>
        <w:pageBreakBefore w:val="0"/>
        <w:kinsoku/>
        <w:wordWrap/>
        <w:overflowPunct/>
        <w:topLinePunct w:val="0"/>
        <w:autoSpaceDE/>
        <w:autoSpaceDN/>
        <w:bidi w:val="0"/>
        <w:adjustRightInd/>
        <w:snapToGrid/>
        <w:spacing w:line="440" w:lineRule="exact"/>
        <w:ind w:firstLine="241" w:firstLineChars="100"/>
        <w:outlineLvl w:val="9"/>
        <w:rPr>
          <w:rFonts w:hint="eastAsia" w:ascii="宋体" w:hAnsi="宋体" w:eastAsia="宋体" w:cs="宋体"/>
          <w:b/>
          <w:bCs/>
        </w:rPr>
      </w:pP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验收</w:t>
      </w:r>
      <w:r>
        <w:rPr>
          <w:rFonts w:hint="eastAsia" w:ascii="宋体" w:hAnsi="宋体" w:eastAsia="宋体" w:cs="宋体"/>
          <w:b/>
          <w:bCs/>
          <w:sz w:val="24"/>
          <w:szCs w:val="24"/>
        </w:rPr>
        <w:t>要求</w:t>
      </w:r>
    </w:p>
    <w:p w14:paraId="6920302A">
      <w:pPr>
        <w:pStyle w:val="20"/>
        <w:spacing w:line="440" w:lineRule="exact"/>
        <w:ind w:firstLine="562" w:firstLineChars="200"/>
        <w:rPr>
          <w:rFonts w:hint="eastAsia" w:ascii="宋体" w:hAnsi="宋体" w:eastAsia="宋体" w:cs="宋体"/>
          <w:kern w:val="2"/>
          <w:sz w:val="24"/>
          <w:szCs w:val="24"/>
        </w:rPr>
      </w:pPr>
      <w:r>
        <w:rPr>
          <w:rFonts w:hint="eastAsia" w:ascii="宋体" w:hAnsi="宋体" w:eastAsia="宋体" w:cs="宋体"/>
          <w:b/>
          <w:bCs/>
          <w:sz w:val="28"/>
          <w:szCs w:val="28"/>
        </w:rPr>
        <w:t>★</w:t>
      </w: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数据</w:t>
      </w:r>
      <w:r>
        <w:rPr>
          <w:rFonts w:hint="eastAsia" w:ascii="宋体" w:hAnsi="宋体" w:eastAsia="宋体" w:cs="宋体"/>
          <w:sz w:val="24"/>
          <w:szCs w:val="24"/>
        </w:rPr>
        <w:t>抽检</w:t>
      </w:r>
    </w:p>
    <w:p w14:paraId="0E3768C0">
      <w:pPr>
        <w:spacing w:line="44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.1以抽检的方式检查已完成的全流程无纸化办案产生的数据，包括目录数据库、图像文件及数据挂接的总体质量。</w:t>
      </w:r>
    </w:p>
    <w:p w14:paraId="772956AE">
      <w:pPr>
        <w:spacing w:line="44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.2数据验收时抽检的比率不得低于10%。抽检内容合格率应超过98%，否则整批退回整改。</w:t>
      </w:r>
    </w:p>
    <w:p w14:paraId="4AF4FBF8">
      <w:pPr>
        <w:pStyle w:val="20"/>
        <w:spacing w:line="440" w:lineRule="exact"/>
        <w:ind w:firstLine="562" w:firstLineChars="200"/>
        <w:rPr>
          <w:rFonts w:hint="eastAsia" w:ascii="宋体" w:hAnsi="宋体" w:eastAsia="宋体" w:cs="宋体"/>
          <w:kern w:val="2"/>
          <w:sz w:val="24"/>
          <w:szCs w:val="24"/>
        </w:rPr>
      </w:pPr>
      <w:r>
        <w:rPr>
          <w:rFonts w:hint="eastAsia" w:ascii="宋体" w:hAnsi="宋体" w:eastAsia="宋体" w:cs="宋体"/>
          <w:b/>
          <w:bCs/>
          <w:sz w:val="28"/>
          <w:szCs w:val="28"/>
        </w:rPr>
        <w:t>★</w:t>
      </w: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验收标准</w:t>
      </w:r>
    </w:p>
    <w:p w14:paraId="7D08BD70">
      <w:pPr>
        <w:spacing w:line="440" w:lineRule="exact"/>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5.2.1目录数据库与图像文件挂接错误，卷内目录不完全对应，或目录数据库、图像文件之一出现不完整、不清晰、有错误等质量问题时，抽检标记视为“不合格”。</w:t>
      </w:r>
    </w:p>
    <w:p w14:paraId="056BB2A7">
      <w:pPr>
        <w:spacing w:line="440" w:lineRule="exact"/>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5.2.2档案装卷：检查材料类别、顺序及页码、目录，差错率≤1‰。</w:t>
      </w:r>
    </w:p>
    <w:p w14:paraId="0531392B">
      <w:pPr>
        <w:spacing w:line="440" w:lineRule="exact"/>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5.2.3扫描图像：漏扫率≤0.1‰。</w:t>
      </w:r>
    </w:p>
    <w:p w14:paraId="69010B1E">
      <w:pPr>
        <w:spacing w:line="440" w:lineRule="exact"/>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5.2.4图像质量：图像质量情况完好率99%。</w:t>
      </w:r>
    </w:p>
    <w:p w14:paraId="7E5633EA">
      <w:pPr>
        <w:spacing w:line="440" w:lineRule="exact"/>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5.2.5格式封装：图像文件的命名差错率≤1‰。</w:t>
      </w:r>
    </w:p>
    <w:p w14:paraId="28BCEBFD">
      <w:pPr>
        <w:spacing w:line="440" w:lineRule="exact"/>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5.2.6编目著录：编目著录正确率98%。</w:t>
      </w:r>
    </w:p>
    <w:p w14:paraId="775D16FD">
      <w:pPr>
        <w:spacing w:line="440" w:lineRule="exact"/>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5.2.7条目与图像挂接：挂接正确率98%。</w:t>
      </w:r>
    </w:p>
    <w:p w14:paraId="21CFA87D">
      <w:pPr>
        <w:spacing w:line="440" w:lineRule="exact"/>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5.2.8诉讼原始材料：100%不缺失，并能随时定位其具体位置。</w:t>
      </w:r>
    </w:p>
    <w:p w14:paraId="68364B8E">
      <w:pPr>
        <w:spacing w:line="440" w:lineRule="exact"/>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5.2.9服务人员：证书、工作经验、学历等方面符合磋商文件、响应文件、政府采购合同的要求。</w:t>
      </w:r>
    </w:p>
    <w:p w14:paraId="468B1F9E">
      <w:pPr>
        <w:pStyle w:val="20"/>
        <w:spacing w:line="440" w:lineRule="exact"/>
        <w:ind w:firstLine="720" w:firstLineChars="300"/>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5.3采购人应该成立</w:t>
      </w:r>
      <w:r>
        <w:rPr>
          <w:rFonts w:hint="eastAsia" w:ascii="宋体" w:hAnsi="宋体" w:eastAsia="宋体" w:cs="宋体"/>
          <w:b w:val="0"/>
          <w:bCs w:val="0"/>
          <w:sz w:val="24"/>
          <w:szCs w:val="24"/>
        </w:rPr>
        <w:t>验收小组</w:t>
      </w:r>
      <w:r>
        <w:rPr>
          <w:rFonts w:hint="eastAsia" w:ascii="宋体" w:hAnsi="宋体" w:eastAsia="宋体" w:cs="宋体"/>
          <w:b w:val="0"/>
          <w:bCs w:val="0"/>
          <w:sz w:val="24"/>
          <w:szCs w:val="24"/>
          <w:lang w:val="en-US" w:eastAsia="zh-CN"/>
        </w:rPr>
        <w:t>对成交供应商的人员进行验收。</w:t>
      </w:r>
      <w:r>
        <w:rPr>
          <w:rFonts w:hint="eastAsia" w:ascii="宋体" w:hAnsi="宋体" w:eastAsia="宋体" w:cs="宋体"/>
          <w:b w:val="0"/>
          <w:bCs w:val="0"/>
          <w:sz w:val="24"/>
          <w:szCs w:val="24"/>
        </w:rPr>
        <w:t>验收小组由3人及以上单数的熟悉项目需求与标的的专业技术人员组成，以确保验收的专业性和公正性。验收小组根据</w:t>
      </w:r>
      <w:r>
        <w:rPr>
          <w:rFonts w:hint="eastAsia" w:ascii="宋体" w:hAnsi="宋体" w:eastAsia="宋体" w:cs="宋体"/>
          <w:b w:val="0"/>
          <w:bCs w:val="0"/>
          <w:sz w:val="24"/>
          <w:szCs w:val="24"/>
          <w:lang w:val="en-US" w:eastAsia="zh-CN"/>
        </w:rPr>
        <w:t>磋商</w:t>
      </w:r>
      <w:r>
        <w:rPr>
          <w:rFonts w:hint="eastAsia" w:ascii="宋体" w:hAnsi="宋体" w:eastAsia="宋体" w:cs="宋体"/>
          <w:b w:val="0"/>
          <w:bCs w:val="0"/>
          <w:sz w:val="24"/>
          <w:szCs w:val="24"/>
        </w:rPr>
        <w:t>文件</w:t>
      </w:r>
      <w:r>
        <w:rPr>
          <w:rFonts w:hint="eastAsia" w:ascii="宋体" w:hAnsi="宋体" w:eastAsia="宋体" w:cs="宋体"/>
          <w:b w:val="0"/>
          <w:bCs w:val="0"/>
          <w:sz w:val="24"/>
          <w:szCs w:val="24"/>
          <w:lang w:val="en-US" w:eastAsia="zh-CN"/>
        </w:rPr>
        <w:t>的验收标准</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响应</w:t>
      </w:r>
      <w:r>
        <w:rPr>
          <w:rFonts w:hint="eastAsia" w:ascii="宋体" w:hAnsi="宋体" w:eastAsia="宋体" w:cs="宋体"/>
          <w:b w:val="0"/>
          <w:bCs w:val="0"/>
          <w:sz w:val="24"/>
          <w:szCs w:val="24"/>
        </w:rPr>
        <w:t>文件、政府采购合同等对服务人员进行</w:t>
      </w:r>
      <w:r>
        <w:rPr>
          <w:rFonts w:hint="eastAsia" w:ascii="宋体" w:hAnsi="宋体" w:eastAsia="宋体" w:cs="宋体"/>
          <w:b w:val="0"/>
          <w:bCs w:val="0"/>
          <w:sz w:val="24"/>
          <w:szCs w:val="24"/>
          <w:lang w:val="en-US" w:eastAsia="zh-CN"/>
        </w:rPr>
        <w:t>验收</w:t>
      </w:r>
      <w:r>
        <w:rPr>
          <w:rFonts w:hint="eastAsia" w:ascii="宋体" w:hAnsi="宋体" w:eastAsia="宋体" w:cs="宋体"/>
          <w:b w:val="0"/>
          <w:bCs w:val="0"/>
          <w:sz w:val="24"/>
          <w:szCs w:val="24"/>
        </w:rPr>
        <w:t>，并做好验收记录</w:t>
      </w:r>
      <w:r>
        <w:rPr>
          <w:rFonts w:hint="eastAsia" w:ascii="宋体" w:hAnsi="宋体" w:eastAsia="宋体" w:cs="宋体"/>
          <w:b w:val="0"/>
          <w:bCs w:val="0"/>
          <w:sz w:val="24"/>
          <w:szCs w:val="24"/>
          <w:lang w:eastAsia="zh-CN"/>
        </w:rPr>
        <w:t>。</w:t>
      </w:r>
    </w:p>
    <w:p w14:paraId="0F7B8C61">
      <w:pPr>
        <w:pStyle w:val="20"/>
        <w:spacing w:line="440" w:lineRule="exact"/>
        <w:ind w:firstLine="720" w:firstLineChars="3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5.4若验收不通过，采购人应明确向成交供应商提出整改要求，并限定整改期限。成交供应商应在规定时间内完成整改，如更换符合要求的人员、补充提交相关证书或证明材料等。整改完成后，成交供应商应通知采购人重新组织验收，采购人应在规定时间内完成复验并签署验收报告。若成交供应商未能在规定时间内完成整改，或整改后仍不符合要求，采购人可根据合同约定追究成交供应商的违约责任，如支付违约金、赔偿损失等。若履约服务人员的服务质量、职称、证书、资历等问题严重影响项目的正常实施，导致合同无法继续履行，采购人可以按照相关规定终止合同，并报财政部门备案。对于合同终止所造成的损失，采购人有权追究成交供应商的违约责任。</w:t>
      </w:r>
    </w:p>
    <w:p w14:paraId="3F49A3BC">
      <w:pPr>
        <w:pageBreakBefore w:val="0"/>
        <w:kinsoku/>
        <w:wordWrap/>
        <w:overflowPunct/>
        <w:topLinePunct w:val="0"/>
        <w:autoSpaceDE/>
        <w:autoSpaceDN/>
        <w:bidi w:val="0"/>
        <w:adjustRightInd/>
        <w:snapToGrid/>
        <w:spacing w:line="440" w:lineRule="exact"/>
        <w:ind w:firstLine="241" w:firstLineChars="100"/>
        <w:outlineLvl w:val="9"/>
        <w:rPr>
          <w:rFonts w:hint="eastAsia" w:ascii="宋体" w:hAnsi="宋体" w:eastAsia="宋体" w:cs="宋体"/>
          <w:b/>
          <w:bCs/>
        </w:rPr>
      </w:pP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、其他要求</w:t>
      </w:r>
    </w:p>
    <w:p w14:paraId="38723C18">
      <w:pPr>
        <w:pageBreakBefore w:val="0"/>
        <w:kinsoku/>
        <w:wordWrap/>
        <w:overflowPunct/>
        <w:topLinePunct w:val="0"/>
        <w:autoSpaceDE/>
        <w:autoSpaceDN/>
        <w:bidi w:val="0"/>
        <w:adjustRightInd/>
        <w:snapToGrid/>
        <w:spacing w:line="440" w:lineRule="exact"/>
        <w:ind w:firstLine="240" w:firstLineChars="1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w:t>
      </w:r>
      <w:bookmarkStart w:id="56" w:name="_Hlk144125042"/>
      <w:r>
        <w:rPr>
          <w:rFonts w:hint="eastAsia" w:ascii="宋体" w:hAnsi="宋体" w:eastAsia="宋体" w:cs="宋体"/>
          <w:bCs/>
          <w:color w:val="000000" w:themeColor="text1"/>
          <w:sz w:val="24"/>
          <w:lang w:val="en-US" w:eastAsia="zh-CN"/>
          <w14:textFill>
            <w14:solidFill>
              <w14:schemeClr w14:val="tx1"/>
            </w14:solidFill>
          </w14:textFill>
        </w:rPr>
        <w:t>6.1</w:t>
      </w:r>
      <w:r>
        <w:rPr>
          <w:rFonts w:hint="eastAsia" w:ascii="宋体" w:hAnsi="宋体" w:eastAsia="宋体" w:cs="宋体"/>
          <w:bCs/>
          <w:color w:val="000000" w:themeColor="text1"/>
          <w:sz w:val="24"/>
          <w14:textFill>
            <w14:solidFill>
              <w14:schemeClr w14:val="tx1"/>
            </w14:solidFill>
          </w14:textFill>
        </w:rPr>
        <w:t>为保障法院审判工作的即时性，</w:t>
      </w:r>
      <w:bookmarkStart w:id="57" w:name="_Hlk143262986"/>
      <w:r>
        <w:rPr>
          <w:rFonts w:hint="eastAsia" w:ascii="宋体" w:hAnsi="宋体" w:eastAsia="宋体" w:cs="宋体"/>
          <w:bCs/>
          <w:color w:val="000000" w:themeColor="text1"/>
          <w:sz w:val="24"/>
          <w14:textFill>
            <w14:solidFill>
              <w14:schemeClr w14:val="tx1"/>
            </w14:solidFill>
          </w14:textFill>
        </w:rPr>
        <w:t>成交供应商</w:t>
      </w:r>
      <w:bookmarkEnd w:id="57"/>
      <w:r>
        <w:rPr>
          <w:rFonts w:hint="eastAsia" w:ascii="宋体" w:hAnsi="宋体" w:eastAsia="宋体" w:cs="宋体"/>
          <w:bCs/>
          <w:color w:val="000000" w:themeColor="text1"/>
          <w:sz w:val="24"/>
          <w14:textFill>
            <w14:solidFill>
              <w14:schemeClr w14:val="tx1"/>
            </w14:solidFill>
          </w14:textFill>
        </w:rPr>
        <w:t>需在合同签订后五个工作日内进场开展项目服务工作（包含全部服务人员及设备的进场部署工作），若成交供应商合同签订后五个工作日内相关服务人员及设备还未部署完毕，或在进场之日起五个工作日内，成交供应商加工的档案未能通过质检并上传至法院系统进行查阅的，采购人有权单方解除合约，并由成交供应商承担因此给采</w:t>
      </w:r>
      <w:r>
        <w:rPr>
          <w:rFonts w:hint="eastAsia" w:ascii="宋体" w:hAnsi="宋体" w:eastAsia="宋体" w:cs="宋体"/>
          <w:bCs/>
          <w:color w:val="000000" w:themeColor="text1"/>
          <w:sz w:val="24"/>
          <w:highlight w:val="none"/>
          <w14:textFill>
            <w14:solidFill>
              <w14:schemeClr w14:val="tx1"/>
            </w14:solidFill>
          </w14:textFill>
        </w:rPr>
        <w:t>购人造成的</w:t>
      </w:r>
      <w:r>
        <w:rPr>
          <w:rFonts w:hint="eastAsia" w:ascii="宋体" w:hAnsi="宋体" w:cs="宋体"/>
          <w:bCs/>
          <w:color w:val="000000" w:themeColor="text1"/>
          <w:sz w:val="24"/>
          <w:highlight w:val="none"/>
          <w14:textFill>
            <w14:solidFill>
              <w14:schemeClr w14:val="tx1"/>
            </w14:solidFill>
          </w14:textFill>
        </w:rPr>
        <w:t>相应</w:t>
      </w:r>
      <w:r>
        <w:rPr>
          <w:rFonts w:hint="eastAsia" w:ascii="宋体" w:hAnsi="宋体" w:eastAsia="宋体" w:cs="宋体"/>
          <w:bCs/>
          <w:color w:val="000000" w:themeColor="text1"/>
          <w:sz w:val="24"/>
          <w:highlight w:val="none"/>
          <w14:textFill>
            <w14:solidFill>
              <w14:schemeClr w14:val="tx1"/>
            </w14:solidFill>
          </w14:textFill>
        </w:rPr>
        <w:t>损失。</w:t>
      </w:r>
      <w:bookmarkEnd w:id="56"/>
      <w:r>
        <w:rPr>
          <w:rFonts w:hint="eastAsia" w:ascii="宋体" w:hAnsi="宋体" w:eastAsia="宋体" w:cs="宋体"/>
          <w:bCs/>
          <w:color w:val="000000" w:themeColor="text1"/>
          <w:sz w:val="24"/>
          <w:highlight w:val="none"/>
          <w14:textFill>
            <w14:solidFill>
              <w14:schemeClr w14:val="tx1"/>
            </w14:solidFill>
          </w14:textFill>
        </w:rPr>
        <w:t>供应商需在响应文件中明确承诺。</w:t>
      </w:r>
    </w:p>
    <w:p w14:paraId="63E09492">
      <w:pPr>
        <w:pageBreakBefore w:val="0"/>
        <w:kinsoku/>
        <w:wordWrap/>
        <w:overflowPunct/>
        <w:topLinePunct w:val="0"/>
        <w:autoSpaceDE/>
        <w:autoSpaceDN/>
        <w:bidi w:val="0"/>
        <w:adjustRightInd/>
        <w:snapToGrid/>
        <w:spacing w:line="440" w:lineRule="exact"/>
        <w:ind w:firstLine="240" w:firstLineChars="100"/>
        <w:jc w:val="lef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6.2</w:t>
      </w:r>
      <w:r>
        <w:rPr>
          <w:rFonts w:hint="eastAsia" w:ascii="宋体" w:hAnsi="宋体" w:eastAsia="宋体" w:cs="宋体"/>
          <w:bCs/>
          <w:color w:val="000000" w:themeColor="text1"/>
          <w:sz w:val="24"/>
          <w:highlight w:val="none"/>
          <w14:textFill>
            <w14:solidFill>
              <w14:schemeClr w14:val="tx1"/>
            </w14:solidFill>
          </w14:textFill>
        </w:rPr>
        <w:t>为保障项目的顺利实施，要求本项目实施人员在项目进</w:t>
      </w:r>
      <w:r>
        <w:rPr>
          <w:rFonts w:hint="eastAsia" w:ascii="宋体" w:hAnsi="宋体" w:eastAsia="宋体" w:cs="宋体"/>
          <w:bCs/>
          <w:color w:val="000000" w:themeColor="text1"/>
          <w:sz w:val="24"/>
          <w14:textFill>
            <w14:solidFill>
              <w14:schemeClr w14:val="tx1"/>
            </w14:solidFill>
          </w14:textFill>
        </w:rPr>
        <w:t>场前提供政审材料，包括</w:t>
      </w:r>
      <w:r>
        <w:rPr>
          <w:rFonts w:hint="eastAsia" w:ascii="宋体" w:hAnsi="宋体" w:eastAsia="宋体" w:cs="宋体"/>
          <w:bCs/>
          <w:color w:val="000000" w:themeColor="text1"/>
          <w:sz w:val="24"/>
          <w:lang w:val="en-US" w:eastAsia="zh-CN"/>
          <w14:textFill>
            <w14:solidFill>
              <w14:schemeClr w14:val="tx1"/>
            </w14:solidFill>
          </w14:textFill>
        </w:rPr>
        <w:t>身份证</w:t>
      </w:r>
      <w:r>
        <w:rPr>
          <w:rFonts w:hint="eastAsia" w:ascii="宋体" w:hAnsi="宋体" w:eastAsia="宋体" w:cs="宋体"/>
          <w:bCs/>
          <w:color w:val="000000" w:themeColor="text1"/>
          <w:sz w:val="24"/>
          <w14:textFill>
            <w14:solidFill>
              <w14:schemeClr w14:val="tx1"/>
            </w14:solidFill>
          </w14:textFill>
        </w:rPr>
        <w:t>复印件、劳动合同复印件、社保证明、无犯罪记录证明等，否则不予进场。</w:t>
      </w:r>
    </w:p>
    <w:p w14:paraId="3604321C">
      <w:pPr>
        <w:pageBreakBefore w:val="0"/>
        <w:kinsoku/>
        <w:wordWrap/>
        <w:overflowPunct/>
        <w:topLinePunct w:val="0"/>
        <w:autoSpaceDE/>
        <w:autoSpaceDN/>
        <w:bidi w:val="0"/>
        <w:adjustRightInd/>
        <w:snapToGrid/>
        <w:spacing w:line="440" w:lineRule="exact"/>
        <w:ind w:firstLine="240" w:firstLineChars="100"/>
        <w:jc w:val="lef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w:t>
      </w:r>
      <w:r>
        <w:rPr>
          <w:rFonts w:hint="eastAsia" w:ascii="宋体" w:hAnsi="宋体" w:eastAsia="宋体" w:cs="宋体"/>
          <w:bCs/>
          <w:color w:val="000000" w:themeColor="text1"/>
          <w:sz w:val="24"/>
          <w:lang w:val="en-US" w:eastAsia="zh-CN"/>
          <w14:textFill>
            <w14:solidFill>
              <w14:schemeClr w14:val="tx1"/>
            </w14:solidFill>
          </w14:textFill>
        </w:rPr>
        <w:t>6.3采购</w:t>
      </w:r>
      <w:r>
        <w:rPr>
          <w:rFonts w:hint="eastAsia" w:ascii="宋体" w:hAnsi="宋体" w:eastAsia="宋体" w:cs="宋体"/>
          <w:bCs/>
          <w:color w:val="000000" w:themeColor="text1"/>
          <w:sz w:val="24"/>
          <w14:textFill>
            <w14:solidFill>
              <w14:schemeClr w14:val="tx1"/>
            </w14:solidFill>
          </w14:textFill>
        </w:rPr>
        <w:t>人在项目开始一个月内，</w:t>
      </w:r>
      <w:bookmarkStart w:id="58" w:name="_Hlk141187237"/>
      <w:r>
        <w:rPr>
          <w:rFonts w:hint="eastAsia" w:ascii="宋体" w:hAnsi="宋体" w:eastAsia="宋体" w:cs="宋体"/>
          <w:bCs/>
          <w:color w:val="000000" w:themeColor="text1"/>
          <w:sz w:val="24"/>
          <w14:textFill>
            <w14:solidFill>
              <w14:schemeClr w14:val="tx1"/>
            </w14:solidFill>
          </w14:textFill>
        </w:rPr>
        <w:t>成交供应商</w:t>
      </w:r>
      <w:bookmarkEnd w:id="58"/>
      <w:r>
        <w:rPr>
          <w:rFonts w:hint="eastAsia" w:ascii="宋体" w:hAnsi="宋体" w:eastAsia="宋体" w:cs="宋体"/>
          <w:bCs/>
          <w:color w:val="000000" w:themeColor="text1"/>
          <w:sz w:val="24"/>
          <w14:textFill>
            <w14:solidFill>
              <w14:schemeClr w14:val="tx1"/>
            </w14:solidFill>
          </w14:textFill>
        </w:rPr>
        <w:t>提供的服务若未能达到采购人要求，采购</w:t>
      </w:r>
      <w:r>
        <w:rPr>
          <w:rFonts w:hint="eastAsia" w:ascii="宋体" w:hAnsi="宋体" w:eastAsia="宋体" w:cs="宋体"/>
          <w:bCs/>
          <w:color w:val="000000" w:themeColor="text1"/>
          <w:sz w:val="24"/>
          <w:highlight w:val="none"/>
          <w14:textFill>
            <w14:solidFill>
              <w14:schemeClr w14:val="tx1"/>
            </w14:solidFill>
          </w14:textFill>
        </w:rPr>
        <w:t>人有权单方解除合约，采购人有权不支付服务费用，并且成交供应商需向采购人赔偿</w:t>
      </w:r>
      <w:r>
        <w:rPr>
          <w:rFonts w:hint="eastAsia" w:ascii="宋体" w:hAnsi="宋体" w:eastAsia="宋体" w:cs="宋体"/>
          <w:bCs/>
          <w:color w:val="000000" w:themeColor="text1"/>
          <w:sz w:val="24"/>
          <w:highlight w:val="none"/>
          <w:lang w:val="en-US" w:eastAsia="zh-CN"/>
          <w14:textFill>
            <w14:solidFill>
              <w14:schemeClr w14:val="tx1"/>
            </w14:solidFill>
          </w14:textFill>
        </w:rPr>
        <w:t>违约金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违约金</w:t>
      </w:r>
      <w:r>
        <w:rPr>
          <w:rFonts w:hint="eastAsia" w:ascii="宋体" w:hAnsi="宋体" w:eastAsia="宋体" w:cs="宋体"/>
          <w:sz w:val="24"/>
          <w:szCs w:val="24"/>
          <w:highlight w:val="none"/>
          <w:lang w:eastAsia="zh-CN"/>
        </w:rPr>
        <w:t>按54000案件数*成交单价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20％</w:t>
      </w:r>
      <w:r>
        <w:rPr>
          <w:rFonts w:hint="eastAsia" w:ascii="宋体" w:hAnsi="宋体" w:eastAsia="宋体" w:cs="宋体"/>
          <w:sz w:val="24"/>
          <w:szCs w:val="24"/>
          <w:highlight w:val="none"/>
          <w:lang w:val="en-US" w:eastAsia="zh-CN"/>
        </w:rPr>
        <w:t>计算</w:t>
      </w:r>
      <w:r>
        <w:rPr>
          <w:rFonts w:hint="eastAsia" w:ascii="宋体" w:hAnsi="宋体" w:eastAsia="宋体" w:cs="宋体"/>
          <w:sz w:val="24"/>
          <w:szCs w:val="24"/>
          <w:highlight w:val="none"/>
          <w:lang w:eastAsia="zh-CN"/>
        </w:rPr>
        <w:t>）</w:t>
      </w:r>
      <w:r>
        <w:rPr>
          <w:rFonts w:hint="eastAsia" w:ascii="宋体" w:hAnsi="宋体" w:eastAsia="宋体" w:cs="宋体"/>
          <w:bCs/>
          <w:color w:val="000000" w:themeColor="text1"/>
          <w:sz w:val="24"/>
          <w:highlight w:val="none"/>
          <w14:textFill>
            <w14:solidFill>
              <w14:schemeClr w14:val="tx1"/>
            </w14:solidFill>
          </w14:textFill>
        </w:rPr>
        <w:t>。</w:t>
      </w:r>
    </w:p>
    <w:p w14:paraId="3D59784A">
      <w:pPr>
        <w:pageBreakBefore w:val="0"/>
        <w:kinsoku/>
        <w:wordWrap/>
        <w:overflowPunct/>
        <w:topLinePunct w:val="0"/>
        <w:autoSpaceDE/>
        <w:autoSpaceDN/>
        <w:bidi w:val="0"/>
        <w:adjustRightInd/>
        <w:snapToGrid/>
        <w:spacing w:line="440" w:lineRule="exact"/>
        <w:ind w:firstLine="480"/>
        <w:jc w:val="lef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6.4</w:t>
      </w:r>
      <w:r>
        <w:rPr>
          <w:rFonts w:hint="eastAsia" w:ascii="宋体" w:hAnsi="宋体" w:eastAsia="宋体" w:cs="宋体"/>
          <w:bCs/>
          <w:color w:val="000000" w:themeColor="text1"/>
          <w:sz w:val="24"/>
          <w14:textFill>
            <w14:solidFill>
              <w14:schemeClr w14:val="tx1"/>
            </w14:solidFill>
          </w14:textFill>
        </w:rPr>
        <w:t>成交供应商使用的配套软件，必须具有足够的先进性，确保数据能够及时、质量达标、流程归档、纸质安全。如发生数据延迟、丢失或其它问题，影响到法院对于系统的数据统计及应用的，采购人有权</w:t>
      </w:r>
      <w:bookmarkStart w:id="59" w:name="_Hlk143263221"/>
      <w:r>
        <w:rPr>
          <w:rFonts w:hint="eastAsia" w:ascii="宋体" w:hAnsi="宋体" w:eastAsia="宋体" w:cs="宋体"/>
          <w:bCs/>
          <w:color w:val="000000" w:themeColor="text1"/>
          <w:sz w:val="24"/>
          <w14:textFill>
            <w14:solidFill>
              <w14:schemeClr w14:val="tx1"/>
            </w14:solidFill>
          </w14:textFill>
        </w:rPr>
        <w:t>向成交供应商</w:t>
      </w:r>
      <w:bookmarkEnd w:id="59"/>
      <w:r>
        <w:rPr>
          <w:rFonts w:hint="eastAsia" w:ascii="宋体" w:hAnsi="宋体" w:eastAsia="宋体" w:cs="宋体"/>
          <w:bCs/>
          <w:color w:val="000000" w:themeColor="text1"/>
          <w:sz w:val="24"/>
          <w14:textFill>
            <w14:solidFill>
              <w14:schemeClr w14:val="tx1"/>
            </w14:solidFill>
          </w14:textFill>
        </w:rPr>
        <w:t>追责。</w:t>
      </w:r>
    </w:p>
    <w:p w14:paraId="0606090C">
      <w:pPr>
        <w:pageBreakBefore w:val="0"/>
        <w:kinsoku/>
        <w:wordWrap/>
        <w:overflowPunct/>
        <w:topLinePunct w:val="0"/>
        <w:autoSpaceDE/>
        <w:autoSpaceDN/>
        <w:bidi w:val="0"/>
        <w:adjustRightInd/>
        <w:snapToGrid/>
        <w:spacing w:line="440" w:lineRule="exact"/>
        <w:ind w:firstLine="480"/>
        <w:jc w:val="lef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6.5</w:t>
      </w:r>
      <w:r>
        <w:rPr>
          <w:rFonts w:hint="eastAsia" w:ascii="宋体" w:hAnsi="宋体" w:eastAsia="宋体" w:cs="宋体"/>
          <w:bCs/>
          <w:color w:val="000000" w:themeColor="text1"/>
          <w:sz w:val="24"/>
          <w14:textFill>
            <w14:solidFill>
              <w14:schemeClr w14:val="tx1"/>
            </w14:solidFill>
          </w14:textFill>
        </w:rPr>
        <w:t>成交供应商需对数据上传的时效性进行严格把控，若无法完成采购人要求，采购人有权向成交供应商追责。</w:t>
      </w:r>
    </w:p>
    <w:p w14:paraId="1DF73513">
      <w:pPr>
        <w:pageBreakBefore w:val="0"/>
        <w:kinsoku/>
        <w:wordWrap/>
        <w:overflowPunct/>
        <w:topLinePunct w:val="0"/>
        <w:autoSpaceDE/>
        <w:autoSpaceDN/>
        <w:bidi w:val="0"/>
        <w:adjustRightInd/>
        <w:snapToGrid/>
        <w:spacing w:line="440" w:lineRule="exact"/>
        <w:ind w:firstLine="480"/>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6.6</w:t>
      </w:r>
      <w:r>
        <w:rPr>
          <w:rFonts w:hint="eastAsia" w:ascii="宋体" w:hAnsi="宋体" w:eastAsia="宋体" w:cs="宋体"/>
          <w:bCs/>
          <w:color w:val="000000" w:themeColor="text1"/>
          <w:sz w:val="24"/>
          <w14:textFill>
            <w14:solidFill>
              <w14:schemeClr w14:val="tx1"/>
            </w14:solidFill>
          </w14:textFill>
        </w:rPr>
        <w:t>数字化加工所需的相应设备和加工软件及过程材料管理登记设备等，均由成交供应商提供并</w:t>
      </w:r>
      <w:r>
        <w:rPr>
          <w:rFonts w:hint="eastAsia" w:ascii="宋体" w:hAnsi="宋体" w:eastAsia="宋体" w:cs="宋体"/>
          <w:bCs/>
          <w:color w:val="000000" w:themeColor="text1"/>
          <w:sz w:val="24"/>
          <w:highlight w:val="none"/>
          <w14:textFill>
            <w14:solidFill>
              <w14:schemeClr w14:val="tx1"/>
            </w14:solidFill>
          </w14:textFill>
        </w:rPr>
        <w:t>管理。</w:t>
      </w:r>
      <w:bookmarkStart w:id="60" w:name="_Hlk143263346"/>
      <w:r>
        <w:rPr>
          <w:rFonts w:hint="eastAsia" w:ascii="宋体" w:hAnsi="宋体" w:eastAsia="宋体" w:cs="宋体"/>
          <w:bCs/>
          <w:color w:val="000000" w:themeColor="text1"/>
          <w:sz w:val="24"/>
          <w:highlight w:val="none"/>
          <w:lang w:val="en-US" w:eastAsia="zh-CN"/>
          <w14:textFill>
            <w14:solidFill>
              <w14:schemeClr w14:val="tx1"/>
            </w14:solidFill>
          </w14:textFill>
        </w:rPr>
        <w:t>为确保常熟法院无纸化成效，服务期间供应商提供的相关配套服务软件须保证数据顺利准确挂接法院办案系统。</w:t>
      </w:r>
    </w:p>
    <w:p w14:paraId="7C67EE90">
      <w:pPr>
        <w:pageBreakBefore w:val="0"/>
        <w:kinsoku/>
        <w:wordWrap/>
        <w:overflowPunct/>
        <w:topLinePunct w:val="0"/>
        <w:autoSpaceDE/>
        <w:autoSpaceDN/>
        <w:bidi w:val="0"/>
        <w:adjustRightInd/>
        <w:snapToGrid/>
        <w:spacing w:line="440" w:lineRule="exact"/>
        <w:ind w:firstLine="48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6.7</w:t>
      </w:r>
      <w:r>
        <w:rPr>
          <w:rFonts w:hint="eastAsia" w:ascii="宋体" w:hAnsi="宋体" w:eastAsia="宋体" w:cs="宋体"/>
          <w:bCs/>
          <w:color w:val="000000" w:themeColor="text1"/>
          <w:sz w:val="24"/>
          <w:highlight w:val="none"/>
          <w14:textFill>
            <w14:solidFill>
              <w14:schemeClr w14:val="tx1"/>
            </w14:solidFill>
          </w14:textFill>
        </w:rPr>
        <w:t>供应商</w:t>
      </w:r>
      <w:bookmarkEnd w:id="60"/>
      <w:r>
        <w:rPr>
          <w:rFonts w:hint="eastAsia" w:ascii="宋体" w:hAnsi="宋体" w:eastAsia="宋体" w:cs="宋体"/>
          <w:bCs/>
          <w:color w:val="000000" w:themeColor="text1"/>
          <w:sz w:val="24"/>
          <w:highlight w:val="none"/>
          <w14:textFill>
            <w14:solidFill>
              <w14:schemeClr w14:val="tx1"/>
            </w14:solidFill>
          </w14:textFill>
        </w:rPr>
        <w:t>应成立项目组，指定专人负责该项目，项目组人员必须为成交供应商在职人员，供应商应列出具体的项目操作标准及流程、项目实施计划、人员及保证措施。</w:t>
      </w:r>
    </w:p>
    <w:p w14:paraId="3D63B65C">
      <w:pPr>
        <w:pageBreakBefore w:val="0"/>
        <w:kinsoku/>
        <w:wordWrap/>
        <w:overflowPunct/>
        <w:topLinePunct w:val="0"/>
        <w:autoSpaceDE/>
        <w:autoSpaceDN/>
        <w:bidi w:val="0"/>
        <w:adjustRightInd/>
        <w:snapToGrid/>
        <w:spacing w:line="440" w:lineRule="exact"/>
        <w:ind w:firstLine="480"/>
        <w:jc w:val="lef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6.8</w:t>
      </w:r>
      <w:r>
        <w:rPr>
          <w:rFonts w:hint="eastAsia" w:ascii="宋体" w:hAnsi="宋体" w:eastAsia="宋体" w:cs="宋体"/>
          <w:bCs/>
          <w:color w:val="000000" w:themeColor="text1"/>
          <w:sz w:val="24"/>
          <w:highlight w:val="none"/>
          <w14:textFill>
            <w14:solidFill>
              <w14:schemeClr w14:val="tx1"/>
            </w14:solidFill>
          </w14:textFill>
        </w:rPr>
        <w:t>供应商项目组人员需</w:t>
      </w:r>
      <w:r>
        <w:rPr>
          <w:rFonts w:hint="eastAsia" w:ascii="宋体" w:hAnsi="宋体" w:eastAsia="宋体" w:cs="宋体"/>
          <w:bCs/>
          <w:color w:val="000000" w:themeColor="text1"/>
          <w:sz w:val="24"/>
          <w14:textFill>
            <w14:solidFill>
              <w14:schemeClr w14:val="tx1"/>
            </w14:solidFill>
          </w14:textFill>
        </w:rPr>
        <w:t>有具体的档案数字化、档案整理服务经验或随案服务经验及人员外包项目的经验。</w:t>
      </w:r>
    </w:p>
    <w:p w14:paraId="009F755A">
      <w:pPr>
        <w:pageBreakBefore w:val="0"/>
        <w:kinsoku/>
        <w:wordWrap/>
        <w:overflowPunct/>
        <w:topLinePunct w:val="0"/>
        <w:autoSpaceDE/>
        <w:autoSpaceDN/>
        <w:bidi w:val="0"/>
        <w:adjustRightInd/>
        <w:snapToGrid/>
        <w:spacing w:line="440" w:lineRule="exact"/>
        <w:ind w:firstLine="480"/>
        <w:jc w:val="lef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6.9</w:t>
      </w:r>
      <w:r>
        <w:rPr>
          <w:rFonts w:hint="eastAsia" w:ascii="宋体" w:hAnsi="宋体" w:eastAsia="宋体" w:cs="宋体"/>
          <w:bCs/>
          <w:color w:val="000000" w:themeColor="text1"/>
          <w:sz w:val="24"/>
          <w14:textFill>
            <w14:solidFill>
              <w14:schemeClr w14:val="tx1"/>
            </w14:solidFill>
          </w14:textFill>
        </w:rPr>
        <w:t>供应商应加强内部管理控制，针对本项目，制定相应管理、工作流程、服务方案、人员培训、巡查监督、考核奖惩等制度，建立健全各项管理机制，确保管理运作正常，良好有效无事故。如遇管理、巡查、责任不到位，发生各类事故，应追究相关人员责任。</w:t>
      </w:r>
    </w:p>
    <w:p w14:paraId="107BB32F">
      <w:pPr>
        <w:pageBreakBefore w:val="0"/>
        <w:kinsoku/>
        <w:wordWrap/>
        <w:overflowPunct/>
        <w:topLinePunct w:val="0"/>
        <w:autoSpaceDE/>
        <w:autoSpaceDN/>
        <w:bidi w:val="0"/>
        <w:adjustRightInd/>
        <w:snapToGrid/>
        <w:spacing w:line="440" w:lineRule="exact"/>
        <w:ind w:firstLine="480"/>
        <w:jc w:val="left"/>
        <w:rPr>
          <w:rFonts w:hint="eastAsia" w:ascii="宋体" w:hAnsi="宋体" w:eastAsia="宋体" w:cs="宋体"/>
          <w:bCs/>
          <w:color w:val="000000" w:themeColor="text1"/>
          <w:sz w:val="24"/>
          <w14:textFill>
            <w14:solidFill>
              <w14:schemeClr w14:val="tx1"/>
            </w14:solidFill>
          </w14:textFill>
        </w:rPr>
      </w:pPr>
      <w:bookmarkStart w:id="61" w:name="_Hlk144128032"/>
      <w:r>
        <w:rPr>
          <w:rFonts w:hint="eastAsia" w:ascii="宋体" w:hAnsi="宋体" w:eastAsia="宋体" w:cs="宋体"/>
          <w:bCs/>
          <w:color w:val="000000" w:themeColor="text1"/>
          <w:sz w:val="24"/>
          <w:lang w:val="en-US" w:eastAsia="zh-CN"/>
          <w14:textFill>
            <w14:solidFill>
              <w14:schemeClr w14:val="tx1"/>
            </w14:solidFill>
          </w14:textFill>
        </w:rPr>
        <w:t>6.10</w:t>
      </w:r>
      <w:r>
        <w:rPr>
          <w:rFonts w:hint="eastAsia" w:ascii="宋体" w:hAnsi="宋体" w:eastAsia="宋体" w:cs="宋体"/>
          <w:bCs/>
          <w:color w:val="000000" w:themeColor="text1"/>
          <w:sz w:val="24"/>
          <w14:textFill>
            <w14:solidFill>
              <w14:schemeClr w14:val="tx1"/>
            </w14:solidFill>
          </w14:textFill>
        </w:rPr>
        <w:t>供应商需在响应文件中提供针对本项目的管理方案，包括但不限于：①安全保密措施和专业技术支持；②内部管理控制；③应急预案</w:t>
      </w:r>
      <w:r>
        <w:rPr>
          <w:rFonts w:hint="eastAsia" w:ascii="宋体" w:hAnsi="宋体" w:eastAsia="宋体" w:cs="宋体"/>
          <w:bCs/>
          <w:color w:val="000000" w:themeColor="text1"/>
          <w:sz w:val="24"/>
          <w:lang w:eastAsia="zh-CN"/>
          <w14:textFill>
            <w14:solidFill>
              <w14:schemeClr w14:val="tx1"/>
            </w14:solidFill>
          </w14:textFill>
        </w:rPr>
        <w:t>；</w:t>
      </w:r>
      <w:r>
        <w:rPr>
          <w:rFonts w:hint="eastAsia" w:ascii="宋体" w:hAnsi="宋体" w:eastAsia="宋体" w:cs="宋体"/>
          <w:bCs/>
          <w:color w:val="000000" w:themeColor="text1"/>
          <w:sz w:val="24"/>
          <w:lang w:val="en-US" w:eastAsia="zh-CN"/>
          <w14:textFill>
            <w14:solidFill>
              <w14:schemeClr w14:val="tx1"/>
            </w14:solidFill>
          </w14:textFill>
        </w:rPr>
        <w:t>④</w:t>
      </w:r>
      <w:r>
        <w:rPr>
          <w:rFonts w:hint="eastAsia" w:ascii="宋体" w:hAnsi="宋体" w:eastAsia="宋体" w:cs="宋体"/>
          <w:bCs/>
          <w:color w:val="000000" w:themeColor="text1"/>
          <w:sz w:val="24"/>
          <w14:textFill>
            <w14:solidFill>
              <w14:schemeClr w14:val="tx1"/>
            </w14:solidFill>
          </w14:textFill>
        </w:rPr>
        <w:t>相关保障措施。</w:t>
      </w:r>
    </w:p>
    <w:bookmarkEnd w:id="61"/>
    <w:p w14:paraId="47E19C5F">
      <w:pPr>
        <w:pageBreakBefore w:val="0"/>
        <w:kinsoku/>
        <w:wordWrap/>
        <w:overflowPunct/>
        <w:topLinePunct w:val="0"/>
        <w:autoSpaceDE/>
        <w:autoSpaceDN/>
        <w:bidi w:val="0"/>
        <w:adjustRightInd/>
        <w:snapToGrid/>
        <w:spacing w:line="440" w:lineRule="exact"/>
        <w:ind w:firstLine="480"/>
        <w:jc w:val="left"/>
        <w:rPr>
          <w:rFonts w:hint="eastAsia" w:ascii="宋体" w:hAnsi="宋体" w:eastAsia="宋体" w:cs="宋体"/>
          <w:bCs/>
          <w:color w:val="000000" w:themeColor="text1"/>
          <w:sz w:val="24"/>
          <w:highlight w:val="none"/>
          <w14:textFill>
            <w14:solidFill>
              <w14:schemeClr w14:val="tx1"/>
            </w14:solidFill>
          </w14:textFill>
        </w:rPr>
      </w:pPr>
      <w:bookmarkStart w:id="62" w:name="_Hlk144128066"/>
      <w:r>
        <w:rPr>
          <w:rFonts w:hint="eastAsia" w:ascii="宋体" w:hAnsi="宋体" w:eastAsia="宋体" w:cs="宋体"/>
          <w:bCs/>
          <w:color w:val="000000" w:themeColor="text1"/>
          <w:sz w:val="24"/>
          <w:lang w:val="en-US" w:eastAsia="zh-CN"/>
          <w14:textFill>
            <w14:solidFill>
              <w14:schemeClr w14:val="tx1"/>
            </w14:solidFill>
          </w14:textFill>
        </w:rPr>
        <w:t>6.11</w:t>
      </w:r>
      <w:r>
        <w:rPr>
          <w:rFonts w:hint="eastAsia" w:ascii="宋体" w:hAnsi="宋体" w:eastAsia="宋体" w:cs="宋体"/>
          <w:bCs/>
          <w:color w:val="000000" w:themeColor="text1"/>
          <w:sz w:val="24"/>
          <w14:textFill>
            <w14:solidFill>
              <w14:schemeClr w14:val="tx1"/>
            </w14:solidFill>
          </w14:textFill>
        </w:rPr>
        <w:t>供应商需在响应文件中提供针对本项目的实施方案，包括但不限于：①实施计划及进度安排；②对项目进行难点分析及提出合理化建议；③卷宗实体保护措施；④关键技术（数</w:t>
      </w:r>
      <w:r>
        <w:rPr>
          <w:rFonts w:hint="eastAsia" w:ascii="宋体" w:hAnsi="宋体" w:eastAsia="宋体" w:cs="宋体"/>
          <w:bCs/>
          <w:color w:val="000000" w:themeColor="text1"/>
          <w:sz w:val="24"/>
          <w:highlight w:val="none"/>
          <w14:textFill>
            <w14:solidFill>
              <w14:schemeClr w14:val="tx1"/>
            </w14:solidFill>
          </w14:textFill>
        </w:rPr>
        <w:t>字化加工质量等）及工艺（如扫描前处理、扫描过程、装盒上架等）介绍；⑤随案扫描及</w:t>
      </w:r>
      <w:r>
        <w:rPr>
          <w:rFonts w:hint="eastAsia" w:ascii="宋体" w:hAnsi="宋体" w:eastAsia="宋体" w:cs="宋体"/>
          <w:bCs/>
          <w:color w:val="000000" w:themeColor="text1"/>
          <w:sz w:val="24"/>
          <w:highlight w:val="none"/>
          <w:lang w:eastAsia="zh-CN"/>
          <w14:textFill>
            <w14:solidFill>
              <w14:schemeClr w14:val="tx1"/>
            </w14:solidFill>
          </w14:textFill>
        </w:rPr>
        <w:t>中间库</w:t>
      </w:r>
      <w:r>
        <w:rPr>
          <w:rFonts w:hint="eastAsia" w:ascii="宋体" w:hAnsi="宋体" w:eastAsia="宋体" w:cs="宋体"/>
          <w:bCs/>
          <w:color w:val="000000" w:themeColor="text1"/>
          <w:sz w:val="24"/>
          <w:highlight w:val="none"/>
          <w14:textFill>
            <w14:solidFill>
              <w14:schemeClr w14:val="tx1"/>
            </w14:solidFill>
          </w14:textFill>
        </w:rPr>
        <w:t>管理；⑥档案数字化加工措施。</w:t>
      </w:r>
      <w:bookmarkEnd w:id="62"/>
    </w:p>
    <w:p w14:paraId="698CCAA6">
      <w:pPr>
        <w:pageBreakBefore w:val="0"/>
        <w:kinsoku/>
        <w:wordWrap/>
        <w:overflowPunct/>
        <w:topLinePunct w:val="0"/>
        <w:autoSpaceDE/>
        <w:autoSpaceDN/>
        <w:bidi w:val="0"/>
        <w:adjustRightInd/>
        <w:snapToGrid/>
        <w:spacing w:line="440" w:lineRule="exact"/>
        <w:ind w:firstLine="480"/>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6.12</w:t>
      </w:r>
      <w:r>
        <w:rPr>
          <w:rFonts w:hint="eastAsia" w:ascii="宋体" w:hAnsi="宋体" w:eastAsia="宋体" w:cs="宋体"/>
          <w:bCs/>
          <w:color w:val="000000" w:themeColor="text1"/>
          <w:sz w:val="24"/>
          <w:highlight w:val="none"/>
          <w14:textFill>
            <w14:solidFill>
              <w14:schemeClr w14:val="tx1"/>
            </w14:solidFill>
          </w14:textFill>
        </w:rPr>
        <w:t>供应商需在响应文件中提供针对本项目的</w:t>
      </w:r>
      <w:r>
        <w:rPr>
          <w:rFonts w:hint="eastAsia" w:ascii="宋体" w:hAnsi="宋体" w:eastAsia="宋体" w:cs="宋体"/>
          <w:sz w:val="24"/>
          <w:szCs w:val="24"/>
          <w:highlight w:val="none"/>
          <w:lang w:val="en-US" w:eastAsia="zh-CN"/>
        </w:rPr>
        <w:t>安全保密管理及措施解决方案</w:t>
      </w:r>
      <w:r>
        <w:rPr>
          <w:rFonts w:hint="eastAsia" w:ascii="宋体" w:hAnsi="宋体" w:eastAsia="宋体" w:cs="宋体"/>
          <w:bCs/>
          <w:color w:val="000000" w:themeColor="text1"/>
          <w:sz w:val="24"/>
          <w:highlight w:val="none"/>
          <w14:textFill>
            <w14:solidFill>
              <w14:schemeClr w14:val="tx1"/>
            </w14:solidFill>
          </w14:textFill>
        </w:rPr>
        <w:t>，包括但不限于：</w:t>
      </w:r>
      <w:r>
        <w:rPr>
          <w:rFonts w:hint="eastAsia" w:ascii="宋体" w:hAnsi="宋体" w:eastAsia="宋体" w:cs="宋体"/>
          <w:color w:val="000000"/>
          <w:kern w:val="2"/>
          <w:sz w:val="24"/>
          <w:szCs w:val="24"/>
          <w:highlight w:val="none"/>
          <w:lang w:val="zh-CN" w:eastAsia="zh-CN"/>
        </w:rPr>
        <w:t>①</w:t>
      </w:r>
      <w:r>
        <w:rPr>
          <w:rFonts w:hint="eastAsia" w:ascii="宋体" w:hAnsi="宋体" w:eastAsia="宋体" w:cs="宋体"/>
          <w:bCs/>
          <w:sz w:val="24"/>
          <w:szCs w:val="24"/>
          <w:highlight w:val="none"/>
          <w:lang w:val="en-US" w:eastAsia="zh-CN"/>
        </w:rPr>
        <w:t>保密能力</w:t>
      </w:r>
      <w:r>
        <w:rPr>
          <w:rFonts w:hint="eastAsia" w:ascii="宋体" w:hAnsi="宋体" w:eastAsia="宋体" w:cs="宋体"/>
          <w:color w:val="000000"/>
          <w:kern w:val="2"/>
          <w:sz w:val="24"/>
          <w:szCs w:val="24"/>
          <w:highlight w:val="none"/>
          <w:lang w:val="zh-CN" w:eastAsia="zh-CN"/>
        </w:rPr>
        <w:t>；②</w:t>
      </w:r>
      <w:r>
        <w:rPr>
          <w:rFonts w:hint="eastAsia" w:ascii="宋体" w:hAnsi="宋体" w:eastAsia="宋体" w:cs="宋体"/>
          <w:bCs/>
          <w:sz w:val="24"/>
          <w:szCs w:val="24"/>
          <w:highlight w:val="none"/>
          <w:lang w:eastAsia="zh-CN"/>
        </w:rPr>
        <w:t>人员管理</w:t>
      </w:r>
      <w:r>
        <w:rPr>
          <w:rFonts w:hint="eastAsia" w:ascii="宋体" w:hAnsi="宋体" w:eastAsia="宋体" w:cs="宋体"/>
          <w:color w:val="000000"/>
          <w:kern w:val="2"/>
          <w:sz w:val="24"/>
          <w:szCs w:val="24"/>
          <w:highlight w:val="none"/>
          <w:lang w:val="zh-CN" w:eastAsia="zh-CN"/>
        </w:rPr>
        <w:t>；③</w:t>
      </w:r>
      <w:r>
        <w:rPr>
          <w:rFonts w:hint="eastAsia" w:ascii="宋体" w:hAnsi="宋体" w:eastAsia="宋体" w:cs="宋体"/>
          <w:bCs/>
          <w:sz w:val="24"/>
          <w:szCs w:val="24"/>
          <w:highlight w:val="none"/>
          <w:lang w:eastAsia="zh-CN"/>
        </w:rPr>
        <w:t>场地管理；</w:t>
      </w:r>
      <w:r>
        <w:rPr>
          <w:rFonts w:hint="eastAsia" w:ascii="宋体" w:hAnsi="宋体" w:eastAsia="宋体" w:cs="宋体"/>
          <w:bCs/>
          <w:sz w:val="24"/>
          <w:szCs w:val="24"/>
          <w:highlight w:val="none"/>
          <w:lang w:val="en-US" w:eastAsia="zh-CN"/>
        </w:rPr>
        <w:t>④</w:t>
      </w:r>
      <w:r>
        <w:rPr>
          <w:rFonts w:hint="eastAsia" w:ascii="宋体" w:hAnsi="宋体" w:eastAsia="宋体" w:cs="宋体"/>
          <w:bCs/>
          <w:sz w:val="24"/>
          <w:szCs w:val="24"/>
          <w:highlight w:val="none"/>
          <w:lang w:eastAsia="zh-CN"/>
        </w:rPr>
        <w:t>设备管理；</w:t>
      </w:r>
      <w:r>
        <w:rPr>
          <w:rFonts w:hint="eastAsia" w:ascii="宋体" w:hAnsi="宋体" w:eastAsia="宋体" w:cs="宋体"/>
          <w:bCs/>
          <w:sz w:val="24"/>
          <w:szCs w:val="24"/>
          <w:highlight w:val="none"/>
          <w:lang w:val="en-US" w:eastAsia="zh-CN"/>
        </w:rPr>
        <w:t>⑤</w:t>
      </w:r>
      <w:r>
        <w:rPr>
          <w:rFonts w:hint="eastAsia" w:ascii="宋体" w:hAnsi="宋体" w:eastAsia="宋体" w:cs="宋体"/>
          <w:bCs/>
          <w:sz w:val="24"/>
          <w:szCs w:val="24"/>
          <w:highlight w:val="none"/>
          <w:lang w:eastAsia="zh-CN"/>
        </w:rPr>
        <w:t>数据管理。</w:t>
      </w:r>
    </w:p>
    <w:p w14:paraId="4356DA61">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三</w:t>
      </w:r>
      <w:r>
        <w:rPr>
          <w:rFonts w:hint="eastAsia" w:ascii="宋体" w:hAnsi="宋体" w:eastAsia="宋体" w:cs="宋体"/>
          <w:b/>
          <w:bCs/>
          <w:sz w:val="28"/>
          <w:szCs w:val="28"/>
          <w:highlight w:val="none"/>
        </w:rPr>
        <w:t>、保密要求：</w:t>
      </w:r>
    </w:p>
    <w:p w14:paraId="02EC1754">
      <w:pPr>
        <w:pageBreakBefore w:val="0"/>
        <w:kinsoku/>
        <w:wordWrap/>
        <w:overflowPunct/>
        <w:topLinePunct w:val="0"/>
        <w:autoSpaceDE/>
        <w:autoSpaceDN/>
        <w:bidi w:val="0"/>
        <w:adjustRightInd/>
        <w:snapToGrid/>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、供应商应遵守保密规定，保证不向第三方扩散或转让本项目成果、及向采购人提交的各种信息与文件资料。在本项目服务期间保管好采购人提供的各种资料，并在工作全部完成后，完整交回采购人。本</w:t>
      </w:r>
      <w:r>
        <w:rPr>
          <w:rFonts w:hint="eastAsia" w:ascii="宋体" w:hAnsi="宋体" w:eastAsia="宋体" w:cs="宋体"/>
          <w:color w:val="000000"/>
          <w:sz w:val="24"/>
          <w:szCs w:val="24"/>
        </w:rPr>
        <w:t>保密义务的期限，自供应商接受相关信息、资料，形成相关成果之日起，至公众可以通过公开、合法途径获知相关信息、资料、成果之日止。</w:t>
      </w:r>
    </w:p>
    <w:p w14:paraId="03A3A830">
      <w:pPr>
        <w:pageBreakBefore w:val="0"/>
        <w:kinsoku/>
        <w:wordWrap/>
        <w:overflowPunct/>
        <w:topLinePunct w:val="0"/>
        <w:autoSpaceDE/>
        <w:autoSpaceDN/>
        <w:bidi w:val="0"/>
        <w:adjustRightInd/>
        <w:snapToGrid/>
        <w:spacing w:line="440" w:lineRule="exact"/>
        <w:ind w:firstLine="480"/>
        <w:jc w:val="left"/>
        <w:rPr>
          <w:rFonts w:hint="eastAsia" w:ascii="宋体" w:hAnsi="宋体" w:eastAsia="宋体" w:cs="宋体"/>
        </w:rPr>
      </w:pPr>
      <w:r>
        <w:rPr>
          <w:rFonts w:hint="eastAsia" w:ascii="宋体" w:hAnsi="宋体" w:eastAsia="宋体" w:cs="宋体"/>
          <w:bCs/>
          <w:color w:val="000000" w:themeColor="text1"/>
          <w:sz w:val="24"/>
          <w:lang w:val="en-US" w:eastAsia="zh-CN"/>
          <w14:textFill>
            <w14:solidFill>
              <w14:schemeClr w14:val="tx1"/>
            </w14:solidFill>
          </w14:textFill>
        </w:rPr>
        <w:t>2</w:t>
      </w:r>
      <w:r>
        <w:rPr>
          <w:rFonts w:hint="eastAsia" w:ascii="宋体" w:hAnsi="宋体" w:eastAsia="宋体" w:cs="宋体"/>
          <w:bCs/>
          <w:color w:val="000000" w:themeColor="text1"/>
          <w:sz w:val="24"/>
          <w14:textFill>
            <w14:solidFill>
              <w14:schemeClr w14:val="tx1"/>
            </w14:solidFill>
          </w14:textFill>
        </w:rPr>
        <w:t>、成交供应商有责任和义务进行经常性的保密教育和检查，落实各项保密措施，使所属人员知悉与其工作有关的保密范围和各项保密制度。一旦发生泄密涉密事件，成交供应商负全部责任，采购人将视情节予以警告，情节严重的，将报请上级有关机关批示处理。</w:t>
      </w:r>
    </w:p>
    <w:p w14:paraId="5E197EC8">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四、数据维护服务要求：</w:t>
      </w:r>
    </w:p>
    <w:p w14:paraId="0A111666">
      <w:pPr>
        <w:spacing w:line="440" w:lineRule="exact"/>
        <w:ind w:firstLine="562" w:firstLineChars="200"/>
        <w:rPr>
          <w:rFonts w:hint="eastAsia" w:ascii="宋体" w:hAnsi="宋体" w:eastAsia="宋体" w:cs="宋体"/>
          <w:sz w:val="24"/>
          <w:szCs w:val="24"/>
        </w:rPr>
      </w:pPr>
      <w:r>
        <w:rPr>
          <w:rFonts w:hint="eastAsia" w:ascii="宋体" w:hAnsi="宋体" w:eastAsia="宋体" w:cs="宋体"/>
          <w:b/>
          <w:bCs/>
          <w:sz w:val="28"/>
          <w:szCs w:val="28"/>
        </w:rPr>
        <w:t>★</w:t>
      </w:r>
      <w:r>
        <w:rPr>
          <w:rFonts w:hint="eastAsia" w:ascii="宋体" w:hAnsi="宋体" w:eastAsia="宋体" w:cs="宋体"/>
          <w:sz w:val="24"/>
          <w:szCs w:val="24"/>
          <w:lang w:val="en-US" w:eastAsia="zh-CN"/>
        </w:rPr>
        <w:t>1.数据维护</w:t>
      </w:r>
      <w:r>
        <w:rPr>
          <w:rFonts w:hint="eastAsia" w:ascii="宋体" w:hAnsi="宋体" w:eastAsia="宋体" w:cs="宋体"/>
          <w:sz w:val="24"/>
          <w:szCs w:val="24"/>
        </w:rPr>
        <w:t>服务期限：项目验收交付使用后成交供应商提供不少于3年</w:t>
      </w:r>
      <w:r>
        <w:rPr>
          <w:rFonts w:hint="eastAsia" w:ascii="宋体" w:hAnsi="宋体" w:eastAsia="宋体" w:cs="宋体"/>
          <w:sz w:val="24"/>
          <w:szCs w:val="24"/>
          <w:lang w:val="en-US" w:eastAsia="zh-CN"/>
        </w:rPr>
        <w:t>数据维护服务</w:t>
      </w:r>
      <w:r>
        <w:rPr>
          <w:rFonts w:hint="eastAsia" w:ascii="宋体" w:hAnsi="宋体" w:eastAsia="宋体" w:cs="宋体"/>
          <w:sz w:val="24"/>
          <w:szCs w:val="24"/>
        </w:rPr>
        <w:t>质量保证及</w:t>
      </w:r>
      <w:r>
        <w:rPr>
          <w:rFonts w:hint="eastAsia" w:ascii="宋体" w:hAnsi="宋体" w:eastAsia="宋体" w:cs="宋体"/>
          <w:sz w:val="24"/>
          <w:szCs w:val="24"/>
          <w:lang w:val="en-US" w:eastAsia="zh-CN"/>
        </w:rPr>
        <w:t>数据维护服务</w:t>
      </w:r>
      <w:r>
        <w:rPr>
          <w:rFonts w:hint="eastAsia" w:ascii="宋体" w:hAnsi="宋体" w:eastAsia="宋体" w:cs="宋体"/>
          <w:sz w:val="24"/>
          <w:szCs w:val="24"/>
        </w:rPr>
        <w:t>。</w:t>
      </w:r>
    </w:p>
    <w:p w14:paraId="20DF6EC0">
      <w:pPr>
        <w:spacing w:line="440" w:lineRule="exact"/>
        <w:ind w:firstLine="562" w:firstLineChars="200"/>
        <w:rPr>
          <w:rFonts w:hint="eastAsia" w:ascii="宋体" w:hAnsi="宋体" w:eastAsia="宋体" w:cs="宋体"/>
          <w:sz w:val="24"/>
          <w:szCs w:val="24"/>
        </w:rPr>
      </w:pPr>
      <w:r>
        <w:rPr>
          <w:rFonts w:hint="eastAsia" w:ascii="宋体" w:hAnsi="宋体" w:eastAsia="宋体" w:cs="宋体"/>
          <w:b/>
          <w:bCs/>
          <w:sz w:val="28"/>
          <w:szCs w:val="28"/>
        </w:rPr>
        <w:t>★</w:t>
      </w:r>
      <w:r>
        <w:rPr>
          <w:rFonts w:hint="eastAsia" w:ascii="宋体" w:hAnsi="宋体" w:eastAsia="宋体" w:cs="宋体"/>
          <w:sz w:val="24"/>
          <w:szCs w:val="24"/>
          <w:lang w:val="en-US" w:eastAsia="zh-CN"/>
        </w:rPr>
        <w:t>2.数据维护服务</w:t>
      </w:r>
      <w:r>
        <w:rPr>
          <w:rFonts w:hint="eastAsia" w:ascii="宋体" w:hAnsi="宋体" w:eastAsia="宋体" w:cs="宋体"/>
          <w:sz w:val="24"/>
          <w:szCs w:val="24"/>
        </w:rPr>
        <w:t>响应时间：在工作日期间</w:t>
      </w:r>
      <w:bookmarkStart w:id="63" w:name="_Hlk143265200"/>
      <w:r>
        <w:rPr>
          <w:rFonts w:hint="eastAsia" w:ascii="宋体" w:hAnsi="宋体" w:eastAsia="宋体" w:cs="宋体"/>
          <w:sz w:val="24"/>
          <w:szCs w:val="24"/>
        </w:rPr>
        <w:t>成交供应商</w:t>
      </w:r>
      <w:bookmarkEnd w:id="63"/>
      <w:r>
        <w:rPr>
          <w:rFonts w:hint="eastAsia" w:ascii="宋体" w:hAnsi="宋体" w:eastAsia="宋体" w:cs="宋体"/>
          <w:sz w:val="24"/>
          <w:szCs w:val="24"/>
        </w:rPr>
        <w:t>需立即处理（5</w:t>
      </w:r>
      <w:r>
        <w:rPr>
          <w:rFonts w:hint="eastAsia" w:ascii="宋体" w:hAnsi="宋体" w:eastAsia="宋体" w:cs="宋体"/>
          <w:sz w:val="24"/>
          <w:szCs w:val="24"/>
          <w:lang w:eastAsia="zh-CN"/>
        </w:rPr>
        <w:t>天</w:t>
      </w:r>
      <w:r>
        <w:rPr>
          <w:rFonts w:hint="eastAsia" w:ascii="宋体" w:hAnsi="宋体" w:eastAsia="宋体" w:cs="宋体"/>
          <w:sz w:val="24"/>
          <w:szCs w:val="24"/>
        </w:rPr>
        <w:t>×8</w:t>
      </w:r>
      <w:r>
        <w:rPr>
          <w:rFonts w:hint="eastAsia" w:ascii="宋体" w:hAnsi="宋体" w:eastAsia="宋体" w:cs="宋体"/>
          <w:sz w:val="24"/>
          <w:szCs w:val="24"/>
          <w:lang w:val="en-US" w:eastAsia="zh-CN"/>
        </w:rPr>
        <w:t>小时</w:t>
      </w:r>
      <w:r>
        <w:rPr>
          <w:rFonts w:hint="eastAsia" w:ascii="宋体" w:hAnsi="宋体" w:eastAsia="宋体" w:cs="宋体"/>
          <w:sz w:val="24"/>
          <w:szCs w:val="24"/>
        </w:rPr>
        <w:t>），节假日需在接到通知后2小时内响应，4小时内上门服务。</w:t>
      </w:r>
    </w:p>
    <w:p w14:paraId="3556EA6B">
      <w:pPr>
        <w:spacing w:line="440" w:lineRule="exact"/>
        <w:ind w:firstLine="562" w:firstLineChars="200"/>
        <w:rPr>
          <w:rFonts w:hint="eastAsia" w:ascii="宋体" w:hAnsi="宋体" w:eastAsia="宋体" w:cs="宋体"/>
          <w:sz w:val="24"/>
          <w:szCs w:val="24"/>
        </w:rPr>
      </w:pPr>
      <w:r>
        <w:rPr>
          <w:rFonts w:hint="eastAsia" w:ascii="宋体" w:hAnsi="宋体" w:eastAsia="宋体" w:cs="宋体"/>
          <w:b/>
          <w:bCs/>
          <w:sz w:val="28"/>
          <w:szCs w:val="28"/>
        </w:rPr>
        <w:t>★</w:t>
      </w:r>
      <w:r>
        <w:rPr>
          <w:rFonts w:hint="eastAsia" w:ascii="宋体" w:hAnsi="宋体" w:eastAsia="宋体" w:cs="宋体"/>
          <w:sz w:val="24"/>
          <w:szCs w:val="24"/>
          <w:lang w:val="en-US" w:eastAsia="zh-CN"/>
        </w:rPr>
        <w:t>3.数据维护服务</w:t>
      </w:r>
      <w:r>
        <w:rPr>
          <w:rFonts w:hint="eastAsia" w:ascii="宋体" w:hAnsi="宋体" w:eastAsia="宋体" w:cs="宋体"/>
          <w:sz w:val="24"/>
          <w:szCs w:val="24"/>
        </w:rPr>
        <w:t>问题解决时间：运行上的基础问题需在2小时内解决（如非成交供应商所能控制的情况除外），技术或软件问题在8小时内解决，严重问题需及时提出可接受的解决方案和服务承诺。</w:t>
      </w:r>
    </w:p>
    <w:p w14:paraId="428FA9BC">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、报价要求：</w:t>
      </w:r>
    </w:p>
    <w:p w14:paraId="2ADD2022">
      <w:pPr>
        <w:pageBreakBefore w:val="0"/>
        <w:kinsoku/>
        <w:wordWrap/>
        <w:overflowPunct/>
        <w:topLinePunct w:val="0"/>
        <w:autoSpaceDE/>
        <w:autoSpaceDN/>
        <w:bidi w:val="0"/>
        <w:adjustRightInd/>
        <w:snapToGrid/>
        <w:spacing w:line="440" w:lineRule="exact"/>
        <w:ind w:firstLine="513"/>
        <w:rPr>
          <w:rFonts w:hint="eastAsia" w:ascii="宋体" w:hAnsi="宋体" w:eastAsia="宋体" w:cs="宋体"/>
          <w:sz w:val="24"/>
          <w:szCs w:val="24"/>
          <w:highlight w:val="none"/>
        </w:rPr>
      </w:pPr>
      <w:r>
        <w:rPr>
          <w:rFonts w:hint="eastAsia" w:ascii="宋体" w:hAnsi="宋体" w:eastAsia="宋体" w:cs="宋体"/>
          <w:sz w:val="24"/>
          <w:szCs w:val="24"/>
        </w:rPr>
        <w:t>1、供应商</w:t>
      </w:r>
      <w:r>
        <w:rPr>
          <w:rFonts w:hint="eastAsia" w:ascii="宋体" w:hAnsi="宋体" w:eastAsia="宋体" w:cs="宋体"/>
          <w:sz w:val="24"/>
          <w:szCs w:val="24"/>
          <w:highlight w:val="none"/>
        </w:rPr>
        <w:t>需对本项目的所有服务进行投报，不得漏报，否则将失去磋商资格。</w:t>
      </w:r>
    </w:p>
    <w:p w14:paraId="4B854245">
      <w:pPr>
        <w:pageBreakBefore w:val="0"/>
        <w:kinsoku/>
        <w:wordWrap/>
        <w:overflowPunct/>
        <w:topLinePunct w:val="0"/>
        <w:autoSpaceDE/>
        <w:autoSpaceDN/>
        <w:bidi w:val="0"/>
        <w:adjustRightInd/>
        <w:snapToGrid/>
        <w:spacing w:line="440" w:lineRule="exact"/>
        <w:ind w:firstLine="513"/>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报价单价为完成该项目单件无纸化数字化集约化案件辅助服务工作</w:t>
      </w:r>
      <w:r>
        <w:rPr>
          <w:rFonts w:hint="eastAsia" w:ascii="宋体" w:hAnsi="宋体" w:eastAsia="宋体" w:cs="宋体"/>
          <w:sz w:val="24"/>
          <w:szCs w:val="24"/>
          <w:highlight w:val="none"/>
          <w:lang w:val="en-US" w:eastAsia="zh-CN"/>
        </w:rPr>
        <w:t>及</w:t>
      </w:r>
      <w:r>
        <w:rPr>
          <w:rFonts w:hint="eastAsia" w:ascii="宋体" w:hAnsi="宋体" w:eastAsia="宋体" w:cs="宋体"/>
          <w:sz w:val="24"/>
          <w:szCs w:val="24"/>
          <w:highlight w:val="none"/>
          <w:lang w:val="en-US" w:eastAsia="zh-Hans" w:bidi="ar-SA"/>
        </w:rPr>
        <w:t>完成旧存及新增非无纸化案件档案卷</w:t>
      </w:r>
      <w:r>
        <w:rPr>
          <w:rFonts w:hint="eastAsia" w:ascii="宋体" w:hAnsi="宋体" w:eastAsia="宋体" w:cs="宋体"/>
          <w:sz w:val="24"/>
          <w:szCs w:val="24"/>
          <w:highlight w:val="none"/>
          <w:lang w:val="en-US" w:eastAsia="zh-CN" w:bidi="ar-SA"/>
        </w:rPr>
        <w:t>不少于</w:t>
      </w:r>
      <w:r>
        <w:rPr>
          <w:rFonts w:hint="eastAsia" w:ascii="宋体" w:hAnsi="宋体" w:eastAsia="宋体" w:cs="宋体"/>
          <w:sz w:val="24"/>
          <w:szCs w:val="24"/>
          <w:highlight w:val="none"/>
          <w:lang w:val="en-US" w:eastAsia="zh-Hans" w:bidi="ar-SA"/>
        </w:rPr>
        <w:t>200万页纸质材料数字化扫描归档工作</w:t>
      </w:r>
      <w:r>
        <w:rPr>
          <w:rFonts w:hint="eastAsia" w:ascii="宋体" w:hAnsi="宋体" w:eastAsia="宋体" w:cs="宋体"/>
          <w:sz w:val="24"/>
          <w:szCs w:val="24"/>
          <w:highlight w:val="none"/>
          <w:lang w:val="en-US" w:eastAsia="zh-CN" w:bidi="ar-SA"/>
        </w:rPr>
        <w:t>（含文书档案整理归档）</w:t>
      </w:r>
      <w:r>
        <w:rPr>
          <w:rFonts w:hint="eastAsia" w:ascii="宋体" w:hAnsi="宋体" w:eastAsia="宋体" w:cs="宋体"/>
          <w:sz w:val="24"/>
          <w:szCs w:val="24"/>
          <w:highlight w:val="none"/>
        </w:rPr>
        <w:t>所需的所有费用，包括工作人员的工资、福利、住宿、交通、通信、设备工具、软件费、管理费、项目利润、售后服务费、质量保证费、税费及政策性文件规定和合同所包含的所有风险、责任等各项应有费用，采购人不再为本项目支付其它任何费用。</w:t>
      </w:r>
    </w:p>
    <w:p w14:paraId="7B21256C">
      <w:pPr>
        <w:pageBreakBefore w:val="0"/>
        <w:kinsoku/>
        <w:wordWrap/>
        <w:overflowPunct/>
        <w:topLinePunct w:val="0"/>
        <w:autoSpaceDE/>
        <w:autoSpaceDN/>
        <w:bidi w:val="0"/>
        <w:adjustRightInd/>
        <w:snapToGrid/>
        <w:spacing w:line="440" w:lineRule="exact"/>
        <w:ind w:firstLine="513"/>
        <w:rPr>
          <w:rFonts w:hint="eastAsia" w:ascii="宋体" w:hAnsi="宋体" w:eastAsia="宋体" w:cs="宋体"/>
          <w:sz w:val="24"/>
          <w:szCs w:val="24"/>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供应商在报价时应充分考虑各</w:t>
      </w:r>
      <w:r>
        <w:rPr>
          <w:rFonts w:hint="eastAsia" w:ascii="宋体" w:hAnsi="宋体" w:eastAsia="宋体" w:cs="宋体"/>
          <w:sz w:val="24"/>
          <w:szCs w:val="24"/>
        </w:rPr>
        <w:t>种风险因素，包括但不限于遇重大活动、检查、突发情况、省市有关项目政策调整、最低工资调整、物价调整、税费调整等。相关风险因素费用全部包含在报价中，采购人不再为本项目支付其他任何费用。</w:t>
      </w:r>
    </w:p>
    <w:p w14:paraId="3607390D">
      <w:pPr>
        <w:pageBreakBefore w:val="0"/>
        <w:kinsoku/>
        <w:wordWrap/>
        <w:overflowPunct/>
        <w:topLinePunct w:val="0"/>
        <w:autoSpaceDE/>
        <w:autoSpaceDN/>
        <w:bidi w:val="0"/>
        <w:adjustRightInd/>
        <w:snapToGrid/>
        <w:spacing w:line="440" w:lineRule="exact"/>
        <w:ind w:firstLine="513"/>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成交供应商工作人员在岗履行职责期间（包括上下班途中），发生自身的人身伤害、伤亡，均由成交供应商负责处理并承担经济和道义上的责任，采购人不承担任何责任。</w:t>
      </w:r>
    </w:p>
    <w:p w14:paraId="60049DAF">
      <w:pPr>
        <w:pageBreakBefore w:val="0"/>
        <w:kinsoku/>
        <w:wordWrap/>
        <w:overflowPunct/>
        <w:topLinePunct w:val="0"/>
        <w:autoSpaceDE/>
        <w:autoSpaceDN/>
        <w:bidi w:val="0"/>
        <w:adjustRightInd/>
        <w:snapToGrid/>
        <w:spacing w:line="440" w:lineRule="exact"/>
        <w:ind w:firstLine="513"/>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服务期内，成交单价不变。</w:t>
      </w:r>
    </w:p>
    <w:p w14:paraId="0BCFF89B">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六</w:t>
      </w:r>
      <w:r>
        <w:rPr>
          <w:rFonts w:hint="eastAsia" w:ascii="宋体" w:hAnsi="宋体" w:eastAsia="宋体" w:cs="宋体"/>
          <w:b/>
          <w:bCs/>
          <w:sz w:val="28"/>
          <w:szCs w:val="28"/>
        </w:rPr>
        <w:t>、其他要求：</w:t>
      </w:r>
    </w:p>
    <w:p w14:paraId="760B5E67">
      <w:pPr>
        <w:pageBreakBefore w:val="0"/>
        <w:kinsoku/>
        <w:wordWrap/>
        <w:overflowPunct/>
        <w:topLinePunct w:val="0"/>
        <w:autoSpaceDE/>
        <w:autoSpaceDN/>
        <w:bidi w:val="0"/>
        <w:adjustRightInd/>
        <w:snapToGrid/>
        <w:spacing w:line="440" w:lineRule="exact"/>
        <w:ind w:firstLine="513"/>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1、本项目“项目需求”中标“★”的相关要求，为本磋商文件实质性要求，必须满足，</w:t>
      </w:r>
      <w:r>
        <w:rPr>
          <w:rFonts w:hint="eastAsia" w:ascii="宋体" w:hAnsi="宋体" w:eastAsia="宋体" w:cs="宋体"/>
          <w:color w:val="000000"/>
          <w:sz w:val="24"/>
          <w:szCs w:val="24"/>
          <w:highlight w:val="none"/>
        </w:rPr>
        <w:t>否则将失去磋商资格。</w:t>
      </w:r>
    </w:p>
    <w:p w14:paraId="696DE30C">
      <w:pPr>
        <w:pageBreakBefore w:val="0"/>
        <w:kinsoku/>
        <w:wordWrap/>
        <w:overflowPunct/>
        <w:topLinePunct w:val="0"/>
        <w:autoSpaceDE/>
        <w:autoSpaceDN/>
        <w:bidi w:val="0"/>
        <w:adjustRightInd/>
        <w:snapToGrid/>
        <w:spacing w:line="440" w:lineRule="exact"/>
        <w:ind w:firstLine="513"/>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合同签订后5个工作日内，成交供应商须携带配备的本项目的主要设备到采购人现场进行测试（包括完成法院卷宗的整理扫描(测评页数:≤1万页，测评的具体数量根据采购人实际需要确定），扫描数据能够流畅的接入到法院材料与卷宗系统。成交供应商不能通过技术测试或测试结果与本项目要求不符的视为虚假响应，采购人有权解除本项目合同不承担违约责任，采购人将追究成交供应商的违约和赔偿。</w:t>
      </w:r>
    </w:p>
    <w:p w14:paraId="273FDBAA">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七、考核表：</w:t>
      </w:r>
    </w:p>
    <w:p w14:paraId="0888C966">
      <w:pPr>
        <w:spacing w:line="440" w:lineRule="exact"/>
        <w:jc w:val="center"/>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常熟市人民法院全流程无纸化辅助服务考核表</w:t>
      </w:r>
    </w:p>
    <w:tbl>
      <w:tblPr>
        <w:tblStyle w:val="54"/>
        <w:tblW w:w="515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6"/>
        <w:gridCol w:w="1296"/>
        <w:gridCol w:w="4646"/>
        <w:gridCol w:w="540"/>
        <w:gridCol w:w="720"/>
        <w:gridCol w:w="2086"/>
      </w:tblGrid>
      <w:tr w14:paraId="39E71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9D7445A">
            <w:pPr>
              <w:keepNext w:val="0"/>
              <w:keepLines w:val="0"/>
              <w:widowControl/>
              <w:suppressLineNumbers w:val="0"/>
              <w:spacing w:line="240" w:lineRule="auto"/>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考核周期（三个月一次）：</w:t>
            </w:r>
          </w:p>
        </w:tc>
      </w:tr>
      <w:tr w14:paraId="119FB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7669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6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C09B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考核内容</w:t>
            </w: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531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考核细则</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3EC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分值</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79D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考核分值</w:t>
            </w: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CF4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备注（突发事件处理得当可加分）</w:t>
            </w:r>
          </w:p>
        </w:tc>
      </w:tr>
      <w:tr w14:paraId="47949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FCCFE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w:t>
            </w:r>
          </w:p>
        </w:tc>
        <w:tc>
          <w:tcPr>
            <w:tcW w:w="6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C791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内部管理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10</w:t>
            </w:r>
            <w:r>
              <w:rPr>
                <w:rFonts w:hint="eastAsia" w:ascii="宋体" w:hAnsi="宋体" w:eastAsia="宋体" w:cs="宋体"/>
                <w:i w:val="0"/>
                <w:iCs w:val="0"/>
                <w:color w:val="000000"/>
                <w:kern w:val="0"/>
                <w:sz w:val="24"/>
                <w:szCs w:val="24"/>
                <w:highlight w:val="none"/>
                <w:u w:val="none"/>
                <w:lang w:val="en-US" w:eastAsia="zh-CN" w:bidi="ar"/>
              </w:rPr>
              <w:t>分）</w:t>
            </w: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DC25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人员配置到位</w:t>
            </w:r>
            <w:r>
              <w:rPr>
                <w:rFonts w:hint="eastAsia" w:ascii="宋体" w:hAnsi="宋体" w:cs="宋体"/>
                <w:i w:val="0"/>
                <w:iCs w:val="0"/>
                <w:color w:val="000000"/>
                <w:kern w:val="0"/>
                <w:sz w:val="24"/>
                <w:szCs w:val="24"/>
                <w:highlight w:val="none"/>
                <w:u w:val="none"/>
                <w:lang w:val="en-US" w:eastAsia="zh-CN" w:bidi="ar"/>
              </w:rPr>
              <w:t>（以35人为标准，月平均人数34人，得1.5分；月平均人数33人得1分；月平均人数32人得0.5分；低于32人</w:t>
            </w:r>
            <w:r>
              <w:rPr>
                <w:rFonts w:ascii="宋体" w:hAnsi="宋体" w:eastAsia="宋体" w:cs="宋体"/>
                <w:sz w:val="24"/>
                <w:szCs w:val="24"/>
                <w:highlight w:val="none"/>
              </w:rPr>
              <w:t>扣</w:t>
            </w:r>
            <w:r>
              <w:rPr>
                <w:rFonts w:hint="eastAsia" w:ascii="宋体" w:hAnsi="宋体" w:cs="宋体"/>
                <w:sz w:val="24"/>
                <w:szCs w:val="24"/>
                <w:highlight w:val="none"/>
                <w:lang w:val="en-US" w:eastAsia="zh-CN"/>
              </w:rPr>
              <w:t>2</w:t>
            </w:r>
            <w:r>
              <w:rPr>
                <w:rFonts w:hint="eastAsia" w:ascii="宋体" w:hAnsi="宋体" w:cs="宋体"/>
                <w:i w:val="0"/>
                <w:iCs w:val="0"/>
                <w:color w:val="000000"/>
                <w:kern w:val="0"/>
                <w:sz w:val="24"/>
                <w:szCs w:val="24"/>
                <w:highlight w:val="none"/>
                <w:u w:val="none"/>
                <w:lang w:val="en-US" w:eastAsia="zh-CN" w:bidi="ar"/>
              </w:rPr>
              <w:t>分</w:t>
            </w:r>
            <w:r>
              <w:rPr>
                <w:rFonts w:ascii="宋体" w:hAnsi="宋体" w:eastAsia="宋体" w:cs="宋体"/>
                <w:sz w:val="24"/>
                <w:szCs w:val="24"/>
                <w:highlight w:val="none"/>
              </w:rPr>
              <w:t>；人员更换未提前报备采购人，每次扣</w:t>
            </w:r>
            <w:r>
              <w:rPr>
                <w:rFonts w:hint="eastAsia" w:ascii="宋体" w:hAnsi="宋体" w:cs="宋体"/>
                <w:sz w:val="24"/>
                <w:szCs w:val="24"/>
                <w:highlight w:val="none"/>
                <w:lang w:val="en-US" w:eastAsia="zh-CN"/>
              </w:rPr>
              <w:t>1</w:t>
            </w:r>
            <w:r>
              <w:rPr>
                <w:rFonts w:ascii="宋体" w:hAnsi="宋体" w:eastAsia="宋体" w:cs="宋体"/>
                <w:sz w:val="24"/>
                <w:szCs w:val="24"/>
                <w:highlight w:val="none"/>
              </w:rPr>
              <w:t>分，扣完为止。</w:t>
            </w:r>
            <w:r>
              <w:rPr>
                <w:rFonts w:hint="eastAsia" w:ascii="宋体" w:hAnsi="宋体" w:cs="宋体"/>
                <w:i w:val="0"/>
                <w:iCs w:val="0"/>
                <w:color w:val="000000"/>
                <w:kern w:val="0"/>
                <w:sz w:val="24"/>
                <w:szCs w:val="24"/>
                <w:highlight w:val="none"/>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173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5010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highlight w:val="none"/>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039D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r>
      <w:tr w14:paraId="7E91C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92EF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27FE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35D7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遵守工作日上下班作息时间</w:t>
            </w:r>
            <w:r>
              <w:rPr>
                <w:rFonts w:hint="eastAsia" w:ascii="宋体" w:hAnsi="宋体" w:cs="宋体"/>
                <w:i w:val="0"/>
                <w:iCs w:val="0"/>
                <w:color w:val="000000"/>
                <w:kern w:val="0"/>
                <w:sz w:val="24"/>
                <w:szCs w:val="24"/>
                <w:u w:val="none"/>
                <w:lang w:val="en-US" w:eastAsia="zh-CN" w:bidi="ar"/>
              </w:rPr>
              <w:t>（</w:t>
            </w:r>
            <w:r>
              <w:rPr>
                <w:rFonts w:ascii="宋体" w:hAnsi="宋体" w:eastAsia="宋体" w:cs="宋体"/>
                <w:sz w:val="24"/>
                <w:szCs w:val="24"/>
              </w:rPr>
              <w:t>迟到、早退</w:t>
            </w:r>
            <w:r>
              <w:rPr>
                <w:rFonts w:hint="eastAsia" w:ascii="宋体" w:hAnsi="宋体" w:eastAsia="宋体" w:cs="宋体"/>
                <w:sz w:val="24"/>
                <w:szCs w:val="24"/>
              </w:rPr>
              <w:t>每有1人</w:t>
            </w:r>
            <w:r>
              <w:rPr>
                <w:rFonts w:hint="eastAsia" w:ascii="宋体" w:hAnsi="宋体" w:cs="宋体"/>
                <w:sz w:val="24"/>
                <w:szCs w:val="24"/>
                <w:lang w:val="en-US" w:eastAsia="zh-CN"/>
              </w:rPr>
              <w:t>次</w:t>
            </w:r>
            <w:r>
              <w:rPr>
                <w:rFonts w:ascii="宋体" w:hAnsi="宋体" w:eastAsia="宋体" w:cs="宋体"/>
                <w:sz w:val="24"/>
                <w:szCs w:val="24"/>
              </w:rPr>
              <w:t>扣</w:t>
            </w:r>
            <w:r>
              <w:rPr>
                <w:rFonts w:hint="eastAsia" w:ascii="宋体" w:hAnsi="宋体" w:cs="宋体"/>
                <w:sz w:val="24"/>
                <w:szCs w:val="24"/>
                <w:lang w:val="en-US" w:eastAsia="zh-CN"/>
              </w:rPr>
              <w:t>0.2</w:t>
            </w:r>
            <w:r>
              <w:rPr>
                <w:rFonts w:ascii="宋体" w:hAnsi="宋体" w:eastAsia="宋体" w:cs="宋体"/>
                <w:sz w:val="24"/>
                <w:szCs w:val="24"/>
              </w:rPr>
              <w:t>分；无故脱岗每次扣</w:t>
            </w:r>
            <w:r>
              <w:rPr>
                <w:rFonts w:hint="eastAsia" w:ascii="宋体" w:hAnsi="宋体" w:cs="宋体"/>
                <w:sz w:val="24"/>
                <w:szCs w:val="24"/>
                <w:lang w:val="en-US" w:eastAsia="zh-CN"/>
              </w:rPr>
              <w:t>0.5</w:t>
            </w:r>
            <w:r>
              <w:rPr>
                <w:rFonts w:ascii="宋体" w:hAnsi="宋体" w:eastAsia="宋体" w:cs="宋体"/>
                <w:sz w:val="24"/>
                <w:szCs w:val="24"/>
              </w:rPr>
              <w:t>分，扣完为止。</w:t>
            </w:r>
            <w:r>
              <w:rPr>
                <w:rFonts w:hint="eastAsia" w:ascii="宋体" w:hAnsi="宋体" w:cs="宋体"/>
                <w:i w:val="0"/>
                <w:iCs w:val="0"/>
                <w:color w:val="000000"/>
                <w:kern w:val="0"/>
                <w:sz w:val="24"/>
                <w:szCs w:val="24"/>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3699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2</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738D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9E70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r>
      <w:tr w14:paraId="388E8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121A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D72D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4497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工作期间不做与工作无关事项</w:t>
            </w:r>
            <w:r>
              <w:rPr>
                <w:rFonts w:hint="eastAsia" w:ascii="宋体" w:hAnsi="宋体" w:cs="宋体"/>
                <w:i w:val="0"/>
                <w:iCs w:val="0"/>
                <w:color w:val="000000"/>
                <w:kern w:val="0"/>
                <w:sz w:val="24"/>
                <w:szCs w:val="24"/>
                <w:u w:val="none"/>
                <w:lang w:val="en-US" w:eastAsia="zh-CN" w:bidi="ar"/>
              </w:rPr>
              <w:t>（</w:t>
            </w:r>
            <w:r>
              <w:rPr>
                <w:rFonts w:ascii="宋体" w:hAnsi="宋体" w:eastAsia="宋体" w:cs="宋体"/>
                <w:sz w:val="24"/>
                <w:szCs w:val="24"/>
              </w:rPr>
              <w:t>工作时间从事玩手机、追剧、网购等无关事项，每次扣</w:t>
            </w:r>
            <w:r>
              <w:rPr>
                <w:rFonts w:hint="eastAsia" w:ascii="宋体" w:hAnsi="宋体" w:cs="宋体"/>
                <w:sz w:val="24"/>
                <w:szCs w:val="24"/>
                <w:lang w:val="en-US" w:eastAsia="zh-CN"/>
              </w:rPr>
              <w:t>0.2</w:t>
            </w:r>
            <w:r>
              <w:rPr>
                <w:rFonts w:ascii="宋体" w:hAnsi="宋体" w:eastAsia="宋体" w:cs="宋体"/>
                <w:sz w:val="24"/>
                <w:szCs w:val="24"/>
              </w:rPr>
              <w:t>分，扣完为止。</w:t>
            </w:r>
            <w:r>
              <w:rPr>
                <w:rFonts w:hint="eastAsia" w:ascii="宋体" w:hAnsi="宋体" w:cs="宋体"/>
                <w:i w:val="0"/>
                <w:iCs w:val="0"/>
                <w:color w:val="000000"/>
                <w:kern w:val="0"/>
                <w:sz w:val="24"/>
                <w:szCs w:val="24"/>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A5B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2</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EA33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258B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r>
      <w:tr w14:paraId="7D469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0DBA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3F6B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A6B4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按请销假制度履行请销假手续</w:t>
            </w:r>
            <w:r>
              <w:rPr>
                <w:rFonts w:hint="eastAsia" w:ascii="宋体" w:hAnsi="宋体" w:cs="宋体"/>
                <w:i w:val="0"/>
                <w:iCs w:val="0"/>
                <w:color w:val="000000"/>
                <w:kern w:val="0"/>
                <w:sz w:val="24"/>
                <w:szCs w:val="24"/>
                <w:u w:val="none"/>
                <w:lang w:val="en-US" w:eastAsia="zh-CN" w:bidi="ar"/>
              </w:rPr>
              <w:t>（</w:t>
            </w:r>
            <w:r>
              <w:rPr>
                <w:rFonts w:ascii="宋体" w:hAnsi="宋体" w:eastAsia="宋体" w:cs="宋体"/>
                <w:sz w:val="24"/>
                <w:szCs w:val="24"/>
              </w:rPr>
              <w:t>未按规定办理请假、销假手续，私自休假，每次扣</w:t>
            </w:r>
            <w:r>
              <w:rPr>
                <w:rFonts w:hint="eastAsia" w:ascii="宋体" w:hAnsi="宋体" w:cs="宋体"/>
                <w:sz w:val="24"/>
                <w:szCs w:val="24"/>
                <w:lang w:val="en-US" w:eastAsia="zh-CN"/>
              </w:rPr>
              <w:t>0.5</w:t>
            </w:r>
            <w:r>
              <w:rPr>
                <w:rFonts w:ascii="宋体" w:hAnsi="宋体" w:eastAsia="宋体" w:cs="宋体"/>
                <w:sz w:val="24"/>
                <w:szCs w:val="24"/>
              </w:rPr>
              <w:t>分，扣完为止。</w:t>
            </w:r>
            <w:r>
              <w:rPr>
                <w:rFonts w:hint="eastAsia" w:ascii="宋体" w:hAnsi="宋体" w:cs="宋体"/>
                <w:i w:val="0"/>
                <w:iCs w:val="0"/>
                <w:color w:val="000000"/>
                <w:kern w:val="0"/>
                <w:sz w:val="24"/>
                <w:szCs w:val="24"/>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049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2</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9E03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F286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r>
      <w:tr w14:paraId="4C4B9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4E18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CEAE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660A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kern w:val="0"/>
                <w:sz w:val="24"/>
                <w:szCs w:val="24"/>
                <w:u w:val="none"/>
                <w:lang w:val="en-US" w:eastAsia="zh-CN" w:bidi="ar"/>
              </w:rPr>
              <w:t>无涉嫌违纪违法违规行为</w:t>
            </w:r>
            <w:r>
              <w:rPr>
                <w:rFonts w:hint="eastAsia" w:ascii="宋体" w:hAnsi="宋体" w:cs="宋体"/>
                <w:i w:val="0"/>
                <w:iCs w:val="0"/>
                <w:color w:val="000000"/>
                <w:kern w:val="0"/>
                <w:sz w:val="24"/>
                <w:szCs w:val="24"/>
                <w:u w:val="none"/>
                <w:lang w:val="en-US" w:eastAsia="zh-CN" w:bidi="ar"/>
              </w:rPr>
              <w:t>（</w:t>
            </w:r>
            <w:r>
              <w:rPr>
                <w:rFonts w:ascii="宋体" w:hAnsi="宋体" w:eastAsia="宋体" w:cs="宋体"/>
                <w:sz w:val="24"/>
                <w:szCs w:val="24"/>
              </w:rPr>
              <w:t>发生工作人员违纪、违规行为，本项</w:t>
            </w:r>
            <w:r>
              <w:rPr>
                <w:rFonts w:hint="eastAsia" w:ascii="宋体" w:hAnsi="宋体" w:cs="宋体"/>
                <w:sz w:val="24"/>
                <w:szCs w:val="24"/>
                <w:lang w:val="en-US" w:eastAsia="zh-CN"/>
              </w:rPr>
              <w:t>2</w:t>
            </w:r>
            <w:r>
              <w:rPr>
                <w:rFonts w:ascii="宋体" w:hAnsi="宋体" w:eastAsia="宋体" w:cs="宋体"/>
                <w:sz w:val="24"/>
                <w:szCs w:val="24"/>
              </w:rPr>
              <w:t>分全部扣除；涉嫌违法的，直接触发安全相关条款。</w:t>
            </w:r>
            <w:r>
              <w:rPr>
                <w:rFonts w:hint="eastAsia" w:ascii="宋体" w:hAnsi="宋体" w:cs="宋体"/>
                <w:sz w:val="24"/>
                <w:szCs w:val="24"/>
                <w:lang w:eastAsia="zh-CN"/>
              </w:rPr>
              <w:t>）</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AAB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2</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471D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3EEB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r>
      <w:tr w14:paraId="22830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75" w:type="pct"/>
            <w:vMerge w:val="restart"/>
            <w:tcBorders>
              <w:top w:val="single" w:color="000000" w:sz="4" w:space="0"/>
              <w:left w:val="single" w:color="000000" w:sz="4" w:space="0"/>
              <w:right w:val="single" w:color="000000" w:sz="4" w:space="0"/>
            </w:tcBorders>
            <w:shd w:val="clear" w:color="auto" w:fill="auto"/>
            <w:vAlign w:val="center"/>
          </w:tcPr>
          <w:p w14:paraId="25C7CFA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w:t>
            </w:r>
          </w:p>
        </w:tc>
        <w:tc>
          <w:tcPr>
            <w:tcW w:w="631" w:type="pct"/>
            <w:vMerge w:val="restart"/>
            <w:tcBorders>
              <w:top w:val="single" w:color="000000" w:sz="4" w:space="0"/>
              <w:left w:val="single" w:color="000000" w:sz="4" w:space="0"/>
              <w:right w:val="single" w:color="000000" w:sz="4" w:space="0"/>
            </w:tcBorders>
            <w:shd w:val="clear" w:color="auto" w:fill="auto"/>
            <w:vAlign w:val="center"/>
          </w:tcPr>
          <w:p w14:paraId="35F3BA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服务质量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90</w:t>
            </w:r>
            <w:r>
              <w:rPr>
                <w:rFonts w:hint="eastAsia" w:ascii="宋体" w:hAnsi="宋体" w:eastAsia="宋体" w:cs="宋体"/>
                <w:i w:val="0"/>
                <w:iCs w:val="0"/>
                <w:color w:val="000000"/>
                <w:kern w:val="0"/>
                <w:sz w:val="24"/>
                <w:szCs w:val="24"/>
                <w:highlight w:val="none"/>
                <w:u w:val="none"/>
                <w:lang w:val="en-US" w:eastAsia="zh-CN" w:bidi="ar"/>
              </w:rPr>
              <w:t>分）</w:t>
            </w: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1A9C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扫描清晰度符合规范</w:t>
            </w:r>
            <w:r>
              <w:rPr>
                <w:rFonts w:hint="eastAsia" w:ascii="宋体" w:hAnsi="宋体" w:cs="宋体"/>
                <w:i w:val="0"/>
                <w:iCs w:val="0"/>
                <w:color w:val="000000"/>
                <w:kern w:val="0"/>
                <w:sz w:val="24"/>
                <w:szCs w:val="24"/>
                <w:highlight w:val="none"/>
                <w:u w:val="none"/>
                <w:lang w:val="en-US" w:eastAsia="zh-CN" w:bidi="ar"/>
              </w:rPr>
              <w:t>（</w:t>
            </w:r>
            <w:r>
              <w:rPr>
                <w:rFonts w:ascii="宋体" w:hAnsi="宋体" w:eastAsia="宋体" w:cs="宋体"/>
                <w:sz w:val="24"/>
                <w:szCs w:val="24"/>
                <w:highlight w:val="none"/>
              </w:rPr>
              <w:t>抽检卷宗，扫描件模糊、歪斜、缺页、色彩不符合法院无纸化标准，每卷扣</w:t>
            </w:r>
            <w:r>
              <w:rPr>
                <w:rFonts w:hint="eastAsia" w:ascii="宋体" w:hAnsi="宋体" w:cs="宋体"/>
                <w:sz w:val="24"/>
                <w:szCs w:val="24"/>
                <w:highlight w:val="none"/>
                <w:lang w:val="en-US" w:eastAsia="zh-CN"/>
              </w:rPr>
              <w:t>1</w:t>
            </w:r>
            <w:r>
              <w:rPr>
                <w:rFonts w:ascii="宋体" w:hAnsi="宋体" w:eastAsia="宋体" w:cs="宋体"/>
                <w:sz w:val="24"/>
                <w:szCs w:val="24"/>
                <w:highlight w:val="none"/>
              </w:rPr>
              <w:t>分，扣完为止；批量不合格的加倍扣分。</w:t>
            </w:r>
            <w:r>
              <w:rPr>
                <w:rFonts w:hint="eastAsia" w:ascii="宋体" w:hAnsi="宋体" w:cs="宋体"/>
                <w:i w:val="0"/>
                <w:iCs w:val="0"/>
                <w:color w:val="000000"/>
                <w:kern w:val="0"/>
                <w:sz w:val="24"/>
                <w:szCs w:val="24"/>
                <w:highlight w:val="none"/>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725B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6</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532E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highlight w:val="none"/>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21F3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r>
      <w:tr w14:paraId="10E94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75" w:type="pct"/>
            <w:vMerge w:val="continue"/>
            <w:tcBorders>
              <w:left w:val="single" w:color="000000" w:sz="4" w:space="0"/>
              <w:right w:val="single" w:color="000000" w:sz="4" w:space="0"/>
            </w:tcBorders>
            <w:shd w:val="clear" w:color="auto" w:fill="auto"/>
            <w:vAlign w:val="center"/>
          </w:tcPr>
          <w:p w14:paraId="7D0581C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left w:val="single" w:color="000000" w:sz="4" w:space="0"/>
              <w:right w:val="single" w:color="000000" w:sz="4" w:space="0"/>
            </w:tcBorders>
            <w:shd w:val="clear" w:color="auto" w:fill="auto"/>
            <w:vAlign w:val="center"/>
          </w:tcPr>
          <w:p w14:paraId="4928F67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B805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纸质卷宗整理规范，符合要求</w:t>
            </w:r>
            <w:r>
              <w:rPr>
                <w:rFonts w:hint="eastAsia" w:ascii="宋体" w:hAnsi="宋体" w:cs="宋体"/>
                <w:i w:val="0"/>
                <w:iCs w:val="0"/>
                <w:color w:val="000000"/>
                <w:kern w:val="0"/>
                <w:sz w:val="24"/>
                <w:szCs w:val="24"/>
                <w:u w:val="none"/>
                <w:lang w:val="en-US" w:eastAsia="zh-CN" w:bidi="ar"/>
              </w:rPr>
              <w:t>（</w:t>
            </w:r>
            <w:r>
              <w:rPr>
                <w:rFonts w:ascii="宋体" w:hAnsi="宋体" w:eastAsia="宋体" w:cs="宋体"/>
                <w:sz w:val="24"/>
                <w:szCs w:val="24"/>
              </w:rPr>
              <w:t>卷宗排序、装订、拆卷、还原不符合规范，每卷扣</w:t>
            </w:r>
            <w:r>
              <w:rPr>
                <w:rFonts w:hint="eastAsia" w:ascii="宋体" w:hAnsi="宋体" w:cs="宋体"/>
                <w:sz w:val="24"/>
                <w:szCs w:val="24"/>
                <w:lang w:val="en-US" w:eastAsia="zh-CN"/>
              </w:rPr>
              <w:t>1</w:t>
            </w:r>
            <w:r>
              <w:rPr>
                <w:rFonts w:ascii="宋体" w:hAnsi="宋体" w:eastAsia="宋体" w:cs="宋体"/>
                <w:sz w:val="24"/>
                <w:szCs w:val="24"/>
              </w:rPr>
              <w:t>分，扣完为止。</w:t>
            </w:r>
            <w:r>
              <w:rPr>
                <w:rFonts w:hint="eastAsia" w:ascii="宋体" w:hAnsi="宋体" w:cs="宋体"/>
                <w:i w:val="0"/>
                <w:iCs w:val="0"/>
                <w:color w:val="000000"/>
                <w:kern w:val="0"/>
                <w:sz w:val="24"/>
                <w:szCs w:val="24"/>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BD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4E92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17C7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r>
      <w:tr w14:paraId="3C027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left w:val="single" w:color="000000" w:sz="4" w:space="0"/>
              <w:right w:val="single" w:color="000000" w:sz="4" w:space="0"/>
            </w:tcBorders>
            <w:shd w:val="clear" w:color="auto" w:fill="auto"/>
            <w:vAlign w:val="center"/>
          </w:tcPr>
          <w:p w14:paraId="30B988C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left w:val="single" w:color="000000" w:sz="4" w:space="0"/>
              <w:right w:val="single" w:color="000000" w:sz="4" w:space="0"/>
            </w:tcBorders>
            <w:shd w:val="clear" w:color="auto" w:fill="auto"/>
            <w:vAlign w:val="center"/>
          </w:tcPr>
          <w:p w14:paraId="7A4FFC1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3121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产能进度达标，按期归档</w:t>
            </w:r>
            <w:r>
              <w:rPr>
                <w:rFonts w:hint="eastAsia" w:ascii="宋体" w:hAnsi="宋体" w:cs="宋体"/>
                <w:i w:val="0"/>
                <w:iCs w:val="0"/>
                <w:color w:val="000000"/>
                <w:kern w:val="0"/>
                <w:sz w:val="24"/>
                <w:szCs w:val="24"/>
                <w:u w:val="none"/>
                <w:lang w:val="en-US" w:eastAsia="zh-CN" w:bidi="ar"/>
              </w:rPr>
              <w:t>（</w:t>
            </w:r>
            <w:r>
              <w:rPr>
                <w:rFonts w:ascii="宋体" w:hAnsi="宋体" w:eastAsia="宋体" w:cs="宋体"/>
                <w:sz w:val="24"/>
                <w:szCs w:val="24"/>
              </w:rPr>
              <w:t>未按采购人计划完成当季度归档任务，进度滞后的，</w:t>
            </w:r>
            <w:r>
              <w:rPr>
                <w:rFonts w:hint="eastAsia" w:ascii="宋体" w:hAnsi="宋体" w:eastAsia="宋体" w:cs="宋体"/>
                <w:sz w:val="24"/>
                <w:szCs w:val="24"/>
              </w:rPr>
              <w:t>每延迟1天扣2分</w:t>
            </w:r>
            <w:r>
              <w:rPr>
                <w:rFonts w:ascii="宋体" w:hAnsi="宋体" w:eastAsia="宋体" w:cs="宋体"/>
                <w:sz w:val="24"/>
                <w:szCs w:val="24"/>
              </w:rPr>
              <w:t>，扣完为止。</w:t>
            </w:r>
            <w:r>
              <w:rPr>
                <w:rFonts w:hint="eastAsia" w:ascii="宋体" w:hAnsi="宋体" w:cs="宋体"/>
                <w:i w:val="0"/>
                <w:iCs w:val="0"/>
                <w:color w:val="000000"/>
                <w:kern w:val="0"/>
                <w:sz w:val="24"/>
                <w:szCs w:val="24"/>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0D9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4834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6F6B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r>
      <w:tr w14:paraId="2C4B0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75" w:type="pct"/>
            <w:vMerge w:val="continue"/>
            <w:tcBorders>
              <w:left w:val="single" w:color="000000" w:sz="4" w:space="0"/>
              <w:right w:val="single" w:color="000000" w:sz="4" w:space="0"/>
            </w:tcBorders>
            <w:shd w:val="clear" w:color="auto" w:fill="auto"/>
            <w:vAlign w:val="center"/>
          </w:tcPr>
          <w:p w14:paraId="449AA71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left w:val="single" w:color="000000" w:sz="4" w:space="0"/>
              <w:right w:val="single" w:color="000000" w:sz="4" w:space="0"/>
            </w:tcBorders>
            <w:shd w:val="clear" w:color="auto" w:fill="auto"/>
            <w:vAlign w:val="center"/>
          </w:tcPr>
          <w:p w14:paraId="571E02B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7DA2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kern w:val="0"/>
                <w:sz w:val="24"/>
                <w:szCs w:val="24"/>
                <w:u w:val="none"/>
                <w:lang w:val="en-US" w:eastAsia="zh-CN" w:bidi="ar"/>
              </w:rPr>
              <w:t>及时反馈工作进展</w:t>
            </w:r>
            <w:r>
              <w:rPr>
                <w:rFonts w:hint="eastAsia" w:ascii="宋体" w:hAnsi="宋体" w:cs="宋体"/>
                <w:i w:val="0"/>
                <w:iCs w:val="0"/>
                <w:color w:val="000000"/>
                <w:kern w:val="0"/>
                <w:sz w:val="24"/>
                <w:szCs w:val="24"/>
                <w:u w:val="none"/>
                <w:lang w:val="en-US" w:eastAsia="zh-CN" w:bidi="ar"/>
              </w:rPr>
              <w:t>（</w:t>
            </w:r>
            <w:r>
              <w:rPr>
                <w:rFonts w:ascii="宋体" w:hAnsi="宋体" w:eastAsia="宋体" w:cs="宋体"/>
                <w:sz w:val="24"/>
                <w:szCs w:val="24"/>
              </w:rPr>
              <w:t>未按采购人要求定期报送工作台账、进度报表，</w:t>
            </w:r>
            <w:r>
              <w:rPr>
                <w:rFonts w:hint="eastAsia" w:ascii="宋体" w:hAnsi="宋体" w:eastAsia="宋体" w:cs="宋体"/>
                <w:sz w:val="24"/>
                <w:szCs w:val="24"/>
              </w:rPr>
              <w:t>每催促一次扣1分</w:t>
            </w:r>
            <w:r>
              <w:rPr>
                <w:rFonts w:ascii="宋体" w:hAnsi="宋体" w:eastAsia="宋体" w:cs="宋体"/>
                <w:sz w:val="24"/>
                <w:szCs w:val="24"/>
              </w:rPr>
              <w:t>；重大问题隐瞒不报，一次扣</w:t>
            </w:r>
            <w:r>
              <w:rPr>
                <w:rFonts w:hint="eastAsia" w:ascii="宋体" w:hAnsi="宋体" w:cs="宋体"/>
                <w:sz w:val="24"/>
                <w:szCs w:val="24"/>
                <w:lang w:val="en-US" w:eastAsia="zh-CN"/>
              </w:rPr>
              <w:t>6</w:t>
            </w:r>
            <w:r>
              <w:rPr>
                <w:rFonts w:ascii="宋体" w:hAnsi="宋体" w:eastAsia="宋体" w:cs="宋体"/>
                <w:sz w:val="24"/>
                <w:szCs w:val="24"/>
              </w:rPr>
              <w:t>分，扣完为止。</w:t>
            </w:r>
            <w:r>
              <w:rPr>
                <w:rFonts w:hint="eastAsia" w:ascii="宋体" w:hAnsi="宋体" w:cs="宋体"/>
                <w:sz w:val="24"/>
                <w:szCs w:val="24"/>
                <w:lang w:eastAsia="zh-CN"/>
              </w:rPr>
              <w:t>）</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67F0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2885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CEC4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r>
      <w:tr w14:paraId="0E2B9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left w:val="single" w:color="000000" w:sz="4" w:space="0"/>
              <w:right w:val="single" w:color="000000" w:sz="4" w:space="0"/>
            </w:tcBorders>
            <w:shd w:val="clear" w:color="auto" w:fill="auto"/>
            <w:vAlign w:val="center"/>
          </w:tcPr>
          <w:p w14:paraId="5F1CEF5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left w:val="single" w:color="000000" w:sz="4" w:space="0"/>
              <w:right w:val="single" w:color="000000" w:sz="4" w:space="0"/>
            </w:tcBorders>
            <w:shd w:val="clear" w:color="auto" w:fill="auto"/>
            <w:vAlign w:val="center"/>
          </w:tcPr>
          <w:p w14:paraId="369905E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64FC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未因工作失误导致卷宗遗失</w:t>
            </w:r>
            <w:r>
              <w:rPr>
                <w:rFonts w:hint="eastAsia" w:ascii="宋体" w:hAnsi="宋体" w:cs="宋体"/>
                <w:i w:val="0"/>
                <w:iCs w:val="0"/>
                <w:color w:val="000000"/>
                <w:kern w:val="0"/>
                <w:sz w:val="24"/>
                <w:szCs w:val="24"/>
                <w:u w:val="none"/>
                <w:lang w:val="en-US" w:eastAsia="zh-CN" w:bidi="ar"/>
              </w:rPr>
              <w:t>（</w:t>
            </w:r>
            <w:r>
              <w:rPr>
                <w:rFonts w:ascii="宋体" w:hAnsi="宋体" w:eastAsia="宋体" w:cs="宋体"/>
                <w:sz w:val="24"/>
                <w:szCs w:val="24"/>
              </w:rPr>
              <w:t>因供应商工作失误造成卷宗遗失，本项10分一次性全部扣除，同时触发6.2.4安全事故条款。</w:t>
            </w:r>
            <w:r>
              <w:rPr>
                <w:rFonts w:hint="eastAsia" w:ascii="宋体" w:hAnsi="宋体" w:cs="宋体"/>
                <w:i w:val="0"/>
                <w:iCs w:val="0"/>
                <w:color w:val="000000"/>
                <w:kern w:val="0"/>
                <w:sz w:val="24"/>
                <w:szCs w:val="24"/>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529C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1039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43BF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r>
      <w:tr w14:paraId="06ADA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left w:val="single" w:color="000000" w:sz="4" w:space="0"/>
              <w:right w:val="single" w:color="000000" w:sz="4" w:space="0"/>
            </w:tcBorders>
            <w:shd w:val="clear" w:color="auto" w:fill="auto"/>
            <w:vAlign w:val="center"/>
          </w:tcPr>
          <w:p w14:paraId="76F7CC8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left w:val="single" w:color="000000" w:sz="4" w:space="0"/>
              <w:right w:val="single" w:color="000000" w:sz="4" w:space="0"/>
            </w:tcBorders>
            <w:shd w:val="clear" w:color="auto" w:fill="auto"/>
            <w:vAlign w:val="center"/>
          </w:tcPr>
          <w:p w14:paraId="3A57850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F105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未因个人原因造成案件情况泄露</w:t>
            </w:r>
            <w:r>
              <w:rPr>
                <w:rFonts w:hint="eastAsia" w:ascii="宋体" w:hAnsi="宋体" w:cs="宋体"/>
                <w:i w:val="0"/>
                <w:iCs w:val="0"/>
                <w:color w:val="000000"/>
                <w:kern w:val="0"/>
                <w:sz w:val="24"/>
                <w:szCs w:val="24"/>
                <w:u w:val="none"/>
                <w:lang w:val="en-US" w:eastAsia="zh-CN" w:bidi="ar"/>
              </w:rPr>
              <w:t>（</w:t>
            </w:r>
            <w:r>
              <w:rPr>
                <w:rFonts w:ascii="宋体" w:hAnsi="宋体" w:eastAsia="宋体" w:cs="宋体"/>
                <w:sz w:val="24"/>
                <w:szCs w:val="24"/>
              </w:rPr>
              <w:t>因供应商人员原因发生案件信息泄露，本项10分一次性全部扣除，同时触发6.2.4安全事故条款。</w:t>
            </w:r>
            <w:r>
              <w:rPr>
                <w:rFonts w:hint="eastAsia" w:ascii="宋体" w:hAnsi="宋体" w:cs="宋体"/>
                <w:i w:val="0"/>
                <w:iCs w:val="0"/>
                <w:color w:val="000000"/>
                <w:kern w:val="0"/>
                <w:sz w:val="24"/>
                <w:szCs w:val="24"/>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844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4B4C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FE90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r>
      <w:tr w14:paraId="186A5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left w:val="single" w:color="000000" w:sz="4" w:space="0"/>
              <w:right w:val="single" w:color="000000" w:sz="4" w:space="0"/>
            </w:tcBorders>
            <w:shd w:val="clear" w:color="auto" w:fill="auto"/>
            <w:vAlign w:val="center"/>
          </w:tcPr>
          <w:p w14:paraId="2D15038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left w:val="single" w:color="000000" w:sz="4" w:space="0"/>
              <w:right w:val="single" w:color="000000" w:sz="4" w:space="0"/>
            </w:tcBorders>
            <w:shd w:val="clear" w:color="auto" w:fill="auto"/>
            <w:vAlign w:val="center"/>
          </w:tcPr>
          <w:p w14:paraId="36D37D7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CF64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数据验收时抽检的比率不得低于10%。抽检内容合格率超过98%。（对应比例低于或超出标准0.1%的扣2分，扣完为止）</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576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5779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2675D">
            <w:pPr>
              <w:keepNext w:val="0"/>
              <w:keepLines w:val="0"/>
              <w:pageBreakBefore w:val="0"/>
              <w:kinsoku/>
              <w:wordWrap/>
              <w:overflowPunct/>
              <w:topLinePunct w:val="0"/>
              <w:autoSpaceDE/>
              <w:autoSpaceDN/>
              <w:bidi w:val="0"/>
              <w:adjustRightInd/>
              <w:snapToGrid/>
              <w:spacing w:line="240" w:lineRule="auto"/>
              <w:jc w:val="center"/>
              <w:rPr>
                <w:rFonts w:ascii="宋体" w:hAnsi="宋体" w:eastAsia="宋体" w:cs="宋体"/>
                <w:sz w:val="24"/>
                <w:szCs w:val="24"/>
              </w:rPr>
            </w:pPr>
          </w:p>
        </w:tc>
      </w:tr>
      <w:tr w14:paraId="4BC99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left w:val="single" w:color="000000" w:sz="4" w:space="0"/>
              <w:right w:val="single" w:color="000000" w:sz="4" w:space="0"/>
            </w:tcBorders>
            <w:shd w:val="clear" w:color="auto" w:fill="auto"/>
            <w:vAlign w:val="center"/>
          </w:tcPr>
          <w:p w14:paraId="3EBB1FD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left w:val="single" w:color="000000" w:sz="4" w:space="0"/>
              <w:right w:val="single" w:color="000000" w:sz="4" w:space="0"/>
            </w:tcBorders>
            <w:shd w:val="clear" w:color="auto" w:fill="auto"/>
            <w:vAlign w:val="center"/>
          </w:tcPr>
          <w:p w14:paraId="18806F5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7DFE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目录数据库与图像文件挂接规范：目录数据库与图像文件完全对应、卷内目录与图像一一对应；凡目录数据库、图像文件之一出现不完整、不清晰、有错误或卷内目录不完全对应等质量问题的，抽检标记视为“不合格”；条目与图像挂接正确率≥98%，每低于标准0.1%扣1分，扣完为止。</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6F3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A6CF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E54FA">
            <w:pPr>
              <w:keepNext w:val="0"/>
              <w:keepLines w:val="0"/>
              <w:pageBreakBefore w:val="0"/>
              <w:kinsoku/>
              <w:wordWrap/>
              <w:overflowPunct/>
              <w:topLinePunct w:val="0"/>
              <w:autoSpaceDE/>
              <w:autoSpaceDN/>
              <w:bidi w:val="0"/>
              <w:adjustRightInd/>
              <w:snapToGrid/>
              <w:spacing w:line="240" w:lineRule="auto"/>
              <w:jc w:val="center"/>
              <w:rPr>
                <w:rFonts w:ascii="宋体" w:hAnsi="宋体" w:eastAsia="宋体" w:cs="宋体"/>
                <w:sz w:val="24"/>
                <w:szCs w:val="24"/>
              </w:rPr>
            </w:pPr>
          </w:p>
        </w:tc>
      </w:tr>
      <w:tr w14:paraId="6699E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left w:val="single" w:color="000000" w:sz="4" w:space="0"/>
              <w:right w:val="single" w:color="000000" w:sz="4" w:space="0"/>
            </w:tcBorders>
            <w:shd w:val="clear" w:color="auto" w:fill="auto"/>
            <w:vAlign w:val="center"/>
          </w:tcPr>
          <w:p w14:paraId="1F49C85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left w:val="single" w:color="000000" w:sz="4" w:space="0"/>
              <w:right w:val="single" w:color="000000" w:sz="4" w:space="0"/>
            </w:tcBorders>
            <w:shd w:val="clear" w:color="auto" w:fill="auto"/>
            <w:vAlign w:val="center"/>
          </w:tcPr>
          <w:p w14:paraId="442FF64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05A9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档案装卷规范：检查材料类别、顺序及页码、目录，差错率≤1%，超出标准每0.1%扣1分，扣完为止。</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EC8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5B77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E6C2E">
            <w:pPr>
              <w:keepNext w:val="0"/>
              <w:keepLines w:val="0"/>
              <w:pageBreakBefore w:val="0"/>
              <w:kinsoku/>
              <w:wordWrap/>
              <w:overflowPunct/>
              <w:topLinePunct w:val="0"/>
              <w:autoSpaceDE/>
              <w:autoSpaceDN/>
              <w:bidi w:val="0"/>
              <w:adjustRightInd/>
              <w:snapToGrid/>
              <w:spacing w:line="240" w:lineRule="auto"/>
              <w:jc w:val="center"/>
              <w:rPr>
                <w:rFonts w:ascii="宋体" w:hAnsi="宋体" w:eastAsia="宋体" w:cs="宋体"/>
                <w:sz w:val="24"/>
                <w:szCs w:val="24"/>
              </w:rPr>
            </w:pPr>
          </w:p>
        </w:tc>
      </w:tr>
      <w:tr w14:paraId="10DAA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left w:val="single" w:color="000000" w:sz="4" w:space="0"/>
              <w:right w:val="single" w:color="000000" w:sz="4" w:space="0"/>
            </w:tcBorders>
            <w:shd w:val="clear" w:color="auto" w:fill="auto"/>
            <w:vAlign w:val="center"/>
          </w:tcPr>
          <w:p w14:paraId="087C904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left w:val="single" w:color="000000" w:sz="4" w:space="0"/>
              <w:right w:val="single" w:color="000000" w:sz="4" w:space="0"/>
            </w:tcBorders>
            <w:shd w:val="clear" w:color="auto" w:fill="auto"/>
            <w:vAlign w:val="center"/>
          </w:tcPr>
          <w:p w14:paraId="590D445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AF33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扫描图像完整：扫描图像漏扫率≤0.1%，超出标准每0.1%扣1分，扣完为止。图像质量完好：图像质量完好率≥99%，低于标准每0.1%扣1分，扣完为止。</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E3C8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759A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6DCE2">
            <w:pPr>
              <w:keepNext w:val="0"/>
              <w:keepLines w:val="0"/>
              <w:pageBreakBefore w:val="0"/>
              <w:kinsoku/>
              <w:wordWrap/>
              <w:overflowPunct/>
              <w:topLinePunct w:val="0"/>
              <w:autoSpaceDE/>
              <w:autoSpaceDN/>
              <w:bidi w:val="0"/>
              <w:adjustRightInd/>
              <w:snapToGrid/>
              <w:spacing w:line="240" w:lineRule="auto"/>
              <w:jc w:val="center"/>
              <w:rPr>
                <w:rFonts w:ascii="宋体" w:hAnsi="宋体" w:eastAsia="宋体" w:cs="宋体"/>
                <w:sz w:val="24"/>
                <w:szCs w:val="24"/>
              </w:rPr>
            </w:pPr>
          </w:p>
        </w:tc>
      </w:tr>
      <w:tr w14:paraId="0C70B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left w:val="single" w:color="000000" w:sz="4" w:space="0"/>
              <w:right w:val="single" w:color="000000" w:sz="4" w:space="0"/>
            </w:tcBorders>
            <w:shd w:val="clear" w:color="auto" w:fill="auto"/>
            <w:vAlign w:val="center"/>
          </w:tcPr>
          <w:p w14:paraId="750FE37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left w:val="single" w:color="000000" w:sz="4" w:space="0"/>
              <w:right w:val="single" w:color="000000" w:sz="4" w:space="0"/>
            </w:tcBorders>
            <w:shd w:val="clear" w:color="auto" w:fill="auto"/>
            <w:vAlign w:val="center"/>
          </w:tcPr>
          <w:p w14:paraId="1C024AE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7999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格式封装规范：图像文件命名差错率≤1%，超出标准每0.1%扣1分，扣完为止。编目著录规范：编目著录正确率≥98%，低于标准每0.1%扣1分，扣完为止。</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256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A6D5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D7115">
            <w:pPr>
              <w:keepNext w:val="0"/>
              <w:keepLines w:val="0"/>
              <w:pageBreakBefore w:val="0"/>
              <w:kinsoku/>
              <w:wordWrap/>
              <w:overflowPunct/>
              <w:topLinePunct w:val="0"/>
              <w:autoSpaceDE/>
              <w:autoSpaceDN/>
              <w:bidi w:val="0"/>
              <w:adjustRightInd/>
              <w:snapToGrid/>
              <w:spacing w:line="240" w:lineRule="auto"/>
              <w:jc w:val="center"/>
              <w:rPr>
                <w:rFonts w:ascii="宋体" w:hAnsi="宋体" w:eastAsia="宋体" w:cs="宋体"/>
                <w:sz w:val="24"/>
                <w:szCs w:val="24"/>
              </w:rPr>
            </w:pPr>
          </w:p>
        </w:tc>
      </w:tr>
      <w:tr w14:paraId="3819B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pct"/>
            <w:vMerge w:val="continue"/>
            <w:tcBorders>
              <w:left w:val="single" w:color="000000" w:sz="4" w:space="0"/>
              <w:bottom w:val="single" w:color="000000" w:sz="4" w:space="0"/>
              <w:right w:val="single" w:color="000000" w:sz="4" w:space="0"/>
            </w:tcBorders>
            <w:shd w:val="clear" w:color="auto" w:fill="auto"/>
            <w:vAlign w:val="center"/>
          </w:tcPr>
          <w:p w14:paraId="79A4028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631" w:type="pct"/>
            <w:vMerge w:val="continue"/>
            <w:tcBorders>
              <w:left w:val="single" w:color="000000" w:sz="4" w:space="0"/>
              <w:bottom w:val="single" w:color="000000" w:sz="4" w:space="0"/>
              <w:right w:val="single" w:color="000000" w:sz="4" w:space="0"/>
            </w:tcBorders>
            <w:shd w:val="clear" w:color="auto" w:fill="auto"/>
            <w:vAlign w:val="center"/>
          </w:tcPr>
          <w:p w14:paraId="11E9765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2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A0FE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诉讼原始材料完整：诉讼原始材料100%不缺失，并能随时定位其具体位置；缺失或无法定位的，每1件扣1分，扣完为止。</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875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4E56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24"/>
                <w:szCs w:val="24"/>
                <w:u w:val="none"/>
              </w:rPr>
            </w:pPr>
          </w:p>
        </w:tc>
        <w:tc>
          <w:tcPr>
            <w:tcW w:w="10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9ECAB">
            <w:pPr>
              <w:keepNext w:val="0"/>
              <w:keepLines w:val="0"/>
              <w:pageBreakBefore w:val="0"/>
              <w:kinsoku/>
              <w:wordWrap/>
              <w:overflowPunct/>
              <w:topLinePunct w:val="0"/>
              <w:autoSpaceDE/>
              <w:autoSpaceDN/>
              <w:bidi w:val="0"/>
              <w:adjustRightInd/>
              <w:snapToGrid/>
              <w:spacing w:line="240" w:lineRule="auto"/>
              <w:jc w:val="center"/>
              <w:rPr>
                <w:rFonts w:ascii="宋体" w:hAnsi="宋体" w:eastAsia="宋体" w:cs="宋体"/>
                <w:sz w:val="24"/>
                <w:szCs w:val="24"/>
              </w:rPr>
            </w:pPr>
          </w:p>
        </w:tc>
      </w:tr>
      <w:tr w14:paraId="13071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jc w:val="center"/>
        </w:trPr>
        <w:tc>
          <w:tcPr>
            <w:tcW w:w="5000" w:type="pct"/>
            <w:gridSpan w:val="6"/>
            <w:tcBorders>
              <w:top w:val="single" w:color="000000" w:sz="4" w:space="0"/>
              <w:left w:val="single" w:color="000000" w:sz="4" w:space="0"/>
              <w:bottom w:val="nil"/>
              <w:right w:val="single" w:color="000000" w:sz="4" w:space="0"/>
            </w:tcBorders>
            <w:shd w:val="clear" w:color="auto" w:fill="auto"/>
            <w:vAlign w:val="center"/>
          </w:tcPr>
          <w:p w14:paraId="7DF7325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考核得分：</w:t>
            </w:r>
          </w:p>
        </w:tc>
      </w:tr>
      <w:tr w14:paraId="14BB3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1106" w:type="pct"/>
            <w:gridSpan w:val="2"/>
            <w:tcBorders>
              <w:top w:val="single" w:color="000000" w:sz="4" w:space="0"/>
              <w:left w:val="single" w:color="000000" w:sz="4" w:space="0"/>
              <w:bottom w:val="single" w:color="000000" w:sz="4" w:space="0"/>
              <w:right w:val="nil"/>
            </w:tcBorders>
            <w:shd w:val="clear" w:color="auto" w:fill="auto"/>
            <w:vAlign w:val="bottom"/>
          </w:tcPr>
          <w:p w14:paraId="7D30E03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考核人：</w:t>
            </w:r>
          </w:p>
        </w:tc>
        <w:tc>
          <w:tcPr>
            <w:tcW w:w="2263" w:type="pct"/>
            <w:tcBorders>
              <w:top w:val="single" w:color="000000" w:sz="4" w:space="0"/>
              <w:left w:val="nil"/>
              <w:bottom w:val="single" w:color="000000" w:sz="4" w:space="0"/>
              <w:right w:val="nil"/>
            </w:tcBorders>
            <w:shd w:val="clear" w:color="auto" w:fill="auto"/>
            <w:vAlign w:val="bottom"/>
          </w:tcPr>
          <w:p w14:paraId="533DDC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被考核人：</w:t>
            </w:r>
          </w:p>
        </w:tc>
        <w:tc>
          <w:tcPr>
            <w:tcW w:w="263" w:type="pct"/>
            <w:tcBorders>
              <w:top w:val="single" w:color="000000" w:sz="4" w:space="0"/>
              <w:left w:val="nil"/>
              <w:bottom w:val="single" w:color="000000" w:sz="4" w:space="0"/>
              <w:right w:val="nil"/>
            </w:tcBorders>
            <w:shd w:val="clear" w:color="auto" w:fill="auto"/>
            <w:vAlign w:val="bottom"/>
          </w:tcPr>
          <w:p w14:paraId="2340B52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bCs/>
                <w:i w:val="0"/>
                <w:iCs w:val="0"/>
                <w:color w:val="000000"/>
                <w:sz w:val="24"/>
                <w:szCs w:val="24"/>
                <w:u w:val="none"/>
              </w:rPr>
            </w:pPr>
          </w:p>
        </w:tc>
        <w:tc>
          <w:tcPr>
            <w:tcW w:w="1366" w:type="pct"/>
            <w:gridSpan w:val="2"/>
            <w:tcBorders>
              <w:top w:val="single" w:color="000000" w:sz="4" w:space="0"/>
              <w:left w:val="nil"/>
              <w:bottom w:val="single" w:color="000000" w:sz="4" w:space="0"/>
              <w:right w:val="single" w:color="000000" w:sz="4" w:space="0"/>
            </w:tcBorders>
            <w:shd w:val="clear" w:color="auto" w:fill="auto"/>
            <w:vAlign w:val="bottom"/>
          </w:tcPr>
          <w:p w14:paraId="210F412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bottom"/>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考核日期：</w:t>
            </w:r>
          </w:p>
        </w:tc>
      </w:tr>
    </w:tbl>
    <w:p w14:paraId="76D45179">
      <w:pPr>
        <w:spacing w:line="440" w:lineRule="exact"/>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注：季度考核主要考核成交供应商能否按期保质、保量完成案件无纸化数字化集约化辅助服务。</w:t>
      </w:r>
    </w:p>
    <w:p w14:paraId="0A377ABF">
      <w:pPr>
        <w:spacing w:line="440" w:lineRule="exact"/>
        <w:ind w:firstLine="960" w:firstLineChars="400"/>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1）季度考</w:t>
      </w:r>
      <w:r>
        <w:rPr>
          <w:rFonts w:hint="eastAsia" w:ascii="宋体" w:hAnsi="宋体" w:eastAsia="宋体" w:cs="宋体"/>
          <w:sz w:val="24"/>
          <w:szCs w:val="24"/>
          <w:highlight w:val="none"/>
          <w:lang w:val="en-US" w:eastAsia="zh-CN"/>
        </w:rPr>
        <w:t>核98分以上全额支付当季度费用</w:t>
      </w:r>
    </w:p>
    <w:p w14:paraId="7D4AC7A4">
      <w:pPr>
        <w:spacing w:line="440" w:lineRule="exact"/>
        <w:ind w:firstLine="960" w:firstLineChars="4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2）当季度考核在9</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分-98分（含98分），扣除当季度费用的10%</w:t>
      </w:r>
    </w:p>
    <w:p w14:paraId="1D57E5D4">
      <w:pPr>
        <w:spacing w:line="440" w:lineRule="exact"/>
        <w:ind w:firstLine="960" w:firstLineChars="4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3）当季度考核在90分（含90分）-95分（含95分），扣除当季度费用的20%</w:t>
      </w:r>
    </w:p>
    <w:p w14:paraId="32AE2AFF">
      <w:pPr>
        <w:spacing w:line="440" w:lineRule="exact"/>
        <w:ind w:firstLine="960" w:firstLineChars="4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4）当季度低于90分或发生泄密、丢失卷宗等安全事故的，扣除当季度一切费用，且采购人有权解除合同，</w:t>
      </w:r>
      <w:r>
        <w:rPr>
          <w:rFonts w:hint="eastAsia" w:ascii="宋体" w:hAnsi="宋体" w:eastAsia="宋体" w:cs="宋体"/>
          <w:sz w:val="24"/>
          <w:szCs w:val="24"/>
          <w:highlight w:val="none"/>
        </w:rPr>
        <w:t>并要求</w:t>
      </w:r>
      <w:r>
        <w:rPr>
          <w:rFonts w:hint="eastAsia" w:ascii="宋体" w:hAnsi="宋体" w:eastAsia="宋体" w:cs="宋体"/>
          <w:sz w:val="24"/>
          <w:szCs w:val="24"/>
          <w:highlight w:val="none"/>
          <w:lang w:val="en-US" w:eastAsia="zh-CN"/>
        </w:rPr>
        <w:t>成交供应商</w:t>
      </w:r>
      <w:r>
        <w:rPr>
          <w:rFonts w:hint="eastAsia" w:ascii="宋体" w:hAnsi="宋体" w:eastAsia="宋体" w:cs="宋体"/>
          <w:sz w:val="24"/>
          <w:szCs w:val="24"/>
          <w:highlight w:val="none"/>
        </w:rPr>
        <w:t>偿付违约金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违约金</w:t>
      </w:r>
      <w:r>
        <w:rPr>
          <w:rFonts w:hint="eastAsia" w:ascii="宋体" w:hAnsi="宋体" w:eastAsia="宋体" w:cs="宋体"/>
          <w:sz w:val="24"/>
          <w:szCs w:val="24"/>
          <w:highlight w:val="none"/>
          <w:lang w:eastAsia="zh-CN"/>
        </w:rPr>
        <w:t>按54000案件数*成交单价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20％</w:t>
      </w:r>
      <w:r>
        <w:rPr>
          <w:rFonts w:hint="eastAsia" w:ascii="宋体" w:hAnsi="宋体" w:eastAsia="宋体" w:cs="宋体"/>
          <w:sz w:val="24"/>
          <w:szCs w:val="24"/>
          <w:highlight w:val="none"/>
          <w:lang w:val="en-US" w:eastAsia="zh-CN"/>
        </w:rPr>
        <w:t>计算</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w:t>
      </w:r>
    </w:p>
    <w:p w14:paraId="5CB03230">
      <w:pPr>
        <w:pageBreakBefore w:val="0"/>
        <w:kinsoku/>
        <w:wordWrap/>
        <w:overflowPunct/>
        <w:topLinePunct w:val="0"/>
        <w:autoSpaceDE/>
        <w:autoSpaceDN/>
        <w:bidi w:val="0"/>
        <w:adjustRightInd/>
        <w:snapToGrid/>
        <w:spacing w:line="440" w:lineRule="exact"/>
        <w:rPr>
          <w:rFonts w:hint="eastAsia" w:ascii="宋体" w:hAnsi="宋体" w:eastAsia="宋体" w:cs="宋体"/>
          <w:lang w:val="en-US" w:eastAsia="zh-CN"/>
        </w:rPr>
      </w:pPr>
    </w:p>
    <w:p w14:paraId="479D1E8E">
      <w:pPr>
        <w:pStyle w:val="2"/>
        <w:pageBreakBefore w:val="0"/>
        <w:kinsoku/>
        <w:wordWrap/>
        <w:overflowPunct/>
        <w:topLinePunct w:val="0"/>
        <w:autoSpaceDE/>
        <w:autoSpaceDN/>
        <w:bidi w:val="0"/>
        <w:adjustRightInd/>
        <w:snapToGrid/>
        <w:spacing w:line="440" w:lineRule="exact"/>
        <w:rPr>
          <w:rStyle w:val="252"/>
          <w:rFonts w:hint="eastAsia" w:ascii="宋体" w:hAnsi="宋体" w:eastAsia="宋体" w:cs="宋体"/>
          <w:b/>
          <w:szCs w:val="22"/>
        </w:rPr>
      </w:pPr>
      <w:r>
        <w:rPr>
          <w:rFonts w:hint="eastAsia" w:ascii="宋体" w:hAnsi="宋体" w:eastAsia="宋体" w:cs="宋体"/>
          <w:sz w:val="24"/>
          <w:szCs w:val="24"/>
        </w:rPr>
        <w:br w:type="page" w:clear="all"/>
      </w:r>
      <w:bookmarkEnd w:id="51"/>
      <w:bookmarkStart w:id="64" w:name="_Toc103080651"/>
      <w:bookmarkStart w:id="65" w:name="_Toc3293"/>
      <w:bookmarkStart w:id="66" w:name="_Toc6691"/>
      <w:bookmarkStart w:id="67" w:name="_Toc159312657"/>
      <w:r>
        <w:rPr>
          <w:rFonts w:hint="eastAsia" w:ascii="宋体" w:hAnsi="宋体" w:eastAsia="宋体" w:cs="宋体"/>
          <w:szCs w:val="22"/>
        </w:rPr>
        <w:t xml:space="preserve">第五章  </w:t>
      </w:r>
      <w:bookmarkEnd w:id="64"/>
      <w:r>
        <w:rPr>
          <w:rFonts w:hint="eastAsia" w:ascii="宋体" w:hAnsi="宋体" w:eastAsia="宋体" w:cs="宋体"/>
          <w:bCs/>
          <w:szCs w:val="22"/>
        </w:rPr>
        <w:t>评审方法与评审标准</w:t>
      </w:r>
      <w:bookmarkEnd w:id="65"/>
      <w:bookmarkEnd w:id="66"/>
      <w:bookmarkEnd w:id="67"/>
    </w:p>
    <w:p w14:paraId="10CC6330">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rPr>
      </w:pPr>
      <w:r>
        <w:rPr>
          <w:rFonts w:hint="eastAsia" w:ascii="宋体" w:hAnsi="宋体" w:eastAsia="宋体" w:cs="宋体"/>
          <w:b/>
          <w:bCs/>
          <w:sz w:val="28"/>
          <w:szCs w:val="28"/>
        </w:rPr>
        <w:t>一、评审方法：</w:t>
      </w:r>
    </w:p>
    <w:p w14:paraId="1CD90E92">
      <w:pPr>
        <w:pageBreakBefore w:val="0"/>
        <w:kinsoku/>
        <w:wordWrap/>
        <w:overflowPunct/>
        <w:topLinePunct w:val="0"/>
        <w:autoSpaceDE/>
        <w:autoSpaceDN/>
        <w:bidi w:val="0"/>
        <w:adjustRightInd/>
        <w:snapToGrid/>
        <w:spacing w:line="440" w:lineRule="exact"/>
        <w:ind w:firstLine="470"/>
        <w:rPr>
          <w:rFonts w:hint="eastAsia" w:ascii="宋体" w:hAnsi="宋体" w:eastAsia="宋体" w:cs="宋体"/>
          <w:sz w:val="24"/>
          <w:szCs w:val="24"/>
        </w:rPr>
      </w:pPr>
      <w:r>
        <w:rPr>
          <w:rFonts w:hint="eastAsia" w:ascii="宋体" w:hAnsi="宋体" w:eastAsia="宋体" w:cs="宋体"/>
          <w:sz w:val="24"/>
          <w:szCs w:val="24"/>
        </w:rPr>
        <w:t>本项目采用综合评分法。注：每部分的得分保留小数点后两位，合计得分保留小数点后两位。</w:t>
      </w:r>
    </w:p>
    <w:p w14:paraId="05A81614">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rPr>
      </w:pPr>
      <w:r>
        <w:rPr>
          <w:rFonts w:hint="eastAsia" w:ascii="宋体" w:hAnsi="宋体" w:eastAsia="宋体" w:cs="宋体"/>
          <w:b/>
          <w:bCs/>
          <w:sz w:val="28"/>
          <w:szCs w:val="28"/>
        </w:rPr>
        <w:t>二、评审因素、权值及评分标准：</w:t>
      </w:r>
    </w:p>
    <w:p w14:paraId="0E17DED2">
      <w:pPr>
        <w:pageBreakBefore w:val="0"/>
        <w:kinsoku/>
        <w:wordWrap/>
        <w:overflowPunct/>
        <w:topLinePunct w:val="0"/>
        <w:autoSpaceDE/>
        <w:autoSpaceDN/>
        <w:bidi w:val="0"/>
        <w:adjustRightInd/>
        <w:snapToGrid/>
        <w:spacing w:line="440" w:lineRule="exact"/>
        <w:ind w:firstLine="482"/>
        <w:rPr>
          <w:rFonts w:hint="eastAsia" w:ascii="宋体" w:hAnsi="宋体" w:eastAsia="宋体" w:cs="宋体"/>
          <w:b/>
          <w:bCs/>
          <w:sz w:val="24"/>
          <w:szCs w:val="24"/>
        </w:rPr>
      </w:pPr>
      <w:r>
        <w:rPr>
          <w:rFonts w:hint="eastAsia" w:ascii="宋体" w:hAnsi="宋体" w:eastAsia="宋体" w:cs="宋体"/>
          <w:b/>
          <w:bCs/>
          <w:sz w:val="24"/>
          <w:szCs w:val="24"/>
        </w:rPr>
        <w:t>1、最后报价2</w:t>
      </w:r>
      <w:r>
        <w:rPr>
          <w:rFonts w:hint="eastAsia" w:ascii="宋体" w:hAnsi="宋体" w:eastAsia="宋体" w:cs="宋体"/>
          <w:b/>
          <w:bCs/>
          <w:sz w:val="24"/>
          <w:szCs w:val="24"/>
          <w:lang w:val="en-US" w:eastAsia="zh-CN"/>
        </w:rPr>
        <w:t>0</w:t>
      </w:r>
      <w:r>
        <w:rPr>
          <w:rFonts w:hint="eastAsia" w:ascii="宋体" w:hAnsi="宋体" w:eastAsia="宋体" w:cs="宋体"/>
          <w:b/>
          <w:bCs/>
          <w:sz w:val="24"/>
          <w:szCs w:val="24"/>
        </w:rPr>
        <w:t>分</w:t>
      </w:r>
    </w:p>
    <w:p w14:paraId="4562B70F">
      <w:pPr>
        <w:pageBreakBefore w:val="0"/>
        <w:widowControl w:val="0"/>
        <w:kinsoku/>
        <w:wordWrap/>
        <w:overflowPunct/>
        <w:topLinePunct w:val="0"/>
        <w:autoSpaceDE/>
        <w:autoSpaceDN/>
        <w:bidi w:val="0"/>
        <w:adjustRightInd/>
        <w:snapToGrid/>
        <w:spacing w:after="0" w:line="440" w:lineRule="exact"/>
        <w:ind w:firstLine="480" w:firstLineChars="200"/>
        <w:rPr>
          <w:rFonts w:hint="eastAsia" w:ascii="宋体" w:hAnsi="宋体" w:eastAsia="宋体" w:cs="宋体"/>
          <w:b w:val="0"/>
          <w:bCs w:val="0"/>
          <w:sz w:val="24"/>
          <w:szCs w:val="22"/>
          <w:highlight w:val="none"/>
        </w:rPr>
      </w:pPr>
      <w:bookmarkStart w:id="68" w:name="_Toc4162799"/>
      <w:r>
        <w:rPr>
          <w:rFonts w:hint="eastAsia" w:ascii="宋体" w:hAnsi="宋体" w:eastAsia="宋体" w:cs="宋体"/>
          <w:b w:val="0"/>
          <w:bCs w:val="0"/>
          <w:sz w:val="24"/>
          <w:szCs w:val="22"/>
          <w:highlight w:val="none"/>
        </w:rPr>
        <w:t>满足磋商文件要求且最后报价最低的供应商的价格为磋商基准价，其价格分为2</w:t>
      </w:r>
      <w:r>
        <w:rPr>
          <w:rFonts w:hint="eastAsia" w:ascii="宋体" w:hAnsi="宋体" w:eastAsia="宋体" w:cs="宋体"/>
          <w:b w:val="0"/>
          <w:bCs w:val="0"/>
          <w:sz w:val="24"/>
          <w:szCs w:val="22"/>
          <w:highlight w:val="none"/>
          <w:lang w:val="en-US" w:eastAsia="zh-CN"/>
        </w:rPr>
        <w:t>0</w:t>
      </w:r>
      <w:r>
        <w:rPr>
          <w:rFonts w:hint="eastAsia" w:ascii="宋体" w:hAnsi="宋体" w:eastAsia="宋体" w:cs="宋体"/>
          <w:b w:val="0"/>
          <w:bCs w:val="0"/>
          <w:sz w:val="24"/>
          <w:szCs w:val="22"/>
          <w:highlight w:val="none"/>
        </w:rPr>
        <w:t>分；其他供应商的价格分按下列公式计算：磋商报价得分＝（磋商基准价／最后磋商报价）×2</w:t>
      </w:r>
      <w:r>
        <w:rPr>
          <w:rFonts w:hint="eastAsia" w:ascii="宋体" w:hAnsi="宋体" w:eastAsia="宋体" w:cs="宋体"/>
          <w:b w:val="0"/>
          <w:bCs w:val="0"/>
          <w:sz w:val="24"/>
          <w:szCs w:val="22"/>
          <w:highlight w:val="none"/>
          <w:lang w:val="en-US" w:eastAsia="zh-CN"/>
        </w:rPr>
        <w:t>0</w:t>
      </w:r>
      <w:r>
        <w:rPr>
          <w:rFonts w:hint="eastAsia" w:ascii="宋体" w:hAnsi="宋体" w:eastAsia="宋体" w:cs="宋体"/>
          <w:b w:val="0"/>
          <w:bCs w:val="0"/>
          <w:sz w:val="24"/>
          <w:szCs w:val="22"/>
          <w:highlight w:val="none"/>
        </w:rPr>
        <w:t>分。</w:t>
      </w:r>
    </w:p>
    <w:p w14:paraId="7E681C1E">
      <w:pPr>
        <w:pageBreakBefore w:val="0"/>
        <w:widowControl w:val="0"/>
        <w:kinsoku/>
        <w:wordWrap/>
        <w:overflowPunct/>
        <w:topLinePunct w:val="0"/>
        <w:autoSpaceDE/>
        <w:autoSpaceDN/>
        <w:bidi w:val="0"/>
        <w:adjustRightInd/>
        <w:snapToGrid/>
        <w:spacing w:after="0" w:line="440" w:lineRule="exact"/>
        <w:ind w:firstLine="480" w:firstLineChars="200"/>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rPr>
        <w:t>异常低价审查</w:t>
      </w:r>
    </w:p>
    <w:p w14:paraId="484CB3CF">
      <w:pPr>
        <w:spacing w:line="440" w:lineRule="exact"/>
        <w:ind w:firstLine="480"/>
        <w:rPr>
          <w:rFonts w:hint="eastAsia" w:ascii="宋体" w:hAnsi="宋体" w:eastAsia="宋体" w:cs="宋体"/>
          <w:sz w:val="24"/>
          <w:highlight w:val="none"/>
        </w:rPr>
      </w:pPr>
      <w:r>
        <w:rPr>
          <w:rFonts w:hint="eastAsia" w:ascii="宋体" w:hAnsi="宋体" w:eastAsia="宋体" w:cs="宋体"/>
          <w:sz w:val="24"/>
          <w:highlight w:val="none"/>
        </w:rPr>
        <w:t>政府采购评审中出现下列情形之一的，评审委员会（评标委员会）应当启动异常低价投标（响应）审查程序：</w:t>
      </w:r>
    </w:p>
    <w:p w14:paraId="02693934">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（1）投标（响应）报价低于全部通过符合性审查供应商投标（响应）报价平均值</w:t>
      </w: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%的，即投标（响应）报价＜全部通过符合性审查供应商投标（响应）报价平均值×</w:t>
      </w: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w:t>
      </w:r>
    </w:p>
    <w:p w14:paraId="14C6BB7C">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（2）投标（响应）报价低于通过符合性审查的次低报价供应商投标（响应）报价</w:t>
      </w: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%的，即投标（响应）报价＜通过符合性审查的次低报价供应商投标（响应）报价×</w:t>
      </w: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w:t>
      </w:r>
    </w:p>
    <w:p w14:paraId="3591458E">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（3）投标（响应）报价低于采购项目最高限价</w:t>
      </w:r>
      <w:r>
        <w:rPr>
          <w:rFonts w:hint="eastAsia" w:ascii="宋体" w:hAnsi="宋体" w:eastAsia="宋体" w:cs="宋体"/>
          <w:sz w:val="24"/>
          <w:szCs w:val="24"/>
          <w:highlight w:val="none"/>
          <w:lang w:val="en-US" w:eastAsia="zh-CN"/>
        </w:rPr>
        <w:t>45</w:t>
      </w:r>
      <w:r>
        <w:rPr>
          <w:rFonts w:hint="eastAsia" w:ascii="宋体" w:hAnsi="宋体" w:eastAsia="宋体" w:cs="宋体"/>
          <w:sz w:val="24"/>
          <w:szCs w:val="24"/>
          <w:highlight w:val="none"/>
        </w:rPr>
        <w:t>%的，即投标（响应）报价＜采购项目最高限价×</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5%。</w:t>
      </w:r>
    </w:p>
    <w:p w14:paraId="33CE3B52">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bidi="ar"/>
        </w:rPr>
        <w:t>评审委员会</w:t>
      </w:r>
      <w:r>
        <w:rPr>
          <w:rFonts w:hint="eastAsia" w:ascii="宋体" w:hAnsi="宋体" w:eastAsia="宋体" w:cs="宋体"/>
          <w:sz w:val="24"/>
          <w:szCs w:val="24"/>
          <w:highlight w:val="none"/>
        </w:rPr>
        <w:t>（评标委员会）</w:t>
      </w:r>
      <w:r>
        <w:rPr>
          <w:rFonts w:hint="eastAsia" w:ascii="宋体" w:hAnsi="宋体" w:eastAsia="宋体" w:cs="宋体"/>
          <w:sz w:val="24"/>
          <w:szCs w:val="24"/>
          <w:highlight w:val="none"/>
          <w:lang w:bidi="ar"/>
        </w:rPr>
        <w:t>基于专业判断，认为供应商报价过低，有可能影响产品质量或者不能诚信履约的其他情形</w:t>
      </w:r>
      <w:r>
        <w:rPr>
          <w:rFonts w:hint="eastAsia" w:ascii="宋体" w:hAnsi="宋体" w:eastAsia="宋体" w:cs="宋体"/>
          <w:sz w:val="24"/>
          <w:szCs w:val="24"/>
          <w:highlight w:val="none"/>
        </w:rPr>
        <w:t>。</w:t>
      </w:r>
    </w:p>
    <w:p w14:paraId="232A0417">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ascii="宋体" w:hAnsi="宋体" w:eastAsia="宋体" w:cs="宋体"/>
          <w:sz w:val="24"/>
          <w:szCs w:val="24"/>
          <w:highlight w:val="none"/>
          <w:lang w:val="en-US" w:eastAsia="zh-CN"/>
        </w:rPr>
        <w:t>为</w:t>
      </w:r>
      <w:r>
        <w:rPr>
          <w:rFonts w:hint="eastAsia" w:ascii="宋体" w:hAnsi="宋体" w:eastAsia="宋体" w:cs="宋体"/>
          <w:sz w:val="24"/>
          <w:szCs w:val="24"/>
          <w:highlight w:val="none"/>
        </w:rPr>
        <w:t>30分钟。其中，属于第3项情形，供应商已随投标（响应）文件一并提交相关书面说明及必要的证明材料的，在评审现场可不再重复提交。</w:t>
      </w:r>
    </w:p>
    <w:p w14:paraId="1A0B877C">
      <w:pPr>
        <w:spacing w:line="440" w:lineRule="exact"/>
        <w:ind w:firstLine="480"/>
        <w:rPr>
          <w:rFonts w:hint="eastAsia" w:ascii="宋体" w:hAnsi="宋体" w:eastAsia="宋体" w:cs="宋体"/>
          <w:b w:val="0"/>
          <w:bCs w:val="0"/>
          <w:sz w:val="24"/>
          <w:szCs w:val="22"/>
          <w:highlight w:val="none"/>
        </w:rPr>
      </w:pPr>
      <w:r>
        <w:rPr>
          <w:rFonts w:hint="eastAsia" w:ascii="宋体" w:hAnsi="宋体" w:eastAsia="宋体" w:cs="宋体"/>
          <w:sz w:val="24"/>
          <w:szCs w:val="24"/>
          <w:highlight w:val="none"/>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宋体" w:hAnsi="宋体" w:eastAsia="宋体" w:cs="宋体"/>
          <w:b w:val="0"/>
          <w:bCs w:val="0"/>
          <w:sz w:val="24"/>
          <w:highlight w:val="none"/>
        </w:rPr>
        <w:t>。</w:t>
      </w:r>
    </w:p>
    <w:p w14:paraId="7066D4F4">
      <w:pPr>
        <w:pageBreakBefore w:val="0"/>
        <w:kinsoku/>
        <w:wordWrap/>
        <w:overflowPunct/>
        <w:topLinePunct w:val="0"/>
        <w:autoSpaceDE/>
        <w:autoSpaceDN/>
        <w:bidi w:val="0"/>
        <w:adjustRightInd/>
        <w:snapToGrid/>
        <w:spacing w:line="440" w:lineRule="exact"/>
        <w:ind w:firstLine="482"/>
        <w:rPr>
          <w:rFonts w:hint="eastAsia" w:ascii="宋体" w:hAnsi="宋体" w:eastAsia="宋体" w:cs="宋体"/>
          <w:b/>
          <w:bCs/>
          <w:sz w:val="24"/>
          <w:szCs w:val="24"/>
        </w:rPr>
      </w:pPr>
      <w:r>
        <w:rPr>
          <w:rFonts w:hint="eastAsia" w:ascii="宋体" w:hAnsi="宋体" w:eastAsia="宋体" w:cs="宋体"/>
          <w:b/>
          <w:bCs/>
          <w:sz w:val="24"/>
          <w:szCs w:val="24"/>
        </w:rPr>
        <w:t>2、服务方案</w:t>
      </w:r>
      <w:r>
        <w:rPr>
          <w:rFonts w:hint="eastAsia" w:ascii="宋体" w:hAnsi="宋体" w:cs="宋体"/>
          <w:b/>
          <w:bCs/>
          <w:sz w:val="24"/>
          <w:szCs w:val="24"/>
          <w:lang w:val="en-US" w:eastAsia="zh-CN"/>
        </w:rPr>
        <w:t>54</w:t>
      </w:r>
      <w:r>
        <w:rPr>
          <w:rFonts w:hint="eastAsia" w:ascii="宋体" w:hAnsi="宋体" w:eastAsia="宋体" w:cs="宋体"/>
          <w:b/>
          <w:bCs/>
          <w:sz w:val="24"/>
          <w:szCs w:val="24"/>
        </w:rPr>
        <w:t>分</w:t>
      </w:r>
    </w:p>
    <w:tbl>
      <w:tblPr>
        <w:tblStyle w:val="54"/>
        <w:tblW w:w="49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429"/>
        <w:gridCol w:w="1054"/>
        <w:gridCol w:w="6657"/>
      </w:tblGrid>
      <w:tr w14:paraId="1CA88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392" w:type="pct"/>
            <w:noWrap w:val="0"/>
            <w:vAlign w:val="center"/>
          </w:tcPr>
          <w:p w14:paraId="6B1EABD6">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720" w:type="pct"/>
            <w:noWrap w:val="0"/>
            <w:vAlign w:val="center"/>
          </w:tcPr>
          <w:p w14:paraId="049C0D60">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531" w:type="pct"/>
            <w:noWrap w:val="0"/>
            <w:vAlign w:val="center"/>
          </w:tcPr>
          <w:p w14:paraId="108A0DBD">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分值</w:t>
            </w:r>
          </w:p>
        </w:tc>
        <w:tc>
          <w:tcPr>
            <w:tcW w:w="3355" w:type="pct"/>
            <w:noWrap w:val="0"/>
            <w:vAlign w:val="center"/>
          </w:tcPr>
          <w:p w14:paraId="08C01D34">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0E323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92" w:type="pct"/>
            <w:noWrap w:val="0"/>
            <w:vAlign w:val="center"/>
          </w:tcPr>
          <w:p w14:paraId="6A3520E1">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720" w:type="pct"/>
            <w:noWrap w:val="0"/>
            <w:vAlign w:val="center"/>
          </w:tcPr>
          <w:p w14:paraId="39194273">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服务要求响应性</w:t>
            </w:r>
          </w:p>
        </w:tc>
        <w:tc>
          <w:tcPr>
            <w:tcW w:w="531" w:type="pct"/>
            <w:noWrap w:val="0"/>
            <w:vAlign w:val="center"/>
          </w:tcPr>
          <w:p w14:paraId="624AD25C">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21</w:t>
            </w:r>
            <w:r>
              <w:rPr>
                <w:rFonts w:hint="eastAsia" w:ascii="宋体" w:hAnsi="宋体" w:eastAsia="宋体" w:cs="宋体"/>
                <w:sz w:val="24"/>
                <w:szCs w:val="24"/>
                <w:highlight w:val="none"/>
              </w:rPr>
              <w:t>分</w:t>
            </w:r>
          </w:p>
        </w:tc>
        <w:tc>
          <w:tcPr>
            <w:tcW w:w="3355" w:type="pct"/>
            <w:noWrap w:val="0"/>
            <w:vAlign w:val="center"/>
          </w:tcPr>
          <w:p w14:paraId="58A6B4F2">
            <w:pPr>
              <w:rPr>
                <w:rFonts w:hint="eastAsia" w:ascii="宋体" w:hAnsi="宋体" w:eastAsia="宋体" w:cs="宋体"/>
                <w:color w:val="000000"/>
                <w:kern w:val="2"/>
                <w:sz w:val="24"/>
                <w:szCs w:val="24"/>
                <w:highlight w:val="none"/>
                <w:lang w:eastAsia="zh-CN"/>
              </w:rPr>
            </w:pPr>
            <w:r>
              <w:rPr>
                <w:rFonts w:hint="eastAsia" w:ascii="宋体" w:hAnsi="宋体" w:eastAsia="宋体" w:cs="宋体"/>
                <w:color w:val="000000"/>
                <w:kern w:val="2"/>
                <w:sz w:val="24"/>
                <w:szCs w:val="24"/>
                <w:highlight w:val="none"/>
              </w:rPr>
              <w:t>供应商承诺提供的服务全部满足磋商文件要求的得基本分</w:t>
            </w:r>
            <w:r>
              <w:rPr>
                <w:rFonts w:hint="eastAsia" w:ascii="宋体" w:hAnsi="宋体" w:cs="宋体"/>
                <w:color w:val="000000"/>
                <w:kern w:val="2"/>
                <w:sz w:val="24"/>
                <w:szCs w:val="24"/>
                <w:highlight w:val="none"/>
                <w:lang w:val="en-US" w:eastAsia="zh-CN"/>
              </w:rPr>
              <w:t>21</w:t>
            </w:r>
            <w:r>
              <w:rPr>
                <w:rFonts w:hint="eastAsia" w:ascii="宋体" w:hAnsi="宋体" w:eastAsia="宋体" w:cs="宋体"/>
                <w:color w:val="000000"/>
                <w:kern w:val="2"/>
                <w:sz w:val="24"/>
                <w:szCs w:val="24"/>
                <w:highlight w:val="none"/>
              </w:rPr>
              <w:t>分；有负偏离条款</w:t>
            </w:r>
            <w:r>
              <w:rPr>
                <w:rFonts w:hint="eastAsia" w:ascii="宋体" w:hAnsi="宋体" w:eastAsia="宋体" w:cs="宋体"/>
                <w:color w:val="000000"/>
                <w:kern w:val="2"/>
                <w:sz w:val="24"/>
                <w:szCs w:val="24"/>
                <w:highlight w:val="none"/>
                <w:lang w:eastAsia="zh-CN"/>
              </w:rPr>
              <w:t>的</w:t>
            </w:r>
            <w:r>
              <w:rPr>
                <w:rFonts w:hint="eastAsia" w:ascii="宋体" w:hAnsi="宋体" w:eastAsia="宋体" w:cs="宋体"/>
                <w:color w:val="000000"/>
                <w:kern w:val="2"/>
                <w:sz w:val="24"/>
                <w:szCs w:val="24"/>
                <w:highlight w:val="none"/>
              </w:rPr>
              <w:t>，每条扣</w:t>
            </w:r>
            <w:r>
              <w:rPr>
                <w:rFonts w:hint="eastAsia" w:ascii="宋体" w:hAnsi="宋体" w:eastAsia="宋体" w:cs="宋体"/>
                <w:color w:val="000000"/>
                <w:kern w:val="2"/>
                <w:sz w:val="24"/>
                <w:szCs w:val="24"/>
                <w:highlight w:val="none"/>
                <w:lang w:val="en-US" w:eastAsia="zh-CN"/>
              </w:rPr>
              <w:t>0.</w:t>
            </w:r>
            <w:r>
              <w:rPr>
                <w:rFonts w:hint="eastAsia" w:ascii="宋体" w:hAnsi="宋体" w:cs="宋体"/>
                <w:color w:val="000000"/>
                <w:kern w:val="2"/>
                <w:sz w:val="24"/>
                <w:szCs w:val="24"/>
                <w:highlight w:val="none"/>
                <w:lang w:val="en-US" w:eastAsia="zh-CN"/>
              </w:rPr>
              <w:t>7</w:t>
            </w:r>
            <w:r>
              <w:rPr>
                <w:rFonts w:hint="eastAsia" w:ascii="宋体" w:hAnsi="宋体" w:eastAsia="宋体" w:cs="宋体"/>
                <w:color w:val="000000"/>
                <w:kern w:val="2"/>
                <w:sz w:val="24"/>
                <w:szCs w:val="24"/>
                <w:highlight w:val="none"/>
              </w:rPr>
              <w:t>分。</w:t>
            </w:r>
          </w:p>
        </w:tc>
      </w:tr>
      <w:tr w14:paraId="32CE2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392" w:type="pct"/>
            <w:noWrap w:val="0"/>
            <w:vAlign w:val="center"/>
          </w:tcPr>
          <w:p w14:paraId="23506F67">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720" w:type="pct"/>
            <w:shd w:val="clear" w:color="auto" w:fill="auto"/>
            <w:noWrap w:val="0"/>
            <w:vAlign w:val="center"/>
          </w:tcPr>
          <w:p w14:paraId="7B6C7615">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实施方案</w:t>
            </w:r>
          </w:p>
        </w:tc>
        <w:tc>
          <w:tcPr>
            <w:tcW w:w="531" w:type="pct"/>
            <w:shd w:val="clear" w:color="auto" w:fill="auto"/>
            <w:noWrap w:val="0"/>
            <w:vAlign w:val="center"/>
          </w:tcPr>
          <w:p w14:paraId="0DE266AE">
            <w:pPr>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12分</w:t>
            </w:r>
          </w:p>
        </w:tc>
        <w:tc>
          <w:tcPr>
            <w:tcW w:w="3355" w:type="pct"/>
            <w:shd w:val="clear" w:color="auto" w:fill="auto"/>
            <w:noWrap w:val="0"/>
            <w:vAlign w:val="center"/>
          </w:tcPr>
          <w:p w14:paraId="17353931">
            <w:pPr>
              <w:rPr>
                <w:rFonts w:hint="eastAsia" w:ascii="宋体" w:hAnsi="宋体" w:eastAsia="宋体" w:cs="宋体"/>
                <w:color w:val="000000"/>
                <w:kern w:val="2"/>
                <w:sz w:val="24"/>
                <w:szCs w:val="24"/>
                <w:highlight w:val="none"/>
                <w:lang w:val="zh-CN" w:eastAsia="zh-CN"/>
              </w:rPr>
            </w:pPr>
            <w:r>
              <w:rPr>
                <w:rFonts w:hint="eastAsia" w:ascii="宋体" w:hAnsi="宋体" w:eastAsia="宋体" w:cs="宋体"/>
                <w:color w:val="000000"/>
                <w:kern w:val="2"/>
                <w:sz w:val="24"/>
                <w:szCs w:val="24"/>
                <w:highlight w:val="none"/>
                <w:lang w:val="en-US" w:eastAsia="zh-CN"/>
              </w:rPr>
              <w:t>根据</w:t>
            </w:r>
            <w:r>
              <w:rPr>
                <w:rFonts w:hint="eastAsia" w:ascii="宋体" w:hAnsi="宋体" w:eastAsia="宋体" w:cs="宋体"/>
                <w:color w:val="000000"/>
                <w:kern w:val="2"/>
                <w:sz w:val="24"/>
                <w:szCs w:val="24"/>
                <w:highlight w:val="none"/>
              </w:rPr>
              <w:t>供应商提供的针对本项目的实施方案</w:t>
            </w:r>
            <w:r>
              <w:rPr>
                <w:rFonts w:hint="eastAsia" w:ascii="宋体" w:hAnsi="宋体" w:eastAsia="宋体" w:cs="宋体"/>
                <w:color w:val="000000"/>
                <w:kern w:val="2"/>
                <w:sz w:val="24"/>
                <w:szCs w:val="24"/>
                <w:highlight w:val="none"/>
                <w:lang w:val="zh-CN"/>
              </w:rPr>
              <w:t>（涉及评审要点（共</w:t>
            </w:r>
            <w:r>
              <w:rPr>
                <w:rFonts w:hint="eastAsia" w:ascii="宋体" w:hAnsi="宋体" w:eastAsia="宋体" w:cs="宋体"/>
                <w:color w:val="000000"/>
                <w:kern w:val="2"/>
                <w:sz w:val="24"/>
                <w:szCs w:val="24"/>
                <w:highlight w:val="none"/>
                <w:lang w:val="en-US" w:eastAsia="zh-CN"/>
              </w:rPr>
              <w:t>6</w:t>
            </w:r>
            <w:r>
              <w:rPr>
                <w:rFonts w:hint="eastAsia" w:ascii="宋体" w:hAnsi="宋体" w:eastAsia="宋体" w:cs="宋体"/>
                <w:color w:val="000000"/>
                <w:kern w:val="2"/>
                <w:sz w:val="24"/>
                <w:szCs w:val="24"/>
                <w:highlight w:val="none"/>
                <w:lang w:val="zh-CN"/>
              </w:rPr>
              <w:t>项）：①实施计划及进度安排；②对项目进行难点分析及提出合理化建议；③卷宗实体保护措施；④关键技术（数字化加工质量等）及工艺（如扫描前处理、扫描过程、装盒上架等）介绍；⑤随案扫描及中间库管理（入库登记、盘点、借出抓拍留痕等）；⑥档案数字化加工措施包含（流程控制方式、扫描仪选型、扫描实施、遵循的质量标准、扫描工艺、扫描参数标准、扫描操作标准、扫描流程控制、扫描校对、纠偏、去污及裁边处理、字迹洇透、图像深浅不一、图像拼接、图像成品要求、数据对应检验）进行评定，</w:t>
            </w:r>
            <w:r>
              <w:rPr>
                <w:rFonts w:hint="eastAsia" w:ascii="宋体" w:hAnsi="宋体" w:eastAsia="宋体" w:cs="宋体"/>
                <w:color w:val="000000"/>
                <w:kern w:val="2"/>
                <w:sz w:val="24"/>
                <w:szCs w:val="24"/>
                <w:highlight w:val="none"/>
              </w:rPr>
              <w:t>本项最高得</w:t>
            </w:r>
            <w:r>
              <w:rPr>
                <w:rFonts w:hint="eastAsia" w:ascii="宋体" w:hAnsi="宋体" w:eastAsia="宋体" w:cs="宋体"/>
                <w:color w:val="000000"/>
                <w:kern w:val="2"/>
                <w:sz w:val="24"/>
                <w:szCs w:val="24"/>
                <w:highlight w:val="none"/>
                <w:lang w:val="en-US" w:eastAsia="zh-CN"/>
              </w:rPr>
              <w:t>12</w:t>
            </w:r>
            <w:r>
              <w:rPr>
                <w:rFonts w:hint="eastAsia" w:ascii="宋体" w:hAnsi="宋体" w:eastAsia="宋体" w:cs="宋体"/>
                <w:color w:val="000000"/>
                <w:kern w:val="2"/>
                <w:sz w:val="24"/>
                <w:szCs w:val="24"/>
                <w:highlight w:val="none"/>
              </w:rPr>
              <w:t>分</w:t>
            </w:r>
            <w:r>
              <w:rPr>
                <w:rFonts w:hint="eastAsia" w:ascii="宋体" w:hAnsi="宋体" w:eastAsia="宋体" w:cs="宋体"/>
                <w:color w:val="000000"/>
                <w:kern w:val="2"/>
                <w:sz w:val="24"/>
                <w:szCs w:val="24"/>
                <w:highlight w:val="none"/>
                <w:lang w:val="zh-CN"/>
              </w:rPr>
              <w:t>。体现上述评审要点且内容贴合需求的，每有一项得</w:t>
            </w:r>
            <w:r>
              <w:rPr>
                <w:rFonts w:hint="eastAsia" w:ascii="宋体" w:hAnsi="宋体" w:eastAsia="宋体" w:cs="宋体"/>
                <w:color w:val="000000"/>
                <w:kern w:val="2"/>
                <w:sz w:val="24"/>
                <w:szCs w:val="24"/>
                <w:highlight w:val="none"/>
                <w:lang w:val="en-US" w:eastAsia="zh-CN"/>
              </w:rPr>
              <w:t>2</w:t>
            </w:r>
            <w:r>
              <w:rPr>
                <w:rFonts w:hint="eastAsia" w:ascii="宋体" w:hAnsi="宋体" w:eastAsia="宋体" w:cs="宋体"/>
                <w:color w:val="000000"/>
                <w:kern w:val="2"/>
                <w:sz w:val="24"/>
                <w:szCs w:val="24"/>
                <w:highlight w:val="none"/>
                <w:lang w:val="zh-CN"/>
              </w:rPr>
              <w:t>分；体现上述评审要点但内容无法完全贴合需求的，每有一项得</w:t>
            </w:r>
            <w:r>
              <w:rPr>
                <w:rFonts w:hint="eastAsia" w:ascii="宋体" w:hAnsi="宋体" w:eastAsia="宋体" w:cs="宋体"/>
                <w:color w:val="000000"/>
                <w:kern w:val="2"/>
                <w:sz w:val="24"/>
                <w:szCs w:val="24"/>
                <w:highlight w:val="none"/>
                <w:lang w:val="en-US" w:eastAsia="zh-CN"/>
              </w:rPr>
              <w:t>1</w:t>
            </w:r>
            <w:r>
              <w:rPr>
                <w:rFonts w:hint="eastAsia" w:ascii="宋体" w:hAnsi="宋体" w:eastAsia="宋体" w:cs="宋体"/>
                <w:color w:val="000000"/>
                <w:kern w:val="2"/>
                <w:sz w:val="24"/>
                <w:szCs w:val="24"/>
                <w:highlight w:val="none"/>
                <w:lang w:val="zh-CN"/>
              </w:rPr>
              <w:t>分；未能体现评审要点（或无实质性内容的）得0分。</w:t>
            </w:r>
          </w:p>
        </w:tc>
      </w:tr>
      <w:tr w14:paraId="0E5E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392" w:type="pct"/>
            <w:noWrap w:val="0"/>
            <w:vAlign w:val="center"/>
          </w:tcPr>
          <w:p w14:paraId="0B61EA6A">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720" w:type="pct"/>
            <w:shd w:val="clear" w:color="auto" w:fill="auto"/>
            <w:noWrap w:val="0"/>
            <w:vAlign w:val="center"/>
          </w:tcPr>
          <w:p w14:paraId="55BFB4DC">
            <w:pPr>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000000" w:themeColor="text1"/>
                <w:sz w:val="24"/>
                <w:lang w:val="en-US" w:eastAsia="zh-CN" w:bidi="ar-SA"/>
                <w14:textFill>
                  <w14:solidFill>
                    <w14:schemeClr w14:val="tx1"/>
                  </w14:solidFill>
                </w14:textFill>
              </w:rPr>
            </w:pPr>
            <w:r>
              <w:rPr>
                <w:rFonts w:hint="eastAsia" w:ascii="宋体" w:hAnsi="宋体" w:eastAsia="宋体" w:cs="宋体"/>
                <w:sz w:val="24"/>
                <w:szCs w:val="24"/>
              </w:rPr>
              <w:t>管理方案</w:t>
            </w:r>
          </w:p>
        </w:tc>
        <w:tc>
          <w:tcPr>
            <w:tcW w:w="531" w:type="pct"/>
            <w:shd w:val="clear" w:color="auto" w:fill="auto"/>
            <w:noWrap w:val="0"/>
            <w:vAlign w:val="center"/>
          </w:tcPr>
          <w:p w14:paraId="25A37F4B">
            <w:pPr>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eastAsia="宋体" w:cs="宋体"/>
                <w:color w:val="000000" w:themeColor="text1"/>
                <w:sz w:val="24"/>
                <w:szCs w:val="22"/>
                <w:lang w:val="en-US" w:eastAsia="zh-CN"/>
                <w14:textFill>
                  <w14:solidFill>
                    <w14:schemeClr w14:val="tx1"/>
                  </w14:solidFill>
                </w14:textFill>
              </w:rPr>
              <w:t>8分</w:t>
            </w:r>
          </w:p>
        </w:tc>
        <w:tc>
          <w:tcPr>
            <w:tcW w:w="3355" w:type="pct"/>
            <w:shd w:val="clear" w:color="auto" w:fill="auto"/>
            <w:noWrap w:val="0"/>
            <w:vAlign w:val="center"/>
          </w:tcPr>
          <w:p w14:paraId="6C27D10E">
            <w:pPr>
              <w:rPr>
                <w:rFonts w:hint="eastAsia" w:ascii="宋体" w:hAnsi="宋体" w:eastAsia="宋体" w:cs="宋体"/>
                <w:color w:val="000000"/>
                <w:kern w:val="2"/>
                <w:sz w:val="24"/>
                <w:szCs w:val="24"/>
                <w:highlight w:val="none"/>
                <w:lang w:val="zh-CN" w:eastAsia="zh-CN"/>
              </w:rPr>
            </w:pPr>
            <w:r>
              <w:rPr>
                <w:rFonts w:hint="eastAsia" w:ascii="宋体" w:hAnsi="宋体" w:eastAsia="宋体" w:cs="宋体"/>
                <w:color w:val="000000"/>
                <w:kern w:val="2"/>
                <w:sz w:val="24"/>
                <w:szCs w:val="24"/>
                <w:highlight w:val="none"/>
                <w:lang w:val="en-US" w:eastAsia="zh-CN"/>
              </w:rPr>
              <w:t>根据供应商提供的针对本项目的管理方案</w:t>
            </w:r>
            <w:r>
              <w:rPr>
                <w:rFonts w:hint="eastAsia" w:ascii="宋体" w:hAnsi="宋体" w:eastAsia="宋体" w:cs="宋体"/>
                <w:color w:val="000000"/>
                <w:kern w:val="2"/>
                <w:sz w:val="24"/>
                <w:szCs w:val="24"/>
                <w:highlight w:val="none"/>
                <w:lang w:val="zh-CN" w:eastAsia="zh-CN"/>
              </w:rPr>
              <w:t>（涉及评审要点（共</w:t>
            </w:r>
            <w:r>
              <w:rPr>
                <w:rFonts w:hint="eastAsia" w:ascii="宋体" w:hAnsi="宋体" w:eastAsia="宋体" w:cs="宋体"/>
                <w:color w:val="000000"/>
                <w:kern w:val="2"/>
                <w:sz w:val="24"/>
                <w:szCs w:val="24"/>
                <w:highlight w:val="none"/>
                <w:lang w:val="en-US" w:eastAsia="zh-CN"/>
              </w:rPr>
              <w:t>4</w:t>
            </w:r>
            <w:r>
              <w:rPr>
                <w:rFonts w:hint="eastAsia" w:ascii="宋体" w:hAnsi="宋体" w:eastAsia="宋体" w:cs="宋体"/>
                <w:color w:val="000000"/>
                <w:kern w:val="2"/>
                <w:sz w:val="24"/>
                <w:szCs w:val="24"/>
                <w:highlight w:val="none"/>
                <w:lang w:val="zh-CN" w:eastAsia="zh-CN"/>
              </w:rPr>
              <w:t>项）：①项目进度管理；②内部管理控制；③应急预案</w:t>
            </w:r>
            <w:r>
              <w:rPr>
                <w:rFonts w:hint="eastAsia" w:ascii="宋体" w:hAnsi="宋体" w:eastAsia="宋体" w:cs="宋体"/>
                <w:color w:val="000000"/>
                <w:kern w:val="2"/>
                <w:sz w:val="24"/>
                <w:szCs w:val="24"/>
                <w:highlight w:val="none"/>
                <w:lang w:val="en-US" w:eastAsia="zh-CN"/>
              </w:rPr>
              <w:t>④</w:t>
            </w:r>
            <w:r>
              <w:rPr>
                <w:rFonts w:hint="eastAsia" w:ascii="宋体" w:hAnsi="宋体" w:eastAsia="宋体" w:cs="宋体"/>
                <w:color w:val="000000"/>
                <w:kern w:val="2"/>
                <w:sz w:val="24"/>
                <w:szCs w:val="24"/>
                <w:highlight w:val="none"/>
                <w:lang w:val="zh-CN" w:eastAsia="zh-CN"/>
              </w:rPr>
              <w:t>相关保障措施）进行评定，</w:t>
            </w:r>
            <w:r>
              <w:rPr>
                <w:rFonts w:hint="eastAsia" w:ascii="宋体" w:hAnsi="宋体" w:eastAsia="宋体" w:cs="宋体"/>
                <w:color w:val="000000"/>
                <w:kern w:val="2"/>
                <w:sz w:val="24"/>
                <w:szCs w:val="24"/>
                <w:highlight w:val="none"/>
                <w:lang w:val="en-US" w:eastAsia="zh-CN"/>
              </w:rPr>
              <w:t>本项最高得8分</w:t>
            </w:r>
            <w:r>
              <w:rPr>
                <w:rFonts w:hint="eastAsia" w:ascii="宋体" w:hAnsi="宋体" w:eastAsia="宋体" w:cs="宋体"/>
                <w:color w:val="000000"/>
                <w:kern w:val="2"/>
                <w:sz w:val="24"/>
                <w:szCs w:val="24"/>
                <w:highlight w:val="none"/>
                <w:lang w:val="zh-CN" w:eastAsia="zh-CN"/>
              </w:rPr>
              <w:t>。体现上述评审要点且内容贴合需求的，每有一项得</w:t>
            </w:r>
            <w:r>
              <w:rPr>
                <w:rFonts w:hint="eastAsia" w:ascii="宋体" w:hAnsi="宋体" w:eastAsia="宋体" w:cs="宋体"/>
                <w:color w:val="000000"/>
                <w:kern w:val="2"/>
                <w:sz w:val="24"/>
                <w:szCs w:val="24"/>
                <w:highlight w:val="none"/>
                <w:lang w:val="en-US" w:eastAsia="zh-CN"/>
              </w:rPr>
              <w:t>2</w:t>
            </w:r>
            <w:r>
              <w:rPr>
                <w:rFonts w:hint="eastAsia" w:ascii="宋体" w:hAnsi="宋体" w:eastAsia="宋体" w:cs="宋体"/>
                <w:color w:val="000000"/>
                <w:kern w:val="2"/>
                <w:sz w:val="24"/>
                <w:szCs w:val="24"/>
                <w:highlight w:val="none"/>
                <w:lang w:val="zh-CN" w:eastAsia="zh-CN"/>
              </w:rPr>
              <w:t>分；体现上述评审要点但内容无法完全贴合需求的，每有一项得</w:t>
            </w:r>
            <w:r>
              <w:rPr>
                <w:rFonts w:hint="eastAsia" w:ascii="宋体" w:hAnsi="宋体" w:eastAsia="宋体" w:cs="宋体"/>
                <w:color w:val="000000"/>
                <w:kern w:val="2"/>
                <w:sz w:val="24"/>
                <w:szCs w:val="24"/>
                <w:highlight w:val="none"/>
                <w:lang w:val="en-US" w:eastAsia="zh-CN"/>
              </w:rPr>
              <w:t>1</w:t>
            </w:r>
            <w:r>
              <w:rPr>
                <w:rFonts w:hint="eastAsia" w:ascii="宋体" w:hAnsi="宋体" w:eastAsia="宋体" w:cs="宋体"/>
                <w:color w:val="000000"/>
                <w:kern w:val="2"/>
                <w:sz w:val="24"/>
                <w:szCs w:val="24"/>
                <w:highlight w:val="none"/>
                <w:lang w:val="zh-CN" w:eastAsia="zh-CN"/>
              </w:rPr>
              <w:t>分；未能体现评审要点（或无实质性内容的）得0分。</w:t>
            </w:r>
          </w:p>
        </w:tc>
      </w:tr>
      <w:tr w14:paraId="7A519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392" w:type="pct"/>
            <w:noWrap w:val="0"/>
            <w:vAlign w:val="center"/>
          </w:tcPr>
          <w:p w14:paraId="0F827458">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720" w:type="pct"/>
            <w:shd w:val="clear" w:color="auto" w:fill="auto"/>
            <w:noWrap w:val="0"/>
            <w:vAlign w:val="center"/>
          </w:tcPr>
          <w:p w14:paraId="4FB4FD6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安全保密管理及措施解决方案</w:t>
            </w:r>
          </w:p>
        </w:tc>
        <w:tc>
          <w:tcPr>
            <w:tcW w:w="531" w:type="pct"/>
            <w:shd w:val="clear" w:color="auto" w:fill="auto"/>
            <w:noWrap w:val="0"/>
            <w:vAlign w:val="center"/>
          </w:tcPr>
          <w:p w14:paraId="2750B5AB">
            <w:pPr>
              <w:jc w:val="center"/>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bCs/>
                <w:sz w:val="24"/>
                <w:szCs w:val="24"/>
                <w:highlight w:val="none"/>
                <w:lang w:val="en-US" w:eastAsia="zh-CN"/>
              </w:rPr>
              <w:t>10分</w:t>
            </w:r>
          </w:p>
        </w:tc>
        <w:tc>
          <w:tcPr>
            <w:tcW w:w="3355" w:type="pct"/>
            <w:shd w:val="clear" w:color="auto" w:fill="auto"/>
            <w:noWrap w:val="0"/>
            <w:vAlign w:val="top"/>
          </w:tcPr>
          <w:p w14:paraId="7A24D244">
            <w:pPr>
              <w:pStyle w:val="20"/>
              <w:ind w:left="0" w:leftChars="0" w:firstLine="0" w:firstLineChars="0"/>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根据供应商提供的针对本项目的</w:t>
            </w:r>
            <w:r>
              <w:rPr>
                <w:rFonts w:hint="eastAsia" w:ascii="宋体" w:hAnsi="宋体" w:eastAsia="宋体" w:cs="宋体"/>
                <w:sz w:val="24"/>
                <w:szCs w:val="24"/>
                <w:highlight w:val="none"/>
                <w:lang w:val="en-US" w:eastAsia="zh-CN"/>
              </w:rPr>
              <w:t>安全保密管理及措施解决方案</w:t>
            </w:r>
            <w:r>
              <w:rPr>
                <w:rFonts w:hint="eastAsia" w:ascii="宋体" w:hAnsi="宋体" w:eastAsia="宋体" w:cs="宋体"/>
                <w:color w:val="000000"/>
                <w:kern w:val="2"/>
                <w:sz w:val="24"/>
                <w:szCs w:val="24"/>
                <w:highlight w:val="none"/>
                <w:lang w:val="zh-CN" w:eastAsia="zh-CN"/>
              </w:rPr>
              <w:t>（涉及评审要点（共</w:t>
            </w:r>
            <w:r>
              <w:rPr>
                <w:rFonts w:hint="eastAsia" w:ascii="宋体" w:hAnsi="宋体" w:eastAsia="宋体" w:cs="宋体"/>
                <w:color w:val="000000"/>
                <w:kern w:val="2"/>
                <w:sz w:val="24"/>
                <w:szCs w:val="24"/>
                <w:highlight w:val="none"/>
                <w:lang w:val="en-US" w:eastAsia="zh-CN"/>
              </w:rPr>
              <w:t>5</w:t>
            </w:r>
            <w:r>
              <w:rPr>
                <w:rFonts w:hint="eastAsia" w:ascii="宋体" w:hAnsi="宋体" w:eastAsia="宋体" w:cs="宋体"/>
                <w:color w:val="000000"/>
                <w:kern w:val="2"/>
                <w:sz w:val="24"/>
                <w:szCs w:val="24"/>
                <w:highlight w:val="none"/>
                <w:lang w:val="zh-CN" w:eastAsia="zh-CN"/>
              </w:rPr>
              <w:t>项）：①</w:t>
            </w:r>
            <w:r>
              <w:rPr>
                <w:rFonts w:hint="eastAsia" w:ascii="宋体" w:hAnsi="宋体" w:eastAsia="宋体" w:cs="宋体"/>
                <w:bCs/>
                <w:sz w:val="24"/>
                <w:szCs w:val="24"/>
                <w:highlight w:val="none"/>
                <w:lang w:val="en-US" w:eastAsia="zh-CN"/>
              </w:rPr>
              <w:t>保密能力</w:t>
            </w:r>
            <w:r>
              <w:rPr>
                <w:rFonts w:hint="eastAsia" w:ascii="宋体" w:hAnsi="宋体" w:eastAsia="宋体" w:cs="宋体"/>
                <w:color w:val="000000"/>
                <w:kern w:val="2"/>
                <w:sz w:val="24"/>
                <w:szCs w:val="24"/>
                <w:highlight w:val="none"/>
                <w:lang w:val="zh-CN" w:eastAsia="zh-CN"/>
              </w:rPr>
              <w:t>②</w:t>
            </w:r>
            <w:r>
              <w:rPr>
                <w:rFonts w:hint="eastAsia" w:ascii="宋体" w:hAnsi="宋体" w:eastAsia="宋体" w:cs="宋体"/>
                <w:bCs/>
                <w:sz w:val="24"/>
                <w:szCs w:val="24"/>
                <w:highlight w:val="none"/>
                <w:lang w:eastAsia="zh-CN"/>
              </w:rPr>
              <w:t>人员管理</w:t>
            </w:r>
            <w:r>
              <w:rPr>
                <w:rFonts w:hint="eastAsia" w:ascii="宋体" w:hAnsi="宋体" w:eastAsia="宋体" w:cs="宋体"/>
                <w:color w:val="000000"/>
                <w:kern w:val="2"/>
                <w:sz w:val="24"/>
                <w:szCs w:val="24"/>
                <w:highlight w:val="none"/>
                <w:lang w:val="zh-CN" w:eastAsia="zh-CN"/>
              </w:rPr>
              <w:t>③</w:t>
            </w:r>
            <w:r>
              <w:rPr>
                <w:rFonts w:hint="eastAsia" w:ascii="宋体" w:hAnsi="宋体" w:eastAsia="宋体" w:cs="宋体"/>
                <w:bCs/>
                <w:sz w:val="24"/>
                <w:szCs w:val="24"/>
                <w:highlight w:val="none"/>
                <w:lang w:eastAsia="zh-CN"/>
              </w:rPr>
              <w:t>场地管理</w:t>
            </w:r>
            <w:r>
              <w:rPr>
                <w:rFonts w:hint="eastAsia" w:ascii="宋体" w:hAnsi="宋体" w:eastAsia="宋体" w:cs="宋体"/>
                <w:bCs/>
                <w:sz w:val="24"/>
                <w:szCs w:val="24"/>
                <w:highlight w:val="none"/>
                <w:lang w:val="en-US" w:eastAsia="zh-CN"/>
              </w:rPr>
              <w:t>④</w:t>
            </w:r>
            <w:r>
              <w:rPr>
                <w:rFonts w:hint="eastAsia" w:ascii="宋体" w:hAnsi="宋体" w:eastAsia="宋体" w:cs="宋体"/>
                <w:bCs/>
                <w:sz w:val="24"/>
                <w:szCs w:val="24"/>
                <w:highlight w:val="none"/>
                <w:lang w:eastAsia="zh-CN"/>
              </w:rPr>
              <w:t>设备管理</w:t>
            </w:r>
            <w:r>
              <w:rPr>
                <w:rFonts w:hint="eastAsia" w:ascii="宋体" w:hAnsi="宋体" w:eastAsia="宋体" w:cs="宋体"/>
                <w:bCs/>
                <w:sz w:val="24"/>
                <w:szCs w:val="24"/>
                <w:highlight w:val="none"/>
                <w:lang w:val="en-US" w:eastAsia="zh-CN"/>
              </w:rPr>
              <w:t>⑤</w:t>
            </w:r>
            <w:r>
              <w:rPr>
                <w:rFonts w:hint="eastAsia" w:ascii="宋体" w:hAnsi="宋体" w:eastAsia="宋体" w:cs="宋体"/>
                <w:bCs/>
                <w:sz w:val="24"/>
                <w:szCs w:val="24"/>
                <w:highlight w:val="none"/>
                <w:lang w:eastAsia="zh-CN"/>
              </w:rPr>
              <w:t>数据管理</w:t>
            </w:r>
            <w:r>
              <w:rPr>
                <w:rFonts w:hint="eastAsia" w:ascii="宋体" w:hAnsi="宋体" w:eastAsia="宋体" w:cs="宋体"/>
                <w:color w:val="000000"/>
                <w:kern w:val="2"/>
                <w:sz w:val="24"/>
                <w:szCs w:val="24"/>
                <w:highlight w:val="none"/>
                <w:lang w:val="zh-CN" w:eastAsia="zh-CN"/>
              </w:rPr>
              <w:t>）进行评定，</w:t>
            </w:r>
            <w:r>
              <w:rPr>
                <w:rFonts w:hint="eastAsia" w:ascii="宋体" w:hAnsi="宋体" w:eastAsia="宋体" w:cs="宋体"/>
                <w:color w:val="000000"/>
                <w:kern w:val="2"/>
                <w:sz w:val="24"/>
                <w:szCs w:val="24"/>
                <w:highlight w:val="none"/>
                <w:lang w:val="en-US" w:eastAsia="zh-CN"/>
              </w:rPr>
              <w:t>本项最高得10分</w:t>
            </w:r>
            <w:r>
              <w:rPr>
                <w:rFonts w:hint="eastAsia" w:ascii="宋体" w:hAnsi="宋体" w:eastAsia="宋体" w:cs="宋体"/>
                <w:color w:val="000000"/>
                <w:kern w:val="2"/>
                <w:sz w:val="24"/>
                <w:szCs w:val="24"/>
                <w:highlight w:val="none"/>
                <w:lang w:val="zh-CN" w:eastAsia="zh-CN"/>
              </w:rPr>
              <w:t>。体现上述评审要点且内容贴合需求的，每有一项得</w:t>
            </w:r>
            <w:r>
              <w:rPr>
                <w:rFonts w:hint="eastAsia" w:ascii="宋体" w:hAnsi="宋体" w:eastAsia="宋体" w:cs="宋体"/>
                <w:color w:val="000000"/>
                <w:kern w:val="2"/>
                <w:sz w:val="24"/>
                <w:szCs w:val="24"/>
                <w:highlight w:val="none"/>
                <w:lang w:val="en-US" w:eastAsia="zh-CN"/>
              </w:rPr>
              <w:t>2</w:t>
            </w:r>
            <w:r>
              <w:rPr>
                <w:rFonts w:hint="eastAsia" w:ascii="宋体" w:hAnsi="宋体" w:eastAsia="宋体" w:cs="宋体"/>
                <w:color w:val="000000"/>
                <w:kern w:val="2"/>
                <w:sz w:val="24"/>
                <w:szCs w:val="24"/>
                <w:highlight w:val="none"/>
                <w:lang w:val="zh-CN" w:eastAsia="zh-CN"/>
              </w:rPr>
              <w:t>分；体现上述评审要点但内容无法完全贴合需求的，每有一项得</w:t>
            </w:r>
            <w:r>
              <w:rPr>
                <w:rFonts w:hint="eastAsia" w:ascii="宋体" w:hAnsi="宋体" w:eastAsia="宋体" w:cs="宋体"/>
                <w:color w:val="000000"/>
                <w:kern w:val="2"/>
                <w:sz w:val="24"/>
                <w:szCs w:val="24"/>
                <w:highlight w:val="none"/>
                <w:lang w:val="en-US" w:eastAsia="zh-CN"/>
              </w:rPr>
              <w:t>1</w:t>
            </w:r>
            <w:r>
              <w:rPr>
                <w:rFonts w:hint="eastAsia" w:ascii="宋体" w:hAnsi="宋体" w:eastAsia="宋体" w:cs="宋体"/>
                <w:color w:val="000000"/>
                <w:kern w:val="2"/>
                <w:sz w:val="24"/>
                <w:szCs w:val="24"/>
                <w:highlight w:val="none"/>
                <w:lang w:val="zh-CN" w:eastAsia="zh-CN"/>
              </w:rPr>
              <w:t>分；未能体现评审要点（或无实质性内容的）得0分。</w:t>
            </w:r>
          </w:p>
        </w:tc>
      </w:tr>
      <w:tr w14:paraId="543CD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392" w:type="pct"/>
            <w:shd w:val="clear" w:color="auto" w:fill="auto"/>
            <w:noWrap w:val="0"/>
            <w:vAlign w:val="center"/>
          </w:tcPr>
          <w:p w14:paraId="411FB374">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lang w:val="en-US" w:eastAsia="zh-CN" w:bidi="ar-SA"/>
              </w:rPr>
            </w:pPr>
            <w:r>
              <w:rPr>
                <w:rFonts w:hint="eastAsia" w:ascii="宋体" w:hAnsi="宋体" w:cs="宋体"/>
                <w:sz w:val="24"/>
                <w:szCs w:val="24"/>
                <w:lang w:val="en-US" w:eastAsia="zh-CN"/>
              </w:rPr>
              <w:t>5</w:t>
            </w:r>
          </w:p>
        </w:tc>
        <w:tc>
          <w:tcPr>
            <w:tcW w:w="720" w:type="pct"/>
            <w:shd w:val="clear" w:color="auto" w:fill="auto"/>
            <w:noWrap w:val="0"/>
            <w:vAlign w:val="center"/>
          </w:tcPr>
          <w:p w14:paraId="39A2869D">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数据维护服务承诺</w:t>
            </w:r>
          </w:p>
        </w:tc>
        <w:tc>
          <w:tcPr>
            <w:tcW w:w="531" w:type="pct"/>
            <w:shd w:val="clear" w:color="auto" w:fill="auto"/>
            <w:noWrap w:val="0"/>
            <w:vAlign w:val="center"/>
          </w:tcPr>
          <w:p w14:paraId="5ABACEA6">
            <w:pPr>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3</w:t>
            </w:r>
            <w:r>
              <w:rPr>
                <w:rFonts w:hint="eastAsia" w:ascii="宋体" w:hAnsi="宋体" w:eastAsia="宋体" w:cs="宋体"/>
                <w:color w:val="000000" w:themeColor="text1"/>
                <w:sz w:val="24"/>
                <w:szCs w:val="22"/>
                <w:highlight w:val="none"/>
                <w:lang w:val="en-US" w:eastAsia="zh-CN"/>
                <w14:textFill>
                  <w14:solidFill>
                    <w14:schemeClr w14:val="tx1"/>
                  </w14:solidFill>
                </w14:textFill>
              </w:rPr>
              <w:t>分</w:t>
            </w:r>
          </w:p>
        </w:tc>
        <w:tc>
          <w:tcPr>
            <w:tcW w:w="3355" w:type="pct"/>
            <w:shd w:val="clear" w:color="auto" w:fill="auto"/>
            <w:noWrap w:val="0"/>
            <w:vAlign w:val="center"/>
          </w:tcPr>
          <w:p w14:paraId="51EA2711">
            <w:pPr>
              <w:rPr>
                <w:rFonts w:hint="eastAsia" w:ascii="宋体" w:hAnsi="宋体" w:eastAsia="宋体" w:cs="宋体"/>
                <w:b w:val="0"/>
                <w:bCs w:val="0"/>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rPr>
              <w:t>①供应商承诺满足项目验收交付使用后提供3年数据维护服务质量保证及数据维护服务的基础上，每增加半年加1分，最多加</w:t>
            </w:r>
            <w:r>
              <w:rPr>
                <w:rFonts w:hint="eastAsia" w:ascii="宋体" w:hAnsi="宋体" w:cs="宋体"/>
                <w:b w:val="0"/>
                <w:bCs w:val="0"/>
                <w:color w:val="000000"/>
                <w:kern w:val="2"/>
                <w:sz w:val="24"/>
                <w:szCs w:val="24"/>
                <w:highlight w:val="none"/>
                <w:lang w:val="en-US" w:eastAsia="zh-CN"/>
              </w:rPr>
              <w:t>2</w:t>
            </w:r>
            <w:r>
              <w:rPr>
                <w:rFonts w:hint="eastAsia" w:ascii="宋体" w:hAnsi="宋体" w:eastAsia="宋体" w:cs="宋体"/>
                <w:b w:val="0"/>
                <w:bCs w:val="0"/>
                <w:color w:val="000000"/>
                <w:kern w:val="2"/>
                <w:sz w:val="24"/>
                <w:szCs w:val="24"/>
                <w:highlight w:val="none"/>
                <w:lang w:val="en-US" w:eastAsia="zh-CN"/>
              </w:rPr>
              <w:t>分。本小项最高得</w:t>
            </w:r>
            <w:r>
              <w:rPr>
                <w:rFonts w:hint="eastAsia" w:ascii="宋体" w:hAnsi="宋体" w:cs="宋体"/>
                <w:b w:val="0"/>
                <w:bCs w:val="0"/>
                <w:color w:val="000000"/>
                <w:kern w:val="2"/>
                <w:sz w:val="24"/>
                <w:szCs w:val="24"/>
                <w:highlight w:val="none"/>
                <w:lang w:val="en-US" w:eastAsia="zh-CN"/>
              </w:rPr>
              <w:t>2</w:t>
            </w:r>
            <w:r>
              <w:rPr>
                <w:rFonts w:hint="eastAsia" w:ascii="宋体" w:hAnsi="宋体" w:eastAsia="宋体" w:cs="宋体"/>
                <w:b w:val="0"/>
                <w:bCs w:val="0"/>
                <w:color w:val="000000"/>
                <w:kern w:val="2"/>
                <w:sz w:val="24"/>
                <w:szCs w:val="24"/>
                <w:highlight w:val="none"/>
                <w:lang w:val="en-US" w:eastAsia="zh-CN"/>
              </w:rPr>
              <w:t>分。</w:t>
            </w:r>
          </w:p>
          <w:p w14:paraId="0879CBEA">
            <w:pPr>
              <w:rPr>
                <w:rFonts w:hint="default" w:ascii="宋体" w:hAnsi="宋体" w:eastAsia="宋体" w:cs="宋体"/>
                <w:b w:val="0"/>
                <w:bCs w:val="0"/>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rPr>
              <w:t>②供应商承诺的数据维护服务响应时间及承诺的数据维护服务问题解决时间在满足磋商文件要求的基础上每减少半小时</w:t>
            </w:r>
            <w:r>
              <w:rPr>
                <w:rFonts w:hint="eastAsia" w:ascii="宋体" w:hAnsi="宋体" w:cs="宋体"/>
                <w:b w:val="0"/>
                <w:bCs w:val="0"/>
                <w:color w:val="000000"/>
                <w:kern w:val="2"/>
                <w:sz w:val="24"/>
                <w:szCs w:val="24"/>
                <w:highlight w:val="none"/>
                <w:lang w:val="en-US" w:eastAsia="zh-CN"/>
              </w:rPr>
              <w:t>加</w:t>
            </w:r>
            <w:r>
              <w:rPr>
                <w:rFonts w:hint="eastAsia" w:ascii="宋体" w:hAnsi="宋体" w:eastAsia="宋体" w:cs="宋体"/>
                <w:b w:val="0"/>
                <w:bCs w:val="0"/>
                <w:color w:val="000000"/>
                <w:kern w:val="2"/>
                <w:sz w:val="24"/>
                <w:szCs w:val="24"/>
                <w:highlight w:val="none"/>
                <w:lang w:val="en-US" w:eastAsia="zh-CN"/>
              </w:rPr>
              <w:t>0.5分，最多</w:t>
            </w:r>
            <w:r>
              <w:rPr>
                <w:rFonts w:hint="eastAsia" w:ascii="宋体" w:hAnsi="宋体" w:cs="宋体"/>
                <w:b w:val="0"/>
                <w:bCs w:val="0"/>
                <w:color w:val="000000"/>
                <w:kern w:val="2"/>
                <w:sz w:val="24"/>
                <w:szCs w:val="24"/>
                <w:highlight w:val="none"/>
                <w:lang w:val="en-US" w:eastAsia="zh-CN"/>
              </w:rPr>
              <w:t>加</w:t>
            </w:r>
            <w:r>
              <w:rPr>
                <w:rFonts w:hint="eastAsia" w:ascii="宋体" w:hAnsi="宋体" w:eastAsia="宋体" w:cs="宋体"/>
                <w:b w:val="0"/>
                <w:bCs w:val="0"/>
                <w:color w:val="000000"/>
                <w:kern w:val="2"/>
                <w:sz w:val="24"/>
                <w:szCs w:val="24"/>
                <w:highlight w:val="none"/>
                <w:lang w:val="en-US" w:eastAsia="zh-CN"/>
              </w:rPr>
              <w:t>1分。本小项最高得</w:t>
            </w:r>
            <w:r>
              <w:rPr>
                <w:rFonts w:hint="eastAsia" w:ascii="宋体" w:hAnsi="宋体" w:cs="宋体"/>
                <w:b w:val="0"/>
                <w:bCs w:val="0"/>
                <w:color w:val="000000"/>
                <w:kern w:val="2"/>
                <w:sz w:val="24"/>
                <w:szCs w:val="24"/>
                <w:highlight w:val="none"/>
                <w:lang w:val="en-US" w:eastAsia="zh-CN"/>
              </w:rPr>
              <w:t>1</w:t>
            </w:r>
            <w:r>
              <w:rPr>
                <w:rFonts w:hint="eastAsia" w:ascii="宋体" w:hAnsi="宋体" w:eastAsia="宋体" w:cs="宋体"/>
                <w:b w:val="0"/>
                <w:bCs w:val="0"/>
                <w:color w:val="000000"/>
                <w:kern w:val="2"/>
                <w:sz w:val="24"/>
                <w:szCs w:val="24"/>
                <w:highlight w:val="none"/>
                <w:lang w:val="en-US" w:eastAsia="zh-CN"/>
              </w:rPr>
              <w:t>分</w:t>
            </w:r>
            <w:r>
              <w:rPr>
                <w:rFonts w:hint="eastAsia" w:ascii="宋体" w:hAnsi="宋体" w:cs="宋体"/>
                <w:b w:val="0"/>
                <w:bCs w:val="0"/>
                <w:color w:val="000000"/>
                <w:kern w:val="2"/>
                <w:sz w:val="24"/>
                <w:szCs w:val="24"/>
                <w:highlight w:val="none"/>
                <w:lang w:val="en-US" w:eastAsia="zh-CN"/>
              </w:rPr>
              <w:t>。</w:t>
            </w:r>
          </w:p>
          <w:p w14:paraId="474B8646">
            <w:pPr>
              <w:rPr>
                <w:rFonts w:hint="eastAsia" w:ascii="宋体" w:hAnsi="宋体" w:eastAsia="宋体" w:cs="宋体"/>
                <w:color w:val="000000"/>
                <w:kern w:val="2"/>
                <w:sz w:val="24"/>
                <w:szCs w:val="24"/>
                <w:highlight w:val="none"/>
                <w:lang w:val="en-US" w:eastAsia="zh-CN"/>
              </w:rPr>
            </w:pPr>
            <w:r>
              <w:rPr>
                <w:rFonts w:hint="eastAsia" w:ascii="宋体" w:hAnsi="宋体" w:eastAsia="宋体" w:cs="宋体"/>
                <w:b/>
                <w:bCs/>
                <w:color w:val="000000"/>
                <w:kern w:val="2"/>
                <w:sz w:val="24"/>
                <w:szCs w:val="24"/>
                <w:highlight w:val="none"/>
                <w:lang w:val="en-US" w:eastAsia="zh-CN"/>
              </w:rPr>
              <w:t>注：须提供承诺函，承诺函格式自拟。未提供的不得分。</w:t>
            </w:r>
          </w:p>
        </w:tc>
      </w:tr>
    </w:tbl>
    <w:p w14:paraId="6C7EB8A1">
      <w:pPr>
        <w:pageBreakBefore w:val="0"/>
        <w:kinsoku/>
        <w:wordWrap/>
        <w:overflowPunct/>
        <w:topLinePunct w:val="0"/>
        <w:autoSpaceDE/>
        <w:autoSpaceDN/>
        <w:bidi w:val="0"/>
        <w:adjustRightInd/>
        <w:snapToGrid/>
        <w:spacing w:line="440" w:lineRule="exact"/>
        <w:ind w:firstLine="482"/>
        <w:rPr>
          <w:rFonts w:hint="eastAsia" w:ascii="宋体" w:hAnsi="宋体" w:eastAsia="宋体" w:cs="宋体"/>
          <w:b/>
          <w:bCs/>
          <w:sz w:val="24"/>
          <w:szCs w:val="24"/>
        </w:rPr>
      </w:pPr>
      <w:r>
        <w:rPr>
          <w:rFonts w:hint="eastAsia" w:ascii="宋体" w:hAnsi="宋体" w:eastAsia="宋体" w:cs="宋体"/>
          <w:b/>
          <w:bCs/>
          <w:sz w:val="24"/>
          <w:szCs w:val="24"/>
        </w:rPr>
        <w:t>3、人员配备</w:t>
      </w:r>
      <w:r>
        <w:rPr>
          <w:rFonts w:hint="eastAsia" w:ascii="宋体" w:hAnsi="宋体" w:cs="宋体"/>
          <w:b/>
          <w:bCs/>
          <w:sz w:val="24"/>
          <w:szCs w:val="24"/>
          <w:lang w:val="en-US" w:eastAsia="zh-CN"/>
        </w:rPr>
        <w:t>10</w:t>
      </w:r>
      <w:r>
        <w:rPr>
          <w:rFonts w:hint="eastAsia" w:ascii="宋体" w:hAnsi="宋体" w:eastAsia="宋体" w:cs="宋体"/>
          <w:b/>
          <w:bCs/>
          <w:sz w:val="24"/>
          <w:szCs w:val="24"/>
        </w:rPr>
        <w:t>分</w:t>
      </w:r>
    </w:p>
    <w:tbl>
      <w:tblPr>
        <w:tblStyle w:val="54"/>
        <w:tblW w:w="4983" w:type="pct"/>
        <w:jc w:val="center"/>
        <w:tblLayout w:type="autofit"/>
        <w:tblCellMar>
          <w:top w:w="0" w:type="dxa"/>
          <w:left w:w="108" w:type="dxa"/>
          <w:bottom w:w="0" w:type="dxa"/>
          <w:right w:w="108" w:type="dxa"/>
        </w:tblCellMar>
      </w:tblPr>
      <w:tblGrid>
        <w:gridCol w:w="783"/>
        <w:gridCol w:w="1434"/>
        <w:gridCol w:w="1061"/>
        <w:gridCol w:w="6651"/>
      </w:tblGrid>
      <w:tr w14:paraId="6F5E4CE9">
        <w:tblPrEx>
          <w:tblCellMar>
            <w:top w:w="0" w:type="dxa"/>
            <w:left w:w="108" w:type="dxa"/>
            <w:bottom w:w="0" w:type="dxa"/>
            <w:right w:w="108" w:type="dxa"/>
          </w:tblCellMar>
        </w:tblPrEx>
        <w:trPr>
          <w:trHeight w:val="285" w:hRule="atLeast"/>
          <w:jc w:val="center"/>
        </w:trPr>
        <w:tc>
          <w:tcPr>
            <w:tcW w:w="394" w:type="pct"/>
            <w:tcBorders>
              <w:top w:val="single" w:color="000000" w:sz="8" w:space="0"/>
              <w:left w:val="single" w:color="000000" w:sz="8" w:space="0"/>
              <w:bottom w:val="nil"/>
              <w:right w:val="single" w:color="000000" w:sz="8" w:space="0"/>
            </w:tcBorders>
            <w:noWrap w:val="0"/>
            <w:vAlign w:val="center"/>
          </w:tcPr>
          <w:p w14:paraId="17CD07A5">
            <w:pPr>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序号</w:t>
            </w:r>
          </w:p>
        </w:tc>
        <w:tc>
          <w:tcPr>
            <w:tcW w:w="722" w:type="pct"/>
            <w:tcBorders>
              <w:top w:val="single" w:color="000000" w:sz="8" w:space="0"/>
              <w:left w:val="nil"/>
              <w:bottom w:val="nil"/>
              <w:right w:val="single" w:color="000000" w:sz="8" w:space="0"/>
            </w:tcBorders>
            <w:noWrap w:val="0"/>
            <w:vAlign w:val="center"/>
          </w:tcPr>
          <w:p w14:paraId="4EB35713">
            <w:pPr>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评审因素</w:t>
            </w:r>
          </w:p>
        </w:tc>
        <w:tc>
          <w:tcPr>
            <w:tcW w:w="534" w:type="pct"/>
            <w:tcBorders>
              <w:top w:val="single" w:color="000000" w:sz="8" w:space="0"/>
              <w:left w:val="nil"/>
              <w:bottom w:val="nil"/>
              <w:right w:val="single" w:color="000000" w:sz="8" w:space="0"/>
            </w:tcBorders>
            <w:noWrap w:val="0"/>
            <w:vAlign w:val="center"/>
          </w:tcPr>
          <w:p w14:paraId="6407A82A">
            <w:pPr>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分值</w:t>
            </w:r>
          </w:p>
        </w:tc>
        <w:tc>
          <w:tcPr>
            <w:tcW w:w="3348" w:type="pct"/>
            <w:tcBorders>
              <w:top w:val="single" w:color="000000" w:sz="8" w:space="0"/>
              <w:left w:val="nil"/>
              <w:bottom w:val="nil"/>
              <w:right w:val="single" w:color="000000" w:sz="8" w:space="0"/>
            </w:tcBorders>
            <w:noWrap w:val="0"/>
            <w:vAlign w:val="center"/>
          </w:tcPr>
          <w:p w14:paraId="4F3694F8">
            <w:pPr>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评分标准</w:t>
            </w:r>
          </w:p>
        </w:tc>
      </w:tr>
      <w:tr w14:paraId="1F7237F3">
        <w:tblPrEx>
          <w:tblCellMar>
            <w:top w:w="0" w:type="dxa"/>
            <w:left w:w="108" w:type="dxa"/>
            <w:bottom w:w="0" w:type="dxa"/>
            <w:right w:w="108" w:type="dxa"/>
          </w:tblCellMar>
        </w:tblPrEx>
        <w:trPr>
          <w:trHeight w:val="530"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10FBAFC4">
            <w:pPr>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22" w:type="pct"/>
            <w:tcBorders>
              <w:top w:val="single" w:color="000000" w:sz="4" w:space="0"/>
              <w:left w:val="single" w:color="000000" w:sz="4" w:space="0"/>
              <w:bottom w:val="single" w:color="000000" w:sz="4" w:space="0"/>
              <w:right w:val="single" w:color="000000" w:sz="4" w:space="0"/>
            </w:tcBorders>
            <w:noWrap w:val="0"/>
            <w:vAlign w:val="center"/>
          </w:tcPr>
          <w:p w14:paraId="13047EDF">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人员配备</w:t>
            </w:r>
          </w:p>
        </w:tc>
        <w:tc>
          <w:tcPr>
            <w:tcW w:w="534" w:type="pct"/>
            <w:tcBorders>
              <w:top w:val="single" w:color="000000" w:sz="4" w:space="0"/>
              <w:left w:val="single" w:color="000000" w:sz="4" w:space="0"/>
              <w:bottom w:val="single" w:color="000000" w:sz="4" w:space="0"/>
              <w:right w:val="single" w:color="000000" w:sz="4" w:space="0"/>
            </w:tcBorders>
            <w:noWrap w:val="0"/>
            <w:vAlign w:val="center"/>
          </w:tcPr>
          <w:p w14:paraId="260FEEE9">
            <w:pPr>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000000"/>
                <w:sz w:val="24"/>
                <w:szCs w:val="24"/>
                <w:highlight w:val="none"/>
              </w:rPr>
            </w:pPr>
            <w:r>
              <w:rPr>
                <w:rFonts w:hint="eastAsia" w:ascii="宋体" w:hAnsi="宋体" w:cs="宋体"/>
                <w:color w:val="000000" w:themeColor="text1"/>
                <w:sz w:val="24"/>
                <w:szCs w:val="22"/>
                <w:highlight w:val="none"/>
                <w:lang w:val="en-US" w:eastAsia="zh-CN"/>
                <w14:textFill>
                  <w14:solidFill>
                    <w14:schemeClr w14:val="tx1"/>
                  </w14:solidFill>
                </w14:textFill>
              </w:rPr>
              <w:t>4</w:t>
            </w:r>
            <w:r>
              <w:rPr>
                <w:rFonts w:hint="eastAsia" w:ascii="宋体" w:hAnsi="宋体" w:eastAsia="宋体" w:cs="宋体"/>
                <w:color w:val="000000" w:themeColor="text1"/>
                <w:sz w:val="24"/>
                <w:szCs w:val="22"/>
                <w:highlight w:val="none"/>
                <w14:textFill>
                  <w14:solidFill>
                    <w14:schemeClr w14:val="tx1"/>
                  </w14:solidFill>
                </w14:textFill>
              </w:rPr>
              <w:t>分</w:t>
            </w:r>
          </w:p>
        </w:tc>
        <w:tc>
          <w:tcPr>
            <w:tcW w:w="3348" w:type="pct"/>
            <w:tcBorders>
              <w:top w:val="single" w:color="000000" w:sz="4" w:space="0"/>
              <w:left w:val="single" w:color="000000" w:sz="4" w:space="0"/>
              <w:bottom w:val="single" w:color="000000" w:sz="4" w:space="0"/>
              <w:right w:val="single" w:color="000000" w:sz="4" w:space="0"/>
            </w:tcBorders>
            <w:noWrap w:val="0"/>
            <w:vAlign w:val="center"/>
          </w:tcPr>
          <w:p w14:paraId="6399C7DA">
            <w:pPr>
              <w:rPr>
                <w:rFonts w:hint="eastAsia" w:ascii="宋体" w:hAnsi="宋体" w:eastAsia="宋体" w:cs="宋体"/>
                <w:strike/>
                <w:dstrike w:val="0"/>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①项目负责人（一人）具有具有本科或以上学历的得1分，具有档案学专业的得1</w:t>
            </w:r>
            <w:r>
              <w:rPr>
                <w:rFonts w:hint="eastAsia" w:ascii="宋体" w:hAnsi="宋体" w:eastAsia="宋体" w:cs="宋体"/>
                <w:strike w:val="0"/>
                <w:dstrike w:val="0"/>
                <w:color w:val="000000"/>
                <w:kern w:val="2"/>
                <w:sz w:val="24"/>
                <w:szCs w:val="24"/>
                <w:highlight w:val="none"/>
                <w:lang w:val="en-US" w:eastAsia="zh-CN"/>
              </w:rPr>
              <w:t>分</w:t>
            </w:r>
            <w:r>
              <w:rPr>
                <w:rFonts w:hint="eastAsia" w:ascii="宋体" w:hAnsi="宋体" w:eastAsia="宋体" w:cs="宋体"/>
                <w:bCs/>
                <w:strike w:val="0"/>
                <w:dstrike w:val="0"/>
                <w:sz w:val="24"/>
                <w:szCs w:val="24"/>
                <w:highlight w:val="none"/>
                <w:lang w:eastAsia="zh-CN"/>
              </w:rPr>
              <w:t>，</w:t>
            </w:r>
            <w:r>
              <w:rPr>
                <w:rFonts w:hint="eastAsia" w:ascii="宋体" w:hAnsi="宋体" w:eastAsia="宋体" w:cs="宋体"/>
                <w:bCs/>
                <w:strike w:val="0"/>
                <w:dstrike w:val="0"/>
                <w:sz w:val="24"/>
                <w:szCs w:val="24"/>
                <w:highlight w:val="none"/>
                <w:lang w:val="en-US" w:eastAsia="zh-CN"/>
              </w:rPr>
              <w:t>最多得2分</w:t>
            </w:r>
            <w:r>
              <w:rPr>
                <w:rFonts w:hint="eastAsia" w:ascii="宋体" w:hAnsi="宋体" w:eastAsia="宋体" w:cs="宋体"/>
                <w:bCs/>
                <w:strike w:val="0"/>
                <w:dstrike w:val="0"/>
                <w:sz w:val="24"/>
                <w:szCs w:val="24"/>
                <w:highlight w:val="none"/>
              </w:rPr>
              <w:t>。</w:t>
            </w:r>
          </w:p>
          <w:p w14:paraId="7823BCD1">
            <w:pPr>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②</w:t>
            </w:r>
            <w:r>
              <w:rPr>
                <w:rFonts w:hint="eastAsia" w:ascii="宋体" w:hAnsi="宋体" w:eastAsia="宋体" w:cs="宋体"/>
                <w:bCs/>
                <w:sz w:val="24"/>
                <w:szCs w:val="24"/>
                <w:highlight w:val="none"/>
                <w:lang w:val="en-US" w:eastAsia="zh-CN"/>
              </w:rPr>
              <w:t>技术人员</w:t>
            </w:r>
            <w:r>
              <w:rPr>
                <w:rFonts w:hint="eastAsia" w:ascii="宋体" w:hAnsi="宋体" w:eastAsia="宋体" w:cs="宋体"/>
                <w:color w:val="000000"/>
                <w:kern w:val="2"/>
                <w:sz w:val="24"/>
                <w:szCs w:val="24"/>
                <w:highlight w:val="none"/>
                <w:lang w:val="en-US" w:eastAsia="zh-CN"/>
              </w:rPr>
              <w:t>（一人）具有</w:t>
            </w:r>
            <w:r>
              <w:rPr>
                <w:rFonts w:hint="eastAsia" w:ascii="宋体" w:hAnsi="宋体" w:eastAsia="宋体" w:cs="宋体"/>
                <w:bCs/>
                <w:sz w:val="24"/>
                <w:szCs w:val="24"/>
                <w:highlight w:val="none"/>
                <w:lang w:val="en-US" w:eastAsia="zh-CN"/>
              </w:rPr>
              <w:t>国家计算机等级考试二级证书</w:t>
            </w:r>
            <w:r>
              <w:rPr>
                <w:rFonts w:hint="eastAsia" w:ascii="宋体" w:hAnsi="宋体" w:cs="宋体"/>
                <w:bCs/>
                <w:sz w:val="24"/>
                <w:szCs w:val="24"/>
                <w:highlight w:val="none"/>
                <w:lang w:val="en-US" w:eastAsia="zh-CN"/>
              </w:rPr>
              <w:t>，</w:t>
            </w:r>
            <w:r>
              <w:rPr>
                <w:rFonts w:hint="eastAsia" w:ascii="宋体" w:hAnsi="宋体" w:eastAsia="宋体" w:cs="宋体"/>
                <w:bCs/>
                <w:sz w:val="24"/>
                <w:szCs w:val="24"/>
                <w:highlight w:val="none"/>
                <w:lang w:val="en-US" w:eastAsia="zh-CN"/>
              </w:rPr>
              <w:t>硕士及以上学历的</w:t>
            </w:r>
            <w:r>
              <w:rPr>
                <w:rFonts w:hint="eastAsia" w:ascii="宋体" w:hAnsi="宋体" w:eastAsia="宋体" w:cs="宋体"/>
                <w:bCs/>
                <w:sz w:val="24"/>
                <w:szCs w:val="24"/>
                <w:highlight w:val="none"/>
                <w:lang w:eastAsia="zh-CN"/>
              </w:rPr>
              <w:t>，</w:t>
            </w:r>
            <w:r>
              <w:rPr>
                <w:rFonts w:hint="eastAsia" w:ascii="宋体" w:hAnsi="宋体" w:eastAsia="宋体" w:cs="宋体"/>
                <w:color w:val="000000"/>
                <w:kern w:val="2"/>
                <w:sz w:val="24"/>
                <w:szCs w:val="24"/>
                <w:highlight w:val="none"/>
                <w:lang w:val="en-US" w:eastAsia="zh-CN"/>
              </w:rPr>
              <w:t>每有1个得1分</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最多得</w:t>
            </w: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lang w:val="en-US" w:eastAsia="zh-CN"/>
              </w:rPr>
              <w:t>分</w:t>
            </w:r>
            <w:r>
              <w:rPr>
                <w:rFonts w:hint="eastAsia" w:ascii="宋体" w:hAnsi="宋体" w:eastAsia="宋体" w:cs="宋体"/>
                <w:bCs/>
                <w:sz w:val="24"/>
                <w:szCs w:val="24"/>
                <w:highlight w:val="none"/>
              </w:rPr>
              <w:t>。</w:t>
            </w:r>
          </w:p>
          <w:p w14:paraId="04B5F5E1">
            <w:pPr>
              <w:rPr>
                <w:rFonts w:hint="eastAsia" w:ascii="宋体" w:hAnsi="宋体" w:eastAsia="宋体" w:cs="宋体"/>
                <w:color w:val="000000"/>
                <w:kern w:val="2"/>
                <w:sz w:val="24"/>
                <w:szCs w:val="24"/>
                <w:highlight w:val="none"/>
                <w:lang w:val="en-US" w:eastAsia="zh-CN"/>
              </w:rPr>
            </w:pPr>
            <w:r>
              <w:rPr>
                <w:rFonts w:hint="eastAsia" w:ascii="宋体" w:hAnsi="宋体" w:eastAsia="宋体" w:cs="宋体"/>
                <w:b/>
                <w:bCs/>
                <w:color w:val="000000"/>
                <w:kern w:val="2"/>
                <w:sz w:val="24"/>
                <w:szCs w:val="24"/>
                <w:highlight w:val="none"/>
                <w:lang w:val="en-US" w:eastAsia="zh-CN"/>
              </w:rPr>
              <w:t>注：响应文件中需提供上述人员有效的相关证书证明材料及供应商为其缴纳的近三个月内任意一个月的社保证明扫描件，未提供的不得分。</w:t>
            </w:r>
          </w:p>
        </w:tc>
      </w:tr>
      <w:tr w14:paraId="36DB8527">
        <w:tblPrEx>
          <w:tblCellMar>
            <w:top w:w="0" w:type="dxa"/>
            <w:left w:w="108" w:type="dxa"/>
            <w:bottom w:w="0" w:type="dxa"/>
            <w:right w:w="108" w:type="dxa"/>
          </w:tblCellMar>
        </w:tblPrEx>
        <w:trPr>
          <w:trHeight w:val="530"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2FDB651D">
            <w:pPr>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w:t>
            </w:r>
          </w:p>
        </w:tc>
        <w:tc>
          <w:tcPr>
            <w:tcW w:w="722" w:type="pct"/>
            <w:tcBorders>
              <w:top w:val="single" w:color="000000" w:sz="4" w:space="0"/>
              <w:left w:val="single" w:color="000000" w:sz="4" w:space="0"/>
              <w:bottom w:val="single" w:color="000000" w:sz="4" w:space="0"/>
              <w:right w:val="single" w:color="000000" w:sz="4" w:space="0"/>
            </w:tcBorders>
            <w:noWrap w:val="0"/>
            <w:vAlign w:val="center"/>
          </w:tcPr>
          <w:p w14:paraId="2610E5B2">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项目成员配备</w:t>
            </w:r>
          </w:p>
        </w:tc>
        <w:tc>
          <w:tcPr>
            <w:tcW w:w="534" w:type="pct"/>
            <w:tcBorders>
              <w:top w:val="single" w:color="000000" w:sz="4" w:space="0"/>
              <w:left w:val="single" w:color="000000" w:sz="4" w:space="0"/>
              <w:bottom w:val="single" w:color="000000" w:sz="4" w:space="0"/>
              <w:right w:val="single" w:color="000000" w:sz="4" w:space="0"/>
            </w:tcBorders>
            <w:noWrap w:val="0"/>
            <w:vAlign w:val="center"/>
          </w:tcPr>
          <w:p w14:paraId="18FDD175">
            <w:pPr>
              <w:pStyle w:val="19"/>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348" w:type="pct"/>
            <w:tcBorders>
              <w:top w:val="single" w:color="000000" w:sz="4" w:space="0"/>
              <w:left w:val="single" w:color="000000" w:sz="4" w:space="0"/>
              <w:bottom w:val="single" w:color="000000" w:sz="4" w:space="0"/>
              <w:right w:val="single" w:color="000000" w:sz="4" w:space="0"/>
            </w:tcBorders>
            <w:noWrap w:val="0"/>
            <w:vAlign w:val="center"/>
          </w:tcPr>
          <w:p w14:paraId="4C6A820B">
            <w:pPr>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项目成员（除项目负责人外）具有电子卷宗或无纸化类服务驻场相关工作经验的，每有1人得0.</w:t>
            </w:r>
            <w:r>
              <w:rPr>
                <w:rFonts w:hint="eastAsia" w:ascii="宋体" w:hAnsi="宋体" w:cs="宋体"/>
                <w:color w:val="000000"/>
                <w:kern w:val="2"/>
                <w:sz w:val="24"/>
                <w:szCs w:val="24"/>
                <w:highlight w:val="none"/>
                <w:lang w:val="en-US" w:eastAsia="zh-CN"/>
              </w:rPr>
              <w:t>2</w:t>
            </w:r>
            <w:r>
              <w:rPr>
                <w:rFonts w:hint="eastAsia" w:ascii="宋体" w:hAnsi="宋体" w:eastAsia="宋体" w:cs="宋体"/>
                <w:color w:val="000000"/>
                <w:kern w:val="2"/>
                <w:sz w:val="24"/>
                <w:szCs w:val="24"/>
                <w:highlight w:val="none"/>
                <w:lang w:val="en-US" w:eastAsia="zh-CN"/>
              </w:rPr>
              <w:t>分。本小项最高得</w:t>
            </w:r>
            <w:r>
              <w:rPr>
                <w:rFonts w:hint="eastAsia" w:ascii="宋体" w:hAnsi="宋体" w:cs="宋体"/>
                <w:color w:val="000000"/>
                <w:kern w:val="2"/>
                <w:sz w:val="24"/>
                <w:szCs w:val="24"/>
                <w:highlight w:val="none"/>
                <w:lang w:val="en-US" w:eastAsia="zh-CN"/>
              </w:rPr>
              <w:t>6</w:t>
            </w:r>
            <w:r>
              <w:rPr>
                <w:rFonts w:hint="eastAsia" w:ascii="宋体" w:hAnsi="宋体" w:eastAsia="宋体" w:cs="宋体"/>
                <w:color w:val="000000"/>
                <w:kern w:val="2"/>
                <w:sz w:val="24"/>
                <w:szCs w:val="24"/>
                <w:highlight w:val="none"/>
                <w:lang w:val="en-US" w:eastAsia="zh-CN"/>
              </w:rPr>
              <w:t>分。每人最多计0.</w:t>
            </w:r>
            <w:r>
              <w:rPr>
                <w:rFonts w:hint="eastAsia" w:ascii="宋体" w:hAnsi="宋体" w:cs="宋体"/>
                <w:color w:val="000000"/>
                <w:kern w:val="2"/>
                <w:sz w:val="24"/>
                <w:szCs w:val="24"/>
                <w:highlight w:val="none"/>
                <w:lang w:val="en-US" w:eastAsia="zh-CN"/>
              </w:rPr>
              <w:t>2</w:t>
            </w:r>
            <w:r>
              <w:rPr>
                <w:rFonts w:hint="eastAsia" w:ascii="宋体" w:hAnsi="宋体" w:eastAsia="宋体" w:cs="宋体"/>
                <w:color w:val="000000"/>
                <w:kern w:val="2"/>
                <w:sz w:val="24"/>
                <w:szCs w:val="24"/>
                <w:highlight w:val="none"/>
                <w:lang w:val="en-US" w:eastAsia="zh-CN"/>
              </w:rPr>
              <w:t>分，不重复累计。</w:t>
            </w:r>
            <w:r>
              <w:rPr>
                <w:rFonts w:hint="eastAsia" w:ascii="宋体" w:hAnsi="宋体" w:eastAsia="宋体" w:cs="宋体"/>
                <w:b/>
                <w:bCs/>
                <w:color w:val="000000"/>
                <w:kern w:val="2"/>
                <w:sz w:val="24"/>
                <w:szCs w:val="24"/>
                <w:highlight w:val="none"/>
                <w:lang w:val="en-US" w:eastAsia="zh-CN"/>
              </w:rPr>
              <w:t>注：响应文件中须提供相关人员的</w:t>
            </w:r>
            <w:r>
              <w:rPr>
                <w:rFonts w:hint="eastAsia" w:ascii="宋体" w:hAnsi="宋体" w:eastAsia="宋体" w:cs="宋体"/>
                <w:b/>
                <w:bCs/>
                <w:sz w:val="24"/>
                <w:szCs w:val="24"/>
                <w:highlight w:val="none"/>
              </w:rPr>
              <w:t>工作经验证明材料(个人工作</w:t>
            </w:r>
            <w:r>
              <w:rPr>
                <w:rFonts w:hint="eastAsia" w:ascii="宋体" w:hAnsi="宋体" w:eastAsia="宋体" w:cs="宋体"/>
                <w:b/>
                <w:bCs/>
                <w:sz w:val="24"/>
                <w:szCs w:val="24"/>
                <w:highlight w:val="none"/>
                <w:lang w:val="en-US" w:eastAsia="zh-CN"/>
              </w:rPr>
              <w:t>经</w:t>
            </w:r>
            <w:r>
              <w:rPr>
                <w:rFonts w:hint="eastAsia" w:ascii="宋体" w:hAnsi="宋体" w:eastAsia="宋体" w:cs="宋体"/>
                <w:b/>
                <w:bCs/>
                <w:sz w:val="24"/>
                <w:szCs w:val="24"/>
                <w:highlight w:val="none"/>
              </w:rPr>
              <w:t>历</w:t>
            </w:r>
            <w:r>
              <w:rPr>
                <w:rFonts w:hint="eastAsia" w:ascii="宋体" w:hAnsi="宋体" w:eastAsia="宋体" w:cs="宋体"/>
                <w:b/>
                <w:bCs/>
                <w:sz w:val="24"/>
                <w:szCs w:val="24"/>
                <w:highlight w:val="none"/>
                <w:lang w:val="en-US" w:eastAsia="zh-CN"/>
              </w:rPr>
              <w:t>及</w:t>
            </w:r>
            <w:r>
              <w:rPr>
                <w:rFonts w:hint="eastAsia" w:ascii="宋体" w:hAnsi="宋体" w:eastAsia="宋体" w:cs="宋体"/>
                <w:b/>
                <w:bCs/>
                <w:sz w:val="24"/>
                <w:szCs w:val="24"/>
                <w:highlight w:val="none"/>
              </w:rPr>
              <w:t>从事对应工作时所在工作单位为其缴纳社保的证明</w:t>
            </w:r>
            <w:r>
              <w:rPr>
                <w:rFonts w:hint="eastAsia" w:ascii="宋体" w:hAnsi="宋体" w:eastAsia="宋体" w:cs="宋体"/>
                <w:b/>
                <w:bCs/>
                <w:sz w:val="24"/>
                <w:szCs w:val="24"/>
                <w:highlight w:val="none"/>
                <w:lang w:val="en-US" w:eastAsia="zh-CN"/>
              </w:rPr>
              <w:t>或驻场所在服务单位提供的证明材料</w:t>
            </w:r>
            <w:r>
              <w:rPr>
                <w:rFonts w:hint="eastAsia" w:ascii="宋体" w:hAnsi="宋体" w:eastAsia="宋体" w:cs="宋体"/>
                <w:b/>
                <w:bCs/>
                <w:sz w:val="24"/>
                <w:szCs w:val="24"/>
                <w:highlight w:val="none"/>
              </w:rPr>
              <w:t>)，如有未提供或提供不全或提供的证明材料无法佐证的，对应评分项不得分。</w:t>
            </w:r>
          </w:p>
        </w:tc>
      </w:tr>
    </w:tbl>
    <w:p w14:paraId="39C05A8C">
      <w:pPr>
        <w:pageBreakBefore w:val="0"/>
        <w:kinsoku/>
        <w:wordWrap/>
        <w:overflowPunct/>
        <w:topLinePunct w:val="0"/>
        <w:autoSpaceDE/>
        <w:autoSpaceDN/>
        <w:bidi w:val="0"/>
        <w:adjustRightInd/>
        <w:snapToGrid/>
        <w:spacing w:line="440" w:lineRule="exact"/>
        <w:ind w:firstLine="482"/>
        <w:rPr>
          <w:rFonts w:hint="eastAsia" w:ascii="宋体" w:hAnsi="宋体" w:eastAsia="宋体" w:cs="宋体"/>
          <w:b/>
          <w:bCs/>
          <w:sz w:val="24"/>
          <w:szCs w:val="24"/>
        </w:rPr>
      </w:pPr>
      <w:r>
        <w:rPr>
          <w:rFonts w:hint="eastAsia" w:ascii="宋体" w:hAnsi="宋体" w:eastAsia="宋体" w:cs="宋体"/>
          <w:b/>
          <w:bCs/>
          <w:sz w:val="24"/>
          <w:szCs w:val="24"/>
        </w:rPr>
        <w:t>4、综合实力</w:t>
      </w:r>
      <w:r>
        <w:rPr>
          <w:rFonts w:hint="eastAsia" w:ascii="宋体" w:hAnsi="宋体" w:cs="宋体"/>
          <w:b/>
          <w:bCs/>
          <w:sz w:val="24"/>
          <w:szCs w:val="24"/>
          <w:lang w:val="en-US" w:eastAsia="zh-CN"/>
        </w:rPr>
        <w:t>16</w:t>
      </w:r>
      <w:r>
        <w:rPr>
          <w:rFonts w:hint="eastAsia" w:ascii="宋体" w:hAnsi="宋体" w:eastAsia="宋体" w:cs="宋体"/>
          <w:b/>
          <w:bCs/>
          <w:sz w:val="24"/>
          <w:szCs w:val="24"/>
        </w:rPr>
        <w:t>分</w:t>
      </w:r>
    </w:p>
    <w:tbl>
      <w:tblPr>
        <w:tblStyle w:val="54"/>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1355"/>
        <w:gridCol w:w="1061"/>
        <w:gridCol w:w="6656"/>
      </w:tblGrid>
      <w:tr w14:paraId="0FF4F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8" w:type="pct"/>
            <w:noWrap w:val="0"/>
            <w:vAlign w:val="center"/>
          </w:tcPr>
          <w:p w14:paraId="35097E50">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681" w:type="pct"/>
            <w:noWrap w:val="0"/>
            <w:vAlign w:val="center"/>
          </w:tcPr>
          <w:p w14:paraId="3204E579">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533" w:type="pct"/>
            <w:noWrap w:val="0"/>
            <w:vAlign w:val="center"/>
          </w:tcPr>
          <w:p w14:paraId="73B80141">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分值</w:t>
            </w:r>
          </w:p>
        </w:tc>
        <w:tc>
          <w:tcPr>
            <w:tcW w:w="3345" w:type="pct"/>
            <w:noWrap w:val="0"/>
            <w:vAlign w:val="center"/>
          </w:tcPr>
          <w:p w14:paraId="136F9951">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4523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438" w:type="pct"/>
            <w:noWrap w:val="0"/>
            <w:vAlign w:val="center"/>
          </w:tcPr>
          <w:p w14:paraId="33645971">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681" w:type="pct"/>
            <w:noWrap w:val="0"/>
            <w:vAlign w:val="center"/>
          </w:tcPr>
          <w:p w14:paraId="05F54A4A">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商务条件响应性</w:t>
            </w:r>
          </w:p>
        </w:tc>
        <w:tc>
          <w:tcPr>
            <w:tcW w:w="533" w:type="pct"/>
            <w:noWrap w:val="0"/>
            <w:vAlign w:val="center"/>
          </w:tcPr>
          <w:p w14:paraId="04860039">
            <w:pPr>
              <w:pStyle w:val="17"/>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分</w:t>
            </w:r>
          </w:p>
        </w:tc>
        <w:tc>
          <w:tcPr>
            <w:tcW w:w="3345" w:type="pct"/>
            <w:noWrap w:val="0"/>
            <w:vAlign w:val="center"/>
          </w:tcPr>
          <w:p w14:paraId="7FC55CB8">
            <w:pPr>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供应商对磋商文件中合同条款等商务条件完全响应的得</w:t>
            </w:r>
            <w:r>
              <w:rPr>
                <w:rFonts w:hint="eastAsia" w:ascii="宋体" w:hAnsi="宋体" w:cs="宋体"/>
                <w:color w:val="000000"/>
                <w:kern w:val="2"/>
                <w:sz w:val="24"/>
                <w:szCs w:val="24"/>
                <w:highlight w:val="none"/>
                <w:lang w:val="en-US" w:eastAsia="zh-CN"/>
              </w:rPr>
              <w:t>8</w:t>
            </w:r>
            <w:r>
              <w:rPr>
                <w:rFonts w:hint="eastAsia" w:ascii="宋体" w:hAnsi="宋体" w:eastAsia="宋体" w:cs="宋体"/>
                <w:color w:val="000000"/>
                <w:kern w:val="2"/>
                <w:sz w:val="24"/>
                <w:szCs w:val="24"/>
                <w:highlight w:val="none"/>
                <w:lang w:val="en-US" w:eastAsia="zh-CN"/>
              </w:rPr>
              <w:t>分；有负偏离条款的，每条扣0.5分。</w:t>
            </w:r>
          </w:p>
        </w:tc>
      </w:tr>
      <w:tr w14:paraId="2179E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438" w:type="pct"/>
            <w:noWrap w:val="0"/>
            <w:vAlign w:val="center"/>
          </w:tcPr>
          <w:p w14:paraId="59300F57">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681" w:type="pct"/>
            <w:noWrap w:val="0"/>
            <w:vAlign w:val="center"/>
          </w:tcPr>
          <w:p w14:paraId="0CD8A8D8">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业绩情况</w:t>
            </w:r>
          </w:p>
        </w:tc>
        <w:tc>
          <w:tcPr>
            <w:tcW w:w="533" w:type="pct"/>
            <w:noWrap w:val="0"/>
            <w:vAlign w:val="center"/>
          </w:tcPr>
          <w:p w14:paraId="7ECA10BC">
            <w:pPr>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分</w:t>
            </w:r>
          </w:p>
        </w:tc>
        <w:tc>
          <w:tcPr>
            <w:tcW w:w="3345" w:type="pct"/>
            <w:noWrap w:val="0"/>
            <w:vAlign w:val="center"/>
          </w:tcPr>
          <w:p w14:paraId="57655EE1">
            <w:pPr>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1.根据供应商自2023年11月1日（以合同签订时间为准）至今实施的电子卷宗或无纸化类服务项目业绩情况进行评定，每提供1个得</w:t>
            </w:r>
            <w:r>
              <w:rPr>
                <w:rFonts w:hint="eastAsia" w:ascii="宋体" w:hAnsi="宋体" w:cs="宋体"/>
                <w:color w:val="000000"/>
                <w:kern w:val="2"/>
                <w:sz w:val="24"/>
                <w:szCs w:val="24"/>
                <w:highlight w:val="none"/>
                <w:lang w:val="en-US" w:eastAsia="zh-CN"/>
              </w:rPr>
              <w:t>1</w:t>
            </w:r>
            <w:r>
              <w:rPr>
                <w:rFonts w:hint="eastAsia" w:ascii="宋体" w:hAnsi="宋体" w:eastAsia="宋体" w:cs="宋体"/>
                <w:color w:val="000000"/>
                <w:kern w:val="2"/>
                <w:sz w:val="24"/>
                <w:szCs w:val="24"/>
                <w:highlight w:val="none"/>
                <w:lang w:val="en-US" w:eastAsia="zh-CN"/>
              </w:rPr>
              <w:t>分，最高得</w:t>
            </w:r>
            <w:r>
              <w:rPr>
                <w:rFonts w:hint="eastAsia" w:ascii="宋体" w:hAnsi="宋体" w:cs="宋体"/>
                <w:color w:val="000000"/>
                <w:kern w:val="2"/>
                <w:sz w:val="24"/>
                <w:szCs w:val="24"/>
                <w:highlight w:val="none"/>
                <w:lang w:val="en-US" w:eastAsia="zh-CN"/>
              </w:rPr>
              <w:t>4</w:t>
            </w:r>
            <w:r>
              <w:rPr>
                <w:rFonts w:hint="eastAsia" w:ascii="宋体" w:hAnsi="宋体" w:eastAsia="宋体" w:cs="宋体"/>
                <w:color w:val="000000"/>
                <w:kern w:val="2"/>
                <w:sz w:val="24"/>
                <w:szCs w:val="24"/>
                <w:highlight w:val="none"/>
                <w:lang w:val="en-US" w:eastAsia="zh-CN"/>
              </w:rPr>
              <w:t>分。未提供的不得分。</w:t>
            </w:r>
          </w:p>
          <w:p w14:paraId="6BD49924">
            <w:pPr>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2.</w:t>
            </w:r>
            <w:r>
              <w:rPr>
                <w:rFonts w:hint="eastAsia" w:ascii="宋体" w:hAnsi="宋体" w:eastAsia="宋体" w:cs="宋体"/>
                <w:color w:val="000000"/>
                <w:sz w:val="24"/>
                <w:szCs w:val="24"/>
                <w:highlight w:val="none"/>
              </w:rPr>
              <w:t>根</w:t>
            </w:r>
            <w:bookmarkStart w:id="134" w:name="_GoBack"/>
            <w:r>
              <w:rPr>
                <w:rFonts w:hint="eastAsia" w:ascii="宋体" w:hAnsi="宋体" w:eastAsia="宋体" w:cs="宋体"/>
                <w:color w:val="000000"/>
                <w:sz w:val="24"/>
                <w:szCs w:val="24"/>
                <w:highlight w:val="none"/>
              </w:rPr>
              <w:t>据以上提供的项目合同中获得采购单位的正面评价证明（如表扬、满意等）进行评分，每提供一个得1分，最多得4分。</w:t>
            </w:r>
            <w:r>
              <w:rPr>
                <w:rFonts w:hint="eastAsia" w:ascii="宋体" w:hAnsi="宋体" w:eastAsia="宋体" w:cs="宋体"/>
                <w:color w:val="000000"/>
                <w:kern w:val="2"/>
                <w:sz w:val="24"/>
                <w:szCs w:val="24"/>
                <w:highlight w:val="none"/>
                <w:lang w:val="en-US" w:eastAsia="zh-CN"/>
              </w:rPr>
              <w:t>未提供的不得分。</w:t>
            </w:r>
          </w:p>
          <w:p w14:paraId="24035A88">
            <w:pPr>
              <w:rPr>
                <w:rFonts w:hint="eastAsia" w:ascii="宋体" w:hAnsi="宋体" w:eastAsia="宋体" w:cs="宋体"/>
                <w:color w:val="000000"/>
                <w:kern w:val="2"/>
                <w:sz w:val="24"/>
                <w:szCs w:val="24"/>
                <w:highlight w:val="none"/>
                <w:lang w:val="en-US" w:eastAsia="zh-CN"/>
              </w:rPr>
            </w:pPr>
            <w:r>
              <w:rPr>
                <w:rFonts w:hint="eastAsia" w:ascii="宋体" w:hAnsi="宋体" w:eastAsia="宋体" w:cs="宋体"/>
                <w:b/>
                <w:bCs/>
                <w:color w:val="000000"/>
                <w:kern w:val="2"/>
                <w:sz w:val="24"/>
                <w:szCs w:val="24"/>
                <w:highlight w:val="none"/>
                <w:lang w:val="en-US" w:eastAsia="zh-CN"/>
              </w:rPr>
              <w:t>注：响应文件中提供业绩相关</w:t>
            </w:r>
            <w:bookmarkEnd w:id="134"/>
            <w:r>
              <w:rPr>
                <w:rFonts w:hint="eastAsia" w:ascii="宋体" w:hAnsi="宋体" w:eastAsia="宋体" w:cs="宋体"/>
                <w:b/>
                <w:bCs/>
                <w:color w:val="000000"/>
                <w:kern w:val="2"/>
                <w:sz w:val="24"/>
                <w:szCs w:val="24"/>
                <w:highlight w:val="none"/>
                <w:lang w:val="en-US" w:eastAsia="zh-CN"/>
              </w:rPr>
              <w:t>合同（应包括合同首页、标的金额所在页、签字盖章页等）及评价证明材料，未提供的不得分。同一个项目不重复计分。</w:t>
            </w:r>
          </w:p>
        </w:tc>
      </w:tr>
    </w:tbl>
    <w:p w14:paraId="7922C03A">
      <w:pPr>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sz w:val="24"/>
          <w:szCs w:val="24"/>
        </w:rPr>
        <w:t>注：</w:t>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 1 \* GB3 </w:instrText>
      </w:r>
      <w:r>
        <w:rPr>
          <w:rFonts w:hint="eastAsia" w:ascii="宋体" w:hAnsi="宋体" w:eastAsia="宋体" w:cs="宋体"/>
          <w:b/>
          <w:sz w:val="24"/>
          <w:szCs w:val="24"/>
        </w:rPr>
        <w:fldChar w:fldCharType="separate"/>
      </w:r>
      <w:r>
        <w:rPr>
          <w:rFonts w:hint="eastAsia" w:ascii="宋体" w:hAnsi="宋体" w:eastAsia="宋体" w:cs="宋体"/>
          <w:b/>
          <w:sz w:val="24"/>
          <w:szCs w:val="24"/>
        </w:rPr>
        <w:t>①</w:t>
      </w:r>
      <w:r>
        <w:rPr>
          <w:rFonts w:hint="eastAsia" w:ascii="宋体" w:hAnsi="宋体" w:eastAsia="宋体" w:cs="宋体"/>
          <w:b/>
          <w:sz w:val="24"/>
          <w:szCs w:val="24"/>
        </w:rPr>
        <w:fldChar w:fldCharType="end"/>
      </w:r>
      <w:r>
        <w:rPr>
          <w:rFonts w:hint="eastAsia" w:ascii="宋体" w:hAnsi="宋体" w:eastAsia="宋体" w:cs="宋体"/>
          <w:b/>
          <w:bCs/>
          <w:sz w:val="24"/>
          <w:szCs w:val="24"/>
        </w:rPr>
        <w:t>上述响应文件中提供的相关证明材料须为清晰完整的彩色扫描件（照片），如存在扫描件（照片）无效、不清晰、不完整等情形使得评委会无法准确评审的，</w:t>
      </w:r>
      <w:r>
        <w:rPr>
          <w:rFonts w:hint="eastAsia" w:ascii="宋体" w:hAnsi="宋体" w:eastAsia="宋体" w:cs="宋体"/>
          <w:b/>
          <w:bCs/>
          <w:sz w:val="24"/>
          <w:szCs w:val="24"/>
          <w:lang w:val="zh-CN"/>
        </w:rPr>
        <w:t>否则相关评审风险由供应商自行承担</w:t>
      </w:r>
      <w:r>
        <w:rPr>
          <w:rFonts w:hint="eastAsia" w:ascii="宋体" w:hAnsi="宋体" w:eastAsia="宋体" w:cs="宋体"/>
          <w:b/>
          <w:bCs/>
          <w:sz w:val="24"/>
          <w:szCs w:val="24"/>
        </w:rPr>
        <w:t>。</w:t>
      </w:r>
    </w:p>
    <w:p w14:paraId="3550CC53">
      <w:pPr>
        <w:pageBreakBefore w:val="0"/>
        <w:kinsoku/>
        <w:wordWrap/>
        <w:overflowPunct/>
        <w:topLinePunct w:val="0"/>
        <w:autoSpaceDE/>
        <w:autoSpaceDN/>
        <w:bidi w:val="0"/>
        <w:adjustRightInd/>
        <w:snapToGrid/>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 2 \* GB3 </w:instrText>
      </w:r>
      <w:r>
        <w:rPr>
          <w:rFonts w:hint="eastAsia" w:ascii="宋体" w:hAnsi="宋体" w:eastAsia="宋体" w:cs="宋体"/>
          <w:b/>
          <w:sz w:val="24"/>
          <w:szCs w:val="24"/>
        </w:rPr>
        <w:fldChar w:fldCharType="separate"/>
      </w:r>
      <w:r>
        <w:rPr>
          <w:rFonts w:hint="eastAsia" w:ascii="宋体" w:hAnsi="宋体" w:eastAsia="宋体" w:cs="宋体"/>
          <w:b/>
          <w:sz w:val="24"/>
          <w:szCs w:val="24"/>
        </w:rPr>
        <w:t>②</w:t>
      </w:r>
      <w:r>
        <w:rPr>
          <w:rFonts w:hint="eastAsia" w:ascii="宋体" w:hAnsi="宋体" w:eastAsia="宋体" w:cs="宋体"/>
          <w:b/>
          <w:sz w:val="24"/>
          <w:szCs w:val="24"/>
        </w:rPr>
        <w:fldChar w:fldCharType="end"/>
      </w:r>
      <w:r>
        <w:rPr>
          <w:rFonts w:hint="eastAsia" w:ascii="宋体" w:hAnsi="宋体" w:eastAsia="宋体" w:cs="宋体"/>
          <w:b/>
          <w:sz w:val="24"/>
          <w:szCs w:val="24"/>
        </w:rPr>
        <w:t>制作响应文件时请按磋商文件规定的顺序编制，添加响应文件目录、页码、书签等，便于评标委员会评审查阅。</w:t>
      </w:r>
      <w:bookmarkEnd w:id="68"/>
    </w:p>
    <w:p w14:paraId="18F0CAC9">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rPr>
      </w:pPr>
      <w:bookmarkStart w:id="69" w:name="_Toc159312658"/>
      <w:bookmarkStart w:id="70" w:name="_Toc103080653"/>
      <w:bookmarkStart w:id="71" w:name="_Toc26315"/>
      <w:r>
        <w:rPr>
          <w:rFonts w:hint="eastAsia" w:ascii="宋体" w:hAnsi="宋体" w:eastAsia="宋体" w:cs="宋体"/>
          <w:b/>
          <w:sz w:val="28"/>
          <w:szCs w:val="28"/>
        </w:rPr>
        <w:t>三、</w:t>
      </w:r>
      <w:r>
        <w:rPr>
          <w:rFonts w:hint="eastAsia" w:ascii="宋体" w:hAnsi="宋体" w:eastAsia="宋体" w:cs="宋体"/>
          <w:b/>
          <w:bCs/>
          <w:sz w:val="28"/>
          <w:szCs w:val="28"/>
        </w:rPr>
        <w:t>信用记录：</w:t>
      </w:r>
    </w:p>
    <w:p w14:paraId="65153904">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2"/>
        </w:rPr>
      </w:pPr>
      <w:r>
        <w:rPr>
          <w:rFonts w:hint="eastAsia" w:ascii="宋体" w:hAnsi="宋体" w:eastAsia="宋体" w:cs="宋体"/>
          <w:bCs/>
          <w:color w:val="000000"/>
          <w:sz w:val="24"/>
          <w:szCs w:val="22"/>
        </w:rPr>
        <w:t>根据政府采购法及相关法规，以及苏州市财政局《关于印发苏州市市级政府采购信用记录查询和使用工作试行办法的通知》（苏财购</w:t>
      </w:r>
      <w:r>
        <w:rPr>
          <w:rFonts w:hint="eastAsia" w:ascii="宋体" w:hAnsi="宋体" w:eastAsia="宋体" w:cs="宋体"/>
          <w:bCs/>
          <w:color w:val="000000"/>
          <w:sz w:val="24"/>
          <w:szCs w:val="22"/>
          <w:lang w:eastAsia="zh-CN"/>
        </w:rPr>
        <w:t>〔2017〕11号</w:t>
      </w:r>
      <w:r>
        <w:rPr>
          <w:rFonts w:hint="eastAsia" w:ascii="宋体" w:hAnsi="宋体" w:eastAsia="宋体" w:cs="宋体"/>
          <w:bCs/>
          <w:color w:val="000000"/>
          <w:sz w:val="24"/>
          <w:szCs w:val="22"/>
        </w:rPr>
        <w:t>）文件的规定，我们将依法对</w:t>
      </w:r>
      <w:r>
        <w:rPr>
          <w:rFonts w:hint="eastAsia" w:ascii="宋体" w:hAnsi="宋体" w:eastAsia="宋体" w:cs="宋体"/>
          <w:bCs/>
          <w:color w:val="000000"/>
          <w:sz w:val="24"/>
          <w:szCs w:val="22"/>
          <w:lang w:eastAsia="zh-CN"/>
        </w:rPr>
        <w:t>供应商</w:t>
      </w:r>
      <w:r>
        <w:rPr>
          <w:rFonts w:hint="eastAsia" w:ascii="宋体" w:hAnsi="宋体" w:eastAsia="宋体" w:cs="宋体"/>
          <w:bCs/>
          <w:color w:val="000000"/>
          <w:sz w:val="24"/>
          <w:szCs w:val="22"/>
        </w:rPr>
        <w:t>进行信用查询，凡经确认不符合政府采购相关法律法规规定的，将依法拒绝其参与政府采购活动。</w:t>
      </w:r>
    </w:p>
    <w:p w14:paraId="78A4A82A">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1、查询时间：进入评审环节前。</w:t>
      </w:r>
    </w:p>
    <w:p w14:paraId="2C6B04F0">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2、查询渠道：</w:t>
      </w:r>
    </w:p>
    <w:p w14:paraId="057B344A">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采购人、采购代理机构应当通过中国政府采购网</w:t>
      </w:r>
      <w:r>
        <w:rPr>
          <w:rFonts w:hint="eastAsia" w:ascii="宋体" w:hAnsi="宋体" w:eastAsia="宋体" w:cs="宋体"/>
          <w:bCs/>
          <w:color w:val="000000"/>
          <w:sz w:val="24"/>
          <w:szCs w:val="22"/>
          <w:lang w:eastAsia="zh-CN"/>
        </w:rPr>
        <w:t>（</w:t>
      </w:r>
      <w:r>
        <w:rPr>
          <w:rFonts w:hint="eastAsia" w:ascii="宋体" w:hAnsi="宋体" w:eastAsia="宋体" w:cs="宋体"/>
          <w:bCs/>
          <w:color w:val="000000"/>
          <w:sz w:val="24"/>
          <w:szCs w:val="22"/>
        </w:rPr>
        <w:t>http://www.ccgp.gov.cn/search/cr</w:t>
      </w:r>
      <w:r>
        <w:rPr>
          <w:rFonts w:hint="eastAsia" w:ascii="宋体" w:hAnsi="宋体" w:eastAsia="宋体" w:cs="宋体"/>
          <w:bCs/>
          <w:color w:val="000000"/>
          <w:sz w:val="24"/>
          <w:szCs w:val="22"/>
          <w:lang w:eastAsia="zh-CN"/>
        </w:rPr>
        <w:t>)</w:t>
      </w:r>
      <w:r>
        <w:rPr>
          <w:rFonts w:hint="eastAsia" w:ascii="宋体" w:hAnsi="宋体" w:eastAsia="宋体" w:cs="宋体"/>
          <w:bCs/>
          <w:color w:val="000000"/>
          <w:sz w:val="24"/>
          <w:szCs w:val="22"/>
        </w:rPr>
        <w:t>、信用中国（https://www.creditchina.gov.cn</w:t>
      </w:r>
      <w:r>
        <w:rPr>
          <w:rFonts w:hint="eastAsia" w:ascii="宋体" w:hAnsi="宋体" w:eastAsia="宋体" w:cs="宋体"/>
          <w:bCs/>
          <w:color w:val="000000"/>
          <w:sz w:val="24"/>
          <w:szCs w:val="22"/>
          <w:lang w:eastAsia="zh-CN"/>
        </w:rPr>
        <w:t>）</w:t>
      </w:r>
      <w:r>
        <w:rPr>
          <w:rFonts w:hint="eastAsia" w:ascii="宋体" w:hAnsi="宋体" w:eastAsia="宋体" w:cs="宋体"/>
          <w:bCs/>
          <w:color w:val="000000"/>
          <w:sz w:val="24"/>
          <w:szCs w:val="22"/>
        </w:rPr>
        <w:t>、信用江苏（http://credit.jiangsu.gov.cn</w:t>
      </w:r>
      <w:r>
        <w:rPr>
          <w:rFonts w:hint="eastAsia" w:ascii="宋体" w:hAnsi="宋体" w:eastAsia="宋体" w:cs="宋体"/>
          <w:bCs/>
          <w:color w:val="000000"/>
          <w:sz w:val="24"/>
          <w:szCs w:val="22"/>
          <w:lang w:eastAsia="zh-CN"/>
        </w:rPr>
        <w:t>）</w:t>
      </w:r>
      <w:r>
        <w:rPr>
          <w:rFonts w:hint="eastAsia" w:ascii="宋体" w:hAnsi="宋体" w:eastAsia="宋体" w:cs="宋体"/>
          <w:bCs/>
          <w:color w:val="000000"/>
          <w:sz w:val="24"/>
          <w:szCs w:val="22"/>
        </w:rPr>
        <w:t>、信用中国（江苏苏州）（https://credit.suzhou.gov.cn</w:t>
      </w:r>
      <w:r>
        <w:rPr>
          <w:rFonts w:hint="eastAsia" w:ascii="宋体" w:hAnsi="宋体" w:eastAsia="宋体" w:cs="宋体"/>
          <w:bCs/>
          <w:color w:val="000000"/>
          <w:sz w:val="24"/>
          <w:szCs w:val="22"/>
          <w:lang w:eastAsia="zh-CN"/>
        </w:rPr>
        <w:t>）</w:t>
      </w:r>
      <w:r>
        <w:rPr>
          <w:rFonts w:hint="eastAsia" w:ascii="宋体" w:hAnsi="宋体" w:eastAsia="宋体" w:cs="宋体"/>
          <w:bCs/>
          <w:color w:val="000000"/>
          <w:sz w:val="24"/>
          <w:szCs w:val="22"/>
        </w:rPr>
        <w:t>等渠道查询相关主体信用记录，并采取必要方式做好信用信息报告等查询记录留存。</w:t>
      </w:r>
    </w:p>
    <w:p w14:paraId="568532DD">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3、信用记录使用规则：</w:t>
      </w:r>
    </w:p>
    <w:p w14:paraId="05427616">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代理机构应根据查询结果对</w:t>
      </w:r>
      <w:r>
        <w:rPr>
          <w:rFonts w:hint="eastAsia" w:ascii="宋体" w:hAnsi="宋体" w:eastAsia="宋体" w:cs="宋体"/>
          <w:bCs/>
          <w:color w:val="000000"/>
          <w:sz w:val="24"/>
          <w:szCs w:val="22"/>
          <w:lang w:eastAsia="zh-CN"/>
        </w:rPr>
        <w:t>供应商</w:t>
      </w:r>
      <w:r>
        <w:rPr>
          <w:rFonts w:hint="eastAsia" w:ascii="宋体" w:hAnsi="宋体" w:eastAsia="宋体" w:cs="宋体"/>
          <w:bCs/>
          <w:color w:val="000000"/>
          <w:sz w:val="24"/>
          <w:szCs w:val="22"/>
        </w:rPr>
        <w:t>的不良信用记录逐项甄别确认。按照《中华人民共和国政府采购法》第二十二条规定，下列信用记录属于应依法拒绝</w:t>
      </w:r>
      <w:r>
        <w:rPr>
          <w:rFonts w:hint="eastAsia" w:ascii="宋体" w:hAnsi="宋体" w:eastAsia="宋体" w:cs="宋体"/>
          <w:bCs/>
          <w:color w:val="000000"/>
          <w:sz w:val="24"/>
          <w:szCs w:val="22"/>
          <w:lang w:eastAsia="zh-CN"/>
        </w:rPr>
        <w:t>供应商</w:t>
      </w:r>
      <w:r>
        <w:rPr>
          <w:rFonts w:hint="eastAsia" w:ascii="宋体" w:hAnsi="宋体" w:eastAsia="宋体" w:cs="宋体"/>
          <w:bCs/>
          <w:color w:val="000000"/>
          <w:sz w:val="24"/>
          <w:szCs w:val="22"/>
        </w:rPr>
        <w:t>参加政府采购的失信信息：</w:t>
      </w:r>
    </w:p>
    <w:p w14:paraId="52D5D25F">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（一）政府采购严重违法记录，即供应商被全国各级财政部门列入“政府采购严重违法失信行为记录名单”，且在处罚有效期内的。</w:t>
      </w:r>
    </w:p>
    <w:p w14:paraId="4AC10875">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（二）财政部门与法院、工商、税务等部门联合惩戒的失信信息，包括：</w:t>
      </w:r>
    </w:p>
    <w:p w14:paraId="09765B9F">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1) 被列入失信被执行人名单；</w:t>
      </w:r>
    </w:p>
    <w:p w14:paraId="439E87E5">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2) 被列入重大税收违法案件当事人名单；</w:t>
      </w:r>
    </w:p>
    <w:p w14:paraId="5CF7202E">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p>
    <w:p w14:paraId="2F1B65BD">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以上失信信息应按苏财购</w:t>
      </w:r>
      <w:r>
        <w:rPr>
          <w:rFonts w:hint="eastAsia" w:ascii="宋体" w:hAnsi="宋体" w:eastAsia="宋体" w:cs="宋体"/>
          <w:bCs/>
          <w:color w:val="000000"/>
          <w:sz w:val="24"/>
          <w:szCs w:val="22"/>
          <w:lang w:eastAsia="zh-CN"/>
        </w:rPr>
        <w:t>〔2017〕11号</w:t>
      </w:r>
      <w:r>
        <w:rPr>
          <w:rFonts w:hint="eastAsia" w:ascii="宋体" w:hAnsi="宋体" w:eastAsia="宋体" w:cs="宋体"/>
          <w:bCs/>
          <w:color w:val="000000"/>
          <w:sz w:val="24"/>
          <w:szCs w:val="22"/>
        </w:rPr>
        <w:t>第十一条规定的办法进行查询确认。</w:t>
      </w:r>
    </w:p>
    <w:p w14:paraId="18024463">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4、查询证据留存方式：</w:t>
      </w:r>
    </w:p>
    <w:p w14:paraId="212E99AA">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按照相关管理办法查询有关主体的信用记录，并保存好相关证据材料。对存在的失信信息，应登录到来源网站页面进行复核并打印，作为证据留存。</w:t>
      </w:r>
    </w:p>
    <w:p w14:paraId="4BDEA651">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5、经查询发现供应商存在应依法拒绝参加政府采购的失信信息，并对此不良信用记录甄别确认的，作无效投标处理。</w:t>
      </w:r>
    </w:p>
    <w:p w14:paraId="1EBD6FDA">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kern w:val="0"/>
          <w:sz w:val="28"/>
          <w:szCs w:val="28"/>
        </w:rPr>
      </w:pPr>
      <w:r>
        <w:rPr>
          <w:rFonts w:hint="eastAsia" w:ascii="宋体" w:hAnsi="宋体" w:eastAsia="宋体" w:cs="宋体"/>
          <w:b/>
          <w:kern w:val="0"/>
          <w:sz w:val="28"/>
          <w:szCs w:val="28"/>
          <w:lang w:val="en-US" w:eastAsia="zh-CN"/>
        </w:rPr>
        <w:t>四</w:t>
      </w:r>
      <w:r>
        <w:rPr>
          <w:rFonts w:hint="eastAsia" w:ascii="宋体" w:hAnsi="宋体" w:eastAsia="宋体" w:cs="宋体"/>
          <w:b/>
          <w:kern w:val="0"/>
          <w:sz w:val="28"/>
          <w:szCs w:val="28"/>
        </w:rPr>
        <w:t>、针对小微企业的评审：</w:t>
      </w:r>
    </w:p>
    <w:p w14:paraId="423C6C88">
      <w:pPr>
        <w:keepNext w:val="0"/>
        <w:keepLines w:val="0"/>
        <w:pageBreakBefore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1、落实政府采购政策需满足的资格要求：</w:t>
      </w:r>
    </w:p>
    <w:p w14:paraId="17F207D4">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（1）本项目专门面向中小企业采购，所属行业为</w:t>
      </w:r>
      <w:r>
        <w:rPr>
          <w:rFonts w:hint="eastAsia" w:ascii="宋体" w:hAnsi="宋体" w:eastAsia="宋体" w:cs="宋体"/>
          <w:b/>
          <w:bCs/>
          <w:color w:val="000000"/>
          <w:sz w:val="24"/>
          <w:szCs w:val="24"/>
        </w:rPr>
        <w:t>软件和信息技术服务业</w:t>
      </w:r>
      <w:r>
        <w:rPr>
          <w:rFonts w:hint="eastAsia" w:ascii="宋体" w:hAnsi="宋体" w:eastAsia="宋体" w:cs="宋体"/>
          <w:b/>
          <w:bCs/>
          <w:sz w:val="24"/>
          <w:szCs w:val="24"/>
        </w:rPr>
        <w:t>。</w:t>
      </w:r>
    </w:p>
    <w:p w14:paraId="0A97466C">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（2）在投标文件中须提供《中小企业声明函》。（填报严格按工信部联企业〔2011〕300号通知中的《中小企业划型标准规定》进行）。</w:t>
      </w:r>
    </w:p>
    <w:p w14:paraId="5333FDE7">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5BD54AF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（4）享受政府采购支持政策的残疾人福利性单位应当同时满足以下条件：</w:t>
      </w:r>
    </w:p>
    <w:p w14:paraId="4CDCD4D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安置的残疾人占本单位在职职工人数的比例不低于25%（含25%），并且安置的残疾人人数不少于10人（含10人）；依法与安置的每位残疾人签订了一年以上（含一年）的劳动合同或服务协议；</w:t>
      </w:r>
    </w:p>
    <w:p w14:paraId="2354576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70E5724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提供本单位制造的货物、承担的工程或者服务，或者提供其他残疾人福利性单位制造的货物（不包括使用非残疾人福利性单位注册商标的货物）。</w:t>
      </w:r>
    </w:p>
    <w:p w14:paraId="17F6CBD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6BB01B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rPr>
      </w:pPr>
      <w:bookmarkStart w:id="72" w:name="_Hlk63008170"/>
      <w:r>
        <w:rPr>
          <w:rFonts w:hint="eastAsia" w:ascii="宋体" w:hAnsi="宋体" w:eastAsia="宋体" w:cs="宋体"/>
          <w:sz w:val="24"/>
        </w:rPr>
        <w:t>（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72"/>
    </w:p>
    <w:p w14:paraId="020A4B9E">
      <w:pPr>
        <w:rPr>
          <w:rFonts w:hint="eastAsia" w:ascii="宋体" w:hAnsi="宋体" w:eastAsia="宋体" w:cs="宋体"/>
        </w:rPr>
      </w:pPr>
      <w:r>
        <w:rPr>
          <w:rFonts w:hint="eastAsia" w:ascii="宋体" w:hAnsi="宋体" w:eastAsia="宋体" w:cs="宋体"/>
        </w:rPr>
        <w:br w:type="page"/>
      </w:r>
    </w:p>
    <w:p w14:paraId="7FFC5F21">
      <w:pPr>
        <w:pStyle w:val="2"/>
        <w:rPr>
          <w:rFonts w:hint="eastAsia" w:ascii="宋体" w:hAnsi="宋体" w:eastAsia="宋体" w:cs="宋体"/>
        </w:rPr>
      </w:pPr>
      <w:bookmarkStart w:id="73" w:name="_Toc35"/>
      <w:r>
        <w:rPr>
          <w:rFonts w:hint="eastAsia" w:ascii="宋体" w:hAnsi="宋体" w:eastAsia="宋体" w:cs="宋体"/>
        </w:rPr>
        <w:t>第六章  磋商响应文件格式</w:t>
      </w:r>
      <w:bookmarkEnd w:id="69"/>
      <w:bookmarkEnd w:id="70"/>
      <w:bookmarkEnd w:id="71"/>
      <w:bookmarkEnd w:id="73"/>
    </w:p>
    <w:p w14:paraId="7E829899">
      <w:pPr>
        <w:jc w:val="center"/>
        <w:rPr>
          <w:rFonts w:hint="eastAsia" w:ascii="宋体" w:hAnsi="宋体" w:eastAsia="宋体" w:cs="宋体"/>
          <w:b/>
          <w:sz w:val="72"/>
          <w:szCs w:val="72"/>
        </w:rPr>
      </w:pPr>
    </w:p>
    <w:p w14:paraId="346A12ED">
      <w:pPr>
        <w:jc w:val="center"/>
        <w:rPr>
          <w:rFonts w:hint="eastAsia" w:ascii="宋体" w:hAnsi="宋体" w:eastAsia="宋体" w:cs="宋体"/>
          <w:b/>
          <w:sz w:val="72"/>
          <w:szCs w:val="72"/>
        </w:rPr>
      </w:pPr>
    </w:p>
    <w:p w14:paraId="27A65593">
      <w:pPr>
        <w:jc w:val="center"/>
        <w:rPr>
          <w:rFonts w:hint="eastAsia" w:ascii="宋体" w:hAnsi="宋体" w:eastAsia="宋体" w:cs="宋体"/>
          <w:b/>
          <w:sz w:val="72"/>
          <w:szCs w:val="72"/>
        </w:rPr>
      </w:pPr>
      <w:r>
        <w:rPr>
          <w:rFonts w:hint="eastAsia" w:ascii="宋体" w:hAnsi="宋体" w:eastAsia="宋体" w:cs="宋体"/>
          <w:b/>
          <w:sz w:val="72"/>
          <w:szCs w:val="72"/>
        </w:rPr>
        <w:t xml:space="preserve"> </w:t>
      </w:r>
    </w:p>
    <w:p w14:paraId="79C9DAAF">
      <w:pPr>
        <w:jc w:val="center"/>
        <w:rPr>
          <w:rFonts w:hint="eastAsia" w:ascii="宋体" w:hAnsi="宋体" w:eastAsia="宋体" w:cs="宋体"/>
          <w:b/>
          <w:sz w:val="72"/>
          <w:szCs w:val="72"/>
        </w:rPr>
      </w:pPr>
      <w:r>
        <w:rPr>
          <w:rFonts w:hint="eastAsia" w:ascii="宋体" w:hAnsi="宋体" w:eastAsia="宋体" w:cs="宋体"/>
          <w:b/>
          <w:sz w:val="72"/>
          <w:szCs w:val="72"/>
        </w:rPr>
        <w:t>磋 商 响 应 文 件</w:t>
      </w:r>
    </w:p>
    <w:p w14:paraId="4D278479">
      <w:pPr>
        <w:rPr>
          <w:rFonts w:hint="eastAsia" w:ascii="宋体" w:hAnsi="宋体" w:eastAsia="宋体" w:cs="宋体"/>
          <w:b/>
          <w:sz w:val="36"/>
          <w:szCs w:val="36"/>
        </w:rPr>
      </w:pPr>
    </w:p>
    <w:p w14:paraId="75643211">
      <w:pPr>
        <w:rPr>
          <w:rFonts w:hint="eastAsia" w:ascii="宋体" w:hAnsi="宋体" w:eastAsia="宋体" w:cs="宋体"/>
          <w:b/>
          <w:sz w:val="36"/>
          <w:szCs w:val="36"/>
        </w:rPr>
      </w:pPr>
    </w:p>
    <w:p w14:paraId="2EC0FEE4">
      <w:pPr>
        <w:ind w:firstLine="1084"/>
        <w:rPr>
          <w:rFonts w:hint="eastAsia" w:ascii="宋体" w:hAnsi="宋体" w:eastAsia="宋体" w:cs="宋体"/>
          <w:b/>
          <w:sz w:val="36"/>
          <w:szCs w:val="36"/>
        </w:rPr>
      </w:pPr>
    </w:p>
    <w:p w14:paraId="3AD35223">
      <w:pPr>
        <w:ind w:firstLine="1084"/>
        <w:rPr>
          <w:rFonts w:hint="eastAsia" w:ascii="宋体" w:hAnsi="宋体" w:eastAsia="宋体" w:cs="宋体"/>
          <w:b/>
          <w:sz w:val="36"/>
          <w:szCs w:val="36"/>
        </w:rPr>
      </w:pPr>
    </w:p>
    <w:p w14:paraId="5FDC0369">
      <w:pPr>
        <w:pStyle w:val="19"/>
        <w:rPr>
          <w:rFonts w:hint="eastAsia" w:ascii="宋体" w:hAnsi="宋体" w:eastAsia="宋体" w:cs="宋体"/>
          <w:b/>
          <w:sz w:val="36"/>
          <w:szCs w:val="36"/>
        </w:rPr>
      </w:pPr>
    </w:p>
    <w:p w14:paraId="29B6D98A">
      <w:pPr>
        <w:rPr>
          <w:rFonts w:hint="eastAsia" w:ascii="宋体" w:hAnsi="宋体" w:eastAsia="宋体" w:cs="宋体"/>
        </w:rPr>
      </w:pPr>
    </w:p>
    <w:p w14:paraId="44887220">
      <w:pPr>
        <w:ind w:firstLine="723"/>
        <w:rPr>
          <w:rFonts w:hint="eastAsia" w:ascii="宋体" w:hAnsi="宋体" w:eastAsia="宋体" w:cs="宋体"/>
          <w:b/>
          <w:sz w:val="36"/>
          <w:szCs w:val="36"/>
        </w:rPr>
      </w:pPr>
    </w:p>
    <w:p w14:paraId="705B8B1E">
      <w:pPr>
        <w:ind w:firstLine="723"/>
        <w:rPr>
          <w:rFonts w:hint="eastAsia" w:ascii="宋体" w:hAnsi="宋体" w:eastAsia="宋体" w:cs="宋体"/>
          <w:b/>
          <w:sz w:val="36"/>
          <w:szCs w:val="36"/>
          <w:lang w:eastAsia="zh-CN"/>
        </w:rPr>
      </w:pPr>
      <w:r>
        <w:rPr>
          <w:rFonts w:hint="eastAsia" w:ascii="宋体" w:hAnsi="宋体" w:eastAsia="宋体" w:cs="宋体"/>
          <w:b/>
          <w:sz w:val="36"/>
          <w:szCs w:val="36"/>
        </w:rPr>
        <w:t>项目名称：</w:t>
      </w:r>
      <w:r>
        <w:rPr>
          <w:rFonts w:hint="eastAsia" w:ascii="宋体" w:hAnsi="宋体" w:eastAsia="宋体" w:cs="宋体"/>
          <w:b/>
          <w:sz w:val="36"/>
          <w:szCs w:val="36"/>
          <w:lang w:eastAsia="zh-CN"/>
        </w:rPr>
        <w:t>常熟市人民法院全流程无纸化辅助服务</w:t>
      </w:r>
    </w:p>
    <w:p w14:paraId="4EE3E8EF">
      <w:pPr>
        <w:ind w:firstLine="723"/>
        <w:rPr>
          <w:rFonts w:hint="eastAsia" w:ascii="宋体" w:hAnsi="宋体" w:eastAsia="宋体" w:cs="宋体"/>
          <w:b/>
          <w:sz w:val="36"/>
          <w:szCs w:val="36"/>
          <w:lang w:eastAsia="zh-CN"/>
        </w:rPr>
      </w:pPr>
      <w:r>
        <w:rPr>
          <w:rFonts w:hint="eastAsia" w:ascii="宋体" w:hAnsi="宋体" w:eastAsia="宋体" w:cs="宋体"/>
          <w:b/>
          <w:sz w:val="36"/>
          <w:szCs w:val="36"/>
        </w:rPr>
        <w:t>项目编号：</w:t>
      </w:r>
      <w:r>
        <w:rPr>
          <w:rFonts w:hint="eastAsia" w:ascii="宋体" w:hAnsi="宋体" w:cs="宋体"/>
          <w:b/>
          <w:sz w:val="36"/>
          <w:szCs w:val="36"/>
          <w:lang w:eastAsia="zh-CN"/>
        </w:rPr>
        <w:t>JSZC-320581-CSXC-C2026-0048</w:t>
      </w:r>
    </w:p>
    <w:p w14:paraId="13849A98">
      <w:pPr>
        <w:ind w:firstLine="723"/>
        <w:rPr>
          <w:rFonts w:hint="eastAsia" w:ascii="宋体" w:hAnsi="宋体" w:eastAsia="宋体" w:cs="宋体"/>
          <w:b/>
          <w:color w:val="000000"/>
          <w:sz w:val="36"/>
          <w:szCs w:val="21"/>
          <w:u w:val="single"/>
        </w:rPr>
      </w:pPr>
      <w:r>
        <w:rPr>
          <w:rFonts w:hint="eastAsia" w:ascii="宋体" w:hAnsi="宋体" w:eastAsia="宋体" w:cs="宋体"/>
          <w:b/>
          <w:sz w:val="36"/>
          <w:szCs w:val="36"/>
        </w:rPr>
        <w:t>供应商名称：</w:t>
      </w:r>
      <w:r>
        <w:rPr>
          <w:rFonts w:hint="eastAsia" w:ascii="宋体" w:hAnsi="宋体" w:eastAsia="宋体" w:cs="宋体"/>
          <w:b/>
          <w:color w:val="000000"/>
          <w:sz w:val="36"/>
          <w:szCs w:val="21"/>
          <w:u w:val="single"/>
        </w:rPr>
        <w:t>（加盖CA电子公章）</w:t>
      </w:r>
    </w:p>
    <w:p w14:paraId="3E8F4DE6">
      <w:pPr>
        <w:ind w:firstLine="723"/>
        <w:rPr>
          <w:rFonts w:hint="eastAsia" w:ascii="宋体" w:hAnsi="宋体" w:eastAsia="宋体" w:cs="宋体"/>
          <w:b/>
          <w:sz w:val="36"/>
          <w:szCs w:val="36"/>
        </w:rPr>
      </w:pPr>
      <w:r>
        <w:rPr>
          <w:rFonts w:hint="eastAsia" w:ascii="宋体" w:hAnsi="宋体" w:eastAsia="宋体" w:cs="宋体"/>
          <w:b/>
          <w:sz w:val="36"/>
          <w:szCs w:val="36"/>
        </w:rPr>
        <w:t>日    期：202</w:t>
      </w:r>
      <w:r>
        <w:rPr>
          <w:rFonts w:hint="eastAsia" w:ascii="宋体" w:hAnsi="宋体" w:eastAsia="宋体" w:cs="宋体"/>
          <w:b/>
          <w:sz w:val="36"/>
          <w:szCs w:val="36"/>
          <w:lang w:val="en-US" w:eastAsia="zh-CN"/>
        </w:rPr>
        <w:t>6</w:t>
      </w:r>
      <w:r>
        <w:rPr>
          <w:rFonts w:hint="eastAsia" w:ascii="宋体" w:hAnsi="宋体" w:eastAsia="宋体" w:cs="宋体"/>
          <w:b/>
          <w:sz w:val="36"/>
          <w:szCs w:val="36"/>
        </w:rPr>
        <w:t>年   月   日</w:t>
      </w:r>
    </w:p>
    <w:p w14:paraId="25AB406F">
      <w:pPr>
        <w:ind w:firstLine="1807"/>
        <w:rPr>
          <w:rFonts w:hint="eastAsia" w:ascii="宋体" w:hAnsi="宋体" w:eastAsia="宋体" w:cs="宋体"/>
          <w:b/>
          <w:sz w:val="36"/>
          <w:szCs w:val="36"/>
        </w:rPr>
      </w:pPr>
    </w:p>
    <w:p w14:paraId="58DE6D27">
      <w:pPr>
        <w:rPr>
          <w:rFonts w:hint="eastAsia" w:ascii="宋体" w:hAnsi="宋体" w:eastAsia="宋体" w:cs="宋体"/>
          <w:b/>
          <w:sz w:val="10"/>
          <w:szCs w:val="10"/>
        </w:rPr>
      </w:pPr>
    </w:p>
    <w:p w14:paraId="778559C5">
      <w:pPr>
        <w:ind w:firstLine="2530"/>
        <w:rPr>
          <w:rFonts w:hint="eastAsia" w:ascii="宋体" w:hAnsi="宋体" w:eastAsia="宋体" w:cs="宋体"/>
          <w:b/>
          <w:sz w:val="36"/>
          <w:szCs w:val="36"/>
        </w:rPr>
      </w:pPr>
    </w:p>
    <w:p w14:paraId="3B867DDA">
      <w:pPr>
        <w:rPr>
          <w:rFonts w:hint="eastAsia" w:ascii="宋体" w:hAnsi="宋体" w:eastAsia="宋体" w:cs="宋体"/>
          <w:sz w:val="36"/>
          <w:szCs w:val="36"/>
        </w:rPr>
      </w:pPr>
    </w:p>
    <w:p w14:paraId="3AB73C99">
      <w:pPr>
        <w:rPr>
          <w:rFonts w:hint="eastAsia" w:ascii="宋体" w:hAnsi="宋体" w:eastAsia="宋体" w:cs="宋体"/>
          <w:sz w:val="36"/>
          <w:szCs w:val="36"/>
        </w:rPr>
      </w:pPr>
    </w:p>
    <w:p w14:paraId="44F91FC4">
      <w:pPr>
        <w:rPr>
          <w:rFonts w:hint="eastAsia" w:ascii="宋体" w:hAnsi="宋体" w:eastAsia="宋体" w:cs="宋体"/>
          <w:sz w:val="36"/>
          <w:szCs w:val="36"/>
        </w:rPr>
      </w:pPr>
    </w:p>
    <w:p w14:paraId="20711B69">
      <w:pPr>
        <w:rPr>
          <w:rFonts w:hint="eastAsia" w:ascii="宋体" w:hAnsi="宋体" w:eastAsia="宋体" w:cs="宋体"/>
          <w:sz w:val="36"/>
          <w:szCs w:val="36"/>
        </w:rPr>
      </w:pPr>
    </w:p>
    <w:p w14:paraId="3962E424">
      <w:pPr>
        <w:jc w:val="center"/>
        <w:rPr>
          <w:rFonts w:hint="eastAsia" w:ascii="宋体" w:hAnsi="宋体" w:eastAsia="宋体" w:cs="宋体"/>
          <w:b/>
          <w:bCs/>
          <w:color w:val="000000"/>
          <w:sz w:val="32"/>
          <w:szCs w:val="32"/>
        </w:rPr>
      </w:pPr>
      <w:r>
        <w:rPr>
          <w:rFonts w:hint="eastAsia" w:ascii="宋体" w:hAnsi="宋体" w:eastAsia="宋体" w:cs="宋体"/>
          <w:b/>
          <w:sz w:val="44"/>
          <w:szCs w:val="44"/>
        </w:rPr>
        <w:br w:type="page" w:clear="all"/>
      </w:r>
      <w:r>
        <w:rPr>
          <w:rFonts w:hint="eastAsia" w:ascii="宋体" w:hAnsi="宋体" w:eastAsia="宋体" w:cs="宋体"/>
          <w:b/>
          <w:bCs/>
          <w:color w:val="000000"/>
          <w:sz w:val="32"/>
          <w:szCs w:val="32"/>
        </w:rPr>
        <w:t>响应文件目录</w:t>
      </w:r>
    </w:p>
    <w:p w14:paraId="5D030889">
      <w:pPr>
        <w:spacing w:line="400" w:lineRule="exact"/>
        <w:ind w:left="480"/>
        <w:rPr>
          <w:rFonts w:hint="eastAsia" w:ascii="宋体" w:hAnsi="宋体" w:eastAsia="宋体" w:cs="宋体"/>
          <w:b/>
          <w:sz w:val="24"/>
        </w:rPr>
      </w:pPr>
      <w:r>
        <w:rPr>
          <w:rFonts w:hint="eastAsia" w:ascii="宋体" w:hAnsi="宋体" w:eastAsia="宋体" w:cs="宋体"/>
          <w:b/>
          <w:sz w:val="24"/>
        </w:rPr>
        <w:t>一、基本目录</w:t>
      </w:r>
    </w:p>
    <w:p w14:paraId="2A44259B">
      <w:pPr>
        <w:spacing w:line="400" w:lineRule="exact"/>
        <w:ind w:firstLine="420"/>
        <w:rPr>
          <w:rFonts w:hint="eastAsia" w:ascii="宋体" w:hAnsi="宋体" w:eastAsia="宋体" w:cs="宋体"/>
          <w:sz w:val="24"/>
        </w:rPr>
      </w:pPr>
      <w:r>
        <w:rPr>
          <w:rFonts w:hint="eastAsia" w:ascii="宋体" w:hAnsi="宋体" w:eastAsia="宋体" w:cs="宋体"/>
          <w:sz w:val="24"/>
        </w:rPr>
        <w:t>*1、报价一览表（格式见附件1）</w:t>
      </w:r>
    </w:p>
    <w:p w14:paraId="123BC520">
      <w:pPr>
        <w:spacing w:line="400" w:lineRule="exact"/>
        <w:ind w:left="480"/>
        <w:rPr>
          <w:rFonts w:hint="eastAsia" w:ascii="宋体" w:hAnsi="宋体" w:eastAsia="宋体" w:cs="宋体"/>
          <w:b/>
          <w:sz w:val="24"/>
        </w:rPr>
      </w:pPr>
      <w:r>
        <w:rPr>
          <w:rFonts w:hint="eastAsia" w:ascii="宋体" w:hAnsi="宋体" w:eastAsia="宋体" w:cs="宋体"/>
          <w:b/>
          <w:sz w:val="24"/>
        </w:rPr>
        <w:t>二、资格审查内容</w:t>
      </w:r>
    </w:p>
    <w:p w14:paraId="64D6BFDD">
      <w:pPr>
        <w:spacing w:line="400" w:lineRule="exact"/>
        <w:ind w:firstLine="42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szCs w:val="24"/>
        </w:rPr>
        <w:t>满足《中华人民共和国政府采购法》第二十二条规定，并提供下列材料：</w:t>
      </w:r>
    </w:p>
    <w:p w14:paraId="1D71D44C">
      <w:pPr>
        <w:spacing w:line="400" w:lineRule="exact"/>
        <w:ind w:firstLine="787"/>
        <w:rPr>
          <w:rFonts w:hint="eastAsia" w:ascii="宋体" w:hAnsi="宋体" w:eastAsia="宋体" w:cs="宋体"/>
          <w:sz w:val="24"/>
        </w:rPr>
      </w:pPr>
      <w:r>
        <w:rPr>
          <w:rFonts w:hint="eastAsia" w:ascii="宋体" w:hAnsi="宋体" w:eastAsia="宋体" w:cs="宋体"/>
          <w:sz w:val="24"/>
        </w:rPr>
        <w:t>1.1 法人或者其他组织的营业执照等证明文件；</w:t>
      </w:r>
    </w:p>
    <w:p w14:paraId="32DE2CF6">
      <w:pPr>
        <w:spacing w:line="400" w:lineRule="exact"/>
        <w:ind w:firstLine="1024"/>
        <w:rPr>
          <w:rFonts w:hint="eastAsia" w:ascii="宋体" w:hAnsi="宋体" w:eastAsia="宋体" w:cs="宋体"/>
          <w:sz w:val="24"/>
        </w:rPr>
      </w:pPr>
      <w:r>
        <w:rPr>
          <w:rFonts w:hint="eastAsia" w:ascii="宋体" w:hAnsi="宋体" w:eastAsia="宋体" w:cs="宋体"/>
          <w:sz w:val="24"/>
        </w:rPr>
        <w:t>1.1.1法人或者其他组织的营业执照</w:t>
      </w:r>
    </w:p>
    <w:p w14:paraId="3E1B8E43">
      <w:pPr>
        <w:spacing w:line="400" w:lineRule="exact"/>
        <w:ind w:firstLine="1024"/>
        <w:rPr>
          <w:rFonts w:hint="eastAsia" w:ascii="宋体" w:hAnsi="宋体" w:eastAsia="宋体" w:cs="宋体"/>
          <w:sz w:val="24"/>
        </w:rPr>
      </w:pPr>
      <w:r>
        <w:rPr>
          <w:rFonts w:hint="eastAsia" w:ascii="宋体" w:hAnsi="宋体" w:eastAsia="宋体" w:cs="宋体"/>
          <w:sz w:val="24"/>
        </w:rPr>
        <w:t>1.1.2法定代表人居民身份证</w:t>
      </w:r>
    </w:p>
    <w:p w14:paraId="7AB02C63">
      <w:pPr>
        <w:spacing w:line="400" w:lineRule="exact"/>
        <w:ind w:firstLine="1024"/>
        <w:rPr>
          <w:rFonts w:hint="eastAsia" w:ascii="宋体" w:hAnsi="宋体" w:eastAsia="宋体" w:cs="宋体"/>
          <w:sz w:val="24"/>
        </w:rPr>
      </w:pPr>
      <w:r>
        <w:rPr>
          <w:rFonts w:hint="eastAsia" w:ascii="宋体" w:hAnsi="宋体" w:eastAsia="宋体" w:cs="宋体"/>
          <w:sz w:val="24"/>
        </w:rPr>
        <w:t>1.1.3授权代表居民身份证</w:t>
      </w:r>
    </w:p>
    <w:p w14:paraId="3F533A21">
      <w:pPr>
        <w:spacing w:line="400" w:lineRule="exact"/>
        <w:ind w:firstLine="1024"/>
        <w:rPr>
          <w:rFonts w:hint="eastAsia" w:ascii="宋体" w:hAnsi="宋体" w:eastAsia="宋体" w:cs="宋体"/>
          <w:sz w:val="24"/>
        </w:rPr>
      </w:pPr>
      <w:r>
        <w:rPr>
          <w:rFonts w:hint="eastAsia" w:ascii="宋体" w:hAnsi="宋体" w:eastAsia="宋体" w:cs="宋体"/>
          <w:sz w:val="24"/>
        </w:rPr>
        <w:t>1.1.4法人授权书（格式见附件7）</w:t>
      </w:r>
    </w:p>
    <w:p w14:paraId="4A784E74">
      <w:pPr>
        <w:spacing w:line="400" w:lineRule="exact"/>
        <w:ind w:firstLine="480"/>
        <w:rPr>
          <w:rFonts w:hint="eastAsia" w:ascii="宋体" w:hAnsi="宋体" w:eastAsia="宋体" w:cs="宋体"/>
          <w:sz w:val="24"/>
        </w:rPr>
      </w:pPr>
      <w:r>
        <w:rPr>
          <w:rFonts w:hint="eastAsia" w:ascii="宋体" w:hAnsi="宋体" w:eastAsia="宋体" w:cs="宋体"/>
          <w:sz w:val="24"/>
        </w:rPr>
        <w:t>注：法定代表人签署响应文件并参加投标的无需提供授权书及授权代表居民身份证。</w:t>
      </w:r>
    </w:p>
    <w:p w14:paraId="6692AB66">
      <w:pPr>
        <w:spacing w:line="400" w:lineRule="exact"/>
        <w:ind w:firstLine="787"/>
        <w:rPr>
          <w:rFonts w:hint="eastAsia" w:ascii="宋体" w:hAnsi="宋体" w:eastAsia="宋体" w:cs="宋体"/>
          <w:sz w:val="24"/>
        </w:rPr>
      </w:pPr>
      <w:r>
        <w:rPr>
          <w:rFonts w:hint="eastAsia" w:ascii="宋体" w:hAnsi="宋体" w:eastAsia="宋体" w:cs="宋体"/>
          <w:sz w:val="24"/>
        </w:rPr>
        <w:t>1.2 提供最近一期经</w:t>
      </w:r>
      <w:r>
        <w:rPr>
          <w:rFonts w:hint="eastAsia" w:ascii="宋体" w:hAnsi="宋体" w:eastAsia="宋体" w:cs="宋体"/>
          <w:sz w:val="24"/>
          <w:lang w:eastAsia="zh-CN"/>
        </w:rPr>
        <w:t>会计师事务所</w:t>
      </w:r>
      <w:r>
        <w:rPr>
          <w:rFonts w:hint="eastAsia" w:ascii="宋体" w:hAnsi="宋体" w:eastAsia="宋体" w:cs="宋体"/>
          <w:sz w:val="24"/>
        </w:rPr>
        <w:t>审计的财务报告（成立不满一年需提供资产负债表和利润表）或银行（金融机构）出具的资信证明（距开标时间六个月内开具的资信证明）</w:t>
      </w:r>
    </w:p>
    <w:p w14:paraId="1E8B342D">
      <w:pPr>
        <w:spacing w:line="400" w:lineRule="exact"/>
        <w:ind w:firstLine="787"/>
        <w:rPr>
          <w:rFonts w:hint="eastAsia" w:ascii="宋体" w:hAnsi="宋体" w:eastAsia="宋体" w:cs="宋体"/>
          <w:sz w:val="24"/>
        </w:rPr>
      </w:pPr>
      <w:r>
        <w:rPr>
          <w:rFonts w:hint="eastAsia" w:ascii="宋体" w:hAnsi="宋体" w:eastAsia="宋体" w:cs="宋体"/>
          <w:sz w:val="24"/>
        </w:rPr>
        <w:t>1.3 依法缴纳税收和社会保障资金的相关材料（提供投标截止时间前一年内至少一个月依法缴纳税收及缴纳社会保障资金的证明材料，如供应商缴纳税收的凭据、缴纳社会保险的专用收据或社会保险缴纳清单。供应商依法享受免缴税收、社会保障资金的提供证明材料。）</w:t>
      </w:r>
    </w:p>
    <w:p w14:paraId="13D46F7A">
      <w:pPr>
        <w:spacing w:line="400" w:lineRule="exact"/>
        <w:ind w:firstLine="787"/>
        <w:rPr>
          <w:rFonts w:hint="eastAsia" w:ascii="宋体" w:hAnsi="宋体" w:eastAsia="宋体" w:cs="宋体"/>
          <w:sz w:val="24"/>
        </w:rPr>
      </w:pPr>
      <w:r>
        <w:rPr>
          <w:rFonts w:hint="eastAsia" w:ascii="宋体" w:hAnsi="宋体" w:eastAsia="宋体" w:cs="宋体"/>
          <w:sz w:val="24"/>
        </w:rPr>
        <w:t>1.4 具备履行合同所必需的设备和专业技术能力的书面声明（格式见附件5）</w:t>
      </w:r>
    </w:p>
    <w:p w14:paraId="2829A7D3">
      <w:pPr>
        <w:spacing w:line="400" w:lineRule="exact"/>
        <w:ind w:firstLine="787"/>
        <w:rPr>
          <w:rFonts w:hint="eastAsia" w:ascii="宋体" w:hAnsi="宋体" w:eastAsia="宋体" w:cs="宋体"/>
          <w:sz w:val="24"/>
        </w:rPr>
      </w:pPr>
      <w:r>
        <w:rPr>
          <w:rFonts w:hint="eastAsia" w:ascii="宋体" w:hAnsi="宋体" w:eastAsia="宋体" w:cs="宋体"/>
          <w:sz w:val="24"/>
        </w:rPr>
        <w:t>1.5 参加政府采购活动前 3 年内在经营活动中没有重大违法记录的书面声明（格式见附件6）</w:t>
      </w:r>
    </w:p>
    <w:p w14:paraId="547E6768">
      <w:pPr>
        <w:spacing w:line="400" w:lineRule="exact"/>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Cs/>
          <w:color w:val="000000"/>
          <w:sz w:val="24"/>
          <w:szCs w:val="24"/>
        </w:rPr>
        <w:t>2、中小企业声明函（格式见附件9）或残疾人福利性单位声明函（格式见附件10）或省级以上监狱管理局、戒毒管理局（含新疆生产建设兵团）出具的属于监狱企业的证明文件。</w:t>
      </w:r>
    </w:p>
    <w:p w14:paraId="29677FE1">
      <w:pPr>
        <w:spacing w:line="400" w:lineRule="exact"/>
        <w:ind w:left="480"/>
        <w:rPr>
          <w:rFonts w:hint="eastAsia" w:ascii="宋体" w:hAnsi="宋体" w:eastAsia="宋体" w:cs="宋体"/>
          <w:b/>
          <w:sz w:val="24"/>
        </w:rPr>
      </w:pPr>
      <w:r>
        <w:rPr>
          <w:rFonts w:hint="eastAsia" w:ascii="宋体" w:hAnsi="宋体" w:eastAsia="宋体" w:cs="宋体"/>
          <w:b/>
          <w:sz w:val="24"/>
        </w:rPr>
        <w:t>三、符合性审查内容</w:t>
      </w:r>
    </w:p>
    <w:p w14:paraId="2BAF1EFB">
      <w:pPr>
        <w:spacing w:line="400" w:lineRule="exact"/>
        <w:ind w:firstLine="420"/>
        <w:rPr>
          <w:rFonts w:hint="eastAsia" w:ascii="宋体" w:hAnsi="宋体" w:eastAsia="宋体" w:cs="宋体"/>
          <w:sz w:val="24"/>
        </w:rPr>
      </w:pPr>
      <w:r>
        <w:rPr>
          <w:rFonts w:hint="eastAsia" w:ascii="宋体" w:hAnsi="宋体" w:eastAsia="宋体" w:cs="宋体"/>
          <w:sz w:val="24"/>
        </w:rPr>
        <w:t>*1、法定代表人授权书（格式见附件</w:t>
      </w:r>
      <w:r>
        <w:rPr>
          <w:rFonts w:hint="eastAsia" w:ascii="宋体" w:hAnsi="宋体" w:eastAsia="宋体" w:cs="宋体"/>
          <w:sz w:val="24"/>
          <w:lang w:val="en-US" w:eastAsia="zh-CN"/>
        </w:rPr>
        <w:t>7</w:t>
      </w:r>
      <w:r>
        <w:rPr>
          <w:rFonts w:hint="eastAsia" w:ascii="宋体" w:hAnsi="宋体" w:eastAsia="宋体" w:cs="宋体"/>
          <w:sz w:val="24"/>
        </w:rPr>
        <w:t>）（法定代表人亲自参与投标的不需要提供法定代表人授权书，但投标人需在</w:t>
      </w:r>
      <w:r>
        <w:rPr>
          <w:rFonts w:hint="eastAsia" w:ascii="宋体" w:hAnsi="宋体" w:eastAsia="宋体" w:cs="宋体"/>
          <w:sz w:val="24"/>
          <w:lang w:val="en-US" w:eastAsia="zh-CN"/>
        </w:rPr>
        <w:t>响应</w:t>
      </w:r>
      <w:r>
        <w:rPr>
          <w:rFonts w:hint="eastAsia" w:ascii="宋体" w:hAnsi="宋体" w:eastAsia="宋体" w:cs="宋体"/>
          <w:sz w:val="24"/>
        </w:rPr>
        <w:t>文件中提供法定代表人亲自参与投标的证明）</w:t>
      </w:r>
    </w:p>
    <w:p w14:paraId="5F382571">
      <w:pPr>
        <w:spacing w:line="400" w:lineRule="exact"/>
        <w:ind w:firstLine="42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2</w:t>
      </w:r>
      <w:r>
        <w:rPr>
          <w:rFonts w:hint="eastAsia" w:ascii="宋体" w:hAnsi="宋体" w:eastAsia="宋体" w:cs="宋体"/>
          <w:sz w:val="24"/>
        </w:rPr>
        <w:t>、报价一览表（格式见附件1）</w:t>
      </w:r>
    </w:p>
    <w:p w14:paraId="2F6DC287">
      <w:pPr>
        <w:spacing w:line="400" w:lineRule="exact"/>
        <w:ind w:firstLine="42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3</w:t>
      </w:r>
      <w:r>
        <w:rPr>
          <w:rFonts w:hint="eastAsia" w:ascii="宋体" w:hAnsi="宋体" w:eastAsia="宋体" w:cs="宋体"/>
          <w:sz w:val="24"/>
        </w:rPr>
        <w:t>、</w:t>
      </w:r>
      <w:r>
        <w:rPr>
          <w:rFonts w:hint="eastAsia" w:ascii="宋体" w:hAnsi="宋体" w:eastAsia="宋体" w:cs="宋体"/>
          <w:sz w:val="24"/>
          <w:lang w:val="en-US" w:eastAsia="zh-CN"/>
        </w:rPr>
        <w:t>投入费用</w:t>
      </w:r>
      <w:r>
        <w:rPr>
          <w:rFonts w:hint="eastAsia" w:ascii="宋体" w:hAnsi="宋体" w:eastAsia="宋体" w:cs="宋体"/>
          <w:sz w:val="24"/>
        </w:rPr>
        <w:t>明细表（格式见附件2）</w:t>
      </w:r>
    </w:p>
    <w:p w14:paraId="4C8C9FB0">
      <w:pPr>
        <w:spacing w:line="400" w:lineRule="exact"/>
        <w:ind w:firstLine="42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、磋商响应函（格式见附件8）</w:t>
      </w:r>
    </w:p>
    <w:p w14:paraId="0FF018CF">
      <w:pPr>
        <w:spacing w:line="400" w:lineRule="exact"/>
        <w:ind w:firstLine="42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5</w:t>
      </w:r>
      <w:r>
        <w:rPr>
          <w:rFonts w:hint="eastAsia" w:ascii="宋体" w:hAnsi="宋体" w:eastAsia="宋体" w:cs="宋体"/>
          <w:sz w:val="24"/>
        </w:rPr>
        <w:t>、实质性要求响应及偏离表（格式见附件11）</w:t>
      </w:r>
    </w:p>
    <w:p w14:paraId="3DFFA94A">
      <w:pPr>
        <w:spacing w:line="400" w:lineRule="exact"/>
        <w:ind w:left="480"/>
        <w:rPr>
          <w:rFonts w:hint="eastAsia" w:ascii="宋体" w:hAnsi="宋体" w:eastAsia="宋体" w:cs="宋体"/>
          <w:b/>
          <w:sz w:val="24"/>
        </w:rPr>
      </w:pPr>
      <w:r>
        <w:rPr>
          <w:rFonts w:hint="eastAsia" w:ascii="宋体" w:hAnsi="宋体" w:eastAsia="宋体" w:cs="宋体"/>
          <w:b/>
          <w:sz w:val="24"/>
        </w:rPr>
        <w:t>四、综合评审文件</w:t>
      </w:r>
    </w:p>
    <w:p w14:paraId="67EE48A2">
      <w:pPr>
        <w:spacing w:line="400" w:lineRule="exact"/>
        <w:ind w:firstLine="420"/>
        <w:rPr>
          <w:rFonts w:hint="eastAsia" w:ascii="宋体" w:hAnsi="宋体" w:eastAsia="宋体" w:cs="宋体"/>
          <w:sz w:val="24"/>
        </w:rPr>
      </w:pPr>
      <w:r>
        <w:rPr>
          <w:rFonts w:hint="eastAsia" w:ascii="宋体" w:hAnsi="宋体" w:eastAsia="宋体" w:cs="宋体"/>
          <w:sz w:val="24"/>
        </w:rPr>
        <w:t>1、服务要求响应及偏离表（格式见附件3）</w:t>
      </w:r>
    </w:p>
    <w:p w14:paraId="296771F6">
      <w:pPr>
        <w:spacing w:line="400" w:lineRule="exact"/>
        <w:ind w:firstLine="420"/>
        <w:rPr>
          <w:rFonts w:hint="eastAsia" w:ascii="宋体" w:hAnsi="宋体" w:eastAsia="宋体" w:cs="宋体"/>
          <w:sz w:val="24"/>
        </w:rPr>
      </w:pPr>
      <w:r>
        <w:rPr>
          <w:rFonts w:hint="eastAsia" w:ascii="宋体" w:hAnsi="宋体" w:eastAsia="宋体" w:cs="宋体"/>
          <w:sz w:val="24"/>
        </w:rPr>
        <w:t>2、商务要求响应及偏离表（格式见附件4）</w:t>
      </w:r>
    </w:p>
    <w:p w14:paraId="36CB85C5">
      <w:pPr>
        <w:spacing w:line="400" w:lineRule="exact"/>
        <w:ind w:firstLine="420"/>
        <w:rPr>
          <w:rFonts w:hint="eastAsia" w:ascii="宋体" w:hAnsi="宋体" w:eastAsia="宋体" w:cs="宋体"/>
          <w:sz w:val="24"/>
        </w:rPr>
      </w:pPr>
      <w:r>
        <w:rPr>
          <w:rFonts w:hint="eastAsia" w:ascii="宋体" w:hAnsi="宋体" w:eastAsia="宋体" w:cs="宋体"/>
          <w:sz w:val="24"/>
        </w:rPr>
        <w:t>3、项目实施方案（格式见附件12）</w:t>
      </w:r>
    </w:p>
    <w:p w14:paraId="7DC0705E">
      <w:pPr>
        <w:spacing w:line="400" w:lineRule="exact"/>
        <w:ind w:firstLine="420"/>
        <w:rPr>
          <w:rFonts w:hint="eastAsia" w:ascii="宋体" w:hAnsi="宋体" w:eastAsia="宋体" w:cs="宋体"/>
          <w:sz w:val="24"/>
        </w:rPr>
      </w:pPr>
      <w:r>
        <w:rPr>
          <w:rFonts w:hint="eastAsia" w:ascii="宋体" w:hAnsi="宋体" w:eastAsia="宋体" w:cs="宋体"/>
          <w:sz w:val="24"/>
        </w:rPr>
        <w:t>4、项目组人员一览表（格式见附件13）</w:t>
      </w:r>
    </w:p>
    <w:p w14:paraId="69C2CC49">
      <w:pPr>
        <w:spacing w:line="400" w:lineRule="exact"/>
        <w:ind w:firstLine="420"/>
        <w:rPr>
          <w:rFonts w:hint="eastAsia"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w:t>
      </w:r>
      <w:r>
        <w:rPr>
          <w:rFonts w:hint="eastAsia" w:ascii="宋体" w:hAnsi="宋体" w:eastAsia="宋体" w:cs="宋体"/>
          <w:sz w:val="24"/>
          <w:lang w:val="en-US" w:eastAsia="zh-CN"/>
        </w:rPr>
        <w:t>设备工具配备</w:t>
      </w:r>
      <w:r>
        <w:rPr>
          <w:rFonts w:hint="eastAsia" w:ascii="宋体" w:hAnsi="宋体" w:eastAsia="宋体" w:cs="宋体"/>
          <w:sz w:val="24"/>
        </w:rPr>
        <w:t>一览表（格式见附件1</w:t>
      </w:r>
      <w:r>
        <w:rPr>
          <w:rFonts w:hint="eastAsia" w:ascii="宋体" w:hAnsi="宋体" w:eastAsia="宋体" w:cs="宋体"/>
          <w:sz w:val="24"/>
          <w:lang w:val="en-US" w:eastAsia="zh-CN"/>
        </w:rPr>
        <w:t>4</w:t>
      </w:r>
      <w:r>
        <w:rPr>
          <w:rFonts w:hint="eastAsia" w:ascii="宋体" w:hAnsi="宋体" w:eastAsia="宋体" w:cs="宋体"/>
          <w:sz w:val="24"/>
        </w:rPr>
        <w:t>）</w:t>
      </w:r>
    </w:p>
    <w:p w14:paraId="0F40D07F">
      <w:pPr>
        <w:spacing w:line="400" w:lineRule="exact"/>
        <w:ind w:firstLine="420"/>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、业绩一览表（格式见附件1</w:t>
      </w:r>
      <w:r>
        <w:rPr>
          <w:rFonts w:hint="eastAsia" w:ascii="宋体" w:hAnsi="宋体" w:eastAsia="宋体" w:cs="宋体"/>
          <w:sz w:val="24"/>
          <w:lang w:val="en-US" w:eastAsia="zh-CN"/>
        </w:rPr>
        <w:t>5</w:t>
      </w:r>
      <w:r>
        <w:rPr>
          <w:rFonts w:hint="eastAsia" w:ascii="宋体" w:hAnsi="宋体" w:eastAsia="宋体" w:cs="宋体"/>
          <w:sz w:val="24"/>
        </w:rPr>
        <w:t>）</w:t>
      </w:r>
    </w:p>
    <w:p w14:paraId="58E23349">
      <w:pPr>
        <w:spacing w:line="400" w:lineRule="exact"/>
        <w:ind w:firstLine="241"/>
        <w:rPr>
          <w:rFonts w:hint="eastAsia" w:ascii="宋体" w:hAnsi="宋体" w:eastAsia="宋体" w:cs="宋体"/>
          <w:sz w:val="24"/>
        </w:rPr>
      </w:pPr>
      <w:r>
        <w:rPr>
          <w:rFonts w:hint="eastAsia" w:ascii="宋体" w:hAnsi="宋体" w:eastAsia="宋体" w:cs="宋体"/>
          <w:b/>
          <w:bCs/>
          <w:sz w:val="24"/>
        </w:rPr>
        <w:t>备注：其中加“*”项目若有缺失或无效，将导致其失去</w:t>
      </w:r>
      <w:r>
        <w:rPr>
          <w:rFonts w:hint="eastAsia" w:ascii="宋体" w:hAnsi="宋体" w:eastAsia="宋体" w:cs="宋体"/>
          <w:b/>
          <w:bCs/>
          <w:sz w:val="24"/>
          <w:lang w:val="en-US" w:eastAsia="zh-CN"/>
        </w:rPr>
        <w:t>磋商</w:t>
      </w:r>
      <w:r>
        <w:rPr>
          <w:rFonts w:hint="eastAsia" w:ascii="宋体" w:hAnsi="宋体" w:eastAsia="宋体" w:cs="宋体"/>
          <w:b/>
          <w:bCs/>
          <w:sz w:val="24"/>
        </w:rPr>
        <w:t>资格且不允许在响应文件开启时间后补正。</w:t>
      </w:r>
    </w:p>
    <w:p w14:paraId="458E689D">
      <w:pPr>
        <w:pStyle w:val="3"/>
        <w:spacing w:line="440" w:lineRule="exact"/>
        <w:rPr>
          <w:rFonts w:hint="eastAsia" w:ascii="宋体" w:hAnsi="宋体" w:eastAsia="宋体" w:cs="宋体"/>
          <w:b w:val="0"/>
          <w:sz w:val="24"/>
          <w:szCs w:val="24"/>
        </w:rPr>
      </w:pPr>
      <w:r>
        <w:rPr>
          <w:rFonts w:hint="eastAsia" w:ascii="宋体" w:hAnsi="宋体" w:eastAsia="宋体" w:cs="宋体"/>
        </w:rPr>
        <w:br w:type="page" w:clear="all"/>
      </w:r>
      <w:bookmarkStart w:id="74" w:name="_Toc30678"/>
      <w:bookmarkStart w:id="75" w:name="_Toc159312659"/>
      <w:bookmarkStart w:id="76" w:name="_Toc19544"/>
      <w:bookmarkStart w:id="77" w:name="_Toc103080654"/>
      <w:r>
        <w:rPr>
          <w:rFonts w:hint="eastAsia" w:ascii="宋体" w:hAnsi="宋体" w:eastAsia="宋体" w:cs="宋体"/>
          <w:sz w:val="24"/>
          <w:szCs w:val="24"/>
        </w:rPr>
        <w:t>附件1 报价一览表</w:t>
      </w:r>
      <w:bookmarkEnd w:id="74"/>
      <w:bookmarkEnd w:id="75"/>
      <w:bookmarkEnd w:id="76"/>
    </w:p>
    <w:p w14:paraId="396FAD3A">
      <w:pPr>
        <w:rPr>
          <w:rFonts w:hint="eastAsia" w:ascii="宋体" w:hAnsi="宋体" w:eastAsia="宋体" w:cs="宋体"/>
          <w:b/>
          <w:sz w:val="24"/>
          <w:szCs w:val="24"/>
        </w:rPr>
      </w:pPr>
    </w:p>
    <w:p w14:paraId="51D88C05">
      <w:pPr>
        <w:spacing w:line="400" w:lineRule="exact"/>
        <w:ind w:firstLine="482"/>
        <w:rPr>
          <w:rFonts w:hint="eastAsia" w:ascii="宋体" w:hAnsi="宋体" w:eastAsia="宋体" w:cs="宋体"/>
          <w:sz w:val="24"/>
          <w:szCs w:val="24"/>
        </w:rPr>
      </w:pPr>
      <w:r>
        <w:rPr>
          <w:rFonts w:hint="eastAsia" w:ascii="宋体" w:hAnsi="宋体" w:eastAsia="宋体" w:cs="宋体"/>
          <w:sz w:val="24"/>
          <w:szCs w:val="24"/>
        </w:rPr>
        <w:t>供应商全称（加盖CA电子签章）：</w:t>
      </w:r>
    </w:p>
    <w:p w14:paraId="095CAFAA">
      <w:pPr>
        <w:spacing w:line="400" w:lineRule="exact"/>
        <w:ind w:firstLine="482"/>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常熟市人民法院全流程无纸化辅助服务</w:t>
      </w:r>
    </w:p>
    <w:p w14:paraId="4AB22511">
      <w:pPr>
        <w:spacing w:line="400" w:lineRule="exact"/>
        <w:ind w:firstLine="482"/>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cs="宋体"/>
          <w:sz w:val="24"/>
          <w:szCs w:val="24"/>
          <w:lang w:eastAsia="zh-CN"/>
        </w:rPr>
        <w:t>JSZC-320581-CSXC-C2026-0048</w:t>
      </w:r>
      <w:r>
        <w:rPr>
          <w:rFonts w:hint="eastAsia" w:ascii="宋体" w:hAnsi="宋体" w:eastAsia="宋体" w:cs="宋体"/>
          <w:sz w:val="24"/>
          <w:szCs w:val="24"/>
        </w:rPr>
        <w:t xml:space="preserve">                                  </w:t>
      </w:r>
    </w:p>
    <w:bookmarkEnd w:id="77"/>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6"/>
      </w:tblGrid>
      <w:tr w14:paraId="6F60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jc w:val="center"/>
        </w:trPr>
        <w:tc>
          <w:tcPr>
            <w:tcW w:w="8886" w:type="dxa"/>
            <w:noWrap w:val="0"/>
            <w:vAlign w:val="center"/>
          </w:tcPr>
          <w:p w14:paraId="49582871">
            <w:pPr>
              <w:jc w:val="center"/>
              <w:rPr>
                <w:rFonts w:hint="eastAsia" w:ascii="宋体" w:hAnsi="宋体" w:eastAsia="宋体" w:cs="宋体"/>
                <w:sz w:val="24"/>
                <w:szCs w:val="24"/>
                <w:lang w:val="en-US" w:eastAsia="zh-CN"/>
              </w:rPr>
            </w:pPr>
            <w:r>
              <w:rPr>
                <w:rFonts w:hint="eastAsia" w:ascii="宋体" w:hAnsi="宋体" w:eastAsia="宋体" w:cs="宋体"/>
                <w:b/>
                <w:bCs/>
                <w:sz w:val="24"/>
                <w:szCs w:val="24"/>
              </w:rPr>
              <w:t>投标报价</w:t>
            </w:r>
            <w:r>
              <w:rPr>
                <w:rFonts w:hint="eastAsia" w:ascii="宋体" w:hAnsi="宋体" w:eastAsia="宋体" w:cs="宋体"/>
                <w:b/>
                <w:bCs/>
                <w:sz w:val="24"/>
                <w:szCs w:val="24"/>
                <w:lang w:val="en-US" w:eastAsia="zh-CN"/>
              </w:rPr>
              <w:t>单价</w:t>
            </w:r>
          </w:p>
        </w:tc>
      </w:tr>
      <w:tr w14:paraId="3A108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8886" w:type="dxa"/>
            <w:noWrap w:val="0"/>
            <w:vAlign w:val="center"/>
          </w:tcPr>
          <w:p w14:paraId="11EDC731">
            <w:pPr>
              <w:spacing w:line="500" w:lineRule="exact"/>
              <w:jc w:val="center"/>
              <w:rPr>
                <w:rFonts w:hint="eastAsia" w:ascii="宋体" w:hAnsi="宋体" w:eastAsia="宋体" w:cs="宋体"/>
                <w:sz w:val="24"/>
              </w:rPr>
            </w:pPr>
            <w:r>
              <w:rPr>
                <w:rFonts w:hint="eastAsia" w:ascii="宋体" w:hAnsi="宋体" w:eastAsia="宋体" w:cs="宋体"/>
                <w:sz w:val="24"/>
                <w:szCs w:val="24"/>
              </w:rPr>
              <w:t>小写：                      （大写人民币：           元）</w:t>
            </w:r>
          </w:p>
        </w:tc>
      </w:tr>
    </w:tbl>
    <w:p w14:paraId="0AFC5B2A">
      <w:pPr>
        <w:spacing w:line="440" w:lineRule="exact"/>
        <w:rPr>
          <w:rFonts w:hint="eastAsia" w:ascii="宋体" w:hAnsi="宋体" w:eastAsia="宋体" w:cs="宋体"/>
          <w:sz w:val="24"/>
          <w:szCs w:val="24"/>
        </w:rPr>
      </w:pPr>
    </w:p>
    <w:p w14:paraId="1AF6E3BF">
      <w:pPr>
        <w:spacing w:line="480" w:lineRule="exact"/>
        <w:ind w:firstLine="482"/>
        <w:rPr>
          <w:rFonts w:hint="eastAsia" w:ascii="宋体" w:hAnsi="宋体" w:eastAsia="宋体" w:cs="宋体"/>
          <w:sz w:val="24"/>
          <w:szCs w:val="24"/>
        </w:rPr>
      </w:pPr>
      <w:r>
        <w:rPr>
          <w:rFonts w:hint="eastAsia" w:ascii="宋体" w:hAnsi="宋体" w:eastAsia="宋体" w:cs="宋体"/>
          <w:b/>
          <w:bCs/>
          <w:color w:val="000000"/>
          <w:sz w:val="24"/>
          <w:szCs w:val="24"/>
        </w:rPr>
        <w:t>注：</w:t>
      </w:r>
      <w:r>
        <w:rPr>
          <w:rFonts w:hint="eastAsia" w:ascii="宋体" w:hAnsi="宋体" w:eastAsia="宋体" w:cs="宋体"/>
          <w:b/>
          <w:bCs/>
          <w:color w:val="000000"/>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val="en-US" w:eastAsia="zh-CN"/>
        </w:rPr>
        <w:t>投标报价单价</w:t>
      </w:r>
      <w:r>
        <w:rPr>
          <w:rFonts w:hint="eastAsia" w:ascii="宋体" w:hAnsi="宋体" w:eastAsia="宋体" w:cs="宋体"/>
          <w:sz w:val="24"/>
          <w:szCs w:val="24"/>
        </w:rPr>
        <w:t>”请保留小数点后两位。</w:t>
      </w:r>
    </w:p>
    <w:p w14:paraId="0E65519D">
      <w:pPr>
        <w:pageBreakBefore w:val="0"/>
        <w:kinsoku/>
        <w:wordWrap/>
        <w:overflowPunct/>
        <w:topLinePunct w:val="0"/>
        <w:autoSpaceDE/>
        <w:autoSpaceDN/>
        <w:bidi w:val="0"/>
        <w:adjustRightInd/>
        <w:snapToGrid/>
        <w:spacing w:line="440" w:lineRule="exact"/>
        <w:ind w:firstLine="964" w:firstLineChars="400"/>
        <w:rPr>
          <w:rFonts w:hint="eastAsia" w:ascii="宋体" w:hAnsi="宋体" w:eastAsia="宋体" w:cs="宋体"/>
          <w:b/>
          <w:bCs/>
          <w:sz w:val="24"/>
          <w:lang w:val="en-US"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单价最高限价</w:t>
      </w:r>
      <w:r>
        <w:rPr>
          <w:rFonts w:hint="eastAsia" w:ascii="宋体" w:hAnsi="宋体" w:eastAsia="宋体" w:cs="宋体"/>
          <w:b/>
          <w:bCs/>
          <w:sz w:val="24"/>
          <w:szCs w:val="24"/>
          <w:lang w:val="en-US" w:eastAsia="zh-CN"/>
        </w:rPr>
        <w:t>为</w:t>
      </w:r>
      <w:r>
        <w:rPr>
          <w:rFonts w:hint="eastAsia" w:ascii="宋体" w:hAnsi="宋体" w:eastAsia="宋体" w:cs="宋体"/>
          <w:b/>
          <w:bCs/>
          <w:sz w:val="24"/>
          <w:szCs w:val="24"/>
        </w:rPr>
        <w:t>54.00元/件，</w:t>
      </w:r>
      <w:r>
        <w:rPr>
          <w:rFonts w:hint="eastAsia" w:ascii="宋体" w:hAnsi="宋体" w:eastAsia="宋体" w:cs="宋体"/>
          <w:b/>
          <w:bCs/>
          <w:sz w:val="24"/>
        </w:rPr>
        <w:t>供应商的每轮报价</w:t>
      </w:r>
      <w:r>
        <w:rPr>
          <w:rFonts w:hint="eastAsia" w:ascii="宋体" w:hAnsi="宋体" w:eastAsia="宋体" w:cs="宋体"/>
          <w:b/>
          <w:bCs/>
          <w:sz w:val="24"/>
          <w:lang w:val="en-US" w:eastAsia="zh-CN"/>
        </w:rPr>
        <w:t>单价</w:t>
      </w:r>
      <w:r>
        <w:rPr>
          <w:rFonts w:hint="eastAsia" w:ascii="宋体" w:hAnsi="宋体" w:eastAsia="宋体" w:cs="宋体"/>
          <w:b/>
          <w:bCs/>
          <w:sz w:val="24"/>
        </w:rPr>
        <w:t>均不得超过单价最高限价，否则将失去磋商资格。</w:t>
      </w:r>
    </w:p>
    <w:p w14:paraId="0A9997E4">
      <w:pPr>
        <w:spacing w:line="480" w:lineRule="exact"/>
        <w:ind w:firstLine="482"/>
        <w:rPr>
          <w:rFonts w:hint="eastAsia" w:ascii="宋体" w:hAnsi="宋体" w:eastAsia="宋体" w:cs="宋体"/>
          <w:sz w:val="24"/>
          <w:szCs w:val="24"/>
          <w:lang w:val="en-US" w:eastAsia="zh-CN"/>
        </w:rPr>
      </w:pPr>
    </w:p>
    <w:p w14:paraId="230FA7AE">
      <w:pPr>
        <w:pStyle w:val="3"/>
        <w:spacing w:line="440" w:lineRule="exact"/>
        <w:rPr>
          <w:rFonts w:hint="eastAsia" w:ascii="宋体" w:hAnsi="宋体" w:eastAsia="宋体" w:cs="宋体"/>
          <w:sz w:val="24"/>
          <w:szCs w:val="24"/>
        </w:rPr>
      </w:pPr>
      <w:r>
        <w:rPr>
          <w:rFonts w:hint="eastAsia" w:ascii="宋体" w:hAnsi="宋体" w:eastAsia="宋体" w:cs="宋体"/>
        </w:rPr>
        <w:br w:type="page" w:clear="all"/>
      </w:r>
      <w:bookmarkStart w:id="78" w:name="_Toc20699"/>
      <w:bookmarkStart w:id="79" w:name="_Toc22917"/>
      <w:bookmarkStart w:id="80" w:name="_Toc26196"/>
      <w:bookmarkStart w:id="81" w:name="_Toc24083"/>
      <w:bookmarkStart w:id="82" w:name="_Toc159312661"/>
      <w:r>
        <w:rPr>
          <w:rFonts w:hint="eastAsia" w:ascii="宋体" w:hAnsi="宋体" w:eastAsia="宋体" w:cs="宋体"/>
          <w:sz w:val="24"/>
          <w:szCs w:val="24"/>
        </w:rPr>
        <w:t xml:space="preserve">附件2 </w:t>
      </w:r>
      <w:r>
        <w:rPr>
          <w:rFonts w:hint="eastAsia" w:ascii="宋体" w:hAnsi="宋体" w:eastAsia="宋体" w:cs="宋体"/>
          <w:sz w:val="24"/>
          <w:szCs w:val="24"/>
          <w:lang w:val="en-US" w:eastAsia="zh-CN"/>
        </w:rPr>
        <w:t>投入费用</w:t>
      </w:r>
      <w:r>
        <w:rPr>
          <w:rFonts w:hint="eastAsia" w:ascii="宋体" w:hAnsi="宋体" w:eastAsia="宋体" w:cs="宋体"/>
          <w:sz w:val="24"/>
          <w:szCs w:val="24"/>
        </w:rPr>
        <w:t>明细表</w:t>
      </w:r>
      <w:bookmarkEnd w:id="78"/>
      <w:bookmarkEnd w:id="79"/>
      <w:bookmarkEnd w:id="80"/>
      <w:bookmarkEnd w:id="81"/>
    </w:p>
    <w:p w14:paraId="71DB6A6B">
      <w:pPr>
        <w:rPr>
          <w:rFonts w:hint="eastAsia" w:ascii="宋体" w:hAnsi="宋体" w:eastAsia="宋体" w:cs="宋体"/>
        </w:rPr>
      </w:pPr>
    </w:p>
    <w:tbl>
      <w:tblPr>
        <w:tblStyle w:val="54"/>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3951"/>
        <w:gridCol w:w="950"/>
        <w:gridCol w:w="2610"/>
        <w:gridCol w:w="1063"/>
      </w:tblGrid>
      <w:tr w14:paraId="04169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ign w:val="center"/>
          </w:tcPr>
          <w:p w14:paraId="5C6D74AE">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3951" w:type="dxa"/>
            <w:noWrap/>
            <w:vAlign w:val="center"/>
          </w:tcPr>
          <w:p w14:paraId="272D537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费用名称</w:t>
            </w:r>
          </w:p>
        </w:tc>
        <w:tc>
          <w:tcPr>
            <w:tcW w:w="950" w:type="dxa"/>
            <w:noWrap/>
            <w:vAlign w:val="center"/>
          </w:tcPr>
          <w:p w14:paraId="421B9F93">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数量</w:t>
            </w:r>
          </w:p>
        </w:tc>
        <w:tc>
          <w:tcPr>
            <w:tcW w:w="2610" w:type="dxa"/>
            <w:noWrap/>
            <w:vAlign w:val="center"/>
          </w:tcPr>
          <w:p w14:paraId="116E1068">
            <w:pPr>
              <w:spacing w:line="4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单价</w:t>
            </w:r>
            <w:r>
              <w:rPr>
                <w:rFonts w:hint="eastAsia" w:ascii="宋体" w:hAnsi="宋体" w:eastAsia="宋体" w:cs="宋体"/>
                <w:sz w:val="24"/>
                <w:szCs w:val="24"/>
              </w:rPr>
              <w:t>（元）</w:t>
            </w:r>
          </w:p>
        </w:tc>
        <w:tc>
          <w:tcPr>
            <w:tcW w:w="1063" w:type="dxa"/>
            <w:noWrap/>
            <w:vAlign w:val="center"/>
          </w:tcPr>
          <w:p w14:paraId="077D2486">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备注</w:t>
            </w:r>
          </w:p>
        </w:tc>
      </w:tr>
      <w:tr w14:paraId="52216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ign w:val="center"/>
          </w:tcPr>
          <w:p w14:paraId="450FD10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3951" w:type="dxa"/>
            <w:noWrap/>
            <w:vAlign w:val="center"/>
          </w:tcPr>
          <w:p w14:paraId="7CCAAC1E">
            <w:pPr>
              <w:widowControl/>
              <w:spacing w:line="440" w:lineRule="exact"/>
              <w:rPr>
                <w:rFonts w:hint="eastAsia" w:ascii="宋体" w:hAnsi="宋体" w:eastAsia="宋体" w:cs="宋体"/>
                <w:sz w:val="24"/>
                <w:szCs w:val="24"/>
              </w:rPr>
            </w:pPr>
          </w:p>
        </w:tc>
        <w:tc>
          <w:tcPr>
            <w:tcW w:w="950" w:type="dxa"/>
            <w:noWrap/>
            <w:vAlign w:val="center"/>
          </w:tcPr>
          <w:p w14:paraId="4E028428">
            <w:pPr>
              <w:widowControl/>
              <w:spacing w:line="440" w:lineRule="exact"/>
              <w:jc w:val="center"/>
              <w:rPr>
                <w:rFonts w:hint="eastAsia" w:ascii="宋体" w:hAnsi="宋体" w:eastAsia="宋体" w:cs="宋体"/>
                <w:sz w:val="24"/>
                <w:szCs w:val="24"/>
              </w:rPr>
            </w:pPr>
          </w:p>
        </w:tc>
        <w:tc>
          <w:tcPr>
            <w:tcW w:w="2610" w:type="dxa"/>
            <w:noWrap/>
            <w:vAlign w:val="center"/>
          </w:tcPr>
          <w:p w14:paraId="5DBCC067">
            <w:pPr>
              <w:spacing w:line="440" w:lineRule="exact"/>
              <w:rPr>
                <w:rFonts w:hint="eastAsia" w:ascii="宋体" w:hAnsi="宋体" w:eastAsia="宋体" w:cs="宋体"/>
                <w:sz w:val="24"/>
                <w:szCs w:val="24"/>
              </w:rPr>
            </w:pPr>
          </w:p>
        </w:tc>
        <w:tc>
          <w:tcPr>
            <w:tcW w:w="1063" w:type="dxa"/>
            <w:noWrap/>
            <w:vAlign w:val="center"/>
          </w:tcPr>
          <w:p w14:paraId="65186E29">
            <w:pPr>
              <w:spacing w:line="440" w:lineRule="exact"/>
              <w:rPr>
                <w:rFonts w:hint="eastAsia" w:ascii="宋体" w:hAnsi="宋体" w:eastAsia="宋体" w:cs="宋体"/>
                <w:sz w:val="24"/>
                <w:szCs w:val="24"/>
              </w:rPr>
            </w:pPr>
          </w:p>
        </w:tc>
      </w:tr>
      <w:tr w14:paraId="3520D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ign w:val="center"/>
          </w:tcPr>
          <w:p w14:paraId="7C9D84A2">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3951" w:type="dxa"/>
            <w:noWrap/>
            <w:vAlign w:val="center"/>
          </w:tcPr>
          <w:p w14:paraId="639F5AB9">
            <w:pPr>
              <w:widowControl/>
              <w:spacing w:line="440" w:lineRule="exact"/>
              <w:rPr>
                <w:rFonts w:hint="eastAsia" w:ascii="宋体" w:hAnsi="宋体" w:eastAsia="宋体" w:cs="宋体"/>
                <w:sz w:val="24"/>
                <w:szCs w:val="24"/>
              </w:rPr>
            </w:pPr>
          </w:p>
        </w:tc>
        <w:tc>
          <w:tcPr>
            <w:tcW w:w="950" w:type="dxa"/>
            <w:noWrap/>
            <w:vAlign w:val="center"/>
          </w:tcPr>
          <w:p w14:paraId="45C85DC7">
            <w:pPr>
              <w:widowControl/>
              <w:spacing w:line="440" w:lineRule="exact"/>
              <w:jc w:val="center"/>
              <w:rPr>
                <w:rFonts w:hint="eastAsia" w:ascii="宋体" w:hAnsi="宋体" w:eastAsia="宋体" w:cs="宋体"/>
                <w:sz w:val="24"/>
                <w:szCs w:val="24"/>
              </w:rPr>
            </w:pPr>
          </w:p>
        </w:tc>
        <w:tc>
          <w:tcPr>
            <w:tcW w:w="2610" w:type="dxa"/>
            <w:noWrap/>
            <w:vAlign w:val="center"/>
          </w:tcPr>
          <w:p w14:paraId="0461A8A9">
            <w:pPr>
              <w:spacing w:line="440" w:lineRule="exact"/>
              <w:rPr>
                <w:rFonts w:hint="eastAsia" w:ascii="宋体" w:hAnsi="宋体" w:eastAsia="宋体" w:cs="宋体"/>
                <w:sz w:val="24"/>
                <w:szCs w:val="24"/>
              </w:rPr>
            </w:pPr>
          </w:p>
        </w:tc>
        <w:tc>
          <w:tcPr>
            <w:tcW w:w="1063" w:type="dxa"/>
            <w:noWrap/>
            <w:vAlign w:val="center"/>
          </w:tcPr>
          <w:p w14:paraId="6BF79063">
            <w:pPr>
              <w:spacing w:line="440" w:lineRule="exact"/>
              <w:rPr>
                <w:rFonts w:hint="eastAsia" w:ascii="宋体" w:hAnsi="宋体" w:eastAsia="宋体" w:cs="宋体"/>
                <w:sz w:val="24"/>
                <w:szCs w:val="24"/>
              </w:rPr>
            </w:pPr>
          </w:p>
        </w:tc>
      </w:tr>
      <w:tr w14:paraId="4CB9D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ign w:val="center"/>
          </w:tcPr>
          <w:p w14:paraId="61557681">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3951" w:type="dxa"/>
            <w:noWrap/>
            <w:vAlign w:val="center"/>
          </w:tcPr>
          <w:p w14:paraId="3740C381">
            <w:pPr>
              <w:widowControl/>
              <w:spacing w:line="440" w:lineRule="exact"/>
              <w:rPr>
                <w:rFonts w:hint="eastAsia" w:ascii="宋体" w:hAnsi="宋体" w:eastAsia="宋体" w:cs="宋体"/>
                <w:sz w:val="24"/>
                <w:szCs w:val="24"/>
              </w:rPr>
            </w:pPr>
          </w:p>
        </w:tc>
        <w:tc>
          <w:tcPr>
            <w:tcW w:w="950" w:type="dxa"/>
            <w:noWrap/>
            <w:vAlign w:val="center"/>
          </w:tcPr>
          <w:p w14:paraId="0E49B38F">
            <w:pPr>
              <w:widowControl/>
              <w:spacing w:line="440" w:lineRule="exact"/>
              <w:jc w:val="center"/>
              <w:rPr>
                <w:rFonts w:hint="eastAsia" w:ascii="宋体" w:hAnsi="宋体" w:eastAsia="宋体" w:cs="宋体"/>
                <w:sz w:val="24"/>
                <w:szCs w:val="24"/>
              </w:rPr>
            </w:pPr>
          </w:p>
        </w:tc>
        <w:tc>
          <w:tcPr>
            <w:tcW w:w="2610" w:type="dxa"/>
            <w:noWrap/>
            <w:vAlign w:val="center"/>
          </w:tcPr>
          <w:p w14:paraId="0649D9C6">
            <w:pPr>
              <w:spacing w:line="440" w:lineRule="exact"/>
              <w:rPr>
                <w:rFonts w:hint="eastAsia" w:ascii="宋体" w:hAnsi="宋体" w:eastAsia="宋体" w:cs="宋体"/>
                <w:sz w:val="24"/>
                <w:szCs w:val="24"/>
              </w:rPr>
            </w:pPr>
          </w:p>
        </w:tc>
        <w:tc>
          <w:tcPr>
            <w:tcW w:w="1063" w:type="dxa"/>
            <w:noWrap/>
            <w:vAlign w:val="center"/>
          </w:tcPr>
          <w:p w14:paraId="1DBD11C3">
            <w:pPr>
              <w:spacing w:line="440" w:lineRule="exact"/>
              <w:rPr>
                <w:rFonts w:hint="eastAsia" w:ascii="宋体" w:hAnsi="宋体" w:eastAsia="宋体" w:cs="宋体"/>
                <w:sz w:val="24"/>
                <w:szCs w:val="24"/>
              </w:rPr>
            </w:pPr>
          </w:p>
        </w:tc>
      </w:tr>
      <w:tr w14:paraId="46F4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ign w:val="center"/>
          </w:tcPr>
          <w:p w14:paraId="5D1060A6">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3951" w:type="dxa"/>
            <w:noWrap/>
            <w:vAlign w:val="center"/>
          </w:tcPr>
          <w:p w14:paraId="76329E86">
            <w:pPr>
              <w:spacing w:line="440" w:lineRule="exact"/>
              <w:rPr>
                <w:rFonts w:hint="eastAsia" w:ascii="宋体" w:hAnsi="宋体" w:eastAsia="宋体" w:cs="宋体"/>
                <w:sz w:val="24"/>
                <w:szCs w:val="24"/>
              </w:rPr>
            </w:pPr>
          </w:p>
        </w:tc>
        <w:tc>
          <w:tcPr>
            <w:tcW w:w="950" w:type="dxa"/>
            <w:noWrap/>
            <w:vAlign w:val="center"/>
          </w:tcPr>
          <w:p w14:paraId="63E091E6">
            <w:pPr>
              <w:spacing w:line="440" w:lineRule="exact"/>
              <w:rPr>
                <w:rFonts w:hint="eastAsia" w:ascii="宋体" w:hAnsi="宋体" w:eastAsia="宋体" w:cs="宋体"/>
                <w:sz w:val="24"/>
                <w:szCs w:val="24"/>
              </w:rPr>
            </w:pPr>
          </w:p>
        </w:tc>
        <w:tc>
          <w:tcPr>
            <w:tcW w:w="2610" w:type="dxa"/>
            <w:noWrap/>
            <w:vAlign w:val="center"/>
          </w:tcPr>
          <w:p w14:paraId="0A65F57D">
            <w:pPr>
              <w:spacing w:line="440" w:lineRule="exact"/>
              <w:rPr>
                <w:rFonts w:hint="eastAsia" w:ascii="宋体" w:hAnsi="宋体" w:eastAsia="宋体" w:cs="宋体"/>
                <w:sz w:val="24"/>
                <w:szCs w:val="24"/>
              </w:rPr>
            </w:pPr>
          </w:p>
        </w:tc>
        <w:tc>
          <w:tcPr>
            <w:tcW w:w="1063" w:type="dxa"/>
            <w:noWrap/>
            <w:vAlign w:val="center"/>
          </w:tcPr>
          <w:p w14:paraId="59A7BF5E">
            <w:pPr>
              <w:spacing w:line="440" w:lineRule="exact"/>
              <w:rPr>
                <w:rFonts w:hint="eastAsia" w:ascii="宋体" w:hAnsi="宋体" w:eastAsia="宋体" w:cs="宋体"/>
                <w:sz w:val="24"/>
                <w:szCs w:val="24"/>
              </w:rPr>
            </w:pPr>
          </w:p>
        </w:tc>
      </w:tr>
      <w:tr w14:paraId="13EF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ign w:val="center"/>
          </w:tcPr>
          <w:p w14:paraId="6A3FBF61">
            <w:pPr>
              <w:spacing w:line="440" w:lineRule="exact"/>
              <w:jc w:val="center"/>
              <w:rPr>
                <w:rFonts w:hint="eastAsia" w:ascii="宋体" w:hAnsi="宋体" w:eastAsia="宋体" w:cs="宋体"/>
                <w:sz w:val="24"/>
                <w:szCs w:val="24"/>
              </w:rPr>
            </w:pPr>
          </w:p>
        </w:tc>
        <w:tc>
          <w:tcPr>
            <w:tcW w:w="3951" w:type="dxa"/>
            <w:noWrap/>
            <w:vAlign w:val="center"/>
          </w:tcPr>
          <w:p w14:paraId="012D537F">
            <w:pPr>
              <w:spacing w:line="440" w:lineRule="exact"/>
              <w:rPr>
                <w:rFonts w:hint="eastAsia" w:ascii="宋体" w:hAnsi="宋体" w:eastAsia="宋体" w:cs="宋体"/>
                <w:sz w:val="24"/>
                <w:szCs w:val="24"/>
              </w:rPr>
            </w:pPr>
          </w:p>
        </w:tc>
        <w:tc>
          <w:tcPr>
            <w:tcW w:w="950" w:type="dxa"/>
            <w:noWrap/>
            <w:vAlign w:val="center"/>
          </w:tcPr>
          <w:p w14:paraId="1D1E14F9">
            <w:pPr>
              <w:spacing w:line="440" w:lineRule="exact"/>
              <w:rPr>
                <w:rFonts w:hint="eastAsia" w:ascii="宋体" w:hAnsi="宋体" w:eastAsia="宋体" w:cs="宋体"/>
                <w:sz w:val="24"/>
                <w:szCs w:val="24"/>
              </w:rPr>
            </w:pPr>
          </w:p>
        </w:tc>
        <w:tc>
          <w:tcPr>
            <w:tcW w:w="2610" w:type="dxa"/>
            <w:noWrap/>
            <w:vAlign w:val="center"/>
          </w:tcPr>
          <w:p w14:paraId="3F39CC75">
            <w:pPr>
              <w:spacing w:line="440" w:lineRule="exact"/>
              <w:rPr>
                <w:rFonts w:hint="eastAsia" w:ascii="宋体" w:hAnsi="宋体" w:eastAsia="宋体" w:cs="宋体"/>
                <w:sz w:val="24"/>
                <w:szCs w:val="24"/>
              </w:rPr>
            </w:pPr>
          </w:p>
        </w:tc>
        <w:tc>
          <w:tcPr>
            <w:tcW w:w="1063" w:type="dxa"/>
            <w:noWrap/>
            <w:vAlign w:val="center"/>
          </w:tcPr>
          <w:p w14:paraId="3857FE8A">
            <w:pPr>
              <w:spacing w:line="440" w:lineRule="exact"/>
              <w:rPr>
                <w:rFonts w:hint="eastAsia" w:ascii="宋体" w:hAnsi="宋体" w:eastAsia="宋体" w:cs="宋体"/>
                <w:sz w:val="24"/>
                <w:szCs w:val="24"/>
              </w:rPr>
            </w:pPr>
          </w:p>
        </w:tc>
      </w:tr>
      <w:tr w14:paraId="06B5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trPr>
        <w:tc>
          <w:tcPr>
            <w:tcW w:w="5777" w:type="dxa"/>
            <w:gridSpan w:val="3"/>
            <w:noWrap/>
            <w:vAlign w:val="center"/>
          </w:tcPr>
          <w:p w14:paraId="0ABE7B7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合计总</w:t>
            </w:r>
            <w:r>
              <w:rPr>
                <w:rFonts w:hint="eastAsia" w:ascii="宋体" w:hAnsi="宋体" w:eastAsia="宋体" w:cs="宋体"/>
                <w:sz w:val="24"/>
                <w:szCs w:val="24"/>
                <w:lang w:val="en-US" w:eastAsia="zh-CN"/>
              </w:rPr>
              <w:t>单</w:t>
            </w:r>
            <w:r>
              <w:rPr>
                <w:rFonts w:hint="eastAsia" w:ascii="宋体" w:hAnsi="宋体" w:eastAsia="宋体" w:cs="宋体"/>
                <w:sz w:val="24"/>
                <w:szCs w:val="24"/>
              </w:rPr>
              <w:t>价（元）</w:t>
            </w:r>
          </w:p>
        </w:tc>
        <w:tc>
          <w:tcPr>
            <w:tcW w:w="2610" w:type="dxa"/>
            <w:noWrap/>
            <w:vAlign w:val="center"/>
          </w:tcPr>
          <w:p w14:paraId="2CDD98CF">
            <w:pPr>
              <w:spacing w:line="440" w:lineRule="exact"/>
              <w:rPr>
                <w:rFonts w:hint="eastAsia" w:ascii="宋体" w:hAnsi="宋体" w:eastAsia="宋体" w:cs="宋体"/>
                <w:sz w:val="24"/>
                <w:szCs w:val="24"/>
              </w:rPr>
            </w:pPr>
          </w:p>
        </w:tc>
        <w:tc>
          <w:tcPr>
            <w:tcW w:w="1063" w:type="dxa"/>
            <w:noWrap/>
            <w:vAlign w:val="center"/>
          </w:tcPr>
          <w:p w14:paraId="2EA5B748">
            <w:pPr>
              <w:spacing w:line="440" w:lineRule="exact"/>
              <w:rPr>
                <w:rFonts w:hint="eastAsia" w:ascii="宋体" w:hAnsi="宋体" w:eastAsia="宋体" w:cs="宋体"/>
                <w:sz w:val="24"/>
                <w:szCs w:val="24"/>
              </w:rPr>
            </w:pPr>
          </w:p>
        </w:tc>
      </w:tr>
      <w:tr w14:paraId="0BDA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trPr>
        <w:tc>
          <w:tcPr>
            <w:tcW w:w="5777" w:type="dxa"/>
            <w:gridSpan w:val="3"/>
            <w:noWrap/>
            <w:vAlign w:val="center"/>
          </w:tcPr>
          <w:p w14:paraId="12279F17">
            <w:pPr>
              <w:spacing w:line="440" w:lineRule="exact"/>
              <w:jc w:val="center"/>
              <w:rPr>
                <w:rFonts w:hint="eastAsia" w:ascii="宋体" w:hAnsi="宋体" w:eastAsia="宋体" w:cs="宋体"/>
                <w:sz w:val="24"/>
                <w:szCs w:val="24"/>
              </w:rPr>
            </w:pPr>
          </w:p>
        </w:tc>
        <w:tc>
          <w:tcPr>
            <w:tcW w:w="2610" w:type="dxa"/>
            <w:noWrap/>
            <w:vAlign w:val="center"/>
          </w:tcPr>
          <w:p w14:paraId="526A05FD">
            <w:pPr>
              <w:spacing w:line="440" w:lineRule="exact"/>
              <w:rPr>
                <w:rFonts w:hint="eastAsia" w:ascii="宋体" w:hAnsi="宋体" w:eastAsia="宋体" w:cs="宋体"/>
                <w:sz w:val="24"/>
                <w:szCs w:val="24"/>
              </w:rPr>
            </w:pPr>
          </w:p>
        </w:tc>
        <w:tc>
          <w:tcPr>
            <w:tcW w:w="1063" w:type="dxa"/>
            <w:noWrap/>
            <w:vAlign w:val="center"/>
          </w:tcPr>
          <w:p w14:paraId="4CE5F136">
            <w:pPr>
              <w:spacing w:line="440" w:lineRule="exact"/>
              <w:rPr>
                <w:rFonts w:hint="eastAsia" w:ascii="宋体" w:hAnsi="宋体" w:eastAsia="宋体" w:cs="宋体"/>
                <w:sz w:val="24"/>
                <w:szCs w:val="24"/>
              </w:rPr>
            </w:pPr>
          </w:p>
        </w:tc>
      </w:tr>
    </w:tbl>
    <w:p w14:paraId="651573AC">
      <w:pPr>
        <w:spacing w:line="440" w:lineRule="exact"/>
        <w:ind w:firstLine="240"/>
        <w:rPr>
          <w:rFonts w:hint="eastAsia" w:ascii="宋体" w:hAnsi="宋体" w:eastAsia="宋体" w:cs="宋体"/>
          <w:bCs/>
          <w:sz w:val="24"/>
        </w:rPr>
      </w:pPr>
      <w:r>
        <w:rPr>
          <w:rFonts w:hint="eastAsia" w:ascii="宋体" w:hAnsi="宋体" w:eastAsia="宋体" w:cs="宋体"/>
          <w:sz w:val="24"/>
          <w:szCs w:val="24"/>
        </w:rPr>
        <w:t>注：1、</w:t>
      </w:r>
      <w:r>
        <w:rPr>
          <w:rFonts w:hint="eastAsia" w:ascii="宋体" w:hAnsi="宋体" w:eastAsia="宋体" w:cs="宋体"/>
          <w:bCs/>
          <w:sz w:val="24"/>
        </w:rPr>
        <w:t>供应商应将对应项目所投入的有关费用分类别依次填报在上述表格中。</w:t>
      </w:r>
    </w:p>
    <w:p w14:paraId="3E53AA94">
      <w:pPr>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2、所有价格用人民币表示，</w:t>
      </w:r>
      <w:r>
        <w:rPr>
          <w:rFonts w:hint="eastAsia" w:ascii="宋体" w:hAnsi="宋体" w:eastAsia="宋体" w:cs="宋体"/>
          <w:bCs/>
          <w:sz w:val="24"/>
          <w:szCs w:val="24"/>
        </w:rPr>
        <w:t>请保留小数点后两位</w:t>
      </w:r>
      <w:r>
        <w:rPr>
          <w:rFonts w:hint="eastAsia" w:ascii="宋体" w:hAnsi="宋体" w:eastAsia="宋体" w:cs="宋体"/>
          <w:sz w:val="24"/>
          <w:szCs w:val="24"/>
        </w:rPr>
        <w:t>。</w:t>
      </w:r>
    </w:p>
    <w:p w14:paraId="72D2267E">
      <w:pPr>
        <w:spacing w:line="440" w:lineRule="exact"/>
        <w:ind w:firstLine="72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上述的“合计总单价”应与“</w:t>
      </w:r>
      <w:r>
        <w:rPr>
          <w:rFonts w:hint="eastAsia" w:ascii="宋体" w:hAnsi="宋体" w:eastAsia="宋体" w:cs="宋体"/>
          <w:sz w:val="24"/>
          <w:szCs w:val="24"/>
          <w:lang w:val="en-US" w:eastAsia="zh-CN"/>
        </w:rPr>
        <w:t>报价一览</w:t>
      </w:r>
      <w:r>
        <w:rPr>
          <w:rFonts w:hint="eastAsia" w:ascii="宋体" w:hAnsi="宋体" w:eastAsia="宋体" w:cs="宋体"/>
          <w:sz w:val="24"/>
          <w:szCs w:val="24"/>
        </w:rPr>
        <w:t>表”中对应“投标报价单价”相一致。</w:t>
      </w:r>
    </w:p>
    <w:p w14:paraId="71238AA6">
      <w:pPr>
        <w:spacing w:line="440" w:lineRule="exact"/>
        <w:ind w:firstLine="72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、如有需要说明的事项，请在备注中列明。</w:t>
      </w:r>
    </w:p>
    <w:p w14:paraId="47C8DCB1">
      <w:pPr>
        <w:pStyle w:val="19"/>
        <w:tabs>
          <w:tab w:val="left" w:pos="0"/>
        </w:tabs>
        <w:spacing w:line="460" w:lineRule="exact"/>
        <w:ind w:firstLine="480"/>
        <w:jc w:val="left"/>
        <w:rPr>
          <w:rFonts w:hint="eastAsia" w:ascii="宋体" w:hAnsi="宋体" w:eastAsia="宋体" w:cs="宋体"/>
          <w:bCs/>
          <w:sz w:val="24"/>
          <w:szCs w:val="24"/>
        </w:rPr>
      </w:pPr>
    </w:p>
    <w:p w14:paraId="09DEDF0A">
      <w:pPr>
        <w:spacing w:line="440" w:lineRule="exact"/>
        <w:ind w:firstLine="720"/>
        <w:rPr>
          <w:rFonts w:hint="eastAsia" w:ascii="宋体" w:hAnsi="宋体" w:eastAsia="宋体" w:cs="宋体"/>
          <w:sz w:val="24"/>
          <w:szCs w:val="24"/>
        </w:rPr>
      </w:pPr>
    </w:p>
    <w:p w14:paraId="65D2B7CD">
      <w:pPr>
        <w:pStyle w:val="3"/>
        <w:spacing w:line="440" w:lineRule="exact"/>
        <w:rPr>
          <w:rFonts w:hint="eastAsia" w:ascii="宋体" w:hAnsi="宋体" w:eastAsia="宋体" w:cs="宋体"/>
        </w:rPr>
      </w:pPr>
      <w:r>
        <w:rPr>
          <w:rFonts w:hint="eastAsia" w:ascii="宋体" w:hAnsi="宋体" w:eastAsia="宋体" w:cs="宋体"/>
          <w:sz w:val="24"/>
          <w:szCs w:val="24"/>
        </w:rPr>
        <w:br w:type="page" w:clear="all"/>
      </w:r>
      <w:bookmarkStart w:id="83" w:name="_Toc10078"/>
      <w:bookmarkStart w:id="84" w:name="_Toc13035"/>
      <w:r>
        <w:rPr>
          <w:rFonts w:hint="eastAsia" w:ascii="宋体" w:hAnsi="宋体" w:eastAsia="宋体" w:cs="宋体"/>
          <w:sz w:val="24"/>
          <w:szCs w:val="24"/>
        </w:rPr>
        <w:t>附件3 服务要求响应及偏离表</w:t>
      </w:r>
      <w:bookmarkEnd w:id="82"/>
      <w:bookmarkEnd w:id="83"/>
      <w:bookmarkEnd w:id="84"/>
    </w:p>
    <w:p w14:paraId="60AAF37B">
      <w:pPr>
        <w:spacing w:line="480" w:lineRule="exact"/>
        <w:ind w:firstLine="240"/>
        <w:rPr>
          <w:rFonts w:hint="eastAsia" w:ascii="宋体" w:hAnsi="宋体" w:eastAsia="宋体" w:cs="宋体"/>
          <w:sz w:val="24"/>
        </w:rPr>
      </w:pPr>
      <w:r>
        <w:rPr>
          <w:rFonts w:hint="eastAsia" w:ascii="宋体" w:hAnsi="宋体" w:eastAsia="宋体" w:cs="宋体"/>
          <w:sz w:val="24"/>
        </w:rPr>
        <w:t>1、对项目服务要求响应说明。请按要求填写以下表格：</w:t>
      </w:r>
    </w:p>
    <w:tbl>
      <w:tblPr>
        <w:tblStyle w:val="54"/>
        <w:tblW w:w="92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951"/>
        <w:gridCol w:w="2452"/>
        <w:gridCol w:w="1260"/>
        <w:gridCol w:w="2809"/>
      </w:tblGrid>
      <w:tr w14:paraId="7763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6092AD56">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51" w:type="dxa"/>
            <w:noWrap w:val="0"/>
            <w:vAlign w:val="center"/>
          </w:tcPr>
          <w:p w14:paraId="6CBF4681">
            <w:pPr>
              <w:jc w:val="center"/>
              <w:rPr>
                <w:rFonts w:hint="eastAsia" w:ascii="宋体" w:hAnsi="宋体" w:eastAsia="宋体" w:cs="宋体"/>
                <w:sz w:val="24"/>
                <w:szCs w:val="24"/>
              </w:rPr>
            </w:pPr>
            <w:r>
              <w:rPr>
                <w:rFonts w:hint="eastAsia" w:ascii="宋体" w:hAnsi="宋体" w:eastAsia="宋体" w:cs="宋体"/>
                <w:sz w:val="24"/>
                <w:szCs w:val="21"/>
              </w:rPr>
              <w:t>磋商文件要求</w:t>
            </w:r>
          </w:p>
        </w:tc>
        <w:tc>
          <w:tcPr>
            <w:tcW w:w="2452" w:type="dxa"/>
            <w:noWrap w:val="0"/>
            <w:vAlign w:val="center"/>
          </w:tcPr>
          <w:p w14:paraId="705A5D1C">
            <w:pPr>
              <w:jc w:val="center"/>
              <w:rPr>
                <w:rFonts w:hint="eastAsia" w:ascii="宋体" w:hAnsi="宋体" w:eastAsia="宋体" w:cs="宋体"/>
                <w:sz w:val="24"/>
                <w:szCs w:val="21"/>
              </w:rPr>
            </w:pPr>
            <w:r>
              <w:rPr>
                <w:rFonts w:hint="eastAsia" w:ascii="宋体" w:hAnsi="宋体" w:eastAsia="宋体" w:cs="宋体"/>
                <w:sz w:val="24"/>
                <w:szCs w:val="21"/>
              </w:rPr>
              <w:t>供应商提供服务承诺</w:t>
            </w:r>
          </w:p>
        </w:tc>
        <w:tc>
          <w:tcPr>
            <w:tcW w:w="1260" w:type="dxa"/>
            <w:noWrap w:val="0"/>
            <w:vAlign w:val="center"/>
          </w:tcPr>
          <w:p w14:paraId="6035223C">
            <w:pPr>
              <w:jc w:val="center"/>
              <w:rPr>
                <w:rFonts w:hint="eastAsia" w:ascii="宋体" w:hAnsi="宋体" w:eastAsia="宋体" w:cs="宋体"/>
                <w:sz w:val="24"/>
                <w:szCs w:val="24"/>
              </w:rPr>
            </w:pPr>
            <w:r>
              <w:rPr>
                <w:rFonts w:hint="eastAsia" w:ascii="宋体" w:hAnsi="宋体" w:eastAsia="宋体" w:cs="宋体"/>
                <w:sz w:val="24"/>
                <w:szCs w:val="24"/>
              </w:rPr>
              <w:t>是否响应</w:t>
            </w:r>
          </w:p>
        </w:tc>
        <w:tc>
          <w:tcPr>
            <w:tcW w:w="2809" w:type="dxa"/>
            <w:noWrap w:val="0"/>
            <w:vAlign w:val="center"/>
          </w:tcPr>
          <w:p w14:paraId="73DDD616">
            <w:pPr>
              <w:jc w:val="center"/>
              <w:rPr>
                <w:rFonts w:hint="eastAsia" w:ascii="宋体" w:hAnsi="宋体" w:eastAsia="宋体" w:cs="宋体"/>
                <w:sz w:val="24"/>
                <w:szCs w:val="24"/>
              </w:rPr>
            </w:pPr>
            <w:r>
              <w:rPr>
                <w:rFonts w:hint="eastAsia" w:ascii="宋体" w:hAnsi="宋体" w:eastAsia="宋体" w:cs="宋体"/>
                <w:sz w:val="24"/>
                <w:szCs w:val="24"/>
              </w:rPr>
              <w:t>偏离内容及原因</w:t>
            </w:r>
          </w:p>
        </w:tc>
      </w:tr>
      <w:tr w14:paraId="7FB7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3EA68E21">
            <w:pPr>
              <w:jc w:val="center"/>
              <w:rPr>
                <w:rFonts w:hint="eastAsia" w:ascii="宋体" w:hAnsi="宋体" w:eastAsia="宋体" w:cs="宋体"/>
                <w:sz w:val="24"/>
                <w:szCs w:val="24"/>
              </w:rPr>
            </w:pPr>
          </w:p>
        </w:tc>
        <w:tc>
          <w:tcPr>
            <w:tcW w:w="1951" w:type="dxa"/>
            <w:noWrap w:val="0"/>
            <w:vAlign w:val="center"/>
          </w:tcPr>
          <w:p w14:paraId="13BF6887">
            <w:pPr>
              <w:jc w:val="center"/>
              <w:rPr>
                <w:rFonts w:hint="eastAsia" w:ascii="宋体" w:hAnsi="宋体" w:eastAsia="宋体" w:cs="宋体"/>
                <w:sz w:val="24"/>
                <w:szCs w:val="24"/>
              </w:rPr>
            </w:pPr>
          </w:p>
        </w:tc>
        <w:tc>
          <w:tcPr>
            <w:tcW w:w="2452" w:type="dxa"/>
            <w:noWrap w:val="0"/>
            <w:vAlign w:val="center"/>
          </w:tcPr>
          <w:p w14:paraId="51E145E3">
            <w:pPr>
              <w:jc w:val="center"/>
              <w:rPr>
                <w:rFonts w:hint="eastAsia" w:ascii="宋体" w:hAnsi="宋体" w:eastAsia="宋体" w:cs="宋体"/>
                <w:sz w:val="24"/>
                <w:szCs w:val="24"/>
              </w:rPr>
            </w:pPr>
          </w:p>
        </w:tc>
        <w:tc>
          <w:tcPr>
            <w:tcW w:w="1260" w:type="dxa"/>
            <w:noWrap w:val="0"/>
            <w:vAlign w:val="center"/>
          </w:tcPr>
          <w:p w14:paraId="6D1DEC0A">
            <w:pPr>
              <w:jc w:val="center"/>
              <w:rPr>
                <w:rFonts w:hint="eastAsia" w:ascii="宋体" w:hAnsi="宋体" w:eastAsia="宋体" w:cs="宋体"/>
                <w:sz w:val="24"/>
                <w:szCs w:val="24"/>
              </w:rPr>
            </w:pPr>
          </w:p>
        </w:tc>
        <w:tc>
          <w:tcPr>
            <w:tcW w:w="2809" w:type="dxa"/>
            <w:noWrap w:val="0"/>
            <w:vAlign w:val="center"/>
          </w:tcPr>
          <w:p w14:paraId="188CBC91">
            <w:pPr>
              <w:jc w:val="center"/>
              <w:rPr>
                <w:rFonts w:hint="eastAsia" w:ascii="宋体" w:hAnsi="宋体" w:eastAsia="宋体" w:cs="宋体"/>
                <w:sz w:val="24"/>
                <w:szCs w:val="24"/>
              </w:rPr>
            </w:pPr>
          </w:p>
        </w:tc>
      </w:tr>
      <w:tr w14:paraId="2589A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43FB6775">
            <w:pPr>
              <w:jc w:val="center"/>
              <w:rPr>
                <w:rFonts w:hint="eastAsia" w:ascii="宋体" w:hAnsi="宋体" w:eastAsia="宋体" w:cs="宋体"/>
                <w:sz w:val="24"/>
                <w:szCs w:val="24"/>
              </w:rPr>
            </w:pPr>
          </w:p>
        </w:tc>
        <w:tc>
          <w:tcPr>
            <w:tcW w:w="1951" w:type="dxa"/>
            <w:noWrap w:val="0"/>
            <w:vAlign w:val="center"/>
          </w:tcPr>
          <w:p w14:paraId="73B5B5F3">
            <w:pPr>
              <w:jc w:val="center"/>
              <w:rPr>
                <w:rFonts w:hint="eastAsia" w:ascii="宋体" w:hAnsi="宋体" w:eastAsia="宋体" w:cs="宋体"/>
                <w:sz w:val="24"/>
                <w:szCs w:val="24"/>
              </w:rPr>
            </w:pPr>
          </w:p>
        </w:tc>
        <w:tc>
          <w:tcPr>
            <w:tcW w:w="2452" w:type="dxa"/>
            <w:noWrap w:val="0"/>
            <w:vAlign w:val="center"/>
          </w:tcPr>
          <w:p w14:paraId="0D355F8A">
            <w:pPr>
              <w:jc w:val="center"/>
              <w:rPr>
                <w:rFonts w:hint="eastAsia" w:ascii="宋体" w:hAnsi="宋体" w:eastAsia="宋体" w:cs="宋体"/>
                <w:sz w:val="24"/>
                <w:szCs w:val="24"/>
              </w:rPr>
            </w:pPr>
          </w:p>
        </w:tc>
        <w:tc>
          <w:tcPr>
            <w:tcW w:w="1260" w:type="dxa"/>
            <w:noWrap w:val="0"/>
            <w:vAlign w:val="center"/>
          </w:tcPr>
          <w:p w14:paraId="0D8AE939">
            <w:pPr>
              <w:jc w:val="center"/>
              <w:rPr>
                <w:rFonts w:hint="eastAsia" w:ascii="宋体" w:hAnsi="宋体" w:eastAsia="宋体" w:cs="宋体"/>
                <w:sz w:val="24"/>
                <w:szCs w:val="24"/>
              </w:rPr>
            </w:pPr>
          </w:p>
        </w:tc>
        <w:tc>
          <w:tcPr>
            <w:tcW w:w="2809" w:type="dxa"/>
            <w:noWrap w:val="0"/>
            <w:vAlign w:val="center"/>
          </w:tcPr>
          <w:p w14:paraId="65FD60E4">
            <w:pPr>
              <w:jc w:val="center"/>
              <w:rPr>
                <w:rFonts w:hint="eastAsia" w:ascii="宋体" w:hAnsi="宋体" w:eastAsia="宋体" w:cs="宋体"/>
                <w:sz w:val="24"/>
                <w:szCs w:val="24"/>
              </w:rPr>
            </w:pPr>
          </w:p>
        </w:tc>
      </w:tr>
      <w:tr w14:paraId="1E42D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5C510538">
            <w:pPr>
              <w:jc w:val="center"/>
              <w:rPr>
                <w:rFonts w:hint="eastAsia" w:ascii="宋体" w:hAnsi="宋体" w:eastAsia="宋体" w:cs="宋体"/>
                <w:sz w:val="24"/>
                <w:szCs w:val="24"/>
              </w:rPr>
            </w:pPr>
          </w:p>
        </w:tc>
        <w:tc>
          <w:tcPr>
            <w:tcW w:w="1951" w:type="dxa"/>
            <w:noWrap w:val="0"/>
            <w:vAlign w:val="center"/>
          </w:tcPr>
          <w:p w14:paraId="5D47AE62">
            <w:pPr>
              <w:jc w:val="center"/>
              <w:rPr>
                <w:rFonts w:hint="eastAsia" w:ascii="宋体" w:hAnsi="宋体" w:eastAsia="宋体" w:cs="宋体"/>
                <w:sz w:val="24"/>
                <w:szCs w:val="24"/>
              </w:rPr>
            </w:pPr>
          </w:p>
        </w:tc>
        <w:tc>
          <w:tcPr>
            <w:tcW w:w="2452" w:type="dxa"/>
            <w:noWrap w:val="0"/>
            <w:vAlign w:val="center"/>
          </w:tcPr>
          <w:p w14:paraId="2F097939">
            <w:pPr>
              <w:jc w:val="center"/>
              <w:rPr>
                <w:rFonts w:hint="eastAsia" w:ascii="宋体" w:hAnsi="宋体" w:eastAsia="宋体" w:cs="宋体"/>
                <w:sz w:val="24"/>
                <w:szCs w:val="24"/>
              </w:rPr>
            </w:pPr>
          </w:p>
        </w:tc>
        <w:tc>
          <w:tcPr>
            <w:tcW w:w="1260" w:type="dxa"/>
            <w:noWrap w:val="0"/>
            <w:vAlign w:val="center"/>
          </w:tcPr>
          <w:p w14:paraId="526AB0C1">
            <w:pPr>
              <w:jc w:val="center"/>
              <w:rPr>
                <w:rFonts w:hint="eastAsia" w:ascii="宋体" w:hAnsi="宋体" w:eastAsia="宋体" w:cs="宋体"/>
                <w:sz w:val="24"/>
                <w:szCs w:val="24"/>
              </w:rPr>
            </w:pPr>
          </w:p>
        </w:tc>
        <w:tc>
          <w:tcPr>
            <w:tcW w:w="2809" w:type="dxa"/>
            <w:noWrap w:val="0"/>
            <w:vAlign w:val="center"/>
          </w:tcPr>
          <w:p w14:paraId="7129605B">
            <w:pPr>
              <w:jc w:val="center"/>
              <w:rPr>
                <w:rFonts w:hint="eastAsia" w:ascii="宋体" w:hAnsi="宋体" w:eastAsia="宋体" w:cs="宋体"/>
                <w:sz w:val="24"/>
                <w:szCs w:val="24"/>
              </w:rPr>
            </w:pPr>
          </w:p>
        </w:tc>
      </w:tr>
      <w:tr w14:paraId="60C1D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4D91BD69">
            <w:pPr>
              <w:jc w:val="center"/>
              <w:rPr>
                <w:rFonts w:hint="eastAsia" w:ascii="宋体" w:hAnsi="宋体" w:eastAsia="宋体" w:cs="宋体"/>
                <w:sz w:val="24"/>
                <w:szCs w:val="24"/>
              </w:rPr>
            </w:pPr>
          </w:p>
        </w:tc>
        <w:tc>
          <w:tcPr>
            <w:tcW w:w="1951" w:type="dxa"/>
            <w:noWrap w:val="0"/>
            <w:vAlign w:val="center"/>
          </w:tcPr>
          <w:p w14:paraId="26AACABB">
            <w:pPr>
              <w:jc w:val="center"/>
              <w:rPr>
                <w:rFonts w:hint="eastAsia" w:ascii="宋体" w:hAnsi="宋体" w:eastAsia="宋体" w:cs="宋体"/>
                <w:sz w:val="24"/>
                <w:szCs w:val="24"/>
              </w:rPr>
            </w:pPr>
          </w:p>
        </w:tc>
        <w:tc>
          <w:tcPr>
            <w:tcW w:w="2452" w:type="dxa"/>
            <w:noWrap w:val="0"/>
            <w:vAlign w:val="center"/>
          </w:tcPr>
          <w:p w14:paraId="72E2999D">
            <w:pPr>
              <w:jc w:val="center"/>
              <w:rPr>
                <w:rFonts w:hint="eastAsia" w:ascii="宋体" w:hAnsi="宋体" w:eastAsia="宋体" w:cs="宋体"/>
                <w:sz w:val="24"/>
                <w:szCs w:val="24"/>
              </w:rPr>
            </w:pPr>
          </w:p>
        </w:tc>
        <w:tc>
          <w:tcPr>
            <w:tcW w:w="1260" w:type="dxa"/>
            <w:noWrap w:val="0"/>
            <w:vAlign w:val="center"/>
          </w:tcPr>
          <w:p w14:paraId="04001099">
            <w:pPr>
              <w:jc w:val="center"/>
              <w:rPr>
                <w:rFonts w:hint="eastAsia" w:ascii="宋体" w:hAnsi="宋体" w:eastAsia="宋体" w:cs="宋体"/>
                <w:sz w:val="24"/>
                <w:szCs w:val="24"/>
              </w:rPr>
            </w:pPr>
          </w:p>
        </w:tc>
        <w:tc>
          <w:tcPr>
            <w:tcW w:w="2809" w:type="dxa"/>
            <w:noWrap w:val="0"/>
            <w:vAlign w:val="center"/>
          </w:tcPr>
          <w:p w14:paraId="33E017E1">
            <w:pPr>
              <w:jc w:val="center"/>
              <w:rPr>
                <w:rFonts w:hint="eastAsia" w:ascii="宋体" w:hAnsi="宋体" w:eastAsia="宋体" w:cs="宋体"/>
                <w:sz w:val="24"/>
                <w:szCs w:val="24"/>
              </w:rPr>
            </w:pPr>
          </w:p>
        </w:tc>
      </w:tr>
      <w:tr w14:paraId="74343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1023DD5F">
            <w:pPr>
              <w:jc w:val="center"/>
              <w:rPr>
                <w:rFonts w:hint="eastAsia" w:ascii="宋体" w:hAnsi="宋体" w:eastAsia="宋体" w:cs="宋体"/>
                <w:sz w:val="24"/>
                <w:szCs w:val="24"/>
              </w:rPr>
            </w:pPr>
          </w:p>
        </w:tc>
        <w:tc>
          <w:tcPr>
            <w:tcW w:w="1951" w:type="dxa"/>
            <w:noWrap w:val="0"/>
            <w:vAlign w:val="center"/>
          </w:tcPr>
          <w:p w14:paraId="6A55E088">
            <w:pPr>
              <w:jc w:val="center"/>
              <w:rPr>
                <w:rFonts w:hint="eastAsia" w:ascii="宋体" w:hAnsi="宋体" w:eastAsia="宋体" w:cs="宋体"/>
                <w:sz w:val="24"/>
                <w:szCs w:val="24"/>
              </w:rPr>
            </w:pPr>
          </w:p>
        </w:tc>
        <w:tc>
          <w:tcPr>
            <w:tcW w:w="2452" w:type="dxa"/>
            <w:noWrap w:val="0"/>
            <w:vAlign w:val="center"/>
          </w:tcPr>
          <w:p w14:paraId="15C41035">
            <w:pPr>
              <w:jc w:val="center"/>
              <w:rPr>
                <w:rFonts w:hint="eastAsia" w:ascii="宋体" w:hAnsi="宋体" w:eastAsia="宋体" w:cs="宋体"/>
                <w:sz w:val="24"/>
                <w:szCs w:val="24"/>
              </w:rPr>
            </w:pPr>
          </w:p>
        </w:tc>
        <w:tc>
          <w:tcPr>
            <w:tcW w:w="1260" w:type="dxa"/>
            <w:noWrap w:val="0"/>
            <w:vAlign w:val="center"/>
          </w:tcPr>
          <w:p w14:paraId="67771D1C">
            <w:pPr>
              <w:jc w:val="center"/>
              <w:rPr>
                <w:rFonts w:hint="eastAsia" w:ascii="宋体" w:hAnsi="宋体" w:eastAsia="宋体" w:cs="宋体"/>
                <w:sz w:val="24"/>
                <w:szCs w:val="24"/>
              </w:rPr>
            </w:pPr>
          </w:p>
        </w:tc>
        <w:tc>
          <w:tcPr>
            <w:tcW w:w="2809" w:type="dxa"/>
            <w:noWrap w:val="0"/>
            <w:vAlign w:val="center"/>
          </w:tcPr>
          <w:p w14:paraId="6F94E531">
            <w:pPr>
              <w:jc w:val="center"/>
              <w:rPr>
                <w:rFonts w:hint="eastAsia" w:ascii="宋体" w:hAnsi="宋体" w:eastAsia="宋体" w:cs="宋体"/>
                <w:sz w:val="24"/>
                <w:szCs w:val="24"/>
              </w:rPr>
            </w:pPr>
          </w:p>
        </w:tc>
      </w:tr>
    </w:tbl>
    <w:p w14:paraId="457692E9">
      <w:pPr>
        <w:spacing w:line="440" w:lineRule="exact"/>
        <w:rPr>
          <w:rFonts w:hint="eastAsia" w:ascii="宋体" w:hAnsi="宋体" w:eastAsia="宋体" w:cs="宋体"/>
        </w:rPr>
      </w:pPr>
      <w:r>
        <w:rPr>
          <w:rFonts w:hint="eastAsia" w:ascii="宋体" w:hAnsi="宋体" w:eastAsia="宋体" w:cs="宋体"/>
          <w:sz w:val="24"/>
          <w:szCs w:val="24"/>
        </w:rPr>
        <w:t>注：（1）供应商应根据“第四章 采购需求”中的“二、项目服务要求”对照所能提供的服务承诺进行逐项评议。</w:t>
      </w:r>
    </w:p>
    <w:p w14:paraId="142146BB">
      <w:pPr>
        <w:spacing w:line="440" w:lineRule="exact"/>
        <w:ind w:firstLine="480"/>
        <w:jc w:val="left"/>
        <w:rPr>
          <w:rFonts w:hint="eastAsia" w:ascii="宋体" w:hAnsi="宋体" w:eastAsia="宋体" w:cs="宋体"/>
          <w:sz w:val="24"/>
        </w:rPr>
      </w:pPr>
      <w:r>
        <w:rPr>
          <w:rFonts w:hint="eastAsia" w:ascii="宋体" w:hAnsi="宋体" w:eastAsia="宋体" w:cs="宋体"/>
          <w:sz w:val="24"/>
          <w:szCs w:val="24"/>
        </w:rPr>
        <w:t>（2）若完全响应，在“是否响应”栏中填写“是”；若有偏离在“是否响应”栏中填写 “否”并在“偏离内容及原因”栏中作出说明；</w:t>
      </w:r>
      <w:r>
        <w:rPr>
          <w:rFonts w:hint="eastAsia" w:ascii="宋体" w:hAnsi="宋体" w:eastAsia="宋体" w:cs="宋体"/>
          <w:sz w:val="24"/>
        </w:rPr>
        <w:t>因未标明或表述含糊导致的评审风险将由供应商承担。</w:t>
      </w:r>
    </w:p>
    <w:p w14:paraId="62FD02BE">
      <w:pPr>
        <w:spacing w:line="440" w:lineRule="exact"/>
        <w:ind w:firstLine="480"/>
        <w:jc w:val="left"/>
        <w:rPr>
          <w:rFonts w:hint="eastAsia" w:ascii="宋体" w:hAnsi="宋体" w:eastAsia="宋体" w:cs="宋体"/>
          <w:sz w:val="24"/>
          <w:szCs w:val="24"/>
        </w:rPr>
      </w:pPr>
      <w:r>
        <w:rPr>
          <w:rFonts w:hint="eastAsia" w:ascii="宋体" w:hAnsi="宋体" w:eastAsia="宋体" w:cs="宋体"/>
          <w:sz w:val="24"/>
          <w:szCs w:val="24"/>
        </w:rPr>
        <w:t>（3）表格不够可另接。</w:t>
      </w:r>
    </w:p>
    <w:p w14:paraId="77BC8EFA">
      <w:pPr>
        <w:spacing w:line="460" w:lineRule="exact"/>
        <w:rPr>
          <w:rFonts w:hint="eastAsia" w:ascii="宋体" w:hAnsi="宋体" w:eastAsia="宋体" w:cs="宋体"/>
          <w:bCs/>
          <w:sz w:val="24"/>
        </w:rPr>
      </w:pPr>
    </w:p>
    <w:p w14:paraId="67D81D3A">
      <w:pPr>
        <w:pStyle w:val="3"/>
        <w:spacing w:line="440" w:lineRule="exact"/>
        <w:rPr>
          <w:rFonts w:hint="eastAsia" w:ascii="宋体" w:hAnsi="宋体" w:eastAsia="宋体" w:cs="宋体"/>
          <w:sz w:val="24"/>
          <w:szCs w:val="24"/>
        </w:rPr>
      </w:pPr>
      <w:r>
        <w:rPr>
          <w:rFonts w:hint="eastAsia" w:ascii="宋体" w:hAnsi="宋体" w:eastAsia="宋体" w:cs="宋体"/>
        </w:rPr>
        <w:br w:type="page" w:clear="all"/>
      </w:r>
      <w:bookmarkStart w:id="85" w:name="_Toc159312662"/>
      <w:bookmarkStart w:id="86" w:name="_Toc25274"/>
      <w:bookmarkStart w:id="87" w:name="_Toc22867"/>
      <w:r>
        <w:rPr>
          <w:rFonts w:hint="eastAsia" w:ascii="宋体" w:hAnsi="宋体" w:eastAsia="宋体" w:cs="宋体"/>
          <w:sz w:val="24"/>
          <w:szCs w:val="24"/>
        </w:rPr>
        <w:t>附件4 商务要求响应及偏离表</w:t>
      </w:r>
      <w:bookmarkEnd w:id="85"/>
      <w:bookmarkEnd w:id="86"/>
      <w:bookmarkEnd w:id="87"/>
    </w:p>
    <w:p w14:paraId="2266A730">
      <w:pPr>
        <w:rPr>
          <w:rFonts w:hint="eastAsia" w:ascii="宋体" w:hAnsi="宋体" w:eastAsia="宋体" w:cs="宋体"/>
        </w:rPr>
      </w:pPr>
    </w:p>
    <w:tbl>
      <w:tblPr>
        <w:tblStyle w:val="54"/>
        <w:tblW w:w="939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5704"/>
        <w:gridCol w:w="1515"/>
        <w:gridCol w:w="1560"/>
      </w:tblGrid>
      <w:tr w14:paraId="1DAA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C307F71">
            <w:pPr>
              <w:jc w:val="center"/>
              <w:rPr>
                <w:rFonts w:hint="eastAsia" w:ascii="宋体" w:hAnsi="宋体" w:eastAsia="宋体" w:cs="宋体"/>
                <w:sz w:val="24"/>
                <w:szCs w:val="24"/>
              </w:rPr>
            </w:pPr>
            <w:r>
              <w:rPr>
                <w:rFonts w:hint="eastAsia" w:ascii="宋体" w:hAnsi="宋体" w:eastAsia="宋体" w:cs="宋体"/>
                <w:color w:val="000000"/>
                <w:sz w:val="24"/>
                <w:szCs w:val="24"/>
              </w:rPr>
              <w:t>序号</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7E016BBE">
            <w:pPr>
              <w:jc w:val="center"/>
              <w:rPr>
                <w:rFonts w:hint="eastAsia" w:ascii="宋体" w:hAnsi="宋体" w:eastAsia="宋体" w:cs="宋体"/>
                <w:sz w:val="24"/>
                <w:szCs w:val="24"/>
              </w:rPr>
            </w:pPr>
            <w:r>
              <w:rPr>
                <w:rFonts w:hint="eastAsia" w:ascii="宋体" w:hAnsi="宋体" w:eastAsia="宋体" w:cs="宋体"/>
                <w:color w:val="000000"/>
                <w:sz w:val="24"/>
                <w:szCs w:val="24"/>
              </w:rPr>
              <w:t>磋商文件要求</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52B15413">
            <w:pPr>
              <w:jc w:val="center"/>
              <w:rPr>
                <w:rFonts w:hint="eastAsia" w:ascii="宋体" w:hAnsi="宋体" w:eastAsia="宋体" w:cs="宋体"/>
                <w:sz w:val="24"/>
                <w:szCs w:val="24"/>
              </w:rPr>
            </w:pPr>
            <w:r>
              <w:rPr>
                <w:rFonts w:hint="eastAsia" w:ascii="宋体" w:hAnsi="宋体" w:eastAsia="宋体" w:cs="宋体"/>
                <w:sz w:val="24"/>
                <w:szCs w:val="24"/>
              </w:rPr>
              <w:t>有无偏离</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354501C6">
            <w:pPr>
              <w:jc w:val="center"/>
              <w:rPr>
                <w:rFonts w:hint="eastAsia" w:ascii="宋体" w:hAnsi="宋体" w:eastAsia="宋体" w:cs="宋体"/>
                <w:sz w:val="24"/>
                <w:szCs w:val="24"/>
              </w:rPr>
            </w:pPr>
            <w:r>
              <w:rPr>
                <w:rFonts w:hint="eastAsia" w:ascii="宋体" w:hAnsi="宋体" w:eastAsia="宋体" w:cs="宋体"/>
                <w:color w:val="000000"/>
                <w:sz w:val="24"/>
              </w:rPr>
              <w:t>偏离内容及原因</w:t>
            </w:r>
          </w:p>
        </w:tc>
      </w:tr>
      <w:tr w14:paraId="7B2C0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C7D5675">
            <w:pPr>
              <w:spacing w:line="380" w:lineRule="exact"/>
              <w:rPr>
                <w:rFonts w:hint="eastAsia" w:ascii="宋体" w:hAnsi="宋体" w:eastAsia="宋体" w:cs="宋体"/>
                <w:bCs/>
                <w:sz w:val="24"/>
                <w:szCs w:val="24"/>
              </w:rPr>
            </w:pPr>
            <w:r>
              <w:rPr>
                <w:rFonts w:hint="eastAsia" w:ascii="宋体" w:hAnsi="宋体" w:eastAsia="宋体" w:cs="宋体"/>
                <w:bCs/>
                <w:sz w:val="24"/>
                <w:szCs w:val="24"/>
              </w:rPr>
              <w:t>1</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49B57356">
            <w:pPr>
              <w:spacing w:line="380" w:lineRule="exact"/>
              <w:rPr>
                <w:rFonts w:hint="eastAsia" w:ascii="宋体" w:hAnsi="宋体" w:eastAsia="宋体" w:cs="宋体"/>
                <w:sz w:val="24"/>
                <w:szCs w:val="24"/>
              </w:rPr>
            </w:pPr>
            <w:r>
              <w:rPr>
                <w:rFonts w:hint="eastAsia" w:ascii="宋体" w:hAnsi="宋体" w:eastAsia="宋体" w:cs="宋体"/>
                <w:bCs/>
                <w:sz w:val="24"/>
                <w:szCs w:val="24"/>
              </w:rPr>
              <w:t>第一条 定义</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2D170379">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37B5A870">
            <w:pPr>
              <w:spacing w:line="380" w:lineRule="exact"/>
              <w:rPr>
                <w:rFonts w:hint="eastAsia" w:ascii="宋体" w:hAnsi="宋体" w:eastAsia="宋体" w:cs="宋体"/>
                <w:sz w:val="24"/>
                <w:szCs w:val="24"/>
              </w:rPr>
            </w:pPr>
          </w:p>
        </w:tc>
      </w:tr>
      <w:tr w14:paraId="5030B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E9A00BE">
            <w:pPr>
              <w:spacing w:line="380" w:lineRule="exact"/>
              <w:rPr>
                <w:rFonts w:hint="eastAsia" w:ascii="宋体" w:hAnsi="宋体" w:eastAsia="宋体" w:cs="宋体"/>
                <w:bCs/>
                <w:sz w:val="24"/>
                <w:szCs w:val="24"/>
              </w:rPr>
            </w:pPr>
            <w:r>
              <w:rPr>
                <w:rFonts w:hint="eastAsia" w:ascii="宋体" w:hAnsi="宋体" w:eastAsia="宋体" w:cs="宋体"/>
                <w:bCs/>
                <w:sz w:val="24"/>
                <w:szCs w:val="24"/>
              </w:rPr>
              <w:t>2</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21E78EDD">
            <w:pPr>
              <w:spacing w:line="380" w:lineRule="exact"/>
              <w:rPr>
                <w:rFonts w:hint="eastAsia" w:ascii="宋体" w:hAnsi="宋体" w:eastAsia="宋体" w:cs="宋体"/>
                <w:sz w:val="24"/>
                <w:szCs w:val="24"/>
              </w:rPr>
            </w:pPr>
            <w:r>
              <w:rPr>
                <w:rFonts w:hint="eastAsia" w:ascii="宋体" w:hAnsi="宋体" w:eastAsia="宋体" w:cs="宋体"/>
                <w:bCs/>
                <w:sz w:val="24"/>
                <w:szCs w:val="24"/>
              </w:rPr>
              <w:t xml:space="preserve">第二条 </w:t>
            </w:r>
            <w:r>
              <w:rPr>
                <w:rFonts w:hint="eastAsia" w:ascii="宋体" w:hAnsi="宋体" w:eastAsia="宋体" w:cs="宋体"/>
                <w:bCs/>
                <w:color w:val="000000"/>
                <w:sz w:val="24"/>
                <w:szCs w:val="24"/>
              </w:rPr>
              <w:t>组成本合同的文件</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2D75153D">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08F53DB">
            <w:pPr>
              <w:spacing w:line="380" w:lineRule="exact"/>
              <w:rPr>
                <w:rFonts w:hint="eastAsia" w:ascii="宋体" w:hAnsi="宋体" w:eastAsia="宋体" w:cs="宋体"/>
                <w:sz w:val="24"/>
                <w:szCs w:val="24"/>
              </w:rPr>
            </w:pPr>
          </w:p>
        </w:tc>
      </w:tr>
      <w:tr w14:paraId="333C5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3C2F878A">
            <w:pPr>
              <w:spacing w:line="440" w:lineRule="exact"/>
              <w:rPr>
                <w:rFonts w:hint="eastAsia" w:ascii="宋体" w:hAnsi="宋体" w:eastAsia="宋体" w:cs="宋体"/>
                <w:bCs/>
                <w:sz w:val="24"/>
                <w:szCs w:val="24"/>
              </w:rPr>
            </w:pPr>
            <w:r>
              <w:rPr>
                <w:rFonts w:hint="eastAsia" w:ascii="宋体" w:hAnsi="宋体" w:eastAsia="宋体" w:cs="宋体"/>
                <w:bCs/>
                <w:sz w:val="24"/>
                <w:szCs w:val="24"/>
              </w:rPr>
              <w:t>3</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625F3876">
            <w:pPr>
              <w:spacing w:line="440" w:lineRule="exact"/>
              <w:rPr>
                <w:rFonts w:hint="eastAsia" w:ascii="宋体" w:hAnsi="宋体" w:eastAsia="宋体" w:cs="宋体"/>
                <w:sz w:val="24"/>
                <w:szCs w:val="24"/>
              </w:rPr>
            </w:pPr>
            <w:r>
              <w:rPr>
                <w:rFonts w:hint="eastAsia" w:ascii="宋体" w:hAnsi="宋体" w:eastAsia="宋体" w:cs="宋体"/>
                <w:bCs/>
                <w:color w:val="000000"/>
                <w:sz w:val="24"/>
                <w:szCs w:val="24"/>
              </w:rPr>
              <w:t>第三条 合同内容</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30A11219">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757C7C5">
            <w:pPr>
              <w:spacing w:line="380" w:lineRule="exact"/>
              <w:rPr>
                <w:rFonts w:hint="eastAsia" w:ascii="宋体" w:hAnsi="宋体" w:eastAsia="宋体" w:cs="宋体"/>
                <w:sz w:val="24"/>
                <w:szCs w:val="24"/>
              </w:rPr>
            </w:pPr>
          </w:p>
        </w:tc>
      </w:tr>
      <w:tr w14:paraId="62E2D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2823C69D">
            <w:pPr>
              <w:spacing w:line="380" w:lineRule="exact"/>
              <w:rPr>
                <w:rFonts w:hint="eastAsia" w:ascii="宋体" w:hAnsi="宋体" w:eastAsia="宋体" w:cs="宋体"/>
                <w:bCs/>
                <w:sz w:val="24"/>
                <w:szCs w:val="24"/>
              </w:rPr>
            </w:pPr>
            <w:r>
              <w:rPr>
                <w:rFonts w:hint="eastAsia" w:ascii="宋体" w:hAnsi="宋体" w:eastAsia="宋体" w:cs="宋体"/>
                <w:bCs/>
                <w:sz w:val="24"/>
                <w:szCs w:val="24"/>
              </w:rPr>
              <w:t>4</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726190BA">
            <w:pPr>
              <w:spacing w:line="380" w:lineRule="exact"/>
              <w:rPr>
                <w:rFonts w:hint="eastAsia" w:ascii="宋体" w:hAnsi="宋体" w:eastAsia="宋体" w:cs="宋体"/>
                <w:sz w:val="24"/>
                <w:szCs w:val="24"/>
              </w:rPr>
            </w:pPr>
            <w:r>
              <w:rPr>
                <w:rFonts w:hint="eastAsia" w:ascii="宋体" w:hAnsi="宋体" w:eastAsia="宋体" w:cs="宋体"/>
                <w:bCs/>
                <w:sz w:val="24"/>
                <w:szCs w:val="24"/>
              </w:rPr>
              <w:t>第六条 验收办法</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0E978CB5">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23A04B2">
            <w:pPr>
              <w:spacing w:line="380" w:lineRule="exact"/>
              <w:rPr>
                <w:rFonts w:hint="eastAsia" w:ascii="宋体" w:hAnsi="宋体" w:eastAsia="宋体" w:cs="宋体"/>
                <w:sz w:val="24"/>
                <w:szCs w:val="24"/>
              </w:rPr>
            </w:pPr>
          </w:p>
        </w:tc>
      </w:tr>
      <w:tr w14:paraId="004ED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9317BF4">
            <w:pPr>
              <w:spacing w:line="380" w:lineRule="exact"/>
              <w:rPr>
                <w:rFonts w:hint="eastAsia" w:ascii="宋体" w:hAnsi="宋体" w:eastAsia="宋体" w:cs="宋体"/>
                <w:bCs/>
                <w:sz w:val="24"/>
                <w:szCs w:val="24"/>
              </w:rPr>
            </w:pPr>
            <w:r>
              <w:rPr>
                <w:rFonts w:hint="eastAsia" w:ascii="宋体" w:hAnsi="宋体" w:eastAsia="宋体" w:cs="宋体"/>
                <w:bCs/>
                <w:sz w:val="24"/>
                <w:szCs w:val="24"/>
              </w:rPr>
              <w:t>5</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5631E7AA">
            <w:pPr>
              <w:spacing w:line="380" w:lineRule="exact"/>
              <w:rPr>
                <w:rFonts w:hint="eastAsia" w:ascii="宋体" w:hAnsi="宋体" w:eastAsia="宋体" w:cs="宋体"/>
                <w:sz w:val="24"/>
                <w:szCs w:val="24"/>
              </w:rPr>
            </w:pPr>
            <w:r>
              <w:rPr>
                <w:rFonts w:hint="eastAsia" w:ascii="宋体" w:hAnsi="宋体" w:eastAsia="宋体" w:cs="宋体"/>
                <w:bCs/>
                <w:sz w:val="24"/>
                <w:szCs w:val="24"/>
              </w:rPr>
              <w:t>第七条 双方的其他权利义务</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7EEDDBF8">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9E2AF86">
            <w:pPr>
              <w:spacing w:line="380" w:lineRule="exact"/>
              <w:rPr>
                <w:rFonts w:hint="eastAsia" w:ascii="宋体" w:hAnsi="宋体" w:eastAsia="宋体" w:cs="宋体"/>
                <w:sz w:val="24"/>
                <w:szCs w:val="24"/>
              </w:rPr>
            </w:pPr>
          </w:p>
        </w:tc>
      </w:tr>
      <w:tr w14:paraId="1D73E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EA9C8FB">
            <w:pPr>
              <w:spacing w:line="380" w:lineRule="exact"/>
              <w:rPr>
                <w:rFonts w:hint="eastAsia" w:ascii="宋体" w:hAnsi="宋体" w:eastAsia="宋体" w:cs="宋体"/>
                <w:bCs/>
                <w:sz w:val="24"/>
                <w:szCs w:val="24"/>
              </w:rPr>
            </w:pPr>
            <w:r>
              <w:rPr>
                <w:rFonts w:hint="eastAsia" w:ascii="宋体" w:hAnsi="宋体" w:eastAsia="宋体" w:cs="宋体"/>
                <w:bCs/>
                <w:sz w:val="24"/>
                <w:szCs w:val="24"/>
              </w:rPr>
              <w:t>6</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4FF76880">
            <w:pPr>
              <w:spacing w:line="380" w:lineRule="exact"/>
              <w:rPr>
                <w:rFonts w:hint="eastAsia" w:ascii="宋体" w:hAnsi="宋体" w:eastAsia="宋体" w:cs="宋体"/>
                <w:sz w:val="24"/>
                <w:szCs w:val="24"/>
              </w:rPr>
            </w:pPr>
            <w:r>
              <w:rPr>
                <w:rFonts w:hint="eastAsia" w:ascii="宋体" w:hAnsi="宋体" w:eastAsia="宋体" w:cs="宋体"/>
                <w:bCs/>
                <w:sz w:val="24"/>
                <w:szCs w:val="24"/>
              </w:rPr>
              <w:t>第八条 质量保证</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7F19CE99">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ACE9CF8">
            <w:pPr>
              <w:spacing w:line="380" w:lineRule="exact"/>
              <w:rPr>
                <w:rFonts w:hint="eastAsia" w:ascii="宋体" w:hAnsi="宋体" w:eastAsia="宋体" w:cs="宋体"/>
                <w:sz w:val="24"/>
                <w:szCs w:val="24"/>
              </w:rPr>
            </w:pPr>
          </w:p>
        </w:tc>
      </w:tr>
      <w:tr w14:paraId="4C8B2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FEA77A6">
            <w:pPr>
              <w:spacing w:line="380" w:lineRule="exact"/>
              <w:rPr>
                <w:rFonts w:hint="eastAsia" w:ascii="宋体" w:hAnsi="宋体" w:eastAsia="宋体" w:cs="宋体"/>
                <w:bCs/>
                <w:sz w:val="24"/>
                <w:szCs w:val="24"/>
              </w:rPr>
            </w:pPr>
            <w:r>
              <w:rPr>
                <w:rFonts w:hint="eastAsia" w:ascii="宋体" w:hAnsi="宋体" w:eastAsia="宋体" w:cs="宋体"/>
                <w:bCs/>
                <w:sz w:val="24"/>
                <w:szCs w:val="24"/>
              </w:rPr>
              <w:t>7</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44A922D7">
            <w:pPr>
              <w:spacing w:line="380" w:lineRule="exact"/>
              <w:rPr>
                <w:rFonts w:hint="eastAsia" w:ascii="宋体" w:hAnsi="宋体" w:eastAsia="宋体" w:cs="宋体"/>
                <w:sz w:val="24"/>
                <w:szCs w:val="24"/>
              </w:rPr>
            </w:pPr>
            <w:r>
              <w:rPr>
                <w:rFonts w:hint="eastAsia" w:ascii="宋体" w:hAnsi="宋体" w:eastAsia="宋体" w:cs="宋体"/>
                <w:bCs/>
                <w:sz w:val="24"/>
                <w:szCs w:val="24"/>
              </w:rPr>
              <w:t>第九条 违约责任</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4CD5F164">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0A3073F">
            <w:pPr>
              <w:spacing w:line="380" w:lineRule="exact"/>
              <w:rPr>
                <w:rFonts w:hint="eastAsia" w:ascii="宋体" w:hAnsi="宋体" w:eastAsia="宋体" w:cs="宋体"/>
                <w:sz w:val="24"/>
                <w:szCs w:val="24"/>
              </w:rPr>
            </w:pPr>
          </w:p>
        </w:tc>
      </w:tr>
      <w:tr w14:paraId="033E0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38E550E">
            <w:pPr>
              <w:spacing w:line="380" w:lineRule="exact"/>
              <w:rPr>
                <w:rFonts w:hint="eastAsia" w:ascii="宋体" w:hAnsi="宋体" w:eastAsia="宋体" w:cs="宋体"/>
                <w:bCs/>
                <w:sz w:val="24"/>
                <w:szCs w:val="24"/>
              </w:rPr>
            </w:pPr>
            <w:r>
              <w:rPr>
                <w:rFonts w:hint="eastAsia" w:ascii="宋体" w:hAnsi="宋体" w:eastAsia="宋体" w:cs="宋体"/>
                <w:bCs/>
                <w:sz w:val="24"/>
                <w:szCs w:val="24"/>
              </w:rPr>
              <w:t>8</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66549F70">
            <w:pPr>
              <w:spacing w:line="380" w:lineRule="exact"/>
              <w:rPr>
                <w:rFonts w:hint="eastAsia" w:ascii="宋体" w:hAnsi="宋体" w:eastAsia="宋体" w:cs="宋体"/>
                <w:sz w:val="24"/>
                <w:szCs w:val="24"/>
              </w:rPr>
            </w:pPr>
            <w:r>
              <w:rPr>
                <w:rFonts w:hint="eastAsia" w:ascii="宋体" w:hAnsi="宋体" w:eastAsia="宋体" w:cs="宋体"/>
                <w:bCs/>
                <w:sz w:val="24"/>
                <w:szCs w:val="24"/>
              </w:rPr>
              <w:t>第十条 合同的解除</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30D2D5D8">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3835FB3F">
            <w:pPr>
              <w:spacing w:line="380" w:lineRule="exact"/>
              <w:rPr>
                <w:rFonts w:hint="eastAsia" w:ascii="宋体" w:hAnsi="宋体" w:eastAsia="宋体" w:cs="宋体"/>
                <w:sz w:val="24"/>
                <w:szCs w:val="24"/>
              </w:rPr>
            </w:pPr>
          </w:p>
        </w:tc>
      </w:tr>
      <w:tr w14:paraId="2FF8C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511B5D1">
            <w:pPr>
              <w:spacing w:line="380" w:lineRule="exact"/>
              <w:rPr>
                <w:rFonts w:hint="eastAsia" w:ascii="宋体" w:hAnsi="宋体" w:eastAsia="宋体" w:cs="宋体"/>
                <w:bCs/>
                <w:sz w:val="24"/>
                <w:szCs w:val="24"/>
              </w:rPr>
            </w:pPr>
            <w:r>
              <w:rPr>
                <w:rFonts w:hint="eastAsia" w:ascii="宋体" w:hAnsi="宋体" w:eastAsia="宋体" w:cs="宋体"/>
                <w:bCs/>
                <w:sz w:val="24"/>
                <w:szCs w:val="24"/>
              </w:rPr>
              <w:t>9</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3D5AAB37">
            <w:pPr>
              <w:spacing w:line="380" w:lineRule="exact"/>
              <w:rPr>
                <w:rFonts w:hint="eastAsia" w:ascii="宋体" w:hAnsi="宋体" w:eastAsia="宋体" w:cs="宋体"/>
                <w:sz w:val="24"/>
                <w:szCs w:val="24"/>
              </w:rPr>
            </w:pPr>
            <w:r>
              <w:rPr>
                <w:rFonts w:hint="eastAsia" w:ascii="宋体" w:hAnsi="宋体" w:eastAsia="宋体" w:cs="宋体"/>
                <w:bCs/>
                <w:sz w:val="24"/>
                <w:szCs w:val="24"/>
              </w:rPr>
              <w:t>第十一条 不可抗力</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2F2840A5">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3ECF4143">
            <w:pPr>
              <w:spacing w:line="380" w:lineRule="exact"/>
              <w:rPr>
                <w:rFonts w:hint="eastAsia" w:ascii="宋体" w:hAnsi="宋体" w:eastAsia="宋体" w:cs="宋体"/>
                <w:sz w:val="24"/>
                <w:szCs w:val="24"/>
              </w:rPr>
            </w:pPr>
          </w:p>
        </w:tc>
      </w:tr>
      <w:tr w14:paraId="3619B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19FAA27">
            <w:pPr>
              <w:spacing w:line="380" w:lineRule="exact"/>
              <w:rPr>
                <w:rFonts w:hint="eastAsia" w:ascii="宋体" w:hAnsi="宋体" w:eastAsia="宋体" w:cs="宋体"/>
                <w:sz w:val="24"/>
                <w:szCs w:val="24"/>
              </w:rPr>
            </w:pPr>
            <w:r>
              <w:rPr>
                <w:rFonts w:hint="eastAsia" w:ascii="宋体" w:hAnsi="宋体" w:eastAsia="宋体" w:cs="宋体"/>
                <w:sz w:val="24"/>
                <w:szCs w:val="24"/>
              </w:rPr>
              <w:t>10</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7F05B265">
            <w:pPr>
              <w:spacing w:line="380" w:lineRule="exact"/>
              <w:rPr>
                <w:rFonts w:hint="eastAsia" w:ascii="宋体" w:hAnsi="宋体" w:eastAsia="宋体" w:cs="宋体"/>
                <w:sz w:val="24"/>
                <w:szCs w:val="24"/>
              </w:rPr>
            </w:pPr>
            <w:r>
              <w:rPr>
                <w:rFonts w:hint="eastAsia" w:ascii="宋体" w:hAnsi="宋体" w:eastAsia="宋体" w:cs="宋体"/>
                <w:sz w:val="24"/>
                <w:szCs w:val="24"/>
              </w:rPr>
              <w:t>第十二条 合同的变更、中止</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31887D46">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C9463E1">
            <w:pPr>
              <w:spacing w:line="380" w:lineRule="exact"/>
              <w:rPr>
                <w:rFonts w:hint="eastAsia" w:ascii="宋体" w:hAnsi="宋体" w:eastAsia="宋体" w:cs="宋体"/>
                <w:sz w:val="24"/>
                <w:szCs w:val="24"/>
              </w:rPr>
            </w:pPr>
          </w:p>
        </w:tc>
      </w:tr>
      <w:tr w14:paraId="6217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7A1B85C">
            <w:pPr>
              <w:spacing w:line="380" w:lineRule="exact"/>
              <w:rPr>
                <w:rFonts w:hint="eastAsia" w:ascii="宋体" w:hAnsi="宋体" w:eastAsia="宋体" w:cs="宋体"/>
                <w:bCs/>
                <w:sz w:val="24"/>
                <w:szCs w:val="24"/>
              </w:rPr>
            </w:pPr>
            <w:r>
              <w:rPr>
                <w:rFonts w:hint="eastAsia" w:ascii="宋体" w:hAnsi="宋体" w:eastAsia="宋体" w:cs="宋体"/>
                <w:bCs/>
                <w:sz w:val="24"/>
                <w:szCs w:val="24"/>
              </w:rPr>
              <w:t>11</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4FAF44A5">
            <w:pPr>
              <w:spacing w:line="380" w:lineRule="exact"/>
              <w:rPr>
                <w:rFonts w:hint="eastAsia" w:ascii="宋体" w:hAnsi="宋体" w:eastAsia="宋体" w:cs="宋体"/>
                <w:sz w:val="24"/>
                <w:szCs w:val="24"/>
              </w:rPr>
            </w:pPr>
            <w:r>
              <w:rPr>
                <w:rFonts w:hint="eastAsia" w:ascii="宋体" w:hAnsi="宋体" w:eastAsia="宋体" w:cs="宋体"/>
                <w:bCs/>
                <w:sz w:val="24"/>
                <w:szCs w:val="24"/>
              </w:rPr>
              <w:t>第十三条 合同的终止</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68BFC6BC">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1DD00DA">
            <w:pPr>
              <w:spacing w:line="380" w:lineRule="exact"/>
              <w:rPr>
                <w:rFonts w:hint="eastAsia" w:ascii="宋体" w:hAnsi="宋体" w:eastAsia="宋体" w:cs="宋体"/>
                <w:sz w:val="24"/>
                <w:szCs w:val="24"/>
              </w:rPr>
            </w:pPr>
          </w:p>
        </w:tc>
      </w:tr>
      <w:tr w14:paraId="2279D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539AB54">
            <w:pPr>
              <w:spacing w:line="380" w:lineRule="exact"/>
              <w:rPr>
                <w:rFonts w:hint="eastAsia" w:ascii="宋体" w:hAnsi="宋体" w:eastAsia="宋体" w:cs="宋体"/>
                <w:bCs/>
                <w:sz w:val="24"/>
                <w:szCs w:val="24"/>
              </w:rPr>
            </w:pPr>
            <w:r>
              <w:rPr>
                <w:rFonts w:hint="eastAsia" w:ascii="宋体" w:hAnsi="宋体" w:eastAsia="宋体" w:cs="宋体"/>
                <w:bCs/>
                <w:sz w:val="24"/>
                <w:szCs w:val="24"/>
              </w:rPr>
              <w:t>12</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2FADCA31">
            <w:pPr>
              <w:spacing w:line="380" w:lineRule="exact"/>
              <w:rPr>
                <w:rFonts w:hint="eastAsia" w:ascii="宋体" w:hAnsi="宋体" w:eastAsia="宋体" w:cs="宋体"/>
                <w:sz w:val="24"/>
                <w:szCs w:val="24"/>
              </w:rPr>
            </w:pPr>
            <w:r>
              <w:rPr>
                <w:rFonts w:hint="eastAsia" w:ascii="宋体" w:hAnsi="宋体" w:eastAsia="宋体" w:cs="宋体"/>
                <w:bCs/>
                <w:sz w:val="24"/>
                <w:szCs w:val="24"/>
              </w:rPr>
              <w:t>第十四条 合同的转让</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353C434B">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2A4A9F3E">
            <w:pPr>
              <w:spacing w:line="380" w:lineRule="exact"/>
              <w:rPr>
                <w:rFonts w:hint="eastAsia" w:ascii="宋体" w:hAnsi="宋体" w:eastAsia="宋体" w:cs="宋体"/>
                <w:sz w:val="24"/>
                <w:szCs w:val="24"/>
              </w:rPr>
            </w:pPr>
          </w:p>
        </w:tc>
      </w:tr>
      <w:tr w14:paraId="27278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778259D">
            <w:pPr>
              <w:spacing w:line="380" w:lineRule="exact"/>
              <w:rPr>
                <w:rFonts w:hint="eastAsia" w:ascii="宋体" w:hAnsi="宋体" w:eastAsia="宋体" w:cs="宋体"/>
                <w:bCs/>
                <w:sz w:val="24"/>
                <w:szCs w:val="24"/>
              </w:rPr>
            </w:pPr>
            <w:r>
              <w:rPr>
                <w:rFonts w:hint="eastAsia" w:ascii="宋体" w:hAnsi="宋体" w:eastAsia="宋体" w:cs="宋体"/>
                <w:bCs/>
                <w:sz w:val="24"/>
                <w:szCs w:val="24"/>
              </w:rPr>
              <w:t>13</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6976774B">
            <w:pPr>
              <w:spacing w:line="380" w:lineRule="exact"/>
              <w:rPr>
                <w:rFonts w:hint="eastAsia" w:ascii="宋体" w:hAnsi="宋体" w:eastAsia="宋体" w:cs="宋体"/>
                <w:sz w:val="24"/>
                <w:szCs w:val="24"/>
              </w:rPr>
            </w:pPr>
            <w:r>
              <w:rPr>
                <w:rFonts w:hint="eastAsia" w:ascii="宋体" w:hAnsi="宋体" w:eastAsia="宋体" w:cs="宋体"/>
                <w:bCs/>
                <w:sz w:val="24"/>
                <w:szCs w:val="24"/>
              </w:rPr>
              <w:t>第十五条 履约保证金</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6EEEF4E2">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C97390B">
            <w:pPr>
              <w:spacing w:line="380" w:lineRule="exact"/>
              <w:rPr>
                <w:rFonts w:hint="eastAsia" w:ascii="宋体" w:hAnsi="宋体" w:eastAsia="宋体" w:cs="宋体"/>
                <w:sz w:val="24"/>
                <w:szCs w:val="24"/>
              </w:rPr>
            </w:pPr>
          </w:p>
        </w:tc>
      </w:tr>
      <w:tr w14:paraId="00EBB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AA6E7BD">
            <w:pPr>
              <w:spacing w:line="380" w:lineRule="exact"/>
              <w:rPr>
                <w:rFonts w:hint="eastAsia" w:ascii="宋体" w:hAnsi="宋体" w:eastAsia="宋体" w:cs="宋体"/>
                <w:bCs/>
                <w:sz w:val="24"/>
                <w:szCs w:val="24"/>
              </w:rPr>
            </w:pPr>
            <w:r>
              <w:rPr>
                <w:rFonts w:hint="eastAsia" w:ascii="宋体" w:hAnsi="宋体" w:eastAsia="宋体" w:cs="宋体"/>
                <w:bCs/>
                <w:sz w:val="24"/>
                <w:szCs w:val="24"/>
              </w:rPr>
              <w:t>14</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30AFAECE">
            <w:pPr>
              <w:spacing w:line="380" w:lineRule="exact"/>
              <w:rPr>
                <w:rFonts w:hint="eastAsia" w:ascii="宋体" w:hAnsi="宋体" w:eastAsia="宋体" w:cs="宋体"/>
                <w:sz w:val="24"/>
                <w:szCs w:val="24"/>
              </w:rPr>
            </w:pPr>
            <w:r>
              <w:rPr>
                <w:rFonts w:hint="eastAsia" w:ascii="宋体" w:hAnsi="宋体" w:eastAsia="宋体" w:cs="宋体"/>
                <w:bCs/>
                <w:sz w:val="24"/>
                <w:szCs w:val="24"/>
              </w:rPr>
              <w:t>第十六条 争议解决方式</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4E216AE8">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4ED7D85">
            <w:pPr>
              <w:spacing w:line="380" w:lineRule="exact"/>
              <w:rPr>
                <w:rFonts w:hint="eastAsia" w:ascii="宋体" w:hAnsi="宋体" w:eastAsia="宋体" w:cs="宋体"/>
                <w:sz w:val="24"/>
                <w:szCs w:val="24"/>
              </w:rPr>
            </w:pPr>
          </w:p>
        </w:tc>
      </w:tr>
      <w:tr w14:paraId="4E6FC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BCB4606">
            <w:pPr>
              <w:spacing w:line="380" w:lineRule="exact"/>
              <w:rPr>
                <w:rFonts w:hint="eastAsia" w:ascii="宋体" w:hAnsi="宋体" w:eastAsia="宋体" w:cs="宋体"/>
                <w:sz w:val="24"/>
                <w:szCs w:val="24"/>
              </w:rPr>
            </w:pPr>
            <w:r>
              <w:rPr>
                <w:rFonts w:hint="eastAsia" w:ascii="宋体" w:hAnsi="宋体" w:eastAsia="宋体" w:cs="宋体"/>
                <w:sz w:val="24"/>
                <w:szCs w:val="24"/>
              </w:rPr>
              <w:t>15</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408DA9CA">
            <w:pPr>
              <w:spacing w:line="380" w:lineRule="exact"/>
              <w:rPr>
                <w:rFonts w:hint="eastAsia" w:ascii="宋体" w:hAnsi="宋体" w:eastAsia="宋体" w:cs="宋体"/>
                <w:sz w:val="24"/>
                <w:szCs w:val="24"/>
              </w:rPr>
            </w:pPr>
            <w:r>
              <w:rPr>
                <w:rFonts w:hint="eastAsia" w:ascii="宋体" w:hAnsi="宋体" w:eastAsia="宋体" w:cs="宋体"/>
                <w:sz w:val="24"/>
                <w:szCs w:val="24"/>
              </w:rPr>
              <w:t>第十七条 通知与送达</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0AC0C8C8">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01F6A08">
            <w:pPr>
              <w:spacing w:line="380" w:lineRule="exact"/>
              <w:rPr>
                <w:rFonts w:hint="eastAsia" w:ascii="宋体" w:hAnsi="宋体" w:eastAsia="宋体" w:cs="宋体"/>
                <w:sz w:val="24"/>
                <w:szCs w:val="24"/>
              </w:rPr>
            </w:pPr>
          </w:p>
        </w:tc>
      </w:tr>
      <w:tr w14:paraId="20B96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05788D9">
            <w:pPr>
              <w:spacing w:line="380" w:lineRule="exact"/>
              <w:rPr>
                <w:rFonts w:hint="eastAsia" w:ascii="宋体" w:hAnsi="宋体" w:eastAsia="宋体" w:cs="宋体"/>
                <w:sz w:val="24"/>
                <w:szCs w:val="24"/>
              </w:rPr>
            </w:pPr>
            <w:r>
              <w:rPr>
                <w:rFonts w:hint="eastAsia" w:ascii="宋体" w:hAnsi="宋体" w:eastAsia="宋体" w:cs="宋体"/>
                <w:sz w:val="24"/>
                <w:szCs w:val="24"/>
              </w:rPr>
              <w:t>16</w:t>
            </w:r>
          </w:p>
        </w:tc>
        <w:tc>
          <w:tcPr>
            <w:tcW w:w="5704" w:type="dxa"/>
            <w:tcBorders>
              <w:top w:val="single" w:color="auto" w:sz="4" w:space="0"/>
              <w:left w:val="single" w:color="auto" w:sz="4" w:space="0"/>
              <w:bottom w:val="single" w:color="auto" w:sz="4" w:space="0"/>
              <w:right w:val="single" w:color="auto" w:sz="4" w:space="0"/>
            </w:tcBorders>
            <w:noWrap w:val="0"/>
            <w:vAlign w:val="center"/>
          </w:tcPr>
          <w:p w14:paraId="5DD86237">
            <w:pPr>
              <w:spacing w:line="380" w:lineRule="exact"/>
              <w:rPr>
                <w:rFonts w:hint="eastAsia" w:ascii="宋体" w:hAnsi="宋体" w:eastAsia="宋体" w:cs="宋体"/>
                <w:sz w:val="24"/>
                <w:szCs w:val="24"/>
              </w:rPr>
            </w:pPr>
            <w:r>
              <w:rPr>
                <w:rFonts w:hint="eastAsia" w:ascii="宋体" w:hAnsi="宋体" w:eastAsia="宋体" w:cs="宋体"/>
                <w:sz w:val="24"/>
                <w:szCs w:val="24"/>
              </w:rPr>
              <w:t>第十八条 合同生效及其他</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094370DB">
            <w:pPr>
              <w:spacing w:line="380" w:lineRule="exact"/>
              <w:rPr>
                <w:rFonts w:hint="eastAsia" w:ascii="宋体" w:hAnsi="宋体" w:eastAsia="宋体" w:cs="宋体"/>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6490F61">
            <w:pPr>
              <w:spacing w:line="380" w:lineRule="exact"/>
              <w:rPr>
                <w:rFonts w:hint="eastAsia" w:ascii="宋体" w:hAnsi="宋体" w:eastAsia="宋体" w:cs="宋体"/>
                <w:sz w:val="24"/>
                <w:szCs w:val="24"/>
              </w:rPr>
            </w:pPr>
          </w:p>
        </w:tc>
      </w:tr>
    </w:tbl>
    <w:p w14:paraId="24E12976">
      <w:pPr>
        <w:spacing w:line="440" w:lineRule="exact"/>
        <w:ind w:firstLine="240"/>
        <w:rPr>
          <w:rFonts w:hint="eastAsia" w:ascii="宋体" w:hAnsi="宋体" w:eastAsia="宋体" w:cs="宋体"/>
          <w:sz w:val="24"/>
          <w:szCs w:val="24"/>
        </w:rPr>
      </w:pPr>
      <w:r>
        <w:rPr>
          <w:rFonts w:hint="eastAsia" w:ascii="宋体" w:hAnsi="宋体" w:eastAsia="宋体" w:cs="宋体"/>
          <w:sz w:val="24"/>
          <w:szCs w:val="24"/>
        </w:rPr>
        <w:t>注：1、供应商应据实、详细填写上述表格，因表述含糊导致的评标风险将由供应商承担。</w:t>
      </w:r>
    </w:p>
    <w:p w14:paraId="4A7FA794">
      <w:pPr>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2、若无偏离，在“有无偏离”栏中填写“无”；若有偏离在“有无偏离”栏中填写“有”并在“偏离内容及原因”栏中作出说明。</w:t>
      </w:r>
    </w:p>
    <w:p w14:paraId="521D4443">
      <w:pPr>
        <w:spacing w:line="480" w:lineRule="exact"/>
        <w:ind w:firstLine="480"/>
        <w:rPr>
          <w:rFonts w:hint="eastAsia" w:ascii="宋体" w:hAnsi="宋体" w:eastAsia="宋体" w:cs="宋体"/>
          <w:sz w:val="24"/>
          <w:szCs w:val="24"/>
        </w:rPr>
      </w:pPr>
    </w:p>
    <w:p w14:paraId="5C743713">
      <w:pPr>
        <w:pStyle w:val="3"/>
        <w:spacing w:line="440" w:lineRule="exact"/>
        <w:rPr>
          <w:rFonts w:hint="eastAsia" w:ascii="宋体" w:hAnsi="宋体" w:eastAsia="宋体" w:cs="宋体"/>
          <w:b w:val="0"/>
          <w:sz w:val="24"/>
        </w:rPr>
      </w:pPr>
      <w:r>
        <w:rPr>
          <w:rFonts w:hint="eastAsia" w:ascii="宋体" w:hAnsi="宋体" w:eastAsia="宋体" w:cs="宋体"/>
        </w:rPr>
        <w:br w:type="page" w:clear="all"/>
      </w:r>
      <w:bookmarkStart w:id="88" w:name="_Toc8952"/>
      <w:bookmarkStart w:id="89" w:name="_Toc21610"/>
      <w:bookmarkStart w:id="90" w:name="_Toc159312663"/>
      <w:r>
        <w:rPr>
          <w:rFonts w:hint="eastAsia" w:ascii="宋体" w:hAnsi="宋体" w:eastAsia="宋体" w:cs="宋体"/>
          <w:sz w:val="24"/>
          <w:szCs w:val="24"/>
        </w:rPr>
        <w:t>附件5 具备履行合同所必需的设备和专业技术能力的书面声明</w:t>
      </w:r>
      <w:bookmarkEnd w:id="88"/>
      <w:bookmarkEnd w:id="89"/>
      <w:bookmarkEnd w:id="90"/>
    </w:p>
    <w:p w14:paraId="15139853">
      <w:pPr>
        <w:spacing w:line="460" w:lineRule="exact"/>
        <w:ind w:firstLine="492"/>
        <w:rPr>
          <w:rFonts w:hint="eastAsia" w:ascii="宋体" w:hAnsi="宋体" w:eastAsia="宋体" w:cs="宋体"/>
          <w:bCs/>
          <w:sz w:val="24"/>
        </w:rPr>
      </w:pPr>
      <w:r>
        <w:rPr>
          <w:rFonts w:hint="eastAsia" w:ascii="宋体" w:hAnsi="宋体" w:eastAsia="宋体" w:cs="宋体"/>
          <w:bCs/>
          <w:sz w:val="24"/>
        </w:rPr>
        <w:t>我单位郑重声明：我单位具备履行本项采购合同所必需的设备和专业技术能力，为履行本项采购合同我公司具备如下主要设备和主要专业技术能力：</w:t>
      </w:r>
    </w:p>
    <w:p w14:paraId="4EC2879E">
      <w:pPr>
        <w:spacing w:line="460" w:lineRule="exact"/>
        <w:ind w:firstLine="492"/>
        <w:rPr>
          <w:rFonts w:hint="eastAsia" w:ascii="宋体" w:hAnsi="宋体" w:eastAsia="宋体" w:cs="宋体"/>
          <w:bCs/>
          <w:sz w:val="24"/>
        </w:rPr>
      </w:pPr>
      <w:r>
        <w:rPr>
          <w:rFonts w:hint="eastAsia" w:ascii="宋体" w:hAnsi="宋体" w:eastAsia="宋体" w:cs="宋体"/>
          <w:bCs/>
          <w:sz w:val="24"/>
        </w:rPr>
        <w:t>主要设备有：</w:t>
      </w:r>
      <w:r>
        <w:rPr>
          <w:rFonts w:hint="eastAsia" w:ascii="宋体" w:hAnsi="宋体" w:eastAsia="宋体" w:cs="宋体"/>
          <w:bCs/>
          <w:sz w:val="24"/>
          <w:u w:val="single"/>
        </w:rPr>
        <w:t xml:space="preserve">      </w:t>
      </w:r>
      <w:r>
        <w:rPr>
          <w:rFonts w:hint="eastAsia" w:ascii="宋体" w:hAnsi="宋体" w:eastAsia="宋体" w:cs="宋体"/>
          <w:bCs/>
          <w:sz w:val="24"/>
        </w:rPr>
        <w:t>。</w:t>
      </w:r>
    </w:p>
    <w:p w14:paraId="653C35DA">
      <w:pPr>
        <w:spacing w:line="460" w:lineRule="exact"/>
        <w:ind w:firstLine="492"/>
        <w:rPr>
          <w:rFonts w:hint="eastAsia" w:ascii="宋体" w:hAnsi="宋体" w:eastAsia="宋体" w:cs="宋体"/>
          <w:bCs/>
          <w:sz w:val="24"/>
        </w:rPr>
      </w:pPr>
      <w:r>
        <w:rPr>
          <w:rFonts w:hint="eastAsia" w:ascii="宋体" w:hAnsi="宋体" w:eastAsia="宋体" w:cs="宋体"/>
          <w:bCs/>
          <w:sz w:val="24"/>
        </w:rPr>
        <w:t>主要专业技术能力有：</w:t>
      </w:r>
      <w:r>
        <w:rPr>
          <w:rFonts w:hint="eastAsia" w:ascii="宋体" w:hAnsi="宋体" w:eastAsia="宋体" w:cs="宋体"/>
          <w:bCs/>
          <w:sz w:val="24"/>
          <w:u w:val="single"/>
        </w:rPr>
        <w:t xml:space="preserve">         </w:t>
      </w:r>
      <w:r>
        <w:rPr>
          <w:rFonts w:hint="eastAsia" w:ascii="宋体" w:hAnsi="宋体" w:eastAsia="宋体" w:cs="宋体"/>
          <w:bCs/>
          <w:sz w:val="24"/>
        </w:rPr>
        <w:t>。</w:t>
      </w:r>
    </w:p>
    <w:p w14:paraId="554CE1D3">
      <w:pPr>
        <w:pStyle w:val="3"/>
        <w:spacing w:line="440" w:lineRule="exact"/>
        <w:rPr>
          <w:rFonts w:hint="eastAsia" w:ascii="宋体" w:hAnsi="宋体" w:eastAsia="宋体" w:cs="宋体"/>
          <w:b w:val="0"/>
          <w:sz w:val="24"/>
        </w:rPr>
      </w:pPr>
      <w:r>
        <w:rPr>
          <w:rFonts w:hint="eastAsia" w:ascii="宋体" w:hAnsi="宋体" w:eastAsia="宋体" w:cs="宋体"/>
        </w:rPr>
        <w:br w:type="page" w:clear="all"/>
      </w:r>
      <w:bookmarkStart w:id="91" w:name="_Toc9005"/>
      <w:bookmarkStart w:id="92" w:name="_Toc159312664"/>
      <w:bookmarkStart w:id="93" w:name="_Toc23537"/>
      <w:r>
        <w:rPr>
          <w:rFonts w:hint="eastAsia" w:ascii="宋体" w:hAnsi="宋体" w:eastAsia="宋体" w:cs="宋体"/>
          <w:sz w:val="24"/>
          <w:szCs w:val="24"/>
        </w:rPr>
        <w:t>附件6 参加政府采购活动前 3 年内在经营活动中没有重大违法记录的书面声明</w:t>
      </w:r>
      <w:bookmarkEnd w:id="91"/>
      <w:bookmarkEnd w:id="92"/>
      <w:bookmarkEnd w:id="93"/>
    </w:p>
    <w:p w14:paraId="71ECAED4">
      <w:pPr>
        <w:spacing w:line="460" w:lineRule="exact"/>
        <w:jc w:val="center"/>
        <w:rPr>
          <w:rFonts w:hint="eastAsia" w:ascii="宋体" w:hAnsi="宋体" w:eastAsia="宋体" w:cs="宋体"/>
          <w:b/>
          <w:bCs/>
          <w:sz w:val="24"/>
        </w:rPr>
      </w:pPr>
      <w:r>
        <w:rPr>
          <w:rFonts w:hint="eastAsia" w:ascii="宋体" w:hAnsi="宋体" w:eastAsia="宋体" w:cs="宋体"/>
          <w:b/>
          <w:bCs/>
          <w:sz w:val="24"/>
        </w:rPr>
        <w:t>声  明</w:t>
      </w:r>
    </w:p>
    <w:p w14:paraId="3925181D">
      <w:pPr>
        <w:spacing w:line="460" w:lineRule="exact"/>
        <w:ind w:firstLine="480"/>
        <w:rPr>
          <w:rFonts w:hint="eastAsia" w:ascii="宋体" w:hAnsi="宋体" w:eastAsia="宋体" w:cs="宋体"/>
          <w:bCs/>
          <w:sz w:val="24"/>
        </w:rPr>
      </w:pPr>
      <w:r>
        <w:rPr>
          <w:rFonts w:hint="eastAsia" w:ascii="宋体" w:hAnsi="宋体" w:eastAsia="宋体" w:cs="宋体"/>
          <w:bCs/>
          <w:sz w:val="24"/>
        </w:rPr>
        <w:t>我单位郑重声明：参加本次政府采购活动前 3 年内，我单位在经营活动中没有因违法经营受到刑事处罚或者责令停产停业、吊销许可证或者执照、较大数额罚款等行政处罚。</w:t>
      </w:r>
    </w:p>
    <w:p w14:paraId="588C12A5">
      <w:pPr>
        <w:pStyle w:val="3"/>
        <w:spacing w:line="440" w:lineRule="exact"/>
        <w:rPr>
          <w:rFonts w:hint="eastAsia" w:ascii="宋体" w:hAnsi="宋体" w:eastAsia="宋体" w:cs="宋体"/>
          <w:bCs w:val="0"/>
          <w:sz w:val="24"/>
        </w:rPr>
      </w:pPr>
      <w:r>
        <w:rPr>
          <w:rFonts w:hint="eastAsia" w:ascii="宋体" w:hAnsi="宋体" w:eastAsia="宋体" w:cs="宋体"/>
          <w:sz w:val="24"/>
          <w:szCs w:val="24"/>
        </w:rPr>
        <w:br w:type="page" w:clear="all"/>
      </w:r>
      <w:bookmarkStart w:id="94" w:name="_Toc6123"/>
      <w:bookmarkStart w:id="95" w:name="_Toc159312665"/>
      <w:bookmarkStart w:id="96" w:name="_Toc4084"/>
      <w:r>
        <w:rPr>
          <w:rFonts w:hint="eastAsia" w:ascii="宋体" w:hAnsi="宋体" w:eastAsia="宋体" w:cs="宋体"/>
          <w:sz w:val="24"/>
          <w:szCs w:val="24"/>
        </w:rPr>
        <w:t>附件7 法人授权书</w:t>
      </w:r>
      <w:bookmarkEnd w:id="94"/>
      <w:bookmarkEnd w:id="95"/>
      <w:bookmarkEnd w:id="96"/>
    </w:p>
    <w:p w14:paraId="1D9FF7CA">
      <w:pPr>
        <w:tabs>
          <w:tab w:val="left" w:pos="36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本授权书声明：____________（供应商名称）授权________________（被授权人的姓名）为我方就</w:t>
      </w:r>
      <w:r>
        <w:rPr>
          <w:rFonts w:hint="eastAsia" w:ascii="宋体" w:hAnsi="宋体" w:cs="宋体"/>
          <w:color w:val="000000"/>
          <w:sz w:val="24"/>
          <w:szCs w:val="24"/>
          <w:lang w:eastAsia="zh-CN"/>
        </w:rPr>
        <w:t>JSZC-320581-CSXC-C2026-0048</w:t>
      </w:r>
      <w:r>
        <w:rPr>
          <w:rFonts w:hint="eastAsia" w:ascii="宋体" w:hAnsi="宋体" w:eastAsia="宋体" w:cs="宋体"/>
          <w:sz w:val="24"/>
          <w:szCs w:val="24"/>
        </w:rPr>
        <w:t>号项目采购活动的合法代理人，以本单位名义全权处理一切与该项目采购有关的事务。</w:t>
      </w:r>
    </w:p>
    <w:p w14:paraId="1C2CDB2C">
      <w:pPr>
        <w:tabs>
          <w:tab w:val="left" w:pos="36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本授权书于</w:t>
      </w:r>
      <w:r>
        <w:rPr>
          <w:rFonts w:hint="eastAsia" w:ascii="宋体" w:hAnsi="宋体" w:eastAsia="宋体" w:cs="宋体"/>
          <w:sz w:val="24"/>
          <w:szCs w:val="24"/>
          <w:u w:val="single"/>
        </w:rPr>
        <w:t xml:space="preserve">   202</w:t>
      </w:r>
      <w:r>
        <w:rPr>
          <w:rFonts w:hint="eastAsia" w:ascii="宋体" w:hAnsi="宋体" w:eastAsia="宋体" w:cs="宋体"/>
          <w:sz w:val="24"/>
          <w:szCs w:val="24"/>
          <w:u w:val="single"/>
          <w:lang w:val="en-US" w:eastAsia="zh-CN"/>
        </w:rPr>
        <w:t>6</w:t>
      </w:r>
      <w:r>
        <w:rPr>
          <w:rFonts w:hint="eastAsia" w:ascii="宋体" w:hAnsi="宋体" w:eastAsia="宋体" w:cs="宋体"/>
          <w:sz w:val="24"/>
          <w:szCs w:val="24"/>
          <w:u w:val="single"/>
        </w:rPr>
        <w:t xml:space="preserve">   </w:t>
      </w:r>
      <w:r>
        <w:rPr>
          <w:rFonts w:hint="eastAsia" w:ascii="宋体" w:hAnsi="宋体" w:eastAsia="宋体" w:cs="宋体"/>
          <w:sz w:val="24"/>
          <w:szCs w:val="24"/>
        </w:rPr>
        <w:t>年____月____日起生效，特此声明。</w:t>
      </w:r>
    </w:p>
    <w:p w14:paraId="1229C33C">
      <w:pPr>
        <w:tabs>
          <w:tab w:val="left" w:pos="360"/>
        </w:tabs>
        <w:spacing w:line="440" w:lineRule="exact"/>
        <w:ind w:firstLine="480"/>
        <w:rPr>
          <w:rFonts w:hint="eastAsia" w:ascii="宋体" w:hAnsi="宋体" w:eastAsia="宋体" w:cs="宋体"/>
          <w:sz w:val="24"/>
          <w:szCs w:val="24"/>
        </w:rPr>
      </w:pPr>
    </w:p>
    <w:p w14:paraId="5EB71D6D">
      <w:pPr>
        <w:tabs>
          <w:tab w:val="left" w:pos="360"/>
        </w:tabs>
        <w:spacing w:line="440" w:lineRule="exact"/>
        <w:ind w:firstLine="480"/>
        <w:rPr>
          <w:rFonts w:hint="eastAsia" w:ascii="宋体" w:hAnsi="宋体" w:eastAsia="宋体" w:cs="宋体"/>
          <w:sz w:val="24"/>
          <w:szCs w:val="24"/>
        </w:rPr>
      </w:pPr>
    </w:p>
    <w:p w14:paraId="1E20713C">
      <w:pPr>
        <w:tabs>
          <w:tab w:val="left" w:pos="360"/>
        </w:tabs>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p>
    <w:p w14:paraId="48E0EEC1">
      <w:pPr>
        <w:tabs>
          <w:tab w:val="left" w:pos="360"/>
        </w:tabs>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p>
    <w:p w14:paraId="43AE8B2F">
      <w:pPr>
        <w:tabs>
          <w:tab w:val="left" w:pos="360"/>
        </w:tabs>
        <w:spacing w:line="440" w:lineRule="exact"/>
        <w:ind w:firstLine="1200"/>
        <w:rPr>
          <w:rFonts w:hint="eastAsia" w:ascii="宋体" w:hAnsi="宋体" w:eastAsia="宋体" w:cs="宋体"/>
          <w:sz w:val="24"/>
          <w:szCs w:val="24"/>
        </w:rPr>
      </w:pPr>
      <w:r>
        <w:rPr>
          <w:rFonts w:hint="eastAsia" w:ascii="宋体" w:hAnsi="宋体" w:eastAsia="宋体" w:cs="宋体"/>
          <w:sz w:val="24"/>
          <w:szCs w:val="24"/>
        </w:rPr>
        <w:t>授权单位名称：</w:t>
      </w:r>
      <w:r>
        <w:rPr>
          <w:rFonts w:hint="eastAsia" w:ascii="宋体" w:hAnsi="宋体" w:eastAsia="宋体" w:cs="宋体"/>
          <w:sz w:val="24"/>
          <w:szCs w:val="24"/>
          <w:u w:val="single"/>
        </w:rPr>
        <w:t>（加盖CA电子公章）</w:t>
      </w:r>
    </w:p>
    <w:p w14:paraId="6BDBED7B">
      <w:pPr>
        <w:tabs>
          <w:tab w:val="left" w:pos="360"/>
        </w:tabs>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p>
    <w:p w14:paraId="22424460">
      <w:pPr>
        <w:tabs>
          <w:tab w:val="left" w:pos="36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      日期：</w:t>
      </w:r>
      <w:r>
        <w:rPr>
          <w:rFonts w:hint="eastAsia" w:ascii="宋体" w:hAnsi="宋体" w:eastAsia="宋体" w:cs="宋体"/>
          <w:sz w:val="24"/>
          <w:szCs w:val="24"/>
          <w:u w:val="single"/>
        </w:rPr>
        <w:t xml:space="preserve">                                         </w:t>
      </w:r>
    </w:p>
    <w:p w14:paraId="64C87923">
      <w:pPr>
        <w:spacing w:line="400" w:lineRule="exact"/>
        <w:ind w:firstLine="360"/>
        <w:rPr>
          <w:rFonts w:hint="eastAsia" w:ascii="宋体" w:hAnsi="宋体" w:eastAsia="宋体" w:cs="宋体"/>
          <w:b/>
          <w:sz w:val="24"/>
          <w:szCs w:val="24"/>
        </w:rPr>
      </w:pPr>
    </w:p>
    <w:p w14:paraId="126B2833">
      <w:pPr>
        <w:spacing w:line="400" w:lineRule="exact"/>
        <w:ind w:firstLine="241"/>
        <w:rPr>
          <w:rFonts w:hint="eastAsia" w:ascii="宋体" w:hAnsi="宋体" w:eastAsia="宋体" w:cs="宋体"/>
          <w:b/>
          <w:sz w:val="24"/>
          <w:szCs w:val="24"/>
        </w:rPr>
      </w:pPr>
      <w:r>
        <w:rPr>
          <w:rFonts w:hint="eastAsia" w:ascii="宋体" w:hAnsi="宋体" w:eastAsia="宋体" w:cs="宋体"/>
          <w:b/>
          <w:sz w:val="24"/>
          <w:szCs w:val="24"/>
        </w:rPr>
        <w:t>注：（1）请附法定代表人居民身份证、授权代表居民身份证正反面扫描件。</w:t>
      </w:r>
    </w:p>
    <w:p w14:paraId="7F985CBE">
      <w:pPr>
        <w:spacing w:line="400" w:lineRule="exact"/>
        <w:ind w:firstLine="723"/>
        <w:rPr>
          <w:rFonts w:hint="eastAsia" w:ascii="宋体" w:hAnsi="宋体" w:eastAsia="宋体" w:cs="宋体"/>
          <w:b/>
          <w:sz w:val="24"/>
          <w:szCs w:val="24"/>
        </w:rPr>
      </w:pPr>
      <w:r>
        <w:rPr>
          <w:rFonts w:hint="eastAsia" w:ascii="宋体" w:hAnsi="宋体" w:eastAsia="宋体" w:cs="宋体"/>
          <w:b/>
          <w:sz w:val="24"/>
          <w:szCs w:val="24"/>
        </w:rPr>
        <w:t>（2）如法定代表人参加本项目投标活动，“附件7 法人授权书”可不提供。但需提供法定代表人身份证正反面扫描件。</w:t>
      </w:r>
    </w:p>
    <w:p w14:paraId="3518A801">
      <w:pPr>
        <w:pStyle w:val="3"/>
        <w:spacing w:line="440" w:lineRule="exact"/>
        <w:rPr>
          <w:rFonts w:hint="eastAsia" w:ascii="宋体" w:hAnsi="宋体" w:eastAsia="宋体" w:cs="宋体"/>
        </w:rPr>
      </w:pPr>
      <w:r>
        <w:rPr>
          <w:rFonts w:hint="eastAsia" w:ascii="宋体" w:hAnsi="宋体" w:eastAsia="宋体" w:cs="宋体"/>
          <w:color w:val="000000"/>
          <w:sz w:val="24"/>
          <w:szCs w:val="44"/>
        </w:rPr>
        <w:br w:type="page" w:clear="all"/>
      </w:r>
      <w:bookmarkStart w:id="97" w:name="_Toc30075"/>
      <w:bookmarkStart w:id="98" w:name="_Toc12510"/>
      <w:bookmarkStart w:id="99" w:name="_Toc159312666"/>
      <w:r>
        <w:rPr>
          <w:rFonts w:hint="eastAsia" w:ascii="宋体" w:hAnsi="宋体" w:eastAsia="宋体" w:cs="宋体"/>
          <w:sz w:val="24"/>
          <w:szCs w:val="24"/>
        </w:rPr>
        <w:t>附件8 磋商响应函</w:t>
      </w:r>
      <w:bookmarkEnd w:id="97"/>
      <w:bookmarkEnd w:id="98"/>
      <w:bookmarkEnd w:id="99"/>
    </w:p>
    <w:p w14:paraId="670EB146">
      <w:pPr>
        <w:spacing w:line="440" w:lineRule="exact"/>
        <w:rPr>
          <w:rFonts w:hint="eastAsia" w:ascii="宋体" w:hAnsi="宋体" w:eastAsia="宋体" w:cs="宋体"/>
          <w:sz w:val="24"/>
          <w:szCs w:val="24"/>
        </w:rPr>
      </w:pPr>
      <w:r>
        <w:rPr>
          <w:rFonts w:hint="eastAsia" w:ascii="宋体" w:hAnsi="宋体" w:eastAsia="宋体" w:cs="宋体"/>
          <w:sz w:val="24"/>
          <w:szCs w:val="24"/>
        </w:rPr>
        <w:t>致：江苏协诚工程咨询有限公司</w:t>
      </w:r>
    </w:p>
    <w:p w14:paraId="6C7AA8E4">
      <w:pPr>
        <w:spacing w:line="440" w:lineRule="exact"/>
        <w:ind w:firstLine="480"/>
        <w:jc w:val="left"/>
        <w:rPr>
          <w:rFonts w:hint="eastAsia" w:ascii="宋体" w:hAnsi="宋体" w:eastAsia="宋体" w:cs="宋体"/>
          <w:sz w:val="24"/>
          <w:szCs w:val="24"/>
        </w:rPr>
      </w:pPr>
      <w:r>
        <w:rPr>
          <w:rFonts w:hint="eastAsia" w:ascii="宋体" w:hAnsi="宋体" w:eastAsia="宋体" w:cs="宋体"/>
          <w:sz w:val="24"/>
          <w:szCs w:val="24"/>
        </w:rPr>
        <w:t>根据贵方的</w:t>
      </w:r>
      <w:r>
        <w:rPr>
          <w:rFonts w:hint="eastAsia" w:ascii="宋体" w:hAnsi="宋体" w:cs="宋体"/>
          <w:sz w:val="24"/>
          <w:szCs w:val="24"/>
          <w:u w:val="single"/>
          <w:lang w:eastAsia="zh-CN"/>
        </w:rPr>
        <w:t>JSZC-320581-CSXC-C2026-0048</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号磋商文件，正式授权下述签字人______</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姓名</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代表我方______________（供应商的名称），全权处理本次项目磋商的有关事宜。</w:t>
      </w:r>
    </w:p>
    <w:p w14:paraId="62A55192">
      <w:pPr>
        <w:spacing w:line="440" w:lineRule="exact"/>
        <w:ind w:firstLine="480"/>
        <w:jc w:val="left"/>
        <w:rPr>
          <w:rFonts w:hint="eastAsia" w:ascii="宋体" w:hAnsi="宋体" w:eastAsia="宋体" w:cs="宋体"/>
          <w:sz w:val="24"/>
          <w:szCs w:val="24"/>
        </w:rPr>
      </w:pPr>
      <w:r>
        <w:rPr>
          <w:rFonts w:hint="eastAsia" w:ascii="宋体" w:hAnsi="宋体" w:eastAsia="宋体" w:cs="宋体"/>
          <w:color w:val="000000"/>
          <w:sz w:val="24"/>
          <w:szCs w:val="24"/>
        </w:rPr>
        <w:t>据此函，__________签字人兹宣布同意如下：</w:t>
      </w:r>
    </w:p>
    <w:p w14:paraId="44F3A4F5">
      <w:pPr>
        <w:spacing w:line="440" w:lineRule="exact"/>
        <w:ind w:firstLine="480"/>
        <w:jc w:val="left"/>
        <w:rPr>
          <w:rFonts w:hint="eastAsia" w:ascii="宋体" w:hAnsi="宋体" w:eastAsia="宋体" w:cs="宋体"/>
          <w:sz w:val="24"/>
          <w:szCs w:val="24"/>
        </w:rPr>
      </w:pPr>
      <w:r>
        <w:rPr>
          <w:rFonts w:hint="eastAsia" w:ascii="宋体" w:hAnsi="宋体" w:eastAsia="宋体" w:cs="宋体"/>
          <w:color w:val="000000"/>
          <w:sz w:val="24"/>
          <w:szCs w:val="24"/>
        </w:rPr>
        <w:t>1.按磋商文件规定的各项要求，向买方提供所需货物、服务（包含与货物相关的服务及与服务相关的货物）。</w:t>
      </w:r>
    </w:p>
    <w:p w14:paraId="1705A14C">
      <w:pPr>
        <w:spacing w:line="440" w:lineRule="exact"/>
        <w:ind w:firstLine="480"/>
        <w:jc w:val="left"/>
        <w:rPr>
          <w:rFonts w:hint="eastAsia" w:ascii="宋体" w:hAnsi="宋体" w:eastAsia="宋体" w:cs="宋体"/>
          <w:sz w:val="24"/>
          <w:szCs w:val="24"/>
        </w:rPr>
      </w:pPr>
      <w:r>
        <w:rPr>
          <w:rFonts w:hint="eastAsia" w:ascii="宋体" w:hAnsi="宋体" w:eastAsia="宋体" w:cs="宋体"/>
          <w:color w:val="000000"/>
          <w:sz w:val="24"/>
          <w:szCs w:val="24"/>
        </w:rPr>
        <w:t>2.我们完全理解贵方不一定将合同授予最低报价的供应商。</w:t>
      </w:r>
    </w:p>
    <w:p w14:paraId="674C54C3">
      <w:pPr>
        <w:spacing w:line="440" w:lineRule="exact"/>
        <w:ind w:firstLine="480"/>
        <w:jc w:val="left"/>
        <w:rPr>
          <w:rFonts w:hint="eastAsia" w:ascii="宋体" w:hAnsi="宋体" w:eastAsia="宋体" w:cs="宋体"/>
          <w:sz w:val="24"/>
          <w:szCs w:val="24"/>
        </w:rPr>
      </w:pPr>
      <w:r>
        <w:rPr>
          <w:rFonts w:hint="eastAsia" w:ascii="宋体" w:hAnsi="宋体" w:eastAsia="宋体" w:cs="宋体"/>
          <w:color w:val="000000"/>
          <w:sz w:val="24"/>
          <w:szCs w:val="24"/>
        </w:rPr>
        <w:t>3.我们已详细审核全部磋商文件及其有效补充文件，我们知道必须放弃提出含糊不清或误解问题的权利。</w:t>
      </w:r>
    </w:p>
    <w:p w14:paraId="5E8BAF12">
      <w:pPr>
        <w:spacing w:line="440" w:lineRule="exact"/>
        <w:ind w:firstLine="480"/>
        <w:jc w:val="left"/>
        <w:rPr>
          <w:rFonts w:hint="eastAsia" w:ascii="宋体" w:hAnsi="宋体" w:eastAsia="宋体" w:cs="宋体"/>
          <w:sz w:val="24"/>
          <w:szCs w:val="24"/>
        </w:rPr>
      </w:pPr>
      <w:r>
        <w:rPr>
          <w:rFonts w:hint="eastAsia" w:ascii="宋体" w:hAnsi="宋体" w:eastAsia="宋体" w:cs="宋体"/>
          <w:color w:val="000000"/>
          <w:sz w:val="24"/>
          <w:szCs w:val="24"/>
        </w:rPr>
        <w:t>4.我们同意从规定的开标日期起遵循本响应文件，并在规定的磋商有效期期满之前均具有约束力。</w:t>
      </w:r>
    </w:p>
    <w:p w14:paraId="7FDED1DC">
      <w:pPr>
        <w:spacing w:line="440" w:lineRule="exact"/>
        <w:ind w:firstLine="480"/>
        <w:jc w:val="left"/>
        <w:rPr>
          <w:rFonts w:hint="eastAsia" w:ascii="宋体" w:hAnsi="宋体" w:eastAsia="宋体" w:cs="宋体"/>
          <w:sz w:val="24"/>
          <w:szCs w:val="24"/>
        </w:rPr>
      </w:pPr>
      <w:r>
        <w:rPr>
          <w:rFonts w:hint="eastAsia" w:ascii="宋体" w:hAnsi="宋体" w:eastAsia="宋体" w:cs="宋体"/>
          <w:color w:val="000000"/>
          <w:sz w:val="24"/>
          <w:szCs w:val="24"/>
        </w:rPr>
        <w:t>5.同意向贵方提供贵方可能另外要求的与磋商有关的任何证据或资料，并保证我方已提供和将要提供的文件是真实的、准确的。</w:t>
      </w:r>
    </w:p>
    <w:p w14:paraId="280BCB2D">
      <w:pPr>
        <w:spacing w:line="440" w:lineRule="exact"/>
        <w:ind w:firstLine="480"/>
        <w:jc w:val="left"/>
        <w:rPr>
          <w:rFonts w:hint="eastAsia" w:ascii="宋体" w:hAnsi="宋体" w:eastAsia="宋体" w:cs="宋体"/>
          <w:sz w:val="24"/>
          <w:szCs w:val="24"/>
        </w:rPr>
      </w:pPr>
      <w:r>
        <w:rPr>
          <w:rFonts w:hint="eastAsia" w:ascii="宋体" w:hAnsi="宋体" w:eastAsia="宋体" w:cs="宋体"/>
          <w:color w:val="000000"/>
          <w:sz w:val="24"/>
          <w:szCs w:val="24"/>
        </w:rPr>
        <w:t>6.一旦我方成交</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我方将根据磋商文件的规定，严格履行合同的责任和义务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并保证在磋商文件规定的时间完成项目，交付买方验收、使用。</w:t>
      </w:r>
    </w:p>
    <w:p w14:paraId="7430ADF3">
      <w:pPr>
        <w:spacing w:line="440" w:lineRule="exact"/>
        <w:ind w:left="425"/>
        <w:jc w:val="left"/>
        <w:rPr>
          <w:rFonts w:hint="eastAsia" w:ascii="宋体" w:hAnsi="宋体" w:eastAsia="宋体" w:cs="宋体"/>
          <w:sz w:val="24"/>
          <w:szCs w:val="24"/>
        </w:rPr>
      </w:pPr>
      <w:r>
        <w:rPr>
          <w:rFonts w:hint="eastAsia" w:ascii="宋体" w:hAnsi="宋体" w:eastAsia="宋体" w:cs="宋体"/>
          <w:color w:val="000000"/>
          <w:sz w:val="24"/>
          <w:szCs w:val="24"/>
        </w:rPr>
        <w:t>7.我方与本磋商有关的正式通讯地址为：</w:t>
      </w:r>
    </w:p>
    <w:p w14:paraId="4D146018">
      <w:pPr>
        <w:spacing w:line="440" w:lineRule="exact"/>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地        址：</w:t>
      </w:r>
    </w:p>
    <w:p w14:paraId="1766CAD3">
      <w:pPr>
        <w:spacing w:line="440" w:lineRule="exact"/>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邮        编：</w:t>
      </w:r>
    </w:p>
    <w:p w14:paraId="5ACE97BE">
      <w:pPr>
        <w:spacing w:line="440" w:lineRule="exact"/>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电        话：</w:t>
      </w:r>
    </w:p>
    <w:p w14:paraId="6E69A824">
      <w:pPr>
        <w:spacing w:line="440" w:lineRule="exact"/>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传        真：</w:t>
      </w:r>
    </w:p>
    <w:p w14:paraId="54BA3447">
      <w:pPr>
        <w:spacing w:line="440" w:lineRule="exact"/>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供应商开户行：</w:t>
      </w:r>
    </w:p>
    <w:p w14:paraId="5BB332BC">
      <w:pPr>
        <w:spacing w:line="440" w:lineRule="exact"/>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账        号：</w:t>
      </w:r>
    </w:p>
    <w:p w14:paraId="66DF3E96">
      <w:pPr>
        <w:spacing w:line="440" w:lineRule="exact"/>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日        期：________年____月____日</w:t>
      </w:r>
    </w:p>
    <w:p w14:paraId="51AE4ABA">
      <w:pPr>
        <w:pStyle w:val="3"/>
        <w:spacing w:line="440" w:lineRule="exact"/>
        <w:rPr>
          <w:rFonts w:hint="eastAsia" w:ascii="宋体" w:hAnsi="宋体" w:eastAsia="宋体" w:cs="宋体"/>
          <w:sz w:val="24"/>
          <w:szCs w:val="24"/>
        </w:rPr>
      </w:pPr>
      <w:r>
        <w:rPr>
          <w:rFonts w:hint="eastAsia" w:ascii="宋体" w:hAnsi="宋体" w:eastAsia="宋体" w:cs="宋体"/>
          <w:sz w:val="24"/>
          <w:szCs w:val="24"/>
        </w:rPr>
        <w:br w:type="page" w:clear="all"/>
      </w:r>
      <w:bookmarkStart w:id="100" w:name="_Toc19649"/>
      <w:bookmarkStart w:id="101" w:name="_Toc18959"/>
      <w:bookmarkStart w:id="102" w:name="_Toc159312667"/>
      <w:r>
        <w:rPr>
          <w:rFonts w:hint="eastAsia" w:ascii="宋体" w:hAnsi="宋体" w:eastAsia="宋体" w:cs="宋体"/>
          <w:sz w:val="24"/>
          <w:szCs w:val="24"/>
        </w:rPr>
        <w:t>附件9 中小企业声明函</w:t>
      </w:r>
      <w:bookmarkEnd w:id="100"/>
      <w:bookmarkEnd w:id="101"/>
      <w:bookmarkEnd w:id="102"/>
    </w:p>
    <w:p w14:paraId="50CB70FF">
      <w:pPr>
        <w:spacing w:line="520" w:lineRule="exact"/>
        <w:ind w:firstLine="480"/>
        <w:rPr>
          <w:rFonts w:hint="eastAsia" w:ascii="宋体" w:hAnsi="宋体" w:eastAsia="宋体" w:cs="宋体"/>
          <w:sz w:val="24"/>
          <w:szCs w:val="24"/>
        </w:rPr>
      </w:pPr>
      <w:r>
        <w:rPr>
          <w:rFonts w:hint="eastAsia" w:ascii="宋体" w:hAnsi="宋体" w:eastAsia="宋体" w:cs="宋体"/>
          <w:color w:val="000000"/>
          <w:sz w:val="24"/>
          <w:szCs w:val="24"/>
        </w:rPr>
        <w:t>本公司郑重声明，根据《政府采购促进中小企业发展管理办法》</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财库</w:t>
      </w:r>
      <w:r>
        <w:rPr>
          <w:rFonts w:hint="eastAsia" w:ascii="宋体" w:hAnsi="宋体" w:eastAsia="宋体" w:cs="宋体"/>
          <w:color w:val="000000"/>
          <w:sz w:val="24"/>
          <w:szCs w:val="24"/>
          <w:lang w:eastAsia="zh-CN"/>
        </w:rPr>
        <w:t>〔2020〕46号）</w:t>
      </w:r>
      <w:r>
        <w:rPr>
          <w:rFonts w:hint="eastAsia" w:ascii="宋体" w:hAnsi="宋体" w:eastAsia="宋体" w:cs="宋体"/>
          <w:color w:val="000000"/>
          <w:sz w:val="24"/>
          <w:szCs w:val="24"/>
        </w:rPr>
        <w:t>的规定，本公司参加</w:t>
      </w:r>
      <w:r>
        <w:rPr>
          <w:rFonts w:hint="eastAsia" w:ascii="宋体" w:hAnsi="宋体" w:eastAsia="宋体" w:cs="宋体"/>
          <w:color w:val="000000"/>
          <w:sz w:val="24"/>
          <w:szCs w:val="24"/>
          <w:u w:val="single"/>
          <w:lang w:eastAsia="zh-CN"/>
        </w:rPr>
        <w:t>常熟市人民法院</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lang w:eastAsia="zh-CN"/>
        </w:rPr>
        <w:t>常熟市人民法院全流程无纸化辅助服务</w:t>
      </w:r>
      <w:r>
        <w:rPr>
          <w:rFonts w:hint="eastAsia" w:ascii="宋体" w:hAnsi="宋体" w:eastAsia="宋体" w:cs="宋体"/>
          <w:sz w:val="24"/>
          <w:szCs w:val="24"/>
        </w:rPr>
        <w:t>，</w:t>
      </w:r>
      <w:r>
        <w:rPr>
          <w:rFonts w:hint="eastAsia" w:ascii="宋体" w:hAnsi="宋体" w:eastAsia="宋体" w:cs="宋体"/>
          <w:color w:val="000000"/>
          <w:sz w:val="24"/>
          <w:szCs w:val="24"/>
        </w:rPr>
        <w:t>采购编号为</w:t>
      </w:r>
      <w:r>
        <w:rPr>
          <w:rFonts w:hint="eastAsia" w:ascii="宋体" w:hAnsi="宋体" w:cs="宋体"/>
          <w:color w:val="000000"/>
          <w:sz w:val="24"/>
          <w:szCs w:val="24"/>
          <w:u w:val="single"/>
          <w:lang w:eastAsia="zh-CN"/>
        </w:rPr>
        <w:t>JSZC-320581-CSXC-C2026-0048</w:t>
      </w:r>
      <w:r>
        <w:rPr>
          <w:rFonts w:hint="eastAsia" w:ascii="宋体" w:hAnsi="宋体" w:eastAsia="宋体" w:cs="宋体"/>
          <w:color w:val="000000"/>
          <w:sz w:val="24"/>
          <w:szCs w:val="24"/>
        </w:rPr>
        <w:t>的采购活动，服务</w:t>
      </w:r>
      <w:r>
        <w:rPr>
          <w:rFonts w:hint="eastAsia" w:ascii="宋体" w:hAnsi="宋体" w:eastAsia="宋体" w:cs="宋体"/>
          <w:sz w:val="24"/>
          <w:szCs w:val="24"/>
        </w:rPr>
        <w:t>全部由符合政策要求的中小企业承接。相关企业的具体情况如下：</w:t>
      </w:r>
    </w:p>
    <w:p w14:paraId="3A0854AF">
      <w:pPr>
        <w:spacing w:line="520" w:lineRule="exact"/>
        <w:ind w:firstLine="360"/>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lang w:eastAsia="zh-CN"/>
        </w:rPr>
        <w:t>常熟市人民法院全流程无纸化辅助服务</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 xml:space="preserve"> 软件和信息技术服务业 </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（小型企业、微型企业、</w:t>
      </w:r>
      <w:r>
        <w:rPr>
          <w:rFonts w:hint="eastAsia" w:ascii="宋体" w:hAnsi="宋体" w:eastAsia="宋体" w:cs="宋体"/>
          <w:bCs/>
          <w:color w:val="000000"/>
          <w:sz w:val="24"/>
          <w:szCs w:val="24"/>
          <w:u w:val="single"/>
        </w:rPr>
        <w:t>中型企业</w:t>
      </w:r>
      <w:r>
        <w:rPr>
          <w:rFonts w:hint="eastAsia" w:ascii="宋体" w:hAnsi="宋体" w:eastAsia="宋体" w:cs="宋体"/>
          <w:color w:val="000000"/>
          <w:sz w:val="24"/>
          <w:szCs w:val="24"/>
          <w:u w:val="single"/>
        </w:rPr>
        <w:t>）             。</w:t>
      </w:r>
    </w:p>
    <w:p w14:paraId="66869AFD">
      <w:pPr>
        <w:spacing w:line="520" w:lineRule="exact"/>
        <w:rPr>
          <w:rFonts w:hint="eastAsia" w:ascii="宋体" w:hAnsi="宋体" w:eastAsia="宋体" w:cs="宋体"/>
          <w:color w:val="000000"/>
          <w:sz w:val="24"/>
          <w:szCs w:val="24"/>
        </w:rPr>
      </w:pPr>
    </w:p>
    <w:p w14:paraId="375C8A51">
      <w:pPr>
        <w:spacing w:line="52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5A686750">
      <w:pPr>
        <w:spacing w:line="52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092043D7">
      <w:pPr>
        <w:spacing w:line="520" w:lineRule="exact"/>
        <w:ind w:right="180" w:firstLine="360"/>
        <w:jc w:val="center"/>
        <w:rPr>
          <w:rFonts w:hint="eastAsia" w:ascii="宋体" w:hAnsi="宋体" w:eastAsia="宋体" w:cs="宋体"/>
          <w:sz w:val="24"/>
          <w:szCs w:val="24"/>
        </w:rPr>
      </w:pPr>
      <w:r>
        <w:rPr>
          <w:rFonts w:hint="eastAsia" w:ascii="宋体" w:hAnsi="宋体" w:eastAsia="宋体" w:cs="宋体"/>
          <w:color w:val="000000"/>
          <w:sz w:val="24"/>
          <w:szCs w:val="24"/>
        </w:rPr>
        <w:t xml:space="preserve">                                              企业名称（加盖CA电子公章）：</w:t>
      </w:r>
    </w:p>
    <w:p w14:paraId="38C7FBFE">
      <w:pPr>
        <w:spacing w:line="520" w:lineRule="exact"/>
        <w:ind w:right="480" w:firstLine="6000"/>
        <w:rPr>
          <w:rFonts w:hint="eastAsia" w:ascii="宋体" w:hAnsi="宋体" w:eastAsia="宋体" w:cs="宋体"/>
          <w:sz w:val="24"/>
          <w:szCs w:val="24"/>
        </w:rPr>
      </w:pPr>
      <w:r>
        <w:rPr>
          <w:rFonts w:hint="eastAsia" w:ascii="宋体" w:hAnsi="宋体" w:eastAsia="宋体" w:cs="宋体"/>
          <w:color w:val="000000"/>
          <w:sz w:val="24"/>
          <w:szCs w:val="24"/>
        </w:rPr>
        <w:t>日    期：</w:t>
      </w:r>
    </w:p>
    <w:p w14:paraId="7054BC0E">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注：（1）从业人员、营业收入、资产总额填报上一年度数据，无上一年度数据的新成立企业可不填报。</w:t>
      </w:r>
    </w:p>
    <w:p w14:paraId="25369ADD">
      <w:pPr>
        <w:spacing w:line="440" w:lineRule="exact"/>
        <w:ind w:firstLine="482"/>
        <w:jc w:val="left"/>
        <w:rPr>
          <w:rFonts w:hint="eastAsia" w:ascii="宋体" w:hAnsi="宋体" w:eastAsia="宋体" w:cs="宋体"/>
          <w:b/>
          <w:bCs/>
          <w:sz w:val="24"/>
          <w:szCs w:val="24"/>
        </w:rPr>
      </w:pPr>
      <w:r>
        <w:rPr>
          <w:rFonts w:hint="eastAsia" w:ascii="宋体" w:hAnsi="宋体" w:eastAsia="宋体" w:cs="宋体"/>
          <w:b/>
          <w:bCs/>
          <w:sz w:val="24"/>
          <w:szCs w:val="24"/>
        </w:rPr>
        <w:t>（2）本项目所属行业为：软件和信息技术服务业。</w:t>
      </w:r>
    </w:p>
    <w:p w14:paraId="34007BE2">
      <w:pPr>
        <w:spacing w:line="440" w:lineRule="exact"/>
        <w:ind w:firstLine="482"/>
        <w:rPr>
          <w:rFonts w:hint="eastAsia" w:ascii="宋体" w:hAnsi="宋体" w:eastAsia="宋体" w:cs="宋体"/>
          <w:b/>
          <w:bCs/>
          <w:sz w:val="24"/>
          <w:szCs w:val="24"/>
        </w:rPr>
      </w:pPr>
      <w:r>
        <w:rPr>
          <w:rFonts w:hint="eastAsia" w:ascii="宋体" w:hAnsi="宋体" w:eastAsia="宋体" w:cs="宋体"/>
          <w:b/>
          <w:bCs/>
          <w:sz w:val="24"/>
          <w:szCs w:val="24"/>
        </w:rPr>
        <w:t>（3）上述“中小企业声明函”格式原则上不得改动，因擅自改动引起的评审风险由供应商自行承担。如供应商</w:t>
      </w:r>
      <w:r>
        <w:rPr>
          <w:rFonts w:hint="eastAsia" w:ascii="宋体" w:hAnsi="宋体" w:eastAsia="宋体" w:cs="宋体"/>
          <w:b/>
          <w:bCs/>
          <w:sz w:val="24"/>
          <w:szCs w:val="24"/>
          <w:lang w:eastAsia="zh-CN"/>
        </w:rPr>
        <w:t>提供其他</w:t>
      </w:r>
      <w:r>
        <w:rPr>
          <w:rFonts w:hint="eastAsia" w:ascii="宋体" w:hAnsi="宋体" w:eastAsia="宋体" w:cs="宋体"/>
          <w:b/>
          <w:bCs/>
          <w:sz w:val="24"/>
          <w:szCs w:val="24"/>
        </w:rPr>
        <w:t>小微企业制造的货物时，不需要相关制造商另外提供声明函。</w:t>
      </w:r>
    </w:p>
    <w:p w14:paraId="6DD17C2C">
      <w:pPr>
        <w:spacing w:line="440" w:lineRule="exact"/>
        <w:ind w:firstLine="482"/>
        <w:rPr>
          <w:rFonts w:hint="eastAsia" w:ascii="宋体" w:hAnsi="宋体" w:eastAsia="宋体" w:cs="宋体"/>
          <w:b/>
          <w:bCs/>
          <w:sz w:val="24"/>
          <w:szCs w:val="24"/>
        </w:rPr>
      </w:pPr>
      <w:r>
        <w:rPr>
          <w:rFonts w:hint="eastAsia" w:ascii="宋体" w:hAnsi="宋体" w:eastAsia="宋体" w:cs="宋体"/>
          <w:b/>
          <w:bCs/>
          <w:sz w:val="24"/>
          <w:szCs w:val="24"/>
        </w:rPr>
        <w:t>（4）如未对上述声明函内（中型企业、小型企业、微型企业）进行勾选或明确，引起的评审风险由供应商自行承担。</w:t>
      </w:r>
    </w:p>
    <w:p w14:paraId="2EF3E9E8">
      <w:pPr>
        <w:ind w:firstLine="480"/>
        <w:rPr>
          <w:rFonts w:hint="eastAsia" w:ascii="宋体" w:hAnsi="宋体" w:eastAsia="宋体" w:cs="宋体"/>
          <w:sz w:val="24"/>
          <w:szCs w:val="24"/>
        </w:rPr>
      </w:pPr>
    </w:p>
    <w:p w14:paraId="590233E5">
      <w:pPr>
        <w:pStyle w:val="3"/>
        <w:spacing w:line="440" w:lineRule="exact"/>
        <w:rPr>
          <w:rFonts w:hint="eastAsia" w:ascii="宋体" w:hAnsi="宋体" w:eastAsia="宋体" w:cs="宋体"/>
          <w:sz w:val="24"/>
          <w:szCs w:val="24"/>
        </w:rPr>
      </w:pPr>
      <w:r>
        <w:rPr>
          <w:rFonts w:hint="eastAsia" w:ascii="宋体" w:hAnsi="宋体" w:eastAsia="宋体" w:cs="宋体"/>
          <w:sz w:val="24"/>
          <w:szCs w:val="24"/>
        </w:rPr>
        <w:br w:type="page" w:clear="all"/>
      </w:r>
      <w:bookmarkStart w:id="103" w:name="_Toc159312668"/>
      <w:bookmarkStart w:id="104" w:name="_Toc13731"/>
      <w:bookmarkStart w:id="105" w:name="_Toc18881"/>
      <w:r>
        <w:rPr>
          <w:rFonts w:hint="eastAsia" w:ascii="宋体" w:hAnsi="宋体" w:eastAsia="宋体" w:cs="宋体"/>
          <w:sz w:val="24"/>
          <w:szCs w:val="24"/>
        </w:rPr>
        <w:t>附件10 残疾人福利性单位声明函</w:t>
      </w:r>
      <w:bookmarkEnd w:id="103"/>
      <w:bookmarkEnd w:id="104"/>
      <w:bookmarkEnd w:id="105"/>
    </w:p>
    <w:p w14:paraId="7C80C616">
      <w:pPr>
        <w:spacing w:line="588" w:lineRule="exact"/>
        <w:ind w:firstLine="480"/>
        <w:rPr>
          <w:rFonts w:hint="eastAsia" w:ascii="宋体" w:hAnsi="宋体" w:eastAsia="宋体" w:cs="宋体"/>
          <w:color w:val="000000"/>
          <w:sz w:val="24"/>
          <w:szCs w:val="21"/>
        </w:rPr>
      </w:pPr>
      <w:r>
        <w:rPr>
          <w:rFonts w:hint="eastAsia" w:ascii="宋体" w:hAnsi="宋体" w:eastAsia="宋体" w:cs="宋体"/>
          <w:color w:val="000000"/>
          <w:sz w:val="24"/>
          <w:szCs w:val="21"/>
        </w:rPr>
        <w:t>本单位郑重声明，根据《财政部 民政部 中国残疾人联合会关于促进残疾人就业政府采购政策的通知》（财库</w:t>
      </w:r>
      <w:r>
        <w:rPr>
          <w:rFonts w:hint="eastAsia" w:ascii="宋体" w:hAnsi="宋体" w:eastAsia="宋体" w:cs="宋体"/>
          <w:color w:val="000000"/>
          <w:sz w:val="24"/>
          <w:szCs w:val="21"/>
          <w:lang w:eastAsia="zh-CN"/>
        </w:rPr>
        <w:t>〔2017〕141号</w:t>
      </w:r>
      <w:r>
        <w:rPr>
          <w:rFonts w:hint="eastAsia" w:ascii="宋体" w:hAnsi="宋体" w:eastAsia="宋体" w:cs="宋体"/>
          <w:color w:val="000000"/>
          <w:sz w:val="24"/>
          <w:szCs w:val="21"/>
        </w:rPr>
        <w:t>）的规定，本单位为符合条件的残疾人福利性单位，且本单位参加______单位的采购文件编号为______的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项目采购活动提供本单位制造的货物</w:t>
      </w:r>
      <w:r>
        <w:rPr>
          <w:rFonts w:hint="eastAsia" w:ascii="宋体" w:hAnsi="宋体" w:eastAsia="宋体" w:cs="宋体"/>
          <w:spacing w:val="6"/>
          <w:sz w:val="24"/>
          <w:szCs w:val="24"/>
        </w:rPr>
        <w:t>（由本单位承担工程/提供服务）</w:t>
      </w:r>
      <w:r>
        <w:rPr>
          <w:rFonts w:hint="eastAsia" w:ascii="宋体" w:hAnsi="宋体" w:eastAsia="宋体" w:cs="宋体"/>
          <w:color w:val="000000"/>
          <w:sz w:val="24"/>
          <w:szCs w:val="21"/>
        </w:rPr>
        <w:t>，或者提供其他残疾人福利性单位制造的货物（不包括使用非残疾人福利性单位注册商标的货物）。</w:t>
      </w:r>
    </w:p>
    <w:p w14:paraId="380446B8">
      <w:pPr>
        <w:spacing w:line="588" w:lineRule="exact"/>
        <w:ind w:firstLine="480"/>
        <w:rPr>
          <w:rFonts w:hint="eastAsia" w:ascii="宋体" w:hAnsi="宋体" w:eastAsia="宋体" w:cs="宋体"/>
          <w:color w:val="000000"/>
          <w:sz w:val="24"/>
          <w:szCs w:val="21"/>
        </w:rPr>
      </w:pPr>
      <w:r>
        <w:rPr>
          <w:rFonts w:hint="eastAsia" w:ascii="宋体" w:hAnsi="宋体" w:eastAsia="宋体" w:cs="宋体"/>
          <w:color w:val="000000"/>
          <w:sz w:val="24"/>
          <w:szCs w:val="21"/>
        </w:rPr>
        <w:t>本单位对上述声明的真实性负责。如有虚假，将依法承担相应责任。</w:t>
      </w:r>
    </w:p>
    <w:p w14:paraId="3146D62C">
      <w:pPr>
        <w:spacing w:line="588" w:lineRule="exact"/>
        <w:ind w:firstLine="480"/>
        <w:rPr>
          <w:rFonts w:hint="eastAsia" w:ascii="宋体" w:hAnsi="宋体" w:eastAsia="宋体" w:cs="宋体"/>
          <w:color w:val="000000"/>
          <w:sz w:val="24"/>
          <w:szCs w:val="21"/>
        </w:rPr>
      </w:pPr>
    </w:p>
    <w:p w14:paraId="73B35BD2">
      <w:pPr>
        <w:spacing w:line="588" w:lineRule="exact"/>
        <w:ind w:firstLine="480"/>
        <w:rPr>
          <w:rFonts w:hint="eastAsia" w:ascii="宋体" w:hAnsi="宋体" w:eastAsia="宋体" w:cs="宋体"/>
          <w:color w:val="000000"/>
          <w:sz w:val="24"/>
          <w:szCs w:val="21"/>
        </w:rPr>
      </w:pPr>
      <w:r>
        <w:rPr>
          <w:rFonts w:hint="eastAsia" w:ascii="宋体" w:hAnsi="宋体" w:eastAsia="宋体" w:cs="宋体"/>
          <w:color w:val="000000"/>
          <w:sz w:val="24"/>
          <w:szCs w:val="21"/>
        </w:rPr>
        <w:t>（备注：1、供应商如不提供此声明函，价格将不做相应扣除。2、中标供应商为残疾人福利单位的，此声明函将随成交结果同时公告，接受社会监督）</w:t>
      </w:r>
    </w:p>
    <w:p w14:paraId="0B8ABE1A">
      <w:pPr>
        <w:spacing w:line="588" w:lineRule="exact"/>
        <w:ind w:firstLine="624"/>
        <w:rPr>
          <w:rFonts w:hint="eastAsia" w:ascii="宋体" w:hAnsi="宋体" w:eastAsia="宋体" w:cs="宋体"/>
          <w:color w:val="000000"/>
          <w:spacing w:val="6"/>
          <w:sz w:val="30"/>
          <w:szCs w:val="30"/>
        </w:rPr>
      </w:pPr>
    </w:p>
    <w:p w14:paraId="02B4199D">
      <w:pPr>
        <w:tabs>
          <w:tab w:val="left" w:pos="4860"/>
        </w:tabs>
        <w:spacing w:line="588" w:lineRule="exact"/>
        <w:ind w:right="1560" w:firstLine="624"/>
        <w:jc w:val="center"/>
        <w:rPr>
          <w:rFonts w:hint="eastAsia" w:ascii="宋体" w:hAnsi="宋体" w:eastAsia="宋体" w:cs="宋体"/>
          <w:color w:val="000000"/>
          <w:sz w:val="24"/>
          <w:szCs w:val="21"/>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szCs w:val="21"/>
        </w:rPr>
        <w:t xml:space="preserve">          供应商全称（加盖CA电子公章）：</w:t>
      </w:r>
    </w:p>
    <w:p w14:paraId="17EFB353">
      <w:pPr>
        <w:tabs>
          <w:tab w:val="left" w:pos="4860"/>
        </w:tabs>
        <w:spacing w:line="588" w:lineRule="exact"/>
        <w:ind w:right="1560" w:firstLine="480"/>
        <w:jc w:val="center"/>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日  期：</w:t>
      </w:r>
    </w:p>
    <w:p w14:paraId="0486740C">
      <w:pPr>
        <w:pStyle w:val="3"/>
        <w:spacing w:line="440" w:lineRule="exact"/>
        <w:rPr>
          <w:rFonts w:hint="eastAsia" w:ascii="宋体" w:hAnsi="宋体" w:eastAsia="宋体" w:cs="宋体"/>
          <w:sz w:val="24"/>
          <w:szCs w:val="24"/>
        </w:rPr>
      </w:pPr>
      <w:r>
        <w:rPr>
          <w:rFonts w:hint="eastAsia" w:ascii="宋体" w:hAnsi="宋体" w:eastAsia="宋体" w:cs="宋体"/>
          <w:sz w:val="24"/>
          <w:szCs w:val="24"/>
        </w:rPr>
        <w:br w:type="page" w:clear="all"/>
      </w:r>
      <w:bookmarkStart w:id="106" w:name="_Toc4668"/>
      <w:bookmarkStart w:id="107" w:name="_Toc3236"/>
      <w:bookmarkStart w:id="108" w:name="_Toc159312669"/>
      <w:bookmarkStart w:id="109" w:name="_Toc514153165"/>
      <w:bookmarkStart w:id="110" w:name="_Toc103080658"/>
      <w:bookmarkStart w:id="111" w:name="_Toc447796829"/>
      <w:bookmarkStart w:id="112" w:name="_Toc345248156"/>
      <w:bookmarkStart w:id="113" w:name="_Toc341427247"/>
      <w:bookmarkStart w:id="114" w:name="_Toc414881345"/>
      <w:bookmarkStart w:id="115" w:name="_Toc315868069"/>
      <w:bookmarkStart w:id="116" w:name="_Toc315875332"/>
      <w:r>
        <w:rPr>
          <w:rFonts w:hint="eastAsia" w:ascii="宋体" w:hAnsi="宋体" w:eastAsia="宋体" w:cs="宋体"/>
          <w:sz w:val="24"/>
          <w:szCs w:val="24"/>
        </w:rPr>
        <w:t>附件11 实质性要求响应及偏离表</w:t>
      </w:r>
      <w:bookmarkEnd w:id="106"/>
      <w:bookmarkEnd w:id="107"/>
      <w:bookmarkEnd w:id="108"/>
    </w:p>
    <w:p w14:paraId="0A2E5380">
      <w:pPr>
        <w:rPr>
          <w:rFonts w:hint="eastAsia" w:ascii="宋体" w:hAnsi="宋体" w:eastAsia="宋体" w:cs="宋体"/>
        </w:rPr>
      </w:pPr>
    </w:p>
    <w:tbl>
      <w:tblPr>
        <w:tblStyle w:val="54"/>
        <w:tblW w:w="111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4"/>
        <w:gridCol w:w="7851"/>
        <w:gridCol w:w="1335"/>
        <w:gridCol w:w="1467"/>
      </w:tblGrid>
      <w:tr w14:paraId="22ED7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14" w:type="dxa"/>
            <w:noWrap w:val="0"/>
            <w:vAlign w:val="center"/>
          </w:tcPr>
          <w:p w14:paraId="78A2AB27">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7851" w:type="dxa"/>
            <w:noWrap w:val="0"/>
            <w:vAlign w:val="center"/>
          </w:tcPr>
          <w:p w14:paraId="364E26FE">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技术要求和商务要求中的实质性要求</w:t>
            </w:r>
          </w:p>
        </w:tc>
        <w:tc>
          <w:tcPr>
            <w:tcW w:w="1335" w:type="dxa"/>
            <w:noWrap w:val="0"/>
            <w:vAlign w:val="center"/>
          </w:tcPr>
          <w:p w14:paraId="4C74DAA7">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投标响应情况</w:t>
            </w:r>
          </w:p>
        </w:tc>
        <w:tc>
          <w:tcPr>
            <w:tcW w:w="1467" w:type="dxa"/>
            <w:noWrap w:val="0"/>
            <w:vAlign w:val="center"/>
          </w:tcPr>
          <w:p w14:paraId="5308ABDA">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超出、符合或偏离</w:t>
            </w:r>
          </w:p>
        </w:tc>
      </w:tr>
      <w:tr w14:paraId="108BF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14" w:type="dxa"/>
            <w:noWrap w:val="0"/>
            <w:vAlign w:val="center"/>
          </w:tcPr>
          <w:p w14:paraId="1A72F4E1">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7851" w:type="dxa"/>
            <w:noWrap w:val="0"/>
          </w:tcPr>
          <w:p w14:paraId="0580E593">
            <w:pPr>
              <w:pageBreakBefore w:val="0"/>
              <w:kinsoku/>
              <w:wordWrap/>
              <w:overflowPunct/>
              <w:topLinePunct w:val="0"/>
              <w:autoSpaceDE/>
              <w:autoSpaceDN/>
              <w:bidi w:val="0"/>
              <w:adjustRightInd/>
              <w:snapToGrid/>
              <w:spacing w:line="240" w:lineRule="auto"/>
              <w:ind w:right="216" w:firstLine="241"/>
              <w:rPr>
                <w:rFonts w:hint="eastAsia" w:ascii="宋体" w:hAnsi="宋体" w:eastAsia="宋体" w:cs="宋体"/>
                <w:b/>
                <w:bCs/>
                <w:sz w:val="24"/>
                <w:szCs w:val="24"/>
              </w:rPr>
            </w:pPr>
            <w:r>
              <w:rPr>
                <w:rFonts w:hint="eastAsia" w:ascii="宋体" w:hAnsi="宋体" w:eastAsia="宋体" w:cs="宋体"/>
                <w:b/>
                <w:bCs/>
                <w:sz w:val="24"/>
                <w:szCs w:val="24"/>
              </w:rPr>
              <w:t>★6、付款方式：</w:t>
            </w:r>
          </w:p>
          <w:p w14:paraId="53AB4E5B">
            <w:pPr>
              <w:pStyle w:val="20"/>
              <w:pageBreakBefore w:val="0"/>
              <w:kinsoku/>
              <w:wordWrap/>
              <w:overflowPunct/>
              <w:topLinePunct w:val="0"/>
              <w:autoSpaceDE/>
              <w:autoSpaceDN/>
              <w:bidi w:val="0"/>
              <w:adjustRightInd/>
              <w:snapToGrid/>
              <w:spacing w:line="240" w:lineRule="auto"/>
              <w:ind w:firstLine="573"/>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.1 按实际</w:t>
            </w:r>
            <w:r>
              <w:rPr>
                <w:rFonts w:hint="eastAsia" w:ascii="宋体" w:hAnsi="宋体" w:eastAsia="宋体" w:cs="宋体"/>
                <w:bCs/>
                <w:sz w:val="24"/>
                <w:szCs w:val="24"/>
              </w:rPr>
              <w:t>完成的无纸化数字化集约化案件</w:t>
            </w:r>
            <w:r>
              <w:rPr>
                <w:rFonts w:hint="eastAsia" w:ascii="宋体" w:hAnsi="宋体" w:eastAsia="宋体" w:cs="宋体"/>
                <w:sz w:val="24"/>
                <w:szCs w:val="24"/>
              </w:rPr>
              <w:t>数进行结算。</w:t>
            </w:r>
          </w:p>
          <w:p w14:paraId="2D565D37">
            <w:pPr>
              <w:pStyle w:val="20"/>
              <w:pageBreakBefore w:val="0"/>
              <w:kinsoku/>
              <w:wordWrap/>
              <w:overflowPunct/>
              <w:topLinePunct w:val="0"/>
              <w:autoSpaceDE/>
              <w:autoSpaceDN/>
              <w:bidi w:val="0"/>
              <w:adjustRightInd/>
              <w:snapToGrid/>
              <w:spacing w:line="240" w:lineRule="auto"/>
              <w:ind w:firstLine="5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.2 按季度结算支付，每季度后的30日内，</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按实际完成的无纸化数字化集约化案件数</w:t>
            </w:r>
            <w:r>
              <w:rPr>
                <w:rFonts w:hint="eastAsia" w:ascii="宋体" w:hAnsi="宋体" w:eastAsia="宋体" w:cs="宋体"/>
                <w:sz w:val="24"/>
                <w:szCs w:val="24"/>
                <w:highlight w:val="none"/>
                <w:lang w:val="en-US" w:eastAsia="zh-CN"/>
              </w:rPr>
              <w:t>根据考核后</w:t>
            </w:r>
            <w:r>
              <w:rPr>
                <w:rFonts w:hint="eastAsia" w:ascii="宋体" w:hAnsi="宋体" w:eastAsia="宋体" w:cs="宋体"/>
                <w:sz w:val="24"/>
                <w:szCs w:val="24"/>
                <w:highlight w:val="none"/>
              </w:rPr>
              <w:t>进行结算。</w:t>
            </w:r>
          </w:p>
          <w:p w14:paraId="584A75ED">
            <w:pPr>
              <w:pStyle w:val="20"/>
              <w:pageBreakBefore w:val="0"/>
              <w:kinsoku/>
              <w:wordWrap/>
              <w:overflowPunct/>
              <w:topLinePunct w:val="0"/>
              <w:autoSpaceDE/>
              <w:autoSpaceDN/>
              <w:bidi w:val="0"/>
              <w:adjustRightInd/>
              <w:snapToGrid/>
              <w:spacing w:line="240" w:lineRule="auto"/>
              <w:ind w:firstLine="892" w:firstLineChars="37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6.2.1</w:t>
            </w:r>
            <w:r>
              <w:rPr>
                <w:rFonts w:hint="eastAsia" w:ascii="宋体" w:hAnsi="宋体" w:eastAsia="宋体" w:cs="宋体"/>
                <w:sz w:val="24"/>
                <w:szCs w:val="24"/>
                <w:highlight w:val="none"/>
              </w:rPr>
              <w:t>季度考核98分以上全额支付当季度费用</w:t>
            </w:r>
          </w:p>
          <w:p w14:paraId="45482620">
            <w:pPr>
              <w:pStyle w:val="20"/>
              <w:pageBreakBefore w:val="0"/>
              <w:kinsoku/>
              <w:wordWrap/>
              <w:overflowPunct/>
              <w:topLinePunct w:val="0"/>
              <w:autoSpaceDE/>
              <w:autoSpaceDN/>
              <w:bidi w:val="0"/>
              <w:adjustRightInd/>
              <w:snapToGrid/>
              <w:spacing w:line="240" w:lineRule="auto"/>
              <w:ind w:firstLine="892" w:firstLineChars="37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6.2.2</w:t>
            </w:r>
            <w:r>
              <w:rPr>
                <w:rFonts w:hint="eastAsia" w:ascii="宋体" w:hAnsi="宋体" w:eastAsia="宋体" w:cs="宋体"/>
                <w:sz w:val="24"/>
                <w:szCs w:val="24"/>
                <w:highlight w:val="none"/>
              </w:rPr>
              <w:t>当季度考核在9</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分-98分（含98分），扣除当季度费用的10%</w:t>
            </w:r>
          </w:p>
          <w:p w14:paraId="600D6BC7">
            <w:pPr>
              <w:pStyle w:val="20"/>
              <w:pageBreakBefore w:val="0"/>
              <w:kinsoku/>
              <w:wordWrap/>
              <w:overflowPunct/>
              <w:topLinePunct w:val="0"/>
              <w:autoSpaceDE/>
              <w:autoSpaceDN/>
              <w:bidi w:val="0"/>
              <w:adjustRightInd/>
              <w:snapToGrid/>
              <w:spacing w:line="240" w:lineRule="auto"/>
              <w:ind w:firstLine="892" w:firstLineChars="37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6.2.3</w:t>
            </w:r>
            <w:r>
              <w:rPr>
                <w:rFonts w:hint="eastAsia" w:ascii="宋体" w:hAnsi="宋体" w:eastAsia="宋体" w:cs="宋体"/>
                <w:sz w:val="24"/>
                <w:szCs w:val="24"/>
                <w:highlight w:val="none"/>
              </w:rPr>
              <w:t>当季度考核在90分（含90分）-95分（含95分），扣除当季度费用的20%</w:t>
            </w:r>
          </w:p>
          <w:p w14:paraId="265CB20F">
            <w:pPr>
              <w:pStyle w:val="20"/>
              <w:pageBreakBefore w:val="0"/>
              <w:kinsoku/>
              <w:wordWrap/>
              <w:overflowPunct/>
              <w:topLinePunct w:val="0"/>
              <w:autoSpaceDE/>
              <w:autoSpaceDN/>
              <w:bidi w:val="0"/>
              <w:adjustRightInd/>
              <w:snapToGrid/>
              <w:spacing w:line="240" w:lineRule="auto"/>
              <w:ind w:firstLine="892" w:firstLineChars="37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6.2.4</w:t>
            </w:r>
            <w:r>
              <w:rPr>
                <w:rFonts w:hint="eastAsia" w:ascii="宋体" w:hAnsi="宋体" w:eastAsia="宋体" w:cs="宋体"/>
                <w:sz w:val="24"/>
                <w:szCs w:val="24"/>
                <w:highlight w:val="none"/>
              </w:rPr>
              <w:t>当季度低于90分或发生泄密、丢失卷宗等安全事故的，扣除当季度一切费用，且</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有权解除合同，并要求</w:t>
            </w:r>
            <w:r>
              <w:rPr>
                <w:rFonts w:hint="eastAsia" w:ascii="宋体" w:hAnsi="宋体" w:eastAsia="宋体" w:cs="宋体"/>
                <w:sz w:val="24"/>
                <w:szCs w:val="24"/>
                <w:highlight w:val="none"/>
                <w:lang w:val="en-US" w:eastAsia="zh-CN"/>
              </w:rPr>
              <w:t>成交供应商</w:t>
            </w:r>
            <w:r>
              <w:rPr>
                <w:rFonts w:hint="eastAsia" w:ascii="宋体" w:hAnsi="宋体" w:eastAsia="宋体" w:cs="宋体"/>
                <w:sz w:val="24"/>
                <w:szCs w:val="24"/>
                <w:highlight w:val="none"/>
              </w:rPr>
              <w:t>偿付违约金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违约金</w:t>
            </w:r>
            <w:r>
              <w:rPr>
                <w:rFonts w:hint="eastAsia" w:ascii="宋体" w:hAnsi="宋体" w:eastAsia="宋体" w:cs="宋体"/>
                <w:sz w:val="24"/>
                <w:szCs w:val="24"/>
                <w:highlight w:val="none"/>
                <w:lang w:eastAsia="zh-CN"/>
              </w:rPr>
              <w:t>按54000案件数*成交单价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20％</w:t>
            </w:r>
            <w:r>
              <w:rPr>
                <w:rFonts w:hint="eastAsia" w:ascii="宋体" w:hAnsi="宋体" w:eastAsia="宋体" w:cs="宋体"/>
                <w:sz w:val="24"/>
                <w:szCs w:val="24"/>
                <w:highlight w:val="none"/>
                <w:lang w:val="en-US" w:eastAsia="zh-CN"/>
              </w:rPr>
              <w:t>计算</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0B4F27AC">
            <w:pPr>
              <w:pageBreakBefore w:val="0"/>
              <w:kinsoku/>
              <w:wordWrap/>
              <w:overflowPunct/>
              <w:topLinePunct w:val="0"/>
              <w:autoSpaceDE/>
              <w:autoSpaceDN/>
              <w:bidi w:val="0"/>
              <w:adjustRightInd/>
              <w:snapToGrid/>
              <w:spacing w:line="240" w:lineRule="auto"/>
              <w:ind w:firstLine="482"/>
              <w:rPr>
                <w:rFonts w:hint="eastAsia" w:ascii="宋体" w:hAnsi="宋体" w:eastAsia="宋体" w:cs="宋体"/>
                <w:b/>
                <w:bCs/>
                <w:sz w:val="24"/>
                <w:szCs w:val="24"/>
              </w:rPr>
            </w:pPr>
            <w:r>
              <w:rPr>
                <w:rFonts w:hint="eastAsia" w:ascii="宋体" w:hAnsi="宋体" w:eastAsia="宋体" w:cs="宋体"/>
                <w:b/>
                <w:bCs/>
                <w:sz w:val="24"/>
                <w:szCs w:val="24"/>
                <w:highlight w:val="none"/>
              </w:rPr>
              <w:t>注：1</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支付方式包</w:t>
            </w:r>
            <w:r>
              <w:rPr>
                <w:rFonts w:hint="eastAsia" w:ascii="宋体" w:hAnsi="宋体" w:eastAsia="宋体" w:cs="宋体"/>
                <w:b/>
                <w:bCs/>
                <w:sz w:val="24"/>
                <w:szCs w:val="24"/>
              </w:rPr>
              <w:t>括但不限于数字人民币、现金、支票、汇票等。</w:t>
            </w:r>
          </w:p>
          <w:p w14:paraId="28C9254F">
            <w:pPr>
              <w:pageBreakBefore w:val="0"/>
              <w:numPr>
                <w:ilvl w:val="0"/>
                <w:numId w:val="0"/>
              </w:numPr>
              <w:kinsoku/>
              <w:wordWrap/>
              <w:overflowPunct/>
              <w:topLinePunct w:val="0"/>
              <w:autoSpaceDE/>
              <w:autoSpaceDN/>
              <w:bidi w:val="0"/>
              <w:adjustRightInd/>
              <w:snapToGrid/>
              <w:spacing w:line="240" w:lineRule="auto"/>
              <w:ind w:firstLine="964" w:firstLineChars="0"/>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SA"/>
              </w:rPr>
              <w:t>2）以上每次付款前成交供应商均应提供符合采购人要求的同等金额的合法有效发票。否则，采购人有权顺延付款时间且不承担任何违约或赔偿责任。</w:t>
            </w:r>
          </w:p>
        </w:tc>
        <w:tc>
          <w:tcPr>
            <w:tcW w:w="1335" w:type="dxa"/>
            <w:noWrap w:val="0"/>
          </w:tcPr>
          <w:p w14:paraId="140213D9">
            <w:pPr>
              <w:spacing w:line="400" w:lineRule="exact"/>
              <w:jc w:val="center"/>
              <w:rPr>
                <w:rFonts w:hint="eastAsia" w:ascii="宋体" w:hAnsi="宋体" w:eastAsia="宋体" w:cs="宋体"/>
                <w:sz w:val="24"/>
                <w:szCs w:val="24"/>
              </w:rPr>
            </w:pPr>
          </w:p>
        </w:tc>
        <w:tc>
          <w:tcPr>
            <w:tcW w:w="1467" w:type="dxa"/>
            <w:noWrap w:val="0"/>
          </w:tcPr>
          <w:p w14:paraId="1EBBB0AA">
            <w:pPr>
              <w:spacing w:line="400" w:lineRule="exact"/>
              <w:jc w:val="center"/>
              <w:rPr>
                <w:rFonts w:hint="eastAsia" w:ascii="宋体" w:hAnsi="宋体" w:eastAsia="宋体" w:cs="宋体"/>
                <w:sz w:val="24"/>
                <w:szCs w:val="24"/>
              </w:rPr>
            </w:pPr>
          </w:p>
        </w:tc>
      </w:tr>
      <w:tr w14:paraId="0CA0E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14" w:type="dxa"/>
            <w:noWrap w:val="0"/>
            <w:vAlign w:val="center"/>
          </w:tcPr>
          <w:p w14:paraId="0D69985B">
            <w:pPr>
              <w:spacing w:line="400" w:lineRule="exac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7851" w:type="dxa"/>
            <w:noWrap w:val="0"/>
          </w:tcPr>
          <w:p w14:paraId="5F065F68">
            <w:pPr>
              <w:spacing w:line="240" w:lineRule="auto"/>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3.1供应商配置不少于35人的专业服务团队驻场，明确1名项目负责人，按照立案采集、过程卷采集、补录、中间库、辅助转档、装卷、整理归档、归档扫描、装盒上架等环节进行配置，资源保障的情况下配合无纸化审判辅助相关服务</w:t>
            </w:r>
            <w:r>
              <w:rPr>
                <w:rFonts w:hint="eastAsia" w:ascii="宋体" w:hAnsi="宋体" w:eastAsia="宋体" w:cs="宋体"/>
                <w:sz w:val="24"/>
                <w:szCs w:val="24"/>
                <w:highlight w:val="none"/>
                <w:lang w:val="en-US" w:eastAsia="zh-CN" w:bidi="ar-SA"/>
              </w:rPr>
              <w:t>，其中不少于10人岗位要求大专（含）以上学历，打字速度不低于100个/分钟。项目负责人负责跟踪推进项目工作和问题的协调落实，要求具备信息系统项目管理、信息安全等方面的专</w:t>
            </w:r>
            <w:r>
              <w:rPr>
                <w:rFonts w:hint="eastAsia" w:ascii="宋体" w:hAnsi="宋体" w:eastAsia="宋体" w:cs="宋体"/>
                <w:sz w:val="24"/>
                <w:szCs w:val="24"/>
                <w:lang w:val="en-US" w:eastAsia="zh-CN" w:bidi="ar-SA"/>
              </w:rPr>
              <w:t>业技术，具有相关工作管理经验，辅助1名技术人员配合设备及系统调试。根据各个环节及质量标准要求进行相应调整配置，同时考虑</w:t>
            </w:r>
            <w:r>
              <w:rPr>
                <w:rFonts w:hint="eastAsia" w:ascii="宋体" w:hAnsi="宋体" w:eastAsia="宋体" w:cs="宋体"/>
                <w:bCs/>
                <w:color w:val="000000" w:themeColor="text1"/>
                <w:sz w:val="24"/>
                <w:lang w:val="en-US" w:eastAsia="zh-CN"/>
                <w14:textFill>
                  <w14:solidFill>
                    <w14:schemeClr w14:val="tx1"/>
                  </w14:solidFill>
                </w14:textFill>
              </w:rPr>
              <w:t>“一张网”</w:t>
            </w:r>
            <w:r>
              <w:rPr>
                <w:rFonts w:hint="eastAsia" w:ascii="宋体" w:hAnsi="宋体" w:eastAsia="宋体" w:cs="宋体"/>
                <w:sz w:val="24"/>
                <w:szCs w:val="24"/>
                <w:lang w:val="en-US" w:eastAsia="zh-CN" w:bidi="ar-SA"/>
              </w:rPr>
              <w:t>及信创环境的要求，配置专业技术人员保障。质量标准如下：</w:t>
            </w:r>
          </w:p>
          <w:p w14:paraId="1F5FE12A">
            <w:pPr>
              <w:spacing w:line="240" w:lineRule="auto"/>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（1）目录数据库与图像文件挂接错误，卷内目录不完全对应，或目录数据库、图像文件之一出现不完整、不清晰、有错误等质量问题时，抽检标记视为“不合格”。</w:t>
            </w:r>
          </w:p>
          <w:p w14:paraId="22542976">
            <w:pPr>
              <w:spacing w:line="240" w:lineRule="auto"/>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（2）档案装卷：检查材料类别、顺序及页码、目录，差错率≤1‰。</w:t>
            </w:r>
          </w:p>
          <w:p w14:paraId="7B00A764">
            <w:pPr>
              <w:spacing w:line="240" w:lineRule="auto"/>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（3）扫描图像：漏扫率≤0.1‰。</w:t>
            </w:r>
          </w:p>
          <w:p w14:paraId="61D5C8D4">
            <w:pPr>
              <w:spacing w:line="240" w:lineRule="auto"/>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（4）图像质量：图像质量情况完好率99%。</w:t>
            </w:r>
          </w:p>
          <w:p w14:paraId="3DD874D1">
            <w:pPr>
              <w:spacing w:line="240" w:lineRule="auto"/>
              <w:ind w:firstLine="720" w:firstLineChars="3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（5）格式封装：图像文件的命名差错率≤1‰。</w:t>
            </w:r>
          </w:p>
          <w:p w14:paraId="2E5BCADD">
            <w:pPr>
              <w:spacing w:line="240" w:lineRule="auto"/>
              <w:ind w:firstLine="720" w:firstLineChars="3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（6）</w:t>
            </w:r>
            <w:r>
              <w:rPr>
                <w:rFonts w:hint="eastAsia" w:ascii="宋体" w:hAnsi="宋体" w:eastAsia="宋体" w:cs="宋体"/>
                <w:sz w:val="24"/>
                <w:szCs w:val="24"/>
                <w:highlight w:val="none"/>
                <w:lang w:val="en-US" w:eastAsia="zh-CN"/>
              </w:rPr>
              <w:t>编目著录</w:t>
            </w:r>
            <w:r>
              <w:rPr>
                <w:rFonts w:hint="eastAsia" w:ascii="宋体" w:hAnsi="宋体" w:eastAsia="宋体" w:cs="宋体"/>
                <w:sz w:val="24"/>
                <w:szCs w:val="24"/>
                <w:highlight w:val="none"/>
                <w:lang w:val="en-US" w:eastAsia="zh-CN" w:bidi="ar-SA"/>
              </w:rPr>
              <w:t>：</w:t>
            </w:r>
            <w:r>
              <w:rPr>
                <w:rFonts w:hint="eastAsia" w:ascii="宋体" w:hAnsi="宋体" w:eastAsia="宋体" w:cs="宋体"/>
                <w:sz w:val="24"/>
                <w:szCs w:val="24"/>
                <w:highlight w:val="none"/>
                <w:lang w:val="en-US" w:eastAsia="zh-CN"/>
              </w:rPr>
              <w:t>编目著录</w:t>
            </w:r>
            <w:r>
              <w:rPr>
                <w:rFonts w:hint="eastAsia" w:ascii="宋体" w:hAnsi="宋体" w:eastAsia="宋体" w:cs="宋体"/>
                <w:sz w:val="24"/>
                <w:szCs w:val="24"/>
                <w:highlight w:val="none"/>
                <w:lang w:val="en-US" w:eastAsia="zh-CN" w:bidi="ar-SA"/>
              </w:rPr>
              <w:t>正确率98%</w:t>
            </w:r>
          </w:p>
          <w:p w14:paraId="2FA7419A">
            <w:pPr>
              <w:spacing w:line="240" w:lineRule="auto"/>
              <w:ind w:firstLine="720" w:firstLineChars="3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（7）条目与图像挂接：挂接正确率98%</w:t>
            </w:r>
          </w:p>
          <w:p w14:paraId="71D9B49A">
            <w:pPr>
              <w:spacing w:line="240" w:lineRule="auto"/>
              <w:ind w:firstLine="720" w:firstLineChars="3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（8）诉讼原始材料：100%不缺失，并能随时定位其具体位置。</w:t>
            </w:r>
          </w:p>
          <w:p w14:paraId="7EE448ED">
            <w:pPr>
              <w:pageBreakBefore w:val="0"/>
              <w:numPr>
                <w:ilvl w:val="0"/>
                <w:numId w:val="0"/>
              </w:numPr>
              <w:kinsoku/>
              <w:wordWrap/>
              <w:overflowPunct/>
              <w:topLinePunct w:val="0"/>
              <w:autoSpaceDE/>
              <w:autoSpaceDN/>
              <w:bidi w:val="0"/>
              <w:adjustRightInd/>
              <w:snapToGrid/>
              <w:spacing w:line="240" w:lineRule="auto"/>
              <w:ind w:firstLine="964" w:firstLineChars="0"/>
              <w:rPr>
                <w:rFonts w:hint="eastAsia" w:ascii="宋体" w:hAnsi="宋体" w:eastAsia="宋体" w:cs="宋体"/>
                <w:b/>
                <w:bCs/>
                <w:sz w:val="24"/>
                <w:szCs w:val="24"/>
                <w:lang w:val="en-US" w:eastAsia="zh-CN" w:bidi="ar-SA"/>
              </w:rPr>
            </w:pPr>
            <w:r>
              <w:rPr>
                <w:rFonts w:hint="eastAsia" w:ascii="宋体" w:hAnsi="宋体" w:eastAsia="宋体" w:cs="宋体"/>
                <w:sz w:val="24"/>
                <w:szCs w:val="24"/>
                <w:highlight w:val="none"/>
                <w:lang w:val="en-US" w:eastAsia="zh-CN"/>
              </w:rPr>
              <w:t>（9）服务人员：证书、工作经验、学历等方面符合磋商文件、响应文件、政府采购合同的要求</w:t>
            </w:r>
            <w:r>
              <w:rPr>
                <w:rFonts w:hint="eastAsia" w:ascii="宋体" w:hAnsi="宋体" w:cs="宋体"/>
                <w:sz w:val="24"/>
                <w:szCs w:val="24"/>
                <w:highlight w:val="none"/>
                <w:lang w:val="en-US" w:eastAsia="zh-CN"/>
              </w:rPr>
              <w:t>。</w:t>
            </w:r>
          </w:p>
        </w:tc>
        <w:tc>
          <w:tcPr>
            <w:tcW w:w="1335" w:type="dxa"/>
            <w:noWrap w:val="0"/>
          </w:tcPr>
          <w:p w14:paraId="64CCFFAE">
            <w:pPr>
              <w:spacing w:line="400" w:lineRule="exact"/>
              <w:jc w:val="center"/>
              <w:rPr>
                <w:rFonts w:hint="eastAsia" w:ascii="宋体" w:hAnsi="宋体" w:eastAsia="宋体" w:cs="宋体"/>
                <w:sz w:val="24"/>
                <w:szCs w:val="24"/>
              </w:rPr>
            </w:pPr>
          </w:p>
        </w:tc>
        <w:tc>
          <w:tcPr>
            <w:tcW w:w="1467" w:type="dxa"/>
            <w:noWrap w:val="0"/>
          </w:tcPr>
          <w:p w14:paraId="6E9AF0CE">
            <w:pPr>
              <w:spacing w:line="400" w:lineRule="exact"/>
              <w:jc w:val="center"/>
              <w:rPr>
                <w:rFonts w:hint="eastAsia" w:ascii="宋体" w:hAnsi="宋体" w:eastAsia="宋体" w:cs="宋体"/>
                <w:sz w:val="24"/>
                <w:szCs w:val="24"/>
              </w:rPr>
            </w:pPr>
          </w:p>
        </w:tc>
      </w:tr>
      <w:tr w14:paraId="58A06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14" w:type="dxa"/>
            <w:noWrap w:val="0"/>
            <w:vAlign w:val="center"/>
          </w:tcPr>
          <w:p w14:paraId="7897C7EF">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7851" w:type="dxa"/>
            <w:noWrap w:val="0"/>
          </w:tcPr>
          <w:p w14:paraId="5271E8EB">
            <w:pPr>
              <w:pStyle w:val="20"/>
              <w:spacing w:line="240" w:lineRule="auto"/>
              <w:ind w:firstLine="562" w:firstLineChars="200"/>
              <w:rPr>
                <w:rFonts w:hint="eastAsia" w:ascii="宋体" w:hAnsi="宋体" w:eastAsia="宋体" w:cs="宋体"/>
                <w:b/>
                <w:bCs/>
                <w:sz w:val="24"/>
                <w:szCs w:val="24"/>
                <w:lang w:val="en-US" w:eastAsia="zh-CN" w:bidi="ar-SA"/>
              </w:rPr>
            </w:pPr>
            <w:r>
              <w:rPr>
                <w:rFonts w:hint="eastAsia" w:ascii="宋体" w:hAnsi="宋体" w:eastAsia="宋体" w:cs="宋体"/>
                <w:b/>
                <w:bCs/>
                <w:sz w:val="28"/>
                <w:szCs w:val="28"/>
              </w:rPr>
              <w:t>★</w:t>
            </w:r>
            <w:r>
              <w:rPr>
                <w:rFonts w:hint="eastAsia" w:ascii="宋体" w:hAnsi="宋体" w:eastAsia="宋体" w:cs="宋体"/>
                <w:sz w:val="24"/>
                <w:szCs w:val="24"/>
                <w:lang w:val="en-US" w:eastAsia="zh-CN"/>
              </w:rPr>
              <w:t>4</w:t>
            </w:r>
            <w:r>
              <w:rPr>
                <w:rFonts w:hint="eastAsia" w:ascii="宋体" w:hAnsi="宋体" w:eastAsia="宋体" w:cs="宋体"/>
                <w:sz w:val="24"/>
                <w:szCs w:val="24"/>
              </w:rPr>
              <w:t>.1严格遵守常熟市人民法院保密规定：各类案件无纸化数字化集约化全流程工作必须在常熟市人民法院指定的场所内进行，确保场所正常秩序和安全。不得遗失、损坏诉讼材料，泄露审判工作秘密，如有违法者，将追究法律责任。</w:t>
            </w:r>
          </w:p>
        </w:tc>
        <w:tc>
          <w:tcPr>
            <w:tcW w:w="1335" w:type="dxa"/>
            <w:noWrap w:val="0"/>
          </w:tcPr>
          <w:p w14:paraId="3BE4C401">
            <w:pPr>
              <w:spacing w:line="400" w:lineRule="exact"/>
              <w:jc w:val="center"/>
              <w:rPr>
                <w:rFonts w:hint="eastAsia" w:ascii="宋体" w:hAnsi="宋体" w:eastAsia="宋体" w:cs="宋体"/>
                <w:sz w:val="24"/>
                <w:szCs w:val="24"/>
              </w:rPr>
            </w:pPr>
          </w:p>
        </w:tc>
        <w:tc>
          <w:tcPr>
            <w:tcW w:w="1467" w:type="dxa"/>
            <w:noWrap w:val="0"/>
          </w:tcPr>
          <w:p w14:paraId="0E35F41B">
            <w:pPr>
              <w:spacing w:line="400" w:lineRule="exact"/>
              <w:jc w:val="center"/>
              <w:rPr>
                <w:rFonts w:hint="eastAsia" w:ascii="宋体" w:hAnsi="宋体" w:eastAsia="宋体" w:cs="宋体"/>
                <w:sz w:val="24"/>
                <w:szCs w:val="24"/>
              </w:rPr>
            </w:pPr>
          </w:p>
        </w:tc>
      </w:tr>
      <w:tr w14:paraId="4832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14" w:type="dxa"/>
            <w:noWrap w:val="0"/>
            <w:vAlign w:val="center"/>
          </w:tcPr>
          <w:p w14:paraId="356D4FD3">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7851" w:type="dxa"/>
            <w:noWrap w:val="0"/>
          </w:tcPr>
          <w:p w14:paraId="3573EB2E">
            <w:pPr>
              <w:pStyle w:val="20"/>
              <w:spacing w:line="240" w:lineRule="auto"/>
              <w:ind w:firstLine="562" w:firstLineChars="200"/>
              <w:rPr>
                <w:rFonts w:hint="eastAsia" w:ascii="宋体" w:hAnsi="宋体" w:eastAsia="宋体" w:cs="宋体"/>
                <w:kern w:val="2"/>
                <w:sz w:val="24"/>
                <w:szCs w:val="24"/>
              </w:rPr>
            </w:pPr>
            <w:r>
              <w:rPr>
                <w:rFonts w:hint="eastAsia" w:ascii="宋体" w:hAnsi="宋体" w:eastAsia="宋体" w:cs="宋体"/>
                <w:b/>
                <w:bCs/>
                <w:sz w:val="28"/>
                <w:szCs w:val="28"/>
              </w:rPr>
              <w:t>★</w:t>
            </w: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数据</w:t>
            </w:r>
            <w:r>
              <w:rPr>
                <w:rFonts w:hint="eastAsia" w:ascii="宋体" w:hAnsi="宋体" w:eastAsia="宋体" w:cs="宋体"/>
                <w:sz w:val="24"/>
                <w:szCs w:val="24"/>
              </w:rPr>
              <w:t>抽检</w:t>
            </w:r>
          </w:p>
          <w:p w14:paraId="3E5AE1C9">
            <w:pPr>
              <w:spacing w:line="240" w:lineRule="auto"/>
              <w:ind w:firstLine="960" w:firstLineChars="4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.1以抽检的方式检查已完成的全流程无纸化办案产生的数据，包括目录数据库、图像文件及数据挂接的总体质量。</w:t>
            </w:r>
          </w:p>
          <w:p w14:paraId="242BCB74">
            <w:pPr>
              <w:pStyle w:val="20"/>
              <w:spacing w:line="240" w:lineRule="auto"/>
              <w:ind w:firstLine="960" w:firstLineChars="4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.2数据验收时抽检的比率不得低于10%。抽检内容合格率应超过98%，否则整批退回整改。</w:t>
            </w:r>
          </w:p>
          <w:p w14:paraId="5246DF5D">
            <w:pPr>
              <w:pStyle w:val="20"/>
              <w:spacing w:line="240" w:lineRule="auto"/>
              <w:ind w:firstLine="562" w:firstLineChars="200"/>
              <w:rPr>
                <w:rFonts w:hint="eastAsia" w:ascii="宋体" w:hAnsi="宋体" w:eastAsia="宋体" w:cs="宋体"/>
                <w:kern w:val="2"/>
                <w:sz w:val="24"/>
                <w:szCs w:val="24"/>
              </w:rPr>
            </w:pPr>
            <w:r>
              <w:rPr>
                <w:rFonts w:hint="eastAsia" w:ascii="宋体" w:hAnsi="宋体" w:eastAsia="宋体" w:cs="宋体"/>
                <w:b/>
                <w:bCs/>
                <w:sz w:val="28"/>
                <w:szCs w:val="28"/>
              </w:rPr>
              <w:t>★</w:t>
            </w: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验收标准</w:t>
            </w:r>
          </w:p>
          <w:p w14:paraId="10EC21FE">
            <w:pPr>
              <w:spacing w:line="24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5.2.1目录数据库与图像文件挂接错误，卷内目录不完全对应，或目录数据库、图像文件之一出现不完整、不清晰、有错误等质量问题时，抽检标记视为“不合格”。</w:t>
            </w:r>
          </w:p>
          <w:p w14:paraId="5690E69D">
            <w:pPr>
              <w:spacing w:line="24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5.2.2档案装卷：检查材料类别、顺序及页码、目录，差错率≤1‰。</w:t>
            </w:r>
          </w:p>
          <w:p w14:paraId="457EB622">
            <w:pPr>
              <w:spacing w:line="24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5.2.3扫描图像：漏扫率≤0.1‰。</w:t>
            </w:r>
          </w:p>
          <w:p w14:paraId="5D0D2382">
            <w:pPr>
              <w:spacing w:line="24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5.2.4图像质量：图像质量情况完好率99%。</w:t>
            </w:r>
          </w:p>
          <w:p w14:paraId="747DD752">
            <w:pPr>
              <w:spacing w:line="24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5.2.5格式封装：图像文件的命名差错率≤1‰。</w:t>
            </w:r>
          </w:p>
          <w:p w14:paraId="06B31B1E">
            <w:pPr>
              <w:spacing w:line="24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5.2.6编目著录：编目著录正确率98%。</w:t>
            </w:r>
          </w:p>
          <w:p w14:paraId="23992DD3">
            <w:pPr>
              <w:spacing w:line="24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5.2.7条目与图像挂接：挂接正确率98%。</w:t>
            </w:r>
          </w:p>
          <w:p w14:paraId="56F5DEE2">
            <w:pPr>
              <w:spacing w:line="24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5.2.8诉讼原始材料：100%不缺失，并能随时定位其具体位置。</w:t>
            </w:r>
          </w:p>
          <w:p w14:paraId="54125096">
            <w:pPr>
              <w:spacing w:line="240" w:lineRule="auto"/>
              <w:ind w:firstLine="960" w:firstLineChars="400"/>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rPr>
              <w:t>5.2.9服务人员：证书、工作经验、学历等方面符合磋商文件、响应文件、政府采购合同的要求。</w:t>
            </w:r>
          </w:p>
        </w:tc>
        <w:tc>
          <w:tcPr>
            <w:tcW w:w="1335" w:type="dxa"/>
            <w:noWrap w:val="0"/>
          </w:tcPr>
          <w:p w14:paraId="147FADEE">
            <w:pPr>
              <w:spacing w:line="400" w:lineRule="exact"/>
              <w:jc w:val="center"/>
              <w:rPr>
                <w:rFonts w:hint="eastAsia" w:ascii="宋体" w:hAnsi="宋体" w:eastAsia="宋体" w:cs="宋体"/>
                <w:sz w:val="24"/>
                <w:szCs w:val="24"/>
              </w:rPr>
            </w:pPr>
          </w:p>
        </w:tc>
        <w:tc>
          <w:tcPr>
            <w:tcW w:w="1467" w:type="dxa"/>
            <w:noWrap w:val="0"/>
          </w:tcPr>
          <w:p w14:paraId="24D1F675">
            <w:pPr>
              <w:spacing w:line="400" w:lineRule="exact"/>
              <w:jc w:val="center"/>
              <w:rPr>
                <w:rFonts w:hint="eastAsia" w:ascii="宋体" w:hAnsi="宋体" w:eastAsia="宋体" w:cs="宋体"/>
                <w:sz w:val="24"/>
                <w:szCs w:val="24"/>
              </w:rPr>
            </w:pPr>
          </w:p>
        </w:tc>
      </w:tr>
      <w:tr w14:paraId="19BF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14" w:type="dxa"/>
            <w:noWrap w:val="0"/>
            <w:vAlign w:val="center"/>
          </w:tcPr>
          <w:p w14:paraId="50D8FB68">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7851" w:type="dxa"/>
            <w:noWrap w:val="0"/>
          </w:tcPr>
          <w:p w14:paraId="0960C723">
            <w:pPr>
              <w:pageBreakBefore w:val="0"/>
              <w:kinsoku/>
              <w:wordWrap/>
              <w:overflowPunct/>
              <w:topLinePunct w:val="0"/>
              <w:autoSpaceDE/>
              <w:autoSpaceDN/>
              <w:bidi w:val="0"/>
              <w:adjustRightInd/>
              <w:snapToGrid/>
              <w:spacing w:line="240" w:lineRule="auto"/>
              <w:ind w:firstLine="240" w:firstLineChars="1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w:t>
            </w:r>
            <w:r>
              <w:rPr>
                <w:rFonts w:hint="eastAsia" w:ascii="宋体" w:hAnsi="宋体" w:eastAsia="宋体" w:cs="宋体"/>
                <w:bCs/>
                <w:color w:val="000000" w:themeColor="text1"/>
                <w:sz w:val="24"/>
                <w:lang w:val="en-US" w:eastAsia="zh-CN"/>
                <w14:textFill>
                  <w14:solidFill>
                    <w14:schemeClr w14:val="tx1"/>
                  </w14:solidFill>
                </w14:textFill>
              </w:rPr>
              <w:t>6.1</w:t>
            </w:r>
            <w:r>
              <w:rPr>
                <w:rFonts w:hint="eastAsia" w:ascii="宋体" w:hAnsi="宋体" w:eastAsia="宋体" w:cs="宋体"/>
                <w:bCs/>
                <w:color w:val="000000" w:themeColor="text1"/>
                <w:sz w:val="24"/>
                <w14:textFill>
                  <w14:solidFill>
                    <w14:schemeClr w14:val="tx1"/>
                  </w14:solidFill>
                </w14:textFill>
              </w:rPr>
              <w:t>为保障法院审判工作的即时性，成交供应商需在合同签订后五个工作日内进场开展项目服务工作（包含全部服务人员及设备的进场部署工作），若成交供应商合同签订后五个工作日内相关服务人员及设备还未部署完毕，或在进场之日起五个工作日内，成交供应商加工的档案未能通过质检并上传至法院系统进行查阅的，采购人有权单方解除合约，并由成交供应商承担因此给采</w:t>
            </w:r>
            <w:r>
              <w:rPr>
                <w:rFonts w:hint="eastAsia" w:ascii="宋体" w:hAnsi="宋体" w:eastAsia="宋体" w:cs="宋体"/>
                <w:bCs/>
                <w:color w:val="000000" w:themeColor="text1"/>
                <w:sz w:val="24"/>
                <w:highlight w:val="none"/>
                <w14:textFill>
                  <w14:solidFill>
                    <w14:schemeClr w14:val="tx1"/>
                  </w14:solidFill>
                </w14:textFill>
              </w:rPr>
              <w:t>购人造成的</w:t>
            </w:r>
            <w:r>
              <w:rPr>
                <w:rFonts w:hint="eastAsia" w:ascii="宋体" w:hAnsi="宋体" w:cs="宋体"/>
                <w:bCs/>
                <w:color w:val="000000" w:themeColor="text1"/>
                <w:sz w:val="24"/>
                <w:highlight w:val="none"/>
                <w14:textFill>
                  <w14:solidFill>
                    <w14:schemeClr w14:val="tx1"/>
                  </w14:solidFill>
                </w14:textFill>
              </w:rPr>
              <w:t>相应</w:t>
            </w:r>
            <w:r>
              <w:rPr>
                <w:rFonts w:hint="eastAsia" w:ascii="宋体" w:hAnsi="宋体" w:eastAsia="宋体" w:cs="宋体"/>
                <w:bCs/>
                <w:color w:val="000000" w:themeColor="text1"/>
                <w:sz w:val="24"/>
                <w:highlight w:val="none"/>
                <w14:textFill>
                  <w14:solidFill>
                    <w14:schemeClr w14:val="tx1"/>
                  </w14:solidFill>
                </w14:textFill>
              </w:rPr>
              <w:t>损失。供应商需在响应文件中明确承诺。</w:t>
            </w:r>
          </w:p>
          <w:p w14:paraId="1C12A26E">
            <w:pPr>
              <w:pageBreakBefore w:val="0"/>
              <w:kinsoku/>
              <w:wordWrap/>
              <w:overflowPunct/>
              <w:topLinePunct w:val="0"/>
              <w:autoSpaceDE/>
              <w:autoSpaceDN/>
              <w:bidi w:val="0"/>
              <w:adjustRightInd/>
              <w:snapToGrid/>
              <w:spacing w:line="240" w:lineRule="auto"/>
              <w:ind w:firstLine="240" w:firstLineChars="100"/>
              <w:jc w:val="lef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6.2</w:t>
            </w:r>
            <w:r>
              <w:rPr>
                <w:rFonts w:hint="eastAsia" w:ascii="宋体" w:hAnsi="宋体" w:eastAsia="宋体" w:cs="宋体"/>
                <w:bCs/>
                <w:color w:val="000000" w:themeColor="text1"/>
                <w:sz w:val="24"/>
                <w:highlight w:val="none"/>
                <w14:textFill>
                  <w14:solidFill>
                    <w14:schemeClr w14:val="tx1"/>
                  </w14:solidFill>
                </w14:textFill>
              </w:rPr>
              <w:t>为保障项目的顺利实施，要求本项目实施人员在项目进</w:t>
            </w:r>
            <w:r>
              <w:rPr>
                <w:rFonts w:hint="eastAsia" w:ascii="宋体" w:hAnsi="宋体" w:eastAsia="宋体" w:cs="宋体"/>
                <w:bCs/>
                <w:color w:val="000000" w:themeColor="text1"/>
                <w:sz w:val="24"/>
                <w14:textFill>
                  <w14:solidFill>
                    <w14:schemeClr w14:val="tx1"/>
                  </w14:solidFill>
                </w14:textFill>
              </w:rPr>
              <w:t>场前提供政审材料，包括</w:t>
            </w:r>
            <w:r>
              <w:rPr>
                <w:rFonts w:hint="eastAsia" w:ascii="宋体" w:hAnsi="宋体" w:eastAsia="宋体" w:cs="宋体"/>
                <w:bCs/>
                <w:color w:val="000000" w:themeColor="text1"/>
                <w:sz w:val="24"/>
                <w:lang w:val="en-US" w:eastAsia="zh-CN"/>
                <w14:textFill>
                  <w14:solidFill>
                    <w14:schemeClr w14:val="tx1"/>
                  </w14:solidFill>
                </w14:textFill>
              </w:rPr>
              <w:t>身份证</w:t>
            </w:r>
            <w:r>
              <w:rPr>
                <w:rFonts w:hint="eastAsia" w:ascii="宋体" w:hAnsi="宋体" w:eastAsia="宋体" w:cs="宋体"/>
                <w:bCs/>
                <w:color w:val="000000" w:themeColor="text1"/>
                <w:sz w:val="24"/>
                <w14:textFill>
                  <w14:solidFill>
                    <w14:schemeClr w14:val="tx1"/>
                  </w14:solidFill>
                </w14:textFill>
              </w:rPr>
              <w:t>复印件、劳动合同复印件、社保证明、无犯罪记录证明等，否则不予进场。</w:t>
            </w:r>
          </w:p>
          <w:p w14:paraId="3C77D193">
            <w:pPr>
              <w:pageBreakBefore w:val="0"/>
              <w:kinsoku/>
              <w:wordWrap/>
              <w:overflowPunct/>
              <w:topLinePunct w:val="0"/>
              <w:autoSpaceDE/>
              <w:autoSpaceDN/>
              <w:bidi w:val="0"/>
              <w:adjustRightInd/>
              <w:snapToGrid/>
              <w:spacing w:line="240" w:lineRule="auto"/>
              <w:ind w:firstLine="240" w:firstLineChars="100"/>
              <w:jc w:val="left"/>
              <w:rPr>
                <w:rFonts w:hint="eastAsia" w:ascii="宋体" w:hAnsi="宋体" w:eastAsia="宋体" w:cs="宋体"/>
                <w:b/>
                <w:bCs/>
                <w:sz w:val="24"/>
                <w:szCs w:val="24"/>
                <w:highlight w:val="none"/>
                <w:lang w:val="en-US" w:eastAsia="zh-CN" w:bidi="ar-SA"/>
              </w:rPr>
            </w:pPr>
            <w:r>
              <w:rPr>
                <w:rFonts w:hint="eastAsia" w:ascii="宋体" w:hAnsi="宋体" w:eastAsia="宋体" w:cs="宋体"/>
                <w:bCs/>
                <w:color w:val="000000" w:themeColor="text1"/>
                <w:sz w:val="24"/>
                <w14:textFill>
                  <w14:solidFill>
                    <w14:schemeClr w14:val="tx1"/>
                  </w14:solidFill>
                </w14:textFill>
              </w:rPr>
              <w:t>★</w:t>
            </w:r>
            <w:r>
              <w:rPr>
                <w:rFonts w:hint="eastAsia" w:ascii="宋体" w:hAnsi="宋体" w:eastAsia="宋体" w:cs="宋体"/>
                <w:bCs/>
                <w:color w:val="000000" w:themeColor="text1"/>
                <w:sz w:val="24"/>
                <w:lang w:val="en-US" w:eastAsia="zh-CN"/>
                <w14:textFill>
                  <w14:solidFill>
                    <w14:schemeClr w14:val="tx1"/>
                  </w14:solidFill>
                </w14:textFill>
              </w:rPr>
              <w:t>6.3采购</w:t>
            </w:r>
            <w:r>
              <w:rPr>
                <w:rFonts w:hint="eastAsia" w:ascii="宋体" w:hAnsi="宋体" w:eastAsia="宋体" w:cs="宋体"/>
                <w:bCs/>
                <w:color w:val="000000" w:themeColor="text1"/>
                <w:sz w:val="24"/>
                <w14:textFill>
                  <w14:solidFill>
                    <w14:schemeClr w14:val="tx1"/>
                  </w14:solidFill>
                </w14:textFill>
              </w:rPr>
              <w:t>人在项目开始一个月内，成交供应商提供的服务若未能达到采购人要求，采购</w:t>
            </w:r>
            <w:r>
              <w:rPr>
                <w:rFonts w:hint="eastAsia" w:ascii="宋体" w:hAnsi="宋体" w:eastAsia="宋体" w:cs="宋体"/>
                <w:bCs/>
                <w:color w:val="000000" w:themeColor="text1"/>
                <w:sz w:val="24"/>
                <w:highlight w:val="none"/>
                <w14:textFill>
                  <w14:solidFill>
                    <w14:schemeClr w14:val="tx1"/>
                  </w14:solidFill>
                </w14:textFill>
              </w:rPr>
              <w:t>人有权单方解除合约，采购人有权不支付服务费用，并且成交供应商需向采购人赔偿</w:t>
            </w:r>
            <w:r>
              <w:rPr>
                <w:rFonts w:hint="eastAsia" w:ascii="宋体" w:hAnsi="宋体" w:eastAsia="宋体" w:cs="宋体"/>
                <w:bCs/>
                <w:color w:val="000000" w:themeColor="text1"/>
                <w:sz w:val="24"/>
                <w:highlight w:val="none"/>
                <w:lang w:val="en-US" w:eastAsia="zh-CN"/>
                <w14:textFill>
                  <w14:solidFill>
                    <w14:schemeClr w14:val="tx1"/>
                  </w14:solidFill>
                </w14:textFill>
              </w:rPr>
              <w:t>违约金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违约金</w:t>
            </w:r>
            <w:r>
              <w:rPr>
                <w:rFonts w:hint="eastAsia" w:ascii="宋体" w:hAnsi="宋体" w:eastAsia="宋体" w:cs="宋体"/>
                <w:sz w:val="24"/>
                <w:szCs w:val="24"/>
                <w:highlight w:val="none"/>
                <w:lang w:eastAsia="zh-CN"/>
              </w:rPr>
              <w:t>按54000案件数*成交单价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20％</w:t>
            </w:r>
            <w:r>
              <w:rPr>
                <w:rFonts w:hint="eastAsia" w:ascii="宋体" w:hAnsi="宋体" w:eastAsia="宋体" w:cs="宋体"/>
                <w:sz w:val="24"/>
                <w:szCs w:val="24"/>
                <w:highlight w:val="none"/>
                <w:lang w:val="en-US" w:eastAsia="zh-CN"/>
              </w:rPr>
              <w:t>计算</w:t>
            </w:r>
            <w:r>
              <w:rPr>
                <w:rFonts w:hint="eastAsia" w:ascii="宋体" w:hAnsi="宋体" w:eastAsia="宋体" w:cs="宋体"/>
                <w:sz w:val="24"/>
                <w:szCs w:val="24"/>
                <w:highlight w:val="none"/>
                <w:lang w:eastAsia="zh-CN"/>
              </w:rPr>
              <w:t>）</w:t>
            </w:r>
            <w:r>
              <w:rPr>
                <w:rFonts w:hint="eastAsia" w:ascii="宋体" w:hAnsi="宋体" w:eastAsia="宋体" w:cs="宋体"/>
                <w:bCs/>
                <w:color w:val="000000" w:themeColor="text1"/>
                <w:sz w:val="24"/>
                <w:highlight w:val="none"/>
                <w14:textFill>
                  <w14:solidFill>
                    <w14:schemeClr w14:val="tx1"/>
                  </w14:solidFill>
                </w14:textFill>
              </w:rPr>
              <w:t>。</w:t>
            </w:r>
          </w:p>
        </w:tc>
        <w:tc>
          <w:tcPr>
            <w:tcW w:w="1335" w:type="dxa"/>
            <w:noWrap w:val="0"/>
          </w:tcPr>
          <w:p w14:paraId="52BC8A19">
            <w:pPr>
              <w:spacing w:line="400" w:lineRule="exact"/>
              <w:jc w:val="center"/>
              <w:rPr>
                <w:rFonts w:hint="eastAsia" w:ascii="宋体" w:hAnsi="宋体" w:eastAsia="宋体" w:cs="宋体"/>
                <w:sz w:val="24"/>
                <w:szCs w:val="24"/>
              </w:rPr>
            </w:pPr>
          </w:p>
        </w:tc>
        <w:tc>
          <w:tcPr>
            <w:tcW w:w="1467" w:type="dxa"/>
            <w:noWrap w:val="0"/>
          </w:tcPr>
          <w:p w14:paraId="0C74EE15">
            <w:pPr>
              <w:spacing w:line="400" w:lineRule="exact"/>
              <w:jc w:val="center"/>
              <w:rPr>
                <w:rFonts w:hint="eastAsia" w:ascii="宋体" w:hAnsi="宋体" w:eastAsia="宋体" w:cs="宋体"/>
                <w:sz w:val="24"/>
                <w:szCs w:val="24"/>
              </w:rPr>
            </w:pPr>
          </w:p>
        </w:tc>
      </w:tr>
      <w:tr w14:paraId="5D975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14" w:type="dxa"/>
            <w:noWrap w:val="0"/>
            <w:vAlign w:val="center"/>
          </w:tcPr>
          <w:p w14:paraId="1EAC1520">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7851" w:type="dxa"/>
            <w:noWrap w:val="0"/>
          </w:tcPr>
          <w:p w14:paraId="5E437F45">
            <w:pPr>
              <w:spacing w:line="240" w:lineRule="auto"/>
              <w:ind w:firstLine="562" w:firstLineChars="200"/>
              <w:rPr>
                <w:rFonts w:hint="eastAsia" w:ascii="宋体" w:hAnsi="宋体" w:eastAsia="宋体" w:cs="宋体"/>
                <w:sz w:val="24"/>
                <w:szCs w:val="24"/>
              </w:rPr>
            </w:pPr>
            <w:r>
              <w:rPr>
                <w:rFonts w:hint="eastAsia" w:ascii="宋体" w:hAnsi="宋体" w:eastAsia="宋体" w:cs="宋体"/>
                <w:b/>
                <w:bCs/>
                <w:sz w:val="28"/>
                <w:szCs w:val="28"/>
              </w:rPr>
              <w:t>★</w:t>
            </w:r>
            <w:r>
              <w:rPr>
                <w:rFonts w:hint="eastAsia" w:ascii="宋体" w:hAnsi="宋体" w:eastAsia="宋体" w:cs="宋体"/>
                <w:sz w:val="24"/>
                <w:szCs w:val="24"/>
                <w:lang w:val="en-US" w:eastAsia="zh-CN"/>
              </w:rPr>
              <w:t>1.数据维护</w:t>
            </w:r>
            <w:r>
              <w:rPr>
                <w:rFonts w:hint="eastAsia" w:ascii="宋体" w:hAnsi="宋体" w:eastAsia="宋体" w:cs="宋体"/>
                <w:sz w:val="24"/>
                <w:szCs w:val="24"/>
              </w:rPr>
              <w:t>服务期限：项目验收交付使用后成交供应商提供不少于3年</w:t>
            </w:r>
            <w:r>
              <w:rPr>
                <w:rFonts w:hint="eastAsia" w:ascii="宋体" w:hAnsi="宋体" w:eastAsia="宋体" w:cs="宋体"/>
                <w:sz w:val="24"/>
                <w:szCs w:val="24"/>
                <w:lang w:val="en-US" w:eastAsia="zh-CN"/>
              </w:rPr>
              <w:t>数据维护服务</w:t>
            </w:r>
            <w:r>
              <w:rPr>
                <w:rFonts w:hint="eastAsia" w:ascii="宋体" w:hAnsi="宋体" w:eastAsia="宋体" w:cs="宋体"/>
                <w:sz w:val="24"/>
                <w:szCs w:val="24"/>
              </w:rPr>
              <w:t>质量保证及</w:t>
            </w:r>
            <w:r>
              <w:rPr>
                <w:rFonts w:hint="eastAsia" w:ascii="宋体" w:hAnsi="宋体" w:eastAsia="宋体" w:cs="宋体"/>
                <w:sz w:val="24"/>
                <w:szCs w:val="24"/>
                <w:lang w:val="en-US" w:eastAsia="zh-CN"/>
              </w:rPr>
              <w:t>数据维护服务</w:t>
            </w:r>
            <w:r>
              <w:rPr>
                <w:rFonts w:hint="eastAsia" w:ascii="宋体" w:hAnsi="宋体" w:eastAsia="宋体" w:cs="宋体"/>
                <w:sz w:val="24"/>
                <w:szCs w:val="24"/>
              </w:rPr>
              <w:t>。</w:t>
            </w:r>
          </w:p>
          <w:p w14:paraId="2C7356F0">
            <w:pPr>
              <w:spacing w:line="240" w:lineRule="auto"/>
              <w:ind w:firstLine="562" w:firstLineChars="200"/>
              <w:rPr>
                <w:rFonts w:hint="eastAsia" w:ascii="宋体" w:hAnsi="宋体" w:eastAsia="宋体" w:cs="宋体"/>
                <w:sz w:val="24"/>
                <w:szCs w:val="24"/>
              </w:rPr>
            </w:pPr>
            <w:r>
              <w:rPr>
                <w:rFonts w:hint="eastAsia" w:ascii="宋体" w:hAnsi="宋体" w:eastAsia="宋体" w:cs="宋体"/>
                <w:b/>
                <w:bCs/>
                <w:sz w:val="28"/>
                <w:szCs w:val="28"/>
              </w:rPr>
              <w:t>★</w:t>
            </w:r>
            <w:r>
              <w:rPr>
                <w:rFonts w:hint="eastAsia" w:ascii="宋体" w:hAnsi="宋体" w:eastAsia="宋体" w:cs="宋体"/>
                <w:sz w:val="24"/>
                <w:szCs w:val="24"/>
                <w:lang w:val="en-US" w:eastAsia="zh-CN"/>
              </w:rPr>
              <w:t>2.数据维护服务</w:t>
            </w:r>
            <w:r>
              <w:rPr>
                <w:rFonts w:hint="eastAsia" w:ascii="宋体" w:hAnsi="宋体" w:eastAsia="宋体" w:cs="宋体"/>
                <w:sz w:val="24"/>
                <w:szCs w:val="24"/>
              </w:rPr>
              <w:t>响应时间：在工作日期间成交供应商需立即处理（5</w:t>
            </w:r>
            <w:r>
              <w:rPr>
                <w:rFonts w:hint="eastAsia" w:ascii="宋体" w:hAnsi="宋体" w:eastAsia="宋体" w:cs="宋体"/>
                <w:sz w:val="24"/>
                <w:szCs w:val="24"/>
                <w:lang w:eastAsia="zh-CN"/>
              </w:rPr>
              <w:t>天</w:t>
            </w:r>
            <w:r>
              <w:rPr>
                <w:rFonts w:hint="eastAsia" w:ascii="宋体" w:hAnsi="宋体" w:eastAsia="宋体" w:cs="宋体"/>
                <w:sz w:val="24"/>
                <w:szCs w:val="24"/>
              </w:rPr>
              <w:t>×8</w:t>
            </w:r>
            <w:r>
              <w:rPr>
                <w:rFonts w:hint="eastAsia" w:ascii="宋体" w:hAnsi="宋体" w:eastAsia="宋体" w:cs="宋体"/>
                <w:sz w:val="24"/>
                <w:szCs w:val="24"/>
                <w:lang w:val="en-US" w:eastAsia="zh-CN"/>
              </w:rPr>
              <w:t>小时</w:t>
            </w:r>
            <w:r>
              <w:rPr>
                <w:rFonts w:hint="eastAsia" w:ascii="宋体" w:hAnsi="宋体" w:eastAsia="宋体" w:cs="宋体"/>
                <w:sz w:val="24"/>
                <w:szCs w:val="24"/>
              </w:rPr>
              <w:t>），节假日需在接到通知后2小时内响应，4小时内上门服务。</w:t>
            </w:r>
          </w:p>
          <w:p w14:paraId="1405ECD6">
            <w:pPr>
              <w:spacing w:line="240" w:lineRule="auto"/>
              <w:ind w:firstLine="562" w:firstLineChars="200"/>
              <w:rPr>
                <w:rFonts w:hint="eastAsia" w:ascii="宋体" w:hAnsi="宋体" w:eastAsia="宋体" w:cs="宋体"/>
                <w:b/>
                <w:bCs/>
                <w:sz w:val="24"/>
                <w:szCs w:val="24"/>
                <w:lang w:val="en-US" w:eastAsia="zh-CN" w:bidi="ar-SA"/>
              </w:rPr>
            </w:pPr>
            <w:r>
              <w:rPr>
                <w:rFonts w:hint="eastAsia" w:ascii="宋体" w:hAnsi="宋体" w:eastAsia="宋体" w:cs="宋体"/>
                <w:b/>
                <w:bCs/>
                <w:sz w:val="28"/>
                <w:szCs w:val="28"/>
              </w:rPr>
              <w:t>★</w:t>
            </w:r>
            <w:r>
              <w:rPr>
                <w:rFonts w:hint="eastAsia" w:ascii="宋体" w:hAnsi="宋体" w:eastAsia="宋体" w:cs="宋体"/>
                <w:sz w:val="24"/>
                <w:szCs w:val="24"/>
                <w:lang w:val="en-US" w:eastAsia="zh-CN"/>
              </w:rPr>
              <w:t>3.数据维护服务</w:t>
            </w:r>
            <w:r>
              <w:rPr>
                <w:rFonts w:hint="eastAsia" w:ascii="宋体" w:hAnsi="宋体" w:eastAsia="宋体" w:cs="宋体"/>
                <w:sz w:val="24"/>
                <w:szCs w:val="24"/>
              </w:rPr>
              <w:t>问题解决时间：运行上的基础问题需在2小时内解决（如非成交供应商所能控制的情况除外），技术或软件问题在8小时内解决，严重问题需及时提出可接受的解决方案和服务承诺。</w:t>
            </w:r>
          </w:p>
        </w:tc>
        <w:tc>
          <w:tcPr>
            <w:tcW w:w="1335" w:type="dxa"/>
            <w:noWrap w:val="0"/>
          </w:tcPr>
          <w:p w14:paraId="49628B01">
            <w:pPr>
              <w:spacing w:line="400" w:lineRule="exact"/>
              <w:jc w:val="center"/>
              <w:rPr>
                <w:rFonts w:hint="eastAsia" w:ascii="宋体" w:hAnsi="宋体" w:eastAsia="宋体" w:cs="宋体"/>
                <w:sz w:val="24"/>
                <w:szCs w:val="24"/>
              </w:rPr>
            </w:pPr>
          </w:p>
        </w:tc>
        <w:tc>
          <w:tcPr>
            <w:tcW w:w="1467" w:type="dxa"/>
            <w:noWrap w:val="0"/>
          </w:tcPr>
          <w:p w14:paraId="47EA592D">
            <w:pPr>
              <w:spacing w:line="400" w:lineRule="exact"/>
              <w:jc w:val="center"/>
              <w:rPr>
                <w:rFonts w:hint="eastAsia" w:ascii="宋体" w:hAnsi="宋体" w:eastAsia="宋体" w:cs="宋体"/>
                <w:sz w:val="24"/>
                <w:szCs w:val="24"/>
              </w:rPr>
            </w:pPr>
          </w:p>
        </w:tc>
      </w:tr>
    </w:tbl>
    <w:p w14:paraId="0591173B">
      <w:pPr>
        <w:spacing w:line="400" w:lineRule="exact"/>
        <w:rPr>
          <w:rFonts w:hint="eastAsia" w:ascii="宋体" w:hAnsi="宋体" w:eastAsia="宋体" w:cs="宋体"/>
          <w:sz w:val="24"/>
          <w:szCs w:val="24"/>
        </w:rPr>
      </w:pPr>
      <w:r>
        <w:rPr>
          <w:rFonts w:hint="eastAsia" w:ascii="宋体" w:hAnsi="宋体" w:eastAsia="宋体" w:cs="宋体"/>
          <w:sz w:val="24"/>
          <w:szCs w:val="24"/>
        </w:rPr>
        <w:t>备注：</w:t>
      </w:r>
    </w:p>
    <w:p w14:paraId="5FC4FB4E">
      <w:pPr>
        <w:spacing w:line="400" w:lineRule="exact"/>
        <w:rPr>
          <w:rFonts w:hint="eastAsia" w:ascii="宋体" w:hAnsi="宋体" w:eastAsia="宋体" w:cs="宋体"/>
          <w:sz w:val="24"/>
          <w:szCs w:val="24"/>
        </w:rPr>
      </w:pPr>
      <w:r>
        <w:rPr>
          <w:rFonts w:hint="eastAsia" w:ascii="宋体" w:hAnsi="宋体" w:eastAsia="宋体" w:cs="宋体"/>
          <w:sz w:val="24"/>
          <w:szCs w:val="24"/>
        </w:rPr>
        <w:t>1.供应商必须对服务要求和商务要求中的实质性要求逐条做出明确响应，</w:t>
      </w:r>
      <w:r>
        <w:rPr>
          <w:rFonts w:hint="eastAsia" w:ascii="宋体" w:hAnsi="宋体" w:eastAsia="宋体" w:cs="宋体"/>
          <w:sz w:val="24"/>
        </w:rPr>
        <w:t>否则作无效响应处理。</w:t>
      </w:r>
    </w:p>
    <w:p w14:paraId="73548652">
      <w:pPr>
        <w:spacing w:line="400" w:lineRule="exact"/>
        <w:rPr>
          <w:rFonts w:hint="eastAsia" w:ascii="宋体" w:hAnsi="宋体" w:eastAsia="宋体" w:cs="宋体"/>
          <w:sz w:val="24"/>
          <w:szCs w:val="24"/>
        </w:rPr>
      </w:pPr>
      <w:r>
        <w:rPr>
          <w:rFonts w:hint="eastAsia" w:ascii="宋体" w:hAnsi="宋体" w:eastAsia="宋体" w:cs="宋体"/>
          <w:sz w:val="24"/>
          <w:szCs w:val="24"/>
        </w:rPr>
        <w:t>2.如果磋商文件要求提供证明材料，供应商必须将证明材料列于该表之下。</w:t>
      </w:r>
    </w:p>
    <w:p w14:paraId="58CE6714">
      <w:pPr>
        <w:spacing w:line="400" w:lineRule="exact"/>
        <w:rPr>
          <w:rFonts w:hint="eastAsia" w:ascii="宋体" w:hAnsi="宋体" w:eastAsia="宋体" w:cs="宋体"/>
          <w:sz w:val="24"/>
          <w:szCs w:val="24"/>
        </w:rPr>
      </w:pPr>
      <w:r>
        <w:rPr>
          <w:rFonts w:hint="eastAsia" w:ascii="宋体" w:hAnsi="宋体" w:eastAsia="宋体" w:cs="宋体"/>
          <w:sz w:val="24"/>
          <w:szCs w:val="24"/>
        </w:rPr>
        <w:t>3.供应商未对实质性要求逐条作出明确响应的，或未按磋商文件要求提供证明材料的，该项目作无效响应处理。</w:t>
      </w:r>
      <w:bookmarkEnd w:id="109"/>
      <w:bookmarkEnd w:id="110"/>
    </w:p>
    <w:p w14:paraId="0A60A5DF">
      <w:pPr>
        <w:pStyle w:val="3"/>
        <w:spacing w:line="440" w:lineRule="exact"/>
        <w:rPr>
          <w:rFonts w:hint="eastAsia" w:ascii="宋体" w:hAnsi="宋体" w:eastAsia="宋体" w:cs="宋体"/>
          <w:sz w:val="24"/>
          <w:szCs w:val="24"/>
        </w:rPr>
      </w:pPr>
      <w:r>
        <w:rPr>
          <w:rFonts w:hint="eastAsia" w:ascii="宋体" w:hAnsi="宋体" w:eastAsia="宋体" w:cs="宋体"/>
          <w:b w:val="0"/>
          <w:sz w:val="24"/>
          <w:szCs w:val="24"/>
        </w:rPr>
        <w:br w:type="page" w:clear="all"/>
      </w:r>
      <w:bookmarkStart w:id="117" w:name="_Toc15575"/>
      <w:bookmarkStart w:id="118" w:name="_Toc159312670"/>
      <w:bookmarkStart w:id="119" w:name="_Toc25221"/>
      <w:r>
        <w:rPr>
          <w:rFonts w:hint="eastAsia" w:ascii="宋体" w:hAnsi="宋体" w:eastAsia="宋体" w:cs="宋体"/>
          <w:sz w:val="24"/>
          <w:szCs w:val="24"/>
        </w:rPr>
        <w:t>附件12 项目实施方案</w:t>
      </w:r>
      <w:bookmarkEnd w:id="117"/>
      <w:bookmarkEnd w:id="118"/>
      <w:bookmarkEnd w:id="119"/>
    </w:p>
    <w:p w14:paraId="3D39286E">
      <w:pPr>
        <w:spacing w:line="500" w:lineRule="exact"/>
        <w:rPr>
          <w:rFonts w:hint="eastAsia" w:ascii="宋体" w:hAnsi="宋体" w:eastAsia="宋体" w:cs="宋体"/>
          <w:sz w:val="24"/>
          <w:szCs w:val="24"/>
        </w:rPr>
      </w:pPr>
      <w:r>
        <w:rPr>
          <w:rFonts w:hint="eastAsia" w:ascii="宋体" w:hAnsi="宋体" w:eastAsia="宋体" w:cs="宋体"/>
          <w:sz w:val="24"/>
          <w:szCs w:val="24"/>
        </w:rPr>
        <w:t>主要内容应包括但不限于以下方面：</w:t>
      </w:r>
    </w:p>
    <w:p w14:paraId="1E497C1A">
      <w:pPr>
        <w:ind w:firstLine="240"/>
        <w:rPr>
          <w:rFonts w:hint="eastAsia" w:ascii="宋体" w:hAnsi="宋体" w:eastAsia="宋体" w:cs="宋体"/>
          <w:sz w:val="24"/>
          <w:szCs w:val="24"/>
        </w:rPr>
      </w:pPr>
    </w:p>
    <w:p w14:paraId="69292B62">
      <w:pPr>
        <w:ind w:firstLine="240"/>
        <w:rPr>
          <w:rFonts w:hint="eastAsia" w:ascii="宋体" w:hAnsi="宋体" w:eastAsia="宋体" w:cs="宋体"/>
        </w:rPr>
      </w:pPr>
      <w:r>
        <w:rPr>
          <w:rFonts w:hint="eastAsia" w:ascii="宋体" w:hAnsi="宋体" w:eastAsia="宋体" w:cs="宋体"/>
          <w:sz w:val="24"/>
          <w:szCs w:val="24"/>
        </w:rPr>
        <w:t>按照“第五章   评审方法与评审标准”提供方案</w:t>
      </w:r>
    </w:p>
    <w:p w14:paraId="1380B683">
      <w:pPr>
        <w:pStyle w:val="3"/>
        <w:spacing w:line="440" w:lineRule="exact"/>
        <w:rPr>
          <w:rFonts w:hint="eastAsia" w:ascii="宋体" w:hAnsi="宋体" w:eastAsia="宋体" w:cs="宋体"/>
          <w:sz w:val="24"/>
          <w:szCs w:val="24"/>
        </w:rPr>
      </w:pPr>
      <w:r>
        <w:rPr>
          <w:rFonts w:hint="eastAsia" w:ascii="宋体" w:hAnsi="宋体" w:eastAsia="宋体" w:cs="宋体"/>
          <w:sz w:val="24"/>
          <w:szCs w:val="24"/>
        </w:rPr>
        <w:br w:type="page" w:clear="all"/>
      </w:r>
      <w:bookmarkEnd w:id="111"/>
      <w:bookmarkEnd w:id="112"/>
      <w:bookmarkEnd w:id="113"/>
      <w:bookmarkEnd w:id="114"/>
      <w:bookmarkEnd w:id="115"/>
      <w:bookmarkEnd w:id="116"/>
      <w:bookmarkStart w:id="120" w:name="_Toc17739"/>
      <w:bookmarkStart w:id="121" w:name="_Toc31723"/>
      <w:bookmarkStart w:id="122" w:name="_Toc159312671"/>
      <w:bookmarkStart w:id="123" w:name="_Toc103080659"/>
      <w:r>
        <w:rPr>
          <w:rFonts w:hint="eastAsia" w:ascii="宋体" w:hAnsi="宋体" w:eastAsia="宋体" w:cs="宋体"/>
          <w:sz w:val="24"/>
          <w:szCs w:val="24"/>
        </w:rPr>
        <w:t>附件13 项目组人员一览表</w:t>
      </w:r>
      <w:bookmarkEnd w:id="120"/>
      <w:bookmarkEnd w:id="121"/>
      <w:bookmarkEnd w:id="122"/>
      <w:bookmarkEnd w:id="123"/>
    </w:p>
    <w:p w14:paraId="6524686A">
      <w:pPr>
        <w:rPr>
          <w:rFonts w:hint="eastAsia" w:ascii="宋体" w:hAnsi="宋体" w:eastAsia="宋体" w:cs="宋体"/>
        </w:rPr>
      </w:pPr>
    </w:p>
    <w:tbl>
      <w:tblPr>
        <w:tblStyle w:val="54"/>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843"/>
        <w:gridCol w:w="662"/>
        <w:gridCol w:w="1155"/>
        <w:gridCol w:w="1900"/>
        <w:gridCol w:w="3228"/>
      </w:tblGrid>
      <w:tr w14:paraId="50530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45F206D1">
            <w:pPr>
              <w:spacing w:before="4"/>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843" w:type="dxa"/>
            <w:noWrap w:val="0"/>
            <w:vAlign w:val="center"/>
          </w:tcPr>
          <w:p w14:paraId="192923DF">
            <w:pPr>
              <w:spacing w:before="4"/>
              <w:jc w:val="center"/>
              <w:rPr>
                <w:rFonts w:hint="eastAsia" w:ascii="宋体" w:hAnsi="宋体" w:eastAsia="宋体" w:cs="宋体"/>
                <w:b/>
                <w:bCs/>
                <w:sz w:val="24"/>
                <w:szCs w:val="24"/>
              </w:rPr>
            </w:pPr>
            <w:r>
              <w:rPr>
                <w:rFonts w:hint="eastAsia" w:ascii="宋体" w:hAnsi="宋体" w:eastAsia="宋体" w:cs="宋体"/>
                <w:b/>
                <w:bCs/>
                <w:sz w:val="24"/>
                <w:szCs w:val="24"/>
              </w:rPr>
              <w:t>在本项目中担任的职务</w:t>
            </w:r>
          </w:p>
        </w:tc>
        <w:tc>
          <w:tcPr>
            <w:tcW w:w="662" w:type="dxa"/>
            <w:noWrap w:val="0"/>
            <w:vAlign w:val="center"/>
          </w:tcPr>
          <w:p w14:paraId="3C0216DC">
            <w:pPr>
              <w:spacing w:before="4"/>
              <w:jc w:val="center"/>
              <w:rPr>
                <w:rFonts w:hint="eastAsia" w:ascii="宋体" w:hAnsi="宋体" w:eastAsia="宋体" w:cs="宋体"/>
                <w:b/>
                <w:bCs/>
                <w:sz w:val="24"/>
                <w:szCs w:val="24"/>
              </w:rPr>
            </w:pPr>
            <w:r>
              <w:rPr>
                <w:rFonts w:hint="eastAsia" w:ascii="宋体" w:hAnsi="宋体" w:eastAsia="宋体" w:cs="宋体"/>
                <w:b/>
                <w:bCs/>
                <w:sz w:val="24"/>
                <w:szCs w:val="24"/>
              </w:rPr>
              <w:t>姓名</w:t>
            </w:r>
          </w:p>
        </w:tc>
        <w:tc>
          <w:tcPr>
            <w:tcW w:w="1155" w:type="dxa"/>
            <w:noWrap w:val="0"/>
            <w:vAlign w:val="center"/>
          </w:tcPr>
          <w:p w14:paraId="30168DE8">
            <w:pPr>
              <w:spacing w:before="4"/>
              <w:jc w:val="center"/>
              <w:rPr>
                <w:rFonts w:hint="eastAsia" w:ascii="宋体" w:hAnsi="宋体" w:eastAsia="宋体" w:cs="宋体"/>
                <w:b/>
                <w:bCs/>
                <w:sz w:val="24"/>
                <w:szCs w:val="24"/>
              </w:rPr>
            </w:pPr>
            <w:r>
              <w:rPr>
                <w:rFonts w:hint="eastAsia" w:ascii="宋体" w:hAnsi="宋体" w:eastAsia="宋体" w:cs="宋体"/>
                <w:b/>
                <w:bCs/>
                <w:sz w:val="24"/>
                <w:szCs w:val="24"/>
              </w:rPr>
              <w:t>职称/资格认证</w:t>
            </w:r>
          </w:p>
        </w:tc>
        <w:tc>
          <w:tcPr>
            <w:tcW w:w="1900" w:type="dxa"/>
            <w:noWrap w:val="0"/>
            <w:vAlign w:val="center"/>
          </w:tcPr>
          <w:p w14:paraId="4F265F61">
            <w:pPr>
              <w:spacing w:before="4"/>
              <w:jc w:val="center"/>
              <w:rPr>
                <w:rFonts w:hint="eastAsia" w:ascii="宋体" w:hAnsi="宋体" w:eastAsia="宋体" w:cs="宋体"/>
                <w:b/>
                <w:bCs/>
                <w:sz w:val="24"/>
                <w:szCs w:val="24"/>
              </w:rPr>
            </w:pPr>
            <w:r>
              <w:rPr>
                <w:rFonts w:hint="eastAsia" w:ascii="宋体" w:hAnsi="宋体" w:eastAsia="宋体" w:cs="宋体"/>
                <w:b/>
                <w:bCs/>
                <w:sz w:val="24"/>
                <w:szCs w:val="24"/>
              </w:rPr>
              <w:t>身份证号码</w:t>
            </w:r>
          </w:p>
        </w:tc>
        <w:tc>
          <w:tcPr>
            <w:tcW w:w="3228" w:type="dxa"/>
            <w:noWrap w:val="0"/>
            <w:vAlign w:val="center"/>
          </w:tcPr>
          <w:p w14:paraId="43E7EC54">
            <w:pPr>
              <w:spacing w:before="4"/>
              <w:jc w:val="center"/>
              <w:rPr>
                <w:rFonts w:hint="eastAsia" w:ascii="宋体" w:hAnsi="宋体" w:eastAsia="宋体" w:cs="宋体"/>
                <w:b/>
                <w:bCs/>
                <w:sz w:val="24"/>
                <w:szCs w:val="24"/>
              </w:rPr>
            </w:pPr>
            <w:r>
              <w:rPr>
                <w:rFonts w:hint="eastAsia" w:ascii="宋体" w:hAnsi="宋体" w:eastAsia="宋体" w:cs="宋体"/>
                <w:b/>
                <w:bCs/>
                <w:sz w:val="24"/>
                <w:szCs w:val="24"/>
              </w:rPr>
              <w:t>主要资历、经验</w:t>
            </w:r>
          </w:p>
          <w:p w14:paraId="58E1BE42">
            <w:pPr>
              <w:spacing w:before="4"/>
              <w:jc w:val="center"/>
              <w:rPr>
                <w:rFonts w:hint="eastAsia" w:ascii="宋体" w:hAnsi="宋体" w:eastAsia="宋体" w:cs="宋体"/>
                <w:b/>
                <w:bCs/>
                <w:sz w:val="24"/>
                <w:szCs w:val="24"/>
              </w:rPr>
            </w:pPr>
            <w:r>
              <w:rPr>
                <w:rFonts w:hint="eastAsia" w:ascii="宋体" w:hAnsi="宋体" w:eastAsia="宋体" w:cs="宋体"/>
                <w:b/>
                <w:bCs/>
                <w:sz w:val="24"/>
                <w:szCs w:val="24"/>
              </w:rPr>
              <w:t>及承担过的项目</w:t>
            </w:r>
          </w:p>
        </w:tc>
      </w:tr>
      <w:tr w14:paraId="670B7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709" w:type="dxa"/>
            <w:noWrap w:val="0"/>
            <w:vAlign w:val="center"/>
          </w:tcPr>
          <w:p w14:paraId="38CC7475">
            <w:pPr>
              <w:spacing w:before="4"/>
              <w:jc w:val="center"/>
              <w:rPr>
                <w:rFonts w:hint="eastAsia" w:ascii="宋体" w:hAnsi="宋体" w:eastAsia="宋体" w:cs="宋体"/>
                <w:sz w:val="24"/>
                <w:szCs w:val="24"/>
              </w:rPr>
            </w:pPr>
            <w:r>
              <w:rPr>
                <w:rFonts w:hint="eastAsia" w:ascii="宋体" w:hAnsi="宋体" w:eastAsia="宋体" w:cs="宋体"/>
                <w:sz w:val="24"/>
                <w:szCs w:val="24"/>
              </w:rPr>
              <w:t>1</w:t>
            </w:r>
          </w:p>
        </w:tc>
        <w:tc>
          <w:tcPr>
            <w:tcW w:w="1843" w:type="dxa"/>
            <w:noWrap w:val="0"/>
            <w:vAlign w:val="center"/>
          </w:tcPr>
          <w:p w14:paraId="35138395">
            <w:pPr>
              <w:spacing w:before="4"/>
              <w:jc w:val="center"/>
              <w:rPr>
                <w:rFonts w:hint="eastAsia" w:ascii="宋体" w:hAnsi="宋体" w:eastAsia="宋体" w:cs="宋体"/>
                <w:sz w:val="24"/>
                <w:szCs w:val="24"/>
              </w:rPr>
            </w:pPr>
            <w:r>
              <w:rPr>
                <w:rFonts w:hint="eastAsia" w:ascii="宋体" w:hAnsi="宋体" w:eastAsia="宋体" w:cs="宋体"/>
                <w:sz w:val="24"/>
                <w:szCs w:val="24"/>
              </w:rPr>
              <w:t>项目负责人</w:t>
            </w:r>
          </w:p>
        </w:tc>
        <w:tc>
          <w:tcPr>
            <w:tcW w:w="662" w:type="dxa"/>
            <w:noWrap w:val="0"/>
            <w:vAlign w:val="center"/>
          </w:tcPr>
          <w:p w14:paraId="32AE803E">
            <w:pPr>
              <w:spacing w:before="4"/>
              <w:jc w:val="center"/>
              <w:rPr>
                <w:rFonts w:hint="eastAsia" w:ascii="宋体" w:hAnsi="宋体" w:eastAsia="宋体" w:cs="宋体"/>
                <w:sz w:val="24"/>
                <w:szCs w:val="24"/>
              </w:rPr>
            </w:pPr>
          </w:p>
        </w:tc>
        <w:tc>
          <w:tcPr>
            <w:tcW w:w="1155" w:type="dxa"/>
            <w:noWrap w:val="0"/>
            <w:vAlign w:val="center"/>
          </w:tcPr>
          <w:p w14:paraId="758C04E8">
            <w:pPr>
              <w:spacing w:before="4"/>
              <w:jc w:val="center"/>
              <w:rPr>
                <w:rFonts w:hint="eastAsia" w:ascii="宋体" w:hAnsi="宋体" w:eastAsia="宋体" w:cs="宋体"/>
                <w:sz w:val="24"/>
                <w:szCs w:val="24"/>
              </w:rPr>
            </w:pPr>
          </w:p>
        </w:tc>
        <w:tc>
          <w:tcPr>
            <w:tcW w:w="1900" w:type="dxa"/>
            <w:noWrap w:val="0"/>
            <w:vAlign w:val="center"/>
          </w:tcPr>
          <w:p w14:paraId="4857D91B">
            <w:pPr>
              <w:spacing w:before="4"/>
              <w:jc w:val="center"/>
              <w:rPr>
                <w:rFonts w:hint="eastAsia" w:ascii="宋体" w:hAnsi="宋体" w:eastAsia="宋体" w:cs="宋体"/>
                <w:sz w:val="24"/>
                <w:szCs w:val="24"/>
              </w:rPr>
            </w:pPr>
          </w:p>
        </w:tc>
        <w:tc>
          <w:tcPr>
            <w:tcW w:w="3228" w:type="dxa"/>
            <w:noWrap w:val="0"/>
            <w:vAlign w:val="center"/>
          </w:tcPr>
          <w:p w14:paraId="067A6E94">
            <w:pPr>
              <w:spacing w:before="4"/>
              <w:jc w:val="center"/>
              <w:rPr>
                <w:rFonts w:hint="eastAsia" w:ascii="宋体" w:hAnsi="宋体" w:eastAsia="宋体" w:cs="宋体"/>
                <w:sz w:val="24"/>
                <w:szCs w:val="24"/>
              </w:rPr>
            </w:pPr>
          </w:p>
        </w:tc>
      </w:tr>
      <w:tr w14:paraId="010E5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09" w:type="dxa"/>
            <w:vMerge w:val="restart"/>
            <w:noWrap w:val="0"/>
            <w:vAlign w:val="center"/>
          </w:tcPr>
          <w:p w14:paraId="6D245DCE">
            <w:pPr>
              <w:spacing w:before="4"/>
              <w:jc w:val="center"/>
              <w:rPr>
                <w:rFonts w:hint="eastAsia" w:ascii="宋体" w:hAnsi="宋体" w:eastAsia="宋体" w:cs="宋体"/>
                <w:sz w:val="24"/>
                <w:szCs w:val="24"/>
              </w:rPr>
            </w:pPr>
            <w:r>
              <w:rPr>
                <w:rFonts w:hint="eastAsia" w:ascii="宋体" w:hAnsi="宋体" w:eastAsia="宋体" w:cs="宋体"/>
                <w:sz w:val="24"/>
                <w:szCs w:val="24"/>
              </w:rPr>
              <w:t>2</w:t>
            </w:r>
          </w:p>
        </w:tc>
        <w:tc>
          <w:tcPr>
            <w:tcW w:w="1843" w:type="dxa"/>
            <w:vMerge w:val="restart"/>
            <w:noWrap w:val="0"/>
            <w:vAlign w:val="center"/>
          </w:tcPr>
          <w:p w14:paraId="73895426">
            <w:pPr>
              <w:spacing w:before="4"/>
              <w:jc w:val="center"/>
              <w:rPr>
                <w:rFonts w:hint="eastAsia" w:ascii="宋体" w:hAnsi="宋体" w:eastAsia="宋体" w:cs="宋体"/>
                <w:sz w:val="24"/>
                <w:szCs w:val="24"/>
              </w:rPr>
            </w:pPr>
            <w:r>
              <w:rPr>
                <w:rFonts w:hint="eastAsia" w:ascii="宋体" w:hAnsi="宋体" w:eastAsia="宋体" w:cs="宋体"/>
                <w:sz w:val="24"/>
                <w:szCs w:val="24"/>
              </w:rPr>
              <w:t>……</w:t>
            </w:r>
          </w:p>
        </w:tc>
        <w:tc>
          <w:tcPr>
            <w:tcW w:w="662" w:type="dxa"/>
            <w:noWrap w:val="0"/>
            <w:vAlign w:val="center"/>
          </w:tcPr>
          <w:p w14:paraId="18673BB1">
            <w:pPr>
              <w:spacing w:before="4"/>
              <w:jc w:val="center"/>
              <w:rPr>
                <w:rFonts w:hint="eastAsia" w:ascii="宋体" w:hAnsi="宋体" w:eastAsia="宋体" w:cs="宋体"/>
                <w:sz w:val="24"/>
                <w:szCs w:val="24"/>
              </w:rPr>
            </w:pPr>
          </w:p>
        </w:tc>
        <w:tc>
          <w:tcPr>
            <w:tcW w:w="1155" w:type="dxa"/>
            <w:noWrap w:val="0"/>
            <w:vAlign w:val="center"/>
          </w:tcPr>
          <w:p w14:paraId="30EB4F79">
            <w:pPr>
              <w:spacing w:before="4"/>
              <w:jc w:val="center"/>
              <w:rPr>
                <w:rFonts w:hint="eastAsia" w:ascii="宋体" w:hAnsi="宋体" w:eastAsia="宋体" w:cs="宋体"/>
                <w:sz w:val="24"/>
                <w:szCs w:val="24"/>
              </w:rPr>
            </w:pPr>
          </w:p>
        </w:tc>
        <w:tc>
          <w:tcPr>
            <w:tcW w:w="1900" w:type="dxa"/>
            <w:noWrap w:val="0"/>
            <w:vAlign w:val="center"/>
          </w:tcPr>
          <w:p w14:paraId="0FEEBD05">
            <w:pPr>
              <w:spacing w:before="4"/>
              <w:jc w:val="center"/>
              <w:rPr>
                <w:rFonts w:hint="eastAsia" w:ascii="宋体" w:hAnsi="宋体" w:eastAsia="宋体" w:cs="宋体"/>
                <w:sz w:val="24"/>
                <w:szCs w:val="24"/>
              </w:rPr>
            </w:pPr>
          </w:p>
        </w:tc>
        <w:tc>
          <w:tcPr>
            <w:tcW w:w="3228" w:type="dxa"/>
            <w:noWrap w:val="0"/>
            <w:vAlign w:val="center"/>
          </w:tcPr>
          <w:p w14:paraId="118D4E97">
            <w:pPr>
              <w:spacing w:before="4"/>
              <w:jc w:val="center"/>
              <w:rPr>
                <w:rFonts w:hint="eastAsia" w:ascii="宋体" w:hAnsi="宋体" w:eastAsia="宋体" w:cs="宋体"/>
                <w:sz w:val="24"/>
                <w:szCs w:val="24"/>
              </w:rPr>
            </w:pPr>
          </w:p>
        </w:tc>
      </w:tr>
      <w:tr w14:paraId="6189C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709" w:type="dxa"/>
            <w:vMerge w:val="continue"/>
            <w:noWrap w:val="0"/>
            <w:vAlign w:val="center"/>
          </w:tcPr>
          <w:p w14:paraId="1891FC16">
            <w:pPr>
              <w:spacing w:before="4"/>
              <w:jc w:val="center"/>
              <w:rPr>
                <w:rFonts w:hint="eastAsia" w:ascii="宋体" w:hAnsi="宋体" w:eastAsia="宋体" w:cs="宋体"/>
                <w:sz w:val="24"/>
                <w:szCs w:val="24"/>
              </w:rPr>
            </w:pPr>
          </w:p>
        </w:tc>
        <w:tc>
          <w:tcPr>
            <w:tcW w:w="1843" w:type="dxa"/>
            <w:vMerge w:val="continue"/>
            <w:noWrap w:val="0"/>
            <w:vAlign w:val="center"/>
          </w:tcPr>
          <w:p w14:paraId="2431354D">
            <w:pPr>
              <w:spacing w:before="4"/>
              <w:jc w:val="center"/>
              <w:rPr>
                <w:rFonts w:hint="eastAsia" w:ascii="宋体" w:hAnsi="宋体" w:eastAsia="宋体" w:cs="宋体"/>
                <w:sz w:val="24"/>
                <w:szCs w:val="24"/>
              </w:rPr>
            </w:pPr>
          </w:p>
        </w:tc>
        <w:tc>
          <w:tcPr>
            <w:tcW w:w="662" w:type="dxa"/>
            <w:noWrap w:val="0"/>
            <w:vAlign w:val="center"/>
          </w:tcPr>
          <w:p w14:paraId="1727B4E8">
            <w:pPr>
              <w:spacing w:before="4"/>
              <w:jc w:val="center"/>
              <w:rPr>
                <w:rFonts w:hint="eastAsia" w:ascii="宋体" w:hAnsi="宋体" w:eastAsia="宋体" w:cs="宋体"/>
                <w:sz w:val="24"/>
                <w:szCs w:val="24"/>
              </w:rPr>
            </w:pPr>
          </w:p>
        </w:tc>
        <w:tc>
          <w:tcPr>
            <w:tcW w:w="1155" w:type="dxa"/>
            <w:noWrap w:val="0"/>
            <w:vAlign w:val="center"/>
          </w:tcPr>
          <w:p w14:paraId="29ADD75F">
            <w:pPr>
              <w:spacing w:before="4"/>
              <w:jc w:val="center"/>
              <w:rPr>
                <w:rFonts w:hint="eastAsia" w:ascii="宋体" w:hAnsi="宋体" w:eastAsia="宋体" w:cs="宋体"/>
                <w:sz w:val="24"/>
                <w:szCs w:val="24"/>
              </w:rPr>
            </w:pPr>
          </w:p>
        </w:tc>
        <w:tc>
          <w:tcPr>
            <w:tcW w:w="1900" w:type="dxa"/>
            <w:noWrap w:val="0"/>
            <w:vAlign w:val="center"/>
          </w:tcPr>
          <w:p w14:paraId="5A9EB777">
            <w:pPr>
              <w:spacing w:before="4"/>
              <w:jc w:val="center"/>
              <w:rPr>
                <w:rFonts w:hint="eastAsia" w:ascii="宋体" w:hAnsi="宋体" w:eastAsia="宋体" w:cs="宋体"/>
                <w:sz w:val="24"/>
                <w:szCs w:val="24"/>
              </w:rPr>
            </w:pPr>
          </w:p>
        </w:tc>
        <w:tc>
          <w:tcPr>
            <w:tcW w:w="3228" w:type="dxa"/>
            <w:noWrap w:val="0"/>
            <w:vAlign w:val="center"/>
          </w:tcPr>
          <w:p w14:paraId="34FFECB8">
            <w:pPr>
              <w:spacing w:before="4"/>
              <w:jc w:val="center"/>
              <w:rPr>
                <w:rFonts w:hint="eastAsia" w:ascii="宋体" w:hAnsi="宋体" w:eastAsia="宋体" w:cs="宋体"/>
                <w:sz w:val="24"/>
                <w:szCs w:val="24"/>
              </w:rPr>
            </w:pPr>
          </w:p>
        </w:tc>
      </w:tr>
      <w:tr w14:paraId="6BAE4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709" w:type="dxa"/>
            <w:vMerge w:val="restart"/>
            <w:noWrap w:val="0"/>
            <w:vAlign w:val="center"/>
          </w:tcPr>
          <w:p w14:paraId="547AC4F5">
            <w:pPr>
              <w:spacing w:before="4"/>
              <w:jc w:val="center"/>
              <w:rPr>
                <w:rFonts w:hint="eastAsia" w:ascii="宋体" w:hAnsi="宋体" w:eastAsia="宋体" w:cs="宋体"/>
                <w:sz w:val="24"/>
                <w:szCs w:val="24"/>
              </w:rPr>
            </w:pPr>
            <w:r>
              <w:rPr>
                <w:rFonts w:hint="eastAsia" w:ascii="宋体" w:hAnsi="宋体" w:eastAsia="宋体" w:cs="宋体"/>
                <w:sz w:val="24"/>
                <w:szCs w:val="24"/>
              </w:rPr>
              <w:t>3</w:t>
            </w:r>
          </w:p>
        </w:tc>
        <w:tc>
          <w:tcPr>
            <w:tcW w:w="1843" w:type="dxa"/>
            <w:vMerge w:val="restart"/>
            <w:noWrap w:val="0"/>
            <w:vAlign w:val="center"/>
          </w:tcPr>
          <w:p w14:paraId="041FD3B8">
            <w:pPr>
              <w:spacing w:before="4"/>
              <w:jc w:val="center"/>
              <w:rPr>
                <w:rFonts w:hint="eastAsia" w:ascii="宋体" w:hAnsi="宋体" w:eastAsia="宋体" w:cs="宋体"/>
                <w:sz w:val="24"/>
                <w:szCs w:val="24"/>
              </w:rPr>
            </w:pPr>
            <w:r>
              <w:rPr>
                <w:rFonts w:hint="eastAsia" w:ascii="宋体" w:hAnsi="宋体" w:eastAsia="宋体" w:cs="宋体"/>
                <w:sz w:val="24"/>
                <w:szCs w:val="24"/>
              </w:rPr>
              <w:t>……</w:t>
            </w:r>
          </w:p>
        </w:tc>
        <w:tc>
          <w:tcPr>
            <w:tcW w:w="662" w:type="dxa"/>
            <w:noWrap w:val="0"/>
            <w:vAlign w:val="center"/>
          </w:tcPr>
          <w:p w14:paraId="0034FBFD">
            <w:pPr>
              <w:spacing w:before="4"/>
              <w:jc w:val="center"/>
              <w:rPr>
                <w:rFonts w:hint="eastAsia" w:ascii="宋体" w:hAnsi="宋体" w:eastAsia="宋体" w:cs="宋体"/>
                <w:sz w:val="24"/>
                <w:szCs w:val="24"/>
              </w:rPr>
            </w:pPr>
          </w:p>
        </w:tc>
        <w:tc>
          <w:tcPr>
            <w:tcW w:w="1155" w:type="dxa"/>
            <w:noWrap w:val="0"/>
            <w:vAlign w:val="center"/>
          </w:tcPr>
          <w:p w14:paraId="07695558">
            <w:pPr>
              <w:spacing w:before="4"/>
              <w:jc w:val="center"/>
              <w:rPr>
                <w:rFonts w:hint="eastAsia" w:ascii="宋体" w:hAnsi="宋体" w:eastAsia="宋体" w:cs="宋体"/>
                <w:sz w:val="24"/>
                <w:szCs w:val="24"/>
              </w:rPr>
            </w:pPr>
          </w:p>
        </w:tc>
        <w:tc>
          <w:tcPr>
            <w:tcW w:w="1900" w:type="dxa"/>
            <w:noWrap w:val="0"/>
            <w:vAlign w:val="center"/>
          </w:tcPr>
          <w:p w14:paraId="2B7A62D2">
            <w:pPr>
              <w:spacing w:before="4"/>
              <w:jc w:val="center"/>
              <w:rPr>
                <w:rFonts w:hint="eastAsia" w:ascii="宋体" w:hAnsi="宋体" w:eastAsia="宋体" w:cs="宋体"/>
                <w:sz w:val="24"/>
                <w:szCs w:val="24"/>
              </w:rPr>
            </w:pPr>
          </w:p>
        </w:tc>
        <w:tc>
          <w:tcPr>
            <w:tcW w:w="3228" w:type="dxa"/>
            <w:noWrap w:val="0"/>
            <w:vAlign w:val="center"/>
          </w:tcPr>
          <w:p w14:paraId="264B153E">
            <w:pPr>
              <w:spacing w:before="4"/>
              <w:jc w:val="center"/>
              <w:rPr>
                <w:rFonts w:hint="eastAsia" w:ascii="宋体" w:hAnsi="宋体" w:eastAsia="宋体" w:cs="宋体"/>
                <w:sz w:val="24"/>
                <w:szCs w:val="24"/>
              </w:rPr>
            </w:pPr>
          </w:p>
        </w:tc>
      </w:tr>
      <w:tr w14:paraId="496C0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709" w:type="dxa"/>
            <w:vMerge w:val="continue"/>
            <w:noWrap w:val="0"/>
            <w:vAlign w:val="center"/>
          </w:tcPr>
          <w:p w14:paraId="71D769B0">
            <w:pPr>
              <w:spacing w:before="4"/>
              <w:jc w:val="center"/>
              <w:rPr>
                <w:rFonts w:hint="eastAsia" w:ascii="宋体" w:hAnsi="宋体" w:eastAsia="宋体" w:cs="宋体"/>
              </w:rPr>
            </w:pPr>
          </w:p>
        </w:tc>
        <w:tc>
          <w:tcPr>
            <w:tcW w:w="1843" w:type="dxa"/>
            <w:vMerge w:val="continue"/>
            <w:noWrap w:val="0"/>
            <w:vAlign w:val="center"/>
          </w:tcPr>
          <w:p w14:paraId="045A009C">
            <w:pPr>
              <w:spacing w:before="4"/>
              <w:jc w:val="center"/>
              <w:rPr>
                <w:rFonts w:hint="eastAsia" w:ascii="宋体" w:hAnsi="宋体" w:eastAsia="宋体" w:cs="宋体"/>
              </w:rPr>
            </w:pPr>
          </w:p>
        </w:tc>
        <w:tc>
          <w:tcPr>
            <w:tcW w:w="662" w:type="dxa"/>
            <w:noWrap w:val="0"/>
            <w:vAlign w:val="center"/>
          </w:tcPr>
          <w:p w14:paraId="3764987F">
            <w:pPr>
              <w:spacing w:before="4"/>
              <w:jc w:val="center"/>
              <w:rPr>
                <w:rFonts w:hint="eastAsia" w:ascii="宋体" w:hAnsi="宋体" w:eastAsia="宋体" w:cs="宋体"/>
              </w:rPr>
            </w:pPr>
          </w:p>
        </w:tc>
        <w:tc>
          <w:tcPr>
            <w:tcW w:w="1155" w:type="dxa"/>
            <w:noWrap w:val="0"/>
            <w:vAlign w:val="center"/>
          </w:tcPr>
          <w:p w14:paraId="4F2BC134">
            <w:pPr>
              <w:spacing w:before="4"/>
              <w:jc w:val="center"/>
              <w:rPr>
                <w:rFonts w:hint="eastAsia" w:ascii="宋体" w:hAnsi="宋体" w:eastAsia="宋体" w:cs="宋体"/>
              </w:rPr>
            </w:pPr>
          </w:p>
        </w:tc>
        <w:tc>
          <w:tcPr>
            <w:tcW w:w="1900" w:type="dxa"/>
            <w:noWrap w:val="0"/>
            <w:vAlign w:val="center"/>
          </w:tcPr>
          <w:p w14:paraId="0DA89673">
            <w:pPr>
              <w:spacing w:before="4"/>
              <w:jc w:val="center"/>
              <w:rPr>
                <w:rFonts w:hint="eastAsia" w:ascii="宋体" w:hAnsi="宋体" w:eastAsia="宋体" w:cs="宋体"/>
              </w:rPr>
            </w:pPr>
          </w:p>
        </w:tc>
        <w:tc>
          <w:tcPr>
            <w:tcW w:w="3228" w:type="dxa"/>
            <w:noWrap w:val="0"/>
            <w:vAlign w:val="center"/>
          </w:tcPr>
          <w:p w14:paraId="108C9503">
            <w:pPr>
              <w:spacing w:before="4"/>
              <w:jc w:val="center"/>
              <w:rPr>
                <w:rFonts w:hint="eastAsia" w:ascii="宋体" w:hAnsi="宋体" w:eastAsia="宋体" w:cs="宋体"/>
              </w:rPr>
            </w:pPr>
          </w:p>
        </w:tc>
      </w:tr>
    </w:tbl>
    <w:p w14:paraId="26F869F0">
      <w:pPr>
        <w:spacing w:line="440" w:lineRule="exact"/>
        <w:rPr>
          <w:rFonts w:hint="eastAsia" w:ascii="宋体" w:hAnsi="宋体" w:eastAsia="宋体" w:cs="宋体"/>
          <w:sz w:val="24"/>
          <w:szCs w:val="24"/>
        </w:rPr>
      </w:pPr>
      <w:r>
        <w:rPr>
          <w:rFonts w:hint="eastAsia" w:ascii="宋体" w:hAnsi="宋体" w:eastAsia="宋体" w:cs="宋体"/>
          <w:sz w:val="24"/>
          <w:szCs w:val="24"/>
        </w:rPr>
        <w:t>注：1、供应商应将承担所投入的有关人员配备情况依次填报在上述表格中。</w:t>
      </w:r>
    </w:p>
    <w:p w14:paraId="4FE4F4F5">
      <w:pPr>
        <w:spacing w:line="460" w:lineRule="exact"/>
        <w:ind w:firstLine="480"/>
        <w:rPr>
          <w:rFonts w:hint="eastAsia" w:ascii="宋体" w:hAnsi="宋体" w:eastAsia="宋体" w:cs="宋体"/>
          <w:b/>
          <w:sz w:val="24"/>
          <w:szCs w:val="24"/>
        </w:rPr>
      </w:pPr>
      <w:r>
        <w:rPr>
          <w:rFonts w:hint="eastAsia" w:ascii="宋体" w:hAnsi="宋体" w:eastAsia="宋体" w:cs="宋体"/>
          <w:sz w:val="24"/>
          <w:szCs w:val="24"/>
        </w:rPr>
        <w:t>2、</w:t>
      </w:r>
      <w:r>
        <w:rPr>
          <w:rFonts w:hint="eastAsia" w:ascii="宋体" w:hAnsi="宋体" w:eastAsia="宋体" w:cs="宋体"/>
          <w:b/>
          <w:bCs/>
          <w:color w:val="000000"/>
          <w:sz w:val="24"/>
          <w:szCs w:val="24"/>
          <w:lang w:bidi="ar"/>
        </w:rPr>
        <w:t>响应文件中须按照“第五章   评审方法与评审标准”中要求提供相关证明材料</w:t>
      </w:r>
      <w:r>
        <w:rPr>
          <w:rFonts w:hint="eastAsia" w:ascii="宋体" w:hAnsi="宋体" w:eastAsia="宋体" w:cs="宋体"/>
          <w:b/>
          <w:sz w:val="24"/>
          <w:szCs w:val="24"/>
        </w:rPr>
        <w:t>。</w:t>
      </w:r>
    </w:p>
    <w:p w14:paraId="69638490">
      <w:pPr>
        <w:spacing w:line="440" w:lineRule="exact"/>
        <w:ind w:firstLine="480"/>
        <w:rPr>
          <w:rFonts w:hint="eastAsia" w:ascii="宋体" w:hAnsi="宋体" w:eastAsia="宋体" w:cs="宋体"/>
          <w:bCs/>
          <w:sz w:val="24"/>
          <w:szCs w:val="24"/>
        </w:rPr>
      </w:pPr>
      <w:r>
        <w:rPr>
          <w:rFonts w:hint="eastAsia" w:ascii="宋体" w:hAnsi="宋体" w:eastAsia="宋体" w:cs="宋体"/>
          <w:sz w:val="24"/>
          <w:szCs w:val="24"/>
        </w:rPr>
        <w:t>3、</w:t>
      </w:r>
      <w:r>
        <w:rPr>
          <w:rFonts w:hint="eastAsia" w:ascii="宋体" w:hAnsi="宋体" w:eastAsia="宋体" w:cs="宋体"/>
          <w:bCs/>
          <w:sz w:val="24"/>
          <w:szCs w:val="24"/>
        </w:rPr>
        <w:t>因表述含糊导致的评标风险将由</w:t>
      </w:r>
      <w:r>
        <w:rPr>
          <w:rFonts w:hint="eastAsia" w:ascii="宋体" w:hAnsi="宋体" w:eastAsia="宋体" w:cs="宋体"/>
          <w:sz w:val="24"/>
          <w:szCs w:val="24"/>
        </w:rPr>
        <w:t>供应商自行</w:t>
      </w:r>
      <w:r>
        <w:rPr>
          <w:rFonts w:hint="eastAsia" w:ascii="宋体" w:hAnsi="宋体" w:eastAsia="宋体" w:cs="宋体"/>
          <w:bCs/>
          <w:sz w:val="24"/>
          <w:szCs w:val="24"/>
        </w:rPr>
        <w:t>承担。</w:t>
      </w:r>
    </w:p>
    <w:p w14:paraId="49705F9B">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4、如有需要说明的事项，请在备注中列明。</w:t>
      </w:r>
    </w:p>
    <w:p w14:paraId="033A929D">
      <w:pPr>
        <w:spacing w:line="360" w:lineRule="auto"/>
        <w:rPr>
          <w:rFonts w:hint="eastAsia" w:ascii="宋体" w:hAnsi="宋体" w:eastAsia="宋体" w:cs="宋体"/>
          <w:bCs/>
        </w:rPr>
      </w:pPr>
      <w:r>
        <w:rPr>
          <w:rFonts w:hint="eastAsia" w:ascii="宋体" w:hAnsi="宋体" w:eastAsia="宋体" w:cs="宋体"/>
          <w:bCs/>
        </w:rPr>
        <w:br w:type="page" w:clear="all"/>
      </w:r>
    </w:p>
    <w:p w14:paraId="23C436AE">
      <w:pPr>
        <w:pStyle w:val="3"/>
        <w:spacing w:line="440" w:lineRule="exact"/>
        <w:rPr>
          <w:rFonts w:hint="eastAsia" w:ascii="宋体" w:hAnsi="宋体" w:eastAsia="宋体" w:cs="宋体"/>
          <w:sz w:val="24"/>
          <w:szCs w:val="24"/>
          <w:lang w:val="en-US" w:eastAsia="zh-CN"/>
        </w:rPr>
      </w:pPr>
      <w:bookmarkStart w:id="124" w:name="_Toc15021"/>
      <w:bookmarkStart w:id="125" w:name="_Toc21964"/>
      <w:bookmarkStart w:id="126" w:name="_Toc30393"/>
      <w:bookmarkStart w:id="127" w:name="_Toc159312672"/>
      <w:bookmarkStart w:id="128" w:name="_Toc103080661"/>
      <w:bookmarkStart w:id="129" w:name="_Toc345248158"/>
      <w:bookmarkStart w:id="130" w:name="_Toc341427249"/>
      <w:bookmarkStart w:id="131" w:name="_Toc447796831"/>
      <w:bookmarkStart w:id="132" w:name="_Toc414881347"/>
      <w:r>
        <w:rPr>
          <w:rFonts w:hint="eastAsia" w:ascii="宋体" w:hAnsi="宋体" w:eastAsia="宋体" w:cs="宋体"/>
          <w:sz w:val="24"/>
          <w:szCs w:val="24"/>
        </w:rPr>
        <w:t>附件14 设备工具配备</w:t>
      </w:r>
      <w:r>
        <w:rPr>
          <w:rFonts w:hint="eastAsia" w:ascii="宋体" w:hAnsi="宋体" w:eastAsia="宋体" w:cs="宋体"/>
          <w:sz w:val="24"/>
          <w:szCs w:val="24"/>
          <w:lang w:val="en-US" w:eastAsia="zh-CN"/>
        </w:rPr>
        <w:t>一览表</w:t>
      </w:r>
      <w:bookmarkEnd w:id="124"/>
    </w:p>
    <w:p w14:paraId="5C46F396">
      <w:pPr>
        <w:rPr>
          <w:rFonts w:hint="eastAsia" w:ascii="宋体" w:hAnsi="宋体" w:eastAsia="宋体" w:cs="宋体"/>
          <w:lang w:val="en-US" w:eastAsia="zh-CN"/>
        </w:rPr>
      </w:pPr>
    </w:p>
    <w:tbl>
      <w:tblPr>
        <w:tblStyle w:val="54"/>
        <w:tblW w:w="10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95"/>
        <w:gridCol w:w="1134"/>
        <w:gridCol w:w="1134"/>
        <w:gridCol w:w="709"/>
        <w:gridCol w:w="2740"/>
        <w:gridCol w:w="1512"/>
      </w:tblGrid>
      <w:tr w14:paraId="187C8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007E78FC">
            <w:pPr>
              <w:jc w:val="center"/>
              <w:rPr>
                <w:rFonts w:hint="eastAsia" w:ascii="宋体" w:hAnsi="宋体" w:eastAsia="宋体" w:cs="宋体"/>
                <w:bCs/>
                <w:sz w:val="24"/>
                <w:szCs w:val="24"/>
              </w:rPr>
            </w:pPr>
            <w:r>
              <w:rPr>
                <w:rFonts w:hint="eastAsia" w:ascii="宋体" w:hAnsi="宋体" w:eastAsia="宋体" w:cs="宋体"/>
                <w:bCs/>
                <w:sz w:val="24"/>
                <w:szCs w:val="24"/>
              </w:rPr>
              <w:t>（一）</w:t>
            </w:r>
          </w:p>
        </w:tc>
        <w:tc>
          <w:tcPr>
            <w:tcW w:w="9024" w:type="dxa"/>
            <w:gridSpan w:val="6"/>
            <w:vAlign w:val="center"/>
          </w:tcPr>
          <w:p w14:paraId="51473390">
            <w:pPr>
              <w:jc w:val="left"/>
              <w:rPr>
                <w:rFonts w:hint="eastAsia" w:ascii="宋体" w:hAnsi="宋体" w:eastAsia="宋体" w:cs="宋体"/>
                <w:bCs/>
                <w:sz w:val="24"/>
                <w:szCs w:val="24"/>
              </w:rPr>
            </w:pPr>
            <w:r>
              <w:rPr>
                <w:rFonts w:hint="eastAsia" w:ascii="宋体" w:hAnsi="宋体" w:eastAsia="宋体" w:cs="宋体"/>
                <w:sz w:val="24"/>
                <w:szCs w:val="24"/>
                <w:lang w:val="en-US" w:eastAsia="zh-CN"/>
              </w:rPr>
              <w:t>扫描仪</w:t>
            </w:r>
          </w:p>
        </w:tc>
      </w:tr>
      <w:tr w14:paraId="2335A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3E1A9BD">
            <w:pPr>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1795" w:type="dxa"/>
            <w:vAlign w:val="center"/>
          </w:tcPr>
          <w:p w14:paraId="7D2A732C">
            <w:pPr>
              <w:jc w:val="center"/>
              <w:rPr>
                <w:rFonts w:hint="eastAsia" w:ascii="宋体" w:hAnsi="宋体" w:eastAsia="宋体" w:cs="宋体"/>
                <w:bCs/>
                <w:sz w:val="24"/>
                <w:szCs w:val="24"/>
              </w:rPr>
            </w:pPr>
            <w:r>
              <w:rPr>
                <w:rFonts w:hint="eastAsia" w:ascii="宋体" w:hAnsi="宋体" w:eastAsia="宋体" w:cs="宋体"/>
                <w:bCs/>
                <w:sz w:val="24"/>
                <w:szCs w:val="24"/>
              </w:rPr>
              <w:t>设备工具名称</w:t>
            </w:r>
          </w:p>
        </w:tc>
        <w:tc>
          <w:tcPr>
            <w:tcW w:w="1134" w:type="dxa"/>
            <w:vAlign w:val="center"/>
          </w:tcPr>
          <w:p w14:paraId="1E33C30F">
            <w:pPr>
              <w:jc w:val="center"/>
              <w:rPr>
                <w:rFonts w:hint="eastAsia" w:ascii="宋体" w:hAnsi="宋体" w:eastAsia="宋体" w:cs="宋体"/>
                <w:bCs/>
                <w:sz w:val="24"/>
                <w:szCs w:val="24"/>
              </w:rPr>
            </w:pPr>
            <w:r>
              <w:rPr>
                <w:rFonts w:hint="eastAsia" w:ascii="宋体" w:hAnsi="宋体" w:eastAsia="宋体" w:cs="宋体"/>
                <w:bCs/>
                <w:sz w:val="24"/>
                <w:szCs w:val="24"/>
              </w:rPr>
              <w:t>品牌型号</w:t>
            </w:r>
          </w:p>
        </w:tc>
        <w:tc>
          <w:tcPr>
            <w:tcW w:w="1134" w:type="dxa"/>
            <w:vAlign w:val="center"/>
          </w:tcPr>
          <w:p w14:paraId="55BDDBC5">
            <w:pPr>
              <w:jc w:val="center"/>
              <w:rPr>
                <w:rFonts w:hint="eastAsia" w:ascii="宋体" w:hAnsi="宋体" w:eastAsia="宋体" w:cs="宋体"/>
                <w:bCs/>
                <w:sz w:val="24"/>
                <w:szCs w:val="24"/>
              </w:rPr>
            </w:pPr>
            <w:r>
              <w:rPr>
                <w:rFonts w:hint="eastAsia" w:ascii="宋体" w:hAnsi="宋体" w:eastAsia="宋体" w:cs="宋体"/>
                <w:bCs/>
                <w:sz w:val="24"/>
                <w:szCs w:val="24"/>
              </w:rPr>
              <w:t>生产厂家</w:t>
            </w:r>
          </w:p>
        </w:tc>
        <w:tc>
          <w:tcPr>
            <w:tcW w:w="709" w:type="dxa"/>
            <w:vAlign w:val="center"/>
          </w:tcPr>
          <w:p w14:paraId="7B36FE00">
            <w:pPr>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2740" w:type="dxa"/>
            <w:vAlign w:val="center"/>
          </w:tcPr>
          <w:p w14:paraId="4B675A43">
            <w:pPr>
              <w:jc w:val="center"/>
              <w:rPr>
                <w:rFonts w:hint="eastAsia" w:ascii="宋体" w:hAnsi="宋体" w:eastAsia="宋体" w:cs="宋体"/>
                <w:bCs/>
                <w:sz w:val="24"/>
                <w:szCs w:val="24"/>
              </w:rPr>
            </w:pPr>
            <w:r>
              <w:rPr>
                <w:rFonts w:hint="eastAsia" w:ascii="宋体" w:hAnsi="宋体" w:eastAsia="宋体" w:cs="宋体"/>
                <w:bCs/>
                <w:sz w:val="24"/>
                <w:szCs w:val="24"/>
              </w:rPr>
              <w:t>设备、工具等主要技术性能参数</w:t>
            </w:r>
          </w:p>
        </w:tc>
        <w:tc>
          <w:tcPr>
            <w:tcW w:w="1512" w:type="dxa"/>
            <w:vAlign w:val="center"/>
          </w:tcPr>
          <w:p w14:paraId="74A4DE7B">
            <w:pPr>
              <w:jc w:val="center"/>
              <w:rPr>
                <w:rFonts w:hint="eastAsia" w:ascii="宋体" w:hAnsi="宋体" w:eastAsia="宋体" w:cs="宋体"/>
                <w:bCs/>
                <w:sz w:val="24"/>
                <w:szCs w:val="24"/>
              </w:rPr>
            </w:pPr>
            <w:r>
              <w:rPr>
                <w:rFonts w:hint="eastAsia" w:ascii="宋体" w:hAnsi="宋体" w:eastAsia="宋体" w:cs="宋体"/>
                <w:bCs/>
                <w:sz w:val="24"/>
                <w:szCs w:val="24"/>
              </w:rPr>
              <w:t>备注</w:t>
            </w:r>
          </w:p>
        </w:tc>
      </w:tr>
      <w:tr w14:paraId="30D40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45A05ED">
            <w:pPr>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1795" w:type="dxa"/>
            <w:vAlign w:val="center"/>
          </w:tcPr>
          <w:p w14:paraId="4CB68555">
            <w:pPr>
              <w:jc w:val="center"/>
              <w:rPr>
                <w:rFonts w:hint="eastAsia" w:ascii="宋体" w:hAnsi="宋体" w:eastAsia="宋体" w:cs="宋体"/>
                <w:bCs/>
                <w:sz w:val="24"/>
                <w:szCs w:val="24"/>
              </w:rPr>
            </w:pPr>
          </w:p>
        </w:tc>
        <w:tc>
          <w:tcPr>
            <w:tcW w:w="1134" w:type="dxa"/>
            <w:vAlign w:val="center"/>
          </w:tcPr>
          <w:p w14:paraId="7DADFD90">
            <w:pPr>
              <w:jc w:val="center"/>
              <w:rPr>
                <w:rFonts w:hint="eastAsia" w:ascii="宋体" w:hAnsi="宋体" w:eastAsia="宋体" w:cs="宋体"/>
                <w:bCs/>
                <w:sz w:val="24"/>
                <w:szCs w:val="24"/>
              </w:rPr>
            </w:pPr>
          </w:p>
        </w:tc>
        <w:tc>
          <w:tcPr>
            <w:tcW w:w="1134" w:type="dxa"/>
            <w:vAlign w:val="center"/>
          </w:tcPr>
          <w:p w14:paraId="5324727D">
            <w:pPr>
              <w:jc w:val="center"/>
              <w:rPr>
                <w:rFonts w:hint="eastAsia" w:ascii="宋体" w:hAnsi="宋体" w:eastAsia="宋体" w:cs="宋体"/>
                <w:bCs/>
                <w:sz w:val="24"/>
                <w:szCs w:val="24"/>
              </w:rPr>
            </w:pPr>
          </w:p>
        </w:tc>
        <w:tc>
          <w:tcPr>
            <w:tcW w:w="709" w:type="dxa"/>
            <w:vAlign w:val="center"/>
          </w:tcPr>
          <w:p w14:paraId="74E9EDDE">
            <w:pPr>
              <w:jc w:val="center"/>
              <w:rPr>
                <w:rFonts w:hint="eastAsia" w:ascii="宋体" w:hAnsi="宋体" w:eastAsia="宋体" w:cs="宋体"/>
                <w:bCs/>
                <w:sz w:val="24"/>
                <w:szCs w:val="24"/>
              </w:rPr>
            </w:pPr>
          </w:p>
        </w:tc>
        <w:tc>
          <w:tcPr>
            <w:tcW w:w="2740" w:type="dxa"/>
            <w:vAlign w:val="center"/>
          </w:tcPr>
          <w:p w14:paraId="178FE10C">
            <w:pPr>
              <w:jc w:val="center"/>
              <w:rPr>
                <w:rFonts w:hint="eastAsia" w:ascii="宋体" w:hAnsi="宋体" w:eastAsia="宋体" w:cs="宋体"/>
                <w:bCs/>
                <w:sz w:val="24"/>
                <w:szCs w:val="24"/>
              </w:rPr>
            </w:pPr>
          </w:p>
        </w:tc>
        <w:tc>
          <w:tcPr>
            <w:tcW w:w="1512" w:type="dxa"/>
            <w:vAlign w:val="center"/>
          </w:tcPr>
          <w:p w14:paraId="3B0113CA">
            <w:pPr>
              <w:jc w:val="center"/>
              <w:rPr>
                <w:rFonts w:hint="eastAsia" w:ascii="宋体" w:hAnsi="宋体" w:eastAsia="宋体" w:cs="宋体"/>
                <w:bCs/>
                <w:sz w:val="24"/>
                <w:szCs w:val="24"/>
              </w:rPr>
            </w:pPr>
          </w:p>
        </w:tc>
      </w:tr>
      <w:tr w14:paraId="45B62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B07C9BB">
            <w:pPr>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1795" w:type="dxa"/>
            <w:vAlign w:val="center"/>
          </w:tcPr>
          <w:p w14:paraId="4A522D94">
            <w:pPr>
              <w:jc w:val="center"/>
              <w:rPr>
                <w:rFonts w:hint="eastAsia" w:ascii="宋体" w:hAnsi="宋体" w:eastAsia="宋体" w:cs="宋体"/>
                <w:bCs/>
                <w:sz w:val="24"/>
                <w:szCs w:val="24"/>
              </w:rPr>
            </w:pPr>
          </w:p>
        </w:tc>
        <w:tc>
          <w:tcPr>
            <w:tcW w:w="1134" w:type="dxa"/>
            <w:vAlign w:val="center"/>
          </w:tcPr>
          <w:p w14:paraId="04AFDC84">
            <w:pPr>
              <w:jc w:val="center"/>
              <w:rPr>
                <w:rFonts w:hint="eastAsia" w:ascii="宋体" w:hAnsi="宋体" w:eastAsia="宋体" w:cs="宋体"/>
                <w:bCs/>
                <w:sz w:val="24"/>
                <w:szCs w:val="24"/>
              </w:rPr>
            </w:pPr>
          </w:p>
        </w:tc>
        <w:tc>
          <w:tcPr>
            <w:tcW w:w="1134" w:type="dxa"/>
            <w:vAlign w:val="center"/>
          </w:tcPr>
          <w:p w14:paraId="2E352A21">
            <w:pPr>
              <w:jc w:val="center"/>
              <w:rPr>
                <w:rFonts w:hint="eastAsia" w:ascii="宋体" w:hAnsi="宋体" w:eastAsia="宋体" w:cs="宋体"/>
                <w:bCs/>
                <w:sz w:val="24"/>
                <w:szCs w:val="24"/>
              </w:rPr>
            </w:pPr>
          </w:p>
        </w:tc>
        <w:tc>
          <w:tcPr>
            <w:tcW w:w="709" w:type="dxa"/>
            <w:vAlign w:val="center"/>
          </w:tcPr>
          <w:p w14:paraId="0F7CB5DA">
            <w:pPr>
              <w:jc w:val="center"/>
              <w:rPr>
                <w:rFonts w:hint="eastAsia" w:ascii="宋体" w:hAnsi="宋体" w:eastAsia="宋体" w:cs="宋体"/>
                <w:bCs/>
                <w:sz w:val="24"/>
                <w:szCs w:val="24"/>
              </w:rPr>
            </w:pPr>
          </w:p>
        </w:tc>
        <w:tc>
          <w:tcPr>
            <w:tcW w:w="2740" w:type="dxa"/>
            <w:vAlign w:val="center"/>
          </w:tcPr>
          <w:p w14:paraId="5DAAC17C">
            <w:pPr>
              <w:jc w:val="center"/>
              <w:rPr>
                <w:rFonts w:hint="eastAsia" w:ascii="宋体" w:hAnsi="宋体" w:eastAsia="宋体" w:cs="宋体"/>
                <w:bCs/>
                <w:sz w:val="24"/>
                <w:szCs w:val="24"/>
              </w:rPr>
            </w:pPr>
          </w:p>
        </w:tc>
        <w:tc>
          <w:tcPr>
            <w:tcW w:w="1512" w:type="dxa"/>
            <w:vAlign w:val="center"/>
          </w:tcPr>
          <w:p w14:paraId="5DD3A8DA">
            <w:pPr>
              <w:jc w:val="center"/>
              <w:rPr>
                <w:rFonts w:hint="eastAsia" w:ascii="宋体" w:hAnsi="宋体" w:eastAsia="宋体" w:cs="宋体"/>
                <w:bCs/>
                <w:sz w:val="24"/>
                <w:szCs w:val="24"/>
              </w:rPr>
            </w:pPr>
          </w:p>
        </w:tc>
      </w:tr>
      <w:tr w14:paraId="61528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7553A6E2">
            <w:pPr>
              <w:jc w:val="center"/>
              <w:rPr>
                <w:rFonts w:hint="eastAsia" w:ascii="宋体" w:hAnsi="宋体" w:eastAsia="宋体" w:cs="宋体"/>
                <w:bCs/>
                <w:sz w:val="24"/>
                <w:szCs w:val="24"/>
              </w:rPr>
            </w:pPr>
            <w:r>
              <w:rPr>
                <w:rFonts w:hint="eastAsia" w:ascii="宋体" w:hAnsi="宋体" w:eastAsia="宋体" w:cs="宋体"/>
                <w:bCs/>
                <w:sz w:val="24"/>
                <w:szCs w:val="24"/>
              </w:rPr>
              <w:t>……</w:t>
            </w:r>
          </w:p>
        </w:tc>
        <w:tc>
          <w:tcPr>
            <w:tcW w:w="1795" w:type="dxa"/>
            <w:vAlign w:val="center"/>
          </w:tcPr>
          <w:p w14:paraId="6D9CF6DE">
            <w:pPr>
              <w:spacing w:line="360" w:lineRule="exact"/>
              <w:jc w:val="center"/>
              <w:rPr>
                <w:rFonts w:hint="eastAsia" w:ascii="宋体" w:hAnsi="宋体" w:eastAsia="宋体" w:cs="宋体"/>
                <w:bCs/>
                <w:sz w:val="24"/>
                <w:szCs w:val="24"/>
              </w:rPr>
            </w:pPr>
          </w:p>
        </w:tc>
        <w:tc>
          <w:tcPr>
            <w:tcW w:w="1134" w:type="dxa"/>
            <w:vAlign w:val="center"/>
          </w:tcPr>
          <w:p w14:paraId="7171F5D9">
            <w:pPr>
              <w:jc w:val="center"/>
              <w:rPr>
                <w:rFonts w:hint="eastAsia" w:ascii="宋体" w:hAnsi="宋体" w:eastAsia="宋体" w:cs="宋体"/>
                <w:bCs/>
                <w:sz w:val="24"/>
                <w:szCs w:val="24"/>
              </w:rPr>
            </w:pPr>
          </w:p>
        </w:tc>
        <w:tc>
          <w:tcPr>
            <w:tcW w:w="1134" w:type="dxa"/>
            <w:vAlign w:val="center"/>
          </w:tcPr>
          <w:p w14:paraId="25358A72">
            <w:pPr>
              <w:jc w:val="center"/>
              <w:rPr>
                <w:rFonts w:hint="eastAsia" w:ascii="宋体" w:hAnsi="宋体" w:eastAsia="宋体" w:cs="宋体"/>
                <w:bCs/>
                <w:sz w:val="24"/>
                <w:szCs w:val="24"/>
              </w:rPr>
            </w:pPr>
          </w:p>
        </w:tc>
        <w:tc>
          <w:tcPr>
            <w:tcW w:w="709" w:type="dxa"/>
            <w:vAlign w:val="center"/>
          </w:tcPr>
          <w:p w14:paraId="7B1EF189">
            <w:pPr>
              <w:jc w:val="center"/>
              <w:rPr>
                <w:rFonts w:hint="eastAsia" w:ascii="宋体" w:hAnsi="宋体" w:eastAsia="宋体" w:cs="宋体"/>
                <w:bCs/>
                <w:sz w:val="24"/>
                <w:szCs w:val="24"/>
              </w:rPr>
            </w:pPr>
          </w:p>
        </w:tc>
        <w:tc>
          <w:tcPr>
            <w:tcW w:w="2740" w:type="dxa"/>
            <w:vAlign w:val="center"/>
          </w:tcPr>
          <w:p w14:paraId="67841283">
            <w:pPr>
              <w:jc w:val="center"/>
              <w:rPr>
                <w:rFonts w:hint="eastAsia" w:ascii="宋体" w:hAnsi="宋体" w:eastAsia="宋体" w:cs="宋体"/>
                <w:bCs/>
                <w:sz w:val="24"/>
                <w:szCs w:val="24"/>
              </w:rPr>
            </w:pPr>
          </w:p>
        </w:tc>
        <w:tc>
          <w:tcPr>
            <w:tcW w:w="1512" w:type="dxa"/>
            <w:vAlign w:val="center"/>
          </w:tcPr>
          <w:p w14:paraId="3DE50E6B">
            <w:pPr>
              <w:jc w:val="center"/>
              <w:rPr>
                <w:rFonts w:hint="eastAsia" w:ascii="宋体" w:hAnsi="宋体" w:eastAsia="宋体" w:cs="宋体"/>
                <w:bCs/>
                <w:sz w:val="24"/>
                <w:szCs w:val="24"/>
              </w:rPr>
            </w:pPr>
          </w:p>
        </w:tc>
      </w:tr>
      <w:tr w14:paraId="28A6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88" w:type="dxa"/>
            <w:vAlign w:val="center"/>
          </w:tcPr>
          <w:p w14:paraId="6091D9F9">
            <w:pPr>
              <w:jc w:val="center"/>
              <w:rPr>
                <w:rFonts w:hint="eastAsia" w:ascii="宋体" w:hAnsi="宋体" w:eastAsia="宋体" w:cs="宋体"/>
                <w:bCs/>
                <w:sz w:val="24"/>
                <w:szCs w:val="24"/>
              </w:rPr>
            </w:pPr>
            <w:r>
              <w:rPr>
                <w:rFonts w:hint="eastAsia" w:ascii="宋体" w:hAnsi="宋体" w:eastAsia="宋体" w:cs="宋体"/>
                <w:bCs/>
                <w:sz w:val="24"/>
                <w:szCs w:val="24"/>
              </w:rPr>
              <w:t>（二）</w:t>
            </w:r>
          </w:p>
        </w:tc>
        <w:tc>
          <w:tcPr>
            <w:tcW w:w="9024" w:type="dxa"/>
            <w:gridSpan w:val="6"/>
            <w:vAlign w:val="center"/>
          </w:tcPr>
          <w:p w14:paraId="32BB1726">
            <w:pPr>
              <w:jc w:val="left"/>
              <w:rPr>
                <w:rFonts w:hint="eastAsia" w:ascii="宋体" w:hAnsi="宋体" w:eastAsia="宋体" w:cs="宋体"/>
                <w:bCs/>
                <w:sz w:val="24"/>
                <w:szCs w:val="24"/>
              </w:rPr>
            </w:pPr>
            <w:r>
              <w:rPr>
                <w:rFonts w:hint="eastAsia" w:ascii="宋体" w:hAnsi="宋体" w:eastAsia="宋体" w:cs="宋体"/>
                <w:sz w:val="24"/>
                <w:szCs w:val="24"/>
                <w:lang w:val="en-US" w:eastAsia="zh-CN"/>
              </w:rPr>
              <w:t>中间库设备及系统</w:t>
            </w:r>
          </w:p>
        </w:tc>
      </w:tr>
      <w:tr w14:paraId="4943E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77774CD">
            <w:pPr>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1795" w:type="dxa"/>
            <w:vAlign w:val="center"/>
          </w:tcPr>
          <w:p w14:paraId="03F66128">
            <w:pPr>
              <w:spacing w:line="360" w:lineRule="exact"/>
              <w:jc w:val="center"/>
              <w:rPr>
                <w:rFonts w:hint="eastAsia" w:ascii="宋体" w:hAnsi="宋体" w:eastAsia="宋体" w:cs="宋体"/>
                <w:bCs/>
                <w:sz w:val="24"/>
                <w:szCs w:val="24"/>
              </w:rPr>
            </w:pPr>
            <w:r>
              <w:rPr>
                <w:rFonts w:hint="eastAsia" w:ascii="宋体" w:hAnsi="宋体" w:eastAsia="宋体" w:cs="宋体"/>
                <w:bCs/>
                <w:sz w:val="24"/>
                <w:szCs w:val="24"/>
              </w:rPr>
              <w:t>设备工具名称</w:t>
            </w:r>
          </w:p>
        </w:tc>
        <w:tc>
          <w:tcPr>
            <w:tcW w:w="1134" w:type="dxa"/>
            <w:vAlign w:val="center"/>
          </w:tcPr>
          <w:p w14:paraId="054A46C2">
            <w:pPr>
              <w:jc w:val="center"/>
              <w:rPr>
                <w:rFonts w:hint="eastAsia" w:ascii="宋体" w:hAnsi="宋体" w:eastAsia="宋体" w:cs="宋体"/>
                <w:bCs/>
                <w:sz w:val="24"/>
                <w:szCs w:val="24"/>
              </w:rPr>
            </w:pPr>
            <w:r>
              <w:rPr>
                <w:rFonts w:hint="eastAsia" w:ascii="宋体" w:hAnsi="宋体" w:eastAsia="宋体" w:cs="宋体"/>
                <w:bCs/>
                <w:sz w:val="24"/>
                <w:szCs w:val="24"/>
              </w:rPr>
              <w:t>品牌型号</w:t>
            </w:r>
          </w:p>
        </w:tc>
        <w:tc>
          <w:tcPr>
            <w:tcW w:w="1134" w:type="dxa"/>
            <w:vAlign w:val="center"/>
          </w:tcPr>
          <w:p w14:paraId="51C81D91">
            <w:pPr>
              <w:jc w:val="center"/>
              <w:rPr>
                <w:rFonts w:hint="eastAsia" w:ascii="宋体" w:hAnsi="宋体" w:eastAsia="宋体" w:cs="宋体"/>
                <w:bCs/>
                <w:sz w:val="24"/>
                <w:szCs w:val="24"/>
              </w:rPr>
            </w:pPr>
            <w:r>
              <w:rPr>
                <w:rFonts w:hint="eastAsia" w:ascii="宋体" w:hAnsi="宋体" w:eastAsia="宋体" w:cs="宋体"/>
                <w:bCs/>
                <w:sz w:val="24"/>
                <w:szCs w:val="24"/>
              </w:rPr>
              <w:t>生产厂家</w:t>
            </w:r>
          </w:p>
        </w:tc>
        <w:tc>
          <w:tcPr>
            <w:tcW w:w="709" w:type="dxa"/>
            <w:vAlign w:val="center"/>
          </w:tcPr>
          <w:p w14:paraId="021842E7">
            <w:pPr>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2740" w:type="dxa"/>
            <w:vAlign w:val="center"/>
          </w:tcPr>
          <w:p w14:paraId="71F0449C">
            <w:pPr>
              <w:jc w:val="center"/>
              <w:rPr>
                <w:rFonts w:hint="eastAsia" w:ascii="宋体" w:hAnsi="宋体" w:eastAsia="宋体" w:cs="宋体"/>
                <w:bCs/>
                <w:sz w:val="24"/>
                <w:szCs w:val="24"/>
              </w:rPr>
            </w:pPr>
            <w:r>
              <w:rPr>
                <w:rFonts w:hint="eastAsia" w:ascii="宋体" w:hAnsi="宋体" w:eastAsia="宋体" w:cs="宋体"/>
                <w:bCs/>
                <w:sz w:val="24"/>
                <w:szCs w:val="24"/>
              </w:rPr>
              <w:t>设备、工具等主要技术性能参数</w:t>
            </w:r>
          </w:p>
        </w:tc>
        <w:tc>
          <w:tcPr>
            <w:tcW w:w="1512" w:type="dxa"/>
            <w:vAlign w:val="center"/>
          </w:tcPr>
          <w:p w14:paraId="2DED23A6">
            <w:pPr>
              <w:jc w:val="center"/>
              <w:rPr>
                <w:rFonts w:hint="eastAsia" w:ascii="宋体" w:hAnsi="宋体" w:eastAsia="宋体" w:cs="宋体"/>
                <w:bCs/>
                <w:sz w:val="24"/>
                <w:szCs w:val="24"/>
              </w:rPr>
            </w:pPr>
            <w:r>
              <w:rPr>
                <w:rFonts w:hint="eastAsia" w:ascii="宋体" w:hAnsi="宋体" w:eastAsia="宋体" w:cs="宋体"/>
                <w:bCs/>
                <w:sz w:val="24"/>
                <w:szCs w:val="24"/>
              </w:rPr>
              <w:t>备注</w:t>
            </w:r>
          </w:p>
        </w:tc>
      </w:tr>
      <w:tr w14:paraId="162D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3788503">
            <w:pPr>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1795" w:type="dxa"/>
            <w:vAlign w:val="center"/>
          </w:tcPr>
          <w:p w14:paraId="09EF30A4">
            <w:pPr>
              <w:spacing w:line="360" w:lineRule="exact"/>
              <w:jc w:val="center"/>
              <w:rPr>
                <w:rFonts w:hint="eastAsia" w:ascii="宋体" w:hAnsi="宋体" w:eastAsia="宋体" w:cs="宋体"/>
                <w:bCs/>
                <w:sz w:val="24"/>
                <w:szCs w:val="24"/>
              </w:rPr>
            </w:pPr>
          </w:p>
        </w:tc>
        <w:tc>
          <w:tcPr>
            <w:tcW w:w="1134" w:type="dxa"/>
            <w:vAlign w:val="center"/>
          </w:tcPr>
          <w:p w14:paraId="73C88373">
            <w:pPr>
              <w:jc w:val="center"/>
              <w:rPr>
                <w:rFonts w:hint="eastAsia" w:ascii="宋体" w:hAnsi="宋体" w:eastAsia="宋体" w:cs="宋体"/>
                <w:bCs/>
                <w:sz w:val="24"/>
                <w:szCs w:val="24"/>
              </w:rPr>
            </w:pPr>
          </w:p>
        </w:tc>
        <w:tc>
          <w:tcPr>
            <w:tcW w:w="1134" w:type="dxa"/>
            <w:vAlign w:val="center"/>
          </w:tcPr>
          <w:p w14:paraId="0EBDB535">
            <w:pPr>
              <w:jc w:val="center"/>
              <w:rPr>
                <w:rFonts w:hint="eastAsia" w:ascii="宋体" w:hAnsi="宋体" w:eastAsia="宋体" w:cs="宋体"/>
                <w:bCs/>
                <w:sz w:val="24"/>
                <w:szCs w:val="24"/>
              </w:rPr>
            </w:pPr>
          </w:p>
        </w:tc>
        <w:tc>
          <w:tcPr>
            <w:tcW w:w="709" w:type="dxa"/>
            <w:vAlign w:val="center"/>
          </w:tcPr>
          <w:p w14:paraId="4819DF05">
            <w:pPr>
              <w:jc w:val="center"/>
              <w:rPr>
                <w:rFonts w:hint="eastAsia" w:ascii="宋体" w:hAnsi="宋体" w:eastAsia="宋体" w:cs="宋体"/>
                <w:bCs/>
                <w:sz w:val="24"/>
                <w:szCs w:val="24"/>
              </w:rPr>
            </w:pPr>
          </w:p>
        </w:tc>
        <w:tc>
          <w:tcPr>
            <w:tcW w:w="2740" w:type="dxa"/>
            <w:vAlign w:val="center"/>
          </w:tcPr>
          <w:p w14:paraId="46BBEE14">
            <w:pPr>
              <w:jc w:val="center"/>
              <w:rPr>
                <w:rFonts w:hint="eastAsia" w:ascii="宋体" w:hAnsi="宋体" w:eastAsia="宋体" w:cs="宋体"/>
                <w:bCs/>
                <w:sz w:val="24"/>
                <w:szCs w:val="24"/>
              </w:rPr>
            </w:pPr>
          </w:p>
        </w:tc>
        <w:tc>
          <w:tcPr>
            <w:tcW w:w="1512" w:type="dxa"/>
            <w:vAlign w:val="center"/>
          </w:tcPr>
          <w:p w14:paraId="4301A3C7">
            <w:pPr>
              <w:jc w:val="center"/>
              <w:rPr>
                <w:rFonts w:hint="eastAsia" w:ascii="宋体" w:hAnsi="宋体" w:eastAsia="宋体" w:cs="宋体"/>
                <w:bCs/>
                <w:sz w:val="24"/>
                <w:szCs w:val="24"/>
              </w:rPr>
            </w:pPr>
          </w:p>
        </w:tc>
      </w:tr>
      <w:tr w14:paraId="27E33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7A75695D">
            <w:pPr>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1795" w:type="dxa"/>
            <w:vAlign w:val="center"/>
          </w:tcPr>
          <w:p w14:paraId="61807067">
            <w:pPr>
              <w:spacing w:line="360" w:lineRule="exact"/>
              <w:jc w:val="center"/>
              <w:rPr>
                <w:rFonts w:hint="eastAsia" w:ascii="宋体" w:hAnsi="宋体" w:eastAsia="宋体" w:cs="宋体"/>
                <w:bCs/>
                <w:sz w:val="24"/>
                <w:szCs w:val="24"/>
              </w:rPr>
            </w:pPr>
          </w:p>
        </w:tc>
        <w:tc>
          <w:tcPr>
            <w:tcW w:w="1134" w:type="dxa"/>
            <w:vAlign w:val="center"/>
          </w:tcPr>
          <w:p w14:paraId="55E6015A">
            <w:pPr>
              <w:jc w:val="center"/>
              <w:rPr>
                <w:rFonts w:hint="eastAsia" w:ascii="宋体" w:hAnsi="宋体" w:eastAsia="宋体" w:cs="宋体"/>
                <w:bCs/>
                <w:sz w:val="24"/>
                <w:szCs w:val="24"/>
              </w:rPr>
            </w:pPr>
          </w:p>
        </w:tc>
        <w:tc>
          <w:tcPr>
            <w:tcW w:w="1134" w:type="dxa"/>
            <w:vAlign w:val="center"/>
          </w:tcPr>
          <w:p w14:paraId="2BF120D0">
            <w:pPr>
              <w:jc w:val="center"/>
              <w:rPr>
                <w:rFonts w:hint="eastAsia" w:ascii="宋体" w:hAnsi="宋体" w:eastAsia="宋体" w:cs="宋体"/>
                <w:bCs/>
                <w:sz w:val="24"/>
                <w:szCs w:val="24"/>
              </w:rPr>
            </w:pPr>
          </w:p>
        </w:tc>
        <w:tc>
          <w:tcPr>
            <w:tcW w:w="709" w:type="dxa"/>
            <w:vAlign w:val="center"/>
          </w:tcPr>
          <w:p w14:paraId="214CAF0C">
            <w:pPr>
              <w:jc w:val="center"/>
              <w:rPr>
                <w:rFonts w:hint="eastAsia" w:ascii="宋体" w:hAnsi="宋体" w:eastAsia="宋体" w:cs="宋体"/>
                <w:bCs/>
                <w:sz w:val="24"/>
                <w:szCs w:val="24"/>
              </w:rPr>
            </w:pPr>
          </w:p>
        </w:tc>
        <w:tc>
          <w:tcPr>
            <w:tcW w:w="2740" w:type="dxa"/>
            <w:vAlign w:val="center"/>
          </w:tcPr>
          <w:p w14:paraId="5CA56208">
            <w:pPr>
              <w:jc w:val="center"/>
              <w:rPr>
                <w:rFonts w:hint="eastAsia" w:ascii="宋体" w:hAnsi="宋体" w:eastAsia="宋体" w:cs="宋体"/>
                <w:bCs/>
                <w:sz w:val="24"/>
                <w:szCs w:val="24"/>
              </w:rPr>
            </w:pPr>
          </w:p>
        </w:tc>
        <w:tc>
          <w:tcPr>
            <w:tcW w:w="1512" w:type="dxa"/>
            <w:vAlign w:val="center"/>
          </w:tcPr>
          <w:p w14:paraId="736363E7">
            <w:pPr>
              <w:jc w:val="center"/>
              <w:rPr>
                <w:rFonts w:hint="eastAsia" w:ascii="宋体" w:hAnsi="宋体" w:eastAsia="宋体" w:cs="宋体"/>
                <w:bCs/>
                <w:sz w:val="24"/>
                <w:szCs w:val="24"/>
              </w:rPr>
            </w:pPr>
          </w:p>
        </w:tc>
      </w:tr>
      <w:tr w14:paraId="2F442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9D3B148">
            <w:pPr>
              <w:jc w:val="center"/>
              <w:rPr>
                <w:rFonts w:hint="eastAsia" w:ascii="宋体" w:hAnsi="宋体" w:eastAsia="宋体" w:cs="宋体"/>
                <w:bCs/>
                <w:sz w:val="24"/>
                <w:szCs w:val="24"/>
              </w:rPr>
            </w:pPr>
            <w:r>
              <w:rPr>
                <w:rFonts w:hint="eastAsia" w:ascii="宋体" w:hAnsi="宋体" w:eastAsia="宋体" w:cs="宋体"/>
                <w:bCs/>
                <w:sz w:val="24"/>
                <w:szCs w:val="24"/>
              </w:rPr>
              <w:t>……</w:t>
            </w:r>
          </w:p>
        </w:tc>
        <w:tc>
          <w:tcPr>
            <w:tcW w:w="1795" w:type="dxa"/>
            <w:vAlign w:val="center"/>
          </w:tcPr>
          <w:p w14:paraId="71E42A4C">
            <w:pPr>
              <w:spacing w:line="360" w:lineRule="exact"/>
              <w:jc w:val="center"/>
              <w:rPr>
                <w:rFonts w:hint="eastAsia" w:ascii="宋体" w:hAnsi="宋体" w:eastAsia="宋体" w:cs="宋体"/>
                <w:bCs/>
                <w:sz w:val="24"/>
                <w:szCs w:val="24"/>
              </w:rPr>
            </w:pPr>
          </w:p>
        </w:tc>
        <w:tc>
          <w:tcPr>
            <w:tcW w:w="1134" w:type="dxa"/>
            <w:vAlign w:val="center"/>
          </w:tcPr>
          <w:p w14:paraId="22581307">
            <w:pPr>
              <w:jc w:val="center"/>
              <w:rPr>
                <w:rFonts w:hint="eastAsia" w:ascii="宋体" w:hAnsi="宋体" w:eastAsia="宋体" w:cs="宋体"/>
                <w:bCs/>
                <w:sz w:val="24"/>
                <w:szCs w:val="24"/>
              </w:rPr>
            </w:pPr>
          </w:p>
        </w:tc>
        <w:tc>
          <w:tcPr>
            <w:tcW w:w="1134" w:type="dxa"/>
            <w:vAlign w:val="center"/>
          </w:tcPr>
          <w:p w14:paraId="24C58ED6">
            <w:pPr>
              <w:jc w:val="center"/>
              <w:rPr>
                <w:rFonts w:hint="eastAsia" w:ascii="宋体" w:hAnsi="宋体" w:eastAsia="宋体" w:cs="宋体"/>
                <w:bCs/>
                <w:sz w:val="24"/>
                <w:szCs w:val="24"/>
              </w:rPr>
            </w:pPr>
          </w:p>
        </w:tc>
        <w:tc>
          <w:tcPr>
            <w:tcW w:w="709" w:type="dxa"/>
            <w:vAlign w:val="center"/>
          </w:tcPr>
          <w:p w14:paraId="471CF042">
            <w:pPr>
              <w:jc w:val="center"/>
              <w:rPr>
                <w:rFonts w:hint="eastAsia" w:ascii="宋体" w:hAnsi="宋体" w:eastAsia="宋体" w:cs="宋体"/>
                <w:bCs/>
                <w:sz w:val="24"/>
                <w:szCs w:val="24"/>
              </w:rPr>
            </w:pPr>
          </w:p>
        </w:tc>
        <w:tc>
          <w:tcPr>
            <w:tcW w:w="2740" w:type="dxa"/>
            <w:vAlign w:val="center"/>
          </w:tcPr>
          <w:p w14:paraId="7F7AB6BC">
            <w:pPr>
              <w:jc w:val="center"/>
              <w:rPr>
                <w:rFonts w:hint="eastAsia" w:ascii="宋体" w:hAnsi="宋体" w:eastAsia="宋体" w:cs="宋体"/>
                <w:bCs/>
                <w:sz w:val="24"/>
                <w:szCs w:val="24"/>
              </w:rPr>
            </w:pPr>
          </w:p>
        </w:tc>
        <w:tc>
          <w:tcPr>
            <w:tcW w:w="1512" w:type="dxa"/>
            <w:vAlign w:val="center"/>
          </w:tcPr>
          <w:p w14:paraId="5DBE04DC">
            <w:pPr>
              <w:jc w:val="center"/>
              <w:rPr>
                <w:rFonts w:hint="eastAsia" w:ascii="宋体" w:hAnsi="宋体" w:eastAsia="宋体" w:cs="宋体"/>
                <w:bCs/>
                <w:sz w:val="24"/>
                <w:szCs w:val="24"/>
              </w:rPr>
            </w:pPr>
          </w:p>
        </w:tc>
      </w:tr>
      <w:tr w14:paraId="1D768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88" w:type="dxa"/>
            <w:vAlign w:val="center"/>
          </w:tcPr>
          <w:p w14:paraId="1325B06E">
            <w:pPr>
              <w:jc w:val="center"/>
              <w:rPr>
                <w:rFonts w:hint="eastAsia" w:ascii="宋体" w:hAnsi="宋体" w:eastAsia="宋体" w:cs="宋体"/>
                <w:bCs/>
                <w:sz w:val="24"/>
                <w:szCs w:val="24"/>
              </w:rPr>
            </w:pPr>
            <w:r>
              <w:rPr>
                <w:rFonts w:hint="eastAsia" w:ascii="宋体" w:hAnsi="宋体" w:eastAsia="宋体" w:cs="宋体"/>
                <w:bCs/>
                <w:sz w:val="24"/>
                <w:szCs w:val="24"/>
              </w:rPr>
              <w:t>（三）</w:t>
            </w:r>
          </w:p>
        </w:tc>
        <w:tc>
          <w:tcPr>
            <w:tcW w:w="9024" w:type="dxa"/>
            <w:gridSpan w:val="6"/>
            <w:vAlign w:val="center"/>
          </w:tcPr>
          <w:p w14:paraId="6D84FF2C">
            <w:pPr>
              <w:jc w:val="left"/>
              <w:rPr>
                <w:rFonts w:hint="eastAsia" w:ascii="宋体" w:hAnsi="宋体" w:eastAsia="宋体" w:cs="宋体"/>
                <w:bCs/>
                <w:sz w:val="24"/>
                <w:szCs w:val="24"/>
              </w:rPr>
            </w:pPr>
            <w:r>
              <w:rPr>
                <w:rFonts w:hint="eastAsia" w:ascii="宋体" w:hAnsi="宋体" w:eastAsia="宋体" w:cs="宋体"/>
                <w:color w:val="000000"/>
                <w:sz w:val="24"/>
                <w:szCs w:val="24"/>
              </w:rPr>
              <w:t>电子卷宗随案生成软件</w:t>
            </w:r>
          </w:p>
        </w:tc>
      </w:tr>
      <w:tr w14:paraId="1F70A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720E0382">
            <w:pPr>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1795" w:type="dxa"/>
            <w:vAlign w:val="center"/>
          </w:tcPr>
          <w:p w14:paraId="74D451D9">
            <w:pPr>
              <w:spacing w:line="360" w:lineRule="exact"/>
              <w:jc w:val="center"/>
              <w:rPr>
                <w:rFonts w:hint="eastAsia" w:ascii="宋体" w:hAnsi="宋体" w:eastAsia="宋体" w:cs="宋体"/>
                <w:bCs/>
                <w:sz w:val="24"/>
                <w:szCs w:val="24"/>
              </w:rPr>
            </w:pPr>
            <w:r>
              <w:rPr>
                <w:rFonts w:hint="eastAsia" w:ascii="宋体" w:hAnsi="宋体" w:eastAsia="宋体" w:cs="宋体"/>
                <w:bCs/>
                <w:sz w:val="24"/>
                <w:szCs w:val="24"/>
              </w:rPr>
              <w:t>设备工具名称</w:t>
            </w:r>
          </w:p>
        </w:tc>
        <w:tc>
          <w:tcPr>
            <w:tcW w:w="1134" w:type="dxa"/>
            <w:vAlign w:val="center"/>
          </w:tcPr>
          <w:p w14:paraId="02D46B99">
            <w:pPr>
              <w:jc w:val="center"/>
              <w:rPr>
                <w:rFonts w:hint="eastAsia" w:ascii="宋体" w:hAnsi="宋体" w:eastAsia="宋体" w:cs="宋体"/>
                <w:bCs/>
                <w:sz w:val="24"/>
                <w:szCs w:val="24"/>
              </w:rPr>
            </w:pPr>
            <w:r>
              <w:rPr>
                <w:rFonts w:hint="eastAsia" w:ascii="宋体" w:hAnsi="宋体" w:eastAsia="宋体" w:cs="宋体"/>
                <w:bCs/>
                <w:sz w:val="24"/>
                <w:szCs w:val="24"/>
              </w:rPr>
              <w:t>品牌型号</w:t>
            </w:r>
          </w:p>
        </w:tc>
        <w:tc>
          <w:tcPr>
            <w:tcW w:w="1134" w:type="dxa"/>
            <w:vAlign w:val="center"/>
          </w:tcPr>
          <w:p w14:paraId="1C853D98">
            <w:pPr>
              <w:jc w:val="center"/>
              <w:rPr>
                <w:rFonts w:hint="eastAsia" w:ascii="宋体" w:hAnsi="宋体" w:eastAsia="宋体" w:cs="宋体"/>
                <w:bCs/>
                <w:sz w:val="24"/>
                <w:szCs w:val="24"/>
              </w:rPr>
            </w:pPr>
            <w:r>
              <w:rPr>
                <w:rFonts w:hint="eastAsia" w:ascii="宋体" w:hAnsi="宋体" w:eastAsia="宋体" w:cs="宋体"/>
                <w:bCs/>
                <w:sz w:val="24"/>
                <w:szCs w:val="24"/>
              </w:rPr>
              <w:t>生产厂家</w:t>
            </w:r>
          </w:p>
        </w:tc>
        <w:tc>
          <w:tcPr>
            <w:tcW w:w="709" w:type="dxa"/>
            <w:vAlign w:val="center"/>
          </w:tcPr>
          <w:p w14:paraId="3BE9BF06">
            <w:pPr>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2740" w:type="dxa"/>
            <w:vAlign w:val="center"/>
          </w:tcPr>
          <w:p w14:paraId="2DC78A2E">
            <w:pPr>
              <w:jc w:val="center"/>
              <w:rPr>
                <w:rFonts w:hint="eastAsia" w:ascii="宋体" w:hAnsi="宋体" w:eastAsia="宋体" w:cs="宋体"/>
                <w:bCs/>
                <w:sz w:val="24"/>
                <w:szCs w:val="24"/>
              </w:rPr>
            </w:pPr>
            <w:r>
              <w:rPr>
                <w:rFonts w:hint="eastAsia" w:ascii="宋体" w:hAnsi="宋体" w:eastAsia="宋体" w:cs="宋体"/>
                <w:bCs/>
                <w:sz w:val="24"/>
                <w:szCs w:val="24"/>
              </w:rPr>
              <w:t>设备、工具等主要技术性能参数</w:t>
            </w:r>
          </w:p>
        </w:tc>
        <w:tc>
          <w:tcPr>
            <w:tcW w:w="1512" w:type="dxa"/>
            <w:vAlign w:val="center"/>
          </w:tcPr>
          <w:p w14:paraId="469E2926">
            <w:pPr>
              <w:jc w:val="center"/>
              <w:rPr>
                <w:rFonts w:hint="eastAsia" w:ascii="宋体" w:hAnsi="宋体" w:eastAsia="宋体" w:cs="宋体"/>
                <w:bCs/>
                <w:sz w:val="24"/>
                <w:szCs w:val="24"/>
              </w:rPr>
            </w:pPr>
            <w:r>
              <w:rPr>
                <w:rFonts w:hint="eastAsia" w:ascii="宋体" w:hAnsi="宋体" w:eastAsia="宋体" w:cs="宋体"/>
                <w:bCs/>
                <w:sz w:val="24"/>
                <w:szCs w:val="24"/>
              </w:rPr>
              <w:t>备注</w:t>
            </w:r>
          </w:p>
        </w:tc>
      </w:tr>
      <w:tr w14:paraId="7E6C1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141BC387">
            <w:pPr>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1795" w:type="dxa"/>
            <w:vAlign w:val="center"/>
          </w:tcPr>
          <w:p w14:paraId="09F6E066">
            <w:pPr>
              <w:spacing w:line="360" w:lineRule="exact"/>
              <w:jc w:val="center"/>
              <w:rPr>
                <w:rFonts w:hint="eastAsia" w:ascii="宋体" w:hAnsi="宋体" w:eastAsia="宋体" w:cs="宋体"/>
                <w:bCs/>
                <w:sz w:val="24"/>
                <w:szCs w:val="24"/>
              </w:rPr>
            </w:pPr>
          </w:p>
        </w:tc>
        <w:tc>
          <w:tcPr>
            <w:tcW w:w="1134" w:type="dxa"/>
            <w:vAlign w:val="center"/>
          </w:tcPr>
          <w:p w14:paraId="4E84C00E">
            <w:pPr>
              <w:jc w:val="center"/>
              <w:rPr>
                <w:rFonts w:hint="eastAsia" w:ascii="宋体" w:hAnsi="宋体" w:eastAsia="宋体" w:cs="宋体"/>
                <w:bCs/>
                <w:sz w:val="24"/>
                <w:szCs w:val="24"/>
              </w:rPr>
            </w:pPr>
          </w:p>
        </w:tc>
        <w:tc>
          <w:tcPr>
            <w:tcW w:w="1134" w:type="dxa"/>
            <w:vAlign w:val="center"/>
          </w:tcPr>
          <w:p w14:paraId="7CEE2A5F">
            <w:pPr>
              <w:jc w:val="center"/>
              <w:rPr>
                <w:rFonts w:hint="eastAsia" w:ascii="宋体" w:hAnsi="宋体" w:eastAsia="宋体" w:cs="宋体"/>
                <w:bCs/>
                <w:sz w:val="24"/>
                <w:szCs w:val="24"/>
              </w:rPr>
            </w:pPr>
          </w:p>
        </w:tc>
        <w:tc>
          <w:tcPr>
            <w:tcW w:w="709" w:type="dxa"/>
            <w:vAlign w:val="center"/>
          </w:tcPr>
          <w:p w14:paraId="566939FB">
            <w:pPr>
              <w:jc w:val="center"/>
              <w:rPr>
                <w:rFonts w:hint="eastAsia" w:ascii="宋体" w:hAnsi="宋体" w:eastAsia="宋体" w:cs="宋体"/>
                <w:bCs/>
                <w:sz w:val="24"/>
                <w:szCs w:val="24"/>
              </w:rPr>
            </w:pPr>
          </w:p>
        </w:tc>
        <w:tc>
          <w:tcPr>
            <w:tcW w:w="2740" w:type="dxa"/>
            <w:vAlign w:val="center"/>
          </w:tcPr>
          <w:p w14:paraId="086F38F5">
            <w:pPr>
              <w:jc w:val="center"/>
              <w:rPr>
                <w:rFonts w:hint="eastAsia" w:ascii="宋体" w:hAnsi="宋体" w:eastAsia="宋体" w:cs="宋体"/>
                <w:bCs/>
                <w:sz w:val="24"/>
                <w:szCs w:val="24"/>
              </w:rPr>
            </w:pPr>
          </w:p>
        </w:tc>
        <w:tc>
          <w:tcPr>
            <w:tcW w:w="1512" w:type="dxa"/>
            <w:vAlign w:val="center"/>
          </w:tcPr>
          <w:p w14:paraId="4F798489">
            <w:pPr>
              <w:jc w:val="center"/>
              <w:rPr>
                <w:rFonts w:hint="eastAsia" w:ascii="宋体" w:hAnsi="宋体" w:eastAsia="宋体" w:cs="宋体"/>
                <w:bCs/>
                <w:sz w:val="24"/>
                <w:szCs w:val="24"/>
              </w:rPr>
            </w:pPr>
          </w:p>
        </w:tc>
      </w:tr>
      <w:tr w14:paraId="1A712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7AF4AE7">
            <w:pPr>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1795" w:type="dxa"/>
            <w:vAlign w:val="center"/>
          </w:tcPr>
          <w:p w14:paraId="358CCD97">
            <w:pPr>
              <w:spacing w:line="360" w:lineRule="exact"/>
              <w:jc w:val="center"/>
              <w:rPr>
                <w:rFonts w:hint="eastAsia" w:ascii="宋体" w:hAnsi="宋体" w:eastAsia="宋体" w:cs="宋体"/>
                <w:bCs/>
                <w:sz w:val="24"/>
                <w:szCs w:val="24"/>
              </w:rPr>
            </w:pPr>
          </w:p>
        </w:tc>
        <w:tc>
          <w:tcPr>
            <w:tcW w:w="1134" w:type="dxa"/>
            <w:vAlign w:val="center"/>
          </w:tcPr>
          <w:p w14:paraId="1D785359">
            <w:pPr>
              <w:jc w:val="center"/>
              <w:rPr>
                <w:rFonts w:hint="eastAsia" w:ascii="宋体" w:hAnsi="宋体" w:eastAsia="宋体" w:cs="宋体"/>
                <w:bCs/>
                <w:sz w:val="24"/>
                <w:szCs w:val="24"/>
              </w:rPr>
            </w:pPr>
          </w:p>
        </w:tc>
        <w:tc>
          <w:tcPr>
            <w:tcW w:w="1134" w:type="dxa"/>
            <w:vAlign w:val="center"/>
          </w:tcPr>
          <w:p w14:paraId="5D867689">
            <w:pPr>
              <w:jc w:val="center"/>
              <w:rPr>
                <w:rFonts w:hint="eastAsia" w:ascii="宋体" w:hAnsi="宋体" w:eastAsia="宋体" w:cs="宋体"/>
                <w:bCs/>
                <w:sz w:val="24"/>
                <w:szCs w:val="24"/>
              </w:rPr>
            </w:pPr>
          </w:p>
        </w:tc>
        <w:tc>
          <w:tcPr>
            <w:tcW w:w="709" w:type="dxa"/>
            <w:vAlign w:val="center"/>
          </w:tcPr>
          <w:p w14:paraId="798F9301">
            <w:pPr>
              <w:jc w:val="center"/>
              <w:rPr>
                <w:rFonts w:hint="eastAsia" w:ascii="宋体" w:hAnsi="宋体" w:eastAsia="宋体" w:cs="宋体"/>
                <w:bCs/>
                <w:sz w:val="24"/>
                <w:szCs w:val="24"/>
              </w:rPr>
            </w:pPr>
          </w:p>
        </w:tc>
        <w:tc>
          <w:tcPr>
            <w:tcW w:w="2740" w:type="dxa"/>
            <w:vAlign w:val="center"/>
          </w:tcPr>
          <w:p w14:paraId="4AA597EB">
            <w:pPr>
              <w:jc w:val="center"/>
              <w:rPr>
                <w:rFonts w:hint="eastAsia" w:ascii="宋体" w:hAnsi="宋体" w:eastAsia="宋体" w:cs="宋体"/>
                <w:bCs/>
                <w:sz w:val="24"/>
                <w:szCs w:val="24"/>
              </w:rPr>
            </w:pPr>
          </w:p>
        </w:tc>
        <w:tc>
          <w:tcPr>
            <w:tcW w:w="1512" w:type="dxa"/>
            <w:vAlign w:val="center"/>
          </w:tcPr>
          <w:p w14:paraId="44A70A32">
            <w:pPr>
              <w:jc w:val="center"/>
              <w:rPr>
                <w:rFonts w:hint="eastAsia" w:ascii="宋体" w:hAnsi="宋体" w:eastAsia="宋体" w:cs="宋体"/>
                <w:bCs/>
                <w:sz w:val="24"/>
                <w:szCs w:val="24"/>
              </w:rPr>
            </w:pPr>
          </w:p>
        </w:tc>
      </w:tr>
      <w:tr w14:paraId="43ABA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307C42B">
            <w:pPr>
              <w:jc w:val="center"/>
              <w:rPr>
                <w:rFonts w:hint="eastAsia" w:ascii="宋体" w:hAnsi="宋体" w:eastAsia="宋体" w:cs="宋体"/>
                <w:bCs/>
                <w:sz w:val="24"/>
                <w:szCs w:val="24"/>
              </w:rPr>
            </w:pPr>
            <w:r>
              <w:rPr>
                <w:rFonts w:hint="eastAsia" w:ascii="宋体" w:hAnsi="宋体" w:eastAsia="宋体" w:cs="宋体"/>
                <w:bCs/>
                <w:sz w:val="24"/>
                <w:szCs w:val="24"/>
              </w:rPr>
              <w:t>……</w:t>
            </w:r>
          </w:p>
        </w:tc>
        <w:tc>
          <w:tcPr>
            <w:tcW w:w="1795" w:type="dxa"/>
            <w:vAlign w:val="center"/>
          </w:tcPr>
          <w:p w14:paraId="5B8654D3">
            <w:pPr>
              <w:spacing w:line="360" w:lineRule="exact"/>
              <w:jc w:val="center"/>
              <w:rPr>
                <w:rFonts w:hint="eastAsia" w:ascii="宋体" w:hAnsi="宋体" w:eastAsia="宋体" w:cs="宋体"/>
                <w:bCs/>
                <w:sz w:val="24"/>
                <w:szCs w:val="24"/>
              </w:rPr>
            </w:pPr>
          </w:p>
        </w:tc>
        <w:tc>
          <w:tcPr>
            <w:tcW w:w="1134" w:type="dxa"/>
            <w:vAlign w:val="center"/>
          </w:tcPr>
          <w:p w14:paraId="1607C1FA">
            <w:pPr>
              <w:jc w:val="center"/>
              <w:rPr>
                <w:rFonts w:hint="eastAsia" w:ascii="宋体" w:hAnsi="宋体" w:eastAsia="宋体" w:cs="宋体"/>
                <w:bCs/>
                <w:sz w:val="24"/>
                <w:szCs w:val="24"/>
              </w:rPr>
            </w:pPr>
          </w:p>
        </w:tc>
        <w:tc>
          <w:tcPr>
            <w:tcW w:w="1134" w:type="dxa"/>
            <w:vAlign w:val="center"/>
          </w:tcPr>
          <w:p w14:paraId="5A58C4AE">
            <w:pPr>
              <w:jc w:val="center"/>
              <w:rPr>
                <w:rFonts w:hint="eastAsia" w:ascii="宋体" w:hAnsi="宋体" w:eastAsia="宋体" w:cs="宋体"/>
                <w:bCs/>
                <w:sz w:val="24"/>
                <w:szCs w:val="24"/>
              </w:rPr>
            </w:pPr>
          </w:p>
        </w:tc>
        <w:tc>
          <w:tcPr>
            <w:tcW w:w="709" w:type="dxa"/>
            <w:vAlign w:val="center"/>
          </w:tcPr>
          <w:p w14:paraId="4F89F9EE">
            <w:pPr>
              <w:jc w:val="center"/>
              <w:rPr>
                <w:rFonts w:hint="eastAsia" w:ascii="宋体" w:hAnsi="宋体" w:eastAsia="宋体" w:cs="宋体"/>
                <w:bCs/>
                <w:sz w:val="24"/>
                <w:szCs w:val="24"/>
              </w:rPr>
            </w:pPr>
          </w:p>
        </w:tc>
        <w:tc>
          <w:tcPr>
            <w:tcW w:w="2740" w:type="dxa"/>
            <w:vAlign w:val="center"/>
          </w:tcPr>
          <w:p w14:paraId="024A700A">
            <w:pPr>
              <w:jc w:val="center"/>
              <w:rPr>
                <w:rFonts w:hint="eastAsia" w:ascii="宋体" w:hAnsi="宋体" w:eastAsia="宋体" w:cs="宋体"/>
                <w:bCs/>
                <w:sz w:val="24"/>
                <w:szCs w:val="24"/>
              </w:rPr>
            </w:pPr>
          </w:p>
        </w:tc>
        <w:tc>
          <w:tcPr>
            <w:tcW w:w="1512" w:type="dxa"/>
            <w:vAlign w:val="center"/>
          </w:tcPr>
          <w:p w14:paraId="30F66D3F">
            <w:pPr>
              <w:jc w:val="center"/>
              <w:rPr>
                <w:rFonts w:hint="eastAsia" w:ascii="宋体" w:hAnsi="宋体" w:eastAsia="宋体" w:cs="宋体"/>
                <w:bCs/>
                <w:sz w:val="24"/>
                <w:szCs w:val="24"/>
              </w:rPr>
            </w:pPr>
          </w:p>
        </w:tc>
      </w:tr>
      <w:tr w14:paraId="5273F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88" w:type="dxa"/>
            <w:vAlign w:val="center"/>
          </w:tcPr>
          <w:p w14:paraId="28638AD2">
            <w:pPr>
              <w:jc w:val="center"/>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eastAsia="宋体" w:cs="宋体"/>
                <w:bCs/>
                <w:sz w:val="24"/>
                <w:szCs w:val="24"/>
                <w:lang w:val="en-US" w:eastAsia="zh-CN"/>
              </w:rPr>
              <w:t>四</w:t>
            </w:r>
            <w:r>
              <w:rPr>
                <w:rFonts w:hint="eastAsia" w:ascii="宋体" w:hAnsi="宋体" w:eastAsia="宋体" w:cs="宋体"/>
                <w:bCs/>
                <w:sz w:val="24"/>
                <w:szCs w:val="24"/>
              </w:rPr>
              <w:t>）</w:t>
            </w:r>
          </w:p>
        </w:tc>
        <w:tc>
          <w:tcPr>
            <w:tcW w:w="9024" w:type="dxa"/>
            <w:gridSpan w:val="6"/>
            <w:vAlign w:val="center"/>
          </w:tcPr>
          <w:p w14:paraId="30E3D9C2">
            <w:pPr>
              <w:jc w:val="left"/>
              <w:rPr>
                <w:rFonts w:hint="eastAsia" w:ascii="宋体" w:hAnsi="宋体" w:eastAsia="宋体" w:cs="宋体"/>
                <w:bCs/>
                <w:sz w:val="24"/>
                <w:szCs w:val="24"/>
              </w:rPr>
            </w:pPr>
            <w:r>
              <w:rPr>
                <w:rFonts w:hint="eastAsia" w:ascii="宋体" w:hAnsi="宋体" w:eastAsia="宋体" w:cs="宋体"/>
                <w:sz w:val="24"/>
                <w:szCs w:val="24"/>
                <w:lang w:val="en-US" w:eastAsia="zh-CN"/>
              </w:rPr>
              <w:t>档案流转管理软件</w:t>
            </w:r>
          </w:p>
        </w:tc>
      </w:tr>
      <w:tr w14:paraId="562F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086A8DB5">
            <w:pPr>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1795" w:type="dxa"/>
            <w:vAlign w:val="center"/>
          </w:tcPr>
          <w:p w14:paraId="742A6AE6">
            <w:pPr>
              <w:spacing w:line="360" w:lineRule="exact"/>
              <w:jc w:val="center"/>
              <w:rPr>
                <w:rFonts w:hint="eastAsia" w:ascii="宋体" w:hAnsi="宋体" w:eastAsia="宋体" w:cs="宋体"/>
                <w:bCs/>
                <w:sz w:val="24"/>
                <w:szCs w:val="24"/>
              </w:rPr>
            </w:pPr>
            <w:r>
              <w:rPr>
                <w:rFonts w:hint="eastAsia" w:ascii="宋体" w:hAnsi="宋体" w:eastAsia="宋体" w:cs="宋体"/>
                <w:bCs/>
                <w:sz w:val="24"/>
                <w:szCs w:val="24"/>
              </w:rPr>
              <w:t>设备工具名称</w:t>
            </w:r>
          </w:p>
        </w:tc>
        <w:tc>
          <w:tcPr>
            <w:tcW w:w="1134" w:type="dxa"/>
            <w:vAlign w:val="center"/>
          </w:tcPr>
          <w:p w14:paraId="452D5A0A">
            <w:pPr>
              <w:jc w:val="center"/>
              <w:rPr>
                <w:rFonts w:hint="eastAsia" w:ascii="宋体" w:hAnsi="宋体" w:eastAsia="宋体" w:cs="宋体"/>
                <w:bCs/>
                <w:sz w:val="24"/>
                <w:szCs w:val="24"/>
              </w:rPr>
            </w:pPr>
            <w:r>
              <w:rPr>
                <w:rFonts w:hint="eastAsia" w:ascii="宋体" w:hAnsi="宋体" w:eastAsia="宋体" w:cs="宋体"/>
                <w:bCs/>
                <w:sz w:val="24"/>
                <w:szCs w:val="24"/>
              </w:rPr>
              <w:t>品牌型号</w:t>
            </w:r>
          </w:p>
        </w:tc>
        <w:tc>
          <w:tcPr>
            <w:tcW w:w="1134" w:type="dxa"/>
            <w:vAlign w:val="center"/>
          </w:tcPr>
          <w:p w14:paraId="30FA5C33">
            <w:pPr>
              <w:jc w:val="center"/>
              <w:rPr>
                <w:rFonts w:hint="eastAsia" w:ascii="宋体" w:hAnsi="宋体" w:eastAsia="宋体" w:cs="宋体"/>
                <w:bCs/>
                <w:sz w:val="24"/>
                <w:szCs w:val="24"/>
              </w:rPr>
            </w:pPr>
            <w:r>
              <w:rPr>
                <w:rFonts w:hint="eastAsia" w:ascii="宋体" w:hAnsi="宋体" w:eastAsia="宋体" w:cs="宋体"/>
                <w:bCs/>
                <w:sz w:val="24"/>
                <w:szCs w:val="24"/>
              </w:rPr>
              <w:t>生产厂家</w:t>
            </w:r>
          </w:p>
        </w:tc>
        <w:tc>
          <w:tcPr>
            <w:tcW w:w="709" w:type="dxa"/>
            <w:vAlign w:val="center"/>
          </w:tcPr>
          <w:p w14:paraId="7CE4B2E6">
            <w:pPr>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2740" w:type="dxa"/>
            <w:vAlign w:val="center"/>
          </w:tcPr>
          <w:p w14:paraId="39D429E2">
            <w:pPr>
              <w:jc w:val="center"/>
              <w:rPr>
                <w:rFonts w:hint="eastAsia" w:ascii="宋体" w:hAnsi="宋体" w:eastAsia="宋体" w:cs="宋体"/>
                <w:bCs/>
                <w:sz w:val="24"/>
                <w:szCs w:val="24"/>
              </w:rPr>
            </w:pPr>
            <w:r>
              <w:rPr>
                <w:rFonts w:hint="eastAsia" w:ascii="宋体" w:hAnsi="宋体" w:eastAsia="宋体" w:cs="宋体"/>
                <w:bCs/>
                <w:sz w:val="24"/>
                <w:szCs w:val="24"/>
              </w:rPr>
              <w:t>设备、工具等主要技术性能参数</w:t>
            </w:r>
          </w:p>
        </w:tc>
        <w:tc>
          <w:tcPr>
            <w:tcW w:w="1512" w:type="dxa"/>
            <w:vAlign w:val="center"/>
          </w:tcPr>
          <w:p w14:paraId="4AA9E97E">
            <w:pPr>
              <w:jc w:val="center"/>
              <w:rPr>
                <w:rFonts w:hint="eastAsia" w:ascii="宋体" w:hAnsi="宋体" w:eastAsia="宋体" w:cs="宋体"/>
                <w:bCs/>
                <w:sz w:val="24"/>
                <w:szCs w:val="24"/>
              </w:rPr>
            </w:pPr>
            <w:r>
              <w:rPr>
                <w:rFonts w:hint="eastAsia" w:ascii="宋体" w:hAnsi="宋体" w:eastAsia="宋体" w:cs="宋体"/>
                <w:bCs/>
                <w:sz w:val="24"/>
                <w:szCs w:val="24"/>
              </w:rPr>
              <w:t>备注</w:t>
            </w:r>
          </w:p>
        </w:tc>
      </w:tr>
      <w:tr w14:paraId="5D67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17F0D856">
            <w:pPr>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1795" w:type="dxa"/>
            <w:vAlign w:val="center"/>
          </w:tcPr>
          <w:p w14:paraId="38AB0EE0">
            <w:pPr>
              <w:spacing w:line="360" w:lineRule="exact"/>
              <w:jc w:val="center"/>
              <w:rPr>
                <w:rFonts w:hint="eastAsia" w:ascii="宋体" w:hAnsi="宋体" w:eastAsia="宋体" w:cs="宋体"/>
                <w:bCs/>
                <w:sz w:val="24"/>
                <w:szCs w:val="24"/>
              </w:rPr>
            </w:pPr>
          </w:p>
        </w:tc>
        <w:tc>
          <w:tcPr>
            <w:tcW w:w="1134" w:type="dxa"/>
            <w:vAlign w:val="center"/>
          </w:tcPr>
          <w:p w14:paraId="38C63878">
            <w:pPr>
              <w:jc w:val="center"/>
              <w:rPr>
                <w:rFonts w:hint="eastAsia" w:ascii="宋体" w:hAnsi="宋体" w:eastAsia="宋体" w:cs="宋体"/>
                <w:bCs/>
                <w:sz w:val="24"/>
                <w:szCs w:val="24"/>
              </w:rPr>
            </w:pPr>
          </w:p>
        </w:tc>
        <w:tc>
          <w:tcPr>
            <w:tcW w:w="1134" w:type="dxa"/>
            <w:vAlign w:val="center"/>
          </w:tcPr>
          <w:p w14:paraId="67B92E9C">
            <w:pPr>
              <w:jc w:val="center"/>
              <w:rPr>
                <w:rFonts w:hint="eastAsia" w:ascii="宋体" w:hAnsi="宋体" w:eastAsia="宋体" w:cs="宋体"/>
                <w:bCs/>
                <w:sz w:val="24"/>
                <w:szCs w:val="24"/>
              </w:rPr>
            </w:pPr>
          </w:p>
        </w:tc>
        <w:tc>
          <w:tcPr>
            <w:tcW w:w="709" w:type="dxa"/>
            <w:vAlign w:val="center"/>
          </w:tcPr>
          <w:p w14:paraId="1F41F8B9">
            <w:pPr>
              <w:jc w:val="center"/>
              <w:rPr>
                <w:rFonts w:hint="eastAsia" w:ascii="宋体" w:hAnsi="宋体" w:eastAsia="宋体" w:cs="宋体"/>
                <w:bCs/>
                <w:sz w:val="24"/>
                <w:szCs w:val="24"/>
              </w:rPr>
            </w:pPr>
          </w:p>
        </w:tc>
        <w:tc>
          <w:tcPr>
            <w:tcW w:w="2740" w:type="dxa"/>
            <w:vAlign w:val="center"/>
          </w:tcPr>
          <w:p w14:paraId="38E73552">
            <w:pPr>
              <w:jc w:val="center"/>
              <w:rPr>
                <w:rFonts w:hint="eastAsia" w:ascii="宋体" w:hAnsi="宋体" w:eastAsia="宋体" w:cs="宋体"/>
                <w:bCs/>
                <w:sz w:val="24"/>
                <w:szCs w:val="24"/>
              </w:rPr>
            </w:pPr>
          </w:p>
        </w:tc>
        <w:tc>
          <w:tcPr>
            <w:tcW w:w="1512" w:type="dxa"/>
            <w:vAlign w:val="center"/>
          </w:tcPr>
          <w:p w14:paraId="2A273587">
            <w:pPr>
              <w:jc w:val="center"/>
              <w:rPr>
                <w:rFonts w:hint="eastAsia" w:ascii="宋体" w:hAnsi="宋体" w:eastAsia="宋体" w:cs="宋体"/>
                <w:bCs/>
                <w:sz w:val="24"/>
                <w:szCs w:val="24"/>
              </w:rPr>
            </w:pPr>
          </w:p>
        </w:tc>
      </w:tr>
      <w:tr w14:paraId="290A7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26C6CD16">
            <w:pPr>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1795" w:type="dxa"/>
            <w:vAlign w:val="center"/>
          </w:tcPr>
          <w:p w14:paraId="141235AB">
            <w:pPr>
              <w:spacing w:line="360" w:lineRule="exact"/>
              <w:jc w:val="center"/>
              <w:rPr>
                <w:rFonts w:hint="eastAsia" w:ascii="宋体" w:hAnsi="宋体" w:eastAsia="宋体" w:cs="宋体"/>
                <w:bCs/>
                <w:sz w:val="24"/>
                <w:szCs w:val="24"/>
              </w:rPr>
            </w:pPr>
          </w:p>
        </w:tc>
        <w:tc>
          <w:tcPr>
            <w:tcW w:w="1134" w:type="dxa"/>
            <w:vAlign w:val="center"/>
          </w:tcPr>
          <w:p w14:paraId="27BB55FB">
            <w:pPr>
              <w:jc w:val="center"/>
              <w:rPr>
                <w:rFonts w:hint="eastAsia" w:ascii="宋体" w:hAnsi="宋体" w:eastAsia="宋体" w:cs="宋体"/>
                <w:bCs/>
                <w:sz w:val="24"/>
                <w:szCs w:val="24"/>
              </w:rPr>
            </w:pPr>
          </w:p>
        </w:tc>
        <w:tc>
          <w:tcPr>
            <w:tcW w:w="1134" w:type="dxa"/>
            <w:vAlign w:val="center"/>
          </w:tcPr>
          <w:p w14:paraId="2FD21190">
            <w:pPr>
              <w:jc w:val="center"/>
              <w:rPr>
                <w:rFonts w:hint="eastAsia" w:ascii="宋体" w:hAnsi="宋体" w:eastAsia="宋体" w:cs="宋体"/>
                <w:bCs/>
                <w:sz w:val="24"/>
                <w:szCs w:val="24"/>
              </w:rPr>
            </w:pPr>
          </w:p>
        </w:tc>
        <w:tc>
          <w:tcPr>
            <w:tcW w:w="709" w:type="dxa"/>
            <w:vAlign w:val="center"/>
          </w:tcPr>
          <w:p w14:paraId="38B06786">
            <w:pPr>
              <w:jc w:val="center"/>
              <w:rPr>
                <w:rFonts w:hint="eastAsia" w:ascii="宋体" w:hAnsi="宋体" w:eastAsia="宋体" w:cs="宋体"/>
                <w:bCs/>
                <w:sz w:val="24"/>
                <w:szCs w:val="24"/>
              </w:rPr>
            </w:pPr>
          </w:p>
        </w:tc>
        <w:tc>
          <w:tcPr>
            <w:tcW w:w="2740" w:type="dxa"/>
            <w:vAlign w:val="center"/>
          </w:tcPr>
          <w:p w14:paraId="5CCAECA9">
            <w:pPr>
              <w:jc w:val="center"/>
              <w:rPr>
                <w:rFonts w:hint="eastAsia" w:ascii="宋体" w:hAnsi="宋体" w:eastAsia="宋体" w:cs="宋体"/>
                <w:bCs/>
                <w:sz w:val="24"/>
                <w:szCs w:val="24"/>
              </w:rPr>
            </w:pPr>
          </w:p>
        </w:tc>
        <w:tc>
          <w:tcPr>
            <w:tcW w:w="1512" w:type="dxa"/>
            <w:vAlign w:val="center"/>
          </w:tcPr>
          <w:p w14:paraId="548ACA38">
            <w:pPr>
              <w:jc w:val="center"/>
              <w:rPr>
                <w:rFonts w:hint="eastAsia" w:ascii="宋体" w:hAnsi="宋体" w:eastAsia="宋体" w:cs="宋体"/>
                <w:bCs/>
                <w:sz w:val="24"/>
                <w:szCs w:val="24"/>
              </w:rPr>
            </w:pPr>
          </w:p>
        </w:tc>
      </w:tr>
      <w:tr w14:paraId="0D6A3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1AA11164">
            <w:pPr>
              <w:jc w:val="center"/>
              <w:rPr>
                <w:rFonts w:hint="eastAsia" w:ascii="宋体" w:hAnsi="宋体" w:eastAsia="宋体" w:cs="宋体"/>
                <w:bCs/>
                <w:sz w:val="24"/>
                <w:szCs w:val="24"/>
              </w:rPr>
            </w:pPr>
            <w:r>
              <w:rPr>
                <w:rFonts w:hint="eastAsia" w:ascii="宋体" w:hAnsi="宋体" w:eastAsia="宋体" w:cs="宋体"/>
                <w:bCs/>
                <w:sz w:val="24"/>
                <w:szCs w:val="24"/>
              </w:rPr>
              <w:t>……</w:t>
            </w:r>
          </w:p>
        </w:tc>
        <w:tc>
          <w:tcPr>
            <w:tcW w:w="1795" w:type="dxa"/>
            <w:vAlign w:val="center"/>
          </w:tcPr>
          <w:p w14:paraId="08CD0E5E">
            <w:pPr>
              <w:spacing w:line="360" w:lineRule="exact"/>
              <w:jc w:val="center"/>
              <w:rPr>
                <w:rFonts w:hint="eastAsia" w:ascii="宋体" w:hAnsi="宋体" w:eastAsia="宋体" w:cs="宋体"/>
                <w:bCs/>
                <w:sz w:val="24"/>
                <w:szCs w:val="24"/>
              </w:rPr>
            </w:pPr>
          </w:p>
        </w:tc>
        <w:tc>
          <w:tcPr>
            <w:tcW w:w="1134" w:type="dxa"/>
            <w:vAlign w:val="center"/>
          </w:tcPr>
          <w:p w14:paraId="32C0DAE6">
            <w:pPr>
              <w:jc w:val="center"/>
              <w:rPr>
                <w:rFonts w:hint="eastAsia" w:ascii="宋体" w:hAnsi="宋体" w:eastAsia="宋体" w:cs="宋体"/>
                <w:bCs/>
                <w:sz w:val="24"/>
                <w:szCs w:val="24"/>
              </w:rPr>
            </w:pPr>
          </w:p>
        </w:tc>
        <w:tc>
          <w:tcPr>
            <w:tcW w:w="1134" w:type="dxa"/>
            <w:vAlign w:val="center"/>
          </w:tcPr>
          <w:p w14:paraId="64CFF00C">
            <w:pPr>
              <w:jc w:val="center"/>
              <w:rPr>
                <w:rFonts w:hint="eastAsia" w:ascii="宋体" w:hAnsi="宋体" w:eastAsia="宋体" w:cs="宋体"/>
                <w:bCs/>
                <w:sz w:val="24"/>
                <w:szCs w:val="24"/>
              </w:rPr>
            </w:pPr>
          </w:p>
        </w:tc>
        <w:tc>
          <w:tcPr>
            <w:tcW w:w="709" w:type="dxa"/>
            <w:vAlign w:val="center"/>
          </w:tcPr>
          <w:p w14:paraId="02360B19">
            <w:pPr>
              <w:jc w:val="center"/>
              <w:rPr>
                <w:rFonts w:hint="eastAsia" w:ascii="宋体" w:hAnsi="宋体" w:eastAsia="宋体" w:cs="宋体"/>
                <w:bCs/>
                <w:sz w:val="24"/>
                <w:szCs w:val="24"/>
              </w:rPr>
            </w:pPr>
          </w:p>
        </w:tc>
        <w:tc>
          <w:tcPr>
            <w:tcW w:w="2740" w:type="dxa"/>
            <w:vAlign w:val="center"/>
          </w:tcPr>
          <w:p w14:paraId="1F3FB7A3">
            <w:pPr>
              <w:jc w:val="center"/>
              <w:rPr>
                <w:rFonts w:hint="eastAsia" w:ascii="宋体" w:hAnsi="宋体" w:eastAsia="宋体" w:cs="宋体"/>
                <w:bCs/>
                <w:sz w:val="24"/>
                <w:szCs w:val="24"/>
              </w:rPr>
            </w:pPr>
          </w:p>
        </w:tc>
        <w:tc>
          <w:tcPr>
            <w:tcW w:w="1512" w:type="dxa"/>
            <w:vAlign w:val="center"/>
          </w:tcPr>
          <w:p w14:paraId="5F538F79">
            <w:pPr>
              <w:jc w:val="center"/>
              <w:rPr>
                <w:rFonts w:hint="eastAsia" w:ascii="宋体" w:hAnsi="宋体" w:eastAsia="宋体" w:cs="宋体"/>
                <w:bCs/>
                <w:sz w:val="24"/>
                <w:szCs w:val="24"/>
              </w:rPr>
            </w:pPr>
          </w:p>
        </w:tc>
      </w:tr>
      <w:tr w14:paraId="297BE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88" w:type="dxa"/>
            <w:vAlign w:val="center"/>
          </w:tcPr>
          <w:p w14:paraId="70A9C762">
            <w:pPr>
              <w:jc w:val="center"/>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eastAsia="宋体" w:cs="宋体"/>
                <w:bCs/>
                <w:sz w:val="24"/>
                <w:szCs w:val="24"/>
                <w:lang w:val="en-US" w:eastAsia="zh-CN"/>
              </w:rPr>
              <w:t>五</w:t>
            </w:r>
            <w:r>
              <w:rPr>
                <w:rFonts w:hint="eastAsia" w:ascii="宋体" w:hAnsi="宋体" w:eastAsia="宋体" w:cs="宋体"/>
                <w:bCs/>
                <w:sz w:val="24"/>
                <w:szCs w:val="24"/>
              </w:rPr>
              <w:t>）</w:t>
            </w:r>
          </w:p>
        </w:tc>
        <w:tc>
          <w:tcPr>
            <w:tcW w:w="9024" w:type="dxa"/>
            <w:gridSpan w:val="6"/>
            <w:vAlign w:val="center"/>
          </w:tcPr>
          <w:p w14:paraId="5141969F">
            <w:pPr>
              <w:jc w:val="left"/>
              <w:rPr>
                <w:rFonts w:hint="eastAsia" w:ascii="宋体" w:hAnsi="宋体" w:eastAsia="宋体" w:cs="宋体"/>
                <w:bCs/>
                <w:sz w:val="24"/>
                <w:szCs w:val="24"/>
              </w:rPr>
            </w:pPr>
            <w:r>
              <w:rPr>
                <w:rFonts w:hint="eastAsia" w:ascii="宋体" w:hAnsi="宋体" w:eastAsia="宋体" w:cs="宋体"/>
                <w:sz w:val="24"/>
                <w:szCs w:val="24"/>
                <w:lang w:val="en-US" w:eastAsia="zh-CN"/>
              </w:rPr>
              <w:t>档案数字化加工软件</w:t>
            </w:r>
          </w:p>
        </w:tc>
      </w:tr>
      <w:tr w14:paraId="41802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1FE7B3F">
            <w:pPr>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1795" w:type="dxa"/>
            <w:vAlign w:val="center"/>
          </w:tcPr>
          <w:p w14:paraId="6A46DFB6">
            <w:pPr>
              <w:spacing w:line="360" w:lineRule="exact"/>
              <w:jc w:val="center"/>
              <w:rPr>
                <w:rFonts w:hint="eastAsia" w:ascii="宋体" w:hAnsi="宋体" w:eastAsia="宋体" w:cs="宋体"/>
                <w:bCs/>
                <w:sz w:val="24"/>
                <w:szCs w:val="24"/>
              </w:rPr>
            </w:pPr>
            <w:r>
              <w:rPr>
                <w:rFonts w:hint="eastAsia" w:ascii="宋体" w:hAnsi="宋体" w:eastAsia="宋体" w:cs="宋体"/>
                <w:bCs/>
                <w:sz w:val="24"/>
                <w:szCs w:val="24"/>
              </w:rPr>
              <w:t>设备工具名称</w:t>
            </w:r>
          </w:p>
        </w:tc>
        <w:tc>
          <w:tcPr>
            <w:tcW w:w="1134" w:type="dxa"/>
            <w:vAlign w:val="center"/>
          </w:tcPr>
          <w:p w14:paraId="6E2AFA54">
            <w:pPr>
              <w:jc w:val="center"/>
              <w:rPr>
                <w:rFonts w:hint="eastAsia" w:ascii="宋体" w:hAnsi="宋体" w:eastAsia="宋体" w:cs="宋体"/>
                <w:bCs/>
                <w:sz w:val="24"/>
                <w:szCs w:val="24"/>
              </w:rPr>
            </w:pPr>
            <w:r>
              <w:rPr>
                <w:rFonts w:hint="eastAsia" w:ascii="宋体" w:hAnsi="宋体" w:eastAsia="宋体" w:cs="宋体"/>
                <w:bCs/>
                <w:sz w:val="24"/>
                <w:szCs w:val="24"/>
              </w:rPr>
              <w:t>品牌型号</w:t>
            </w:r>
          </w:p>
        </w:tc>
        <w:tc>
          <w:tcPr>
            <w:tcW w:w="1134" w:type="dxa"/>
            <w:vAlign w:val="center"/>
          </w:tcPr>
          <w:p w14:paraId="5208B979">
            <w:pPr>
              <w:jc w:val="center"/>
              <w:rPr>
                <w:rFonts w:hint="eastAsia" w:ascii="宋体" w:hAnsi="宋体" w:eastAsia="宋体" w:cs="宋体"/>
                <w:bCs/>
                <w:sz w:val="24"/>
                <w:szCs w:val="24"/>
              </w:rPr>
            </w:pPr>
            <w:r>
              <w:rPr>
                <w:rFonts w:hint="eastAsia" w:ascii="宋体" w:hAnsi="宋体" w:eastAsia="宋体" w:cs="宋体"/>
                <w:bCs/>
                <w:sz w:val="24"/>
                <w:szCs w:val="24"/>
              </w:rPr>
              <w:t>生产厂家</w:t>
            </w:r>
          </w:p>
        </w:tc>
        <w:tc>
          <w:tcPr>
            <w:tcW w:w="709" w:type="dxa"/>
            <w:vAlign w:val="center"/>
          </w:tcPr>
          <w:p w14:paraId="147D5F5B">
            <w:pPr>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2740" w:type="dxa"/>
            <w:vAlign w:val="center"/>
          </w:tcPr>
          <w:p w14:paraId="5FC3CCEC">
            <w:pPr>
              <w:jc w:val="center"/>
              <w:rPr>
                <w:rFonts w:hint="eastAsia" w:ascii="宋体" w:hAnsi="宋体" w:eastAsia="宋体" w:cs="宋体"/>
                <w:bCs/>
                <w:sz w:val="24"/>
                <w:szCs w:val="24"/>
              </w:rPr>
            </w:pPr>
            <w:r>
              <w:rPr>
                <w:rFonts w:hint="eastAsia" w:ascii="宋体" w:hAnsi="宋体" w:eastAsia="宋体" w:cs="宋体"/>
                <w:bCs/>
                <w:sz w:val="24"/>
                <w:szCs w:val="24"/>
              </w:rPr>
              <w:t>设备、工具等主要技术性能参数</w:t>
            </w:r>
          </w:p>
        </w:tc>
        <w:tc>
          <w:tcPr>
            <w:tcW w:w="1512" w:type="dxa"/>
            <w:vAlign w:val="center"/>
          </w:tcPr>
          <w:p w14:paraId="0D130EE0">
            <w:pPr>
              <w:jc w:val="center"/>
              <w:rPr>
                <w:rFonts w:hint="eastAsia" w:ascii="宋体" w:hAnsi="宋体" w:eastAsia="宋体" w:cs="宋体"/>
                <w:bCs/>
                <w:sz w:val="24"/>
                <w:szCs w:val="24"/>
              </w:rPr>
            </w:pPr>
            <w:r>
              <w:rPr>
                <w:rFonts w:hint="eastAsia" w:ascii="宋体" w:hAnsi="宋体" w:eastAsia="宋体" w:cs="宋体"/>
                <w:bCs/>
                <w:sz w:val="24"/>
                <w:szCs w:val="24"/>
              </w:rPr>
              <w:t>备注</w:t>
            </w:r>
          </w:p>
        </w:tc>
      </w:tr>
      <w:tr w14:paraId="0480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1F22DB61">
            <w:pPr>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1795" w:type="dxa"/>
            <w:vAlign w:val="center"/>
          </w:tcPr>
          <w:p w14:paraId="0A3FF103">
            <w:pPr>
              <w:spacing w:line="360" w:lineRule="exact"/>
              <w:jc w:val="center"/>
              <w:rPr>
                <w:rFonts w:hint="eastAsia" w:ascii="宋体" w:hAnsi="宋体" w:eastAsia="宋体" w:cs="宋体"/>
                <w:bCs/>
                <w:sz w:val="24"/>
                <w:szCs w:val="24"/>
              </w:rPr>
            </w:pPr>
          </w:p>
        </w:tc>
        <w:tc>
          <w:tcPr>
            <w:tcW w:w="1134" w:type="dxa"/>
            <w:vAlign w:val="center"/>
          </w:tcPr>
          <w:p w14:paraId="6A47A7C1">
            <w:pPr>
              <w:jc w:val="center"/>
              <w:rPr>
                <w:rFonts w:hint="eastAsia" w:ascii="宋体" w:hAnsi="宋体" w:eastAsia="宋体" w:cs="宋体"/>
                <w:bCs/>
                <w:sz w:val="24"/>
                <w:szCs w:val="24"/>
              </w:rPr>
            </w:pPr>
          </w:p>
        </w:tc>
        <w:tc>
          <w:tcPr>
            <w:tcW w:w="1134" w:type="dxa"/>
            <w:vAlign w:val="center"/>
          </w:tcPr>
          <w:p w14:paraId="1BD37F7A">
            <w:pPr>
              <w:jc w:val="center"/>
              <w:rPr>
                <w:rFonts w:hint="eastAsia" w:ascii="宋体" w:hAnsi="宋体" w:eastAsia="宋体" w:cs="宋体"/>
                <w:bCs/>
                <w:sz w:val="24"/>
                <w:szCs w:val="24"/>
              </w:rPr>
            </w:pPr>
          </w:p>
        </w:tc>
        <w:tc>
          <w:tcPr>
            <w:tcW w:w="709" w:type="dxa"/>
            <w:vAlign w:val="center"/>
          </w:tcPr>
          <w:p w14:paraId="666690EB">
            <w:pPr>
              <w:jc w:val="center"/>
              <w:rPr>
                <w:rFonts w:hint="eastAsia" w:ascii="宋体" w:hAnsi="宋体" w:eastAsia="宋体" w:cs="宋体"/>
                <w:bCs/>
                <w:sz w:val="24"/>
                <w:szCs w:val="24"/>
              </w:rPr>
            </w:pPr>
          </w:p>
        </w:tc>
        <w:tc>
          <w:tcPr>
            <w:tcW w:w="2740" w:type="dxa"/>
            <w:vAlign w:val="center"/>
          </w:tcPr>
          <w:p w14:paraId="00EFDF37">
            <w:pPr>
              <w:jc w:val="center"/>
              <w:rPr>
                <w:rFonts w:hint="eastAsia" w:ascii="宋体" w:hAnsi="宋体" w:eastAsia="宋体" w:cs="宋体"/>
                <w:bCs/>
                <w:sz w:val="24"/>
                <w:szCs w:val="24"/>
              </w:rPr>
            </w:pPr>
          </w:p>
        </w:tc>
        <w:tc>
          <w:tcPr>
            <w:tcW w:w="1512" w:type="dxa"/>
            <w:vAlign w:val="center"/>
          </w:tcPr>
          <w:p w14:paraId="5AF3647A">
            <w:pPr>
              <w:jc w:val="center"/>
              <w:rPr>
                <w:rFonts w:hint="eastAsia" w:ascii="宋体" w:hAnsi="宋体" w:eastAsia="宋体" w:cs="宋体"/>
                <w:bCs/>
                <w:sz w:val="24"/>
                <w:szCs w:val="24"/>
              </w:rPr>
            </w:pPr>
          </w:p>
        </w:tc>
      </w:tr>
      <w:tr w14:paraId="34BE3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108758D1">
            <w:pPr>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1795" w:type="dxa"/>
            <w:vAlign w:val="center"/>
          </w:tcPr>
          <w:p w14:paraId="1B69D665">
            <w:pPr>
              <w:spacing w:line="360" w:lineRule="exact"/>
              <w:jc w:val="center"/>
              <w:rPr>
                <w:rFonts w:hint="eastAsia" w:ascii="宋体" w:hAnsi="宋体" w:eastAsia="宋体" w:cs="宋体"/>
                <w:bCs/>
                <w:sz w:val="24"/>
                <w:szCs w:val="24"/>
              </w:rPr>
            </w:pPr>
          </w:p>
        </w:tc>
        <w:tc>
          <w:tcPr>
            <w:tcW w:w="1134" w:type="dxa"/>
            <w:vAlign w:val="center"/>
          </w:tcPr>
          <w:p w14:paraId="7BF5F68D">
            <w:pPr>
              <w:jc w:val="center"/>
              <w:rPr>
                <w:rFonts w:hint="eastAsia" w:ascii="宋体" w:hAnsi="宋体" w:eastAsia="宋体" w:cs="宋体"/>
                <w:bCs/>
                <w:sz w:val="24"/>
                <w:szCs w:val="24"/>
              </w:rPr>
            </w:pPr>
          </w:p>
        </w:tc>
        <w:tc>
          <w:tcPr>
            <w:tcW w:w="1134" w:type="dxa"/>
            <w:vAlign w:val="center"/>
          </w:tcPr>
          <w:p w14:paraId="2C415105">
            <w:pPr>
              <w:jc w:val="center"/>
              <w:rPr>
                <w:rFonts w:hint="eastAsia" w:ascii="宋体" w:hAnsi="宋体" w:eastAsia="宋体" w:cs="宋体"/>
                <w:bCs/>
                <w:sz w:val="24"/>
                <w:szCs w:val="24"/>
              </w:rPr>
            </w:pPr>
          </w:p>
        </w:tc>
        <w:tc>
          <w:tcPr>
            <w:tcW w:w="709" w:type="dxa"/>
            <w:vAlign w:val="center"/>
          </w:tcPr>
          <w:p w14:paraId="17B1C060">
            <w:pPr>
              <w:jc w:val="center"/>
              <w:rPr>
                <w:rFonts w:hint="eastAsia" w:ascii="宋体" w:hAnsi="宋体" w:eastAsia="宋体" w:cs="宋体"/>
                <w:bCs/>
                <w:sz w:val="24"/>
                <w:szCs w:val="24"/>
              </w:rPr>
            </w:pPr>
          </w:p>
        </w:tc>
        <w:tc>
          <w:tcPr>
            <w:tcW w:w="2740" w:type="dxa"/>
            <w:vAlign w:val="center"/>
          </w:tcPr>
          <w:p w14:paraId="028959CE">
            <w:pPr>
              <w:jc w:val="center"/>
              <w:rPr>
                <w:rFonts w:hint="eastAsia" w:ascii="宋体" w:hAnsi="宋体" w:eastAsia="宋体" w:cs="宋体"/>
                <w:bCs/>
                <w:sz w:val="24"/>
                <w:szCs w:val="24"/>
              </w:rPr>
            </w:pPr>
          </w:p>
        </w:tc>
        <w:tc>
          <w:tcPr>
            <w:tcW w:w="1512" w:type="dxa"/>
            <w:vAlign w:val="center"/>
          </w:tcPr>
          <w:p w14:paraId="05D100E2">
            <w:pPr>
              <w:jc w:val="center"/>
              <w:rPr>
                <w:rFonts w:hint="eastAsia" w:ascii="宋体" w:hAnsi="宋体" w:eastAsia="宋体" w:cs="宋体"/>
                <w:bCs/>
                <w:sz w:val="24"/>
                <w:szCs w:val="24"/>
              </w:rPr>
            </w:pPr>
          </w:p>
        </w:tc>
      </w:tr>
      <w:tr w14:paraId="34CE8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C122205">
            <w:pPr>
              <w:jc w:val="center"/>
              <w:rPr>
                <w:rFonts w:hint="eastAsia" w:ascii="宋体" w:hAnsi="宋体" w:eastAsia="宋体" w:cs="宋体"/>
                <w:bCs/>
                <w:sz w:val="24"/>
                <w:szCs w:val="24"/>
              </w:rPr>
            </w:pPr>
            <w:r>
              <w:rPr>
                <w:rFonts w:hint="eastAsia" w:ascii="宋体" w:hAnsi="宋体" w:eastAsia="宋体" w:cs="宋体"/>
                <w:bCs/>
                <w:sz w:val="24"/>
                <w:szCs w:val="24"/>
              </w:rPr>
              <w:t>……</w:t>
            </w:r>
          </w:p>
        </w:tc>
        <w:tc>
          <w:tcPr>
            <w:tcW w:w="1795" w:type="dxa"/>
            <w:vAlign w:val="center"/>
          </w:tcPr>
          <w:p w14:paraId="2E6A5D4E">
            <w:pPr>
              <w:spacing w:line="360" w:lineRule="exact"/>
              <w:jc w:val="center"/>
              <w:rPr>
                <w:rFonts w:hint="eastAsia" w:ascii="宋体" w:hAnsi="宋体" w:eastAsia="宋体" w:cs="宋体"/>
                <w:bCs/>
                <w:sz w:val="24"/>
                <w:szCs w:val="24"/>
              </w:rPr>
            </w:pPr>
          </w:p>
        </w:tc>
        <w:tc>
          <w:tcPr>
            <w:tcW w:w="1134" w:type="dxa"/>
            <w:vAlign w:val="center"/>
          </w:tcPr>
          <w:p w14:paraId="78B4CC0D">
            <w:pPr>
              <w:jc w:val="center"/>
              <w:rPr>
                <w:rFonts w:hint="eastAsia" w:ascii="宋体" w:hAnsi="宋体" w:eastAsia="宋体" w:cs="宋体"/>
                <w:bCs/>
                <w:sz w:val="24"/>
                <w:szCs w:val="24"/>
              </w:rPr>
            </w:pPr>
          </w:p>
        </w:tc>
        <w:tc>
          <w:tcPr>
            <w:tcW w:w="1134" w:type="dxa"/>
            <w:vAlign w:val="center"/>
          </w:tcPr>
          <w:p w14:paraId="16F9C41A">
            <w:pPr>
              <w:jc w:val="center"/>
              <w:rPr>
                <w:rFonts w:hint="eastAsia" w:ascii="宋体" w:hAnsi="宋体" w:eastAsia="宋体" w:cs="宋体"/>
                <w:bCs/>
                <w:sz w:val="24"/>
                <w:szCs w:val="24"/>
              </w:rPr>
            </w:pPr>
          </w:p>
        </w:tc>
        <w:tc>
          <w:tcPr>
            <w:tcW w:w="709" w:type="dxa"/>
            <w:vAlign w:val="center"/>
          </w:tcPr>
          <w:p w14:paraId="2B5A9AB2">
            <w:pPr>
              <w:jc w:val="center"/>
              <w:rPr>
                <w:rFonts w:hint="eastAsia" w:ascii="宋体" w:hAnsi="宋体" w:eastAsia="宋体" w:cs="宋体"/>
                <w:bCs/>
                <w:sz w:val="24"/>
                <w:szCs w:val="24"/>
              </w:rPr>
            </w:pPr>
          </w:p>
        </w:tc>
        <w:tc>
          <w:tcPr>
            <w:tcW w:w="2740" w:type="dxa"/>
            <w:vAlign w:val="center"/>
          </w:tcPr>
          <w:p w14:paraId="275906A3">
            <w:pPr>
              <w:jc w:val="center"/>
              <w:rPr>
                <w:rFonts w:hint="eastAsia" w:ascii="宋体" w:hAnsi="宋体" w:eastAsia="宋体" w:cs="宋体"/>
                <w:bCs/>
                <w:sz w:val="24"/>
                <w:szCs w:val="24"/>
              </w:rPr>
            </w:pPr>
          </w:p>
        </w:tc>
        <w:tc>
          <w:tcPr>
            <w:tcW w:w="1512" w:type="dxa"/>
            <w:vAlign w:val="center"/>
          </w:tcPr>
          <w:p w14:paraId="6A3EE4F9">
            <w:pPr>
              <w:jc w:val="center"/>
              <w:rPr>
                <w:rFonts w:hint="eastAsia" w:ascii="宋体" w:hAnsi="宋体" w:eastAsia="宋体" w:cs="宋体"/>
                <w:bCs/>
                <w:sz w:val="24"/>
                <w:szCs w:val="24"/>
              </w:rPr>
            </w:pPr>
          </w:p>
        </w:tc>
      </w:tr>
    </w:tbl>
    <w:p w14:paraId="76C99282">
      <w:pPr>
        <w:spacing w:line="440" w:lineRule="exact"/>
        <w:rPr>
          <w:rFonts w:hint="eastAsia" w:ascii="宋体" w:hAnsi="宋体" w:eastAsia="宋体" w:cs="宋体"/>
          <w:sz w:val="24"/>
          <w:szCs w:val="24"/>
        </w:rPr>
      </w:pPr>
      <w:r>
        <w:rPr>
          <w:rFonts w:hint="eastAsia" w:ascii="宋体" w:hAnsi="宋体" w:eastAsia="宋体" w:cs="宋体"/>
          <w:sz w:val="24"/>
          <w:szCs w:val="24"/>
        </w:rPr>
        <w:t>注：1、供应商应将承担所投入的有关</w:t>
      </w:r>
      <w:r>
        <w:rPr>
          <w:rFonts w:hint="eastAsia" w:ascii="宋体" w:hAnsi="宋体" w:eastAsia="宋体" w:cs="宋体"/>
          <w:sz w:val="24"/>
          <w:szCs w:val="24"/>
          <w:lang w:val="en-US" w:eastAsia="zh-CN"/>
        </w:rPr>
        <w:t>设</w:t>
      </w:r>
      <w:r>
        <w:rPr>
          <w:rFonts w:hint="eastAsia" w:ascii="宋体" w:hAnsi="宋体" w:eastAsia="宋体" w:cs="宋体"/>
          <w:sz w:val="24"/>
          <w:szCs w:val="24"/>
        </w:rPr>
        <w:t>备工具配备情况依次填报在上述表格中。</w:t>
      </w:r>
    </w:p>
    <w:p w14:paraId="571D0568">
      <w:pPr>
        <w:spacing w:line="460" w:lineRule="exact"/>
        <w:ind w:firstLine="480"/>
        <w:rPr>
          <w:rFonts w:hint="eastAsia" w:ascii="宋体" w:hAnsi="宋体" w:eastAsia="宋体" w:cs="宋体"/>
          <w:b/>
          <w:sz w:val="24"/>
          <w:szCs w:val="24"/>
        </w:rPr>
      </w:pPr>
      <w:r>
        <w:rPr>
          <w:rFonts w:hint="eastAsia" w:ascii="宋体" w:hAnsi="宋体" w:eastAsia="宋体" w:cs="宋体"/>
          <w:sz w:val="24"/>
          <w:szCs w:val="24"/>
        </w:rPr>
        <w:t>2、</w:t>
      </w:r>
      <w:r>
        <w:rPr>
          <w:rFonts w:hint="eastAsia" w:ascii="宋体" w:hAnsi="宋体" w:eastAsia="宋体" w:cs="宋体"/>
          <w:b/>
          <w:bCs/>
          <w:color w:val="000000"/>
          <w:sz w:val="24"/>
          <w:szCs w:val="24"/>
          <w:lang w:bidi="ar"/>
        </w:rPr>
        <w:t>响应文件中须按照“第五章   评审方法与评审标准”中要求提供相关证明材料</w:t>
      </w:r>
      <w:r>
        <w:rPr>
          <w:rFonts w:hint="eastAsia" w:ascii="宋体" w:hAnsi="宋体" w:eastAsia="宋体" w:cs="宋体"/>
          <w:b/>
          <w:sz w:val="24"/>
          <w:szCs w:val="24"/>
        </w:rPr>
        <w:t>。</w:t>
      </w:r>
    </w:p>
    <w:p w14:paraId="1159E976">
      <w:pPr>
        <w:spacing w:line="440" w:lineRule="exact"/>
        <w:ind w:firstLine="480"/>
        <w:rPr>
          <w:rFonts w:hint="eastAsia" w:ascii="宋体" w:hAnsi="宋体" w:eastAsia="宋体" w:cs="宋体"/>
          <w:bCs/>
          <w:sz w:val="24"/>
          <w:szCs w:val="24"/>
        </w:rPr>
      </w:pPr>
      <w:r>
        <w:rPr>
          <w:rFonts w:hint="eastAsia" w:ascii="宋体" w:hAnsi="宋体" w:eastAsia="宋体" w:cs="宋体"/>
          <w:sz w:val="24"/>
          <w:szCs w:val="24"/>
        </w:rPr>
        <w:t>3、</w:t>
      </w:r>
      <w:r>
        <w:rPr>
          <w:rFonts w:hint="eastAsia" w:ascii="宋体" w:hAnsi="宋体" w:eastAsia="宋体" w:cs="宋体"/>
          <w:bCs/>
          <w:sz w:val="24"/>
          <w:szCs w:val="24"/>
        </w:rPr>
        <w:t>因表述含糊导致的评标风险将由</w:t>
      </w:r>
      <w:r>
        <w:rPr>
          <w:rFonts w:hint="eastAsia" w:ascii="宋体" w:hAnsi="宋体" w:eastAsia="宋体" w:cs="宋体"/>
          <w:sz w:val="24"/>
          <w:szCs w:val="24"/>
        </w:rPr>
        <w:t>供应商自行</w:t>
      </w:r>
      <w:r>
        <w:rPr>
          <w:rFonts w:hint="eastAsia" w:ascii="宋体" w:hAnsi="宋体" w:eastAsia="宋体" w:cs="宋体"/>
          <w:bCs/>
          <w:sz w:val="24"/>
          <w:szCs w:val="24"/>
        </w:rPr>
        <w:t>承担。</w:t>
      </w:r>
    </w:p>
    <w:p w14:paraId="175CE913">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4、如有需要说明的事项，请在备注中列明。</w:t>
      </w:r>
    </w:p>
    <w:p w14:paraId="0928AB08">
      <w:pPr>
        <w:rPr>
          <w:rFonts w:hint="eastAsia" w:ascii="宋体" w:hAnsi="宋体" w:eastAsia="宋体" w:cs="宋体"/>
          <w:sz w:val="24"/>
          <w:szCs w:val="24"/>
        </w:rPr>
      </w:pPr>
      <w:r>
        <w:rPr>
          <w:rFonts w:hint="eastAsia" w:ascii="宋体" w:hAnsi="宋体" w:eastAsia="宋体" w:cs="宋体"/>
          <w:sz w:val="24"/>
          <w:szCs w:val="24"/>
        </w:rPr>
        <w:br w:type="page"/>
      </w:r>
    </w:p>
    <w:p w14:paraId="537DB033">
      <w:pPr>
        <w:pStyle w:val="3"/>
        <w:spacing w:line="440" w:lineRule="exact"/>
        <w:rPr>
          <w:rFonts w:hint="eastAsia" w:ascii="宋体" w:hAnsi="宋体" w:eastAsia="宋体" w:cs="宋体"/>
          <w:sz w:val="24"/>
          <w:szCs w:val="24"/>
        </w:rPr>
      </w:pPr>
      <w:bookmarkStart w:id="133" w:name="_Toc8314"/>
      <w:r>
        <w:rPr>
          <w:rFonts w:hint="eastAsia" w:ascii="宋体" w:hAnsi="宋体" w:eastAsia="宋体" w:cs="宋体"/>
          <w:sz w:val="24"/>
          <w:szCs w:val="24"/>
        </w:rPr>
        <w:t>附件1</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业绩一览表</w:t>
      </w:r>
      <w:bookmarkEnd w:id="125"/>
      <w:bookmarkEnd w:id="126"/>
      <w:bookmarkEnd w:id="127"/>
      <w:bookmarkEnd w:id="128"/>
      <w:bookmarkEnd w:id="133"/>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2400"/>
        <w:gridCol w:w="1500"/>
        <w:gridCol w:w="1798"/>
        <w:gridCol w:w="1735"/>
        <w:gridCol w:w="1116"/>
      </w:tblGrid>
      <w:tr w14:paraId="03F96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55" w:type="dxa"/>
            <w:noWrap w:val="0"/>
            <w:vAlign w:val="center"/>
          </w:tcPr>
          <w:p w14:paraId="07A831D6">
            <w:pPr>
              <w:pStyle w:val="19"/>
              <w:jc w:val="center"/>
              <w:rPr>
                <w:rFonts w:hint="eastAsia" w:ascii="宋体" w:hAnsi="宋体" w:eastAsia="宋体" w:cs="宋体"/>
                <w:sz w:val="24"/>
              </w:rPr>
            </w:pPr>
            <w:r>
              <w:rPr>
                <w:rFonts w:hint="eastAsia" w:ascii="宋体" w:hAnsi="宋体" w:eastAsia="宋体" w:cs="宋体"/>
                <w:sz w:val="24"/>
              </w:rPr>
              <w:t>序号</w:t>
            </w:r>
          </w:p>
        </w:tc>
        <w:tc>
          <w:tcPr>
            <w:tcW w:w="2400" w:type="dxa"/>
            <w:noWrap w:val="0"/>
            <w:vAlign w:val="center"/>
          </w:tcPr>
          <w:p w14:paraId="178FA336">
            <w:pPr>
              <w:pStyle w:val="19"/>
              <w:jc w:val="center"/>
              <w:rPr>
                <w:rFonts w:hint="eastAsia" w:ascii="宋体" w:hAnsi="宋体" w:eastAsia="宋体" w:cs="宋体"/>
                <w:sz w:val="24"/>
              </w:rPr>
            </w:pPr>
            <w:r>
              <w:rPr>
                <w:rFonts w:hint="eastAsia" w:ascii="宋体" w:hAnsi="宋体" w:eastAsia="宋体" w:cs="宋体"/>
                <w:sz w:val="24"/>
              </w:rPr>
              <w:t>项目名称</w:t>
            </w:r>
          </w:p>
        </w:tc>
        <w:tc>
          <w:tcPr>
            <w:tcW w:w="1500" w:type="dxa"/>
            <w:noWrap w:val="0"/>
            <w:vAlign w:val="center"/>
          </w:tcPr>
          <w:p w14:paraId="58A3AF2C">
            <w:pPr>
              <w:pStyle w:val="19"/>
              <w:jc w:val="center"/>
              <w:rPr>
                <w:rFonts w:hint="eastAsia" w:ascii="宋体" w:hAnsi="宋体" w:eastAsia="宋体" w:cs="宋体"/>
                <w:sz w:val="24"/>
              </w:rPr>
            </w:pPr>
            <w:r>
              <w:rPr>
                <w:rFonts w:hint="eastAsia" w:ascii="宋体" w:hAnsi="宋体" w:eastAsia="宋体" w:cs="宋体"/>
                <w:sz w:val="24"/>
              </w:rPr>
              <w:t>项目地址</w:t>
            </w:r>
          </w:p>
        </w:tc>
        <w:tc>
          <w:tcPr>
            <w:tcW w:w="1798" w:type="dxa"/>
            <w:noWrap w:val="0"/>
            <w:vAlign w:val="center"/>
          </w:tcPr>
          <w:p w14:paraId="17720A22">
            <w:pPr>
              <w:pStyle w:val="19"/>
              <w:jc w:val="center"/>
              <w:rPr>
                <w:rFonts w:hint="eastAsia" w:ascii="宋体" w:hAnsi="宋体" w:eastAsia="宋体" w:cs="宋体"/>
                <w:sz w:val="24"/>
              </w:rPr>
            </w:pPr>
            <w:r>
              <w:rPr>
                <w:rFonts w:hint="eastAsia" w:ascii="宋体" w:hAnsi="宋体" w:eastAsia="宋体" w:cs="宋体"/>
                <w:sz w:val="24"/>
              </w:rPr>
              <w:t>合同签订时间</w:t>
            </w:r>
          </w:p>
        </w:tc>
        <w:tc>
          <w:tcPr>
            <w:tcW w:w="1735" w:type="dxa"/>
            <w:noWrap w:val="0"/>
            <w:vAlign w:val="center"/>
          </w:tcPr>
          <w:p w14:paraId="49482F5F">
            <w:pPr>
              <w:pStyle w:val="19"/>
              <w:jc w:val="center"/>
              <w:rPr>
                <w:rFonts w:hint="eastAsia" w:ascii="宋体" w:hAnsi="宋体" w:eastAsia="宋体" w:cs="宋体"/>
                <w:sz w:val="24"/>
              </w:rPr>
            </w:pPr>
            <w:r>
              <w:rPr>
                <w:rFonts w:hint="eastAsia" w:ascii="宋体" w:hAnsi="宋体" w:eastAsia="宋体" w:cs="宋体"/>
                <w:sz w:val="24"/>
              </w:rPr>
              <w:t>业主联系人及联系电话</w:t>
            </w:r>
          </w:p>
        </w:tc>
        <w:tc>
          <w:tcPr>
            <w:tcW w:w="1116" w:type="dxa"/>
            <w:noWrap w:val="0"/>
            <w:vAlign w:val="center"/>
          </w:tcPr>
          <w:p w14:paraId="7CE9B234">
            <w:pPr>
              <w:pStyle w:val="19"/>
              <w:jc w:val="center"/>
              <w:rPr>
                <w:rFonts w:hint="eastAsia" w:ascii="宋体" w:hAnsi="宋体" w:eastAsia="宋体" w:cs="宋体"/>
                <w:sz w:val="24"/>
              </w:rPr>
            </w:pPr>
            <w:r>
              <w:rPr>
                <w:rFonts w:hint="eastAsia" w:ascii="宋体" w:hAnsi="宋体" w:eastAsia="宋体" w:cs="宋体"/>
                <w:sz w:val="24"/>
              </w:rPr>
              <w:t>备  注</w:t>
            </w:r>
          </w:p>
        </w:tc>
      </w:tr>
      <w:tr w14:paraId="541A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15A788C6">
            <w:pPr>
              <w:pStyle w:val="19"/>
              <w:jc w:val="center"/>
              <w:rPr>
                <w:rFonts w:hint="eastAsia" w:ascii="宋体" w:hAnsi="宋体" w:eastAsia="宋体" w:cs="宋体"/>
                <w:sz w:val="24"/>
              </w:rPr>
            </w:pPr>
            <w:r>
              <w:rPr>
                <w:rFonts w:hint="eastAsia" w:ascii="宋体" w:hAnsi="宋体" w:eastAsia="宋体" w:cs="宋体"/>
                <w:sz w:val="24"/>
              </w:rPr>
              <w:t>1</w:t>
            </w:r>
          </w:p>
        </w:tc>
        <w:tc>
          <w:tcPr>
            <w:tcW w:w="2400" w:type="dxa"/>
            <w:noWrap w:val="0"/>
            <w:vAlign w:val="center"/>
          </w:tcPr>
          <w:p w14:paraId="497C248A">
            <w:pPr>
              <w:pStyle w:val="19"/>
              <w:jc w:val="center"/>
              <w:rPr>
                <w:rFonts w:hint="eastAsia" w:ascii="宋体" w:hAnsi="宋体" w:eastAsia="宋体" w:cs="宋体"/>
                <w:sz w:val="24"/>
              </w:rPr>
            </w:pPr>
          </w:p>
        </w:tc>
        <w:tc>
          <w:tcPr>
            <w:tcW w:w="1500" w:type="dxa"/>
            <w:noWrap w:val="0"/>
            <w:vAlign w:val="center"/>
          </w:tcPr>
          <w:p w14:paraId="57005C06">
            <w:pPr>
              <w:pStyle w:val="19"/>
              <w:jc w:val="center"/>
              <w:rPr>
                <w:rFonts w:hint="eastAsia" w:ascii="宋体" w:hAnsi="宋体" w:eastAsia="宋体" w:cs="宋体"/>
                <w:sz w:val="24"/>
              </w:rPr>
            </w:pPr>
          </w:p>
        </w:tc>
        <w:tc>
          <w:tcPr>
            <w:tcW w:w="1798" w:type="dxa"/>
            <w:noWrap w:val="0"/>
            <w:vAlign w:val="center"/>
          </w:tcPr>
          <w:p w14:paraId="1365F42B">
            <w:pPr>
              <w:pStyle w:val="19"/>
              <w:jc w:val="center"/>
              <w:rPr>
                <w:rFonts w:hint="eastAsia" w:ascii="宋体" w:hAnsi="宋体" w:eastAsia="宋体" w:cs="宋体"/>
                <w:sz w:val="24"/>
              </w:rPr>
            </w:pPr>
          </w:p>
        </w:tc>
        <w:tc>
          <w:tcPr>
            <w:tcW w:w="1735" w:type="dxa"/>
            <w:noWrap w:val="0"/>
            <w:vAlign w:val="center"/>
          </w:tcPr>
          <w:p w14:paraId="71DC5E4B">
            <w:pPr>
              <w:pStyle w:val="19"/>
              <w:jc w:val="center"/>
              <w:rPr>
                <w:rFonts w:hint="eastAsia" w:ascii="宋体" w:hAnsi="宋体" w:eastAsia="宋体" w:cs="宋体"/>
                <w:sz w:val="24"/>
              </w:rPr>
            </w:pPr>
          </w:p>
        </w:tc>
        <w:tc>
          <w:tcPr>
            <w:tcW w:w="1116" w:type="dxa"/>
            <w:noWrap w:val="0"/>
            <w:vAlign w:val="center"/>
          </w:tcPr>
          <w:p w14:paraId="3877AB0E">
            <w:pPr>
              <w:pStyle w:val="19"/>
              <w:jc w:val="center"/>
              <w:rPr>
                <w:rFonts w:hint="eastAsia" w:ascii="宋体" w:hAnsi="宋体" w:eastAsia="宋体" w:cs="宋体"/>
                <w:sz w:val="24"/>
              </w:rPr>
            </w:pPr>
          </w:p>
        </w:tc>
      </w:tr>
      <w:tr w14:paraId="34ED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356FF97A">
            <w:pPr>
              <w:pStyle w:val="19"/>
              <w:jc w:val="center"/>
              <w:rPr>
                <w:rFonts w:hint="eastAsia" w:ascii="宋体" w:hAnsi="宋体" w:eastAsia="宋体" w:cs="宋体"/>
                <w:sz w:val="24"/>
              </w:rPr>
            </w:pPr>
            <w:r>
              <w:rPr>
                <w:rFonts w:hint="eastAsia" w:ascii="宋体" w:hAnsi="宋体" w:eastAsia="宋体" w:cs="宋体"/>
                <w:sz w:val="24"/>
              </w:rPr>
              <w:t>2</w:t>
            </w:r>
          </w:p>
        </w:tc>
        <w:tc>
          <w:tcPr>
            <w:tcW w:w="2400" w:type="dxa"/>
            <w:noWrap w:val="0"/>
            <w:vAlign w:val="center"/>
          </w:tcPr>
          <w:p w14:paraId="7B8A24A3">
            <w:pPr>
              <w:pStyle w:val="19"/>
              <w:jc w:val="center"/>
              <w:rPr>
                <w:rFonts w:hint="eastAsia" w:ascii="宋体" w:hAnsi="宋体" w:eastAsia="宋体" w:cs="宋体"/>
                <w:sz w:val="24"/>
              </w:rPr>
            </w:pPr>
          </w:p>
        </w:tc>
        <w:tc>
          <w:tcPr>
            <w:tcW w:w="1500" w:type="dxa"/>
            <w:noWrap w:val="0"/>
            <w:vAlign w:val="center"/>
          </w:tcPr>
          <w:p w14:paraId="678187A9">
            <w:pPr>
              <w:pStyle w:val="19"/>
              <w:jc w:val="center"/>
              <w:rPr>
                <w:rFonts w:hint="eastAsia" w:ascii="宋体" w:hAnsi="宋体" w:eastAsia="宋体" w:cs="宋体"/>
                <w:sz w:val="24"/>
              </w:rPr>
            </w:pPr>
          </w:p>
        </w:tc>
        <w:tc>
          <w:tcPr>
            <w:tcW w:w="1798" w:type="dxa"/>
            <w:noWrap w:val="0"/>
            <w:vAlign w:val="center"/>
          </w:tcPr>
          <w:p w14:paraId="4D596401">
            <w:pPr>
              <w:pStyle w:val="19"/>
              <w:jc w:val="center"/>
              <w:rPr>
                <w:rFonts w:hint="eastAsia" w:ascii="宋体" w:hAnsi="宋体" w:eastAsia="宋体" w:cs="宋体"/>
                <w:sz w:val="24"/>
              </w:rPr>
            </w:pPr>
          </w:p>
        </w:tc>
        <w:tc>
          <w:tcPr>
            <w:tcW w:w="1735" w:type="dxa"/>
            <w:noWrap w:val="0"/>
            <w:vAlign w:val="center"/>
          </w:tcPr>
          <w:p w14:paraId="1B23EA6F">
            <w:pPr>
              <w:pStyle w:val="19"/>
              <w:jc w:val="center"/>
              <w:rPr>
                <w:rFonts w:hint="eastAsia" w:ascii="宋体" w:hAnsi="宋体" w:eastAsia="宋体" w:cs="宋体"/>
                <w:sz w:val="24"/>
              </w:rPr>
            </w:pPr>
          </w:p>
        </w:tc>
        <w:tc>
          <w:tcPr>
            <w:tcW w:w="1116" w:type="dxa"/>
            <w:noWrap w:val="0"/>
            <w:vAlign w:val="center"/>
          </w:tcPr>
          <w:p w14:paraId="0690E4C0">
            <w:pPr>
              <w:pStyle w:val="19"/>
              <w:jc w:val="center"/>
              <w:rPr>
                <w:rFonts w:hint="eastAsia" w:ascii="宋体" w:hAnsi="宋体" w:eastAsia="宋体" w:cs="宋体"/>
                <w:sz w:val="24"/>
              </w:rPr>
            </w:pPr>
          </w:p>
        </w:tc>
      </w:tr>
      <w:tr w14:paraId="028C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1AC07695">
            <w:pPr>
              <w:pStyle w:val="19"/>
              <w:jc w:val="center"/>
              <w:rPr>
                <w:rFonts w:hint="eastAsia" w:ascii="宋体" w:hAnsi="宋体" w:eastAsia="宋体" w:cs="宋体"/>
                <w:sz w:val="24"/>
              </w:rPr>
            </w:pPr>
            <w:r>
              <w:rPr>
                <w:rFonts w:hint="eastAsia" w:ascii="宋体" w:hAnsi="宋体" w:eastAsia="宋体" w:cs="宋体"/>
                <w:sz w:val="24"/>
              </w:rPr>
              <w:t>3</w:t>
            </w:r>
          </w:p>
        </w:tc>
        <w:tc>
          <w:tcPr>
            <w:tcW w:w="2400" w:type="dxa"/>
            <w:noWrap w:val="0"/>
            <w:vAlign w:val="center"/>
          </w:tcPr>
          <w:p w14:paraId="54069226">
            <w:pPr>
              <w:pStyle w:val="19"/>
              <w:jc w:val="center"/>
              <w:rPr>
                <w:rFonts w:hint="eastAsia" w:ascii="宋体" w:hAnsi="宋体" w:eastAsia="宋体" w:cs="宋体"/>
                <w:sz w:val="24"/>
              </w:rPr>
            </w:pPr>
          </w:p>
        </w:tc>
        <w:tc>
          <w:tcPr>
            <w:tcW w:w="1500" w:type="dxa"/>
            <w:noWrap w:val="0"/>
            <w:vAlign w:val="center"/>
          </w:tcPr>
          <w:p w14:paraId="782A7BE1">
            <w:pPr>
              <w:pStyle w:val="19"/>
              <w:jc w:val="center"/>
              <w:rPr>
                <w:rFonts w:hint="eastAsia" w:ascii="宋体" w:hAnsi="宋体" w:eastAsia="宋体" w:cs="宋体"/>
                <w:sz w:val="24"/>
              </w:rPr>
            </w:pPr>
          </w:p>
        </w:tc>
        <w:tc>
          <w:tcPr>
            <w:tcW w:w="1798" w:type="dxa"/>
            <w:noWrap w:val="0"/>
            <w:vAlign w:val="center"/>
          </w:tcPr>
          <w:p w14:paraId="69A35319">
            <w:pPr>
              <w:pStyle w:val="19"/>
              <w:jc w:val="center"/>
              <w:rPr>
                <w:rFonts w:hint="eastAsia" w:ascii="宋体" w:hAnsi="宋体" w:eastAsia="宋体" w:cs="宋体"/>
                <w:sz w:val="24"/>
              </w:rPr>
            </w:pPr>
          </w:p>
        </w:tc>
        <w:tc>
          <w:tcPr>
            <w:tcW w:w="1735" w:type="dxa"/>
            <w:noWrap w:val="0"/>
            <w:vAlign w:val="center"/>
          </w:tcPr>
          <w:p w14:paraId="2C4A758E">
            <w:pPr>
              <w:pStyle w:val="19"/>
              <w:jc w:val="center"/>
              <w:rPr>
                <w:rFonts w:hint="eastAsia" w:ascii="宋体" w:hAnsi="宋体" w:eastAsia="宋体" w:cs="宋体"/>
                <w:sz w:val="24"/>
              </w:rPr>
            </w:pPr>
          </w:p>
        </w:tc>
        <w:tc>
          <w:tcPr>
            <w:tcW w:w="1116" w:type="dxa"/>
            <w:noWrap w:val="0"/>
            <w:vAlign w:val="center"/>
          </w:tcPr>
          <w:p w14:paraId="75936637">
            <w:pPr>
              <w:pStyle w:val="19"/>
              <w:jc w:val="center"/>
              <w:rPr>
                <w:rFonts w:hint="eastAsia" w:ascii="宋体" w:hAnsi="宋体" w:eastAsia="宋体" w:cs="宋体"/>
                <w:sz w:val="24"/>
              </w:rPr>
            </w:pPr>
          </w:p>
        </w:tc>
      </w:tr>
      <w:tr w14:paraId="26A1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5F8C996F">
            <w:pPr>
              <w:pStyle w:val="19"/>
              <w:jc w:val="center"/>
              <w:rPr>
                <w:rFonts w:hint="eastAsia" w:ascii="宋体" w:hAnsi="宋体" w:eastAsia="宋体" w:cs="宋体"/>
                <w:sz w:val="24"/>
              </w:rPr>
            </w:pPr>
            <w:r>
              <w:rPr>
                <w:rFonts w:hint="eastAsia" w:ascii="宋体" w:hAnsi="宋体" w:eastAsia="宋体" w:cs="宋体"/>
                <w:sz w:val="24"/>
              </w:rPr>
              <w:t>4</w:t>
            </w:r>
          </w:p>
        </w:tc>
        <w:tc>
          <w:tcPr>
            <w:tcW w:w="2400" w:type="dxa"/>
            <w:noWrap w:val="0"/>
            <w:vAlign w:val="center"/>
          </w:tcPr>
          <w:p w14:paraId="5B5C9AFD">
            <w:pPr>
              <w:pStyle w:val="19"/>
              <w:jc w:val="center"/>
              <w:rPr>
                <w:rFonts w:hint="eastAsia" w:ascii="宋体" w:hAnsi="宋体" w:eastAsia="宋体" w:cs="宋体"/>
                <w:sz w:val="24"/>
              </w:rPr>
            </w:pPr>
          </w:p>
        </w:tc>
        <w:tc>
          <w:tcPr>
            <w:tcW w:w="1500" w:type="dxa"/>
            <w:noWrap w:val="0"/>
            <w:vAlign w:val="center"/>
          </w:tcPr>
          <w:p w14:paraId="2BBEAE03">
            <w:pPr>
              <w:pStyle w:val="19"/>
              <w:jc w:val="center"/>
              <w:rPr>
                <w:rFonts w:hint="eastAsia" w:ascii="宋体" w:hAnsi="宋体" w:eastAsia="宋体" w:cs="宋体"/>
                <w:sz w:val="24"/>
              </w:rPr>
            </w:pPr>
          </w:p>
        </w:tc>
        <w:tc>
          <w:tcPr>
            <w:tcW w:w="1798" w:type="dxa"/>
            <w:noWrap w:val="0"/>
            <w:vAlign w:val="center"/>
          </w:tcPr>
          <w:p w14:paraId="2FB58283">
            <w:pPr>
              <w:pStyle w:val="19"/>
              <w:jc w:val="center"/>
              <w:rPr>
                <w:rFonts w:hint="eastAsia" w:ascii="宋体" w:hAnsi="宋体" w:eastAsia="宋体" w:cs="宋体"/>
                <w:sz w:val="24"/>
              </w:rPr>
            </w:pPr>
          </w:p>
        </w:tc>
        <w:tc>
          <w:tcPr>
            <w:tcW w:w="1735" w:type="dxa"/>
            <w:noWrap w:val="0"/>
            <w:vAlign w:val="center"/>
          </w:tcPr>
          <w:p w14:paraId="62C5EF50">
            <w:pPr>
              <w:pStyle w:val="19"/>
              <w:jc w:val="center"/>
              <w:rPr>
                <w:rFonts w:hint="eastAsia" w:ascii="宋体" w:hAnsi="宋体" w:eastAsia="宋体" w:cs="宋体"/>
                <w:sz w:val="24"/>
              </w:rPr>
            </w:pPr>
          </w:p>
        </w:tc>
        <w:tc>
          <w:tcPr>
            <w:tcW w:w="1116" w:type="dxa"/>
            <w:noWrap w:val="0"/>
            <w:vAlign w:val="center"/>
          </w:tcPr>
          <w:p w14:paraId="31938BBB">
            <w:pPr>
              <w:pStyle w:val="19"/>
              <w:jc w:val="center"/>
              <w:rPr>
                <w:rFonts w:hint="eastAsia" w:ascii="宋体" w:hAnsi="宋体" w:eastAsia="宋体" w:cs="宋体"/>
                <w:sz w:val="24"/>
              </w:rPr>
            </w:pPr>
          </w:p>
        </w:tc>
      </w:tr>
      <w:tr w14:paraId="60BF8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525F8C56">
            <w:pPr>
              <w:pStyle w:val="19"/>
              <w:jc w:val="center"/>
              <w:rPr>
                <w:rFonts w:hint="eastAsia" w:ascii="宋体" w:hAnsi="宋体" w:eastAsia="宋体" w:cs="宋体"/>
                <w:sz w:val="24"/>
              </w:rPr>
            </w:pPr>
            <w:r>
              <w:rPr>
                <w:rFonts w:hint="eastAsia" w:ascii="宋体" w:hAnsi="宋体" w:eastAsia="宋体" w:cs="宋体"/>
                <w:sz w:val="24"/>
              </w:rPr>
              <w:t>…</w:t>
            </w:r>
          </w:p>
        </w:tc>
        <w:tc>
          <w:tcPr>
            <w:tcW w:w="2400" w:type="dxa"/>
            <w:tcBorders>
              <w:bottom w:val="single" w:color="auto" w:sz="4" w:space="0"/>
            </w:tcBorders>
            <w:noWrap w:val="0"/>
            <w:vAlign w:val="center"/>
          </w:tcPr>
          <w:p w14:paraId="4EE78441">
            <w:pPr>
              <w:pStyle w:val="19"/>
              <w:jc w:val="center"/>
              <w:rPr>
                <w:rFonts w:hint="eastAsia" w:ascii="宋体" w:hAnsi="宋体" w:eastAsia="宋体" w:cs="宋体"/>
                <w:sz w:val="24"/>
              </w:rPr>
            </w:pPr>
          </w:p>
        </w:tc>
        <w:tc>
          <w:tcPr>
            <w:tcW w:w="1500" w:type="dxa"/>
            <w:tcBorders>
              <w:bottom w:val="single" w:color="auto" w:sz="4" w:space="0"/>
            </w:tcBorders>
            <w:noWrap w:val="0"/>
            <w:vAlign w:val="center"/>
          </w:tcPr>
          <w:p w14:paraId="6F9EDC33">
            <w:pPr>
              <w:pStyle w:val="19"/>
              <w:jc w:val="center"/>
              <w:rPr>
                <w:rFonts w:hint="eastAsia" w:ascii="宋体" w:hAnsi="宋体" w:eastAsia="宋体" w:cs="宋体"/>
                <w:sz w:val="24"/>
              </w:rPr>
            </w:pPr>
          </w:p>
        </w:tc>
        <w:tc>
          <w:tcPr>
            <w:tcW w:w="1798" w:type="dxa"/>
            <w:tcBorders>
              <w:bottom w:val="single" w:color="auto" w:sz="4" w:space="0"/>
            </w:tcBorders>
            <w:noWrap w:val="0"/>
            <w:vAlign w:val="center"/>
          </w:tcPr>
          <w:p w14:paraId="0480177A">
            <w:pPr>
              <w:pStyle w:val="19"/>
              <w:jc w:val="center"/>
              <w:rPr>
                <w:rFonts w:hint="eastAsia" w:ascii="宋体" w:hAnsi="宋体" w:eastAsia="宋体" w:cs="宋体"/>
                <w:sz w:val="24"/>
              </w:rPr>
            </w:pPr>
          </w:p>
          <w:bookmarkEnd w:id="129"/>
          <w:bookmarkEnd w:id="130"/>
          <w:bookmarkEnd w:id="131"/>
          <w:bookmarkEnd w:id="132"/>
        </w:tc>
        <w:tc>
          <w:tcPr>
            <w:tcW w:w="1735" w:type="dxa"/>
            <w:tcBorders>
              <w:bottom w:val="single" w:color="auto" w:sz="4" w:space="0"/>
            </w:tcBorders>
            <w:noWrap w:val="0"/>
            <w:vAlign w:val="center"/>
          </w:tcPr>
          <w:p w14:paraId="4A9EF8CA">
            <w:pPr>
              <w:pStyle w:val="19"/>
              <w:jc w:val="center"/>
              <w:rPr>
                <w:rFonts w:hint="eastAsia" w:ascii="宋体" w:hAnsi="宋体" w:eastAsia="宋体" w:cs="宋体"/>
                <w:sz w:val="24"/>
              </w:rPr>
            </w:pPr>
          </w:p>
        </w:tc>
        <w:tc>
          <w:tcPr>
            <w:tcW w:w="1116" w:type="dxa"/>
            <w:tcBorders>
              <w:bottom w:val="single" w:color="auto" w:sz="4" w:space="0"/>
            </w:tcBorders>
            <w:noWrap w:val="0"/>
            <w:vAlign w:val="center"/>
          </w:tcPr>
          <w:p w14:paraId="270E4F56">
            <w:pPr>
              <w:pStyle w:val="19"/>
              <w:jc w:val="center"/>
              <w:rPr>
                <w:rFonts w:hint="eastAsia" w:ascii="宋体" w:hAnsi="宋体" w:eastAsia="宋体" w:cs="宋体"/>
                <w:sz w:val="24"/>
              </w:rPr>
            </w:pPr>
          </w:p>
        </w:tc>
      </w:tr>
    </w:tbl>
    <w:p w14:paraId="0F5E1DBB">
      <w:pPr>
        <w:spacing w:line="440" w:lineRule="exact"/>
        <w:rPr>
          <w:rFonts w:hint="eastAsia" w:ascii="宋体" w:hAnsi="宋体" w:eastAsia="宋体" w:cs="宋体"/>
          <w:sz w:val="24"/>
          <w:szCs w:val="24"/>
        </w:rPr>
      </w:pPr>
      <w:r>
        <w:rPr>
          <w:rFonts w:hint="eastAsia" w:ascii="宋体" w:hAnsi="宋体" w:eastAsia="宋体" w:cs="宋体"/>
          <w:sz w:val="24"/>
          <w:szCs w:val="22"/>
        </w:rPr>
        <w:t>注：</w:t>
      </w:r>
      <w:r>
        <w:rPr>
          <w:rFonts w:hint="eastAsia" w:ascii="宋体" w:hAnsi="宋体" w:eastAsia="宋体" w:cs="宋体"/>
          <w:bCs/>
          <w:sz w:val="24"/>
          <w:szCs w:val="22"/>
        </w:rPr>
        <w:t>1、上述业绩应为供应商202</w:t>
      </w:r>
      <w:r>
        <w:rPr>
          <w:rFonts w:hint="eastAsia" w:ascii="宋体" w:hAnsi="宋体" w:eastAsia="宋体" w:cs="宋体"/>
          <w:bCs/>
          <w:sz w:val="24"/>
          <w:szCs w:val="22"/>
          <w:lang w:val="en-US" w:eastAsia="zh-CN"/>
        </w:rPr>
        <w:t>3</w:t>
      </w:r>
      <w:r>
        <w:rPr>
          <w:rFonts w:hint="eastAsia" w:ascii="宋体" w:hAnsi="宋体" w:eastAsia="宋体" w:cs="宋体"/>
          <w:bCs/>
          <w:sz w:val="24"/>
          <w:szCs w:val="22"/>
        </w:rPr>
        <w:t>年</w:t>
      </w:r>
      <w:r>
        <w:rPr>
          <w:rFonts w:hint="eastAsia" w:ascii="宋体" w:hAnsi="宋体" w:eastAsia="宋体" w:cs="宋体"/>
          <w:bCs/>
          <w:sz w:val="24"/>
          <w:szCs w:val="22"/>
          <w:lang w:val="en-US" w:eastAsia="zh-CN"/>
        </w:rPr>
        <w:t>11</w:t>
      </w:r>
      <w:r>
        <w:rPr>
          <w:rFonts w:hint="eastAsia" w:ascii="宋体" w:hAnsi="宋体" w:eastAsia="宋体" w:cs="宋体"/>
          <w:bCs/>
          <w:sz w:val="24"/>
          <w:szCs w:val="22"/>
        </w:rPr>
        <w:t>月1日（以合同签订时间为准）至今实施的电子卷宗或无纸化类服务项目业绩情况</w:t>
      </w:r>
      <w:r>
        <w:rPr>
          <w:rFonts w:hint="eastAsia" w:ascii="宋体" w:hAnsi="宋体" w:eastAsia="宋体" w:cs="宋体"/>
          <w:sz w:val="24"/>
          <w:szCs w:val="24"/>
        </w:rPr>
        <w:t>。</w:t>
      </w:r>
    </w:p>
    <w:p w14:paraId="648E31E2">
      <w:pPr>
        <w:spacing w:line="440" w:lineRule="exact"/>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rPr>
        <w:t>2、响应文件中提供业绩相关合同（应包括合同首页、标的金额所在页、签字盖章页等）</w:t>
      </w:r>
      <w:r>
        <w:rPr>
          <w:rFonts w:hint="eastAsia" w:ascii="宋体" w:hAnsi="宋体" w:eastAsia="宋体" w:cs="宋体"/>
          <w:b/>
          <w:bCs/>
          <w:sz w:val="24"/>
          <w:szCs w:val="24"/>
          <w:lang w:val="en-US" w:eastAsia="zh-CN"/>
        </w:rPr>
        <w:t>证明材料。</w:t>
      </w:r>
    </w:p>
    <w:p w14:paraId="2CB880AE">
      <w:pPr>
        <w:spacing w:line="440" w:lineRule="exact"/>
        <w:ind w:firstLine="480"/>
        <w:rPr>
          <w:rFonts w:hint="eastAsia" w:ascii="宋体" w:hAnsi="宋体" w:eastAsia="宋体" w:cs="宋体"/>
          <w:bCs/>
          <w:sz w:val="24"/>
          <w:szCs w:val="22"/>
        </w:rPr>
      </w:pPr>
      <w:r>
        <w:rPr>
          <w:rFonts w:hint="eastAsia" w:ascii="宋体" w:hAnsi="宋体" w:eastAsia="宋体" w:cs="宋体"/>
          <w:bCs/>
          <w:sz w:val="24"/>
          <w:szCs w:val="22"/>
        </w:rPr>
        <w:t>3、如有需要说明的事项，请在备注中列明。</w:t>
      </w:r>
    </w:p>
    <w:p w14:paraId="57F2D6CB">
      <w:pPr>
        <w:spacing w:line="440" w:lineRule="exact"/>
        <w:ind w:firstLine="480"/>
        <w:rPr>
          <w:rFonts w:hint="eastAsia" w:ascii="宋体" w:hAnsi="宋体" w:eastAsia="宋体" w:cs="宋体"/>
          <w:sz w:val="24"/>
          <w:szCs w:val="22"/>
        </w:rPr>
      </w:pPr>
      <w:r>
        <w:rPr>
          <w:rFonts w:hint="eastAsia" w:ascii="宋体" w:hAnsi="宋体" w:eastAsia="宋体" w:cs="宋体"/>
          <w:bCs/>
          <w:sz w:val="24"/>
          <w:szCs w:val="22"/>
        </w:rPr>
        <w:t>4、</w:t>
      </w:r>
      <w:r>
        <w:rPr>
          <w:rFonts w:hint="eastAsia" w:ascii="宋体" w:hAnsi="宋体" w:eastAsia="宋体" w:cs="宋体"/>
          <w:sz w:val="24"/>
          <w:szCs w:val="22"/>
        </w:rPr>
        <w:t>我方在此声明，我方所提供的以上资料均真实和准确；我方保证上述信息的真实和准确，并愿意承担因我方就此弄虚作假所引起的一切法律后果。</w:t>
      </w:r>
    </w:p>
    <w:p w14:paraId="6EDDF5CA">
      <w:pPr>
        <w:spacing w:line="440" w:lineRule="exact"/>
        <w:rPr>
          <w:rFonts w:hint="eastAsia" w:ascii="宋体" w:hAnsi="宋体" w:eastAsia="宋体" w:cs="宋体"/>
          <w:sz w:val="24"/>
          <w:szCs w:val="22"/>
        </w:rPr>
      </w:pPr>
    </w:p>
    <w:sectPr>
      <w:footerReference r:id="rId11" w:type="first"/>
      <w:headerReference r:id="rId8" w:type="default"/>
      <w:footerReference r:id="rId9" w:type="default"/>
      <w:footerReference r:id="rId10" w:type="even"/>
      <w:pgSz w:w="11907" w:h="16840"/>
      <w:pgMar w:top="1440" w:right="1080" w:bottom="1440" w:left="1080" w:header="567"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C064E">
    <w:pPr>
      <w:pStyle w:val="32"/>
      <w:jc w:val="center"/>
    </w:pPr>
  </w:p>
  <w:p w14:paraId="0E59C7E0">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A8A55">
    <w:pPr>
      <w:pStyle w:val="32"/>
      <w:jc w:val="center"/>
    </w:pPr>
    <w:r>
      <mc:AlternateContent>
        <mc:Choice Requires="wps">
          <w:drawing>
            <wp:anchor distT="0" distB="0" distL="114300" distR="114300" simplePos="0" relativeHeight="251659264" behindDoc="0" locked="0" layoutInCell="1" allowOverlap="1">
              <wp:simplePos x="0" y="0"/>
              <wp:positionH relativeFrom="margin">
                <wp:posOffset>2639060</wp:posOffset>
              </wp:positionH>
              <wp:positionV relativeFrom="paragraph">
                <wp:posOffset>-111760</wp:posOffset>
              </wp:positionV>
              <wp:extent cx="1057275" cy="1822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057275" cy="182245"/>
                      </a:xfrm>
                      <a:prstGeom prst="rect">
                        <a:avLst/>
                      </a:prstGeom>
                      <a:noFill/>
                      <a:ln>
                        <a:noFill/>
                        <a:miter/>
                      </a:ln>
                    </wps:spPr>
                    <wps:txbx>
                      <w:txbxContent>
                        <w:p w14:paraId="73E1F551">
                          <w:pPr>
                            <w:pStyle w:val="32"/>
                          </w:pPr>
                          <w:r>
                            <w:t xml:space="preserve">第 </w:t>
                          </w:r>
                          <w:r>
                            <w:fldChar w:fldCharType="begin"/>
                          </w:r>
                          <w:r>
                            <w:instrText xml:space="preserve"> PAGE  \* MERGEFORMAT </w:instrText>
                          </w:r>
                          <w:r>
                            <w:fldChar w:fldCharType="separate"/>
                          </w:r>
                          <w:r>
                            <w:t>20</w:t>
                          </w:r>
                          <w:r>
                            <w:fldChar w:fldCharType="end"/>
                          </w:r>
                          <w:r>
                            <w:t xml:space="preserve"> 页 共</w:t>
                          </w:r>
                          <w:r>
                            <w:rPr>
                              <w:rFonts w:hint="eastAsia"/>
                              <w:lang w:val="en-US" w:eastAsia="zh-CN"/>
                            </w:rPr>
                            <w:t>56</w:t>
                          </w:r>
                          <w:r>
                            <w:t>页</w:t>
                          </w:r>
                        </w:p>
                      </w:txbxContent>
                    </wps:txbx>
                    <wps:bodyPr wrap="square" lIns="0" tIns="0" rIns="0" bIns="0" upright="1"/>
                  </wps:wsp>
                </a:graphicData>
              </a:graphic>
            </wp:anchor>
          </w:drawing>
        </mc:Choice>
        <mc:Fallback>
          <w:pict>
            <v:shape id="_x0000_s1026" o:spid="_x0000_s1026" o:spt="202" type="#_x0000_t202" style="position:absolute;left:0pt;margin-left:207.8pt;margin-top:-8.8pt;height:14.35pt;width:83.25pt;mso-position-horizontal-relative:margin;z-index:251659264;mso-width-relative:page;mso-height-relative:page;" filled="f" stroked="f" coordsize="21600,21600" o:gfxdata="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plRadkAAAAKAQAADwAAAAAAAAABACAA&#10;AAAiAAAAZHJzL2Rvd25yZXYueG1sUEsBAhQAFAAAAAgAh07iQHqj1e3TAQAAmAMAAA4AAAAAAAAA&#10;AQAgAAAAKAEAAGRycy9lMm9Eb2MueG1sUEsFBgAAAAAGAAYAWQEAAG0FAAAAAA==&#10;">
              <v:fill on="f" focussize="0,0"/>
              <v:stroke on="f" joinstyle="miter"/>
              <v:imagedata o:title=""/>
              <o:lock v:ext="edit" aspectratio="f"/>
              <v:textbox inset="0mm,0mm,0mm,0mm">
                <w:txbxContent>
                  <w:p w14:paraId="73E1F551">
                    <w:pPr>
                      <w:pStyle w:val="32"/>
                    </w:pPr>
                    <w:r>
                      <w:t xml:space="preserve">第 </w:t>
                    </w:r>
                    <w:r>
                      <w:fldChar w:fldCharType="begin"/>
                    </w:r>
                    <w:r>
                      <w:instrText xml:space="preserve"> PAGE  \* MERGEFORMAT </w:instrText>
                    </w:r>
                    <w:r>
                      <w:fldChar w:fldCharType="separate"/>
                    </w:r>
                    <w:r>
                      <w:t>20</w:t>
                    </w:r>
                    <w:r>
                      <w:fldChar w:fldCharType="end"/>
                    </w:r>
                    <w:r>
                      <w:t xml:space="preserve"> 页 共</w:t>
                    </w:r>
                    <w:r>
                      <w:rPr>
                        <w:rFonts w:hint="eastAsia"/>
                        <w:lang w:val="en-US" w:eastAsia="zh-CN"/>
                      </w:rPr>
                      <w:t>56</w:t>
                    </w:r>
                    <w:r>
                      <w:t>页</w:t>
                    </w:r>
                  </w:p>
                </w:txbxContent>
              </v:textbox>
            </v:shape>
          </w:pict>
        </mc:Fallback>
      </mc:AlternateContent>
    </w:r>
  </w:p>
  <w:p w14:paraId="67FA27AB">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B9A30">
    <w:pPr>
      <w:pStyle w:val="32"/>
    </w:pPr>
    <w:r>
      <mc:AlternateContent>
        <mc:Choice Requires="wps">
          <w:drawing>
            <wp:anchor distT="0" distB="0" distL="114300" distR="114300" simplePos="0" relativeHeight="251660288" behindDoc="0" locked="0" layoutInCell="1" allowOverlap="1">
              <wp:simplePos x="0" y="0"/>
              <wp:positionH relativeFrom="margin">
                <wp:posOffset>2639060</wp:posOffset>
              </wp:positionH>
              <wp:positionV relativeFrom="paragraph">
                <wp:posOffset>-111760</wp:posOffset>
              </wp:positionV>
              <wp:extent cx="1828800" cy="19113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91135"/>
                      </a:xfrm>
                      <a:prstGeom prst="rect">
                        <a:avLst/>
                      </a:prstGeom>
                      <a:noFill/>
                      <a:ln>
                        <a:noFill/>
                        <a:miter/>
                      </a:ln>
                    </wps:spPr>
                    <wps:txbx>
                      <w:txbxContent>
                        <w:p w14:paraId="1F1DA7E5">
                          <w:pPr>
                            <w:pStyle w:val="32"/>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lang w:val="en-US" w:eastAsia="zh-CN"/>
                            </w:rPr>
                            <w:t>56</w:t>
                          </w:r>
                          <w:r>
                            <w:t xml:space="preserve"> 页</w:t>
                          </w:r>
                        </w:p>
                      </w:txbxContent>
                    </wps:txbx>
                    <wps:bodyPr wrap="none" lIns="0" tIns="0" rIns="0" bIns="0" upright="1"/>
                  </wps:wsp>
                </a:graphicData>
              </a:graphic>
            </wp:anchor>
          </w:drawing>
        </mc:Choice>
        <mc:Fallback>
          <w:pict>
            <v:shape id="_x0000_s1026" o:spid="_x0000_s1026" o:spt="202" type="#_x0000_t202" style="position:absolute;left:0pt;margin-left:207.8pt;margin-top:-8.8pt;height:15.05pt;width:144pt;mso-position-horizontal-relative:margin;mso-wrap-style:none;z-index:251660288;mso-width-relative:page;mso-height-relative:page;" filled="f" stroked="f" coordsize="21600,21600" o:gfxdata="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jEwyf1wAAAAoBAAAPAAAAAAAAAAEAIAAAACIAAABk&#10;cnMvZG93bnJldi54bWxQSwECFAAUAAAACACHTuJA9wlQc84BAACWAwAADgAAAAAAAAABACAAAAAm&#10;AQAAZHJzL2Uyb0RvYy54bWxQSwUGAAAAAAYABgBZAQAAZgUAAAAA&#10;">
              <v:fill on="f" focussize="0,0"/>
              <v:stroke on="f" joinstyle="miter"/>
              <v:imagedata o:title=""/>
              <o:lock v:ext="edit" aspectratio="f"/>
              <v:textbox inset="0mm,0mm,0mm,0mm">
                <w:txbxContent>
                  <w:p w14:paraId="1F1DA7E5">
                    <w:pPr>
                      <w:pStyle w:val="32"/>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lang w:val="en-US" w:eastAsia="zh-CN"/>
                      </w:rPr>
                      <w:t>56</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87722">
    <w:pPr>
      <w:pStyle w:val="32"/>
      <w:ind w:right="360"/>
      <w:jc w:val="center"/>
    </w:pPr>
    <w:r>
      <mc:AlternateContent>
        <mc:Choice Requires="wps">
          <w:drawing>
            <wp:anchor distT="0" distB="0" distL="114300" distR="114300" simplePos="0" relativeHeight="251661312" behindDoc="0" locked="0" layoutInCell="1" allowOverlap="1">
              <wp:simplePos x="0" y="0"/>
              <wp:positionH relativeFrom="margin">
                <wp:posOffset>2694305</wp:posOffset>
              </wp:positionH>
              <wp:positionV relativeFrom="paragraph">
                <wp:posOffset>9525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62C243D1">
                          <w:pPr>
                            <w:pStyle w:val="32"/>
                          </w:pPr>
                          <w:r>
                            <w:t xml:space="preserve">第 </w:t>
                          </w:r>
                          <w:r>
                            <w:fldChar w:fldCharType="begin"/>
                          </w:r>
                          <w:r>
                            <w:instrText xml:space="preserve"> PAGE  \* MERGEFORMAT </w:instrText>
                          </w:r>
                          <w:r>
                            <w:fldChar w:fldCharType="separate"/>
                          </w:r>
                          <w:r>
                            <w:t>45</w:t>
                          </w:r>
                          <w:r>
                            <w:fldChar w:fldCharType="end"/>
                          </w:r>
                          <w:r>
                            <w:t xml:space="preserve"> 页 共</w:t>
                          </w:r>
                          <w:r>
                            <w:rPr>
                              <w:rFonts w:hint="eastAsia"/>
                              <w:lang w:val="en-US" w:eastAsia="zh-CN"/>
                            </w:rPr>
                            <w:t>56</w:t>
                          </w:r>
                          <w:r>
                            <w:t>页</w:t>
                          </w:r>
                        </w:p>
                      </w:txbxContent>
                    </wps:txbx>
                    <wps:bodyPr wrap="none" lIns="0" tIns="0" rIns="0" bIns="0" upright="1">
                      <a:spAutoFit/>
                    </wps:bodyPr>
                  </wps:wsp>
                </a:graphicData>
              </a:graphic>
            </wp:anchor>
          </w:drawing>
        </mc:Choice>
        <mc:Fallback>
          <w:pict>
            <v:shape id="_x0000_s1026" o:spid="_x0000_s1026" o:spt="202" type="#_x0000_t202" style="position:absolute;left:0pt;margin-left:212.15pt;margin-top:0.75pt;height:144pt;width:144pt;mso-position-horizontal-relative:margin;mso-wrap-style:none;z-index:251661312;mso-width-relative:page;mso-height-relative:page;" filled="f" stroked="f" coordsize="21600,21600" o:gfxdata="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mej2z1QAAAAkBAAAPAAAAAAAAAAEAIAAA&#10;ACIAAABkcnMvZG93bnJldi54bWxQSwECFAAUAAAACACHTuJAkk2Zl9YBAACxAwAADgAAAAAAAAAB&#10;ACAAAAAkAQAAZHJzL2Uyb0RvYy54bWxQSwUGAAAAAAYABgBZAQAAbAUAAAAA&#10;">
              <v:fill on="f" focussize="0,0"/>
              <v:stroke on="f" joinstyle="miter"/>
              <v:imagedata o:title=""/>
              <o:lock v:ext="edit" aspectratio="f"/>
              <v:textbox inset="0mm,0mm,0mm,0mm" style="mso-fit-shape-to-text:t;">
                <w:txbxContent>
                  <w:p w14:paraId="62C243D1">
                    <w:pPr>
                      <w:pStyle w:val="32"/>
                    </w:pPr>
                    <w:r>
                      <w:t xml:space="preserve">第 </w:t>
                    </w:r>
                    <w:r>
                      <w:fldChar w:fldCharType="begin"/>
                    </w:r>
                    <w:r>
                      <w:instrText xml:space="preserve"> PAGE  \* MERGEFORMAT </w:instrText>
                    </w:r>
                    <w:r>
                      <w:fldChar w:fldCharType="separate"/>
                    </w:r>
                    <w:r>
                      <w:t>45</w:t>
                    </w:r>
                    <w:r>
                      <w:fldChar w:fldCharType="end"/>
                    </w:r>
                    <w:r>
                      <w:t xml:space="preserve"> 页 共</w:t>
                    </w:r>
                    <w:r>
                      <w:rPr>
                        <w:rFonts w:hint="eastAsia"/>
                        <w:lang w:val="en-US" w:eastAsia="zh-CN"/>
                      </w:rPr>
                      <w:t>56</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82174">
    <w:pPr>
      <w:pStyle w:val="32"/>
      <w:framePr w:wrap="around" w:vAnchor="text" w:hAnchor="margin" w:xAlign="right" w:y="1"/>
      <w:rPr>
        <w:rStyle w:val="59"/>
      </w:rPr>
    </w:pPr>
    <w:r>
      <w:fldChar w:fldCharType="begin"/>
    </w:r>
    <w:r>
      <w:rPr>
        <w:rStyle w:val="59"/>
      </w:rPr>
      <w:instrText xml:space="preserve">PAGE  </w:instrText>
    </w:r>
    <w:r>
      <w:fldChar w:fldCharType="separate"/>
    </w:r>
    <w:r>
      <w:rPr>
        <w:rStyle w:val="59"/>
      </w:rPr>
      <w:t>16</w:t>
    </w:r>
    <w:r>
      <w:fldChar w:fldCharType="end"/>
    </w:r>
  </w:p>
  <w:p w14:paraId="023DEF29">
    <w:pPr>
      <w:pStyle w:val="3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769BF">
    <w:pPr>
      <w:pStyle w:val="3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03C0380">
                          <w:pPr>
                            <w:pStyle w:val="32"/>
                          </w:pPr>
                          <w:r>
                            <w:t xml:space="preserve">第 </w:t>
                          </w:r>
                          <w:r>
                            <w:fldChar w:fldCharType="begin"/>
                          </w:r>
                          <w:r>
                            <w:instrText xml:space="preserve"> PAGE  \* MERGEFORMAT </w:instrText>
                          </w:r>
                          <w:r>
                            <w:fldChar w:fldCharType="separate"/>
                          </w:r>
                          <w:r>
                            <w:t>29</w:t>
                          </w:r>
                          <w:r>
                            <w:fldChar w:fldCharType="end"/>
                          </w:r>
                          <w:r>
                            <w:t xml:space="preserve"> 页 共 </w:t>
                          </w:r>
                          <w:r>
                            <w:rPr>
                              <w:rFonts w:hint="eastAsia"/>
                              <w:lang w:val="en-US" w:eastAsia="zh-CN"/>
                            </w:rPr>
                            <w:t>56</w:t>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bIzKdYBAACxAwAADgAAAGRycy9lMm9Eb2MueG1srVNLjtswDN0X6B0E&#10;7Rs7AaY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ubIzKdYBAACxAwAADgAAAAAAAAABACAAAAAe&#10;AQAAZHJzL2Uyb0RvYy54bWxQSwUGAAAAAAYABgBZAQAAZgUAAAAA&#10;">
              <v:fill on="f" focussize="0,0"/>
              <v:stroke on="f" joinstyle="miter"/>
              <v:imagedata o:title=""/>
              <o:lock v:ext="edit" aspectratio="f"/>
              <v:textbox inset="0mm,0mm,0mm,0mm" style="mso-fit-shape-to-text:t;">
                <w:txbxContent>
                  <w:p w14:paraId="403C0380">
                    <w:pPr>
                      <w:pStyle w:val="32"/>
                    </w:pPr>
                    <w:r>
                      <w:t xml:space="preserve">第 </w:t>
                    </w:r>
                    <w:r>
                      <w:fldChar w:fldCharType="begin"/>
                    </w:r>
                    <w:r>
                      <w:instrText xml:space="preserve"> PAGE  \* MERGEFORMAT </w:instrText>
                    </w:r>
                    <w:r>
                      <w:fldChar w:fldCharType="separate"/>
                    </w:r>
                    <w:r>
                      <w:t>29</w:t>
                    </w:r>
                    <w:r>
                      <w:fldChar w:fldCharType="end"/>
                    </w:r>
                    <w:r>
                      <w:t xml:space="preserve"> 页 共 </w:t>
                    </w:r>
                    <w:r>
                      <w:rPr>
                        <w:rFonts w:hint="eastAsia"/>
                        <w:lang w:val="en-US" w:eastAsia="zh-CN"/>
                      </w:rPr>
                      <w:t>56</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22B31">
    <w:pPr>
      <w:pStyle w:val="34"/>
      <w:jc w:val="both"/>
      <w:rPr>
        <w:sz w:val="21"/>
        <w:szCs w:val="22"/>
      </w:rPr>
    </w:pPr>
  </w:p>
  <w:p w14:paraId="404AF1EF">
    <w:pPr>
      <w:pStyle w:val="34"/>
      <w:jc w:val="both"/>
      <w:rPr>
        <w:b/>
        <w:bCs/>
        <w:spacing w:val="6"/>
        <w:sz w:val="21"/>
      </w:rPr>
    </w:pPr>
  </w:p>
  <w:p w14:paraId="6100D522">
    <w:pPr>
      <w:pStyle w:val="34"/>
      <w:jc w:val="both"/>
      <w:rPr>
        <w:sz w:val="21"/>
        <w:szCs w:val="22"/>
      </w:rPr>
    </w:pPr>
    <w:r>
      <w:rPr>
        <w:rFonts w:hint="eastAsia"/>
        <w:b/>
        <w:bCs/>
        <w:spacing w:val="6"/>
        <w:sz w:val="21"/>
      </w:rPr>
      <w:t>江苏协诚工程咨询有限公司 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E840F">
    <w:pPr>
      <w:pStyle w:val="34"/>
      <w:jc w:val="both"/>
      <w:rPr>
        <w:b/>
        <w:bCs/>
        <w:spacing w:val="6"/>
        <w:sz w:val="21"/>
      </w:rPr>
    </w:pPr>
  </w:p>
  <w:p w14:paraId="162F8F0D">
    <w:pPr>
      <w:pStyle w:val="34"/>
      <w:jc w:val="both"/>
    </w:pPr>
    <w:r>
      <w:rPr>
        <w:rFonts w:hint="eastAsia"/>
        <w:b/>
        <w:bCs/>
        <w:spacing w:val="6"/>
        <w:sz w:val="21"/>
      </w:rPr>
      <w:t>江苏协诚工程咨询有限公司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F2060">
    <w:pPr>
      <w:pStyle w:val="34"/>
      <w:jc w:val="both"/>
      <w:rPr>
        <w:sz w:val="21"/>
        <w:szCs w:val="22"/>
      </w:rPr>
    </w:pPr>
  </w:p>
  <w:p w14:paraId="1D1E7377">
    <w:pPr>
      <w:pStyle w:val="34"/>
      <w:jc w:val="both"/>
      <w:rPr>
        <w:b/>
        <w:bCs/>
        <w:spacing w:val="6"/>
        <w:sz w:val="21"/>
      </w:rPr>
    </w:pPr>
  </w:p>
  <w:p w14:paraId="274BDB58">
    <w:pPr>
      <w:pStyle w:val="34"/>
      <w:jc w:val="both"/>
      <w:rPr>
        <w:sz w:val="21"/>
        <w:szCs w:val="22"/>
      </w:rPr>
    </w:pPr>
    <w:r>
      <w:rPr>
        <w:rFonts w:hint="eastAsia"/>
        <w:b/>
        <w:bCs/>
        <w:spacing w:val="6"/>
        <w:sz w:val="21"/>
      </w:rPr>
      <w:t>江苏协诚工程咨询有限公司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8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053208E"/>
    <w:multiLevelType w:val="multilevel"/>
    <w:tmpl w:val="0053208E"/>
    <w:lvl w:ilvl="0" w:tentative="0">
      <w:start w:val="1"/>
      <w:numFmt w:val="decimal"/>
      <w:pStyle w:val="282"/>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9ADCABA"/>
    <w:multiLevelType w:val="multilevel"/>
    <w:tmpl w:val="59ADCABA"/>
    <w:lvl w:ilvl="0" w:tentative="0">
      <w:start w:val="1"/>
      <w:numFmt w:val="decimal"/>
      <w:pStyle w:val="286"/>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70BE1"/>
    <w:rsid w:val="007B3B4F"/>
    <w:rsid w:val="01260E98"/>
    <w:rsid w:val="01480386"/>
    <w:rsid w:val="01A324E9"/>
    <w:rsid w:val="01FA47FF"/>
    <w:rsid w:val="022334F6"/>
    <w:rsid w:val="0236335D"/>
    <w:rsid w:val="023D0B8F"/>
    <w:rsid w:val="023E77F8"/>
    <w:rsid w:val="0281282A"/>
    <w:rsid w:val="02D065FC"/>
    <w:rsid w:val="02D908B8"/>
    <w:rsid w:val="030946F6"/>
    <w:rsid w:val="03563CB7"/>
    <w:rsid w:val="03604B36"/>
    <w:rsid w:val="039F19A1"/>
    <w:rsid w:val="03A32C74"/>
    <w:rsid w:val="03A52548"/>
    <w:rsid w:val="03B94246"/>
    <w:rsid w:val="03CD1A9F"/>
    <w:rsid w:val="040F7D84"/>
    <w:rsid w:val="043B4C5B"/>
    <w:rsid w:val="046E6DDE"/>
    <w:rsid w:val="048E122E"/>
    <w:rsid w:val="04B36EE7"/>
    <w:rsid w:val="04BD38C2"/>
    <w:rsid w:val="04DF1A8A"/>
    <w:rsid w:val="04EA6DAD"/>
    <w:rsid w:val="05832D5D"/>
    <w:rsid w:val="05D630AE"/>
    <w:rsid w:val="05FE2581"/>
    <w:rsid w:val="060774EA"/>
    <w:rsid w:val="061816F7"/>
    <w:rsid w:val="065B15E4"/>
    <w:rsid w:val="065E5E2B"/>
    <w:rsid w:val="069468A4"/>
    <w:rsid w:val="06AE7966"/>
    <w:rsid w:val="06CB49BC"/>
    <w:rsid w:val="06E67100"/>
    <w:rsid w:val="070C28DE"/>
    <w:rsid w:val="0768220B"/>
    <w:rsid w:val="07A51FB2"/>
    <w:rsid w:val="07AF7E3A"/>
    <w:rsid w:val="07B23486"/>
    <w:rsid w:val="07C03DF5"/>
    <w:rsid w:val="07CD4764"/>
    <w:rsid w:val="07CE7947"/>
    <w:rsid w:val="08256BE2"/>
    <w:rsid w:val="08A75B88"/>
    <w:rsid w:val="08B80F70"/>
    <w:rsid w:val="08C72F61"/>
    <w:rsid w:val="094822F4"/>
    <w:rsid w:val="096E7880"/>
    <w:rsid w:val="0A00672A"/>
    <w:rsid w:val="0A126E0F"/>
    <w:rsid w:val="0A36214C"/>
    <w:rsid w:val="0A5D1DCF"/>
    <w:rsid w:val="0AD025A1"/>
    <w:rsid w:val="0AD35BED"/>
    <w:rsid w:val="0AD96F7B"/>
    <w:rsid w:val="0ADB2CF4"/>
    <w:rsid w:val="0AE86EE0"/>
    <w:rsid w:val="0B04049C"/>
    <w:rsid w:val="0B6977BA"/>
    <w:rsid w:val="0B7C6285"/>
    <w:rsid w:val="0BB43C70"/>
    <w:rsid w:val="0BD522B2"/>
    <w:rsid w:val="0BDE6F3F"/>
    <w:rsid w:val="0C085D6A"/>
    <w:rsid w:val="0C4A769D"/>
    <w:rsid w:val="0D041841"/>
    <w:rsid w:val="0D2E1801"/>
    <w:rsid w:val="0D682F64"/>
    <w:rsid w:val="0DD26630"/>
    <w:rsid w:val="0DF742E8"/>
    <w:rsid w:val="0E010CC3"/>
    <w:rsid w:val="0E0D7668"/>
    <w:rsid w:val="0E4D02AF"/>
    <w:rsid w:val="0EA602D3"/>
    <w:rsid w:val="0EE859DF"/>
    <w:rsid w:val="0EF40828"/>
    <w:rsid w:val="0F01570B"/>
    <w:rsid w:val="0F4C0664"/>
    <w:rsid w:val="0FDA7A1E"/>
    <w:rsid w:val="100D7DF3"/>
    <w:rsid w:val="10863702"/>
    <w:rsid w:val="110E1D8B"/>
    <w:rsid w:val="116B3023"/>
    <w:rsid w:val="1170063A"/>
    <w:rsid w:val="11AC53EA"/>
    <w:rsid w:val="11BD75F7"/>
    <w:rsid w:val="11C72224"/>
    <w:rsid w:val="12442D1E"/>
    <w:rsid w:val="127F665A"/>
    <w:rsid w:val="12D469A6"/>
    <w:rsid w:val="12F63DBA"/>
    <w:rsid w:val="13274D28"/>
    <w:rsid w:val="133E02C4"/>
    <w:rsid w:val="134D0507"/>
    <w:rsid w:val="138022B2"/>
    <w:rsid w:val="13906D71"/>
    <w:rsid w:val="13A22600"/>
    <w:rsid w:val="13B50586"/>
    <w:rsid w:val="14264FE0"/>
    <w:rsid w:val="148E0DD7"/>
    <w:rsid w:val="14C8253B"/>
    <w:rsid w:val="14DE58BA"/>
    <w:rsid w:val="14F0383F"/>
    <w:rsid w:val="14F450DE"/>
    <w:rsid w:val="150C0679"/>
    <w:rsid w:val="15B972E6"/>
    <w:rsid w:val="15C718CF"/>
    <w:rsid w:val="16161084"/>
    <w:rsid w:val="16273291"/>
    <w:rsid w:val="163A7468"/>
    <w:rsid w:val="16DB7867"/>
    <w:rsid w:val="170E4A76"/>
    <w:rsid w:val="17345C65"/>
    <w:rsid w:val="175F4C67"/>
    <w:rsid w:val="178C784F"/>
    <w:rsid w:val="181B5077"/>
    <w:rsid w:val="18521FF0"/>
    <w:rsid w:val="18561C0B"/>
    <w:rsid w:val="186679F5"/>
    <w:rsid w:val="187C78C4"/>
    <w:rsid w:val="19145E8E"/>
    <w:rsid w:val="194B31C6"/>
    <w:rsid w:val="19744A3F"/>
    <w:rsid w:val="19F65454"/>
    <w:rsid w:val="1A6D281E"/>
    <w:rsid w:val="1A6E76E0"/>
    <w:rsid w:val="1A9609E5"/>
    <w:rsid w:val="1A9D6217"/>
    <w:rsid w:val="1AE259D8"/>
    <w:rsid w:val="1B0E4A1F"/>
    <w:rsid w:val="1B210453"/>
    <w:rsid w:val="1B481CDF"/>
    <w:rsid w:val="1B6034CD"/>
    <w:rsid w:val="1C006A5E"/>
    <w:rsid w:val="1C0C5403"/>
    <w:rsid w:val="1C142509"/>
    <w:rsid w:val="1C502276"/>
    <w:rsid w:val="1C632FA6"/>
    <w:rsid w:val="1C6B037B"/>
    <w:rsid w:val="1C721A81"/>
    <w:rsid w:val="1C9176B6"/>
    <w:rsid w:val="1CBF06C7"/>
    <w:rsid w:val="1CD53A47"/>
    <w:rsid w:val="1CEE68B6"/>
    <w:rsid w:val="1D2624F4"/>
    <w:rsid w:val="1D882867"/>
    <w:rsid w:val="1DCC309C"/>
    <w:rsid w:val="1DEA3522"/>
    <w:rsid w:val="1E982F7E"/>
    <w:rsid w:val="1EE95587"/>
    <w:rsid w:val="1F136AA8"/>
    <w:rsid w:val="1F3031B6"/>
    <w:rsid w:val="1F751FAB"/>
    <w:rsid w:val="1F9E45C4"/>
    <w:rsid w:val="201168B8"/>
    <w:rsid w:val="201B5C14"/>
    <w:rsid w:val="20686980"/>
    <w:rsid w:val="206F7D0E"/>
    <w:rsid w:val="20B00A53"/>
    <w:rsid w:val="20B120D5"/>
    <w:rsid w:val="20FF72E4"/>
    <w:rsid w:val="210743EB"/>
    <w:rsid w:val="214116AB"/>
    <w:rsid w:val="21E85FCA"/>
    <w:rsid w:val="22126CD1"/>
    <w:rsid w:val="2230171F"/>
    <w:rsid w:val="226C09A9"/>
    <w:rsid w:val="22794E74"/>
    <w:rsid w:val="22BB36DF"/>
    <w:rsid w:val="22D2255C"/>
    <w:rsid w:val="22D47138"/>
    <w:rsid w:val="22F10EAE"/>
    <w:rsid w:val="2314325B"/>
    <w:rsid w:val="23160915"/>
    <w:rsid w:val="241D74B8"/>
    <w:rsid w:val="242157C3"/>
    <w:rsid w:val="24317FDD"/>
    <w:rsid w:val="24EC6239"/>
    <w:rsid w:val="253B4663"/>
    <w:rsid w:val="25441769"/>
    <w:rsid w:val="25D7082F"/>
    <w:rsid w:val="25F56F08"/>
    <w:rsid w:val="260F621B"/>
    <w:rsid w:val="26217CFD"/>
    <w:rsid w:val="26AF70B6"/>
    <w:rsid w:val="26D134D1"/>
    <w:rsid w:val="26F05634"/>
    <w:rsid w:val="27473793"/>
    <w:rsid w:val="27932534"/>
    <w:rsid w:val="27A6670B"/>
    <w:rsid w:val="27E17743"/>
    <w:rsid w:val="27EB05C2"/>
    <w:rsid w:val="27F154AD"/>
    <w:rsid w:val="281C077C"/>
    <w:rsid w:val="281C69CE"/>
    <w:rsid w:val="2823737E"/>
    <w:rsid w:val="287F6F5C"/>
    <w:rsid w:val="28B90058"/>
    <w:rsid w:val="28D9666D"/>
    <w:rsid w:val="28F94D1C"/>
    <w:rsid w:val="29345F99"/>
    <w:rsid w:val="298E7457"/>
    <w:rsid w:val="29A57C56"/>
    <w:rsid w:val="29DA08EE"/>
    <w:rsid w:val="2A1619CB"/>
    <w:rsid w:val="2A4915D0"/>
    <w:rsid w:val="2A7A3E7F"/>
    <w:rsid w:val="2A97058D"/>
    <w:rsid w:val="2AD25A69"/>
    <w:rsid w:val="2AF53506"/>
    <w:rsid w:val="2B14398C"/>
    <w:rsid w:val="2B2636BF"/>
    <w:rsid w:val="2B316B92"/>
    <w:rsid w:val="2B9351F9"/>
    <w:rsid w:val="2B9D6077"/>
    <w:rsid w:val="2BD77F86"/>
    <w:rsid w:val="2C2E0A7D"/>
    <w:rsid w:val="2C3D33B6"/>
    <w:rsid w:val="2CB82A3D"/>
    <w:rsid w:val="2CDE6947"/>
    <w:rsid w:val="2D2C76B3"/>
    <w:rsid w:val="2D834DF9"/>
    <w:rsid w:val="2D8868B3"/>
    <w:rsid w:val="2DB63420"/>
    <w:rsid w:val="2DD836A0"/>
    <w:rsid w:val="2E112405"/>
    <w:rsid w:val="2E1D6FFC"/>
    <w:rsid w:val="2E2A546B"/>
    <w:rsid w:val="2E4D4832"/>
    <w:rsid w:val="2EA94D33"/>
    <w:rsid w:val="2EB8661D"/>
    <w:rsid w:val="2F034443"/>
    <w:rsid w:val="2F1877C3"/>
    <w:rsid w:val="2F807842"/>
    <w:rsid w:val="2FC11C09"/>
    <w:rsid w:val="2FCF2577"/>
    <w:rsid w:val="306727B0"/>
    <w:rsid w:val="30C5759F"/>
    <w:rsid w:val="32026C34"/>
    <w:rsid w:val="32195D2C"/>
    <w:rsid w:val="32250B75"/>
    <w:rsid w:val="322E7A29"/>
    <w:rsid w:val="32372C6D"/>
    <w:rsid w:val="3276317E"/>
    <w:rsid w:val="32764F2C"/>
    <w:rsid w:val="327A0EC0"/>
    <w:rsid w:val="32964589"/>
    <w:rsid w:val="330D096F"/>
    <w:rsid w:val="332F5594"/>
    <w:rsid w:val="334119DE"/>
    <w:rsid w:val="33945FB2"/>
    <w:rsid w:val="33C00B55"/>
    <w:rsid w:val="34120C85"/>
    <w:rsid w:val="345117AD"/>
    <w:rsid w:val="34774AAC"/>
    <w:rsid w:val="356E45E1"/>
    <w:rsid w:val="359A7184"/>
    <w:rsid w:val="359C0F11"/>
    <w:rsid w:val="368F0CB2"/>
    <w:rsid w:val="368F2A60"/>
    <w:rsid w:val="36A95EC1"/>
    <w:rsid w:val="36C553EF"/>
    <w:rsid w:val="36FA25D0"/>
    <w:rsid w:val="371C2C73"/>
    <w:rsid w:val="37313B18"/>
    <w:rsid w:val="37554ADF"/>
    <w:rsid w:val="375F5AD7"/>
    <w:rsid w:val="376954D7"/>
    <w:rsid w:val="379540A7"/>
    <w:rsid w:val="37B704C1"/>
    <w:rsid w:val="37CB5D1A"/>
    <w:rsid w:val="380A4A95"/>
    <w:rsid w:val="380D6333"/>
    <w:rsid w:val="38752BB7"/>
    <w:rsid w:val="388E7474"/>
    <w:rsid w:val="388F4F9A"/>
    <w:rsid w:val="38910D12"/>
    <w:rsid w:val="38934A8A"/>
    <w:rsid w:val="390557F3"/>
    <w:rsid w:val="391A3F5E"/>
    <w:rsid w:val="39427657"/>
    <w:rsid w:val="398048E2"/>
    <w:rsid w:val="39B36A66"/>
    <w:rsid w:val="39B5458C"/>
    <w:rsid w:val="3A231E3E"/>
    <w:rsid w:val="3A8E236B"/>
    <w:rsid w:val="3AE27603"/>
    <w:rsid w:val="3B1F0857"/>
    <w:rsid w:val="3BA50630"/>
    <w:rsid w:val="3BBD597A"/>
    <w:rsid w:val="3C4E2A76"/>
    <w:rsid w:val="3CE24EB2"/>
    <w:rsid w:val="3CE95B95"/>
    <w:rsid w:val="3D4319A6"/>
    <w:rsid w:val="3D5642D8"/>
    <w:rsid w:val="3D8C7CFA"/>
    <w:rsid w:val="3D962926"/>
    <w:rsid w:val="3DDE62C4"/>
    <w:rsid w:val="3DE11DF4"/>
    <w:rsid w:val="3E1D6BA4"/>
    <w:rsid w:val="3E5500EC"/>
    <w:rsid w:val="3E760014"/>
    <w:rsid w:val="3EC7213B"/>
    <w:rsid w:val="3EE14075"/>
    <w:rsid w:val="3EFE69D5"/>
    <w:rsid w:val="3F067638"/>
    <w:rsid w:val="3F3C12AC"/>
    <w:rsid w:val="3F8A0269"/>
    <w:rsid w:val="3FE71217"/>
    <w:rsid w:val="40077B0C"/>
    <w:rsid w:val="403A1C8F"/>
    <w:rsid w:val="40994C08"/>
    <w:rsid w:val="40C7047A"/>
    <w:rsid w:val="40D14FC1"/>
    <w:rsid w:val="40ED570A"/>
    <w:rsid w:val="41306BEE"/>
    <w:rsid w:val="414601C0"/>
    <w:rsid w:val="41801923"/>
    <w:rsid w:val="41C34A68"/>
    <w:rsid w:val="41E17515"/>
    <w:rsid w:val="41FE209C"/>
    <w:rsid w:val="421F113C"/>
    <w:rsid w:val="42254279"/>
    <w:rsid w:val="422E5823"/>
    <w:rsid w:val="42862F6A"/>
    <w:rsid w:val="4290203A"/>
    <w:rsid w:val="42995053"/>
    <w:rsid w:val="42E303BC"/>
    <w:rsid w:val="42E30FF1"/>
    <w:rsid w:val="42F779C3"/>
    <w:rsid w:val="43106CD7"/>
    <w:rsid w:val="43140575"/>
    <w:rsid w:val="432F3601"/>
    <w:rsid w:val="435A7579"/>
    <w:rsid w:val="436808C1"/>
    <w:rsid w:val="436F7EA2"/>
    <w:rsid w:val="438F3402"/>
    <w:rsid w:val="43AD538F"/>
    <w:rsid w:val="43D227ED"/>
    <w:rsid w:val="44625310"/>
    <w:rsid w:val="44780FD8"/>
    <w:rsid w:val="448C05DF"/>
    <w:rsid w:val="44B36A32"/>
    <w:rsid w:val="45197E93"/>
    <w:rsid w:val="451E098A"/>
    <w:rsid w:val="45252F0E"/>
    <w:rsid w:val="456357E4"/>
    <w:rsid w:val="45C02C36"/>
    <w:rsid w:val="45DE130F"/>
    <w:rsid w:val="46293EB8"/>
    <w:rsid w:val="466644E3"/>
    <w:rsid w:val="467679E4"/>
    <w:rsid w:val="468477C0"/>
    <w:rsid w:val="46B1432D"/>
    <w:rsid w:val="475573AE"/>
    <w:rsid w:val="47775577"/>
    <w:rsid w:val="477C109E"/>
    <w:rsid w:val="479C322F"/>
    <w:rsid w:val="47E63EE8"/>
    <w:rsid w:val="485B09F4"/>
    <w:rsid w:val="486C49B0"/>
    <w:rsid w:val="48A00AFD"/>
    <w:rsid w:val="48AF2AEE"/>
    <w:rsid w:val="48E629B4"/>
    <w:rsid w:val="48E7672C"/>
    <w:rsid w:val="49177011"/>
    <w:rsid w:val="493279A7"/>
    <w:rsid w:val="4933371F"/>
    <w:rsid w:val="49635D13"/>
    <w:rsid w:val="49E0220F"/>
    <w:rsid w:val="4A2A5A2A"/>
    <w:rsid w:val="4A3E412A"/>
    <w:rsid w:val="4AC361A1"/>
    <w:rsid w:val="4B1A6945"/>
    <w:rsid w:val="4B2C3FBA"/>
    <w:rsid w:val="4B4B11F4"/>
    <w:rsid w:val="4B4C0AC8"/>
    <w:rsid w:val="4B8B339F"/>
    <w:rsid w:val="4BCF5981"/>
    <w:rsid w:val="4BCF6169"/>
    <w:rsid w:val="4BD11736"/>
    <w:rsid w:val="4BE156B5"/>
    <w:rsid w:val="4BEB1598"/>
    <w:rsid w:val="4C001FDF"/>
    <w:rsid w:val="4C710EC2"/>
    <w:rsid w:val="4CA46E0E"/>
    <w:rsid w:val="4CFB09F8"/>
    <w:rsid w:val="4DC25072"/>
    <w:rsid w:val="4DD13BD5"/>
    <w:rsid w:val="4E385DB5"/>
    <w:rsid w:val="4E467A51"/>
    <w:rsid w:val="4E7B594C"/>
    <w:rsid w:val="4EBE4732"/>
    <w:rsid w:val="4EDB52A8"/>
    <w:rsid w:val="4EEF1E97"/>
    <w:rsid w:val="4F530677"/>
    <w:rsid w:val="4FA534B1"/>
    <w:rsid w:val="4FBA6948"/>
    <w:rsid w:val="50136810"/>
    <w:rsid w:val="502142D2"/>
    <w:rsid w:val="50354221"/>
    <w:rsid w:val="507C59AC"/>
    <w:rsid w:val="50BB64D4"/>
    <w:rsid w:val="50BE7D72"/>
    <w:rsid w:val="50C35389"/>
    <w:rsid w:val="50D6330E"/>
    <w:rsid w:val="51764AF1"/>
    <w:rsid w:val="51960CEF"/>
    <w:rsid w:val="51A96C75"/>
    <w:rsid w:val="51C55131"/>
    <w:rsid w:val="520B348B"/>
    <w:rsid w:val="521E31BF"/>
    <w:rsid w:val="526E7576"/>
    <w:rsid w:val="52A86F2C"/>
    <w:rsid w:val="52AD507E"/>
    <w:rsid w:val="52C06024"/>
    <w:rsid w:val="52C13B4A"/>
    <w:rsid w:val="5326397D"/>
    <w:rsid w:val="53395DD6"/>
    <w:rsid w:val="535E75EB"/>
    <w:rsid w:val="536C7F5A"/>
    <w:rsid w:val="53A56FC8"/>
    <w:rsid w:val="53B67427"/>
    <w:rsid w:val="53C25DCC"/>
    <w:rsid w:val="53F1220D"/>
    <w:rsid w:val="53FA5565"/>
    <w:rsid w:val="541A3091"/>
    <w:rsid w:val="54224ABC"/>
    <w:rsid w:val="542645AC"/>
    <w:rsid w:val="542E16B3"/>
    <w:rsid w:val="545C3B2A"/>
    <w:rsid w:val="5463135D"/>
    <w:rsid w:val="54815C87"/>
    <w:rsid w:val="54D062C6"/>
    <w:rsid w:val="552C5BF2"/>
    <w:rsid w:val="55425416"/>
    <w:rsid w:val="555836E3"/>
    <w:rsid w:val="558D41B7"/>
    <w:rsid w:val="55935C72"/>
    <w:rsid w:val="559519EA"/>
    <w:rsid w:val="55AD5C26"/>
    <w:rsid w:val="55D6790C"/>
    <w:rsid w:val="55EC35D4"/>
    <w:rsid w:val="561072C2"/>
    <w:rsid w:val="562E6C96"/>
    <w:rsid w:val="564231F4"/>
    <w:rsid w:val="56764C4B"/>
    <w:rsid w:val="56B20379"/>
    <w:rsid w:val="56B65699"/>
    <w:rsid w:val="56F42740"/>
    <w:rsid w:val="576C677A"/>
    <w:rsid w:val="57B62AF1"/>
    <w:rsid w:val="57D846E6"/>
    <w:rsid w:val="57DB15B9"/>
    <w:rsid w:val="58727DC0"/>
    <w:rsid w:val="58A957AC"/>
    <w:rsid w:val="58AE2DC2"/>
    <w:rsid w:val="5919023C"/>
    <w:rsid w:val="592F5CB1"/>
    <w:rsid w:val="593228FA"/>
    <w:rsid w:val="59814033"/>
    <w:rsid w:val="59A85A64"/>
    <w:rsid w:val="5A1A070F"/>
    <w:rsid w:val="5A9970A6"/>
    <w:rsid w:val="5B2E3D47"/>
    <w:rsid w:val="5B5E287E"/>
    <w:rsid w:val="5B7A6F8C"/>
    <w:rsid w:val="5B7D6786"/>
    <w:rsid w:val="5B9C5154"/>
    <w:rsid w:val="5BEE1D8B"/>
    <w:rsid w:val="5BF85EFF"/>
    <w:rsid w:val="5C2313D1"/>
    <w:rsid w:val="5C2F3E3C"/>
    <w:rsid w:val="5C3B496D"/>
    <w:rsid w:val="5C7D6D34"/>
    <w:rsid w:val="5CAC13C7"/>
    <w:rsid w:val="5CBF10FA"/>
    <w:rsid w:val="5CE24DE9"/>
    <w:rsid w:val="5D1953C3"/>
    <w:rsid w:val="5D3F506E"/>
    <w:rsid w:val="5D8250E8"/>
    <w:rsid w:val="5DA327CA"/>
    <w:rsid w:val="5DA34B0D"/>
    <w:rsid w:val="5DB9023F"/>
    <w:rsid w:val="5DFB0480"/>
    <w:rsid w:val="5E56783C"/>
    <w:rsid w:val="5E653011"/>
    <w:rsid w:val="5E79194E"/>
    <w:rsid w:val="5EA04F5B"/>
    <w:rsid w:val="5EDD7F5D"/>
    <w:rsid w:val="5EFD5F0A"/>
    <w:rsid w:val="5F3062DF"/>
    <w:rsid w:val="5F991AC0"/>
    <w:rsid w:val="5FA8056B"/>
    <w:rsid w:val="5FCD1D80"/>
    <w:rsid w:val="60402552"/>
    <w:rsid w:val="604E1113"/>
    <w:rsid w:val="60634492"/>
    <w:rsid w:val="606D5311"/>
    <w:rsid w:val="607411AB"/>
    <w:rsid w:val="60DA0BF8"/>
    <w:rsid w:val="60F8107F"/>
    <w:rsid w:val="60FA6BA5"/>
    <w:rsid w:val="613025C6"/>
    <w:rsid w:val="613A2E5E"/>
    <w:rsid w:val="614147D4"/>
    <w:rsid w:val="615D5386"/>
    <w:rsid w:val="618B5A4F"/>
    <w:rsid w:val="6192502F"/>
    <w:rsid w:val="61F5736C"/>
    <w:rsid w:val="62165C60"/>
    <w:rsid w:val="624B3430"/>
    <w:rsid w:val="624C1682"/>
    <w:rsid w:val="624C7C85"/>
    <w:rsid w:val="625E13B5"/>
    <w:rsid w:val="625E55BA"/>
    <w:rsid w:val="62816E52"/>
    <w:rsid w:val="62B66AFB"/>
    <w:rsid w:val="62EE098B"/>
    <w:rsid w:val="63862972"/>
    <w:rsid w:val="63E61662"/>
    <w:rsid w:val="63F55D49"/>
    <w:rsid w:val="643E324C"/>
    <w:rsid w:val="644840CB"/>
    <w:rsid w:val="648044DD"/>
    <w:rsid w:val="65206DF6"/>
    <w:rsid w:val="652E32C1"/>
    <w:rsid w:val="656767D3"/>
    <w:rsid w:val="65B01F28"/>
    <w:rsid w:val="65B23EF2"/>
    <w:rsid w:val="65CA20EA"/>
    <w:rsid w:val="65E41BD1"/>
    <w:rsid w:val="65E87914"/>
    <w:rsid w:val="65F71905"/>
    <w:rsid w:val="660B715E"/>
    <w:rsid w:val="663731EB"/>
    <w:rsid w:val="663E0953"/>
    <w:rsid w:val="66990C0E"/>
    <w:rsid w:val="66AA6977"/>
    <w:rsid w:val="66BF5DE1"/>
    <w:rsid w:val="670F2C7E"/>
    <w:rsid w:val="67317098"/>
    <w:rsid w:val="6764121C"/>
    <w:rsid w:val="67C47F0C"/>
    <w:rsid w:val="67CA4DF7"/>
    <w:rsid w:val="67F02AB0"/>
    <w:rsid w:val="68476448"/>
    <w:rsid w:val="68550B65"/>
    <w:rsid w:val="6858797B"/>
    <w:rsid w:val="687E00BB"/>
    <w:rsid w:val="687F3E33"/>
    <w:rsid w:val="688D02F5"/>
    <w:rsid w:val="68AB4C28"/>
    <w:rsid w:val="691B3B5C"/>
    <w:rsid w:val="69434E61"/>
    <w:rsid w:val="6A0D5B9B"/>
    <w:rsid w:val="6A1A02B8"/>
    <w:rsid w:val="6A1B7B8C"/>
    <w:rsid w:val="6A3A7A70"/>
    <w:rsid w:val="6A554E4C"/>
    <w:rsid w:val="6A6B28C1"/>
    <w:rsid w:val="6A9516EC"/>
    <w:rsid w:val="6B005ED7"/>
    <w:rsid w:val="6B10213A"/>
    <w:rsid w:val="6B1C1E0E"/>
    <w:rsid w:val="6B2C02A3"/>
    <w:rsid w:val="6B594E10"/>
    <w:rsid w:val="6BD61FBC"/>
    <w:rsid w:val="6C726189"/>
    <w:rsid w:val="6C8141C1"/>
    <w:rsid w:val="6C9A123C"/>
    <w:rsid w:val="6CC14A1B"/>
    <w:rsid w:val="6D057FFC"/>
    <w:rsid w:val="6D4C4C2C"/>
    <w:rsid w:val="6D8223FC"/>
    <w:rsid w:val="6E9543B1"/>
    <w:rsid w:val="6E9F0D8B"/>
    <w:rsid w:val="6EAB4972"/>
    <w:rsid w:val="6EB56801"/>
    <w:rsid w:val="6EB92389"/>
    <w:rsid w:val="6ECE341F"/>
    <w:rsid w:val="6F1352D6"/>
    <w:rsid w:val="6F172BC5"/>
    <w:rsid w:val="6F35349E"/>
    <w:rsid w:val="6F5778B8"/>
    <w:rsid w:val="6F857F81"/>
    <w:rsid w:val="6F8F7052"/>
    <w:rsid w:val="6FFE5F86"/>
    <w:rsid w:val="70333E81"/>
    <w:rsid w:val="703D6AAE"/>
    <w:rsid w:val="708446DD"/>
    <w:rsid w:val="70BA3C5B"/>
    <w:rsid w:val="70C745CA"/>
    <w:rsid w:val="70D0347E"/>
    <w:rsid w:val="70E864AF"/>
    <w:rsid w:val="71063344"/>
    <w:rsid w:val="71A566B9"/>
    <w:rsid w:val="71F118FE"/>
    <w:rsid w:val="729A3D44"/>
    <w:rsid w:val="72D37256"/>
    <w:rsid w:val="72D54D7C"/>
    <w:rsid w:val="72E01973"/>
    <w:rsid w:val="72F71196"/>
    <w:rsid w:val="731739F7"/>
    <w:rsid w:val="73337CF4"/>
    <w:rsid w:val="733C4DFB"/>
    <w:rsid w:val="737722D7"/>
    <w:rsid w:val="73FB6A64"/>
    <w:rsid w:val="74416441"/>
    <w:rsid w:val="74546174"/>
    <w:rsid w:val="74732A9E"/>
    <w:rsid w:val="748F5E6C"/>
    <w:rsid w:val="74F55BA9"/>
    <w:rsid w:val="74F62CF2"/>
    <w:rsid w:val="751002ED"/>
    <w:rsid w:val="751A5610"/>
    <w:rsid w:val="753541F8"/>
    <w:rsid w:val="754C32EF"/>
    <w:rsid w:val="75716F89"/>
    <w:rsid w:val="757E794D"/>
    <w:rsid w:val="75986535"/>
    <w:rsid w:val="75BA6548"/>
    <w:rsid w:val="75D05CCE"/>
    <w:rsid w:val="76263B5E"/>
    <w:rsid w:val="763D7808"/>
    <w:rsid w:val="767B0330"/>
    <w:rsid w:val="769415A2"/>
    <w:rsid w:val="77230583"/>
    <w:rsid w:val="773A78A3"/>
    <w:rsid w:val="7746449A"/>
    <w:rsid w:val="77806D89"/>
    <w:rsid w:val="779F3BAA"/>
    <w:rsid w:val="77BA09E4"/>
    <w:rsid w:val="780C2F3B"/>
    <w:rsid w:val="780D4FB8"/>
    <w:rsid w:val="78216CB5"/>
    <w:rsid w:val="79183C14"/>
    <w:rsid w:val="795376B0"/>
    <w:rsid w:val="79823784"/>
    <w:rsid w:val="79A8143C"/>
    <w:rsid w:val="7A1E16FE"/>
    <w:rsid w:val="7A4A42A1"/>
    <w:rsid w:val="7A531B81"/>
    <w:rsid w:val="7AC25773"/>
    <w:rsid w:val="7AD87AFF"/>
    <w:rsid w:val="7B007056"/>
    <w:rsid w:val="7B3B1E3C"/>
    <w:rsid w:val="7B4909FD"/>
    <w:rsid w:val="7B670E83"/>
    <w:rsid w:val="7B762E74"/>
    <w:rsid w:val="7BB265A2"/>
    <w:rsid w:val="7C044924"/>
    <w:rsid w:val="7C773348"/>
    <w:rsid w:val="7CFB5D27"/>
    <w:rsid w:val="7D1763AB"/>
    <w:rsid w:val="7D515947"/>
    <w:rsid w:val="7D9615AC"/>
    <w:rsid w:val="7DB303AF"/>
    <w:rsid w:val="7DC61F22"/>
    <w:rsid w:val="7E12157A"/>
    <w:rsid w:val="7E3A287F"/>
    <w:rsid w:val="7E576F8D"/>
    <w:rsid w:val="7E6B47E6"/>
    <w:rsid w:val="7E873809"/>
    <w:rsid w:val="7E9961EF"/>
    <w:rsid w:val="7EF173E1"/>
    <w:rsid w:val="7F007624"/>
    <w:rsid w:val="7F0709B3"/>
    <w:rsid w:val="7F17671C"/>
    <w:rsid w:val="7F572FBC"/>
    <w:rsid w:val="7F623D3D"/>
    <w:rsid w:val="7F9F5022"/>
    <w:rsid w:val="7FA02BB5"/>
    <w:rsid w:val="7FE52CE1"/>
    <w:rsid w:val="7FFB1B70"/>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52"/>
    <w:qFormat/>
    <w:uiPriority w:val="0"/>
    <w:pPr>
      <w:keepNext/>
      <w:tabs>
        <w:tab w:val="left" w:pos="200"/>
      </w:tabs>
      <w:jc w:val="center"/>
      <w:outlineLvl w:val="0"/>
    </w:pPr>
    <w:rPr>
      <w:b/>
      <w:sz w:val="36"/>
    </w:rPr>
  </w:style>
  <w:style w:type="paragraph" w:styleId="3">
    <w:name w:val="heading 2"/>
    <w:basedOn w:val="1"/>
    <w:next w:val="1"/>
    <w:link w:val="253"/>
    <w:qFormat/>
    <w:uiPriority w:val="0"/>
    <w:pPr>
      <w:keepNext/>
      <w:jc w:val="center"/>
      <w:outlineLvl w:val="1"/>
    </w:pPr>
    <w:rPr>
      <w:b/>
      <w:bCs/>
      <w:sz w:val="28"/>
      <w:szCs w:val="28"/>
    </w:rPr>
  </w:style>
  <w:style w:type="paragraph" w:styleId="4">
    <w:name w:val="heading 3"/>
    <w:basedOn w:val="1"/>
    <w:next w:val="1"/>
    <w:link w:val="254"/>
    <w:qFormat/>
    <w:uiPriority w:val="0"/>
    <w:pPr>
      <w:keepNext/>
      <w:jc w:val="center"/>
      <w:outlineLvl w:val="2"/>
    </w:pPr>
    <w:rPr>
      <w:sz w:val="28"/>
    </w:rPr>
  </w:style>
  <w:style w:type="paragraph" w:styleId="5">
    <w:name w:val="heading 4"/>
    <w:basedOn w:val="1"/>
    <w:next w:val="1"/>
    <w:link w:val="255"/>
    <w:qFormat/>
    <w:uiPriority w:val="0"/>
    <w:pPr>
      <w:keepNext/>
      <w:outlineLvl w:val="3"/>
    </w:pPr>
    <w:rPr>
      <w:b/>
      <w:bCs/>
      <w:sz w:val="18"/>
    </w:rPr>
  </w:style>
  <w:style w:type="paragraph" w:styleId="6">
    <w:name w:val="heading 5"/>
    <w:basedOn w:val="1"/>
    <w:next w:val="1"/>
    <w:link w:val="256"/>
    <w:qFormat/>
    <w:uiPriority w:val="0"/>
    <w:pPr>
      <w:keepNext/>
      <w:jc w:val="center"/>
      <w:outlineLvl w:val="4"/>
    </w:pPr>
    <w:rPr>
      <w:b/>
      <w:bCs/>
      <w:sz w:val="18"/>
    </w:rPr>
  </w:style>
  <w:style w:type="paragraph" w:styleId="7">
    <w:name w:val="heading 6"/>
    <w:basedOn w:val="1"/>
    <w:next w:val="1"/>
    <w:link w:val="11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1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1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13"/>
    <w:unhideWhenUsed/>
    <w:qFormat/>
    <w:uiPriority w:val="9"/>
    <w:pPr>
      <w:keepNext/>
      <w:keepLines/>
      <w:spacing w:before="320" w:after="200"/>
      <w:outlineLvl w:val="8"/>
    </w:pPr>
    <w:rPr>
      <w:rFonts w:ascii="Arial" w:hAnsi="Arial" w:eastAsia="Arial" w:cs="Arial"/>
      <w:i/>
      <w:iCs/>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Cs w:val="21"/>
    </w:rPr>
  </w:style>
  <w:style w:type="paragraph" w:styleId="12">
    <w:name w:val="index 8"/>
    <w:basedOn w:val="1"/>
    <w:next w:val="1"/>
    <w:qFormat/>
    <w:uiPriority w:val="0"/>
    <w:pPr>
      <w:ind w:left="1400"/>
    </w:pPr>
  </w:style>
  <w:style w:type="paragraph" w:styleId="13">
    <w:name w:val="Normal Indent"/>
    <w:basedOn w:val="1"/>
    <w:link w:val="257"/>
    <w:qFormat/>
    <w:uiPriority w:val="99"/>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index 5"/>
    <w:basedOn w:val="1"/>
    <w:next w:val="1"/>
    <w:qFormat/>
    <w:uiPriority w:val="0"/>
    <w:pPr>
      <w:ind w:left="800"/>
    </w:pPr>
  </w:style>
  <w:style w:type="paragraph" w:styleId="16">
    <w:name w:val="Document Map"/>
    <w:basedOn w:val="1"/>
    <w:link w:val="258"/>
    <w:qFormat/>
    <w:uiPriority w:val="0"/>
    <w:pPr>
      <w:shd w:val="clear" w:color="auto" w:fill="000080"/>
    </w:pPr>
  </w:style>
  <w:style w:type="paragraph" w:styleId="17">
    <w:name w:val="annotation text"/>
    <w:basedOn w:val="1"/>
    <w:link w:val="259"/>
    <w:qFormat/>
    <w:uiPriority w:val="0"/>
    <w:pPr>
      <w:jc w:val="left"/>
    </w:pPr>
  </w:style>
  <w:style w:type="paragraph" w:styleId="18">
    <w:name w:val="index 6"/>
    <w:basedOn w:val="1"/>
    <w:next w:val="1"/>
    <w:qFormat/>
    <w:uiPriority w:val="0"/>
    <w:pPr>
      <w:ind w:left="1000"/>
    </w:pPr>
  </w:style>
  <w:style w:type="paragraph" w:styleId="19">
    <w:name w:val="Body Text"/>
    <w:basedOn w:val="1"/>
    <w:link w:val="260"/>
    <w:qFormat/>
    <w:uiPriority w:val="0"/>
    <w:rPr>
      <w:rFonts w:ascii="楷体_GB2312" w:hAnsi="Arial" w:eastAsia="楷体_GB2312"/>
      <w:sz w:val="28"/>
    </w:rPr>
  </w:style>
  <w:style w:type="paragraph" w:styleId="20">
    <w:name w:val="Body Text Indent"/>
    <w:basedOn w:val="1"/>
    <w:link w:val="261"/>
    <w:qFormat/>
    <w:uiPriority w:val="0"/>
    <w:pPr>
      <w:spacing w:line="312" w:lineRule="atLeast"/>
      <w:ind w:firstLine="574"/>
    </w:pPr>
    <w:rPr>
      <w:sz w:val="28"/>
    </w:rPr>
  </w:style>
  <w:style w:type="paragraph" w:styleId="21">
    <w:name w:val="Block Text"/>
    <w:basedOn w:val="1"/>
    <w:qFormat/>
    <w:uiPriority w:val="0"/>
    <w:pPr>
      <w:tabs>
        <w:tab w:val="left" w:pos="822"/>
        <w:tab w:val="left" w:pos="2205"/>
        <w:tab w:val="left" w:pos="9000"/>
      </w:tabs>
      <w:spacing w:before="89"/>
      <w:ind w:left="1890" w:right="11" w:hanging="1409"/>
    </w:pPr>
    <w:rPr>
      <w:sz w:val="24"/>
    </w:rPr>
  </w:style>
  <w:style w:type="paragraph" w:styleId="22">
    <w:name w:val="index 4"/>
    <w:basedOn w:val="1"/>
    <w:next w:val="1"/>
    <w:qFormat/>
    <w:uiPriority w:val="0"/>
    <w:pPr>
      <w:ind w:left="600"/>
    </w:pPr>
  </w:style>
  <w:style w:type="paragraph" w:styleId="23">
    <w:name w:val="toc 5"/>
    <w:basedOn w:val="1"/>
    <w:next w:val="1"/>
    <w:qFormat/>
    <w:uiPriority w:val="0"/>
    <w:pPr>
      <w:ind w:left="840"/>
      <w:jc w:val="left"/>
    </w:pPr>
    <w:rPr>
      <w:szCs w:val="21"/>
    </w:rPr>
  </w:style>
  <w:style w:type="paragraph" w:styleId="24">
    <w:name w:val="toc 3"/>
    <w:basedOn w:val="1"/>
    <w:next w:val="1"/>
    <w:qFormat/>
    <w:uiPriority w:val="39"/>
    <w:pPr>
      <w:ind w:left="420"/>
      <w:jc w:val="left"/>
    </w:pPr>
    <w:rPr>
      <w:i/>
      <w:iCs/>
      <w:szCs w:val="24"/>
    </w:rPr>
  </w:style>
  <w:style w:type="paragraph" w:styleId="25">
    <w:name w:val="Plain Text"/>
    <w:basedOn w:val="1"/>
    <w:link w:val="262"/>
    <w:qFormat/>
    <w:uiPriority w:val="0"/>
    <w:rPr>
      <w:rFonts w:hAnsi="Courier New"/>
    </w:rPr>
  </w:style>
  <w:style w:type="paragraph" w:styleId="26">
    <w:name w:val="toc 8"/>
    <w:basedOn w:val="1"/>
    <w:next w:val="1"/>
    <w:qFormat/>
    <w:uiPriority w:val="0"/>
    <w:pPr>
      <w:ind w:left="1470"/>
      <w:jc w:val="left"/>
    </w:pPr>
    <w:rPr>
      <w:szCs w:val="21"/>
    </w:rPr>
  </w:style>
  <w:style w:type="paragraph" w:styleId="27">
    <w:name w:val="index 3"/>
    <w:basedOn w:val="1"/>
    <w:next w:val="1"/>
    <w:qFormat/>
    <w:uiPriority w:val="0"/>
    <w:pPr>
      <w:ind w:left="400"/>
    </w:pPr>
  </w:style>
  <w:style w:type="paragraph" w:styleId="28">
    <w:name w:val="Date"/>
    <w:basedOn w:val="1"/>
    <w:next w:val="1"/>
    <w:link w:val="263"/>
    <w:qFormat/>
    <w:uiPriority w:val="0"/>
    <w:pPr>
      <w:spacing w:line="312" w:lineRule="atLeast"/>
    </w:pPr>
    <w:rPr>
      <w:sz w:val="28"/>
    </w:rPr>
  </w:style>
  <w:style w:type="paragraph" w:styleId="29">
    <w:name w:val="Body Text Indent 2"/>
    <w:basedOn w:val="1"/>
    <w:link w:val="264"/>
    <w:qFormat/>
    <w:uiPriority w:val="0"/>
    <w:pPr>
      <w:tabs>
        <w:tab w:val="left" w:pos="1785"/>
        <w:tab w:val="left" w:pos="1887"/>
        <w:tab w:val="left" w:pos="2112"/>
        <w:tab w:val="left" w:pos="9000"/>
      </w:tabs>
      <w:ind w:left="1890" w:hanging="1409"/>
    </w:pPr>
    <w:rPr>
      <w:sz w:val="24"/>
    </w:rPr>
  </w:style>
  <w:style w:type="paragraph" w:styleId="30">
    <w:name w:val="endnote text"/>
    <w:basedOn w:val="1"/>
    <w:link w:val="250"/>
    <w:semiHidden/>
    <w:unhideWhenUsed/>
    <w:qFormat/>
    <w:uiPriority w:val="99"/>
    <w:rPr>
      <w:sz w:val="20"/>
    </w:rPr>
  </w:style>
  <w:style w:type="paragraph" w:styleId="31">
    <w:name w:val="Balloon Text"/>
    <w:basedOn w:val="1"/>
    <w:link w:val="265"/>
    <w:unhideWhenUsed/>
    <w:qFormat/>
    <w:uiPriority w:val="99"/>
    <w:rPr>
      <w:sz w:val="18"/>
      <w:szCs w:val="18"/>
    </w:rPr>
  </w:style>
  <w:style w:type="paragraph" w:styleId="32">
    <w:name w:val="footer"/>
    <w:basedOn w:val="1"/>
    <w:link w:val="266"/>
    <w:qFormat/>
    <w:uiPriority w:val="99"/>
    <w:pPr>
      <w:tabs>
        <w:tab w:val="center" w:pos="4153"/>
        <w:tab w:val="right" w:pos="8306"/>
      </w:tabs>
      <w:jc w:val="left"/>
    </w:pPr>
    <w:rPr>
      <w:sz w:val="18"/>
    </w:rPr>
  </w:style>
  <w:style w:type="paragraph" w:styleId="33">
    <w:name w:val="envelope return"/>
    <w:basedOn w:val="1"/>
    <w:qFormat/>
    <w:uiPriority w:val="0"/>
    <w:rPr>
      <w:rFonts w:ascii="Arial" w:hAnsi="Arial"/>
    </w:rPr>
  </w:style>
  <w:style w:type="paragraph" w:styleId="34">
    <w:name w:val="header"/>
    <w:basedOn w:val="1"/>
    <w:link w:val="267"/>
    <w:qFormat/>
    <w:uiPriority w:val="99"/>
    <w:pPr>
      <w:pBdr>
        <w:bottom w:val="single" w:color="auto" w:sz="6" w:space="1"/>
      </w:pBdr>
      <w:tabs>
        <w:tab w:val="center" w:pos="4153"/>
        <w:tab w:val="right" w:pos="8306"/>
      </w:tabs>
      <w:jc w:val="center"/>
    </w:pPr>
    <w:rPr>
      <w:sz w:val="18"/>
    </w:rPr>
  </w:style>
  <w:style w:type="paragraph" w:styleId="35">
    <w:name w:val="Signature"/>
    <w:basedOn w:val="1"/>
    <w:link w:val="268"/>
    <w:qFormat/>
    <w:uiPriority w:val="0"/>
    <w:pPr>
      <w:spacing w:after="600" w:line="312" w:lineRule="atLeast"/>
      <w:jc w:val="center"/>
    </w:pPr>
    <w:rPr>
      <w:rFonts w:eastAsia="仿宋_GB2312"/>
      <w:sz w:val="24"/>
    </w:rPr>
  </w:style>
  <w:style w:type="paragraph" w:styleId="36">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37">
    <w:name w:val="toc 4"/>
    <w:basedOn w:val="1"/>
    <w:next w:val="1"/>
    <w:qFormat/>
    <w:uiPriority w:val="0"/>
    <w:pPr>
      <w:ind w:left="630"/>
      <w:jc w:val="left"/>
    </w:pPr>
    <w:rPr>
      <w:szCs w:val="21"/>
    </w:rPr>
  </w:style>
  <w:style w:type="paragraph" w:styleId="38">
    <w:name w:val="index heading"/>
    <w:basedOn w:val="1"/>
    <w:next w:val="39"/>
    <w:qFormat/>
    <w:uiPriority w:val="0"/>
  </w:style>
  <w:style w:type="paragraph" w:styleId="39">
    <w:name w:val="index 1"/>
    <w:basedOn w:val="1"/>
    <w:next w:val="1"/>
    <w:qFormat/>
    <w:uiPriority w:val="0"/>
  </w:style>
  <w:style w:type="paragraph" w:styleId="40">
    <w:name w:val="Subtitle"/>
    <w:basedOn w:val="1"/>
    <w:next w:val="1"/>
    <w:link w:val="116"/>
    <w:qFormat/>
    <w:uiPriority w:val="11"/>
    <w:pPr>
      <w:spacing w:before="200" w:after="200"/>
    </w:pPr>
    <w:rPr>
      <w:sz w:val="24"/>
      <w:szCs w:val="24"/>
    </w:rPr>
  </w:style>
  <w:style w:type="paragraph" w:styleId="41">
    <w:name w:val="footnote text"/>
    <w:basedOn w:val="1"/>
    <w:link w:val="249"/>
    <w:semiHidden/>
    <w:unhideWhenUsed/>
    <w:qFormat/>
    <w:uiPriority w:val="99"/>
    <w:pPr>
      <w:spacing w:after="40"/>
    </w:pPr>
    <w:rPr>
      <w:sz w:val="18"/>
    </w:rPr>
  </w:style>
  <w:style w:type="paragraph" w:styleId="42">
    <w:name w:val="toc 6"/>
    <w:basedOn w:val="1"/>
    <w:next w:val="1"/>
    <w:qFormat/>
    <w:uiPriority w:val="0"/>
    <w:pPr>
      <w:ind w:left="1050"/>
      <w:jc w:val="left"/>
    </w:pPr>
    <w:rPr>
      <w:szCs w:val="21"/>
    </w:rPr>
  </w:style>
  <w:style w:type="paragraph" w:styleId="43">
    <w:name w:val="Body Text Indent 3"/>
    <w:basedOn w:val="1"/>
    <w:link w:val="269"/>
    <w:qFormat/>
    <w:uiPriority w:val="0"/>
    <w:pPr>
      <w:ind w:firstLine="555"/>
    </w:pPr>
    <w:rPr>
      <w:b/>
      <w:bCs/>
      <w:sz w:val="28"/>
      <w:u w:val="single"/>
    </w:rPr>
  </w:style>
  <w:style w:type="paragraph" w:styleId="44">
    <w:name w:val="index 7"/>
    <w:basedOn w:val="1"/>
    <w:next w:val="1"/>
    <w:qFormat/>
    <w:uiPriority w:val="0"/>
    <w:pPr>
      <w:ind w:left="1200"/>
    </w:pPr>
  </w:style>
  <w:style w:type="paragraph" w:styleId="45">
    <w:name w:val="index 9"/>
    <w:basedOn w:val="1"/>
    <w:next w:val="1"/>
    <w:qFormat/>
    <w:uiPriority w:val="0"/>
    <w:pPr>
      <w:ind w:left="1600"/>
    </w:pPr>
  </w:style>
  <w:style w:type="paragraph" w:styleId="46">
    <w:name w:val="table of figures"/>
    <w:basedOn w:val="1"/>
    <w:next w:val="1"/>
    <w:qFormat/>
    <w:uiPriority w:val="0"/>
    <w:pPr>
      <w:ind w:left="840" w:hanging="420"/>
    </w:pPr>
  </w:style>
  <w:style w:type="paragraph" w:styleId="47">
    <w:name w:val="toc 2"/>
    <w:basedOn w:val="1"/>
    <w:next w:val="1"/>
    <w:qFormat/>
    <w:uiPriority w:val="39"/>
    <w:pPr>
      <w:tabs>
        <w:tab w:val="right" w:leader="dot" w:pos="9450"/>
      </w:tabs>
      <w:spacing w:line="400" w:lineRule="exact"/>
      <w:ind w:left="250"/>
      <w:jc w:val="left"/>
    </w:pPr>
    <w:rPr>
      <w:bCs/>
      <w:smallCaps/>
      <w:sz w:val="24"/>
      <w:szCs w:val="24"/>
    </w:rPr>
  </w:style>
  <w:style w:type="paragraph" w:styleId="48">
    <w:name w:val="toc 9"/>
    <w:basedOn w:val="1"/>
    <w:next w:val="1"/>
    <w:qFormat/>
    <w:uiPriority w:val="0"/>
    <w:pPr>
      <w:ind w:left="1680"/>
      <w:jc w:val="left"/>
    </w:pPr>
    <w:rPr>
      <w:szCs w:val="21"/>
    </w:rPr>
  </w:style>
  <w:style w:type="paragraph" w:styleId="49">
    <w:name w:val="Normal (Web)"/>
    <w:basedOn w:val="1"/>
    <w:semiHidden/>
    <w:unhideWhenUsed/>
    <w:qFormat/>
    <w:uiPriority w:val="99"/>
    <w:pPr>
      <w:spacing w:beforeAutospacing="1" w:afterAutospacing="1"/>
      <w:jc w:val="left"/>
    </w:pPr>
    <w:rPr>
      <w:sz w:val="24"/>
    </w:rPr>
  </w:style>
  <w:style w:type="paragraph" w:styleId="50">
    <w:name w:val="index 2"/>
    <w:basedOn w:val="1"/>
    <w:next w:val="1"/>
    <w:qFormat/>
    <w:uiPriority w:val="0"/>
    <w:pPr>
      <w:ind w:left="200"/>
    </w:pPr>
  </w:style>
  <w:style w:type="paragraph" w:styleId="51">
    <w:name w:val="Title"/>
    <w:basedOn w:val="1"/>
    <w:next w:val="1"/>
    <w:link w:val="270"/>
    <w:qFormat/>
    <w:uiPriority w:val="0"/>
    <w:pPr>
      <w:spacing w:before="240" w:after="60"/>
      <w:jc w:val="center"/>
      <w:outlineLvl w:val="0"/>
    </w:pPr>
    <w:rPr>
      <w:rFonts w:ascii="Cambria" w:hAnsi="Cambria"/>
      <w:b/>
      <w:bCs/>
      <w:sz w:val="32"/>
      <w:szCs w:val="32"/>
    </w:rPr>
  </w:style>
  <w:style w:type="paragraph" w:styleId="52">
    <w:name w:val="annotation subject"/>
    <w:basedOn w:val="17"/>
    <w:next w:val="17"/>
    <w:link w:val="271"/>
    <w:qFormat/>
    <w:uiPriority w:val="0"/>
    <w:rPr>
      <w:b/>
      <w:bCs/>
    </w:rPr>
  </w:style>
  <w:style w:type="paragraph" w:styleId="53">
    <w:name w:val="Body Text First Indent 2"/>
    <w:basedOn w:val="20"/>
    <w:link w:val="272"/>
    <w:qFormat/>
    <w:uiPriority w:val="0"/>
    <w:pPr>
      <w:spacing w:after="120" w:line="240" w:lineRule="auto"/>
      <w:ind w:left="420" w:firstLine="420"/>
    </w:pPr>
    <w:rPr>
      <w:sz w:val="21"/>
    </w:rPr>
  </w:style>
  <w:style w:type="table" w:styleId="55">
    <w:name w:val="Table Grid"/>
    <w:basedOn w:val="5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
    <w:name w:val="Strong"/>
    <w:qFormat/>
    <w:uiPriority w:val="0"/>
    <w:rPr>
      <w:b/>
      <w:bCs/>
    </w:rPr>
  </w:style>
  <w:style w:type="character" w:styleId="58">
    <w:name w:val="endnote reference"/>
    <w:basedOn w:val="56"/>
    <w:semiHidden/>
    <w:unhideWhenUsed/>
    <w:qFormat/>
    <w:uiPriority w:val="99"/>
    <w:rPr>
      <w:vertAlign w:val="superscript"/>
    </w:rPr>
  </w:style>
  <w:style w:type="character" w:styleId="59">
    <w:name w:val="page number"/>
    <w:qFormat/>
    <w:uiPriority w:val="0"/>
  </w:style>
  <w:style w:type="character" w:styleId="60">
    <w:name w:val="FollowedHyperlink"/>
    <w:qFormat/>
    <w:uiPriority w:val="0"/>
    <w:rPr>
      <w:color w:val="800080"/>
      <w:u w:val="none"/>
    </w:rPr>
  </w:style>
  <w:style w:type="character" w:styleId="61">
    <w:name w:val="Emphasis"/>
    <w:qFormat/>
    <w:uiPriority w:val="0"/>
  </w:style>
  <w:style w:type="character" w:styleId="62">
    <w:name w:val="HTML Definition"/>
    <w:qFormat/>
    <w:uiPriority w:val="0"/>
  </w:style>
  <w:style w:type="character" w:styleId="63">
    <w:name w:val="HTML Typewriter"/>
    <w:qFormat/>
    <w:uiPriority w:val="0"/>
    <w:rPr>
      <w:rFonts w:hint="default" w:ascii="monospace" w:hAnsi="monospace" w:eastAsia="monospace" w:cs="monospace"/>
      <w:sz w:val="20"/>
    </w:rPr>
  </w:style>
  <w:style w:type="character" w:styleId="64">
    <w:name w:val="HTML Acronym"/>
    <w:qFormat/>
    <w:uiPriority w:val="0"/>
  </w:style>
  <w:style w:type="character" w:styleId="65">
    <w:name w:val="HTML Variable"/>
    <w:qFormat/>
    <w:uiPriority w:val="0"/>
  </w:style>
  <w:style w:type="character" w:styleId="66">
    <w:name w:val="Hyperlink"/>
    <w:qFormat/>
    <w:uiPriority w:val="99"/>
    <w:rPr>
      <w:color w:val="0000FF"/>
      <w:u w:val="none"/>
    </w:rPr>
  </w:style>
  <w:style w:type="character" w:styleId="67">
    <w:name w:val="HTML Code"/>
    <w:qFormat/>
    <w:uiPriority w:val="0"/>
    <w:rPr>
      <w:rFonts w:hint="default" w:ascii="monospace" w:hAnsi="monospace" w:eastAsia="monospace" w:cs="monospace"/>
      <w:sz w:val="20"/>
    </w:rPr>
  </w:style>
  <w:style w:type="character" w:styleId="68">
    <w:name w:val="annotation reference"/>
    <w:qFormat/>
    <w:uiPriority w:val="0"/>
    <w:rPr>
      <w:sz w:val="21"/>
      <w:szCs w:val="21"/>
    </w:rPr>
  </w:style>
  <w:style w:type="character" w:styleId="69">
    <w:name w:val="HTML Cite"/>
    <w:qFormat/>
    <w:uiPriority w:val="0"/>
  </w:style>
  <w:style w:type="character" w:styleId="70">
    <w:name w:val="footnote reference"/>
    <w:basedOn w:val="56"/>
    <w:unhideWhenUsed/>
    <w:qFormat/>
    <w:uiPriority w:val="99"/>
    <w:rPr>
      <w:vertAlign w:val="superscript"/>
    </w:rPr>
  </w:style>
  <w:style w:type="character" w:styleId="71">
    <w:name w:val="HTML Keyboard"/>
    <w:qFormat/>
    <w:uiPriority w:val="0"/>
    <w:rPr>
      <w:rFonts w:hint="default" w:ascii="monospace" w:hAnsi="monospace" w:eastAsia="monospace" w:cs="monospace"/>
      <w:sz w:val="20"/>
    </w:rPr>
  </w:style>
  <w:style w:type="character" w:styleId="72">
    <w:name w:val="HTML Sample"/>
    <w:qFormat/>
    <w:uiPriority w:val="0"/>
    <w:rPr>
      <w:rFonts w:ascii="monospace" w:hAnsi="monospace" w:eastAsia="monospace" w:cs="monospace"/>
    </w:rPr>
  </w:style>
  <w:style w:type="character" w:customStyle="1" w:styleId="73">
    <w:name w:val="Heading 6 Char"/>
    <w:basedOn w:val="56"/>
    <w:qFormat/>
    <w:uiPriority w:val="9"/>
    <w:rPr>
      <w:rFonts w:ascii="Arial" w:hAnsi="Arial" w:eastAsia="Arial" w:cs="Arial"/>
      <w:b/>
      <w:bCs/>
      <w:sz w:val="22"/>
      <w:szCs w:val="22"/>
    </w:rPr>
  </w:style>
  <w:style w:type="character" w:customStyle="1" w:styleId="74">
    <w:name w:val="Heading 7 Char"/>
    <w:basedOn w:val="56"/>
    <w:qFormat/>
    <w:uiPriority w:val="9"/>
    <w:rPr>
      <w:rFonts w:ascii="Arial" w:hAnsi="Arial" w:eastAsia="Arial" w:cs="Arial"/>
      <w:b/>
      <w:bCs/>
      <w:i/>
      <w:iCs/>
      <w:sz w:val="22"/>
      <w:szCs w:val="22"/>
    </w:rPr>
  </w:style>
  <w:style w:type="character" w:customStyle="1" w:styleId="75">
    <w:name w:val="Heading 8 Char"/>
    <w:basedOn w:val="56"/>
    <w:qFormat/>
    <w:uiPriority w:val="9"/>
    <w:rPr>
      <w:rFonts w:ascii="Arial" w:hAnsi="Arial" w:eastAsia="Arial" w:cs="Arial"/>
      <w:i/>
      <w:iCs/>
      <w:sz w:val="22"/>
      <w:szCs w:val="22"/>
    </w:rPr>
  </w:style>
  <w:style w:type="character" w:customStyle="1" w:styleId="76">
    <w:name w:val="Heading 9 Char"/>
    <w:basedOn w:val="56"/>
    <w:qFormat/>
    <w:uiPriority w:val="9"/>
    <w:rPr>
      <w:rFonts w:ascii="Arial" w:hAnsi="Arial" w:eastAsia="Arial" w:cs="Arial"/>
      <w:i/>
      <w:iCs/>
      <w:sz w:val="21"/>
      <w:szCs w:val="21"/>
    </w:rPr>
  </w:style>
  <w:style w:type="character" w:customStyle="1" w:styleId="77">
    <w:name w:val="Subtitle Char"/>
    <w:basedOn w:val="56"/>
    <w:qFormat/>
    <w:uiPriority w:val="11"/>
    <w:rPr>
      <w:sz w:val="24"/>
      <w:szCs w:val="24"/>
    </w:rPr>
  </w:style>
  <w:style w:type="character" w:customStyle="1" w:styleId="78">
    <w:name w:val="Quote Char"/>
    <w:qFormat/>
    <w:uiPriority w:val="29"/>
    <w:rPr>
      <w:i/>
    </w:rPr>
  </w:style>
  <w:style w:type="character" w:customStyle="1" w:styleId="79">
    <w:name w:val="Intense Quote Char"/>
    <w:qFormat/>
    <w:uiPriority w:val="30"/>
    <w:rPr>
      <w:i/>
    </w:rPr>
  </w:style>
  <w:style w:type="table" w:customStyle="1" w:styleId="80">
    <w:name w:val="Plain Table 1"/>
    <w:basedOn w:val="5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5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5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5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5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5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2"/>
    <w:basedOn w:val="5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w:basedOn w:val="5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w:basedOn w:val="5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5 Dark"/>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6 Colorful"/>
    <w:basedOn w:val="5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Grid Table 7 Colorful"/>
    <w:basedOn w:val="5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List Table 1 Light"/>
    <w:basedOn w:val="5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3">
    <w:name w:val="List Table 2"/>
    <w:basedOn w:val="5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List Table 3"/>
    <w:basedOn w:val="5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List Table 4"/>
    <w:basedOn w:val="5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5 Dark"/>
    <w:basedOn w:val="5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7">
    <w:name w:val="List Table 6 Colorful"/>
    <w:basedOn w:val="5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8">
    <w:name w:val="List Table 7 Colorful"/>
    <w:basedOn w:val="5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9">
    <w:name w:val="Footnote Text Char"/>
    <w:qFormat/>
    <w:uiPriority w:val="99"/>
    <w:rPr>
      <w:sz w:val="18"/>
    </w:rPr>
  </w:style>
  <w:style w:type="character" w:customStyle="1" w:styleId="100">
    <w:name w:val="Endnote Text Char"/>
    <w:qFormat/>
    <w:uiPriority w:val="99"/>
    <w:rPr>
      <w:sz w:val="20"/>
    </w:rPr>
  </w:style>
  <w:style w:type="paragraph" w:customStyle="1" w:styleId="101">
    <w:name w:val="TOC Heading"/>
    <w:unhideWhenUsed/>
    <w:qFormat/>
    <w:uiPriority w:val="39"/>
    <w:rPr>
      <w:rFonts w:hint="default" w:ascii="Times New Roman" w:hAnsi="Times New Roman" w:eastAsia="宋体" w:cs="Times New Roman"/>
    </w:rPr>
  </w:style>
  <w:style w:type="paragraph" w:customStyle="1" w:styleId="102">
    <w:name w:val="正文文本缩进1"/>
    <w:basedOn w:val="1"/>
    <w:next w:val="103"/>
    <w:qFormat/>
    <w:uiPriority w:val="0"/>
    <w:pPr>
      <w:spacing w:line="312" w:lineRule="atLeast"/>
      <w:ind w:firstLine="574"/>
    </w:pPr>
    <w:rPr>
      <w:rFonts w:ascii="宋体"/>
      <w:sz w:val="28"/>
    </w:rPr>
  </w:style>
  <w:style w:type="paragraph" w:customStyle="1" w:styleId="103">
    <w:name w:val="寄信人地址1"/>
    <w:basedOn w:val="1"/>
    <w:qFormat/>
    <w:uiPriority w:val="0"/>
    <w:rPr>
      <w:rFonts w:ascii="Arial" w:hAnsi="Arial"/>
    </w:rPr>
  </w:style>
  <w:style w:type="paragraph" w:customStyle="1" w:styleId="104">
    <w:name w:val="段"/>
    <w:basedOn w:val="1"/>
    <w:next w:val="1"/>
    <w:qFormat/>
    <w:uiPriority w:val="0"/>
    <w:pPr>
      <w:widowControl/>
      <w:spacing w:line="360" w:lineRule="auto"/>
      <w:ind w:firstLine="200"/>
    </w:pPr>
    <w:rPr>
      <w:sz w:val="24"/>
      <w:szCs w:val="24"/>
    </w:rPr>
  </w:style>
  <w:style w:type="character" w:customStyle="1" w:styleId="105">
    <w:name w:val="Heading 1 Char"/>
    <w:basedOn w:val="56"/>
    <w:qFormat/>
    <w:uiPriority w:val="9"/>
    <w:rPr>
      <w:rFonts w:ascii="Arial" w:hAnsi="Arial" w:eastAsia="Arial" w:cs="Arial"/>
      <w:sz w:val="40"/>
      <w:szCs w:val="40"/>
    </w:rPr>
  </w:style>
  <w:style w:type="character" w:customStyle="1" w:styleId="106">
    <w:name w:val="Heading 2 Char"/>
    <w:basedOn w:val="56"/>
    <w:qFormat/>
    <w:uiPriority w:val="9"/>
    <w:rPr>
      <w:rFonts w:ascii="Arial" w:hAnsi="Arial" w:eastAsia="Arial" w:cs="Arial"/>
      <w:sz w:val="34"/>
    </w:rPr>
  </w:style>
  <w:style w:type="character" w:customStyle="1" w:styleId="107">
    <w:name w:val="Heading 3 Char"/>
    <w:basedOn w:val="56"/>
    <w:qFormat/>
    <w:uiPriority w:val="9"/>
    <w:rPr>
      <w:rFonts w:ascii="Arial" w:hAnsi="Arial" w:eastAsia="Arial" w:cs="Arial"/>
      <w:sz w:val="30"/>
      <w:szCs w:val="30"/>
    </w:rPr>
  </w:style>
  <w:style w:type="character" w:customStyle="1" w:styleId="108">
    <w:name w:val="Heading 4 Char"/>
    <w:basedOn w:val="56"/>
    <w:qFormat/>
    <w:uiPriority w:val="9"/>
    <w:rPr>
      <w:rFonts w:ascii="Arial" w:hAnsi="Arial" w:eastAsia="Arial" w:cs="Arial"/>
      <w:b/>
      <w:bCs/>
      <w:sz w:val="26"/>
      <w:szCs w:val="26"/>
    </w:rPr>
  </w:style>
  <w:style w:type="character" w:customStyle="1" w:styleId="109">
    <w:name w:val="Heading 5 Char"/>
    <w:basedOn w:val="56"/>
    <w:qFormat/>
    <w:uiPriority w:val="9"/>
    <w:rPr>
      <w:rFonts w:ascii="Arial" w:hAnsi="Arial" w:eastAsia="Arial" w:cs="Arial"/>
      <w:b/>
      <w:bCs/>
      <w:sz w:val="24"/>
      <w:szCs w:val="24"/>
    </w:rPr>
  </w:style>
  <w:style w:type="character" w:customStyle="1" w:styleId="110">
    <w:name w:val="标题 6 字符"/>
    <w:basedOn w:val="56"/>
    <w:link w:val="7"/>
    <w:qFormat/>
    <w:uiPriority w:val="9"/>
    <w:rPr>
      <w:rFonts w:ascii="Arial" w:hAnsi="Arial" w:eastAsia="Arial" w:cs="Arial"/>
      <w:b/>
      <w:bCs/>
      <w:sz w:val="22"/>
      <w:szCs w:val="22"/>
    </w:rPr>
  </w:style>
  <w:style w:type="character" w:customStyle="1" w:styleId="111">
    <w:name w:val="标题 7 字符"/>
    <w:basedOn w:val="56"/>
    <w:link w:val="8"/>
    <w:qFormat/>
    <w:uiPriority w:val="9"/>
    <w:rPr>
      <w:rFonts w:ascii="Arial" w:hAnsi="Arial" w:eastAsia="Arial" w:cs="Arial"/>
      <w:b/>
      <w:bCs/>
      <w:i/>
      <w:iCs/>
      <w:sz w:val="22"/>
      <w:szCs w:val="22"/>
    </w:rPr>
  </w:style>
  <w:style w:type="character" w:customStyle="1" w:styleId="112">
    <w:name w:val="标题 8 字符"/>
    <w:basedOn w:val="56"/>
    <w:link w:val="9"/>
    <w:qFormat/>
    <w:uiPriority w:val="9"/>
    <w:rPr>
      <w:rFonts w:ascii="Arial" w:hAnsi="Arial" w:eastAsia="Arial" w:cs="Arial"/>
      <w:i/>
      <w:iCs/>
      <w:sz w:val="22"/>
      <w:szCs w:val="22"/>
    </w:rPr>
  </w:style>
  <w:style w:type="character" w:customStyle="1" w:styleId="113">
    <w:name w:val="标题 9 字符"/>
    <w:basedOn w:val="56"/>
    <w:link w:val="10"/>
    <w:qFormat/>
    <w:uiPriority w:val="9"/>
    <w:rPr>
      <w:rFonts w:ascii="Arial" w:hAnsi="Arial" w:eastAsia="Arial" w:cs="Arial"/>
      <w:i/>
      <w:iCs/>
      <w:sz w:val="21"/>
      <w:szCs w:val="21"/>
    </w:rPr>
  </w:style>
  <w:style w:type="paragraph" w:styleId="114">
    <w:name w:val="No Spacing"/>
    <w:qFormat/>
    <w:uiPriority w:val="1"/>
    <w:rPr>
      <w:rFonts w:hint="default" w:ascii="Times New Roman" w:hAnsi="Times New Roman" w:eastAsia="宋体" w:cs="Times New Roman"/>
      <w:lang w:val="en-US" w:eastAsia="zh-CN" w:bidi="ar-SA"/>
    </w:rPr>
  </w:style>
  <w:style w:type="character" w:customStyle="1" w:styleId="115">
    <w:name w:val="Title Char"/>
    <w:basedOn w:val="56"/>
    <w:qFormat/>
    <w:uiPriority w:val="10"/>
    <w:rPr>
      <w:sz w:val="48"/>
      <w:szCs w:val="48"/>
    </w:rPr>
  </w:style>
  <w:style w:type="character" w:customStyle="1" w:styleId="116">
    <w:name w:val="副标题 字符"/>
    <w:basedOn w:val="56"/>
    <w:link w:val="40"/>
    <w:qFormat/>
    <w:uiPriority w:val="11"/>
    <w:rPr>
      <w:sz w:val="24"/>
      <w:szCs w:val="24"/>
    </w:rPr>
  </w:style>
  <w:style w:type="paragraph" w:styleId="117">
    <w:name w:val="Quote"/>
    <w:basedOn w:val="1"/>
    <w:next w:val="1"/>
    <w:link w:val="118"/>
    <w:qFormat/>
    <w:uiPriority w:val="29"/>
    <w:pPr>
      <w:ind w:left="720" w:right="720"/>
    </w:pPr>
    <w:rPr>
      <w:i/>
    </w:rPr>
  </w:style>
  <w:style w:type="character" w:customStyle="1" w:styleId="118">
    <w:name w:val="引用 字符"/>
    <w:link w:val="117"/>
    <w:qFormat/>
    <w:uiPriority w:val="29"/>
    <w:rPr>
      <w:i/>
    </w:rPr>
  </w:style>
  <w:style w:type="paragraph" w:styleId="119">
    <w:name w:val="Intense Quote"/>
    <w:basedOn w:val="1"/>
    <w:next w:val="1"/>
    <w:link w:val="12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0">
    <w:name w:val="明显引用 字符"/>
    <w:link w:val="119"/>
    <w:qFormat/>
    <w:uiPriority w:val="30"/>
    <w:rPr>
      <w:i/>
    </w:rPr>
  </w:style>
  <w:style w:type="character" w:customStyle="1" w:styleId="121">
    <w:name w:val="Header Char"/>
    <w:basedOn w:val="56"/>
    <w:qFormat/>
    <w:uiPriority w:val="99"/>
  </w:style>
  <w:style w:type="character" w:customStyle="1" w:styleId="122">
    <w:name w:val="Footer Char"/>
    <w:basedOn w:val="56"/>
    <w:qFormat/>
    <w:uiPriority w:val="99"/>
  </w:style>
  <w:style w:type="character" w:customStyle="1" w:styleId="123">
    <w:name w:val="Caption Char"/>
    <w:qFormat/>
    <w:uiPriority w:val="99"/>
  </w:style>
  <w:style w:type="table" w:customStyle="1" w:styleId="124">
    <w:name w:val="Table Grid Light"/>
    <w:basedOn w:val="5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5">
    <w:name w:val="无格式表格 11"/>
    <w:basedOn w:val="5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6">
    <w:name w:val="无格式表格 21"/>
    <w:basedOn w:val="5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7">
    <w:name w:val="无格式表格 31"/>
    <w:basedOn w:val="5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8">
    <w:name w:val="无格式表格 41"/>
    <w:basedOn w:val="5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9">
    <w:name w:val="无格式表格 51"/>
    <w:basedOn w:val="5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0">
    <w:name w:val="网格表 1 浅色1"/>
    <w:basedOn w:val="5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31">
    <w:name w:val="Grid Table 1 Light - Accent 1"/>
    <w:basedOn w:val="5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2">
    <w:name w:val="Grid Table 1 Light - Accent 2"/>
    <w:basedOn w:val="5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3">
    <w:name w:val="Grid Table 1 Light - Accent 3"/>
    <w:basedOn w:val="5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4">
    <w:name w:val="Grid Table 1 Light - Accent 4"/>
    <w:basedOn w:val="5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5">
    <w:name w:val="Grid Table 1 Light - Accent 5"/>
    <w:basedOn w:val="5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6">
    <w:name w:val="Grid Table 1 Light - Accent 6"/>
    <w:basedOn w:val="5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7">
    <w:name w:val="网格表 21"/>
    <w:basedOn w:val="5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8">
    <w:name w:val="Grid Table 2 - Accent 1"/>
    <w:basedOn w:val="5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9">
    <w:name w:val="Grid Table 2 - Accent 2"/>
    <w:basedOn w:val="5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0">
    <w:name w:val="Grid Table 2 - Accent 3"/>
    <w:basedOn w:val="5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1">
    <w:name w:val="Grid Table 2 - Accent 4"/>
    <w:basedOn w:val="5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2">
    <w:name w:val="Grid Table 2 - Accent 5"/>
    <w:basedOn w:val="5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3">
    <w:name w:val="Grid Table 2 - Accent 6"/>
    <w:basedOn w:val="5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4">
    <w:name w:val="网格表 31"/>
    <w:basedOn w:val="5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5">
    <w:name w:val="Grid Table 3 - Accent 1"/>
    <w:basedOn w:val="5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6">
    <w:name w:val="Grid Table 3 - Accent 2"/>
    <w:basedOn w:val="5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7">
    <w:name w:val="Grid Table 3 - Accent 3"/>
    <w:basedOn w:val="5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8">
    <w:name w:val="Grid Table 3 - Accent 4"/>
    <w:basedOn w:val="5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9">
    <w:name w:val="Grid Table 3 - Accent 5"/>
    <w:basedOn w:val="5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0">
    <w:name w:val="Grid Table 3 - Accent 6"/>
    <w:basedOn w:val="5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1">
    <w:name w:val="网格表 41"/>
    <w:basedOn w:val="5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2">
    <w:name w:val="Grid Table 4 - Accent 1"/>
    <w:basedOn w:val="5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3">
    <w:name w:val="Grid Table 4 - Accent 2"/>
    <w:basedOn w:val="5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4">
    <w:name w:val="Grid Table 4 - Accent 3"/>
    <w:basedOn w:val="5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5">
    <w:name w:val="Grid Table 4 - Accent 4"/>
    <w:basedOn w:val="5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6">
    <w:name w:val="Grid Table 4 - Accent 5"/>
    <w:basedOn w:val="5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7">
    <w:name w:val="Grid Table 4 - Accent 6"/>
    <w:basedOn w:val="5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8">
    <w:name w:val="网格表 5 深色1"/>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9">
    <w:name w:val="Grid Table 5 Dark- Accent 1"/>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0">
    <w:name w:val="Grid Table 5 Dark - Accent 2"/>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1">
    <w:name w:val="Grid Table 5 Dark - Accent 3"/>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2">
    <w:name w:val="Grid Table 5 Dark- Accent 4"/>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3">
    <w:name w:val="Grid Table 5 Dark - Accent 5"/>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4">
    <w:name w:val="Grid Table 5 Dark - Accent 6"/>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5">
    <w:name w:val="网格表 6 彩色1"/>
    <w:basedOn w:val="5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Grid Table 6 Colorful - Accent 1"/>
    <w:basedOn w:val="5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7">
    <w:name w:val="Grid Table 6 Colorful - Accent 2"/>
    <w:basedOn w:val="5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Grid Table 6 Colorful - Accent 3"/>
    <w:basedOn w:val="5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9">
    <w:name w:val="Grid Table 6 Colorful - Accent 4"/>
    <w:basedOn w:val="5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Grid Table 6 Colorful - Accent 5"/>
    <w:basedOn w:val="5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1">
    <w:name w:val="Grid Table 6 Colorful - Accent 6"/>
    <w:basedOn w:val="5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2">
    <w:name w:val="网格表 7 彩色1"/>
    <w:basedOn w:val="5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Grid Table 7 Colorful - Accent 1"/>
    <w:basedOn w:val="5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4">
    <w:name w:val="Grid Table 7 Colorful - Accent 2"/>
    <w:basedOn w:val="5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Grid Table 7 Colorful - Accent 3"/>
    <w:basedOn w:val="5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6">
    <w:name w:val="Grid Table 7 Colorful - Accent 4"/>
    <w:basedOn w:val="5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Grid Table 7 Colorful - Accent 5"/>
    <w:basedOn w:val="5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8">
    <w:name w:val="Grid Table 7 Colorful - Accent 6"/>
    <w:basedOn w:val="5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9">
    <w:name w:val="清单表 1 浅色1"/>
    <w:basedOn w:val="5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80">
    <w:name w:val="List Table 1 Light - Accent 1"/>
    <w:basedOn w:val="54"/>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1">
    <w:name w:val="List Table 1 Light - Accent 2"/>
    <w:basedOn w:val="54"/>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2">
    <w:name w:val="List Table 1 Light - Accent 3"/>
    <w:basedOn w:val="54"/>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3">
    <w:name w:val="List Table 1 Light - Accent 4"/>
    <w:basedOn w:val="54"/>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4">
    <w:name w:val="List Table 1 Light - Accent 5"/>
    <w:basedOn w:val="54"/>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5">
    <w:name w:val="List Table 1 Light - Accent 6"/>
    <w:basedOn w:val="54"/>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6">
    <w:name w:val="清单表 21"/>
    <w:basedOn w:val="5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7">
    <w:name w:val="List Table 2 - Accent 1"/>
    <w:basedOn w:val="5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8">
    <w:name w:val="List Table 2 - Accent 2"/>
    <w:basedOn w:val="5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9">
    <w:name w:val="List Table 2 - Accent 3"/>
    <w:basedOn w:val="5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0">
    <w:name w:val="List Table 2 - Accent 4"/>
    <w:basedOn w:val="5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1">
    <w:name w:val="List Table 2 - Accent 5"/>
    <w:basedOn w:val="5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2">
    <w:name w:val="List Table 2 - Accent 6"/>
    <w:basedOn w:val="5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3">
    <w:name w:val="清单表 31"/>
    <w:basedOn w:val="5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4">
    <w:name w:val="List Table 3 - Accent 1"/>
    <w:basedOn w:val="5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5">
    <w:name w:val="List Table 3 - Accent 2"/>
    <w:basedOn w:val="5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6">
    <w:name w:val="List Table 3 - Accent 3"/>
    <w:basedOn w:val="5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7">
    <w:name w:val="List Table 3 - Accent 4"/>
    <w:basedOn w:val="5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8">
    <w:name w:val="List Table 3 - Accent 5"/>
    <w:basedOn w:val="5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9">
    <w:name w:val="List Table 3 - Accent 6"/>
    <w:basedOn w:val="5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0">
    <w:name w:val="清单表 41"/>
    <w:basedOn w:val="5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01">
    <w:name w:val="List Table 4 - Accent 1"/>
    <w:basedOn w:val="5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2">
    <w:name w:val="List Table 4 - Accent 2"/>
    <w:basedOn w:val="5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3">
    <w:name w:val="List Table 4 - Accent 3"/>
    <w:basedOn w:val="5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4">
    <w:name w:val="List Table 4 - Accent 4"/>
    <w:basedOn w:val="5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5">
    <w:name w:val="List Table 4 - Accent 5"/>
    <w:basedOn w:val="5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6">
    <w:name w:val="List Table 4 - Accent 6"/>
    <w:basedOn w:val="5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7">
    <w:name w:val="清单表 5 深色1"/>
    <w:basedOn w:val="5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8">
    <w:name w:val="List Table 5 Dark - Accent 1"/>
    <w:basedOn w:val="5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9">
    <w:name w:val="List Table 5 Dark - Accent 2"/>
    <w:basedOn w:val="5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10">
    <w:name w:val="List Table 5 Dark - Accent 3"/>
    <w:basedOn w:val="5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1">
    <w:name w:val="List Table 5 Dark - Accent 4"/>
    <w:basedOn w:val="5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2">
    <w:name w:val="List Table 5 Dark - Accent 5"/>
    <w:basedOn w:val="5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3">
    <w:name w:val="List Table 5 Dark - Accent 6"/>
    <w:basedOn w:val="5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4">
    <w:name w:val="清单表 6 彩色1"/>
    <w:basedOn w:val="5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5">
    <w:name w:val="List Table 6 Colorful - Accent 1"/>
    <w:basedOn w:val="54"/>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6">
    <w:name w:val="List Table 6 Colorful - Accent 2"/>
    <w:basedOn w:val="54"/>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7">
    <w:name w:val="List Table 6 Colorful - Accent 3"/>
    <w:basedOn w:val="54"/>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8">
    <w:name w:val="List Table 6 Colorful - Accent 4"/>
    <w:basedOn w:val="54"/>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9">
    <w:name w:val="List Table 6 Colorful - Accent 5"/>
    <w:basedOn w:val="54"/>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0">
    <w:name w:val="List Table 6 Colorful - Accent 6"/>
    <w:basedOn w:val="54"/>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1">
    <w:name w:val="清单表 7 彩色1"/>
    <w:basedOn w:val="5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22">
    <w:name w:val="List Table 7 Colorful - Accent 1"/>
    <w:basedOn w:val="54"/>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3">
    <w:name w:val="List Table 7 Colorful - Accent 2"/>
    <w:basedOn w:val="54"/>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4">
    <w:name w:val="List Table 7 Colorful - Accent 3"/>
    <w:basedOn w:val="54"/>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5">
    <w:name w:val="List Table 7 Colorful - Accent 4"/>
    <w:basedOn w:val="54"/>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6">
    <w:name w:val="List Table 7 Colorful - Accent 5"/>
    <w:basedOn w:val="54"/>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7">
    <w:name w:val="List Table 7 Colorful - Accent 6"/>
    <w:basedOn w:val="54"/>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8">
    <w:name w:val="Lined - Accent"/>
    <w:basedOn w:val="5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9">
    <w:name w:val="Lined - Accent 1"/>
    <w:basedOn w:val="54"/>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0">
    <w:name w:val="Lined - Accent 2"/>
    <w:basedOn w:val="54"/>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1">
    <w:name w:val="Lined - Accent 3"/>
    <w:basedOn w:val="54"/>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2">
    <w:name w:val="Lined - Accent 4"/>
    <w:basedOn w:val="54"/>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3">
    <w:name w:val="Lined - Accent 5"/>
    <w:basedOn w:val="54"/>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4">
    <w:name w:val="Lined - Accent 6"/>
    <w:basedOn w:val="54"/>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5">
    <w:name w:val="Bordered &amp; Lined - Accent"/>
    <w:basedOn w:val="5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6">
    <w:name w:val="Bordered &amp; Lined - Accent 1"/>
    <w:basedOn w:val="5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7">
    <w:name w:val="Bordered &amp; Lined - Accent 2"/>
    <w:basedOn w:val="5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8">
    <w:name w:val="Bordered &amp; Lined - Accent 3"/>
    <w:basedOn w:val="5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9">
    <w:name w:val="Bordered &amp; Lined - Accent 4"/>
    <w:basedOn w:val="5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0">
    <w:name w:val="Bordered &amp; Lined - Accent 5"/>
    <w:basedOn w:val="5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1">
    <w:name w:val="Bordered &amp; Lined - Accent 6"/>
    <w:basedOn w:val="5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2">
    <w:name w:val="Bordered"/>
    <w:basedOn w:val="5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3">
    <w:name w:val="Bordered - Accent 1"/>
    <w:basedOn w:val="5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4">
    <w:name w:val="Bordered - Accent 2"/>
    <w:basedOn w:val="5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5">
    <w:name w:val="Bordered - Accent 3"/>
    <w:basedOn w:val="5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6">
    <w:name w:val="Bordered - Accent 4"/>
    <w:basedOn w:val="5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7">
    <w:name w:val="Bordered - Accent 5"/>
    <w:basedOn w:val="5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8">
    <w:name w:val="Bordered - Accent 6"/>
    <w:basedOn w:val="5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9">
    <w:name w:val="脚注文本 字符"/>
    <w:link w:val="41"/>
    <w:qFormat/>
    <w:uiPriority w:val="99"/>
    <w:rPr>
      <w:sz w:val="18"/>
    </w:rPr>
  </w:style>
  <w:style w:type="character" w:customStyle="1" w:styleId="250">
    <w:name w:val="尾注文本 字符"/>
    <w:link w:val="30"/>
    <w:qFormat/>
    <w:uiPriority w:val="99"/>
    <w:rPr>
      <w:sz w:val="20"/>
    </w:rPr>
  </w:style>
  <w:style w:type="paragraph" w:customStyle="1" w:styleId="251">
    <w:name w:val="TOC 标题1"/>
    <w:unhideWhenUsed/>
    <w:qFormat/>
    <w:uiPriority w:val="39"/>
    <w:rPr>
      <w:rFonts w:hint="default" w:ascii="Times New Roman" w:hAnsi="Times New Roman" w:eastAsia="宋体" w:cs="Times New Roman"/>
      <w:lang w:val="en-US" w:eastAsia="zh-CN" w:bidi="ar-SA"/>
    </w:rPr>
  </w:style>
  <w:style w:type="character" w:customStyle="1" w:styleId="252">
    <w:name w:val="标题 1 字符"/>
    <w:link w:val="2"/>
    <w:qFormat/>
    <w:uiPriority w:val="0"/>
    <w:rPr>
      <w:rFonts w:ascii="宋体" w:hAnsi="宋体"/>
      <w:b/>
      <w:sz w:val="36"/>
    </w:rPr>
  </w:style>
  <w:style w:type="character" w:customStyle="1" w:styleId="253">
    <w:name w:val="标题 2 字符"/>
    <w:link w:val="3"/>
    <w:qFormat/>
    <w:uiPriority w:val="0"/>
    <w:rPr>
      <w:rFonts w:ascii="宋体" w:hAnsi="宋体" w:eastAsia="宋体"/>
      <w:b/>
      <w:bCs/>
      <w:sz w:val="28"/>
      <w:szCs w:val="28"/>
    </w:rPr>
  </w:style>
  <w:style w:type="character" w:customStyle="1" w:styleId="254">
    <w:name w:val="标题 3 字符"/>
    <w:link w:val="4"/>
    <w:qFormat/>
    <w:uiPriority w:val="0"/>
    <w:rPr>
      <w:rFonts w:ascii="宋体" w:hAnsi="宋体"/>
      <w:sz w:val="28"/>
    </w:rPr>
  </w:style>
  <w:style w:type="character" w:customStyle="1" w:styleId="255">
    <w:name w:val="标题 4 字符"/>
    <w:link w:val="5"/>
    <w:qFormat/>
    <w:uiPriority w:val="0"/>
    <w:rPr>
      <w:b/>
      <w:bCs/>
      <w:sz w:val="18"/>
    </w:rPr>
  </w:style>
  <w:style w:type="character" w:customStyle="1" w:styleId="256">
    <w:name w:val="标题 5 字符"/>
    <w:link w:val="6"/>
    <w:qFormat/>
    <w:uiPriority w:val="0"/>
    <w:rPr>
      <w:b/>
      <w:bCs/>
      <w:sz w:val="18"/>
    </w:rPr>
  </w:style>
  <w:style w:type="character" w:customStyle="1" w:styleId="257">
    <w:name w:val="正文缩进 字符"/>
    <w:link w:val="13"/>
    <w:qFormat/>
    <w:uiPriority w:val="99"/>
    <w:rPr>
      <w:sz w:val="21"/>
    </w:rPr>
  </w:style>
  <w:style w:type="character" w:customStyle="1" w:styleId="258">
    <w:name w:val="文档结构图 字符"/>
    <w:link w:val="16"/>
    <w:qFormat/>
    <w:uiPriority w:val="0"/>
    <w:rPr>
      <w:sz w:val="21"/>
      <w:shd w:val="clear" w:color="auto" w:fill="000080"/>
    </w:rPr>
  </w:style>
  <w:style w:type="character" w:customStyle="1" w:styleId="259">
    <w:name w:val="批注文字 字符"/>
    <w:link w:val="17"/>
    <w:qFormat/>
    <w:uiPriority w:val="0"/>
    <w:rPr>
      <w:sz w:val="21"/>
    </w:rPr>
  </w:style>
  <w:style w:type="character" w:customStyle="1" w:styleId="260">
    <w:name w:val="正文文本 字符"/>
    <w:link w:val="19"/>
    <w:qFormat/>
    <w:uiPriority w:val="0"/>
    <w:rPr>
      <w:rFonts w:ascii="楷体_GB2312" w:hAnsi="Arial" w:eastAsia="楷体_GB2312"/>
      <w:sz w:val="28"/>
    </w:rPr>
  </w:style>
  <w:style w:type="character" w:customStyle="1" w:styleId="261">
    <w:name w:val="正文文本缩进 字符"/>
    <w:link w:val="20"/>
    <w:qFormat/>
    <w:uiPriority w:val="0"/>
    <w:rPr>
      <w:rFonts w:ascii="宋体"/>
      <w:sz w:val="28"/>
    </w:rPr>
  </w:style>
  <w:style w:type="character" w:customStyle="1" w:styleId="262">
    <w:name w:val="纯文本 字符"/>
    <w:link w:val="25"/>
    <w:qFormat/>
    <w:uiPriority w:val="0"/>
    <w:rPr>
      <w:rFonts w:ascii="宋体" w:hAnsi="Courier New"/>
      <w:sz w:val="21"/>
    </w:rPr>
  </w:style>
  <w:style w:type="character" w:customStyle="1" w:styleId="263">
    <w:name w:val="日期 字符"/>
    <w:link w:val="28"/>
    <w:qFormat/>
    <w:uiPriority w:val="0"/>
    <w:rPr>
      <w:rFonts w:ascii="宋体"/>
      <w:sz w:val="28"/>
    </w:rPr>
  </w:style>
  <w:style w:type="character" w:customStyle="1" w:styleId="264">
    <w:name w:val="正文文本缩进 2 字符"/>
    <w:link w:val="29"/>
    <w:qFormat/>
    <w:uiPriority w:val="0"/>
    <w:rPr>
      <w:sz w:val="24"/>
    </w:rPr>
  </w:style>
  <w:style w:type="character" w:customStyle="1" w:styleId="265">
    <w:name w:val="批注框文本 字符"/>
    <w:link w:val="31"/>
    <w:qFormat/>
    <w:uiPriority w:val="99"/>
    <w:rPr>
      <w:sz w:val="18"/>
      <w:szCs w:val="18"/>
    </w:rPr>
  </w:style>
  <w:style w:type="character" w:customStyle="1" w:styleId="266">
    <w:name w:val="页脚 字符"/>
    <w:link w:val="32"/>
    <w:qFormat/>
    <w:uiPriority w:val="99"/>
    <w:rPr>
      <w:sz w:val="18"/>
    </w:rPr>
  </w:style>
  <w:style w:type="character" w:customStyle="1" w:styleId="267">
    <w:name w:val="页眉 字符"/>
    <w:link w:val="34"/>
    <w:qFormat/>
    <w:uiPriority w:val="99"/>
    <w:rPr>
      <w:sz w:val="18"/>
    </w:rPr>
  </w:style>
  <w:style w:type="character" w:customStyle="1" w:styleId="268">
    <w:name w:val="签名 字符"/>
    <w:link w:val="35"/>
    <w:qFormat/>
    <w:uiPriority w:val="0"/>
    <w:rPr>
      <w:rFonts w:eastAsia="仿宋_GB2312"/>
      <w:sz w:val="24"/>
    </w:rPr>
  </w:style>
  <w:style w:type="character" w:customStyle="1" w:styleId="269">
    <w:name w:val="正文文本缩进 3 字符"/>
    <w:link w:val="43"/>
    <w:qFormat/>
    <w:uiPriority w:val="0"/>
    <w:rPr>
      <w:b/>
      <w:bCs/>
      <w:sz w:val="28"/>
      <w:u w:val="single"/>
    </w:rPr>
  </w:style>
  <w:style w:type="character" w:customStyle="1" w:styleId="270">
    <w:name w:val="标题 字符"/>
    <w:link w:val="51"/>
    <w:qFormat/>
    <w:uiPriority w:val="0"/>
    <w:rPr>
      <w:rFonts w:ascii="Cambria" w:hAnsi="Cambria" w:cs="Times New Roman"/>
      <w:b/>
      <w:bCs/>
      <w:sz w:val="32"/>
      <w:szCs w:val="32"/>
    </w:rPr>
  </w:style>
  <w:style w:type="character" w:customStyle="1" w:styleId="271">
    <w:name w:val="批注主题 字符"/>
    <w:link w:val="52"/>
    <w:qFormat/>
    <w:uiPriority w:val="0"/>
    <w:rPr>
      <w:b/>
      <w:bCs/>
      <w:sz w:val="21"/>
    </w:rPr>
  </w:style>
  <w:style w:type="character" w:customStyle="1" w:styleId="272">
    <w:name w:val="正文首行缩进 2 字符"/>
    <w:link w:val="53"/>
    <w:qFormat/>
    <w:uiPriority w:val="0"/>
    <w:rPr>
      <w:rFonts w:ascii="宋体"/>
      <w:sz w:val="21"/>
    </w:rPr>
  </w:style>
  <w:style w:type="character" w:customStyle="1" w:styleId="273">
    <w:name w:val="正文文本缩进 字符1"/>
    <w:qFormat/>
    <w:uiPriority w:val="0"/>
    <w:rPr>
      <w:rFonts w:ascii="宋体"/>
      <w:sz w:val="28"/>
    </w:rPr>
  </w:style>
  <w:style w:type="paragraph" w:customStyle="1" w:styleId="274">
    <w:name w:val="Char Char1 Char Char Char Char Char Char Char"/>
    <w:basedOn w:val="1"/>
    <w:qFormat/>
    <w:uiPriority w:val="0"/>
    <w:rPr>
      <w:rFonts w:ascii="Tahoma" w:hAnsi="Tahoma"/>
      <w:sz w:val="24"/>
    </w:rPr>
  </w:style>
  <w:style w:type="paragraph" w:customStyle="1" w:styleId="275">
    <w:name w:val="p0"/>
    <w:basedOn w:val="1"/>
    <w:qFormat/>
    <w:uiPriority w:val="0"/>
    <w:pPr>
      <w:widowControl/>
    </w:pPr>
    <w:rPr>
      <w:szCs w:val="21"/>
    </w:rPr>
  </w:style>
  <w:style w:type="paragraph" w:customStyle="1" w:styleId="276">
    <w:name w:val="Plain Text1"/>
    <w:basedOn w:val="1"/>
    <w:qFormat/>
    <w:uiPriority w:val="0"/>
    <w:rPr>
      <w:rFonts w:ascii="宋体" w:hAnsi="Courier New" w:eastAsia="楷体_GB2312"/>
      <w:sz w:val="28"/>
    </w:rPr>
  </w:style>
  <w:style w:type="paragraph" w:customStyle="1" w:styleId="277">
    <w:name w:val="纯文本1"/>
    <w:basedOn w:val="1"/>
    <w:qFormat/>
    <w:uiPriority w:val="0"/>
    <w:rPr>
      <w:rFonts w:ascii="宋体" w:hAnsi="Courier New" w:eastAsia="楷体_GB2312"/>
      <w:sz w:val="28"/>
    </w:rPr>
  </w:style>
  <w:style w:type="paragraph" w:customStyle="1" w:styleId="278">
    <w:name w:val="纯文本2"/>
    <w:basedOn w:val="1"/>
    <w:qFormat/>
    <w:uiPriority w:val="0"/>
    <w:pPr>
      <w:widowControl/>
      <w:jc w:val="left"/>
    </w:pPr>
    <w:rPr>
      <w:rFonts w:ascii="宋体" w:hAnsi="Courier New" w:eastAsia="楷体_GB2312"/>
      <w:sz w:val="26"/>
    </w:rPr>
  </w:style>
  <w:style w:type="paragraph" w:customStyle="1" w:styleId="279">
    <w:name w:val="Char Char Char"/>
    <w:basedOn w:val="1"/>
    <w:qFormat/>
    <w:uiPriority w:val="0"/>
    <w:pPr>
      <w:tabs>
        <w:tab w:val="left" w:pos="375"/>
        <w:tab w:val="left" w:pos="1545"/>
      </w:tabs>
      <w:ind w:left="375" w:hanging="375"/>
    </w:pPr>
  </w:style>
  <w:style w:type="paragraph" w:customStyle="1" w:styleId="280">
    <w:name w:val="List Paragraph1"/>
    <w:basedOn w:val="1"/>
    <w:qFormat/>
    <w:uiPriority w:val="99"/>
    <w:pPr>
      <w:ind w:firstLine="420"/>
    </w:pPr>
  </w:style>
  <w:style w:type="paragraph" w:styleId="281">
    <w:name w:val="List Paragraph"/>
    <w:basedOn w:val="1"/>
    <w:qFormat/>
    <w:uiPriority w:val="99"/>
    <w:pPr>
      <w:ind w:firstLine="420"/>
    </w:pPr>
    <w:rPr>
      <w:rFonts w:ascii="Calibri" w:hAnsi="Calibri"/>
      <w:szCs w:val="22"/>
    </w:rPr>
  </w:style>
  <w:style w:type="paragraph" w:customStyle="1" w:styleId="282">
    <w:name w:val="Char Char Char1"/>
    <w:basedOn w:val="1"/>
    <w:qFormat/>
    <w:uiPriority w:val="0"/>
    <w:pPr>
      <w:numPr>
        <w:ilvl w:val="0"/>
        <w:numId w:val="1"/>
      </w:numPr>
      <w:tabs>
        <w:tab w:val="left" w:pos="1545"/>
      </w:tabs>
    </w:pPr>
  </w:style>
  <w:style w:type="paragraph" w:customStyle="1" w:styleId="283">
    <w:name w:val="Char1 Char Char Char"/>
    <w:basedOn w:val="1"/>
    <w:qFormat/>
    <w:uiPriority w:val="0"/>
    <w:rPr>
      <w:rFonts w:ascii="Tahoma" w:hAnsi="Tahoma"/>
      <w:sz w:val="24"/>
    </w:rPr>
  </w:style>
  <w:style w:type="paragraph" w:customStyle="1" w:styleId="284">
    <w:name w:val="样式1"/>
    <w:basedOn w:val="1"/>
    <w:qFormat/>
    <w:uiPriority w:val="0"/>
    <w:pPr>
      <w:numPr>
        <w:ilvl w:val="0"/>
        <w:numId w:val="2"/>
      </w:numPr>
    </w:pPr>
    <w:rPr>
      <w:rFonts w:ascii="宋体" w:hAnsi="宋体"/>
      <w:szCs w:val="21"/>
    </w:rPr>
  </w:style>
  <w:style w:type="paragraph" w:customStyle="1" w:styleId="285">
    <w:name w:val="Char Char Char Char"/>
    <w:basedOn w:val="16"/>
    <w:qFormat/>
    <w:uiPriority w:val="0"/>
    <w:pPr>
      <w:spacing w:line="360" w:lineRule="auto"/>
    </w:pPr>
    <w:rPr>
      <w:rFonts w:ascii="Tahoma" w:hAnsi="Tahoma"/>
      <w:sz w:val="24"/>
      <w:szCs w:val="24"/>
    </w:rPr>
  </w:style>
  <w:style w:type="paragraph" w:customStyle="1" w:styleId="286">
    <w:name w:val="Char"/>
    <w:basedOn w:val="1"/>
    <w:qFormat/>
    <w:uiPriority w:val="0"/>
    <w:pPr>
      <w:numPr>
        <w:ilvl w:val="0"/>
        <w:numId w:val="3"/>
      </w:numPr>
    </w:pPr>
    <w:rPr>
      <w:sz w:val="24"/>
      <w:szCs w:val="24"/>
    </w:rPr>
  </w:style>
  <w:style w:type="paragraph" w:customStyle="1" w:styleId="287">
    <w:name w:val="Char Char1 Char Char Char Char Char Char Char1"/>
    <w:basedOn w:val="1"/>
    <w:qFormat/>
    <w:uiPriority w:val="0"/>
    <w:rPr>
      <w:rFonts w:ascii="Tahoma" w:hAnsi="Tahoma"/>
      <w:sz w:val="24"/>
    </w:rPr>
  </w:style>
  <w:style w:type="paragraph" w:customStyle="1" w:styleId="288">
    <w:name w:val="首行缩进"/>
    <w:basedOn w:val="1"/>
    <w:qFormat/>
    <w:uiPriority w:val="0"/>
    <w:pPr>
      <w:widowControl/>
      <w:spacing w:before="100" w:beforeAutospacing="1" w:after="100" w:afterAutospacing="1"/>
      <w:ind w:left="1024" w:firstLine="480"/>
    </w:pPr>
    <w:rPr>
      <w:rFonts w:ascii="Calibri" w:hAnsi="Calibri"/>
      <w:sz w:val="24"/>
      <w:szCs w:val="24"/>
    </w:rPr>
  </w:style>
  <w:style w:type="character" w:customStyle="1" w:styleId="289">
    <w:name w:val="font21"/>
    <w:basedOn w:val="56"/>
    <w:qFormat/>
    <w:uiPriority w:val="0"/>
    <w:rPr>
      <w:rFonts w:hint="default" w:ascii="Times New Roman" w:hAnsi="Times New Roman" w:cs="Times New Roman"/>
      <w:color w:val="000000"/>
      <w:sz w:val="24"/>
      <w:szCs w:val="24"/>
      <w:u w:val="none"/>
    </w:rPr>
  </w:style>
  <w:style w:type="character" w:customStyle="1" w:styleId="290">
    <w:name w:val="font01"/>
    <w:basedOn w:val="56"/>
    <w:qFormat/>
    <w:uiPriority w:val="0"/>
    <w:rPr>
      <w:rFonts w:hint="eastAsia" w:ascii="宋体" w:hAnsi="宋体" w:eastAsia="宋体" w:cs="宋体"/>
      <w:color w:val="000000"/>
      <w:sz w:val="24"/>
      <w:szCs w:val="24"/>
      <w:u w:val="none"/>
    </w:rPr>
  </w:style>
  <w:style w:type="paragraph" w:customStyle="1" w:styleId="291">
    <w:name w:val="正文文本1"/>
    <w:basedOn w:val="1"/>
    <w:next w:val="292"/>
    <w:qFormat/>
    <w:uiPriority w:val="0"/>
    <w:rPr>
      <w:rFonts w:ascii="楷体_GB2312" w:hAnsi="Arial" w:eastAsia="楷体_GB2312"/>
      <w:sz w:val="28"/>
    </w:rPr>
  </w:style>
  <w:style w:type="paragraph" w:customStyle="1" w:styleId="292">
    <w:name w:val="正文首行缩进1"/>
    <w:basedOn w:val="291"/>
    <w:next w:val="293"/>
    <w:unhideWhenUsed/>
    <w:qFormat/>
    <w:uiPriority w:val="99"/>
    <w:pPr>
      <w:ind w:firstLine="420"/>
    </w:pPr>
  </w:style>
  <w:style w:type="paragraph" w:customStyle="1" w:styleId="293">
    <w:name w:val="正文首行缩进 21"/>
    <w:basedOn w:val="102"/>
    <w:next w:val="292"/>
    <w:qFormat/>
    <w:uiPriority w:val="0"/>
    <w:pPr>
      <w:ind w:firstLine="420"/>
    </w:pPr>
  </w:style>
  <w:style w:type="paragraph" w:customStyle="1" w:styleId="294">
    <w:name w:val="A5"/>
    <w:basedOn w:val="1"/>
    <w:qFormat/>
    <w:uiPriority w:val="4"/>
    <w:pPr>
      <w:spacing w:line="360" w:lineRule="auto"/>
      <w:ind w:firstLine="560"/>
    </w:pPr>
    <w:rPr>
      <w:rFonts w:eastAsia="仿宋_GB2312"/>
      <w:sz w:val="28"/>
      <w:szCs w:val="28"/>
    </w:rPr>
  </w:style>
  <w:style w:type="paragraph" w:customStyle="1" w:styleId="295">
    <w:name w:val="A3"/>
    <w:basedOn w:val="19"/>
    <w:qFormat/>
    <w:uiPriority w:val="3"/>
    <w:pPr>
      <w:widowControl/>
      <w:spacing w:before="156" w:after="156"/>
      <w:ind w:left="28"/>
      <w:outlineLvl w:val="2"/>
    </w:pPr>
    <w:rPr>
      <w:rFonts w:ascii="Times New Roman" w:hAnsi="Times New Roman" w:eastAsia="黑体"/>
      <w:color w:val="000000"/>
      <w:spacing w:val="-3"/>
      <w:szCs w:val="28"/>
      <w:lang w:eastAsia="en-US"/>
    </w:rPr>
  </w:style>
  <w:style w:type="paragraph" w:customStyle="1" w:styleId="296">
    <w:name w:val="正文1"/>
    <w:qFormat/>
    <w:uiPriority w:val="0"/>
    <w:pPr>
      <w:widowControl w:val="0"/>
      <w:jc w:val="both"/>
    </w:pPr>
    <w:rPr>
      <w:rFonts w:hint="default" w:asciiTheme="minorHAnsi" w:hAnsiTheme="minorHAnsi" w:eastAsiaTheme="minorEastAsia" w:cstheme="minorBidi"/>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57</Pages>
  <Words>22075</Words>
  <Characters>23645</Characters>
  <TotalTime>4</TotalTime>
  <ScaleCrop>false</ScaleCrop>
  <LinksUpToDate>false</LinksUpToDate>
  <CharactersWithSpaces>24246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2024-03-07T05:30:00Z</dcterms:created>
  <dc:creator>user</dc:creator>
  <cp:lastModifiedBy>静亚</cp:lastModifiedBy>
  <cp:lastPrinted>2025-10-09T07:48:00Z</cp:lastPrinted>
  <dcterms:modified xsi:type="dcterms:W3CDTF">2026-10-13T05:38:08Z</dcterms:modified>
  <dc:title>招  标  文  件</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4D396F93197D4BFAB7BB6AC272404889_13</vt:lpwstr>
  </property>
  <property fmtid="{D5CDD505-2E9C-101B-9397-08002B2CF9AE}" pid="4" name="KSOTemplateDocerSaveRecord">
    <vt:lpwstr>eyJoZGlkIjoiYmM5MDVmNTQ4NzRjM2M5Njk4MmU1NTZhMDY2OGE5NGEiLCJ1c2VySWQiOiIxMjAyODkwMzI4In0=</vt:lpwstr>
  </property>
</Properties>
</file>