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r>
      <w:r/>
    </w:p>
    <w:p>
      <w:pPr>
        <w:ind w:left="0" w:firstLine="0"/>
        <w:jc w:val="center"/>
        <w:spacing w:before="120" w:after="120" w:line="360" w:lineRule="auto"/>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 xml:space="preserve">竞争性磋商文件</w:t>
      </w:r>
      <w:r/>
    </w:p>
    <w:p>
      <w:pPr>
        <w:ind w:left="0" w:firstLine="0"/>
        <w:jc w:val="center"/>
        <w:spacing w:before="120" w:after="120" w:line="360" w:lineRule="auto"/>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 xml:space="preserve">项目名称：智慧建邺基础支撑平台运维服务项目</w:t>
      </w:r>
      <w:r/>
    </w:p>
    <w:p>
      <w:pPr>
        <w:ind w:left="0" w:firstLine="0"/>
        <w:jc w:val="center"/>
        <w:spacing w:before="120" w:after="120" w:line="360" w:lineRule="auto"/>
        <w:rPr>
          <w:rFonts w:hint="default" w:ascii="仿宋" w:hAnsi="仿宋" w:eastAsia="仿宋" w:cs="仿宋"/>
          <w:b/>
          <w:bCs/>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项</w:t>
      </w:r>
      <w:r>
        <w:rPr>
          <w:rFonts w:hint="eastAsia" w:ascii="仿宋" w:hAnsi="仿宋" w:eastAsia="仿宋" w:cs="仿宋"/>
          <w:b/>
          <w:bCs/>
          <w:color w:val="000000" w:themeColor="text1"/>
          <w:sz w:val="36"/>
          <w:szCs w:val="36"/>
          <w:highlight w:val="none"/>
          <w14:textFill>
            <w14:solidFill>
              <w14:schemeClr w14:val="tx1"/>
            </w14:solidFill>
          </w14:textFill>
        </w:rPr>
        <w:t xml:space="preserve">目编号：JSZC-320105-TJGL-C2026-0021</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02"/>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02"/>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pStyle w:val="702"/>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采 购 人：南京市建邺区城市数字治理中心</w:t>
      </w:r>
      <w:r/>
    </w:p>
    <w:p>
      <w:pPr>
        <w:ind w:firstLine="1084"/>
        <w:jc w:val="left"/>
        <w:spacing w:line="360" w:lineRule="auto"/>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招标代理：</w:t>
      </w:r>
      <w:r>
        <w:rPr>
          <w:rFonts w:hint="eastAsia" w:ascii="仿宋" w:hAnsi="仿宋" w:cs="仿宋"/>
          <w:b/>
          <w:color w:val="000000" w:themeColor="text1"/>
          <w:sz w:val="36"/>
          <w:szCs w:val="36"/>
          <w:highlight w:val="none"/>
          <w:lang w:eastAsia="zh-CN"/>
          <w14:textFill>
            <w14:solidFill>
              <w14:schemeClr w14:val="tx1"/>
            </w14:solidFill>
          </w14:textFill>
        </w:rPr>
        <w:t xml:space="preserve">南京通建项目管理咨询有限公司</w:t>
      </w:r>
      <w:r/>
    </w:p>
    <w:p>
      <w:pPr>
        <w:pStyle w:val="938"/>
        <w:ind w:left="0" w:firstLine="0"/>
        <w:jc w:val="both"/>
        <w:rPr>
          <w:rFonts w:hint="eastAsia" w:ascii="仿宋" w:hAnsi="仿宋" w:eastAsia="仿宋" w:cs="仿宋"/>
          <w:b/>
          <w:bCs/>
          <w:color w:val="000000" w:themeColor="text1"/>
          <w:sz w:val="32"/>
          <w:highlight w:val="none"/>
          <w:u w:val="none"/>
          <w14:textFill>
            <w14:solidFill>
              <w14:schemeClr w14:val="tx1"/>
            </w14:solidFill>
          </w14:textFill>
        </w:rPr>
      </w:pPr>
      <w:r>
        <w:rPr>
          <w:rFonts w:hint="eastAsia" w:ascii="仿宋" w:hAnsi="仿宋" w:eastAsia="仿宋" w:cs="仿宋"/>
          <w:b/>
          <w:bCs/>
          <w:color w:val="000000" w:themeColor="text1"/>
          <w:sz w:val="32"/>
          <w:highlight w:val="none"/>
          <w:u w:val="none"/>
          <w14:textFill>
            <w14:solidFill>
              <w14:schemeClr w14:val="tx1"/>
            </w14:solidFill>
          </w14:textFill>
        </w:rPr>
      </w:r>
      <w:r/>
    </w:p>
    <w:p>
      <w:pPr>
        <w:pStyle w:val="938"/>
        <w:ind w:left="0" w:firstLine="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2026</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 xml:space="preserve">10</w:t>
      </w:r>
      <w:r>
        <w:rPr>
          <w:rFonts w:hint="eastAsia" w:ascii="仿宋" w:hAnsi="仿宋" w:eastAsia="仿宋" w:cs="仿宋"/>
          <w:b/>
          <w:bCs/>
          <w:color w:val="000000" w:themeColor="text1"/>
          <w:sz w:val="36"/>
          <w:szCs w:val="36"/>
          <w:highlight w:val="none"/>
          <w:u w:val="none"/>
          <w14:textFill>
            <w14:solidFill>
              <w14:schemeClr w14:val="tx1"/>
            </w14:solidFill>
          </w14:textFill>
        </w:rPr>
        <w:t xml:space="preserve">月</w:t>
      </w:r>
      <w:r/>
    </w:p>
    <w:p>
      <w:pPr>
        <w:jc w:val="left"/>
        <w:spacing w:before="120" w:after="120"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00"/>
          <w:rFonts w:hint="eastAsia" w:ascii="仿宋" w:hAnsi="仿宋" w:eastAsia="仿宋" w:cs="仿宋"/>
          <w:color w:val="000000" w:themeColor="text1"/>
          <w:highlight w:val="none"/>
          <w14:textFill>
            <w14:solidFill>
              <w14:schemeClr w14:val="tx1"/>
            </w14:solidFill>
          </w14:textFill>
        </w:rPr>
      </w:pPr>
      <w:r/>
      <w:bookmarkStart w:id="0" w:name="_Toc160699550"/>
      <w:r/>
      <w:bookmarkStart w:id="1" w:name="_Toc120614210"/>
      <w:r/>
      <w:bookmarkStart w:id="2" w:name="_Toc523127445"/>
      <w:r/>
      <w:bookmarkStart w:id="3" w:name="_Toc16938516"/>
      <w:r/>
      <w:bookmarkStart w:id="4" w:name="_Toc513029200"/>
      <w:r/>
      <w:bookmarkStart w:id="5" w:name="_Toc20823272"/>
      <w:r/>
      <w:bookmarkStart w:id="6" w:name="_Toc479757206"/>
      <w:r>
        <w:rPr>
          <w:rStyle w:val="900"/>
          <w:rFonts w:hint="eastAsia" w:ascii="仿宋" w:hAnsi="仿宋" w:eastAsia="仿宋" w:cs="仿宋"/>
          <w:color w:val="000000" w:themeColor="text1"/>
          <w:highlight w:val="none"/>
          <w14:textFill>
            <w14:solidFill>
              <w14:schemeClr w14:val="tx1"/>
            </w14:solidFill>
          </w14:textFill>
        </w:rPr>
        <w:br w:type="page" w:clear="all"/>
      </w:r>
      <w:r/>
    </w:p>
    <w:p>
      <w:pPr>
        <w:ind w:left="0" w:firstLine="0"/>
        <w:jc w:val="center"/>
        <w:spacing w:line="480" w:lineRule="auto"/>
        <w:rPr>
          <w:rStyle w:val="900"/>
          <w:rFonts w:hint="eastAsia" w:ascii="仿宋" w:hAnsi="仿宋" w:eastAsia="仿宋" w:cs="仿宋"/>
          <w:color w:val="000000" w:themeColor="text1"/>
          <w:highlight w:val="none"/>
          <w14:textFill>
            <w14:solidFill>
              <w14:schemeClr w14:val="tx1"/>
            </w14:solidFill>
          </w14:textFill>
        </w:rPr>
        <w:outlineLvl w:val="0"/>
      </w:pPr>
      <w:r>
        <w:rPr>
          <w:rStyle w:val="900"/>
          <w:rFonts w:hint="eastAsia" w:ascii="仿宋" w:hAnsi="仿宋" w:eastAsia="仿宋" w:cs="仿宋"/>
          <w:color w:val="000000" w:themeColor="text1"/>
          <w:highlight w:val="none"/>
          <w14:textFill>
            <w14:solidFill>
              <w14:schemeClr w14:val="tx1"/>
            </w14:solidFill>
          </w14:textFill>
        </w:rPr>
        <w:t xml:space="preserve">总  目  录</w:t>
      </w:r>
      <w:bookmarkEnd w:id="0"/>
      <w:r/>
      <w:r/>
    </w:p>
    <w:p>
      <w:pPr>
        <w:pStyle w:val="725"/>
        <w:ind w:firstLine="420"/>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b w:val="0"/>
          <w:bCs w:val="0"/>
          <w:color w:val="000000" w:themeColor="text1"/>
          <w:sz w:val="28"/>
          <w:szCs w:val="28"/>
          <w:highlight w:val="none"/>
          <w14:textFill>
            <w14:solidFill>
              <w14:schemeClr w14:val="tx1"/>
            </w14:solidFill>
          </w14:textFill>
        </w:rPr>
        <w:t xml:space="preserve">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p>
    <w:p>
      <w:pPr>
        <w:pStyle w:val="72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5"/>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22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25"/>
        <w:rPr>
          <w:rFonts w:hint="eastAsia" w:ascii="仿宋" w:hAnsi="仿宋" w:eastAsia="仿宋" w:cs="仿宋"/>
          <w:cap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 xml:space="preserve">7</w:t>
      </w:r>
      <w:r/>
    </w:p>
    <w:p>
      <w:pPr>
        <w:pStyle w:val="725"/>
        <w:rPr>
          <w:rFonts w:hint="eastAsia" w:ascii="仿宋" w:hAnsi="仿宋" w:eastAsia="仿宋" w:cs="仿宋"/>
          <w:cap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 xml:space="preserve">6</w:t>
      </w:r>
      <w:r/>
    </w:p>
    <w:p>
      <w:pPr>
        <w:pStyle w:val="725"/>
        <w:keepLines w:val="0"/>
        <w:keepNext w:val="0"/>
        <w:pageBreakBefore w:val="0"/>
        <w:spacing w:before="0" w:after="0" w:line="360" w:lineRule="auto"/>
        <w:widowControl w:val="off"/>
        <w:rPr>
          <w:rFonts w:hint="eastAsia" w:ascii="仿宋" w:hAnsi="仿宋" w:eastAsia="仿宋" w:cs="仿宋"/>
          <w:caps w:val="0"/>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747"/>
          <w:rFonts w:hint="eastAsia" w:ascii="仿宋" w:hAnsi="仿宋" w:eastAsia="仿宋" w:cs="仿宋"/>
          <w:color w:val="000000" w:themeColor="text1"/>
          <w:sz w:val="28"/>
          <w:szCs w:val="28"/>
          <w:highlight w:val="none"/>
          <w14:textFill>
            <w14:solidFill>
              <w14:schemeClr w14:val="tx1"/>
            </w14:solidFill>
          </w14:textFill>
        </w:rPr>
        <w:t xml:space="preserve">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43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pStyle w:val="716"/>
        <w:tabs>
          <w:tab w:val="right" w:pos="9170" w:leader="dot"/>
        </w:tabs>
        <w:rPr>
          <w:rFonts w:hint="eastAsia" w:ascii="仿宋" w:hAnsi="仿宋" w:eastAsia="仿宋" w:cs="仿宋"/>
          <w:i w:val="0"/>
          <w:iCs w:val="0"/>
          <w:color w:val="000000" w:themeColor="text1"/>
          <w:szCs w:val="22"/>
          <w:highlight w:val="none"/>
          <w14:textFill>
            <w14:solidFill>
              <w14:schemeClr w14:val="tx1"/>
            </w14:solidFill>
          </w14:textFill>
        </w:rPr>
      </w:pPr>
      <w:r>
        <w:rPr>
          <w:rFonts w:hint="eastAsia" w:ascii="仿宋" w:hAnsi="仿宋" w:eastAsia="仿宋" w:cs="仿宋"/>
          <w:i w:val="0"/>
          <w:iCs w:val="0"/>
          <w:color w:val="000000" w:themeColor="text1"/>
          <w:szCs w:val="2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bookmarkStart w:id="212" w:name="_GoBack"/>
      <w:r/>
      <w:bookmarkEnd w:id="212"/>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clear="all"/>
      </w:r>
      <w:r/>
    </w:p>
    <w:p>
      <w:pPr>
        <w:pStyle w:val="691"/>
        <w:ind w:left="0" w:firstLine="0"/>
        <w:jc w:val="center"/>
        <w:rPr>
          <w:rFonts w:hint="eastAsia" w:ascii="仿宋" w:hAnsi="仿宋" w:eastAsia="仿宋" w:cs="仿宋"/>
          <w:color w:val="000000" w:themeColor="text1"/>
          <w:highlight w:val="none"/>
          <w14:textFill>
            <w14:solidFill>
              <w14:schemeClr w14:val="tx1"/>
            </w14:solidFill>
          </w14:textFill>
        </w:rPr>
      </w:pPr>
      <w:r/>
      <w:bookmarkStart w:id="7"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1"/>
      <w:r>
        <w:rPr>
          <w:rFonts w:hint="eastAsia" w:ascii="仿宋" w:hAnsi="仿宋" w:eastAsia="仿宋" w:cs="仿宋"/>
          <w:color w:val="000000" w:themeColor="text1"/>
          <w:highlight w:val="none"/>
          <w14:textFill>
            <w14:solidFill>
              <w14:schemeClr w14:val="tx1"/>
            </w14:solidFill>
          </w14:textFill>
        </w:rPr>
        <w:t xml:space="preserve">磋商邀请</w:t>
      </w:r>
      <w:bookmarkEnd w:id="7"/>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受</w:t>
      </w:r>
      <w:r>
        <w:rPr>
          <w:rFonts w:hint="eastAsia" w:ascii="仿宋" w:hAnsi="仿宋" w:cs="仿宋"/>
          <w:b/>
          <w:bCs/>
          <w:color w:val="000000" w:themeColor="text1"/>
          <w:highlight w:val="none"/>
          <w:u w:val="single"/>
          <w:lang w:eastAsia="zh-CN"/>
          <w14:textFill>
            <w14:solidFill>
              <w14:schemeClr w14:val="tx1"/>
            </w14:solidFill>
          </w14:textFill>
        </w:rPr>
        <w:t xml:space="preserve">南京市建邺区城市数字治理中心</w:t>
      </w:r>
      <w:r>
        <w:rPr>
          <w:rFonts w:hint="eastAsia" w:ascii="仿宋" w:hAnsi="仿宋" w:eastAsia="仿宋" w:cs="仿宋"/>
          <w:color w:val="000000" w:themeColor="text1"/>
          <w:highlight w:val="none"/>
          <w14:textFill>
            <w14:solidFill>
              <w14:schemeClr w14:val="tx1"/>
            </w14:solidFill>
          </w14:textFill>
        </w:rPr>
        <w:t xml:space="preserve">的委托，</w:t>
      </w:r>
      <w:r>
        <w:rPr>
          <w:rFonts w:hint="eastAsia" w:ascii="仿宋" w:hAnsi="仿宋" w:cs="仿宋"/>
          <w:color w:val="000000" w:themeColor="text1"/>
          <w:highlight w:val="none"/>
          <w:lang w:eastAsia="zh-CN"/>
          <w14:textFill>
            <w14:solidFill>
              <w14:schemeClr w14:val="tx1"/>
            </w14:solidFill>
          </w14:textFill>
        </w:rPr>
        <w:t xml:space="preserve">南京通建项目管理咨询有限公司</w:t>
      </w:r>
      <w:r>
        <w:rPr>
          <w:rFonts w:hint="eastAsia" w:ascii="仿宋" w:hAnsi="仿宋" w:eastAsia="仿宋" w:cs="仿宋"/>
          <w:color w:val="000000" w:themeColor="text1"/>
          <w:highlight w:val="none"/>
          <w14:textFill>
            <w14:solidFill>
              <w14:schemeClr w14:val="tx1"/>
            </w14:solidFill>
          </w14:textFill>
        </w:rPr>
        <w:t xml:space="preserve">就</w:t>
      </w:r>
      <w:r>
        <w:rPr>
          <w:rFonts w:hint="eastAsia" w:ascii="仿宋" w:hAnsi="仿宋" w:cs="仿宋"/>
          <w:b/>
          <w:bCs/>
          <w:color w:val="000000" w:themeColor="text1"/>
          <w:highlight w:val="none"/>
          <w:u w:val="single"/>
          <w:lang w:eastAsia="zh-CN"/>
          <w14:textFill>
            <w14:solidFill>
              <w14:schemeClr w14:val="tx1"/>
            </w14:solidFill>
          </w14:textFill>
        </w:rPr>
        <w:t xml:space="preserve">智慧建邺基础支撑平台运维服务项目</w:t>
      </w:r>
      <w:r>
        <w:rPr>
          <w:rFonts w:hint="eastAsia" w:ascii="仿宋" w:hAnsi="仿宋" w:eastAsia="仿宋" w:cs="仿宋"/>
          <w:color w:val="000000" w:themeColor="text1"/>
          <w:highlight w:val="none"/>
          <w14:textFill>
            <w14:solidFill>
              <w14:schemeClr w14:val="tx1"/>
            </w14:solidFill>
          </w14:textFill>
        </w:rPr>
        <w:t xml:space="preserve">进行竞争性磋商采购，欢迎符合条件的供应商参加磋商。</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8" w:name="_Toc160699552"/>
      <w:r/>
      <w:bookmarkStart w:id="9" w:name="_Toc28359002"/>
      <w:r/>
      <w:bookmarkStart w:id="10" w:name="_Toc28359079"/>
      <w:r/>
      <w:bookmarkStart w:id="11" w:name="_Toc35393790"/>
      <w:r/>
      <w:bookmarkStart w:id="12" w:name="_Toc38985263"/>
      <w:r/>
      <w:bookmarkStart w:id="13" w:name="_Toc35393621"/>
      <w:r/>
      <w:bookmarkStart w:id="14" w:name="_Hlk24379207"/>
      <w:r>
        <w:rPr>
          <w:rFonts w:hint="eastAsia" w:ascii="仿宋" w:hAnsi="仿宋" w:eastAsia="仿宋" w:cs="仿宋"/>
          <w:b/>
          <w:bCs/>
          <w:color w:val="000000" w:themeColor="text1"/>
          <w:sz w:val="28"/>
          <w:szCs w:val="28"/>
          <w:highlight w:val="none"/>
          <w14:textFill>
            <w14:solidFill>
              <w14:schemeClr w14:val="tx1"/>
            </w14:solidFill>
          </w14:textFill>
        </w:rPr>
        <w:t xml:space="preserve">一、项目基本情况</w:t>
      </w:r>
      <w:bookmarkEnd w:id="8"/>
      <w:r/>
      <w:bookmarkEnd w:id="9"/>
      <w:r/>
      <w:bookmarkEnd w:id="10"/>
      <w:r/>
      <w:bookmarkEnd w:id="11"/>
      <w:r/>
      <w:bookmarkEnd w:id="12"/>
      <w:r/>
      <w:bookmarkEnd w:id="13"/>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1.项目编号：JSZC-320105-TJGL-C2026-0021</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2.项目名称：智慧建邺基础支撑平台运维服务项目</w:t>
      </w:r>
      <w:bookmarkEnd w:id="14"/>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3.预算金额：</w:t>
      </w:r>
      <w:r>
        <w:rPr>
          <w:rFonts w:hint="eastAsia" w:ascii="仿宋" w:hAnsi="仿宋" w:cs="仿宋"/>
          <w:color w:val="000000" w:themeColor="text1"/>
          <w:highlight w:val="none"/>
          <w:lang w:val="en-US" w:eastAsia="zh-CN"/>
          <w14:textFill>
            <w14:solidFill>
              <w14:schemeClr w14:val="tx1"/>
            </w14:solidFill>
          </w14:textFill>
        </w:rPr>
        <w:t xml:space="preserve">158.11</w:t>
      </w:r>
      <w:r>
        <w:rPr>
          <w:rFonts w:hint="eastAsia" w:ascii="仿宋" w:hAnsi="仿宋" w:eastAsia="仿宋" w:cs="仿宋"/>
          <w:color w:val="000000" w:themeColor="text1"/>
          <w:highlight w:val="none"/>
          <w14:textFill>
            <w14:solidFill>
              <w14:schemeClr w14:val="tx1"/>
            </w14:solidFill>
          </w14:textFill>
        </w:rPr>
        <w:t xml:space="preserve">万元</w:t>
      </w:r>
      <w:r/>
    </w:p>
    <w:p>
      <w:pPr>
        <w:ind w:left="0"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最高限价：</w:t>
      </w:r>
      <w:r>
        <w:rPr>
          <w:rFonts w:hint="eastAsia" w:ascii="仿宋" w:hAnsi="仿宋" w:cs="仿宋"/>
          <w:color w:val="000000" w:themeColor="text1"/>
          <w:highlight w:val="none"/>
          <w:lang w:val="en-US" w:eastAsia="zh-CN"/>
          <w14:textFill>
            <w14:solidFill>
              <w14:schemeClr w14:val="tx1"/>
            </w14:solidFill>
          </w14:textFill>
        </w:rPr>
        <w:t xml:space="preserve">158.11</w:t>
      </w:r>
      <w:r>
        <w:rPr>
          <w:rFonts w:hint="eastAsia" w:ascii="仿宋" w:hAnsi="仿宋" w:eastAsia="仿宋" w:cs="仿宋"/>
          <w:color w:val="000000" w:themeColor="text1"/>
          <w:highlight w:val="none"/>
          <w14:textFill>
            <w14:solidFill>
              <w14:schemeClr w14:val="tx1"/>
            </w14:solidFill>
          </w14:textFill>
        </w:rPr>
        <w:t xml:space="preserve">万元（报价超过项目最高限价作无效响应处理）</w:t>
      </w:r>
      <w:r/>
    </w:p>
    <w:p>
      <w:pPr>
        <w:ind w:left="0"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5</w:t>
      </w:r>
      <w:r>
        <w:rPr>
          <w:rFonts w:hint="eastAsia" w:ascii="仿宋" w:hAnsi="仿宋" w:eastAsia="仿宋" w:cs="仿宋"/>
          <w:color w:val="000000" w:themeColor="text1"/>
          <w:highlight w:val="none"/>
          <w14:textFill>
            <w14:solidFill>
              <w14:schemeClr w14:val="tx1"/>
            </w14:solidFill>
          </w14:textFill>
        </w:rPr>
        <w:t xml:space="preserve">.采购需求（简介）：</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1</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硬件设备维保，主要是针对智慧建邺基础支撑平台的服务器、交换机等设备进行续保，保障平台硬件的环境的稳定运行；</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2</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软件许可更新和技术支持，主要是针对智慧建邺基础支撑平台软件提供软件维护性修复、软件版本更新和远程技术支持；</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运维服务，主要是按照工作日5*8驻场服务方式对智慧建邺基础支撑平台开展健康检查及维护，对日常问题进行处理，并提供7*24应急响应；</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4</w:t>
      </w:r>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机柜租赁，主要是租赁机柜用于智慧建邺基础支撑平台的服务器、交换机等设备的上架。</w:t>
      </w:r>
      <w:r>
        <w:rPr>
          <w:rFonts w:hint="eastAsia" w:ascii="仿宋" w:hAnsi="仿宋" w:eastAsia="仿宋" w:cs="仿宋"/>
          <w:color w:val="000000" w:themeColor="text1"/>
          <w:highlight w:val="none"/>
          <w:lang w:val="en-US" w:eastAsia="zh-CN"/>
          <w14:textFill>
            <w14:solidFill>
              <w14:schemeClr w14:val="tx1"/>
            </w14:solidFill>
          </w14:textFill>
        </w:rPr>
        <w:t xml:space="preserve">（详细内容见本招标文件第四章）</w:t>
      </w:r>
      <w:r/>
    </w:p>
    <w:p>
      <w:pPr>
        <w:ind w:left="0"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6</w:t>
      </w:r>
      <w:r>
        <w:rPr>
          <w:rFonts w:hint="eastAsia" w:ascii="仿宋" w:hAnsi="仿宋" w:eastAsia="仿宋" w:cs="仿宋"/>
          <w:color w:val="000000" w:themeColor="text1"/>
          <w:highlight w:val="none"/>
          <w14:textFill>
            <w14:solidFill>
              <w14:schemeClr w14:val="tx1"/>
            </w14:solidFill>
          </w14:textFill>
        </w:rPr>
        <w:t xml:space="preserve">.合同履行期限：</w:t>
      </w:r>
      <w:r>
        <w:rPr>
          <w:rFonts w:hint="eastAsia" w:ascii="仿宋" w:hAnsi="仿宋" w:cs="仿宋"/>
          <w:color w:val="000000" w:themeColor="text1"/>
          <w:highlight w:val="none"/>
          <w:lang w:val="en-US" w:eastAsia="zh-CN"/>
          <w14:textFill>
            <w14:solidFill>
              <w14:schemeClr w14:val="tx1"/>
            </w14:solidFill>
          </w14:textFill>
        </w:rPr>
        <w:t xml:space="preserve">自合同签订之日起1年。</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7</w:t>
      </w:r>
      <w:r>
        <w:rPr>
          <w:rFonts w:hint="eastAsia" w:ascii="仿宋" w:hAnsi="仿宋" w:eastAsia="仿宋" w:cs="仿宋"/>
          <w:color w:val="000000" w:themeColor="text1"/>
          <w:highlight w:val="none"/>
          <w14:textFill>
            <w14:solidFill>
              <w14:schemeClr w14:val="tx1"/>
            </w14:solidFill>
          </w14:textFill>
        </w:rPr>
        <w:t xml:space="preserve">.本项目不接受进口产品参加磋商。</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8</w:t>
      </w:r>
      <w:r>
        <w:rPr>
          <w:rFonts w:hint="eastAsia" w:ascii="仿宋" w:hAnsi="仿宋" w:eastAsia="仿宋" w:cs="仿宋"/>
          <w:color w:val="000000" w:themeColor="text1"/>
          <w:highlight w:val="none"/>
          <w14:textFill>
            <w14:solidFill>
              <w14:schemeClr w14:val="tx1"/>
            </w14:solidFill>
          </w14:textFill>
        </w:rPr>
        <w:t xml:space="preserve">.本项目不接受联合体参与磋商。</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15" w:name="_Toc28359080"/>
      <w:r/>
      <w:bookmarkStart w:id="16" w:name="_Toc160699553"/>
      <w:r/>
      <w:bookmarkStart w:id="17" w:name="_Toc38985264"/>
      <w:r/>
      <w:bookmarkStart w:id="18" w:name="_Toc35393791"/>
      <w:r/>
      <w:bookmarkStart w:id="19" w:name="_Toc35393622"/>
      <w:r/>
      <w:bookmarkStart w:id="20" w:name="_Toc28359003"/>
      <w:r>
        <w:rPr>
          <w:rFonts w:hint="eastAsia" w:ascii="仿宋" w:hAnsi="仿宋" w:eastAsia="仿宋" w:cs="仿宋"/>
          <w:b/>
          <w:bCs/>
          <w:color w:val="000000" w:themeColor="text1"/>
          <w:sz w:val="28"/>
          <w:szCs w:val="28"/>
          <w:highlight w:val="none"/>
          <w14:textFill>
            <w14:solidFill>
              <w14:schemeClr w14:val="tx1"/>
            </w14:solidFill>
          </w14:textFill>
        </w:rPr>
        <w:t xml:space="preserve">二、申请人的资格要求</w:t>
      </w:r>
      <w:bookmarkEnd w:id="15"/>
      <w:r/>
      <w:bookmarkEnd w:id="16"/>
      <w:r/>
      <w:bookmarkEnd w:id="17"/>
      <w:r/>
      <w:bookmarkEnd w:id="18"/>
      <w:r/>
      <w:bookmarkEnd w:id="19"/>
      <w:r/>
      <w:bookmarkEnd w:id="20"/>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1" w:name="_Toc38985265"/>
      <w:r/>
      <w:bookmarkStart w:id="22" w:name="_Toc35393623"/>
      <w:r/>
      <w:bookmarkStart w:id="23" w:name="_Toc28359004"/>
      <w:r/>
      <w:bookmarkStart w:id="24" w:name="_Toc28359081"/>
      <w:r/>
      <w:bookmarkStart w:id="25" w:name="_Toc35393792"/>
      <w:r/>
      <w:bookmarkStart w:id="26" w:name="_Toc160699554"/>
      <w:r>
        <w:rPr>
          <w:rFonts w:hint="eastAsia" w:ascii="仿宋" w:hAnsi="仿宋" w:eastAsia="仿宋" w:cs="仿宋"/>
          <w:color w:val="000000" w:themeColor="text1"/>
          <w:highlight w:val="none"/>
          <w:lang w:val="en-US" w:eastAsia="zh-CN"/>
          <w14:textFill>
            <w14:solidFill>
              <w14:schemeClr w14:val="tx1"/>
            </w14:solidFill>
          </w14:textFill>
        </w:rPr>
        <w:t xml:space="preserve">（一）通用资格要求</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1.满足《中华人民共和国政府采购法》第二十二条规定，并提供下列材料：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1.1</w:t>
      </w:r>
      <w:r>
        <w:rPr>
          <w:rFonts w:hint="eastAsia" w:ascii="仿宋" w:hAnsi="仿宋" w:eastAsia="仿宋" w:cs="仿宋"/>
          <w:color w:val="000000" w:themeColor="text1"/>
          <w:highlight w:val="none"/>
          <w:lang w:val="zh-CN" w:eastAsia="zh-CN"/>
          <w14:textFill>
            <w14:solidFill>
              <w14:schemeClr w14:val="tx1"/>
            </w14:solidFill>
          </w14:textFill>
        </w:rPr>
        <w:t xml:space="preserve">供应商信用承诺函</w:t>
      </w:r>
      <w:r>
        <w:rPr>
          <w:rFonts w:hint="eastAsia" w:ascii="仿宋" w:hAnsi="仿宋" w:cs="仿宋"/>
          <w:color w:val="000000" w:themeColor="text1"/>
          <w:highlight w:val="none"/>
          <w:lang w:val="zh-CN" w:eastAsia="zh-CN"/>
          <w14:textFill>
            <w14:solidFill>
              <w14:schemeClr w14:val="tx1"/>
            </w14:solidFill>
          </w14:textFill>
        </w:rPr>
        <w:t xml:space="preserve">；</w:t>
      </w:r>
      <w:r>
        <w:rPr>
          <w:rFonts w:hint="eastAsia" w:ascii="仿宋" w:hAnsi="仿宋" w:eastAsia="仿宋" w:cs="仿宋"/>
          <w:color w:val="000000" w:themeColor="text1"/>
          <w:highlight w:val="none"/>
          <w:lang w:val="zh-CN" w:eastAsia="zh-CN"/>
          <w14:textFill>
            <w14:solidFill>
              <w14:schemeClr w14:val="tx1"/>
            </w14:solidFill>
          </w14:textFill>
        </w:rPr>
        <w:t xml:space="preserve">（格式见第六章）</w:t>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1.2南京市政府采购供应商信用记录表暨信用承诺书</w:t>
      </w:r>
      <w:r>
        <w:rPr>
          <w:rFonts w:hint="eastAsia" w:ascii="仿宋" w:hAnsi="仿宋" w:cs="仿宋"/>
          <w:color w:val="000000" w:themeColor="text1"/>
          <w:highlight w:val="none"/>
          <w:lang w:val="zh-CN"/>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格式见第六章附件一</w:t>
      </w:r>
      <w:r>
        <w:rPr>
          <w:rFonts w:hint="eastAsia" w:ascii="仿宋" w:hAnsi="仿宋" w:eastAsia="仿宋" w:cs="仿宋"/>
          <w:color w:val="000000" w:themeColor="text1"/>
          <w:highlight w:val="none"/>
          <w:lang w:val="zh-CN"/>
          <w14:textFill>
            <w14:solidFill>
              <w14:schemeClr w14:val="tx1"/>
            </w14:solidFill>
          </w14:textFill>
        </w:rPr>
        <w:t xml:space="preserve">）</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（二）</w:t>
      </w:r>
      <w:r>
        <w:rPr>
          <w:rFonts w:hint="eastAsia" w:ascii="仿宋" w:hAnsi="仿宋" w:eastAsia="仿宋" w:cs="仿宋"/>
          <w:color w:val="000000" w:themeColor="text1"/>
          <w:highlight w:val="none"/>
          <w:lang w:val="zh-CN" w:eastAsia="zh-CN"/>
          <w14:textFill>
            <w14:solidFill>
              <w14:schemeClr w14:val="tx1"/>
            </w14:solidFill>
          </w14:textFill>
        </w:rPr>
        <w:t xml:space="preserve">落实政府采购政策需满足的资格要求：</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本项目采购标的对应的中小企业划分标准所属行业为：软件和信息技术服务业</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（三）本项目的特定资格要求：</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拒绝下述供应商参加本次采购活动</w:t>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2.为采购项目提供整体设计、规范编制或者项目管理、监理、检测等服务的供应商，不得参加本项目的采购活动。</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 xml:space="preserve">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 xml:space="preserve">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中国政府采购网等网站查询供应商信用记录并保存)</w:t>
      </w:r>
      <w:r/>
    </w:p>
    <w:p>
      <w:pPr>
        <w:ind w:firstLine="562"/>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三、获取</w:t>
      </w:r>
      <w:bookmarkEnd w:id="21"/>
      <w:r/>
      <w:bookmarkEnd w:id="22"/>
      <w:r/>
      <w:bookmarkEnd w:id="23"/>
      <w:r/>
      <w:bookmarkEnd w:id="24"/>
      <w:r/>
      <w:bookmarkEnd w:id="25"/>
      <w:r>
        <w:rPr>
          <w:rFonts w:hint="eastAsia" w:ascii="仿宋" w:hAnsi="仿宋" w:eastAsia="仿宋" w:cs="仿宋"/>
          <w:b/>
          <w:bCs/>
          <w:color w:val="000000" w:themeColor="text1"/>
          <w:highlight w:val="none"/>
          <w14:textFill>
            <w14:solidFill>
              <w14:schemeClr w14:val="tx1"/>
            </w14:solidFill>
          </w14:textFill>
        </w:rPr>
        <w:t xml:space="preserve">磋商文件</w:t>
      </w:r>
      <w:bookmarkEnd w:id="26"/>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27" w:name="_Toc28359005"/>
      <w:r/>
      <w:bookmarkStart w:id="28" w:name="_Toc28359082"/>
      <w:r/>
      <w:bookmarkStart w:id="29" w:name="_Toc38985266"/>
      <w:r/>
      <w:bookmarkStart w:id="30" w:name="_Toc160699555"/>
      <w:r/>
      <w:bookmarkStart w:id="31" w:name="_Toc35393793"/>
      <w:r/>
      <w:bookmarkStart w:id="32" w:name="_Toc35393624"/>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时间：自</w:t>
      </w:r>
      <w:r>
        <w:rPr>
          <w:rFonts w:hint="eastAsia" w:ascii="仿宋" w:hAnsi="仿宋" w:eastAsia="仿宋" w:cs="仿宋"/>
          <w:color w:val="000000" w:themeColor="text1"/>
          <w:highlight w:val="none"/>
          <w:lang w:val="en-US" w:eastAsia="zh-CN"/>
          <w14:textFill>
            <w14:solidFill>
              <w14:schemeClr w14:val="tx1"/>
            </w14:solidFill>
          </w14:textFill>
        </w:rPr>
        <w:t xml:space="preserve">磋商</w:t>
      </w:r>
      <w:r>
        <w:rPr>
          <w:rFonts w:hint="eastAsia" w:ascii="仿宋" w:hAnsi="仿宋" w:eastAsia="仿宋" w:cs="仿宋"/>
          <w:color w:val="000000" w:themeColor="text1"/>
          <w:highlight w:val="none"/>
          <w14:textFill>
            <w14:solidFill>
              <w14:schemeClr w14:val="tx1"/>
            </w14:solidFill>
          </w14:textFill>
        </w:rPr>
        <w:t xml:space="preserve">文件公告发布之日起</w:t>
      </w:r>
      <w:r>
        <w:rPr>
          <w:rFonts w:hint="eastAsia" w:ascii="仿宋" w:hAnsi="仿宋" w:eastAsia="仿宋" w:cs="仿宋"/>
          <w:color w:val="000000" w:themeColor="text1"/>
          <w:highlight w:val="none"/>
          <w:lang w:val="en-US" w:eastAsia="zh-CN"/>
          <w14:textFill>
            <w14:solidFill>
              <w14:schemeClr w14:val="tx1"/>
            </w14:solidFill>
          </w14:textFill>
        </w:rPr>
        <w:t xml:space="preserve">5个工作日。</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w:t>
      </w:r>
      <w:r>
        <w:rPr>
          <w:rFonts w:hint="eastAsia" w:ascii="仿宋" w:hAnsi="仿宋" w:cs="仿宋"/>
          <w:color w:val="000000" w:themeColor="text1"/>
          <w:highlight w:val="none"/>
          <w:lang w:val="en-US"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方式：</w:t>
      </w:r>
      <w:r>
        <w:rPr>
          <w:rFonts w:hint="eastAsia" w:ascii="仿宋" w:hAnsi="仿宋" w:eastAsia="仿宋" w:cs="仿宋"/>
          <w:color w:val="000000" w:themeColor="text1"/>
          <w:highlight w:val="none"/>
          <w:lang w:val="en-US" w:eastAsia="zh-CN"/>
          <w14:textFill>
            <w14:solidFill>
              <w14:schemeClr w14:val="tx1"/>
            </w14:solidFill>
          </w14:textFill>
        </w:rPr>
        <w:t xml:space="preserve">供应商</w:t>
      </w:r>
      <w:r>
        <w:rPr>
          <w:rFonts w:hint="eastAsia" w:ascii="仿宋" w:hAnsi="仿宋" w:cs="仿宋"/>
          <w:color w:val="000000" w:themeColor="text1"/>
          <w:highlight w:val="none"/>
          <w:lang w:val="en-US" w:eastAsia="zh-CN"/>
          <w14:textFill>
            <w14:solidFill>
              <w14:schemeClr w14:val="tx1"/>
            </w14:solidFill>
          </w14:textFill>
        </w:rPr>
        <w:t xml:space="preserve">登录</w:t>
      </w:r>
      <w:r>
        <w:rPr>
          <w:rFonts w:hint="eastAsia" w:ascii="仿宋" w:hAnsi="仿宋" w:eastAsia="仿宋" w:cs="仿宋"/>
          <w:color w:val="000000" w:themeColor="text1"/>
          <w:highlight w:val="none"/>
          <w:lang w:val="en-US" w:eastAsia="zh-CN"/>
          <w14:textFill>
            <w14:solidFill>
              <w14:schemeClr w14:val="tx1"/>
            </w14:solidFill>
          </w14:textFill>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四、提交</w:t>
      </w:r>
      <w:bookmarkEnd w:id="27"/>
      <w:r/>
      <w:bookmarkEnd w:id="28"/>
      <w:r>
        <w:rPr>
          <w:rFonts w:hint="eastAsia" w:ascii="仿宋" w:hAnsi="仿宋" w:eastAsia="仿宋" w:cs="仿宋"/>
          <w:b/>
          <w:bCs/>
          <w:color w:val="000000" w:themeColor="text1"/>
          <w:sz w:val="28"/>
          <w:szCs w:val="28"/>
          <w:highlight w:val="none"/>
          <w14:textFill>
            <w14:solidFill>
              <w14:schemeClr w14:val="tx1"/>
            </w14:solidFill>
          </w14:textFill>
        </w:rPr>
        <w:t xml:space="preserve">响应文件时间</w:t>
      </w:r>
      <w:bookmarkEnd w:id="29"/>
      <w:r/>
      <w:bookmarkEnd w:id="30"/>
      <w:r/>
      <w:bookmarkEnd w:id="31"/>
      <w:r/>
      <w:bookmarkEnd w:id="32"/>
      <w:r/>
      <w:r/>
    </w:p>
    <w:p>
      <w:pPr>
        <w:ind w:firstLine="560"/>
        <w:jc w:val="left"/>
        <w:keepLines w:val="0"/>
        <w:keepNext w:val="0"/>
        <w:pageBreakBefore w:val="0"/>
        <w:spacing w:line="560" w:lineRule="exact"/>
        <w:widowControl w:val="off"/>
        <w:rPr>
          <w:rFonts w:hint="default" w:ascii="仿宋" w:hAnsi="仿宋" w:eastAsia="仿宋" w:cs="仿宋"/>
          <w:b w:val="0"/>
          <w:bCs w:val="0"/>
          <w:color w:val="000000" w:themeColor="text1"/>
          <w:sz w:val="28"/>
          <w:szCs w:val="28"/>
          <w:highlight w:val="none"/>
          <w:lang w:val="en-US" w:eastAsia="zh-CN"/>
          <w14:textFill>
            <w14:solidFill>
              <w14:schemeClr w14:val="tx1"/>
            </w14:solidFill>
          </w14:textFill>
        </w:rPr>
      </w:pPr>
      <w:r/>
      <w:bookmarkStart w:id="33" w:name="_Toc28359007"/>
      <w:r/>
      <w:bookmarkStart w:id="34" w:name="_Toc160699556"/>
      <w:r/>
      <w:bookmarkStart w:id="35" w:name="_Toc35393794"/>
      <w:r/>
      <w:bookmarkStart w:id="36" w:name="_Toc35393625"/>
      <w:r/>
      <w:bookmarkStart w:id="37" w:name="_Toc28359084"/>
      <w:r/>
      <w:bookmarkStart w:id="38" w:name="_Toc38985267"/>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18</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日</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时</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分（北京时间）。</w:t>
      </w:r>
      <w:r/>
    </w:p>
    <w:p>
      <w:pPr>
        <w:ind w:firstLine="560"/>
        <w:jc w:val="left"/>
        <w:keepLines w:val="0"/>
        <w:keepNext w:val="0"/>
        <w:pageBreakBefore w:val="0"/>
        <w:spacing w:line="560" w:lineRule="exact"/>
        <w:widowControl w:val="off"/>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五、公告期限</w:t>
      </w:r>
      <w:bookmarkEnd w:id="33"/>
      <w:r/>
      <w:bookmarkEnd w:id="34"/>
      <w:r/>
      <w:bookmarkEnd w:id="35"/>
      <w:r/>
      <w:bookmarkEnd w:id="36"/>
      <w:r/>
      <w:bookmarkEnd w:id="37"/>
      <w:r/>
      <w:bookmarkEnd w:id="38"/>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14:textFill>
            <w14:solidFill>
              <w14:schemeClr w14:val="tx1"/>
            </w14:solidFill>
          </w14:textFill>
        </w:rPr>
      </w:pPr>
      <w:r/>
      <w:bookmarkStart w:id="39" w:name="_Toc38985268"/>
      <w:r/>
      <w:bookmarkStart w:id="40" w:name="_Toc35393795"/>
      <w:r/>
      <w:bookmarkStart w:id="41" w:name="_Toc160699557"/>
      <w:r/>
      <w:bookmarkStart w:id="42" w:name="_Toc35393626"/>
      <w:r>
        <w:rPr>
          <w:rFonts w:hint="eastAsia" w:ascii="仿宋" w:hAnsi="仿宋" w:eastAsia="仿宋" w:cs="仿宋"/>
          <w:color w:val="000000" w:themeColor="text1"/>
          <w:highlight w:val="none"/>
          <w:lang w:val="zh-CN"/>
          <w14:textFill>
            <w14:solidFill>
              <w14:schemeClr w14:val="tx1"/>
            </w14:solidFill>
          </w14:textFill>
        </w:rPr>
        <w:t xml:space="preserve">自本公告在“</w:t>
      </w:r>
      <w:r>
        <w:rPr>
          <w:rFonts w:hint="eastAsia" w:ascii="仿宋" w:hAnsi="仿宋" w:cs="仿宋"/>
          <w:color w:val="000000" w:themeColor="text1"/>
          <w:highlight w:val="none"/>
          <w:lang w:val="en-US" w:eastAsia="zh-CN"/>
          <w14:textFill>
            <w14:solidFill>
              <w14:schemeClr w14:val="tx1"/>
            </w14:solidFill>
          </w14:textFill>
        </w:rPr>
        <w:t xml:space="preserve">江苏政府采购网</w:t>
      </w:r>
      <w:r>
        <w:rPr>
          <w:rFonts w:hint="eastAsia" w:ascii="仿宋" w:hAnsi="仿宋" w:eastAsia="仿宋" w:cs="仿宋"/>
          <w:color w:val="000000" w:themeColor="text1"/>
          <w:highlight w:val="none"/>
          <w:lang w:val="zh-CN"/>
          <w14:textFill>
            <w14:solidFill>
              <w14:schemeClr w14:val="tx1"/>
            </w14:solidFill>
          </w14:textFill>
        </w:rPr>
        <w:t xml:space="preserve">”发布之日起</w:t>
      </w:r>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val="zh-CN"/>
          <w14:textFill>
            <w14:solidFill>
              <w14:schemeClr w14:val="tx1"/>
            </w14:solidFill>
          </w14:textFill>
        </w:rPr>
        <w:t xml:space="preserve">个工作日。</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六、其他补充事宜</w:t>
      </w:r>
      <w:bookmarkEnd w:id="39"/>
      <w:r/>
      <w:bookmarkEnd w:id="40"/>
      <w:r/>
      <w:bookmarkEnd w:id="41"/>
      <w:r/>
      <w:bookmarkEnd w:id="42"/>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3" w:name="_Toc28359008"/>
      <w:r/>
      <w:bookmarkStart w:id="44" w:name="_Toc35393796"/>
      <w:r/>
      <w:bookmarkStart w:id="45" w:name="_Toc35393627"/>
      <w:r/>
      <w:bookmarkStart w:id="46" w:name="_Toc38985269"/>
      <w:r/>
      <w:bookmarkStart w:id="47" w:name="_Toc28359085"/>
      <w:r>
        <w:rPr>
          <w:rFonts w:hint="eastAsia" w:ascii="仿宋" w:hAnsi="仿宋" w:eastAsia="仿宋" w:cs="仿宋"/>
          <w:color w:val="000000" w:themeColor="text1"/>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.本次磋商不收取磋商保证金。</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2.现场勘察及答疑：本项目不组织集中勘察及答疑，供应商如对采购需求有疑问，请咨询采购单位联系人。</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供应商通过苏采云系统参与政府采购项目，需要办理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江苏省政府采购数字证书及</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电子签章，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具体详见苏采云系统登录页“新CA办理指南”。供应商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按《苏采云系统供应商操作手册》（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以下简称“操作手册”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）进行注册，</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并</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制作上传电子响应文件。《操作手册》</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separate"/>
      </w:r>
      <w:r>
        <w:rPr>
          <w:rStyle w:val="746"/>
          <w:rFonts w:hint="eastAsia" w:ascii="仿宋" w:hAnsi="仿宋" w:eastAsia="仿宋" w:cs="仿宋"/>
          <w:color w:val="000000" w:themeColor="text1"/>
          <w:sz w:val="28"/>
          <w:szCs w:val="28"/>
          <w:highlight w:val="none"/>
          <w:lang w:eastAsia="zh-CN"/>
          <w14:textFill>
            <w14:solidFill>
              <w14:schemeClr w14:val="tx1"/>
            </w14:solidFill>
          </w14:textFill>
        </w:rPr>
        <w:t xml:space="preserve">下载地址</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（CTRL+鼠标左键）。</w:t>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4.根据《关于在政府采购活动中推行信用承诺制的通知》宁财购通</w:t>
      </w:r>
      <w:r>
        <w:rPr>
          <w:rFonts w:hint="eastAsia" w:ascii="仿宋" w:hAnsi="仿宋" w:cs="仿宋"/>
          <w:color w:val="000000" w:themeColor="text1"/>
          <w:sz w:val="28"/>
          <w:szCs w:val="28"/>
          <w:highlight w:val="none"/>
          <w:lang w:val="en-US" w:eastAsia="zh-CN"/>
          <w14:textFill>
            <w14:solidFill>
              <w14:schemeClr w14:val="tx1"/>
            </w14:solidFill>
          </w14:textFill>
        </w:rPr>
        <w:t xml:space="preserve">〔2021〕5号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规定，参加南京地区政府采购活动的供应商，应向采购人或政府采购代理机构作出信用承诺。</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在政府采购资格审查环节，供应商只需提供《南京市政府采购供应商信用记录表暨信用承诺书》（格式见第六章附件一），即可替代以下证明材料：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（1）符合国家相关规定的财务状况报告；</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（2）依法缴纳税收的证明材料；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（3）依法缴纳社会保障资金的证明材料；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（4）具备履行政府采购合同所必需的设备和专业技术能力的证明材料；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（5）参加政府采购活动前三年内在经营活动中没有重大违法记录的证明材料；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供应商在成交后，应按征集文件要求，将上述由信用承诺书替代的证明材料（一式两份）加盖公章，提交采购人或采购代理机构核验。经核验无误后，由采购人或采购代理机构发出成交通知书。</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供应商涉及以下情形的，不适用信用承诺:</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（1）供应商被列入严重失信主体名单；</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（2）被相关监管部门作出行政处罚且尚在处罚有效期内；</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（3）其他法律、行政法规规定的不适用信用承诺的情形；</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供应商对信用承诺内容的真实性、合法性、有效性负责。如作出虚假信用承诺，视同为“提供虚假材料谋取成交”的违法行为。</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14:textFill>
            <w14:solidFill>
              <w14:schemeClr w14:val="tx1"/>
            </w14:solidFill>
          </w14:textFill>
        </w:rPr>
      </w:pPr>
      <w:r/>
      <w:bookmarkStart w:id="48" w:name="_Toc160699558"/>
      <w:r>
        <w:rPr>
          <w:rFonts w:hint="eastAsia" w:ascii="仿宋" w:hAnsi="仿宋" w:eastAsia="仿宋" w:cs="仿宋"/>
          <w:b/>
          <w:bCs/>
          <w:color w:val="000000" w:themeColor="text1"/>
          <w:sz w:val="28"/>
          <w:szCs w:val="28"/>
          <w:highlight w:val="none"/>
          <w14:textFill>
            <w14:solidFill>
              <w14:schemeClr w14:val="tx1"/>
            </w14:solidFill>
          </w14:textFill>
        </w:rPr>
        <w:t xml:space="preserve">七、本次磋商联系方式</w:t>
      </w:r>
      <w:bookmarkEnd w:id="43"/>
      <w:r/>
      <w:bookmarkEnd w:id="44"/>
      <w:r/>
      <w:bookmarkEnd w:id="45"/>
      <w:r/>
      <w:bookmarkEnd w:id="46"/>
      <w:r/>
      <w:bookmarkEnd w:id="47"/>
      <w:r/>
      <w:bookmarkEnd w:id="48"/>
      <w:r/>
      <w:r/>
    </w:p>
    <w:p>
      <w:pPr>
        <w:ind w:firstLine="562"/>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bookmarkStart w:id="49" w:name="_Toc28359087"/>
      <w:r/>
      <w:bookmarkStart w:id="50" w:name="_Toc28359010"/>
      <w:r>
        <w:rPr>
          <w:rFonts w:hint="eastAsia" w:ascii="仿宋" w:hAnsi="仿宋" w:eastAsia="仿宋" w:cs="仿宋"/>
          <w:b/>
          <w:bCs/>
          <w:color w:val="000000" w:themeColor="text1"/>
          <w:highlight w:val="none"/>
          <w14:textFill>
            <w14:solidFill>
              <w14:schemeClr w14:val="tx1"/>
            </w14:solidFill>
          </w14:textFill>
        </w:rPr>
        <w:t xml:space="preserve">1.采购人信息</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bookmarkStart w:id="51" w:name="_Toc28359086"/>
      <w:r/>
      <w:bookmarkStart w:id="52" w:name="_Toc28359009"/>
      <w:r>
        <w:rPr>
          <w:rFonts w:hint="eastAsia" w:ascii="仿宋" w:hAnsi="仿宋" w:eastAsia="仿宋" w:cs="仿宋"/>
          <w:color w:val="000000" w:themeColor="text1"/>
          <w:highlight w:val="none"/>
          <w:lang w:val="en-US" w:eastAsia="zh-CN"/>
          <w14:textFill>
            <w14:solidFill>
              <w14:schemeClr w14:val="tx1"/>
            </w14:solidFill>
          </w14:textFill>
        </w:rPr>
        <w:t xml:space="preserve">采购单位：南京市建邺区城市数字治理中心</w:t>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联系人：</w:t>
      </w:r>
      <w:r>
        <w:rPr>
          <w:rFonts w:hint="eastAsia" w:ascii="仿宋" w:hAnsi="仿宋" w:cs="仿宋"/>
          <w:color w:val="000000" w:themeColor="text1"/>
          <w:highlight w:val="none"/>
          <w:lang w:val="en-US" w:eastAsia="zh-CN"/>
          <w14:textFill>
            <w14:solidFill>
              <w14:schemeClr w14:val="tx1"/>
            </w14:solidFill>
          </w14:textFill>
        </w:rPr>
        <w:t xml:space="preserve">佘老师</w:t>
      </w:r>
      <w:r/>
    </w:p>
    <w:p>
      <w:pPr>
        <w:ind w:firstLine="560"/>
        <w:keepLines w:val="0"/>
        <w:keepNext w:val="0"/>
        <w:pageBreakBefore w:val="0"/>
        <w:spacing w:line="560" w:lineRule="exact"/>
        <w:widowControl w:val="off"/>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采购单位联系方式：</w:t>
      </w:r>
      <w:bookmarkStart w:id="53" w:name="OLE_LINK17"/>
      <w:r>
        <w:rPr>
          <w:rFonts w:hint="eastAsia" w:ascii="仿宋" w:hAnsi="仿宋" w:eastAsia="仿宋" w:cs="仿宋"/>
          <w:color w:val="000000" w:themeColor="text1"/>
          <w:highlight w:val="none"/>
          <w:lang w:val="en-US" w:eastAsia="zh-CN"/>
          <w14:textFill>
            <w14:solidFill>
              <w14:schemeClr w14:val="tx1"/>
            </w14:solidFill>
          </w14:textFill>
        </w:rPr>
        <w:t xml:space="preserve">025-</w:t>
      </w:r>
      <w:bookmarkEnd w:id="53"/>
      <w:r>
        <w:rPr>
          <w:rFonts w:hint="eastAsia" w:ascii="仿宋" w:hAnsi="仿宋" w:cs="仿宋"/>
          <w:color w:val="000000" w:themeColor="text1"/>
          <w:highlight w:val="none"/>
          <w:lang w:val="en-US" w:eastAsia="zh-CN"/>
          <w14:textFill>
            <w14:solidFill>
              <w14:schemeClr w14:val="tx1"/>
            </w14:solidFill>
          </w14:textFill>
        </w:rPr>
        <w:t xml:space="preserve">87778662</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办公地址：南京市江东中路269号新城大厦B座4楼</w:t>
      </w:r>
      <w:r/>
    </w:p>
    <w:p>
      <w:pPr>
        <w:ind w:firstLine="562"/>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2.</w:t>
      </w:r>
      <w:bookmarkEnd w:id="51"/>
      <w:r/>
      <w:bookmarkEnd w:id="52"/>
      <w:r>
        <w:rPr>
          <w:rFonts w:hint="eastAsia" w:ascii="仿宋" w:hAnsi="仿宋" w:eastAsia="仿宋" w:cs="仿宋"/>
          <w:b/>
          <w:bCs/>
          <w:color w:val="000000" w:themeColor="text1"/>
          <w:highlight w:val="none"/>
          <w14:textFill>
            <w14:solidFill>
              <w14:schemeClr w14:val="tx1"/>
            </w14:solidFill>
          </w14:textFill>
        </w:rPr>
        <w:t xml:space="preserve">代理机构信息</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代理机构：</w:t>
      </w:r>
      <w:r>
        <w:rPr>
          <w:rFonts w:hint="eastAsia" w:ascii="仿宋" w:hAnsi="仿宋" w:cs="仿宋"/>
          <w:color w:val="000000" w:themeColor="text1"/>
          <w:highlight w:val="none"/>
          <w:lang w:val="zh-CN" w:eastAsia="zh-CN"/>
          <w14:textFill>
            <w14:solidFill>
              <w14:schemeClr w14:val="tx1"/>
            </w14:solidFill>
          </w14:textFill>
        </w:rPr>
        <w:t xml:space="preserve">南京通建项目管理咨询有限公司</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地    址：南京市雨花台区软件大道180号大数据5号楼M层B108-B </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联 系 人：顾工、吴工</w:t>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联系电话：15952197379</w:t>
      </w:r>
      <w:r/>
    </w:p>
    <w:p>
      <w:pPr>
        <w:ind w:firstLine="560"/>
        <w:keepLines w:val="0"/>
        <w:keepNext w:val="0"/>
        <w:pageBreakBefore w:val="0"/>
        <w:spacing w:line="560" w:lineRule="exact"/>
        <w:widowControl w:val="off"/>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有关本次</w:t>
      </w:r>
      <w:r>
        <w:rPr>
          <w:rFonts w:hint="eastAsia" w:ascii="仿宋" w:hAnsi="仿宋" w:cs="仿宋"/>
          <w:color w:val="000000" w:themeColor="text1"/>
          <w:sz w:val="28"/>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8"/>
          <w:highlight w:val="none"/>
          <w:lang w:val="zh-CN" w:eastAsia="zh-CN"/>
          <w14:textFill>
            <w14:solidFill>
              <w14:schemeClr w14:val="tx1"/>
            </w14:solidFill>
          </w14:textFill>
        </w:rPr>
        <w:t xml:space="preserve">的事项若存在变动或修改，敬请及时关注“江苏政府采购网”发布的信息更正公告。</w:t>
      </w:r>
      <w:r/>
    </w:p>
    <w:p>
      <w:pPr>
        <w:pStyle w:val="74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bookmarkEnd w:id="49"/>
      <w:bookmarkEnd w:id="50"/>
      <w:r/>
    </w:p>
    <w:p>
      <w:pPr>
        <w:pStyle w:val="691"/>
        <w:rPr>
          <w:rFonts w:hint="eastAsia" w:ascii="仿宋" w:hAnsi="仿宋" w:eastAsia="仿宋" w:cs="仿宋"/>
          <w:color w:val="000000" w:themeColor="text1"/>
          <w:sz w:val="44"/>
          <w:szCs w:val="44"/>
          <w:highlight w:val="none"/>
          <w14:textFill>
            <w14:solidFill>
              <w14:schemeClr w14:val="tx1"/>
            </w14:solidFill>
          </w14:textFill>
        </w:rPr>
      </w:pPr>
      <w:r/>
      <w:bookmarkStart w:id="54"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5" w:name="_Toc160699560"/>
      <w:r>
        <w:rPr>
          <w:rStyle w:val="900"/>
          <w:rFonts w:hint="eastAsia" w:ascii="仿宋" w:hAnsi="仿宋" w:eastAsia="仿宋" w:cs="仿宋"/>
          <w:b/>
          <w:color w:val="000000" w:themeColor="text1"/>
          <w:highlight w:val="none"/>
          <w14:textFill>
            <w14:solidFill>
              <w14:schemeClr w14:val="tx1"/>
            </w14:solidFill>
          </w14:textFill>
        </w:rPr>
        <w:t xml:space="preserve">第二章  </w:t>
      </w:r>
      <w:bookmarkEnd w:id="2"/>
      <w:r/>
      <w:bookmarkEnd w:id="3"/>
      <w:r/>
      <w:bookmarkEnd w:id="4"/>
      <w:r/>
      <w:bookmarkEnd w:id="5"/>
      <w:r/>
      <w:bookmarkEnd w:id="6"/>
      <w:r/>
      <w:bookmarkEnd w:id="54"/>
      <w:r>
        <w:rPr>
          <w:rStyle w:val="900"/>
          <w:rFonts w:hint="eastAsia" w:ascii="仿宋" w:hAnsi="仿宋" w:eastAsia="仿宋" w:cs="仿宋"/>
          <w:b/>
          <w:color w:val="000000" w:themeColor="text1"/>
          <w:highlight w:val="none"/>
          <w14:textFill>
            <w14:solidFill>
              <w14:schemeClr w14:val="tx1"/>
            </w14:solidFill>
          </w14:textFill>
        </w:rPr>
        <w:t xml:space="preserve">供应商须知</w:t>
      </w:r>
      <w:bookmarkEnd w:id="55"/>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56" w:name="_Toc16938519"/>
      <w:r/>
      <w:bookmarkStart w:id="57" w:name="_Toc20823275"/>
      <w:r/>
      <w:bookmarkStart w:id="58" w:name="_Toc120614214"/>
      <w:r/>
      <w:bookmarkStart w:id="59" w:name="_Toc513029203"/>
      <w:r/>
      <w:bookmarkStart w:id="60" w:name="_Toc16938558"/>
      <w:r/>
      <w:bookmarkStart w:id="61" w:name="_Toc513029242"/>
      <w:r/>
      <w:bookmarkStart w:id="62" w:name="_Toc20823314"/>
      <w:r/>
      <w:bookmarkStart w:id="63" w:name="_Toc479757207"/>
      <w:r/>
      <w:bookmarkStart w:id="64" w:name="_Toc120614221"/>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一、总则</w:t>
      </w:r>
      <w:bookmarkEnd w:id="56"/>
      <w:r/>
      <w:bookmarkEnd w:id="57"/>
      <w:r/>
      <w:bookmarkEnd w:id="58"/>
      <w:r/>
      <w:bookmarkEnd w:id="59"/>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65" w:name="_Hlt16619475"/>
      <w:r/>
      <w:bookmarkEnd w:id="65"/>
      <w:r/>
      <w:bookmarkStart w:id="66" w:name="_Toc458694821"/>
      <w:r/>
      <w:bookmarkStart w:id="67" w:name="_Toc513029204"/>
      <w:r/>
      <w:bookmarkStart w:id="68" w:name="_Toc20823276"/>
      <w:r/>
      <w:bookmarkStart w:id="69" w:name="_Toc16938520"/>
      <w:r>
        <w:rPr>
          <w:rFonts w:hint="eastAsia" w:ascii="仿宋" w:hAnsi="仿宋" w:eastAsia="仿宋" w:cs="仿宋"/>
          <w:color w:val="000000" w:themeColor="text1"/>
          <w:sz w:val="28"/>
          <w:szCs w:val="28"/>
          <w:highlight w:val="none"/>
          <w14:textFill>
            <w14:solidFill>
              <w14:schemeClr w14:val="tx1"/>
            </w14:solidFill>
          </w14:textFill>
        </w:rPr>
        <w:t xml:space="preserve">1</w:t>
      </w:r>
      <w:bookmarkEnd w:id="66"/>
      <w:r>
        <w:rPr>
          <w:rFonts w:hint="eastAsia" w:ascii="仿宋" w:hAnsi="仿宋" w:eastAsia="仿宋" w:cs="仿宋"/>
          <w:color w:val="000000" w:themeColor="text1"/>
          <w:sz w:val="28"/>
          <w:szCs w:val="28"/>
          <w:highlight w:val="none"/>
          <w14:textFill>
            <w14:solidFill>
              <w14:schemeClr w14:val="tx1"/>
            </w14:solidFill>
          </w14:textFill>
        </w:rPr>
        <w:t xml:space="preserve">.采购方式</w:t>
      </w:r>
      <w:bookmarkEnd w:id="67"/>
      <w:r/>
      <w:bookmarkEnd w:id="68"/>
      <w:r/>
      <w:bookmarkEnd w:id="69"/>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本次政府采购活动采取竞争性磋商(以下简称“磋商”)方式，本磋商文件仅适用于磋商公告中所述项目。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70" w:name="_Toc16938521"/>
      <w:r/>
      <w:bookmarkStart w:id="71" w:name="_Toc513029205"/>
      <w:r/>
      <w:bookmarkStart w:id="72" w:name="_Toc20823277"/>
      <w:r>
        <w:rPr>
          <w:rFonts w:hint="eastAsia" w:ascii="仿宋" w:hAnsi="仿宋" w:eastAsia="仿宋" w:cs="仿宋"/>
          <w:color w:val="000000" w:themeColor="text1"/>
          <w:sz w:val="28"/>
          <w:szCs w:val="28"/>
          <w:highlight w:val="none"/>
          <w14:textFill>
            <w14:solidFill>
              <w14:schemeClr w14:val="tx1"/>
            </w14:solidFill>
          </w14:textFill>
        </w:rPr>
        <w:t xml:space="preserve">2.合格的</w:t>
      </w:r>
      <w:bookmarkEnd w:id="70"/>
      <w:r/>
      <w:bookmarkEnd w:id="71"/>
      <w:r/>
      <w:bookmarkEnd w:id="72"/>
      <w:r>
        <w:rPr>
          <w:rFonts w:hint="eastAsia" w:ascii="仿宋" w:hAnsi="仿宋" w:eastAsia="仿宋" w:cs="仿宋"/>
          <w:color w:val="000000" w:themeColor="text1"/>
          <w:sz w:val="28"/>
          <w:szCs w:val="28"/>
          <w:highlight w:val="none"/>
          <w14:textFill>
            <w14:solidFill>
              <w14:schemeClr w14:val="tx1"/>
            </w14:solidFill>
          </w14:textFill>
        </w:rPr>
        <w:t xml:space="preserve">供应商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满足磋商公告对供应商资格要求的规定。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2.2 满足本磋商文件规定的实质性要求和条件。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73" w:name="_Toc513029206"/>
      <w:r/>
      <w:bookmarkStart w:id="74" w:name="_Toc16938522"/>
      <w:r/>
      <w:bookmarkStart w:id="75" w:name="_Toc20823278"/>
      <w:r>
        <w:rPr>
          <w:rFonts w:hint="eastAsia" w:ascii="仿宋" w:hAnsi="仿宋" w:eastAsia="仿宋" w:cs="仿宋"/>
          <w:color w:val="000000" w:themeColor="text1"/>
          <w:sz w:val="28"/>
          <w:szCs w:val="28"/>
          <w:highlight w:val="none"/>
          <w14:textFill>
            <w14:solidFill>
              <w14:schemeClr w14:val="tx1"/>
            </w14:solidFill>
          </w14:textFill>
        </w:rPr>
        <w:t xml:space="preserve">3.适用法律</w:t>
      </w:r>
      <w:bookmarkEnd w:id="73"/>
      <w:r/>
      <w:bookmarkEnd w:id="74"/>
      <w:r/>
      <w:bookmarkEnd w:id="75"/>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3.1 本次磋商及由此产生的合同受中华人民共和国有关的法律法规制约和保护。</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76" w:name="_Toc20823279"/>
      <w:r/>
      <w:bookmarkStart w:id="77" w:name="_Toc513029207"/>
      <w:r/>
      <w:bookmarkStart w:id="78" w:name="_Toc462564067"/>
      <w:r/>
      <w:bookmarkStart w:id="79" w:name="_Toc16938523"/>
      <w:r>
        <w:rPr>
          <w:rFonts w:hint="eastAsia" w:ascii="仿宋" w:hAnsi="仿宋" w:eastAsia="仿宋" w:cs="仿宋"/>
          <w:color w:val="000000" w:themeColor="text1"/>
          <w:sz w:val="28"/>
          <w:szCs w:val="28"/>
          <w:highlight w:val="none"/>
          <w14:textFill>
            <w14:solidFill>
              <w14:schemeClr w14:val="tx1"/>
            </w14:solidFill>
          </w14:textFill>
        </w:rPr>
        <w:t xml:space="preserve">4.磋商费用</w:t>
      </w:r>
      <w:bookmarkEnd w:id="76"/>
      <w:r/>
      <w:bookmarkEnd w:id="77"/>
      <w:r/>
      <w:bookmarkEnd w:id="78"/>
      <w:r/>
      <w:bookmarkEnd w:id="79"/>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 xml:space="preserve">和采购人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在任何情况下均无义务和责任承担这些费用。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规定第一款第三条执行，由成交供应商向采购代理机构支付。供应商报价应当包含代理服务费，相关费用由中标供应商在领取中标通知书时一次性结清。专家评审费由采购人支付，专家评审费据实结算。</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4.3代理服务费收费标准参照国家计委《招标代理服务收费管理暂行办法》（计价格〔2002〕1980 号） 计取，按该文件规定收费标准的60%计取。</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付款时请供应商备注项目名称和项目编号以便核实。</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账户名称：</w:t>
      </w:r>
      <w:r>
        <w:rPr>
          <w:rFonts w:hint="eastAsia" w:ascii="仿宋" w:hAnsi="仿宋" w:cs="仿宋"/>
          <w:color w:val="000000" w:themeColor="text1"/>
          <w:sz w:val="28"/>
          <w:szCs w:val="28"/>
          <w:highlight w:val="none"/>
          <w:lang w:val="zh-CN"/>
          <w14:textFill>
            <w14:solidFill>
              <w14:schemeClr w14:val="tx1"/>
            </w14:solidFill>
          </w14:textFill>
        </w:rPr>
        <w:t xml:space="preserve">南京通建项目管理咨询有限公司</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行：中国银行股份有限公司南京东宝路支行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账   号：480676846430</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支付宝：jiangsusjgc@163.com</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5.磋商文件的约束力</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供应商一旦参加本项目采购活动，即被认为接受了本磋商文件的规定和约束。</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80" w:name="_Toc20823281"/>
      <w:r/>
      <w:bookmarkStart w:id="81" w:name="_Toc513029209"/>
      <w:r/>
      <w:bookmarkStart w:id="82" w:name="_Toc120614215"/>
      <w:r/>
      <w:bookmarkStart w:id="83" w:name="_Toc16938525"/>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w:t>
      </w:r>
      <w:bookmarkEnd w:id="80"/>
      <w:r/>
      <w:bookmarkEnd w:id="81"/>
      <w:r/>
      <w:bookmarkEnd w:id="82"/>
      <w:r/>
      <w:bookmarkEnd w:id="83"/>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磋商文件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84" w:name="_Toc513029210"/>
      <w:r/>
      <w:bookmarkStart w:id="85" w:name="_Toc20823282"/>
      <w:r/>
      <w:bookmarkStart w:id="86" w:name="_Toc16938526"/>
      <w:r>
        <w:rPr>
          <w:rFonts w:hint="eastAsia" w:ascii="仿宋" w:hAnsi="仿宋" w:eastAsia="仿宋" w:cs="仿宋"/>
          <w:color w:val="000000" w:themeColor="text1"/>
          <w:sz w:val="28"/>
          <w:szCs w:val="28"/>
          <w:highlight w:val="none"/>
          <w14:textFill>
            <w14:solidFill>
              <w14:schemeClr w14:val="tx1"/>
            </w14:solidFill>
          </w14:textFill>
        </w:rPr>
        <w:t xml:space="preserve">6.磋商文件构成</w:t>
      </w:r>
      <w:bookmarkEnd w:id="84"/>
      <w:r/>
      <w:bookmarkEnd w:id="85"/>
      <w:r/>
      <w:bookmarkEnd w:id="86"/>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磋商文件由以下部分组成：</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竞争性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磋商邀请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竞争性磋商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须知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合同文本</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采购需求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（5）评审方法与评审标准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（6）竞争性磋商响应文件格式及附件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供应商应仔细检查磋商文件是否齐全，如有缺漏请立即与代理机构联系。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87" w:name="_Toc20823283"/>
      <w:r/>
      <w:bookmarkStart w:id="88" w:name="_Toc16938527"/>
      <w:r/>
      <w:bookmarkStart w:id="89" w:name="_Toc462564070"/>
      <w:r/>
      <w:bookmarkStart w:id="90" w:name="_Toc513029211"/>
      <w:r>
        <w:rPr>
          <w:rFonts w:hint="eastAsia" w:ascii="仿宋" w:hAnsi="仿宋" w:eastAsia="仿宋" w:cs="仿宋"/>
          <w:color w:val="000000" w:themeColor="text1"/>
          <w:sz w:val="28"/>
          <w:szCs w:val="28"/>
          <w:highlight w:val="none"/>
          <w14:textFill>
            <w14:solidFill>
              <w14:schemeClr w14:val="tx1"/>
            </w14:solidFill>
          </w14:textFill>
        </w:rPr>
        <w:t xml:space="preserve">7.磋商文件的澄清</w:t>
      </w:r>
      <w:bookmarkEnd w:id="87"/>
      <w:r/>
      <w:bookmarkEnd w:id="88"/>
      <w:r/>
      <w:bookmarkEnd w:id="89"/>
      <w:r/>
      <w:bookmarkEnd w:id="90"/>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7.1 任何要求对磋商文件进行澄清的供应商，应在磋商截止期五日前按磋商公告中的通讯地址，以书面形式通知代理机构。</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91" w:name="_Toc20823284"/>
      <w:r/>
      <w:bookmarkStart w:id="92" w:name="_Toc16938528"/>
      <w:r/>
      <w:bookmarkStart w:id="93" w:name="_Toc513029212"/>
      <w:r/>
      <w:bookmarkStart w:id="94" w:name="_Toc462564071"/>
      <w:r>
        <w:rPr>
          <w:rFonts w:hint="eastAsia" w:ascii="仿宋" w:hAnsi="仿宋" w:eastAsia="仿宋" w:cs="仿宋"/>
          <w:color w:val="000000" w:themeColor="text1"/>
          <w:sz w:val="28"/>
          <w:szCs w:val="28"/>
          <w:highlight w:val="none"/>
          <w14:textFill>
            <w14:solidFill>
              <w14:schemeClr w14:val="tx1"/>
            </w14:solidFill>
          </w14:textFill>
        </w:rPr>
        <w:t xml:space="preserve">8.磋商文件的澄清和修改</w:t>
      </w:r>
      <w:bookmarkEnd w:id="91"/>
      <w:r/>
      <w:bookmarkEnd w:id="92"/>
      <w:r/>
      <w:bookmarkEnd w:id="93"/>
      <w:r/>
      <w:bookmarkEnd w:id="94"/>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bookmarkStart w:id="95" w:name="_Toc462564072"/>
      <w:r/>
      <w:bookmarkStart w:id="96" w:name="_Toc513029213"/>
      <w:r/>
      <w:bookmarkStart w:id="97" w:name="_Toc20823285"/>
      <w:r/>
      <w:bookmarkStart w:id="98" w:name="_Toc16938529"/>
      <w:r/>
      <w:bookmarkStart w:id="99" w:name="_Toc120614216"/>
      <w:r>
        <w:rPr>
          <w:rFonts w:hint="eastAsia" w:ascii="仿宋" w:hAnsi="仿宋" w:eastAsia="仿宋" w:cs="仿宋"/>
          <w:color w:val="000000" w:themeColor="text1"/>
          <w:sz w:val="28"/>
          <w:szCs w:val="28"/>
          <w:highlight w:val="none"/>
          <w:lang w:val="zh-CN"/>
          <w14:textFill>
            <w14:solidFill>
              <w14:schemeClr w14:val="tx1"/>
            </w14:solidFill>
          </w14:textFill>
        </w:rPr>
        <w:t xml:space="preserve">8.1 在响应文件提交截止时间前，代理机构可以对磋商文件进行修改。磋商文件的修改将在原公告媒体发布更正公告，更正内容将作为磋商文件的组成部分，并对供应商具有约束力。</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供应商应在提交响应文件截止时间前，关注原公告媒体有关本项目的更正公告，根据更正公告内容自行决定是否需要重新制作和提交响应文件，并承担由此产生的相应责任。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代理机构有权按照法定的要求推迟提交响应文件截止时间，并在原公告媒体发布更正公告。</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三、响应文件的编制</w:t>
      </w:r>
      <w:bookmarkEnd w:id="95"/>
      <w:r/>
      <w:bookmarkEnd w:id="96"/>
      <w:r/>
      <w:bookmarkEnd w:id="97"/>
      <w:r/>
      <w:bookmarkEnd w:id="98"/>
      <w:r/>
      <w:bookmarkEnd w:id="99"/>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00" w:name="_Toc20823286"/>
      <w:r/>
      <w:bookmarkStart w:id="101" w:name="_Toc16938530"/>
      <w:r/>
      <w:bookmarkStart w:id="102" w:name="_Toc513029214"/>
      <w:r/>
      <w:bookmarkStart w:id="103" w:name="_Toc462564073"/>
      <w:r>
        <w:rPr>
          <w:rFonts w:hint="eastAsia" w:ascii="仿宋" w:hAnsi="仿宋" w:eastAsia="仿宋" w:cs="仿宋"/>
          <w:color w:val="000000" w:themeColor="text1"/>
          <w:sz w:val="28"/>
          <w:szCs w:val="28"/>
          <w:highlight w:val="none"/>
          <w14:textFill>
            <w14:solidFill>
              <w14:schemeClr w14:val="tx1"/>
            </w14:solidFill>
          </w14:textFill>
        </w:rPr>
        <w:t xml:space="preserve">9.响应文件的语言及度量衡单位</w:t>
      </w:r>
      <w:bookmarkEnd w:id="100"/>
      <w:r/>
      <w:bookmarkEnd w:id="101"/>
      <w:r/>
      <w:bookmarkEnd w:id="102"/>
      <w:r/>
      <w:bookmarkEnd w:id="103"/>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供应商提交的响应文件以及供应商与代理机构就有关磋商的所有来往通知、函件和文件均应使用简体中文。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9.2 除技术性能另有规定外，响应文件所使用的度量衡单位，均须采用国家法定计量单位。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04" w:name="_Toc462564074"/>
      <w:r/>
      <w:bookmarkStart w:id="105" w:name="_Toc513029215"/>
      <w:r/>
      <w:bookmarkStart w:id="106" w:name="_Toc16938531"/>
      <w:r/>
      <w:bookmarkStart w:id="107" w:name="_Toc20823287"/>
      <w:r>
        <w:rPr>
          <w:rFonts w:hint="eastAsia" w:ascii="仿宋" w:hAnsi="仿宋" w:eastAsia="仿宋" w:cs="仿宋"/>
          <w:color w:val="000000" w:themeColor="text1"/>
          <w:sz w:val="28"/>
          <w:szCs w:val="28"/>
          <w:highlight w:val="none"/>
          <w14:textFill>
            <w14:solidFill>
              <w14:schemeClr w14:val="tx1"/>
            </w14:solidFill>
          </w14:textFill>
        </w:rPr>
        <w:t xml:space="preserve">10.响应文件构成</w:t>
      </w:r>
      <w:bookmarkEnd w:id="104"/>
      <w:r/>
      <w:bookmarkEnd w:id="105"/>
      <w:r/>
      <w:bookmarkEnd w:id="106"/>
      <w:r/>
      <w:bookmarkEnd w:id="107"/>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分项报价表、采购需求偏离表、其他证明文件、磋商响应函等部分。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bookmarkStart w:id="108" w:name="OLE_LINK1"/>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bookmarkEnd w:id="108"/>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10.2 如标书制作工具中格式和内容与“江苏政府采购网”发布的磋商文件不一致，以“江苏政府采购网”发布的磋商文件为准。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09" w:name="_Hlt26954838"/>
      <w:r/>
      <w:bookmarkEnd w:id="109"/>
      <w:r/>
      <w:bookmarkStart w:id="110" w:name="_Hlt26670360"/>
      <w:r/>
      <w:bookmarkEnd w:id="110"/>
      <w:r/>
      <w:bookmarkStart w:id="111" w:name="_Hlt26668975"/>
      <w:r/>
      <w:bookmarkEnd w:id="111"/>
      <w:r/>
      <w:bookmarkStart w:id="112" w:name="_Toc49090509"/>
      <w:r/>
      <w:bookmarkStart w:id="113" w:name="_Toc49090507"/>
      <w:r/>
      <w:bookmarkStart w:id="114" w:name="_Toc14577357"/>
      <w:r/>
      <w:bookmarkStart w:id="115" w:name="_Toc513029216"/>
      <w:r/>
      <w:bookmarkStart w:id="116" w:name="_Toc14577354"/>
      <w:r/>
      <w:bookmarkStart w:id="117" w:name="_Toc513029219"/>
      <w:r/>
      <w:bookmarkStart w:id="118" w:name="_Toc14577355"/>
      <w:r/>
      <w:bookmarkStart w:id="119" w:name="_Toc49090508"/>
      <w:r>
        <w:rPr>
          <w:rFonts w:hint="eastAsia" w:ascii="仿宋" w:hAnsi="仿宋" w:eastAsia="仿宋" w:cs="仿宋"/>
          <w:color w:val="000000" w:themeColor="text1"/>
          <w:sz w:val="28"/>
          <w:szCs w:val="28"/>
          <w:highlight w:val="none"/>
          <w14:textFill>
            <w14:solidFill>
              <w14:schemeClr w14:val="tx1"/>
            </w14:solidFill>
          </w14:textFill>
        </w:rPr>
        <w:t xml:space="preserve">11.证明磋商响应标的符合磋商文件规定的文件</w:t>
      </w:r>
      <w:bookmarkEnd w:id="112"/>
      <w:r/>
      <w:bookmarkEnd w:id="113"/>
      <w:r/>
      <w:bookmarkEnd w:id="114"/>
      <w:r/>
      <w:bookmarkEnd w:id="115"/>
      <w:r/>
      <w:bookmarkEnd w:id="116"/>
      <w:r/>
      <w:bookmarkEnd w:id="117"/>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供应商应按照法律、法规、规章和规范性文件以及磋商文件要求提交证明文件，证明其响应标的符合磋商文件规定。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磋商文件对证明文件无明确形式要求的，证明文件可以以文字资料、图纸和数据等形式提交。</w:t>
      </w:r>
      <w:bookmarkEnd w:id="118"/>
      <w:r/>
      <w:bookmarkEnd w:id="119"/>
      <w:r/>
      <w:r/>
    </w:p>
    <w:p>
      <w:pPr>
        <w:ind w:firstLine="560"/>
        <w:jc w:val="left"/>
        <w:keepLines w:val="0"/>
        <w:keepNext w:val="0"/>
        <w:pageBreakBefore w:val="0"/>
        <w:spacing w:line="560" w:lineRule="exact"/>
        <w:widowControl w:val="off"/>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12.分项报价表</w:t>
      </w:r>
      <w:r>
        <w:rPr>
          <w:rFonts w:hint="eastAsia" w:ascii="仿宋" w:hAnsi="仿宋" w:cs="仿宋"/>
          <w:color w:val="000000" w:themeColor="text1"/>
          <w:sz w:val="28"/>
          <w:szCs w:val="28"/>
          <w:highlight w:val="none"/>
          <w:lang w:eastAsia="zh-CN"/>
          <w14:textFill>
            <w14:solidFill>
              <w14:schemeClr w14:val="tx1"/>
            </w14:solidFill>
          </w14:textFill>
        </w:rPr>
        <w:t xml:space="preserve">（</w:t>
      </w:r>
      <w:r>
        <w:rPr>
          <w:rFonts w:hint="eastAsia" w:ascii="仿宋" w:hAnsi="仿宋" w:cs="仿宋"/>
          <w:color w:val="000000" w:themeColor="text1"/>
          <w:sz w:val="28"/>
          <w:szCs w:val="28"/>
          <w:highlight w:val="none"/>
          <w:lang w:val="en-US" w:eastAsia="zh-CN"/>
          <w14:textFill>
            <w14:solidFill>
              <w14:schemeClr w14:val="tx1"/>
            </w14:solidFill>
          </w14:textFill>
        </w:rPr>
        <w:t xml:space="preserve">如有）</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供应商应按照磋商文件规定格式填报分项报价表。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磋商货币。响应文件中的单价和总价无特殊规定的采用人民币报价，以元为单位标注。磋商文件中另有规定的按规定执行。</w:t>
      </w:r>
      <w:r/>
    </w:p>
    <w:p>
      <w:pPr>
        <w:ind w:firstLine="560"/>
        <w:jc w:val="left"/>
        <w:keepLines w:val="0"/>
        <w:keepNext w:val="0"/>
        <w:pageBreakBefore w:val="0"/>
        <w:spacing w:line="560" w:lineRule="exact"/>
        <w:widowControl w:val="off"/>
        <w:rPr>
          <w:rFonts w:hint="eastAsia" w:ascii="仿宋" w:hAnsi="仿宋" w:cs="仿宋"/>
          <w:color w:val="000000" w:themeColor="text1"/>
          <w:sz w:val="28"/>
          <w:szCs w:val="28"/>
          <w:highlight w:val="none"/>
          <w:lang w:val="en-US" w:eastAsia="zh-CN"/>
          <w14:textFill>
            <w14:solidFill>
              <w14:schemeClr w14:val="tx1"/>
            </w14:solidFill>
          </w14:textFill>
        </w:rPr>
      </w:pPr>
      <w:r/>
      <w:bookmarkStart w:id="120" w:name="_Hlt26954848"/>
      <w:r/>
      <w:bookmarkEnd w:id="120"/>
      <w:r/>
      <w:bookmarkStart w:id="121" w:name="_Hlt26954846"/>
      <w:r/>
      <w:bookmarkEnd w:id="121"/>
      <w:r/>
      <w:bookmarkStart w:id="122" w:name="_Hlt26670486"/>
      <w:r/>
      <w:bookmarkEnd w:id="122"/>
      <w:r/>
      <w:bookmarkStart w:id="123" w:name="_Hlt26954731"/>
      <w:r/>
      <w:bookmarkEnd w:id="123"/>
      <w:r/>
      <w:bookmarkStart w:id="124" w:name="_Hlt26670482"/>
      <w:r/>
      <w:bookmarkEnd w:id="124"/>
      <w:r>
        <w:rPr>
          <w:rFonts w:hint="eastAsia" w:ascii="仿宋" w:hAnsi="仿宋" w:eastAsia="仿宋" w:cs="仿宋"/>
          <w:color w:val="000000" w:themeColor="text1"/>
          <w:sz w:val="28"/>
          <w:szCs w:val="28"/>
          <w:highlight w:val="none"/>
          <w:lang w:val="zh-CN"/>
          <w14:textFill>
            <w14:solidFill>
              <w14:schemeClr w14:val="tx1"/>
            </w14:solidFill>
          </w14:textFill>
        </w:rPr>
        <w:t xml:space="preserve">13.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 xml:space="preserve">、商务要求响应及偏离表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项目需求</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逐项作出响应或偏离说明。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13.2 供应商可在响应文件中提供认为需要的其他技术文件或说明。</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5" w:name="_Toc14577359"/>
      <w:r/>
      <w:bookmarkStart w:id="126" w:name="_Toc49090510"/>
      <w:r>
        <w:rPr>
          <w:rFonts w:hint="eastAsia" w:ascii="仿宋" w:hAnsi="仿宋" w:eastAsia="仿宋" w:cs="仿宋"/>
          <w:color w:val="000000" w:themeColor="text1"/>
          <w:sz w:val="28"/>
          <w:szCs w:val="28"/>
          <w:highlight w:val="none"/>
          <w14:textFill>
            <w14:solidFill>
              <w14:schemeClr w14:val="tx1"/>
            </w14:solidFill>
          </w14:textFill>
        </w:rPr>
        <w:t xml:space="preserve">14.</w:t>
      </w:r>
      <w:r>
        <w:rPr>
          <w:rFonts w:hint="eastAsia" w:ascii="仿宋" w:hAnsi="仿宋" w:cs="仿宋"/>
          <w:color w:val="000000" w:themeColor="text1"/>
          <w:sz w:val="28"/>
          <w:szCs w:val="28"/>
          <w:highlight w:val="none"/>
          <w:lang w:val="en-US" w:eastAsia="zh-CN"/>
          <w14:textFill>
            <w14:solidFill>
              <w14:schemeClr w14:val="tx1"/>
            </w14:solidFill>
          </w14:textFill>
        </w:rPr>
        <w:t xml:space="preserve">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和报价表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竞争性</w:t>
      </w:r>
      <w:r>
        <w:rPr>
          <w:rFonts w:hint="eastAsia" w:ascii="仿宋" w:hAnsi="仿宋" w:eastAsia="仿宋" w:cs="仿宋"/>
          <w:color w:val="000000" w:themeColor="text1"/>
          <w:sz w:val="28"/>
          <w:szCs w:val="28"/>
          <w:highlight w:val="none"/>
          <w14:textFill>
            <w14:solidFill>
              <w14:schemeClr w14:val="tx1"/>
            </w14:solidFill>
          </w14:textFill>
        </w:rPr>
        <w:t xml:space="preserve">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bookmarkEnd w:id="125"/>
      <w:r/>
      <w:bookmarkEnd w:id="126"/>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127" w:name="_Toc49090511"/>
      <w:r/>
      <w:bookmarkStart w:id="128" w:name="_Toc14577360"/>
      <w:r>
        <w:rPr>
          <w:rFonts w:hint="eastAsia" w:ascii="仿宋" w:hAnsi="仿宋" w:eastAsia="仿宋" w:cs="仿宋"/>
          <w:color w:val="000000" w:themeColor="text1"/>
          <w:sz w:val="28"/>
          <w:szCs w:val="28"/>
          <w:highlight w:val="none"/>
          <w14:textFill>
            <w14:solidFill>
              <w14:schemeClr w14:val="tx1"/>
            </w14:solidFill>
          </w14:textFill>
        </w:rPr>
        <w:t xml:space="preserve">15.磋商有效期</w:t>
      </w:r>
      <w:bookmarkEnd w:id="127"/>
      <w:r/>
      <w:bookmarkEnd w:id="128"/>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磋商有效期为采购公告规定的提交响应文件截止之日起六十天。磋商有效期比规定短的将被视为非实质性响应磋商文件而被拒绝。</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16.磋商有效期的延长</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29" w:name="_Hlt26954739"/>
      <w:r/>
      <w:bookmarkEnd w:id="129"/>
      <w:r/>
      <w:bookmarkStart w:id="130" w:name="_Hlt26954852"/>
      <w:r/>
      <w:bookmarkEnd w:id="130"/>
      <w:r/>
      <w:bookmarkStart w:id="131" w:name="_Toc120614217"/>
      <w:r/>
      <w:bookmarkStart w:id="132" w:name="_Toc20823296"/>
      <w:r/>
      <w:bookmarkStart w:id="133" w:name="_Toc16938540"/>
      <w:r/>
      <w:bookmarkStart w:id="134" w:name="_Toc513029224"/>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四、响应文件的递交</w:t>
      </w:r>
      <w:bookmarkEnd w:id="131"/>
      <w:r/>
      <w:bookmarkEnd w:id="132"/>
      <w:r/>
      <w:bookmarkEnd w:id="133"/>
      <w:r/>
      <w:bookmarkEnd w:id="134"/>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35" w:name="_Toc20823297"/>
      <w:r/>
      <w:bookmarkStart w:id="136" w:name="_Toc16938541"/>
      <w:r/>
      <w:bookmarkStart w:id="137" w:name="_Toc462564084"/>
      <w:r/>
      <w:bookmarkStart w:id="138" w:name="_Toc513029225"/>
      <w:r>
        <w:rPr>
          <w:rFonts w:hint="eastAsia" w:ascii="仿宋" w:hAnsi="仿宋" w:eastAsia="仿宋" w:cs="仿宋"/>
          <w:color w:val="000000" w:themeColor="text1"/>
          <w:sz w:val="28"/>
          <w:szCs w:val="28"/>
          <w:highlight w:val="none"/>
          <w14:textFill>
            <w14:solidFill>
              <w14:schemeClr w14:val="tx1"/>
            </w14:solidFill>
          </w14:textFill>
        </w:rPr>
        <w:t xml:space="preserve">17.</w:t>
      </w:r>
      <w:bookmarkEnd w:id="135"/>
      <w:r/>
      <w:bookmarkEnd w:id="136"/>
      <w:r/>
      <w:bookmarkEnd w:id="137"/>
      <w:r/>
      <w:bookmarkEnd w:id="138"/>
      <w:r>
        <w:rPr>
          <w:rFonts w:hint="eastAsia" w:ascii="仿宋" w:hAnsi="仿宋" w:eastAsia="仿宋" w:cs="仿宋"/>
          <w:color w:val="000000" w:themeColor="text1"/>
          <w:sz w:val="28"/>
          <w:szCs w:val="28"/>
          <w:highlight w:val="none"/>
          <w14:textFill>
            <w14:solidFill>
              <w14:schemeClr w14:val="tx1"/>
            </w14:solidFill>
          </w14:textFill>
        </w:rPr>
        <w:t xml:space="preserve">响应文件的递交</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响应文件应加盖投标供应商公章。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17.</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39" w:name="_Toc16938542"/>
      <w:r/>
      <w:bookmarkEnd w:id="139"/>
      <w:r/>
      <w:bookmarkStart w:id="140" w:name="_Toc513029226"/>
      <w:r/>
      <w:bookmarkEnd w:id="140"/>
      <w:r/>
      <w:bookmarkStart w:id="141" w:name="_Toc20823298"/>
      <w:r/>
      <w:bookmarkEnd w:id="141"/>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 xml:space="preserve">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.3条规定</w:t>
      </w:r>
      <w:r>
        <w:rPr>
          <w:rFonts w:hint="eastAsia" w:ascii="仿宋" w:hAnsi="仿宋" w:cs="仿宋"/>
          <w:color w:val="000000" w:themeColor="text1"/>
          <w:sz w:val="28"/>
          <w:szCs w:val="28"/>
          <w:highlight w:val="none"/>
          <w:lang w:val="zh-CN"/>
          <w14:textFill>
            <w14:solidFill>
              <w14:schemeClr w14:val="tx1"/>
            </w14:solidFill>
          </w14:textFill>
        </w:rPr>
        <w:t xml:space="preserve">作无效响应处理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42" w:name="_Toc16938543"/>
      <w:r/>
      <w:bookmarkStart w:id="143" w:name="_Toc513029227"/>
      <w:r/>
      <w:bookmarkStart w:id="144" w:name="_Toc20823299"/>
      <w:r>
        <w:rPr>
          <w:rFonts w:hint="eastAsia" w:ascii="仿宋" w:hAnsi="仿宋" w:eastAsia="仿宋" w:cs="仿宋"/>
          <w:color w:val="000000" w:themeColor="text1"/>
          <w:sz w:val="28"/>
          <w:szCs w:val="28"/>
          <w:highlight w:val="none"/>
          <w14:textFill>
            <w14:solidFill>
              <w14:schemeClr w14:val="tx1"/>
            </w14:solidFill>
          </w14:textFill>
        </w:rPr>
        <w:t xml:space="preserve">18.响应文件</w:t>
      </w:r>
      <w:bookmarkEnd w:id="142"/>
      <w:r/>
      <w:bookmarkEnd w:id="143"/>
      <w:r/>
      <w:bookmarkEnd w:id="144"/>
      <w:r>
        <w:rPr>
          <w:rFonts w:hint="eastAsia" w:ascii="仿宋" w:hAnsi="仿宋" w:eastAsia="仿宋" w:cs="仿宋"/>
          <w:color w:val="000000" w:themeColor="text1"/>
          <w:sz w:val="28"/>
          <w:szCs w:val="28"/>
          <w:highlight w:val="none"/>
          <w14:textFill>
            <w14:solidFill>
              <w14:schemeClr w14:val="tx1"/>
            </w14:solidFill>
          </w14:textFill>
        </w:rPr>
        <w:t xml:space="preserve">的拒收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 代理机构拒绝接收提交响应文件截止时间后上传的任何电子响应文件。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45" w:name="_Toc20823300"/>
      <w:r/>
      <w:bookmarkStart w:id="146" w:name="_Toc513029228"/>
      <w:r/>
      <w:bookmarkStart w:id="147" w:name="_Toc16938544"/>
      <w:r>
        <w:rPr>
          <w:rFonts w:hint="eastAsia" w:ascii="仿宋" w:hAnsi="仿宋" w:eastAsia="仿宋" w:cs="仿宋"/>
          <w:color w:val="000000" w:themeColor="text1"/>
          <w:sz w:val="28"/>
          <w:szCs w:val="28"/>
          <w:highlight w:val="none"/>
          <w14:textFill>
            <w14:solidFill>
              <w14:schemeClr w14:val="tx1"/>
            </w14:solidFill>
          </w14:textFill>
        </w:rPr>
        <w:t xml:space="preserve">19.响应文件的撤回和修改</w:t>
      </w:r>
      <w:bookmarkEnd w:id="145"/>
      <w:r/>
      <w:bookmarkEnd w:id="146"/>
      <w:r/>
      <w:bookmarkEnd w:id="147"/>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响应文件的撤回</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供应商可在提交响应文件截止时间前撤回其电子响应文件，具体操作方法见《操作手册》。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供应商撤回电子响应文件，则认为其不再参与本项目磋商活动。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响应文件的修改</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供应商可在提交响应文件截止时间前对其电子响应文件进行修改，具体操作方法见《操作手册》。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提交响应文件截止时间之后，供应商不得对其电子响应文件作任何修改。</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bookmarkStart w:id="148" w:name="_Toc16938545"/>
      <w:r/>
      <w:bookmarkStart w:id="149" w:name="_Toc120614218"/>
      <w:r/>
      <w:bookmarkStart w:id="150" w:name="_Toc20823301"/>
      <w:r/>
      <w:bookmarkStart w:id="151" w:name="_Toc513029229"/>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五、响应文件的解密与评审</w:t>
      </w:r>
      <w:bookmarkEnd w:id="148"/>
      <w:r/>
      <w:bookmarkEnd w:id="149"/>
      <w:r/>
      <w:bookmarkEnd w:id="150"/>
      <w:r/>
      <w:bookmarkEnd w:id="151"/>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52" w:name="_Toc20823302"/>
      <w:r/>
      <w:bookmarkStart w:id="153" w:name="_Toc513029230"/>
      <w:r/>
      <w:bookmarkStart w:id="154" w:name="_Toc16938546"/>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52"/>
      <w:r/>
      <w:bookmarkEnd w:id="153"/>
      <w:r/>
      <w:bookmarkEnd w:id="154"/>
      <w:r>
        <w:rPr>
          <w:rFonts w:hint="eastAsia" w:ascii="仿宋" w:hAnsi="仿宋" w:eastAsia="仿宋" w:cs="仿宋"/>
          <w:color w:val="000000" w:themeColor="text1"/>
          <w:sz w:val="28"/>
          <w:szCs w:val="28"/>
          <w:highlight w:val="none"/>
          <w14:textFill>
            <w14:solidFill>
              <w14:schemeClr w14:val="tx1"/>
            </w14:solidFill>
          </w14:textFill>
        </w:rPr>
        <w:t xml:space="preserve">0.响应文件解密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20.1 供应商应当按照《操作手册》规定，在苏采云系统规定的时间内对响应文件进行解密。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55" w:name="_Toc513029231"/>
      <w:r/>
      <w:bookmarkStart w:id="156" w:name="_Toc16938547"/>
      <w:r/>
      <w:bookmarkStart w:id="157" w:name="_Toc20823303"/>
      <w:r>
        <w:rPr>
          <w:rFonts w:hint="eastAsia" w:ascii="仿宋" w:hAnsi="仿宋" w:eastAsia="仿宋" w:cs="仿宋"/>
          <w:color w:val="000000" w:themeColor="text1"/>
          <w:sz w:val="28"/>
          <w:szCs w:val="28"/>
          <w:highlight w:val="none"/>
          <w14:textFill>
            <w14:solidFill>
              <w14:schemeClr w14:val="tx1"/>
            </w14:solidFill>
          </w14:textFill>
        </w:rPr>
        <w:t xml:space="preserve">21.磋商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21.1 代理机构将组织磋商小组对响应文件进行评审。</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21.2 磋商小组由采购人代表和有关技术、经济等方面的专家组成，且人员构成符合政府采购有关规定。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21.3 磋商小组独立工作，负责评审所有响应文件并推荐成交</w:t>
      </w:r>
      <w:r>
        <w:rPr>
          <w:rFonts w:hint="eastAsia" w:ascii="仿宋" w:hAnsi="仿宋" w:cs="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s="仿宋"/>
          <w:color w:val="000000" w:themeColor="text1"/>
          <w:sz w:val="28"/>
          <w:szCs w:val="28"/>
          <w:highlight w:val="none"/>
          <w14:textFill>
            <w14:solidFill>
              <w14:schemeClr w14:val="tx1"/>
            </w14:solidFill>
          </w14:textFill>
        </w:rPr>
        <w:t xml:space="preserve">，或根据采购人授权直接确定成交供应商。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22.评审过程的保密与公正</w:t>
      </w:r>
      <w:bookmarkEnd w:id="155"/>
      <w:r/>
      <w:bookmarkEnd w:id="156"/>
      <w:r/>
      <w:bookmarkEnd w:id="157"/>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22.1 磋商小组、采购人和代理机构工作人员、相关监督人员等与评审工作有关的人员，对评审情况以及在评审过程中获悉的国家秘密、商业秘密负有保密责任。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22.2 供应商不得以任何方式影响磋商评审，否则其响应文件将被作为无效响应文件。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22.3 代理机构和磋商小组不向未成交的供应商解释未成交原因，也不公布评审过程中的相关细节。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58" w:name="_Toc513029232"/>
      <w:r/>
      <w:bookmarkStart w:id="159" w:name="_Toc20823304"/>
      <w:r/>
      <w:bookmarkStart w:id="160" w:name="_Toc16938548"/>
      <w:r>
        <w:rPr>
          <w:rFonts w:hint="eastAsia" w:ascii="仿宋" w:hAnsi="仿宋" w:eastAsia="仿宋" w:cs="仿宋"/>
          <w:color w:val="000000" w:themeColor="text1"/>
          <w:sz w:val="28"/>
          <w:szCs w:val="28"/>
          <w:highlight w:val="none"/>
          <w14:textFill>
            <w14:solidFill>
              <w14:schemeClr w14:val="tx1"/>
            </w14:solidFill>
          </w14:textFill>
        </w:rPr>
        <w:t xml:space="preserve">23.评审过程中的澄清</w:t>
      </w:r>
      <w:bookmarkEnd w:id="158"/>
      <w:r/>
      <w:bookmarkEnd w:id="159"/>
      <w:r/>
      <w:bookmarkEnd w:id="160"/>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23.1 项目评审期间，磋商小组有权要求供应商对响应文件中含义不明确、同类问题表述不一致或者有明显文字和计算错误的内容等作出必要的澄清、说明或者补正。</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供应商的澄清、说明或者补正不得超出响应文件的范围或者改变响应文件的实质性内容。</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磋商小组并非对每个供应商都作澄清要求。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，接到</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《澄清要求函》</w:t>
      </w:r>
      <w:r>
        <w:rPr>
          <w:rFonts w:hint="eastAsia" w:ascii="仿宋" w:hAnsi="仿宋" w:eastAsia="仿宋" w:cs="仿宋"/>
          <w:color w:val="000000" w:themeColor="text1"/>
          <w:sz w:val="28"/>
          <w:szCs w:val="28"/>
          <w:highlight w:val="none"/>
          <w14:textFill>
            <w14:solidFill>
              <w14:schemeClr w14:val="tx1"/>
            </w14:solidFill>
          </w14:textFill>
        </w:rPr>
        <w:t xml:space="preserve">并加盖电子公章。澄清、说明和补正的内容作为响应文件的补充部分，具体操作方式见《操作手册》。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23.3 接到磋商小组澄清、说明和补正要求的供应商如未按规定</w:t>
      </w:r>
      <w:r>
        <w:rPr>
          <w:rFonts w:hint="eastAsia" w:ascii="仿宋" w:hAnsi="仿宋" w:cs="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s="仿宋"/>
          <w:color w:val="000000" w:themeColor="text1"/>
          <w:sz w:val="28"/>
          <w:szCs w:val="28"/>
          <w:highlight w:val="none"/>
          <w14:textFill>
            <w14:solidFill>
              <w14:schemeClr w14:val="tx1"/>
            </w14:solidFill>
          </w14:textFill>
        </w:rPr>
        <w:t xml:space="preserve">澄清、说明和补正，其风险由供应商自行承担。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61" w:name="_Toc16938549"/>
      <w:r/>
      <w:bookmarkStart w:id="162" w:name="_Toc513029233"/>
      <w:r/>
      <w:bookmarkStart w:id="163" w:name="_Toc20823305"/>
      <w:r>
        <w:rPr>
          <w:rFonts w:hint="eastAsia" w:ascii="仿宋" w:hAnsi="仿宋" w:eastAsia="仿宋" w:cs="仿宋"/>
          <w:color w:val="000000" w:themeColor="text1"/>
          <w:sz w:val="28"/>
          <w:szCs w:val="28"/>
          <w:highlight w:val="none"/>
          <w14:textFill>
            <w14:solidFill>
              <w14:schemeClr w14:val="tx1"/>
            </w14:solidFill>
          </w14:textFill>
        </w:rPr>
        <w:t xml:space="preserve">24.响应文件的审</w:t>
      </w:r>
      <w:bookmarkEnd w:id="161"/>
      <w:r/>
      <w:bookmarkEnd w:id="162"/>
      <w:r/>
      <w:bookmarkEnd w:id="163"/>
      <w:r>
        <w:rPr>
          <w:rFonts w:hint="eastAsia" w:ascii="仿宋" w:hAnsi="仿宋" w:eastAsia="仿宋" w:cs="仿宋"/>
          <w:color w:val="000000" w:themeColor="text1"/>
          <w:sz w:val="28"/>
          <w:szCs w:val="28"/>
          <w:highlight w:val="none"/>
          <w14:textFill>
            <w14:solidFill>
              <w14:schemeClr w14:val="tx1"/>
            </w14:solidFill>
          </w14:textFill>
        </w:rPr>
        <w:t xml:space="preserve">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 响应文件审查分为资格审查和符合性审查。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24.1.1 资格审查。依据法律法规和磋商文件的规定，磋商小组对响应文件中的资格证明文件进行审查，以确定供应商是否具备参加磋商的资格。</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磋商小组进行资格审查时，将在“信用中国”网站（www.creditchina.gov.cn）查询供应商的信用记录，以确定供应商是否具备磋商资格,查询结果留存并归档。</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24.1.2 符合性审查。依据磋商文件的规定，由磋商小组从有效性、完整性和对磋商文件的响应程度等方面对响应文件进行审查，以确定是否对磋商文件的实质性要求作出响应。</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24.1.3 未通过资格审查或符合性审查的供应商，磋商小组将通过苏采云系统告知具体原因，评审结束后将不再接受有关询问。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 xml:space="preserve">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 xml:space="preserve">由</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磋商小组</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 xml:space="preserve">磋商小组认</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 未实质性响应磋商文件的情形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 供应商在苏采云系统规定的时间内未成功解密电子响应文件。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24.3.2 供应商未按照磋商文件要求上传电子响应文件。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24.3.3 同一供应商提交两个（含两个）以上不同的响应文件或者最后报价。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24.3.4 供应商不具备磋商文件中规定资格要求。</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24.3.5 供应商的最后报价超过了采购预算或最高限价。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打“</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w:t>
      </w:r>
      <w:r>
        <w:rPr>
          <w:rFonts w:hint="eastAsia" w:ascii="仿宋" w:hAnsi="仿宋" w:eastAsia="仿宋" w:cs="仿宋"/>
          <w:color w:val="000000" w:themeColor="text1"/>
          <w:sz w:val="28"/>
          <w:szCs w:val="28"/>
          <w:highlight w:val="none"/>
          <w14:textFill>
            <w14:solidFill>
              <w14:schemeClr w14:val="tx1"/>
            </w14:solidFill>
          </w14:textFill>
        </w:rPr>
        <w:t xml:space="preserve">为实质性要求和条件）。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24.3.8 响应文件含有采购人不能接受的附加条件。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24.3.11 响应文件未按照磋商文件要求加盖电子公章。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24.3.12 法律法规及本磋商文件规定的其他无效响应的情形。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24.4 未实质性响应磋商文件的响应文件按无效响应处理。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24.5 如果响应文件实质上没有响应磋商文件的要求，磋商小组将予以拒绝，供应商不得通过修改或撤销</w:t>
      </w:r>
      <w:r>
        <w:rPr>
          <w:rFonts w:hint="eastAsia" w:ascii="仿宋" w:hAnsi="仿宋" w:cs="仿宋"/>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cs="仿宋"/>
          <w:color w:val="000000" w:themeColor="text1"/>
          <w:sz w:val="28"/>
          <w:szCs w:val="28"/>
          <w:highlight w:val="none"/>
          <w14:textFill>
            <w14:solidFill>
              <w14:schemeClr w14:val="tx1"/>
            </w14:solidFill>
          </w14:textFill>
        </w:rPr>
        <w:t xml:space="preserve">合要求的偏离或保留而使其成为实质性响应的文件。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64" w:name="_Toc20823306"/>
      <w:r/>
      <w:bookmarkStart w:id="165" w:name="_Toc16938550"/>
      <w:r/>
      <w:bookmarkStart w:id="166" w:name="_Toc513029234"/>
      <w:r>
        <w:rPr>
          <w:rFonts w:hint="eastAsia" w:ascii="仿宋" w:hAnsi="仿宋" w:eastAsia="仿宋" w:cs="仿宋"/>
          <w:color w:val="000000" w:themeColor="text1"/>
          <w:sz w:val="28"/>
          <w:szCs w:val="28"/>
          <w:highlight w:val="none"/>
          <w14:textFill>
            <w14:solidFill>
              <w14:schemeClr w14:val="tx1"/>
            </w14:solidFill>
          </w14:textFill>
        </w:rPr>
        <w:t xml:space="preserve">24.6 供应商在项目评审全过程中应</w:t>
      </w:r>
      <w:r>
        <w:rPr>
          <w:rFonts w:hint="eastAsia" w:ascii="仿宋" w:hAnsi="仿宋" w:cs="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及时登录苏采云系统查阅、答复相关信息，并安排专人与代理机构及磋商小组联系。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64"/>
      <w:r/>
      <w:bookmarkEnd w:id="165"/>
      <w:r/>
      <w:bookmarkEnd w:id="166"/>
      <w:r>
        <w:rPr>
          <w:rFonts w:hint="eastAsia" w:ascii="仿宋" w:hAnsi="仿宋" w:eastAsia="仿宋" w:cs="仿宋"/>
          <w:color w:val="000000" w:themeColor="text1"/>
          <w:sz w:val="28"/>
          <w:szCs w:val="28"/>
          <w:highlight w:val="none"/>
          <w14:textFill>
            <w14:solidFill>
              <w14:schemeClr w14:val="tx1"/>
            </w14:solidFill>
          </w14:textFill>
        </w:rPr>
        <w:t xml:space="preserve">5.磋商程序及评审方法和评审标准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67" w:name="_Toc16938551"/>
      <w:r/>
      <w:bookmarkStart w:id="168" w:name="_Toc513029235"/>
      <w:r/>
      <w:bookmarkStart w:id="169" w:name="_Toc20823307"/>
      <w:r/>
      <w:bookmarkStart w:id="170" w:name="_Toc120614219"/>
      <w:r>
        <w:rPr>
          <w:rFonts w:hint="eastAsia" w:ascii="仿宋" w:hAnsi="仿宋" w:eastAsia="仿宋" w:cs="仿宋"/>
          <w:color w:val="000000" w:themeColor="text1"/>
          <w:sz w:val="28"/>
          <w:szCs w:val="28"/>
          <w:highlight w:val="none"/>
          <w14:textFill>
            <w14:solidFill>
              <w14:schemeClr w14:val="tx1"/>
            </w14:solidFill>
          </w14:textFill>
        </w:rPr>
        <w:t xml:space="preserve">25.1 磋商程序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 评审方法和评审标准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25.2.1 评审方法。经磋商确定最终采购需求和提交最后报价的供应商后，由磋商小组采用综合评分法对提交最后报价的供应商的响应文件和最后报价进行综合评分。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25.2.2 评审标准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 采购活动终止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出现下列情形之一的，本次采购活动将被终止：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25.3.1 因情况变化，不再符合竞争性磋商采购方式适用情形。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25.3.2 出现影响采购公正的违法、违规行为。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25.3.3 在苏采云系统规定时间内成功解密电子响应文件的供应商不足3家。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25.3.4 除本磋商文件第二章第25.1.2条第三款规定的情形外，磋商过程中符合要求的供应商或者提交最后报价且未超过采购预算（最高限价）的供应商不足3家。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法律法规规定的其他应当终止情形。</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六、</w:t>
      </w:r>
      <w:bookmarkEnd w:id="167"/>
      <w:r/>
      <w:bookmarkEnd w:id="168"/>
      <w:r/>
      <w:bookmarkEnd w:id="169"/>
      <w:r/>
      <w:bookmarkEnd w:id="170"/>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成交</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71" w:name="_Toc513029238"/>
      <w:r/>
      <w:bookmarkStart w:id="172" w:name="_Toc20823310"/>
      <w:r/>
      <w:bookmarkStart w:id="173" w:name="_Toc16938554"/>
      <w:r>
        <w:rPr>
          <w:rFonts w:hint="eastAsia" w:ascii="仿宋" w:hAnsi="仿宋" w:eastAsia="仿宋" w:cs="仿宋"/>
          <w:color w:val="000000" w:themeColor="text1"/>
          <w:sz w:val="28"/>
          <w:szCs w:val="28"/>
          <w:highlight w:val="none"/>
          <w14:textFill>
            <w14:solidFill>
              <w14:schemeClr w14:val="tx1"/>
            </w14:solidFill>
          </w14:textFill>
        </w:rPr>
        <w:t xml:space="preserve">2</w:t>
      </w:r>
      <w:bookmarkEnd w:id="171"/>
      <w:r>
        <w:rPr>
          <w:rFonts w:hint="eastAsia" w:ascii="仿宋" w:hAnsi="仿宋" w:eastAsia="仿宋" w:cs="仿宋"/>
          <w:color w:val="000000" w:themeColor="text1"/>
          <w:sz w:val="28"/>
          <w:szCs w:val="28"/>
          <w:highlight w:val="none"/>
          <w14:textFill>
            <w14:solidFill>
              <w14:schemeClr w14:val="tx1"/>
            </w14:solidFill>
          </w14:textFill>
        </w:rPr>
        <w:t xml:space="preserve">6.确定</w:t>
      </w:r>
      <w:bookmarkEnd w:id="172"/>
      <w:r/>
      <w:bookmarkEnd w:id="173"/>
      <w:r>
        <w:rPr>
          <w:rFonts w:hint="eastAsia" w:ascii="仿宋" w:hAnsi="仿宋" w:eastAsia="仿宋" w:cs="仿宋"/>
          <w:color w:val="000000" w:themeColor="text1"/>
          <w:sz w:val="28"/>
          <w:szCs w:val="28"/>
          <w:highlight w:val="none"/>
          <w14:textFill>
            <w14:solidFill>
              <w14:schemeClr w14:val="tx1"/>
            </w14:solidFill>
          </w14:textFill>
        </w:rPr>
        <w:t xml:space="preserve">成交单位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26.1 成交候选供应商的确定原则和数量</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在综合比较与评价后按照得分由高到低顺序对投标人进行排列。得分相同的，按报价由低到高顺序排列。得分且报价相同的，按服务标准优劣顺序排列。评标委员会根据排名确定1-3名中标候选人。</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按以下第（</w:t>
      </w:r>
      <w:r>
        <w:rPr>
          <w:rFonts w:hint="eastAsia" w:ascii="仿宋" w:hAnsi="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直接确定排名第一的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为</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（2）采购人在</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按第二种方式确定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中按顺序确定</w:t>
      </w:r>
      <w:r>
        <w:rPr>
          <w:rFonts w:hint="eastAsia" w:ascii="仿宋" w:hAnsi="仿宋" w:eastAsia="仿宋" w:cs="仿宋"/>
          <w:color w:val="000000" w:themeColor="text1"/>
          <w:sz w:val="28"/>
          <w:szCs w:val="28"/>
          <w:highlight w:val="none"/>
          <w14:textFill>
            <w14:solidFill>
              <w14:schemeClr w14:val="tx1"/>
            </w14:solidFill>
          </w14:textFill>
        </w:rPr>
        <w:t xml:space="preserve">成交供应商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26.3 代理机构将在“江苏政府采购网”发布成交结果公告，公告期限为1个工作日。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 若有充分证据证明成交供应商有下列情况之一的，一经查实将被取消成交资格：</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26.4.1 提供虚假材料谋取成交。</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26.4.2 与评审专家、采购人、其他供应商或者代理机构工作人员恶意串通。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26.4.3 向评审专家、采购人或代理机构工作人员行贿或者提供其他不正当利益。</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26.4.4 不满足本磋商文件规定的实质性要求，但在评审过程中未被磋商小组发现。</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26.4.5 成交后无正当理由拒不与采购人签订政府采购合同或者未按照磋商文件确定的事项签订政府采购合同。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26.4.6 将合同标的转包。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bookmarkStart w:id="174" w:name="_Toc200451960"/>
      <w:r>
        <w:rPr>
          <w:rFonts w:hint="eastAsia" w:ascii="仿宋" w:hAnsi="仿宋" w:eastAsia="仿宋" w:cs="仿宋"/>
          <w:color w:val="000000" w:themeColor="text1"/>
          <w:sz w:val="28"/>
          <w:szCs w:val="28"/>
          <w:highlight w:val="none"/>
          <w14:textFill>
            <w14:solidFill>
              <w14:schemeClr w14:val="tx1"/>
            </w14:solidFill>
          </w14:textFill>
        </w:rPr>
        <w:t xml:space="preserve">27.成交通知书</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27.2 《成交通知书》将是合同的一个组成部分，对采购人和成交供应商均具有法律效力。《成交通知书》发出后，采购人改变成交结果的，或者成交供应商放弃成交项目的，应当依法承担法律责任。</w:t>
      </w:r>
      <w:r/>
    </w:p>
    <w:p>
      <w:pPr>
        <w:ind w:firstLine="562"/>
        <w:jc w:val="left"/>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七、授予合同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28.签订合同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28.l 成交供应商应当在《成交通知书》发出之日起三十日内，按照磋商文件确定的事项与采购人签订政府采购合同。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28.2 磋商文件、成交供应商的响应文件及磋商过程中有关澄清、承诺文件均作为合同附件。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不得参加采购人</w:t>
      </w:r>
      <w:r>
        <w:rPr>
          <w:rFonts w:hint="eastAsia" w:ascii="仿宋" w:hAnsi="仿宋" w:eastAsia="仿宋" w:cs="仿宋"/>
          <w:color w:val="000000" w:themeColor="text1"/>
          <w:sz w:val="28"/>
          <w:szCs w:val="28"/>
          <w:highlight w:val="none"/>
          <w14:textFill>
            <w14:solidFill>
              <w14:schemeClr w14:val="tx1"/>
            </w14:solidFill>
          </w14:textFill>
        </w:rPr>
        <w:t xml:space="preserve">重新组织的</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采购活动，</w:t>
      </w:r>
      <w:r>
        <w:rPr>
          <w:rFonts w:hint="eastAsia" w:ascii="仿宋" w:hAnsi="仿宋" w:eastAsia="仿宋" w:cs="仿宋"/>
          <w:color w:val="000000" w:themeColor="text1"/>
          <w:sz w:val="28"/>
          <w:szCs w:val="28"/>
          <w:highlight w:val="none"/>
          <w14:textFill>
            <w14:solidFill>
              <w14:schemeClr w14:val="tx1"/>
            </w14:solidFill>
          </w14:textFill>
        </w:rPr>
        <w:t xml:space="preserve">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一年内</w:t>
      </w:r>
      <w:r>
        <w:rPr>
          <w:rFonts w:hint="eastAsia" w:ascii="仿宋" w:hAnsi="仿宋" w:eastAsia="仿宋" w:cs="仿宋"/>
          <w:color w:val="000000" w:themeColor="text1"/>
          <w:sz w:val="28"/>
          <w:szCs w:val="28"/>
          <w:highlight w:val="none"/>
          <w14:textFill>
            <w14:solidFill>
              <w14:schemeClr w14:val="tx1"/>
            </w14:solidFill>
          </w14:textFill>
        </w:rPr>
        <w:t xml:space="preserve">的其他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政府采购活动。</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29.标的物的追加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八、质疑</w:t>
      </w:r>
      <w:bookmarkEnd w:id="174"/>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 xml:space="preserve">按照第3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条</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第3</w:t>
      </w:r>
      <w:r>
        <w:rPr>
          <w:rFonts w:hint="eastAsia" w:ascii="仿宋" w:hAnsi="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条</w:t>
      </w:r>
      <w:r>
        <w:rPr>
          <w:rFonts w:hint="eastAsia" w:ascii="仿宋" w:hAnsi="仿宋" w:eastAsia="仿宋" w:cs="仿宋"/>
          <w:color w:val="000000" w:themeColor="text1"/>
          <w:sz w:val="28"/>
          <w:szCs w:val="28"/>
          <w:highlight w:val="none"/>
          <w14:textFill>
            <w14:solidFill>
              <w14:schemeClr w14:val="tx1"/>
            </w14:solidFill>
          </w14:textFill>
        </w:rPr>
        <w:t xml:space="preserve">之</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规定以书面形式向代理机构或采购人提出质疑。上述应知其权益受到损害之日是指：</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对采购文件提出质疑的，为收到采购文件之日或者采购文件公告期限届满之日。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 xml:space="preserve">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供应商提出质疑应提交《质疑函》原件，且尽可能通过邮寄方式送达，代理机构和采购人不接受无运单的快件。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采购人《质疑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代理机构《质疑</w:t>
      </w:r>
      <w:r>
        <w:rPr>
          <w:rFonts w:hint="eastAsia" w:ascii="仿宋" w:hAnsi="仿宋" w:eastAsia="仿宋" w:cs="仿宋"/>
          <w:color w:val="000000" w:themeColor="text1"/>
          <w:sz w:val="28"/>
          <w:szCs w:val="28"/>
          <w:highlight w:val="none"/>
          <w14:textFill>
            <w14:solidFill>
              <w14:schemeClr w14:val="tx1"/>
            </w14:solidFill>
          </w14:textFill>
        </w:rPr>
        <w:t xml:space="preserve">函</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》接收人及联系方式见磋商文件第一章。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以下情形的质疑不予受理：</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超出政府采购法定期限的质疑。</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未参加磋商活动的供应商或在磋商活动中自身权益未受到损害的供应商所提出的质疑。</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 xml:space="preserve">其他</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不予受理情形。</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36</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九、政策功能落实</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.促进中小企业发展</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（1）在货物</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w:t>
      </w:r>
      <w:r>
        <w:rPr>
          <w:rFonts w:hint="eastAsia" w:ascii="仿宋" w:hAnsi="仿宋" w:eastAsia="仿宋" w:cs="仿宋"/>
          <w:color w:val="000000" w:themeColor="text1"/>
          <w:sz w:val="28"/>
          <w:szCs w:val="28"/>
          <w:highlight w:val="none"/>
          <w14:textFill>
            <w14:solidFill>
              <w14:schemeClr w14:val="tx1"/>
            </w14:solidFill>
          </w14:textFill>
        </w:rPr>
        <w:t xml:space="preserve">全部</w:t>
      </w:r>
      <w:r>
        <w:rPr>
          <w:rFonts w:hint="eastAsia" w:ascii="仿宋" w:hAnsi="仿宋" w:eastAsia="仿宋" w:cs="仿宋"/>
          <w:color w:val="000000" w:themeColor="text1"/>
          <w:sz w:val="28"/>
          <w:szCs w:val="28"/>
          <w:highlight w:val="none"/>
          <w:lang w:val="zh-CN"/>
          <w14:textFill>
            <w14:solidFill>
              <w14:schemeClr w14:val="tx1"/>
            </w14:solidFill>
          </w14:textFill>
        </w:rPr>
        <w:t xml:space="preserve">货物由中小企业制造；</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（2）在服务</w:t>
      </w:r>
      <w:r>
        <w:rPr>
          <w:rFonts w:hint="eastAsia" w:ascii="仿宋" w:hAnsi="仿宋" w:eastAsia="仿宋" w:cs="仿宋"/>
          <w:color w:val="000000" w:themeColor="text1"/>
          <w:sz w:val="28"/>
          <w:szCs w:val="28"/>
          <w:highlight w:val="none"/>
          <w14:textFill>
            <w14:solidFill>
              <w14:schemeClr w14:val="tx1"/>
            </w14:solidFill>
          </w14:textFill>
        </w:rPr>
        <w:t xml:space="preserve">采购</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项目中，服务由中小企业承接。</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 xml:space="preserve">支持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政策。</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 xml:space="preserve">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 xml:space="preserve">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残疾人福利单位</w:t>
      </w:r>
      <w:r>
        <w:rPr>
          <w:rFonts w:hint="eastAsia" w:ascii="仿宋" w:hAnsi="仿宋" w:eastAsia="仿宋" w:cs="仿宋"/>
          <w:color w:val="000000" w:themeColor="text1"/>
          <w:sz w:val="28"/>
          <w:szCs w:val="28"/>
          <w:highlight w:val="none"/>
          <w14:textFill>
            <w14:solidFill>
              <w14:schemeClr w14:val="tx1"/>
            </w14:solidFill>
          </w14:textFill>
        </w:rPr>
        <w:t xml:space="preserve">需</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提供《残疾人福利性单位声明函》。</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节能环保产品</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.3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 xml:space="preserve">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成交标准</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p>
    <w:p>
      <w:pPr>
        <w:ind w:firstLine="0"/>
        <w:keepLines w:val="0"/>
        <w:pageBreakBefore w:val="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0"/>
        <w:jc w:val="left"/>
        <w:keepLines w:val="0"/>
        <w:pageBreakBefore w:val="0"/>
        <w:spacing w:line="56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691"/>
        <w:ind w:left="0" w:firstLine="0"/>
        <w:jc w:val="center"/>
        <w:keepLines w:val="0"/>
        <w:pageBreakBefore w:val="0"/>
        <w:spacing w:line="560" w:lineRule="exact"/>
        <w:rPr>
          <w:rFonts w:hint="eastAsia" w:ascii="仿宋" w:hAnsi="仿宋" w:eastAsia="仿宋" w:cs="仿宋"/>
          <w:color w:val="000000" w:themeColor="text1"/>
          <w:highlight w:val="none"/>
          <w14:textFill>
            <w14:solidFill>
              <w14:schemeClr w14:val="tx1"/>
            </w14:solidFill>
          </w14:textFill>
        </w:rPr>
      </w:pPr>
      <w:r/>
      <w:bookmarkStart w:id="175" w:name="_Toc160699566"/>
      <w:r>
        <w:rPr>
          <w:rFonts w:hint="eastAsia" w:ascii="仿宋" w:hAnsi="仿宋" w:eastAsia="仿宋" w:cs="仿宋"/>
          <w:color w:val="000000" w:themeColor="text1"/>
          <w:highlight w:val="none"/>
          <w14:textFill>
            <w14:solidFill>
              <w14:schemeClr w14:val="tx1"/>
            </w14:solidFill>
          </w14:textFill>
        </w:rPr>
        <w:t xml:space="preserve">第三章  合同</w:t>
      </w:r>
      <w:bookmarkEnd w:id="60"/>
      <w:r/>
      <w:bookmarkEnd w:id="61"/>
      <w:r/>
      <w:bookmarkEnd w:id="62"/>
      <w:r/>
      <w:bookmarkEnd w:id="63"/>
      <w:r/>
      <w:bookmarkEnd w:id="64"/>
      <w:r>
        <w:rPr>
          <w:rFonts w:hint="eastAsia" w:ascii="仿宋" w:hAnsi="仿宋" w:eastAsia="仿宋" w:cs="仿宋"/>
          <w:color w:val="000000" w:themeColor="text1"/>
          <w:highlight w:val="none"/>
          <w14:textFill>
            <w14:solidFill>
              <w14:schemeClr w14:val="tx1"/>
            </w14:solidFill>
          </w14:textFill>
        </w:rPr>
        <w:t xml:space="preserve">文本</w:t>
      </w:r>
      <w:bookmarkEnd w:id="175"/>
      <w:r/>
      <w:r/>
    </w:p>
    <w:p>
      <w:pPr>
        <w:ind w:firstLine="560"/>
        <w:keepLines w:val="0"/>
        <w:keepNext w:val="0"/>
        <w:pageBreakBefore w:val="0"/>
        <w:spacing w:line="560" w:lineRule="exact"/>
        <w:widowControl w:val="off"/>
        <w:rPr>
          <w:rFonts w:hint="eastAsia" w:ascii="仿宋" w:hAnsi="仿宋" w:eastAsia="仿宋" w:cs="仿宋"/>
          <w:color w:val="000000" w:themeColor="text1"/>
          <w:highlight w:val="none"/>
          <w14:textFill>
            <w14:solidFill>
              <w14:schemeClr w14:val="tx1"/>
            </w14:solidFill>
          </w14:textFill>
        </w:rPr>
      </w:pPr>
      <w:r/>
      <w:bookmarkStart w:id="176" w:name="_Hlt16619369"/>
      <w:r/>
      <w:bookmarkEnd w:id="176"/>
      <w:r/>
      <w:bookmarkStart w:id="177" w:name="_Toc513029243"/>
      <w:r/>
      <w:bookmarkStart w:id="178" w:name="_Toc16938559"/>
      <w:r/>
      <w:bookmarkStart w:id="179" w:name="_Toc20823315"/>
      <w:r/>
      <w:bookmarkStart w:id="180" w:name="_Hlt16619350"/>
      <w:r/>
      <w:bookmarkStart w:id="181" w:name="_Toc20823346"/>
      <w:r/>
      <w:bookmarkStart w:id="182" w:name="_Toc16938590"/>
      <w:r/>
      <w:bookmarkStart w:id="183" w:name="_Toc120614244"/>
      <w:r/>
      <w:bookmarkStart w:id="184" w:name="_Toc462564139"/>
      <w:r/>
      <w:bookmarkStart w:id="185" w:name="_Toc479757211"/>
      <w:r>
        <w:rPr>
          <w:rFonts w:hint="eastAsia" w:ascii="仿宋" w:hAnsi="仿宋" w:eastAsia="仿宋" w:cs="仿宋"/>
          <w:color w:val="000000" w:themeColor="text1"/>
          <w:highlight w:val="none"/>
          <w14:textFill>
            <w14:solidFill>
              <w14:schemeClr w14:val="tx1"/>
            </w14:solidFill>
          </w14:textFill>
        </w:rPr>
        <w:t xml:space="preserve">以下为成交后</w:t>
      </w:r>
      <w:r>
        <w:rPr>
          <w:rFonts w:hint="eastAsia" w:ascii="仿宋" w:hAnsi="仿宋" w:cs="仿宋"/>
          <w:color w:val="000000" w:themeColor="text1"/>
          <w:highlight w:val="none"/>
          <w:lang w:eastAsia="zh-CN"/>
          <w14:textFill>
            <w14:solidFill>
              <w14:schemeClr w14:val="tx1"/>
            </w14:solidFill>
          </w14:textFill>
        </w:rPr>
        <w:t xml:space="preserve">签订</w:t>
      </w:r>
      <w:r>
        <w:rPr>
          <w:rFonts w:hint="eastAsia" w:ascii="仿宋" w:hAnsi="仿宋" w:eastAsia="仿宋" w:cs="仿宋"/>
          <w:color w:val="000000" w:themeColor="text1"/>
          <w:highlight w:val="none"/>
          <w14:textFill>
            <w14:solidFill>
              <w14:schemeClr w14:val="tx1"/>
            </w14:solidFill>
          </w14:textFill>
        </w:rPr>
        <w:t xml:space="preserve">本项目合同的通用条款，供应商不得提出实质性的修改。</w:t>
      </w:r>
      <w:bookmarkEnd w:id="177"/>
      <w:bookmarkEnd w:id="178"/>
      <w:bookmarkEnd w:id="179"/>
      <w:r/>
    </w:p>
    <w:p>
      <w:pPr>
        <w:ind w:firstLine="643"/>
        <w:jc w:val="center"/>
        <w:spacing w:line="560" w:lineRule="exact"/>
        <w:rPr>
          <w:rFonts w:ascii="仿宋" w:hAnsi="仿宋" w:cs="仿宋"/>
          <w:b/>
          <w:bCs/>
          <w:color w:val="000000" w:themeColor="text1"/>
          <w:sz w:val="32"/>
          <w:highlight w:val="none"/>
          <w14:textFill>
            <w14:solidFill>
              <w14:schemeClr w14:val="tx1"/>
            </w14:solidFill>
          </w14:textFill>
        </w:rPr>
      </w:pPr>
      <w:r/>
      <w:bookmarkStart w:id="186" w:name="_Toc160699567"/>
      <w:r>
        <w:rPr>
          <w:rFonts w:hint="eastAsia" w:ascii="仿宋" w:hAnsi="仿宋" w:cs="仿宋"/>
          <w:b/>
          <w:bCs/>
          <w:color w:val="000000" w:themeColor="text1"/>
          <w:sz w:val="32"/>
          <w:highlight w:val="none"/>
          <w14:textFill>
            <w14:solidFill>
              <w14:schemeClr w14:val="tx1"/>
            </w14:solidFill>
          </w14:textFill>
        </w:rPr>
        <w:t xml:space="preserve">南京市政府采购合同（服务）</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项目名称：                                       项目编号：</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甲方：（买方）_________</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乙方：（卖方）_________</w:t>
      </w:r>
      <w:r/>
    </w:p>
    <w:p>
      <w:pPr>
        <w:ind w:firstLine="562"/>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b/>
          <w:color w:val="000000" w:themeColor="text1"/>
          <w:szCs w:val="24"/>
          <w:highlight w:val="none"/>
          <w14:textFill>
            <w14:solidFill>
              <w14:schemeClr w14:val="tx1"/>
            </w14:solidFill>
          </w14:textFill>
        </w:rPr>
        <w:t xml:space="preserve">   </w:t>
      </w:r>
      <w:r>
        <w:rPr>
          <w:rFonts w:hint="eastAsia" w:ascii="仿宋" w:hAnsi="仿宋" w:cs="仿宋"/>
          <w:color w:val="000000" w:themeColor="text1"/>
          <w:highlight w:val="none"/>
          <w14:textFill>
            <w14:solidFill>
              <w14:schemeClr w14:val="tx1"/>
            </w14:solidFill>
          </w14:textFill>
        </w:rPr>
        <w:t xml:space="preserve"> 甲、乙双方根据</w:t>
      </w:r>
      <w:r>
        <w:rPr>
          <w:rFonts w:hint="eastAsia" w:ascii="仿宋" w:hAnsi="仿宋" w:cs="仿宋"/>
          <w:color w:val="000000" w:themeColor="text1"/>
          <w:highlight w:val="none"/>
          <w:lang w:eastAsia="zh-CN"/>
          <w14:textFill>
            <w14:solidFill>
              <w14:schemeClr w14:val="tx1"/>
            </w14:solidFill>
          </w14:textFill>
        </w:rPr>
        <w:t xml:space="preserve">南京通建项目管理咨询有限公司</w:t>
      </w:r>
      <w:r>
        <w:rPr>
          <w:rFonts w:hint="eastAsia" w:ascii="仿宋" w:hAnsi="仿宋" w:cs="仿宋"/>
          <w:color w:val="000000" w:themeColor="text1"/>
          <w:highlight w:val="none"/>
          <w:u w:val="single"/>
          <w14:textFill>
            <w14:solidFill>
              <w14:schemeClr w14:val="tx1"/>
            </w14:solidFill>
          </w14:textFill>
        </w:rPr>
        <w:t xml:space="preserve">智慧建邺基础支撑平台运维服务项目</w:t>
      </w:r>
      <w:r>
        <w:rPr>
          <w:rFonts w:hint="eastAsia" w:ascii="仿宋" w:hAnsi="仿宋" w:cs="仿宋"/>
          <w:color w:val="000000" w:themeColor="text1"/>
          <w:highlight w:val="none"/>
          <w14:textFill>
            <w14:solidFill>
              <w14:schemeClr w14:val="tx1"/>
            </w14:solidFill>
          </w14:textFill>
        </w:rPr>
        <w:t xml:space="preserve">项目竞争性磋商的结果，签署本合同。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一、合同内容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 标的名称：</w:t>
      </w:r>
      <w:r>
        <w:rPr>
          <w:rFonts w:hint="eastAsia" w:ascii="仿宋" w:hAnsi="仿宋" w:eastAsia="仿宋" w:cs="仿宋"/>
          <w:color w:val="000000" w:themeColor="text1"/>
          <w:highlight w:val="none"/>
          <w14:textFill>
            <w14:solidFill>
              <w14:schemeClr w14:val="tx1"/>
            </w14:solidFill>
          </w14:textFill>
        </w:rPr>
        <w:t xml:space="preserve">智慧建邺基础支撑平台运维服务项目</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 标的质量：按招标文件及投标文件执行。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1.3 标的数量（规模）：按招标文件及投标文件执行。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 履行时间（期限）：按招标文件及投标文件执行。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1.5 履行地点：采购人指定地点。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1.6 履行方式：按招标文件及投标文件执行。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二、合同金额</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2.1 本合同金额为（大写）：____________________（_______________元）人民币。</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三、技术资料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3.1 乙方应按采购文件规定的时间向甲方提供服务（包含与服务相关的货物）的有关技术资料。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四、知识产权</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五、产权担保</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5.1 乙方保证所交付的服务（包含与服务相关的货物）的所有权完全属于乙方且无任何抵押、查封等产权瑕疵。</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六、履约保证金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6.1 本项目乙方无需缴纳履约保证金。</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七、合同转包或分包</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7.1 乙方不得将合同标的转包给他人履行。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7.2 乙方不得将合同标的分包给他人履行。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7.3 乙方如有转包或未经甲方同意的分包行为，甲方有权解除合同。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八、合同款项支付</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8.1 合同款项的支付方式及进度安排</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8.1.1 </w:t>
      </w:r>
      <w:r>
        <w:rPr>
          <w:rFonts w:hint="eastAsia" w:ascii="仿宋" w:hAnsi="仿宋" w:cs="仿宋"/>
          <w:color w:val="000000" w:themeColor="text1"/>
          <w:highlight w:val="none"/>
          <w14:textFill>
            <w14:solidFill>
              <w14:schemeClr w14:val="tx1"/>
            </w14:solidFill>
          </w14:textFill>
        </w:rPr>
        <w:t xml:space="preserve">第一笔款：合同签订后10个工作日内，</w:t>
      </w:r>
      <w:r>
        <w:rPr>
          <w:rFonts w:hint="eastAsia" w:ascii="仿宋" w:hAnsi="仿宋" w:cs="仿宋"/>
          <w:color w:val="000000" w:themeColor="text1"/>
          <w:highlight w:val="none"/>
          <w:lang w:val="en-US" w:eastAsia="zh-CN"/>
          <w14:textFill>
            <w14:solidFill>
              <w14:schemeClr w14:val="tx1"/>
            </w14:solidFill>
          </w14:textFill>
        </w:rPr>
        <w:t xml:space="preserve">甲方</w:t>
      </w:r>
      <w:r>
        <w:rPr>
          <w:rFonts w:hint="eastAsia" w:ascii="仿宋" w:hAnsi="仿宋" w:cs="仿宋"/>
          <w:color w:val="000000" w:themeColor="text1"/>
          <w:highlight w:val="none"/>
          <w14:textFill>
            <w14:solidFill>
              <w14:schemeClr w14:val="tx1"/>
            </w14:solidFill>
          </w14:textFill>
        </w:rPr>
        <w:t xml:space="preserve">向</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支付合同总价的</w:t>
      </w:r>
      <w:r>
        <w:rPr>
          <w:rFonts w:hint="eastAsia" w:ascii="仿宋" w:hAnsi="仿宋" w:cs="仿宋"/>
          <w:color w:val="000000" w:themeColor="text1"/>
          <w:highlight w:val="none"/>
          <w:lang w:val="en-US" w:eastAsia="zh-CN"/>
          <w14:textFill>
            <w14:solidFill>
              <w14:schemeClr w14:val="tx1"/>
            </w14:solidFill>
          </w14:textFill>
        </w:rPr>
        <w:t xml:space="preserve">40</w:t>
      </w:r>
      <w:r>
        <w:rPr>
          <w:rFonts w:hint="eastAsia" w:ascii="仿宋" w:hAnsi="仿宋" w:cs="仿宋"/>
          <w:color w:val="000000" w:themeColor="text1"/>
          <w:highlight w:val="none"/>
          <w14:textFill>
            <w14:solidFill>
              <w14:schemeClr w14:val="tx1"/>
            </w14:solidFill>
          </w14:textFill>
        </w:rPr>
        <w:t xml:space="preserve">%。</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8.1.2 </w:t>
      </w:r>
      <w:r>
        <w:rPr>
          <w:rFonts w:hint="eastAsia" w:ascii="仿宋" w:hAnsi="仿宋" w:cs="仿宋"/>
          <w:color w:val="000000" w:themeColor="text1"/>
          <w:highlight w:val="none"/>
          <w14:textFill>
            <w14:solidFill>
              <w14:schemeClr w14:val="tx1"/>
            </w14:solidFill>
          </w14:textFill>
        </w:rPr>
        <w:t xml:space="preserve">第二笔款：服务期满后一次性支付剩余合同价款（即服务质量考评款），具体要求如下：</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服务开始后，每月进行服务考核，根据考核结果计算每月的服务质量考评款（每月服务质量考评款最高为合同总价的 5%）。考评条件如下：</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（1）每月考核总得分小于 80，扣除 100％的每月服务质量考评款；</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（2）80≤每月考核总得分&lt;90，扣除 50％的每月服务质量考评款；</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（3）每月考核总得分≥90，支付每月全部的服务质量考评款；</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（4）服务期内，</w:t>
      </w:r>
      <w:r>
        <w:rPr>
          <w:rFonts w:hint="eastAsia" w:ascii="仿宋" w:hAnsi="仿宋" w:cs="仿宋"/>
          <w:color w:val="000000" w:themeColor="text1"/>
          <w:highlight w:val="none"/>
          <w:lang w:val="en-US" w:eastAsia="zh-CN"/>
          <w14:textFill>
            <w14:solidFill>
              <w14:schemeClr w14:val="tx1"/>
            </w14:solidFill>
          </w14:textFill>
        </w:rPr>
        <w:t xml:space="preserve">甲方</w:t>
      </w:r>
      <w:r>
        <w:rPr>
          <w:rFonts w:hint="eastAsia" w:ascii="仿宋" w:hAnsi="仿宋" w:cs="仿宋"/>
          <w:color w:val="000000" w:themeColor="text1"/>
          <w:highlight w:val="none"/>
          <w14:textFill>
            <w14:solidFill>
              <w14:schemeClr w14:val="tx1"/>
            </w14:solidFill>
          </w14:textFill>
        </w:rPr>
        <w:t xml:space="preserve">委托的第三方测评机构有权在服务期内进行合规检查或抽查。若检查发现不满足网络安全等级保护三级要求，</w:t>
      </w:r>
      <w:r>
        <w:rPr>
          <w:rFonts w:hint="eastAsia" w:ascii="仿宋" w:hAnsi="仿宋" w:cs="仿宋"/>
          <w:color w:val="000000" w:themeColor="text1"/>
          <w:highlight w:val="none"/>
          <w:lang w:val="en-US" w:eastAsia="zh-CN"/>
          <w14:textFill>
            <w14:solidFill>
              <w14:schemeClr w14:val="tx1"/>
            </w14:solidFill>
          </w14:textFill>
        </w:rPr>
        <w:t xml:space="preserve">甲方</w:t>
      </w:r>
      <w:r>
        <w:rPr>
          <w:rFonts w:hint="eastAsia" w:ascii="仿宋" w:hAnsi="仿宋" w:cs="仿宋"/>
          <w:color w:val="000000" w:themeColor="text1"/>
          <w:highlight w:val="none"/>
          <w14:textFill>
            <w14:solidFill>
              <w14:schemeClr w14:val="tx1"/>
            </w14:solidFill>
          </w14:textFill>
        </w:rPr>
        <w:t xml:space="preserve">将书面通知</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整改；</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未在整改期限内完成的，该月考核按第（1）项处理；若</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在整改期限内完成整改并通过复测，该次测评对应的考核月份服务质量考评款扣减50%。</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注：</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提供付款申请时，须一并提供以下资料：（1）</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签发,并载明付款金额的付款通知一份（全部款项）；（2）</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提供的并经</w:t>
      </w:r>
      <w:r>
        <w:rPr>
          <w:rFonts w:hint="eastAsia" w:ascii="仿宋" w:hAnsi="仿宋" w:cs="仿宋"/>
          <w:color w:val="000000" w:themeColor="text1"/>
          <w:highlight w:val="none"/>
          <w:lang w:val="en-US" w:eastAsia="zh-CN"/>
          <w14:textFill>
            <w14:solidFill>
              <w14:schemeClr w14:val="tx1"/>
            </w14:solidFill>
          </w14:textFill>
        </w:rPr>
        <w:t xml:space="preserve">甲方</w:t>
      </w:r>
      <w:r>
        <w:rPr>
          <w:rFonts w:hint="eastAsia" w:ascii="仿宋" w:hAnsi="仿宋" w:cs="仿宋"/>
          <w:color w:val="000000" w:themeColor="text1"/>
          <w:highlight w:val="none"/>
          <w14:textFill>
            <w14:solidFill>
              <w14:schemeClr w14:val="tx1"/>
            </w14:solidFill>
          </w14:textFill>
        </w:rPr>
        <w:t xml:space="preserve">书面确认的技术服务单（即书面服务总结报告及考核得分）（第二笔款）；（3）</w:t>
      </w:r>
      <w:r>
        <w:rPr>
          <w:rFonts w:hint="eastAsia" w:ascii="仿宋" w:hAnsi="仿宋" w:cs="仿宋"/>
          <w:color w:val="000000" w:themeColor="text1"/>
          <w:highlight w:val="none"/>
          <w:lang w:val="en-US" w:eastAsia="zh-CN"/>
          <w14:textFill>
            <w14:solidFill>
              <w14:schemeClr w14:val="tx1"/>
            </w14:solidFill>
          </w14:textFill>
        </w:rPr>
        <w:t xml:space="preserve">乙方</w:t>
      </w:r>
      <w:r>
        <w:rPr>
          <w:rFonts w:hint="eastAsia" w:ascii="仿宋" w:hAnsi="仿宋" w:cs="仿宋"/>
          <w:color w:val="000000" w:themeColor="text1"/>
          <w:highlight w:val="none"/>
          <w14:textFill>
            <w14:solidFill>
              <w14:schemeClr w14:val="tx1"/>
            </w14:solidFill>
          </w14:textFill>
        </w:rPr>
        <w:t xml:space="preserve">开具给</w:t>
      </w:r>
      <w:r>
        <w:rPr>
          <w:rFonts w:hint="eastAsia" w:ascii="仿宋" w:hAnsi="仿宋" w:cs="仿宋"/>
          <w:color w:val="000000" w:themeColor="text1"/>
          <w:highlight w:val="none"/>
          <w:lang w:val="en-US" w:eastAsia="zh-CN"/>
          <w14:textFill>
            <w14:solidFill>
              <w14:schemeClr w14:val="tx1"/>
            </w14:solidFill>
          </w14:textFill>
        </w:rPr>
        <w:t xml:space="preserve">甲方</w:t>
      </w:r>
      <w:r>
        <w:rPr>
          <w:rFonts w:hint="eastAsia" w:ascii="仿宋" w:hAnsi="仿宋" w:cs="仿宋"/>
          <w:color w:val="000000" w:themeColor="text1"/>
          <w:highlight w:val="none"/>
          <w14:textFill>
            <w14:solidFill>
              <w14:schemeClr w14:val="tx1"/>
            </w14:solidFill>
          </w14:textFill>
        </w:rPr>
        <w:t xml:space="preserve">支付金额的正式增值税专用发票（全部款项）。</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九、税费</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9.1 本合同执行中相关的一切税费均由乙方负担。</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十、项目验收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10.1 甲方依法组织履约验收工作。</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10.3 对于实际使用人和甲方分离的项目，甲方邀请实际使用人参与验收。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十一、违约责任</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11.1 甲方无正当理由拒绝接受乙方提供服务的，甲方向乙方偿付拒绝接受服务合同价款总值    的违约金。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11.2 甲方无故逾期验收和办理合同款项支付手续的，甲方应按逾期付款总额    每日向乙方支付违约金。</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11.4 乙方所提供服务的标准不符合合同规定及招标文件规定标准的，甲方有权拒绝接受服务，并可单方面解除合同。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十二、不可抗力事件处理</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12.2 不可抗力事件发生后，应立即通知对方，并寄送有关权威机构出具的证明。</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12.3 不可抗力事件延续120天以上，双方应通过友好协商，确定是否继续履行合同。</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十三、解决争议的方法</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13.1 双方在签订、履行合同中所发生的一切争议，应通过友好协商解决。如协商不成，由甲方住所地人民法院管辖。</w:t>
      </w:r>
      <w:r/>
    </w:p>
    <w:p>
      <w:pPr>
        <w:ind w:firstLine="562"/>
        <w:spacing w:line="560" w:lineRule="exact"/>
        <w:rPr>
          <w:rFonts w:ascii="仿宋" w:hAnsi="仿宋" w:cs="仿宋"/>
          <w:b/>
          <w:bCs/>
          <w:color w:val="000000" w:themeColor="text1"/>
          <w:highlight w:val="none"/>
          <w14:textFill>
            <w14:solidFill>
              <w14:schemeClr w14:val="tx1"/>
            </w14:solidFill>
          </w14:textFill>
        </w:rPr>
      </w:pPr>
      <w:r>
        <w:rPr>
          <w:rFonts w:hint="eastAsia" w:ascii="仿宋" w:hAnsi="仿宋" w:cs="仿宋"/>
          <w:b/>
          <w:bCs/>
          <w:color w:val="000000" w:themeColor="text1"/>
          <w:highlight w:val="none"/>
          <w14:textFill>
            <w14:solidFill>
              <w14:schemeClr w14:val="tx1"/>
            </w14:solidFill>
          </w14:textFill>
        </w:rPr>
        <w:t xml:space="preserve">十四、合同生效及其它</w:t>
      </w:r>
      <w:r/>
    </w:p>
    <w:p>
      <w:pPr>
        <w:ind w:firstLine="560"/>
        <w:spacing w:line="560" w:lineRule="exact"/>
        <w:rPr>
          <w:rFonts w:hint="eastAsia" w:ascii="仿宋" w:hAnsi="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14.1 如果发生因乙方安全措施不力造成的事故责任，或者其他工作失误，由此所产生的一切责任由乙方承担。</w:t>
      </w:r>
      <w:r/>
    </w:p>
    <w:p>
      <w:pPr>
        <w:ind w:firstLine="560"/>
        <w:spacing w:line="560" w:lineRule="exact"/>
        <w:rPr>
          <w:rFonts w:hint="eastAsia"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14.2 如因乙方投入人员过少原因，造成无法在承诺工期内完成服务，由此产生的一切责任由乙方承担。</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cs="仿宋"/>
          <w:color w:val="000000" w:themeColor="text1"/>
          <w:highlight w:val="none"/>
          <w14:textFill>
            <w14:solidFill>
              <w14:schemeClr w14:val="tx1"/>
            </w14:solidFill>
          </w14:textFill>
        </w:rPr>
        <w:t xml:space="preserve"> 合同经双方法定代表人或授权委托代表人签字并加盖单位公章后生效。</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w:t>
      </w:r>
      <w:r>
        <w:rPr>
          <w:rFonts w:hint="eastAsia" w:ascii="仿宋" w:hAnsi="仿宋" w:cs="仿宋"/>
          <w:color w:val="000000" w:themeColor="text1"/>
          <w:highlight w:val="none"/>
          <w:lang w:val="en-US" w:eastAsia="zh-CN"/>
          <w14:textFill>
            <w14:solidFill>
              <w14:schemeClr w14:val="tx1"/>
            </w14:solidFill>
          </w14:textFill>
        </w:rPr>
        <w:t xml:space="preserve">4</w:t>
      </w:r>
      <w:r>
        <w:rPr>
          <w:rFonts w:hint="eastAsia" w:ascii="仿宋" w:hAnsi="仿宋" w:cs="仿宋"/>
          <w:color w:val="000000" w:themeColor="text1"/>
          <w:highlight w:val="none"/>
          <w14:textFill>
            <w14:solidFill>
              <w14:schemeClr w14:val="tx1"/>
            </w14:solidFill>
          </w14:textFill>
        </w:rPr>
        <w:t xml:space="preserve"> 本合同未尽事宜，遵照《中华人民共和国民法典》、《中华人民共和国政府采购法》有关条文执行。</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14.</w:t>
      </w:r>
      <w:r>
        <w:rPr>
          <w:rFonts w:hint="eastAsia" w:ascii="仿宋" w:hAnsi="仿宋" w:cs="仿宋"/>
          <w:color w:val="000000" w:themeColor="text1"/>
          <w:highlight w:val="none"/>
          <w:lang w:val="en-US" w:eastAsia="zh-CN"/>
          <w14:textFill>
            <w14:solidFill>
              <w14:schemeClr w14:val="tx1"/>
            </w14:solidFill>
          </w14:textFill>
        </w:rPr>
        <w:t xml:space="preserve">5</w:t>
      </w:r>
      <w:r>
        <w:rPr>
          <w:rFonts w:hint="eastAsia" w:ascii="仿宋" w:hAnsi="仿宋" w:cs="仿宋"/>
          <w:color w:val="000000" w:themeColor="text1"/>
          <w:highlight w:val="none"/>
          <w14:textFill>
            <w14:solidFill>
              <w14:schemeClr w14:val="tx1"/>
            </w14:solidFill>
          </w14:textFill>
        </w:rPr>
        <w:t xml:space="preserve"> 本合同正本一式两份，具有同等法律效力，甲方、乙方各执一份。</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甲方：                        乙方：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地址：                        地址：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法定代表人或授权代表：        法定代表人或授权代表：</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联系电话：                    联系电话：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签订日期：      年    月   日</w:t>
      </w:r>
      <w:r/>
    </w:p>
    <w:p>
      <w:pPr>
        <w:ind w:firstLine="0"/>
        <w:jc w:val="left"/>
        <w:spacing w:line="560" w:lineRule="exact"/>
        <w:widowControl/>
        <w:rPr>
          <w:rFonts w:ascii="仿宋" w:hAnsi="仿宋" w:cs="仿宋"/>
          <w:b/>
          <w:bCs/>
          <w:color w:val="000000" w:themeColor="text1"/>
          <w:sz w:val="32"/>
          <w:highlight w:val="none"/>
          <w14:textFill>
            <w14:solidFill>
              <w14:schemeClr w14:val="tx1"/>
            </w14:solidFill>
          </w14:textFill>
        </w:rPr>
      </w:pPr>
      <w:r>
        <w:rPr>
          <w:rFonts w:hint="eastAsia" w:ascii="仿宋" w:hAnsi="仿宋" w:cs="仿宋"/>
          <w:b/>
          <w:bCs/>
          <w:color w:val="000000" w:themeColor="text1"/>
          <w:sz w:val="32"/>
          <w:highlight w:val="none"/>
          <w14:textFill>
            <w14:solidFill>
              <w14:schemeClr w14:val="tx1"/>
            </w14:solidFill>
          </w14:textFill>
        </w:rPr>
        <w:br w:type="page" w:clear="all"/>
      </w:r>
      <w:r/>
    </w:p>
    <w:p>
      <w:pPr>
        <w:ind w:firstLine="643"/>
        <w:jc w:val="center"/>
        <w:spacing w:line="560" w:lineRule="exact"/>
        <w:rPr>
          <w:rFonts w:ascii="仿宋" w:hAnsi="仿宋" w:cs="仿宋"/>
          <w:b/>
          <w:bCs/>
          <w:color w:val="000000" w:themeColor="text1"/>
          <w:sz w:val="32"/>
          <w:highlight w:val="none"/>
          <w14:textFill>
            <w14:solidFill>
              <w14:schemeClr w14:val="tx1"/>
            </w14:solidFill>
          </w14:textFill>
        </w:rPr>
      </w:pPr>
      <w:r>
        <w:rPr>
          <w:rFonts w:hint="eastAsia" w:ascii="仿宋" w:hAnsi="仿宋" w:cs="仿宋"/>
          <w:b/>
          <w:bCs/>
          <w:color w:val="000000" w:themeColor="text1"/>
          <w:sz w:val="32"/>
          <w:highlight w:val="none"/>
          <w14:textFill>
            <w14:solidFill>
              <w14:schemeClr w14:val="tx1"/>
            </w14:solidFill>
          </w14:textFill>
        </w:rPr>
        <w:t xml:space="preserve">《*******合同》补充协议（合同附件）</w:t>
      </w:r>
      <w:r/>
    </w:p>
    <w:p>
      <w:pPr>
        <w:ind w:firstLine="560"/>
        <w:spacing w:line="560" w:lineRule="exact"/>
        <w:rPr>
          <w:rFonts w:ascii="仿宋" w:hAnsi="仿宋" w:cs="仿宋"/>
          <w:color w:val="000000" w:themeColor="text1"/>
          <w:highlight w:val="none"/>
          <w14:textFill>
            <w14:solidFill>
              <w14:schemeClr w14:val="tx1"/>
            </w14:solidFill>
          </w14:textFill>
        </w:rPr>
      </w:pPr>
      <w:r>
        <w:rPr>
          <w:rFonts w:hint="eastAsia" w:ascii="仿宋" w:hAnsi="仿宋" w:cs="仿宋"/>
          <w:color w:val="000000" w:themeColor="text1"/>
          <w:highlight w:val="none"/>
          <w14:textFill>
            <w14:solidFill>
              <w14:schemeClr w14:val="tx1"/>
            </w14:solidFill>
          </w14:textFill>
        </w:rPr>
        <w:t xml:space="preserve">    如遇采购文件及合同未约定事项，双方可友好协商签订补充协议。</w:t>
      </w:r>
      <w:r/>
    </w:p>
    <w:p>
      <w:pPr>
        <w:ind w:left="0" w:firstLine="0"/>
        <w:jc w:val="center"/>
        <w:keepNext/>
        <w:rPr>
          <w:rFonts w:hint="eastAsia" w:ascii="仿宋" w:hAnsi="仿宋" w:eastAsia="仿宋" w:cs="仿宋"/>
          <w:color w:val="000000" w:themeColor="text1"/>
          <w:sz w:val="44"/>
          <w:szCs w:val="44"/>
          <w:highlight w:val="none"/>
          <w14:textFill>
            <w14:solidFill>
              <w14:schemeClr w14:val="tx1"/>
            </w14:solidFill>
          </w14:textFill>
        </w:rPr>
        <w:outlineLvl w:val="0"/>
      </w:pPr>
      <w:r>
        <w:rPr>
          <w:rFonts w:hint="eastAsia" w:ascii="仿宋" w:hAnsi="仿宋" w:cs="仿宋"/>
          <w:color w:val="000000" w:themeColor="text1"/>
          <w:sz w:val="24"/>
          <w:szCs w:val="24"/>
          <w:highlight w:val="none"/>
          <w14:textFill>
            <w14:solidFill>
              <w14:schemeClr w14:val="tx1"/>
            </w14:solidFill>
          </w14:textFill>
        </w:rPr>
        <w:br w:type="page" w:clear="all"/>
      </w:r>
      <w:r>
        <w:rPr>
          <w:rStyle w:val="900"/>
          <w:rFonts w:hint="eastAsia" w:ascii="仿宋" w:hAnsi="仿宋" w:eastAsia="仿宋" w:cs="仿宋"/>
          <w:color w:val="000000" w:themeColor="text1"/>
          <w:highlight w:val="none"/>
          <w14:textFill>
            <w14:solidFill>
              <w14:schemeClr w14:val="tx1"/>
            </w14:solidFill>
          </w14:textFill>
        </w:rPr>
        <w:t xml:space="preserve">第</w:t>
      </w:r>
      <w:bookmarkEnd w:id="180"/>
      <w:r>
        <w:rPr>
          <w:rStyle w:val="900"/>
          <w:rFonts w:hint="eastAsia" w:ascii="仿宋" w:hAnsi="仿宋" w:eastAsia="仿宋" w:cs="仿宋"/>
          <w:color w:val="000000" w:themeColor="text1"/>
          <w:highlight w:val="none"/>
          <w14:textFill>
            <w14:solidFill>
              <w14:schemeClr w14:val="tx1"/>
            </w14:solidFill>
          </w14:textFill>
        </w:rPr>
        <w:t xml:space="preserve">四章 </w:t>
      </w:r>
      <w:r>
        <w:rPr>
          <w:rStyle w:val="900"/>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900"/>
          <w:rFonts w:hint="eastAsia" w:ascii="仿宋" w:hAnsi="仿宋" w:eastAsia="仿宋" w:cs="仿宋"/>
          <w:color w:val="000000" w:themeColor="text1"/>
          <w:highlight w:val="none"/>
          <w14:textFill>
            <w14:solidFill>
              <w14:schemeClr w14:val="tx1"/>
            </w14:solidFill>
          </w14:textFill>
        </w:rPr>
        <w:t xml:space="preserve">采购需求</w:t>
      </w:r>
      <w:bookmarkEnd w:id="181"/>
      <w:r/>
      <w:bookmarkEnd w:id="182"/>
      <w:r/>
      <w:bookmarkEnd w:id="183"/>
      <w:r/>
      <w:bookmarkEnd w:id="186"/>
      <w:r/>
      <w:bookmarkStart w:id="187" w:name="_Toc49090575"/>
      <w:r/>
      <w:bookmarkStart w:id="188" w:name="_Toc26554093"/>
      <w:r/>
      <w:r/>
    </w:p>
    <w:p>
      <w:pPr>
        <w:ind w:firstLine="562"/>
        <w:spacing w:line="560" w:lineRule="exact"/>
        <w:rPr>
          <w:rFonts w:hint="eastAsia" w:ascii="仿宋" w:hAnsi="仿宋" w:cs="仿宋"/>
          <w:b/>
          <w:bCs/>
          <w:color w:val="000000" w:themeColor="text1"/>
          <w:szCs w:val="28"/>
          <w:highlight w:val="none"/>
          <w:lang w:val="en-US" w:eastAsia="zh-CN"/>
          <w14:textFill>
            <w14:solidFill>
              <w14:schemeClr w14:val="tx1"/>
            </w14:solidFill>
          </w14:textFill>
        </w:rPr>
        <w:outlineLvl w:val="1"/>
      </w:pPr>
      <w:r/>
      <w:bookmarkStart w:id="189" w:name="_Toc160699568"/>
      <w:r/>
      <w:bookmarkStart w:id="190" w:name="_Toc120614281"/>
      <w:r>
        <w:rPr>
          <w:rFonts w:hint="eastAsia" w:ascii="仿宋" w:hAnsi="仿宋" w:cs="仿宋"/>
          <w:b/>
          <w:bCs/>
          <w:color w:val="000000" w:themeColor="text1"/>
          <w:szCs w:val="28"/>
          <w:highlight w:val="none"/>
          <w:lang w:val="en-US" w:eastAsia="zh-CN"/>
          <w14:textFill>
            <w14:solidFill>
              <w14:schemeClr w14:val="tx1"/>
            </w14:solidFill>
          </w14:textFill>
        </w:rPr>
        <w:t xml:space="preserve">一、项目属性：服务类项目。</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★二</w:t>
      </w:r>
      <w:r>
        <w:rPr>
          <w:rFonts w:hint="eastAsia" w:ascii="仿宋" w:hAnsi="仿宋" w:cs="仿宋"/>
          <w:b/>
          <w:bCs/>
          <w:color w:val="000000" w:themeColor="text1"/>
          <w:szCs w:val="28"/>
          <w:highlight w:val="none"/>
          <w:lang w:eastAsia="zh-CN"/>
          <w14:textFill>
            <w14:solidFill>
              <w14:schemeClr w14:val="tx1"/>
            </w14:solidFill>
          </w14:textFill>
        </w:rPr>
        <w:t xml:space="preserve">、</w:t>
      </w:r>
      <w:r>
        <w:rPr>
          <w:rFonts w:hint="eastAsia" w:ascii="仿宋" w:hAnsi="仿宋" w:cs="仿宋"/>
          <w:b/>
          <w:bCs/>
          <w:color w:val="000000" w:themeColor="text1"/>
          <w:szCs w:val="28"/>
          <w:highlight w:val="none"/>
          <w:lang w:val="en-US" w:eastAsia="zh-CN"/>
          <w14:textFill>
            <w14:solidFill>
              <w14:schemeClr w14:val="tx1"/>
            </w14:solidFill>
          </w14:textFill>
        </w:rPr>
        <w:t xml:space="preserve">技术部分要求</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2.1项目建设遵循标准</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遵循国家、行业及地方现行的规范和标准。</w:t>
      </w:r>
      <w:r/>
    </w:p>
    <w:p>
      <w:pPr>
        <w:ind w:firstLine="562"/>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2.2硬件设备维保</w:t>
      </w:r>
      <w:r/>
    </w:p>
    <w:p>
      <w:pPr>
        <w:ind w:firstLine="562"/>
        <w:jc w:val="left"/>
        <w:spacing w:line="560" w:lineRule="exact"/>
        <w:rPr>
          <w:rFonts w:hint="default" w:ascii="仿宋" w:hAnsi="仿宋" w:cs="仿宋"/>
          <w:b/>
          <w:bCs/>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2.2.1硬件设备现状</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本单位硬件设备建设情况如下：</w:t>
      </w:r>
      <w:r/>
    </w:p>
    <w:tbl>
      <w:tblPr>
        <w:tblStyle w:val="70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857"/>
        <w:gridCol w:w="3891"/>
        <w:gridCol w:w="437"/>
        <w:gridCol w:w="437"/>
        <w:gridCol w:w="3787"/>
      </w:tblGrid>
      <w:tr>
        <w:trPr>
          <w:jc w:val="center"/>
          <w:trHeight w:val="300"/>
          <w:tblHeader/>
        </w:trPr>
        <w:tc>
          <w:tcPr>
            <w:tcW w:w="221"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序号</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名称</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服务分项/品牌规格型号</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数量</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单位</w:t>
            </w:r>
            <w:r/>
          </w:p>
        </w:tc>
        <w:tc>
          <w:tcPr>
            <w:tcW w:w="1922" w:type="pct"/>
            <w:vAlign w:val="center"/>
            <w:textDirection w:val="lrTb"/>
            <w:noWrap w:val="false"/>
          </w:tcPr>
          <w:p>
            <w:pPr>
              <w:ind w:firstLine="0"/>
              <w:jc w:val="center"/>
              <w:spacing w:after="0" w:line="240" w:lineRule="auto"/>
              <w:widowControl/>
              <w:rPr>
                <w:rFonts w:hint="default" w:ascii="仿宋" w:hAnsi="仿宋" w:eastAsia="仿宋" w:cs="仿宋"/>
                <w:b/>
                <w:bCs/>
                <w:color w:val="000000" w:themeColor="text1"/>
                <w:sz w:val="21"/>
                <w:szCs w:val="21"/>
                <w:highlight w:val="none"/>
                <w:lang w:val="en-US" w:eastAsia="zh-CN"/>
                <w14:textFill>
                  <w14:solidFill>
                    <w14:schemeClr w14:val="tx1"/>
                  </w14:solidFill>
                </w14:textFill>
              </w:rPr>
            </w:pPr>
            <w:r>
              <w:rPr>
                <w:rFonts w:hint="eastAsia" w:ascii="仿宋" w:hAnsi="仿宋" w:cs="仿宋"/>
                <w:b/>
                <w:bCs/>
                <w:color w:val="000000" w:themeColor="text1"/>
                <w:sz w:val="21"/>
                <w:szCs w:val="21"/>
                <w:highlight w:val="none"/>
                <w:lang w:val="en-US" w:eastAsia="zh-CN"/>
                <w14:textFill>
                  <w14:solidFill>
                    <w14:schemeClr w14:val="tx1"/>
                  </w14:solidFill>
                </w14:textFill>
              </w:rPr>
              <w:t xml:space="preserve">详细说明</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1</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服务器1</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浪潮 SA5212M4 机架式服务器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4</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浪潮SA5212M4机架式服务器。配置2颗Intel Xeon E5-2640 v3处理器（主频2.6GHz,每颗CPU 8核、缓存20MB），主板集成2个千兆电口。配置内存256GB，12*800G SSD硬盘，支持热插拔，硬盘采用SATA3.0接口，接口带宽6Gb/S。</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2</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服务器2</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浪潮 SA5212M4 机架式服务器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19</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浪潮SA5212M4机架式服务器。配置2颗Intel Xeon E5-2640 v3处理器（主频2.6GHz,每颗CPU 8核、缓存20MB），主板集成2个千兆电口。配置内存128GB，3*480G SSD硬盘,9*2T SATA 7.2K硬盘，支持热插拔，硬盘采用SATA3.0接口，接口带宽6Gb/S。</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3</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服务器3</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浪潮 SA5212M4 机架式服务器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19</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浪潮SA5212M4机架式服务器。配置2颗Intel Xeon E5-2640 v3处理器（主频2.6GHz,每颗CPU 8核、缓存20MB），主板集成2个千兆电口。配置内存128GB，12*4T SATA 7.2K 3.5寸硬盘，支持热插拔，硬盘采用SATA3.0接口，接口带宽6Gb/S。</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4</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服务器4</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浪潮 SA5212M4 机架式服务器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27</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浪潮SA5212M4机架式服务器。配置2颗Intel Xeon E5-2640 v3处理器（主频2.6GHz,每颗CPU 8核、缓存20MB），主板集成2个千兆电口。配置内存192GB，4*600GB 15K SAS硬盘，支持热插拔，硬盘采用SAS3.0接口，接口带宽6Gb/S。34台服务器共配置12块双口万兆网卡，含光模块</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5</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核心交换机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华为 CE12804S 交换机</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2</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华为CE12804S交换机，配置冗余电源、冗余风扇、冗余交换网板；配置48个40G接口，24个万兆光口；17个40G多模模块，1个40G堆叠线缆。</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6</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千兆接入交换机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华为 CE5855-48T4S2Q-EI 交换机</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6</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华为CE5855-48T4S2Q-EI交换机，48*千兆电,4*万兆SFP+,2*40G QSFP+,2*交流电源,端口侧出风。每台配置1根万兆堆叠线缆</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7</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万兆接入交换机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华为 CE6851-48S6Q-HI 交换机</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6</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华为CE6851-48S6Q-HI交换机，48*万兆SFP+,6*40G QSFP+,2*交流电源,端口侧出风。每台配置1根40G堆叠线缆；共配置140个万兆多模模块、10个40KM万兆单模模块、10个10KM万兆单模模块。</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8</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管理网核心交换机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华为 S5720-52X-SI 交换机</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2</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华为S5720-52X-SI，48个10/100/1000Base-T以太网端口,4个万兆SFP+,含1个150W交流电源。每台配置1根万兆堆叠线缆。</w:t>
            </w:r>
            <w:r/>
          </w:p>
        </w:tc>
      </w:tr>
      <w:tr>
        <w:trPr>
          <w:jc w:val="center"/>
          <w:trHeight w:val="280"/>
        </w:trPr>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9</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管理网千兆接入交换机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华为 S5720-52P-LI-AC 交换机</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5</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华为S5720-52P-LI-AC，48个10/100/1000Base-T以太网端口,4个千兆SFP,交流供电</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eastAsia="仿宋" w:cs="仿宋"/>
                <w:color w:val="000000" w:themeColor="text1"/>
                <w:sz w:val="20"/>
                <w:szCs w:val="20"/>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10</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云主机服务器</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 NF5280M4</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10</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E5-2680v4 (2.4GHz/14c)9.6GT/35ML3*2|32GRDIMM DDR4内存*12|2TB SATA(企业级)*9(9*2TSATA 7.2K硬盘) |480G MLC SSD 2.5 (INTELS4500)*3|INSPUR双口万兆网卡(光纤接口含2个多模模块)*1)|双电源-SA5212M4*1|导轨</w:t>
            </w:r>
            <w:r/>
          </w:p>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-SA5212M4*1主板</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INSPUR</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SHUYU</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WBG</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2W</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I350AM2 (2个千兆电</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口)+3008*1。</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eastAsia="仿宋" w:cs="仿宋"/>
                <w:color w:val="000000" w:themeColor="text1"/>
                <w:sz w:val="20"/>
                <w:szCs w:val="20"/>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11</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云数据库服务器</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 NF5280M4</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E5-2680v4(2. 4GHz/14c)9.6GT/35ML3*2 32GRDIMM DDR4内存*12|960G MLC SSD2.5 (INTELS4500)*12|八通道 SAS高性能RAID-9361(1G缓存)+缓存断电保护模块(超级电容)*1|双电源-SA5212M4*1|导轨-SA5212M4*1 主板</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INSPUR</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SHUYU</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WBG</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4W</w:t>
            </w:r>
            <w:r>
              <w:rPr>
                <w:rFonts w:hint="eastAsia" w:ascii="仿宋" w:hAnsi="仿宋" w:cs="仿宋"/>
                <w:color w:val="000000" w:themeColor="text1"/>
                <w:sz w:val="21"/>
                <w:szCs w:val="21"/>
                <w:highlight w:val="none"/>
                <w:lang w:val="en-US" w:eastAsia="zh-CN"/>
                <w14:textFill>
                  <w14:solidFill>
                    <w14:schemeClr w14:val="tx1"/>
                  </w14:solidFill>
                </w14:textFill>
              </w:rPr>
              <w:t xml:space="preserve">_</w:t>
            </w:r>
            <w:r>
              <w:rPr>
                <w:rFonts w:hint="eastAsia" w:ascii="仿宋" w:hAnsi="仿宋" w:eastAsia="仿宋" w:cs="仿宋"/>
                <w:color w:val="000000" w:themeColor="text1"/>
                <w:sz w:val="21"/>
                <w:szCs w:val="21"/>
                <w:highlight w:val="none"/>
                <w14:textFill>
                  <w14:solidFill>
                    <w14:schemeClr w14:val="tx1"/>
                  </w14:solidFill>
                </w14:textFill>
              </w:rPr>
              <w:t xml:space="preserve">I350AM2 (2个千电口) +82599ES*1</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eastAsia="仿宋" w:cs="仿宋"/>
                <w:color w:val="000000" w:themeColor="text1"/>
                <w:sz w:val="20"/>
                <w:szCs w:val="20"/>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12</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万兆交换机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锐捷 RG-S6120-48XS8CQ</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eastAsia="仿宋" w:cs="仿宋"/>
                <w:color w:val="000000" w:themeColor="text1"/>
                <w:sz w:val="20"/>
                <w:szCs w:val="20"/>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13</w:t>
            </w:r>
            <w:r/>
          </w:p>
        </w:tc>
        <w:tc>
          <w:tcPr>
            <w:tcW w:w="436"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千兆交换机</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锐捷 RG-S2652G-I</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14</w:t>
            </w:r>
            <w:r/>
          </w:p>
        </w:tc>
        <w:tc>
          <w:tcPr>
            <w:tcW w:w="436" w:type="pct"/>
            <w:vAlign w:val="center"/>
            <w:vMerge w:val="restart"/>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云服务器及网络设备服务</w:t>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w:t>
            </w:r>
            <w:r>
              <w:rPr>
                <w:rFonts w:hint="eastAsia" w:ascii="仿宋" w:hAnsi="仿宋" w:cs="仿宋"/>
                <w:color w:val="000000" w:themeColor="text1"/>
                <w:sz w:val="21"/>
                <w:szCs w:val="21"/>
                <w:highlight w:val="none"/>
                <w:lang w:val="en-US" w:eastAsia="zh-CN"/>
                <w14:textFill>
                  <w14:solidFill>
                    <w14:schemeClr w14:val="tx1"/>
                  </w14:solidFill>
                </w14:textFill>
              </w:rPr>
              <w:t xml:space="preserve"> NF5280M5服务器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15</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（1）CPU：[Intel_Xeon_Gold5218]*2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（2）内存：384GB，ECC DDR4 RDIMM频率≥2666MHz</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（3）硬盘：240G[240G_sata_ssd]*2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8000G[8T_sata_hdd]*12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1920G[1920G_nvme_ssd]*2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（4）网口：10GE*2</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15</w:t>
            </w:r>
            <w:r/>
          </w:p>
        </w:tc>
        <w:tc>
          <w:tcPr>
            <w:tcW w:w="436" w:type="pct"/>
            <w:vAlign w:val="center"/>
            <w:vMerge w:val="continue"/>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w:t>
            </w:r>
            <w:r>
              <w:rPr>
                <w:rFonts w:hint="eastAsia" w:ascii="仿宋" w:hAnsi="仿宋" w:cs="仿宋"/>
                <w:color w:val="000000" w:themeColor="text1"/>
                <w:sz w:val="21"/>
                <w:szCs w:val="21"/>
                <w:highlight w:val="none"/>
                <w:lang w:val="en-US" w:eastAsia="zh-CN"/>
                <w14:textFill>
                  <w14:solidFill>
                    <w14:schemeClr w14:val="tx1"/>
                  </w14:solidFill>
                </w14:textFill>
              </w:rPr>
              <w:t xml:space="preserve"> NF5280M5服务器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12</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（1）CPU：[Intel_Xeon_Platinum8260]*2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（2）内存：768GB，ECC DDR4 RDIMM频率≥2666MHz</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（3）硬盘：240G[240G_sata_ssd]*1</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3840G[3840G_nvme_ssd]*4</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（4）网口：10GE*2</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16</w:t>
            </w:r>
            <w:r/>
          </w:p>
        </w:tc>
        <w:tc>
          <w:tcPr>
            <w:tcW w:w="436" w:type="pct"/>
            <w:vAlign w:val="center"/>
            <w:vMerge w:val="continue"/>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浪潮</w:t>
            </w:r>
            <w:r>
              <w:rPr>
                <w:rFonts w:hint="eastAsia" w:ascii="仿宋" w:hAnsi="仿宋" w:cs="仿宋"/>
                <w:color w:val="000000" w:themeColor="text1"/>
                <w:sz w:val="21"/>
                <w:szCs w:val="21"/>
                <w:highlight w:val="none"/>
                <w:lang w:val="en-US" w:eastAsia="zh-CN"/>
                <w14:textFill>
                  <w14:solidFill>
                    <w14:schemeClr w14:val="tx1"/>
                  </w14:solidFill>
                </w14:textFill>
              </w:rPr>
              <w:t xml:space="preserve"> NF5280M5服务器</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6</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台</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（1）CPU：[Intel_Xeon_Gold5218]*2</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（2）内存：384GB，ECC DDR4 RDIMM频率≥2666MHz</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（3）硬盘：240G[240G_sata_ssd]*1</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3840G[3840G_nvme_ssd]*3</w:t>
            </w:r>
            <w:r/>
          </w:p>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（4）网口：10GE*2</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17</w:t>
            </w:r>
            <w:r/>
          </w:p>
        </w:tc>
        <w:tc>
          <w:tcPr>
            <w:tcW w:w="436" w:type="pct"/>
            <w:vAlign w:val="center"/>
            <w:vMerge w:val="continue"/>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华为</w:t>
            </w:r>
            <w:r>
              <w:rPr>
                <w:rFonts w:hint="eastAsia" w:ascii="仿宋" w:hAnsi="仿宋" w:cs="仿宋"/>
                <w:color w:val="000000" w:themeColor="text1"/>
                <w:sz w:val="21"/>
                <w:szCs w:val="21"/>
                <w:highlight w:val="none"/>
                <w:lang w:val="en-US" w:eastAsia="zh-CN"/>
                <w14:textFill>
                  <w14:solidFill>
                    <w14:schemeClr w14:val="tx1"/>
                  </w14:solidFill>
                </w14:textFill>
              </w:rPr>
              <w:t xml:space="preserve"> CE6851_48S6Q_HI_SFP_10G_USR</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20</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个</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多模短距光模块</w:t>
            </w:r>
            <w:r/>
          </w:p>
        </w:tc>
      </w:tr>
      <w:tr>
        <w:trPr>
          <w:jc w:val="center"/>
          <w:trHeight w:val="280"/>
        </w:trPr>
        <w:tc>
          <w:tcPr>
            <w:tcW w:w="221"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18</w:t>
            </w:r>
            <w:r/>
          </w:p>
        </w:tc>
        <w:tc>
          <w:tcPr>
            <w:tcW w:w="436" w:type="pct"/>
            <w:vAlign w:val="center"/>
            <w:vMerge w:val="continue"/>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r>
            <w:r/>
          </w:p>
        </w:tc>
        <w:tc>
          <w:tcPr>
            <w:tcW w:w="1975"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锐捷</w:t>
            </w:r>
            <w:r>
              <w:rPr>
                <w:rFonts w:hint="eastAsia" w:ascii="仿宋" w:hAnsi="仿宋" w:cs="仿宋"/>
                <w:color w:val="000000" w:themeColor="text1"/>
                <w:sz w:val="21"/>
                <w:szCs w:val="21"/>
                <w:highlight w:val="none"/>
                <w:lang w:val="en-US" w:eastAsia="zh-CN"/>
                <w14:textFill>
                  <w14:solidFill>
                    <w14:schemeClr w14:val="tx1"/>
                  </w14:solidFill>
                </w14:textFill>
              </w:rPr>
              <w:t xml:space="preserve"> RG_S6220_48XS6QXS_H_XG_SFP_SR_MM850</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46</w:t>
            </w:r>
            <w:r/>
          </w:p>
        </w:tc>
        <w:tc>
          <w:tcPr>
            <w:tcW w:w="22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个</w:t>
            </w:r>
            <w:r/>
          </w:p>
        </w:tc>
        <w:tc>
          <w:tcPr>
            <w:tcW w:w="1922"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多模短距光模块</w:t>
            </w:r>
            <w:r/>
          </w:p>
        </w:tc>
      </w:tr>
    </w:tbl>
    <w:p>
      <w:pPr>
        <w:ind w:firstLine="562"/>
        <w:jc w:val="left"/>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2.2.2硬件运维要求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本次拟对采购文件中所列硬件设备清单2.2.1进行运维。</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（1）运维内容</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针对智慧建邺基础支撑平台的服务器、网络设备进行续保，保障硬件故障时的部件更换、技术支持和现场维修服务。服务提供方式为授权服务商保修，服务期限为1年，故障响应时间不超过2小时，现场维修时间不超过8小时。服务期限内部件更换所产生的费用由供应商承担。</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（2）产出物</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硬件维保服务工单记录、故障处理报告、部件更换记录。</w:t>
      </w:r>
      <w:r/>
    </w:p>
    <w:p>
      <w:pPr>
        <w:jc w:val="left"/>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（3）硬件设备运维目标</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确保服务器、网络设备等硬件设备稳定运行，运行可靠性大于99.9%，故障响应时间不超过2小时，故障修复时间不超过</w:t>
      </w:r>
      <w:r>
        <w:rPr>
          <w:rFonts w:hint="eastAsia" w:ascii="仿宋" w:hAnsi="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小时，无重大硬件安全事故。</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2.3软件许可更新和技术支持</w:t>
      </w:r>
      <w:r/>
    </w:p>
    <w:p>
      <w:pPr>
        <w:ind w:firstLine="562"/>
        <w:jc w:val="left"/>
        <w:spacing w:line="560" w:lineRule="exact"/>
        <w:rPr>
          <w:rFonts w:hint="default" w:ascii="仿宋" w:hAnsi="仿宋" w:cs="仿宋"/>
          <w:b/>
          <w:bCs/>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2.3.1通用软件现状</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智慧建邺基础支撑平台软件是基于阿里云专有云架构构建的综合性云平台，涵盖弹性计算、存储、网络、数据库、云安全管理、平台运维管控及大数据分析等核心能力。平台自2018年投入使用以来，已稳定运行8年，有效支撑了全区数十个业务系统的统一部署和集中管理，提升了政务云资源利用率和管理效率，为建邺区城市数字治理和智慧城市建设提供了坚实的基础支撑。</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本单位</w:t>
      </w:r>
      <w:r>
        <w:rPr>
          <w:rFonts w:hint="eastAsia" w:ascii="仿宋" w:hAnsi="仿宋" w:cs="仿宋"/>
          <w:color w:val="000000" w:themeColor="text1"/>
          <w:sz w:val="28"/>
          <w:szCs w:val="28"/>
          <w:highlight w:val="none"/>
          <w:lang w:val="en-US" w:eastAsia="zh-CN"/>
          <w14:textFill>
            <w14:solidFill>
              <w14:schemeClr w14:val="tx1"/>
            </w14:solidFill>
          </w14:textFill>
        </w:rPr>
        <w:t xml:space="preserve">通用软件</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情况如下：</w:t>
      </w:r>
      <w:r/>
    </w:p>
    <w:tbl>
      <w:tblPr>
        <w:tblStyle w:val="70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381"/>
        <w:gridCol w:w="4042"/>
        <w:gridCol w:w="1241"/>
        <w:gridCol w:w="1241"/>
      </w:tblGrid>
      <w:tr>
        <w:trPr>
          <w:trHeight w:val="300"/>
          <w:tblHeader/>
        </w:trPr>
        <w:tc>
          <w:tcPr>
            <w:tcW w:w="479"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W w:w="1209"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名称</w:t>
            </w:r>
            <w:r/>
          </w:p>
        </w:tc>
        <w:tc>
          <w:tcPr>
            <w:tcW w:w="2052"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服务分项/品牌规格型号</w:t>
            </w:r>
            <w:r/>
          </w:p>
        </w:tc>
        <w:tc>
          <w:tcPr>
            <w:tcW w:w="630"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数量</w:t>
            </w:r>
            <w:r/>
          </w:p>
        </w:tc>
        <w:tc>
          <w:tcPr>
            <w:tcW w:w="627"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单位</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弹性计算软件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ECS 标准版（传统云盘）</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1040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对象存储软件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OSS高密度高安全版</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576</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TB</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负载均衡软件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SLB 标准版</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168</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专有网络软件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VPC 标准版</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套</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数据库管控软件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RDS基础管控包</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套</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6</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云数据库软件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RDS FOR MySQL</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280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7</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云数据库管控软件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数据管理</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168</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8</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云数据库软件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RDS MySQL企业版(AliSQL)</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480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9</w:t>
            </w:r>
            <w:r/>
          </w:p>
        </w:tc>
        <w:tc>
          <w:tcPr>
            <w:shd w:val="clear" w:color="auto" w:fill="auto"/>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数据开发软件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数据汇聚-基础模块</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56</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10</w:t>
            </w:r>
            <w:r/>
          </w:p>
        </w:tc>
        <w:tc>
          <w:tcPr>
            <w:shd w:val="clear" w:color="auto" w:fill="auto"/>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数据可视化软件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Data V数据可视化工具</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套</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11</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大数据计算软件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Maxcompute基础功能</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280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物理核</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12</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分布式应用框架软件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EDAS企业铂金版</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color w:val="000000" w:themeColor="text1"/>
                <w:sz w:val="21"/>
                <w:szCs w:val="21"/>
                <w:highlight w:val="none"/>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套</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13</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云平台安全软件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云盾-基础组件</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套</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14</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云安全管理中心软件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云盾-云安全管理中心(SOC)</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104</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台</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15</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云管理平台软件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专有云管理平台标准版</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150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节点</w:t>
            </w:r>
            <w:r/>
          </w:p>
        </w:tc>
      </w:tr>
      <w:tr>
        <w:trPr>
          <w:trHeight w:val="280"/>
        </w:trPr>
        <w:tc>
          <w:tcPr>
            <w:tcW w:w="479" w:type="pct"/>
            <w:vAlign w:val="center"/>
            <w:textDirection w:val="lrTb"/>
            <w:noWrap w:val="false"/>
          </w:tcPr>
          <w:p>
            <w:pPr>
              <w:ind w:firstLine="0"/>
              <w:jc w:val="center"/>
              <w:spacing w:after="0" w:line="240" w:lineRule="auto"/>
              <w:widowControl/>
              <w:rPr>
                <w:rFonts w:hint="default" w:ascii="仿宋" w:hAnsi="仿宋" w:cs="仿宋"/>
                <w:color w:val="000000" w:themeColor="text1"/>
                <w:sz w:val="21"/>
                <w:szCs w:val="21"/>
                <w:highlight w:val="none"/>
                <w:lang w:val="en-US"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16</w:t>
            </w:r>
            <w:r/>
          </w:p>
        </w:tc>
        <w:tc>
          <w:tcPr>
            <w:tcW w:w="1209"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云运维平台软件</w:t>
            </w:r>
            <w:r/>
          </w:p>
        </w:tc>
        <w:tc>
          <w:tcPr>
            <w:tcW w:w="2052"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专有云统一运维软件</w:t>
            </w:r>
            <w:r/>
          </w:p>
        </w:tc>
        <w:tc>
          <w:tcPr>
            <w:tcW w:w="630"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150</w:t>
            </w:r>
            <w:r/>
          </w:p>
        </w:tc>
        <w:tc>
          <w:tcPr>
            <w:tcW w:w="627" w:type="pct"/>
            <w:vAlign w:val="center"/>
            <w:textDirection w:val="lrTb"/>
            <w:noWrap w:val="false"/>
          </w:tcPr>
          <w:p>
            <w:pPr>
              <w:ind w:firstLine="0"/>
              <w:jc w:val="center"/>
              <w:keepLines w:val="0"/>
              <w:keepNext w:val="0"/>
              <w:widowControl/>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节点</w:t>
            </w:r>
            <w:r/>
          </w:p>
        </w:tc>
      </w:tr>
      <w:tr>
        <w:trPr>
          <w:trHeight w:val="280"/>
        </w:trPr>
        <w:tc>
          <w:tcPr>
            <w:gridSpan w:val="5"/>
            <w:tcW w:w="5000" w:type="pct"/>
            <w:vAlign w:val="center"/>
            <w:textDirection w:val="lrTb"/>
            <w:noWrap w:val="false"/>
          </w:tcPr>
          <w:p>
            <w:pPr>
              <w:ind w:firstLine="0"/>
              <w:jc w:val="center"/>
              <w:keepLines w:val="0"/>
              <w:keepNext w:val="0"/>
              <w:widowControl/>
              <w:rPr>
                <w:rFonts w:hint="default"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备注：本次运维对应的</w:t>
            </w:r>
            <w:r>
              <w:rPr>
                <w:rFonts w:hint="eastAsia" w:ascii="仿宋" w:hAnsi="仿宋" w:cs="仿宋"/>
                <w:i w:val="0"/>
                <w:iCs w:val="0"/>
                <w:color w:val="000000" w:themeColor="text1"/>
                <w:sz w:val="20"/>
                <w:szCs w:val="20"/>
                <w:highlight w:val="none"/>
                <w:u w:val="none"/>
                <w:lang w:val="en-US" w:eastAsia="zh-CN" w:bidi="ar"/>
                <w14:textFill>
                  <w14:solidFill>
                    <w14:schemeClr w14:val="tx1"/>
                  </w14:solidFill>
                </w14:textFill>
              </w:rPr>
              <w:t xml:space="preserve">阿里云</w:t>
            </w:r>
            <w:r>
              <w:rPr>
                <w:rFonts w:hint="eastAsia" w:ascii="仿宋" w:hAnsi="仿宋" w:eastAsia="仿宋" w:cs="仿宋"/>
                <w:i w:val="0"/>
                <w:iCs w:val="0"/>
                <w:color w:val="000000" w:themeColor="text1"/>
                <w:sz w:val="20"/>
                <w:szCs w:val="20"/>
                <w:highlight w:val="none"/>
                <w:u w:val="none"/>
                <w:lang w:val="en-US" w:eastAsia="zh-CN" w:bidi="ar"/>
                <w14:textFill>
                  <w14:solidFill>
                    <w14:schemeClr w14:val="tx1"/>
                  </w14:solidFill>
                </w14:textFill>
              </w:rPr>
              <w:t xml:space="preserve">飞天专有云平台版本为V3.16</w:t>
            </w:r>
            <w:r>
              <w:rPr>
                <w:rFonts w:hint="eastAsia" w:ascii="仿宋" w:hAnsi="仿宋" w:cs="仿宋"/>
                <w:i w:val="0"/>
                <w:iCs w:val="0"/>
                <w:color w:val="000000" w:themeColor="text1"/>
                <w:sz w:val="20"/>
                <w:szCs w:val="20"/>
                <w:highlight w:val="none"/>
                <w:u w:val="none"/>
                <w:lang w:val="en-US" w:eastAsia="zh-CN" w:bidi="ar"/>
                <w14:textFill>
                  <w14:solidFill>
                    <w14:schemeClr w14:val="tx1"/>
                  </w14:solidFill>
                </w14:textFill>
              </w:rPr>
              <w:t xml:space="preserve">。</w:t>
            </w:r>
            <w:r/>
          </w:p>
        </w:tc>
      </w:tr>
    </w:tbl>
    <w:p>
      <w:pPr>
        <w:ind w:firstLine="562"/>
        <w:jc w:val="left"/>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2.3.2通用软件运维要求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本次拟对采购文件中所列软件清单2.3.1进行运维。</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（1）运维内容</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针对智慧建邺基础支撑平台软件提供软件维护性修复（安全漏洞修复、缺陷修复）、软件版本更新（功能增强版本升级、兼容性适配）和远程技术支持（技术咨询、问题诊断、配置指导）。服务提供方式为远程支持+在线工单，服务期限为1年，技术支持响应时间不超过2小时，安全漏洞修复不超过72小时。</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（2）授权要求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供应商承诺：（1）成交后向采购人出具与阿里云官方签署的授权协议或合作证明材料，材料须加盖阿里云官方公司公章；（2）授权/合作范围应明确包含本项目采购的阿里云授权服务内容；（3）授权/合作期限须覆盖本项目合同履行期。</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（供应商提供承诺函，承诺函格式自拟）</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（3）产出物</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软件版本更新记录、远程技术支持工单记录、软件维保服务工单记录、故障处理报告。</w:t>
      </w:r>
      <w:r/>
    </w:p>
    <w:p>
      <w:pPr>
        <w:jc w:val="left"/>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（4）通用软件运维目标</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保障智慧建邺基础支撑平台通用软件运行可靠性大于99.9%，软件漏洞修复及时率达到100%，版本更新按期完成，无重大软件安全事故。</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2.4运维服务要求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（1）运维内容</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按照工作日5×8驻场服务方式对智慧建邺基础支撑平台开展健康检查及维护，对日常问题进行处理，并提供7×24应急响应。驻场工程师负责平台日常巡检、日志分析、告警处理、变更操作配合、配置管理等工作。工作日服务响应时间不超过15分钟，非工作日应急响应时间不超过30分钟，故障处理时间不超过4小时。</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（2）运维团队人员要求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①供应商组建符合本项目要求的项目运维团队。其中需包含1名项目经理、1名技术负责人、1名常驻运维工程师（工作日日常运维中）；常驻运维工程师须于合同签订后10日内，进场为采购人提供服务。另外供应商需安排1名机动驻场人员根据日常工作情况和采购人实际需求提供驻场服务；同时，当采购人提出临时驻场要求时，响应时间不得超过2小时，1日内上门驻场。</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所有驻场服务人员工作所需设备统一自备，为项目约定的维护范围内的工作内容提供日常维护工作，所有驻场服务人员每天上下班需考勤。</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明确团队成员的职责和分工，协调团队成员解决用户需求与问题，要求运维人员严格按照流程规范进行操作，确保运维工作的标准化和规范化。</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驻场维护人员应遵守招标人相关规章制度的规定，严禁进入与维护工作无关的区域或动用与维护工作无关的物品。</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发生成交供应商驻场维护人员的工作失职造成的人身安全事故或其他财产损失，均由成交供应商承担相关经济和法律责任。</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②在项目运维周期内，供应商安排的负责本项目运维的项目经理、技术负责人以及项目团队核心技术人员（含驻场人员）需与投标文件中所确定的人员一致。采购人有权要求供应商更换其认为不称职的项目经理、技术负责人以及核心技术人员（含驻场人员）。除此之外，未经采购人同意，供应商在本项目终验之前不得随意更换项目经理、技术负责人以及核心技术人员（含驻场人员）。因项目组成员变动而对本项目的运维造成不良后果，由供应商承担违约责任。</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③采购人有权指派合格的人员参与项目的全过程活动，供应商应积极予以配合。</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（3）产出物</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日常巡检记录、运维事件处置记录、响应支持记录、月度运维报告、年度运维总结报告。</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（4）运维服务目标</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确保工作日5×8小时驻场服务到位，日常问题处理及时率达到95%以上，7×24小时应急响应时间不超过30分钟，平台健康检查覆盖率达到100%。</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2.5机柜租赁要求</w:t>
      </w:r>
      <w:r/>
    </w:p>
    <w:p>
      <w:pPr>
        <w:ind w:firstLine="562"/>
        <w:jc w:val="left"/>
        <w:spacing w:line="560" w:lineRule="exact"/>
        <w:rPr>
          <w:rFonts w:hint="default" w:ascii="仿宋" w:hAnsi="仿宋" w:cs="仿宋"/>
          <w:b/>
          <w:bCs/>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2.5.1机柜租赁服务现状</w:t>
      </w:r>
      <w:r/>
    </w:p>
    <w:p>
      <w:pPr>
        <w:jc w:val="left"/>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项目拟租赁机柜1个，位于数据中心机房，用于智慧建邺基础支撑平台的服务器、存储、交换机等设备的上架运行。机柜租赁服务保障了平台硬件设备的物理运行环境，为服务器和网络设备提供了持续可靠的电力和温控保障。</w:t>
      </w:r>
      <w:r/>
    </w:p>
    <w:tbl>
      <w:tblPr>
        <w:tblStyle w:val="70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93"/>
        <w:gridCol w:w="1554"/>
        <w:gridCol w:w="2064"/>
        <w:gridCol w:w="1023"/>
        <w:gridCol w:w="915"/>
        <w:gridCol w:w="1420"/>
        <w:gridCol w:w="1183"/>
        <w:gridCol w:w="1098"/>
      </w:tblGrid>
      <w:tr>
        <w:trPr>
          <w:trHeight w:val="300"/>
          <w:tblHeader/>
        </w:trPr>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788"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047"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服务分项/品牌规格型号</w:t>
            </w:r>
            <w:r/>
          </w:p>
        </w:tc>
        <w:tc>
          <w:tcPr>
            <w:tcBorders>
              <w:top w:val="single" w:color="auto" w:sz="4" w:space="0"/>
              <w:left w:val="none" w:color="000000" w:sz="4" w:space="0"/>
              <w:bottom w:val="single" w:color="auto" w:sz="4" w:space="0"/>
              <w:right w:val="single" w:color="auto" w:sz="4" w:space="0"/>
            </w:tcBorders>
            <w:tcW w:w="519"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720"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采购日期</w:t>
            </w:r>
            <w:r/>
          </w:p>
        </w:tc>
        <w:tc>
          <w:tcPr>
            <w:tcBorders>
              <w:top w:val="single" w:color="auto" w:sz="4" w:space="0"/>
              <w:left w:val="none" w:color="000000" w:sz="4" w:space="0"/>
              <w:bottom w:val="single" w:color="auto" w:sz="4" w:space="0"/>
              <w:right w:val="single" w:color="auto" w:sz="4" w:space="0"/>
            </w:tcBorders>
            <w:tcW w:w="600"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首期质保到期日期</w:t>
            </w:r>
            <w:r/>
          </w:p>
        </w:tc>
        <w:tc>
          <w:tcPr>
            <w:tcBorders>
              <w:top w:val="single" w:color="auto" w:sz="4" w:space="0"/>
              <w:left w:val="none" w:color="000000" w:sz="4" w:space="0"/>
              <w:bottom w:val="single" w:color="auto" w:sz="4" w:space="0"/>
              <w:right w:val="single" w:color="auto" w:sz="4" w:space="0"/>
            </w:tcBorders>
            <w:tcW w:w="557" w:type="pct"/>
            <w:vAlign w:val="center"/>
            <w:textDirection w:val="lrTb"/>
            <w:noWrap w:val="false"/>
          </w:tcPr>
          <w:p>
            <w:pPr>
              <w:ind w:firstLine="0"/>
              <w:jc w:val="center"/>
              <w:spacing w:after="0" w:line="240" w:lineRule="auto"/>
              <w:widowControl/>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超首期质保期限年数</w:t>
            </w:r>
            <w:r/>
          </w:p>
        </w:tc>
      </w:tr>
      <w:tr>
        <w:trPr>
          <w:trHeight w:val="28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88"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机柜租用服务</w:t>
            </w:r>
            <w:r/>
          </w:p>
        </w:tc>
        <w:tc>
          <w:tcPr>
            <w:tcBorders>
              <w:top w:val="none" w:color="000000" w:sz="4" w:space="0"/>
              <w:left w:val="none" w:color="000000" w:sz="4" w:space="0"/>
              <w:bottom w:val="single" w:color="auto" w:sz="4" w:space="0"/>
              <w:right w:val="single" w:color="auto" w:sz="4" w:space="0"/>
            </w:tcBorders>
            <w:tcW w:w="1047"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联通</w:t>
            </w:r>
            <w:r/>
          </w:p>
        </w:tc>
        <w:tc>
          <w:tcPr>
            <w:tcBorders>
              <w:top w:val="none" w:color="000000" w:sz="4" w:space="0"/>
              <w:left w:val="none" w:color="000000" w:sz="4" w:space="0"/>
              <w:bottom w:val="single" w:color="auto" w:sz="4" w:space="0"/>
              <w:right w:val="single" w:color="auto" w:sz="4" w:space="0"/>
            </w:tcBorders>
            <w:tcW w:w="519"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cs="仿宋"/>
                <w:color w:val="000000" w:themeColor="text1"/>
                <w:sz w:val="21"/>
                <w:szCs w:val="21"/>
                <w:highlight w:val="none"/>
                <w:lang w:val="en-US" w:eastAsia="zh-CN"/>
                <w14:textFill>
                  <w14:solidFill>
                    <w14:schemeClr w14:val="tx1"/>
                  </w14:solidFill>
                </w14:textFill>
              </w:rPr>
              <w:t xml:space="preserve">个</w:t>
            </w:r>
            <w:r/>
          </w:p>
        </w:tc>
        <w:tc>
          <w:tcPr>
            <w:tcBorders>
              <w:top w:val="none" w:color="000000" w:sz="4" w:space="0"/>
              <w:left w:val="none" w:color="000000" w:sz="4" w:space="0"/>
              <w:bottom w:val="single" w:color="auto" w:sz="4" w:space="0"/>
              <w:right w:val="single" w:color="auto" w:sz="4" w:space="0"/>
            </w:tcBorders>
            <w:tcW w:w="720"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2020.2</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2023.3</w:t>
            </w:r>
            <w:r/>
          </w:p>
        </w:tc>
        <w:tc>
          <w:tcPr>
            <w:tcBorders>
              <w:top w:val="none" w:color="000000" w:sz="4" w:space="0"/>
              <w:left w:val="none" w:color="000000" w:sz="4" w:space="0"/>
              <w:bottom w:val="single" w:color="auto" w:sz="4" w:space="0"/>
              <w:right w:val="single" w:color="auto" w:sz="4" w:space="0"/>
            </w:tcBorders>
            <w:tcW w:w="557" w:type="pct"/>
            <w:vAlign w:val="center"/>
            <w:textDirection w:val="lrTb"/>
            <w:noWrap w:val="false"/>
          </w:tcPr>
          <w:p>
            <w:pPr>
              <w:ind w:firstLine="0"/>
              <w:jc w:val="center"/>
              <w:spacing w:after="0" w:line="240" w:lineRule="auto"/>
              <w:widowControl/>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w:t>
            </w:r>
            <w:r/>
          </w:p>
        </w:tc>
      </w:tr>
    </w:tbl>
    <w:p>
      <w:pPr>
        <w:ind w:firstLine="562"/>
        <w:jc w:val="left"/>
        <w:spacing w:line="560" w:lineRule="exact"/>
        <w:rPr>
          <w:rFonts w:hint="default" w:ascii="仿宋" w:hAnsi="仿宋" w:cs="仿宋"/>
          <w:b/>
          <w:bCs/>
          <w:color w:val="000000" w:themeColor="text1"/>
          <w:sz w:val="28"/>
          <w:szCs w:val="28"/>
          <w:highlight w:val="none"/>
          <w:lang w:val="en-US" w:eastAsia="zh-CN"/>
          <w14:textFill>
            <w14:solidFill>
              <w14:schemeClr w14:val="tx1"/>
            </w14:solidFill>
          </w14:textFill>
        </w:rPr>
        <w:outlineLvl w:val="2"/>
      </w:pP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2.5.2机柜租赁运维要求</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本次拟租赁机柜1个，用于智慧建邺基础支撑平台的服务器、交换机等设备的上架运行。供应商须于合同签订后30日内完成机柜租赁并向采购人提供相关租赁证明材料。</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（1）运维内容</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租赁数据中心机房标准机柜，包含42U机架空间、双路供配电、精密空调温控、消防安防等基础配套设施。服务提供方式为机柜租赁，服务期限为1年，保障机柜供电可用性大于99.99%，温湿度控制在22±2℃、40%~60%RH范围内。</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（2）产出物</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机柜租赁服务相关证明材料、机房环境巡检记录。</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（3）机柜租赁运维目标</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保障机柜租赁服务持续稳定，机柜电力可用性大于99.99%，温湿度控制在标准范围内，无因环境因素导致的设备故障。</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2.6项目其他要求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1）供应商收到中标通知书后，应在政府采购规定时间内与采购人签订运维服务合同。供应商须提供详细完整系统运维方案，按照招标文件的内容要求，运维方案应包括但不仅限于项目组织机构配置、项目风险与风险管理。 </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（2）供应商应做好与项目相关方的沟通协调工作，采购人给予必要的协助。</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（3）供应商须有效推进各项工作顺利进行。</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（4）项目信息安全管理</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①供应商应制定项目实施信息安全管理规定，严格按软件信息安全组织实施，并经常进行信息安全检查，采取必要的软件信息安全措施，消除软件信息安全隐患。由于供应商信息安全措施不力造成事故的责任和因此发生的费用，由供应商承担。</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②运维中需要通过网络、介质（磁盘、光盘等）进行代码（源码、目标码）转移或集成时，供应商应提出相应的信息安全措施，经采购人认可后实施。</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③发生重大信息安全事故，供应商应按有关规定立即上报有关部门并通知采购人，同时按政府有关部门要求处理，由事故责任方承担发生的费用。双方对事故责任有争议时，应按政府有关部门的认定处理。</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（5）项目分包与转包</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①未经采购人同意，供应商不得将本项目的任何部分分包，不得将本项目的全部内容转包给他人，也不得将本项目的全部内容肢解以后以分包的名义分别转包给他人。</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②本项目如经采购人同意进行了分包，不能解除供应商任何责任与义务。供应商应在分包场地派驻相应管理人员，保证本项目的履行。分包单位的任何违约行为或疏忽导致工程损害或给采购人造成其他损失，供应商承担连带责任。</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③本项目项下双方的任何权利和义务不因合同双方发生收购、兼并、重组、分立而发生变化。如发生上述情形之一，则本项目项下的权利和义务随之转移至收购、兼并、重组或分立之单位。如双方在本项目下的各项权利和义务由双方之分立单位分别承受的，则双方与分立单位分别享有和承担相关权利和义务。</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（6）保密要求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采购人、供应商双方在任何情况下不得将本项目涉及的有关对方的资料泄露给第三方。如一方违反本条的规定，除立即停止违约行为外，还应支付违约金以及赔偿另一方的损失。</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7）供应商应承诺投标文件中提供的供应商资格、资质证明文件不存在隐瞒、与实际情况不符等情况，采购人保留在供应商成交后对供应商相关资质、资格和能力进行考察验证的权利，如果存在重大差异，采购人有权取消或终止合同。</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（供应商提供承诺函，承诺函格式自拟）</w:t>
      </w:r>
      <w:r/>
    </w:p>
    <w:p>
      <w:pPr>
        <w:jc w:val="left"/>
        <w:spacing w:line="560" w:lineRule="exact"/>
        <w:rPr>
          <w:rFonts w:hint="default"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（8）培训要求</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供应商为采购人提供每季度不少于1次的安全培训服务，定期针对相关业务部门、平台用户及其他相关人员制定培训内容。每季度提供相关最新技术资料一份（包含官方文档、技术书籍等）。</w:t>
      </w:r>
      <w:r/>
    </w:p>
    <w:p>
      <w:pPr>
        <w:ind w:firstLine="562"/>
        <w:spacing w:line="560" w:lineRule="exact"/>
        <w:rPr>
          <w:rFonts w:hint="default" w:ascii="仿宋" w:hAnsi="仿宋" w:cs="仿宋"/>
          <w:b/>
          <w:bCs/>
          <w:color w:val="000000" w:themeColor="text1"/>
          <w:szCs w:val="28"/>
          <w:highlight w:val="none"/>
          <w:lang w:val="en-US" w:eastAsia="zh-CN"/>
          <w14:textFill>
            <w14:solidFill>
              <w14:schemeClr w14:val="tx1"/>
            </w14:solidFill>
          </w14:textFill>
        </w:rPr>
        <w:outlineLvl w:val="1"/>
      </w:pPr>
      <w:r>
        <w:rPr>
          <w:rFonts w:hint="eastAsia" w:ascii="仿宋" w:hAnsi="仿宋" w:cs="仿宋"/>
          <w:b/>
          <w:bCs/>
          <w:color w:val="000000" w:themeColor="text1"/>
          <w:szCs w:val="28"/>
          <w:highlight w:val="none"/>
          <w:lang w:val="en-US" w:eastAsia="zh-CN"/>
          <w14:textFill>
            <w14:solidFill>
              <w14:schemeClr w14:val="tx1"/>
            </w14:solidFill>
          </w14:textFill>
        </w:rPr>
        <w:t xml:space="preserve">★三、商务部分要求</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lang w:val="en-US" w:eastAsia="zh-CN"/>
          <w14:textFill>
            <w14:solidFill>
              <w14:schemeClr w14:val="tx1"/>
            </w14:solidFill>
          </w14:textFill>
        </w:rPr>
        <w:t xml:space="preserve">1</w:t>
      </w:r>
      <w:r>
        <w:rPr>
          <w:rFonts w:hint="eastAsia" w:ascii="仿宋" w:hAnsi="仿宋" w:cs="仿宋"/>
          <w:b/>
          <w:color w:val="000000" w:themeColor="text1"/>
          <w:szCs w:val="28"/>
          <w:highlight w:val="none"/>
          <w14:textFill>
            <w14:solidFill>
              <w14:schemeClr w14:val="tx1"/>
            </w14:solidFill>
          </w14:textFill>
        </w:rPr>
        <w:t xml:space="preserve">、报价说明</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en-US" w:eastAsia="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.1 报价应包含与本次采购项目有关的所有费用。包含但不限于人员、调试、</w:t>
      </w:r>
      <w:r>
        <w:rPr>
          <w:rFonts w:hint="eastAsia" w:ascii="仿宋" w:hAnsi="仿宋" w:cs="仿宋"/>
          <w:color w:val="000000" w:themeColor="text1"/>
          <w:szCs w:val="28"/>
          <w:highlight w:val="none"/>
          <w:lang w:val="en-US" w:eastAsia="zh-CN"/>
          <w14:textFill>
            <w14:solidFill>
              <w14:schemeClr w14:val="tx1"/>
            </w14:solidFill>
          </w14:textFill>
        </w:rPr>
        <w:t xml:space="preserve">部件更换、</w:t>
      </w:r>
      <w:r>
        <w:rPr>
          <w:rFonts w:hint="eastAsia" w:ascii="仿宋" w:hAnsi="仿宋" w:cs="仿宋"/>
          <w:color w:val="000000" w:themeColor="text1"/>
          <w:szCs w:val="28"/>
          <w:highlight w:val="none"/>
          <w14:textFill>
            <w14:solidFill>
              <w14:schemeClr w14:val="tx1"/>
            </w14:solidFill>
          </w14:textFill>
        </w:rPr>
        <w:t xml:space="preserve">运维服务、伴随配套服务等所有含税费用。同时，还应包含支付给员工的工资和国家强制缴纳的各种社会保障资金，以及供应商认为需要的其他费用等。</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en-US" w:eastAsia="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.2 供应商的任何错漏、优惠、竞争性报价不得作为减轻责任、减少服务、增加收费、降低服务质量的理由。</w:t>
      </w:r>
      <w:r/>
    </w:p>
    <w:p>
      <w:pPr>
        <w:ind w:firstLine="560"/>
        <w:spacing w:line="560" w:lineRule="exact"/>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lang w:val="en-US" w:eastAsia="zh-CN"/>
          <w14:textFill>
            <w14:solidFill>
              <w14:schemeClr w14:val="tx1"/>
            </w14:solidFill>
          </w14:textFill>
        </w:rPr>
        <w:t xml:space="preserve">1</w:t>
      </w:r>
      <w:r>
        <w:rPr>
          <w:rFonts w:hint="eastAsia" w:ascii="仿宋" w:hAnsi="仿宋" w:cs="仿宋"/>
          <w:color w:val="000000" w:themeColor="text1"/>
          <w:szCs w:val="28"/>
          <w:highlight w:val="none"/>
          <w14:textFill>
            <w14:solidFill>
              <w14:schemeClr w14:val="tx1"/>
            </w14:solidFill>
          </w14:textFill>
        </w:rPr>
        <w:t xml:space="preserve">.3 供应商报价除包含采购文件中列明的项目外还应包括保障服务正常运行应当具有的物资和服务，对服务正常运行应当具有的物资和服务理解不一致的以采购人理解为准。</w:t>
      </w:r>
      <w:r/>
    </w:p>
    <w:p>
      <w:pPr>
        <w:ind w:firstLine="562"/>
        <w:spacing w:line="560" w:lineRule="exact"/>
        <w:rPr>
          <w:rFonts w:ascii="仿宋" w:hAnsi="仿宋" w:cs="仿宋"/>
          <w:b/>
          <w:color w:val="000000" w:themeColor="text1"/>
          <w:szCs w:val="28"/>
          <w:highlight w:val="none"/>
          <w14:textFill>
            <w14:solidFill>
              <w14:schemeClr w14:val="tx1"/>
            </w14:solidFill>
          </w14:textFill>
        </w:rPr>
      </w:pPr>
      <w:r>
        <w:rPr>
          <w:rFonts w:hint="eastAsia" w:ascii="仿宋" w:hAnsi="仿宋" w:cs="仿宋"/>
          <w:b/>
          <w:color w:val="000000" w:themeColor="text1"/>
          <w:szCs w:val="28"/>
          <w:highlight w:val="none"/>
          <w:lang w:val="en-US" w:eastAsia="zh-CN"/>
          <w14:textFill>
            <w14:solidFill>
              <w14:schemeClr w14:val="tx1"/>
            </w14:solidFill>
          </w14:textFill>
        </w:rPr>
        <w:t xml:space="preserve">2</w:t>
      </w:r>
      <w:r>
        <w:rPr>
          <w:rFonts w:hint="eastAsia" w:ascii="仿宋" w:hAnsi="仿宋" w:cs="仿宋"/>
          <w:b/>
          <w:color w:val="000000" w:themeColor="text1"/>
          <w:szCs w:val="28"/>
          <w:highlight w:val="none"/>
          <w14:textFill>
            <w14:solidFill>
              <w14:schemeClr w14:val="tx1"/>
            </w14:solidFill>
          </w14:textFill>
        </w:rPr>
        <w:t xml:space="preserve">、付款条件</w:t>
      </w:r>
      <w:r/>
    </w:p>
    <w:p>
      <w:pPr>
        <w:ind w:firstLine="562"/>
        <w:spacing w:line="560" w:lineRule="exact"/>
        <w:shd w:val="clear" w:color="auto" w:fill="ffffff"/>
        <w:widowControl/>
        <w:rPr>
          <w:rFonts w:ascii="仿宋" w:hAnsi="仿宋" w:cs="仿宋"/>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（1）履约保证金</w:t>
      </w:r>
      <w:r>
        <w:rPr>
          <w:rFonts w:hint="eastAsia" w:ascii="仿宋" w:hAnsi="仿宋" w:cs="仿宋"/>
          <w:color w:val="000000" w:themeColor="text1"/>
          <w:szCs w:val="28"/>
          <w:highlight w:val="none"/>
          <w14:textFill>
            <w14:solidFill>
              <w14:schemeClr w14:val="tx1"/>
            </w14:solidFill>
          </w14:textFill>
        </w:rPr>
        <w:t xml:space="preserve">：不涉及</w:t>
      </w:r>
      <w:r/>
    </w:p>
    <w:p>
      <w:pPr>
        <w:ind w:firstLine="562"/>
        <w:spacing w:line="560" w:lineRule="exact"/>
        <w:rPr>
          <w:rFonts w:ascii="仿宋" w:hAnsi="仿宋" w:cs="仿宋"/>
          <w:b/>
          <w:color w:val="000000" w:themeColor="text1"/>
          <w:szCs w:val="28"/>
          <w:highlight w:val="none"/>
          <w:lang w:val="ja-JP" w:eastAsia="ja-JP"/>
          <w14:textFill>
            <w14:solidFill>
              <w14:schemeClr w14:val="tx1"/>
            </w14:solidFill>
          </w14:textFill>
        </w:rPr>
      </w:pPr>
      <w:r>
        <w:rPr>
          <w:rFonts w:hint="eastAsia" w:ascii="仿宋" w:hAnsi="仿宋" w:cs="仿宋"/>
          <w:b/>
          <w:color w:val="000000" w:themeColor="text1"/>
          <w:szCs w:val="28"/>
          <w:highlight w:val="none"/>
          <w:lang w:val="ja-JP" w:eastAsia="ja-JP"/>
          <w14:textFill>
            <w14:solidFill>
              <w14:schemeClr w14:val="tx1"/>
            </w14:solidFill>
          </w14:textFill>
        </w:rPr>
        <w:t xml:space="preserve">（2）付款方式：</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付款条件：</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第一笔款：合同签订后10个工作日内，采购人向成交供应商支付合同总价的</w:t>
      </w:r>
      <w:r>
        <w:rPr>
          <w:rFonts w:hint="eastAsia" w:ascii="仿宋" w:hAnsi="仿宋" w:cs="仿宋"/>
          <w:color w:val="000000" w:themeColor="text1"/>
          <w:szCs w:val="28"/>
          <w:highlight w:val="none"/>
          <w:lang w:val="en-US" w:eastAsia="zh-CN"/>
          <w14:textFill>
            <w14:solidFill>
              <w14:schemeClr w14:val="tx1"/>
            </w14:solidFill>
          </w14:textFill>
        </w:rPr>
        <w:t xml:space="preserve">40</w:t>
      </w:r>
      <w:r>
        <w:rPr>
          <w:rFonts w:hint="eastAsia" w:ascii="仿宋" w:hAnsi="仿宋" w:cs="仿宋"/>
          <w:color w:val="000000" w:themeColor="text1"/>
          <w:szCs w:val="28"/>
          <w:highlight w:val="none"/>
          <w14:textFill>
            <w14:solidFill>
              <w14:schemeClr w14:val="tx1"/>
            </w14:solidFill>
          </w14:textFill>
        </w:rPr>
        <w:t xml:space="preserve">%。</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第二笔款：服务期满后一次性支付剩余合同价款（即服务质量考评款），具体要求如下：</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服务开始后，每月进行服务考核，根据考核结果计算每月的服务质量考评款（每月服务质量考评款最高为合同总价的 5%）。考评条件如下：</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（1）每月考核总得分小于 80，扣除 100％的每月服务质量考评款；</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（2）80≤每月考核总得分&lt;90，扣除 50％的每月服务质量考评款；</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（3）每月考核总得分≥90，支付每月全部的服务质量考评款；</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4）服务期内，采购人委托的第三方测评机构有权在服务期内进行合规检查或抽查。若检查发现不满足网络安全等级保护三级要求，采购人将书面通知成交供应商整改；成交供应商未在整改期限内完成的，该月考核按第（1）项处理；若成交供应商在整改期限内完成整改并通过复测，该次测评对应的考核月份服务质量考评款扣减50%。</w:t>
      </w:r>
      <w:r/>
    </w:p>
    <w:p>
      <w:pPr>
        <w:ind w:firstLine="560"/>
        <w:spacing w:line="560" w:lineRule="exact"/>
        <w:rPr>
          <w:rFonts w:hint="eastAsia"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注：成交供应商提供付款申请时，须一并提供以下资料：（1）成交供应商签发,并载明付款金额的付款通知一份（全部款项）；（2）成交供应商提供的并经采购人书面确认的技术服务单（即书面服务总结报告及考核得分）（第二笔款）；（3）成交供应商开具给采购人支付金额的正式增值税专用发票（全部款项）。</w:t>
      </w:r>
      <w:r/>
    </w:p>
    <w:p>
      <w:pPr>
        <w:ind w:firstLine="562"/>
        <w:spacing w:line="560" w:lineRule="exact"/>
        <w:rPr>
          <w:rFonts w:hint="default" w:ascii="仿宋" w:hAnsi="仿宋" w:cs="仿宋"/>
          <w:b/>
          <w:color w:val="000000" w:themeColor="text1"/>
          <w:szCs w:val="28"/>
          <w:highlight w:val="none"/>
          <w:lang w:val="en-US" w:eastAsia="zh-CN"/>
          <w14:textFill>
            <w14:solidFill>
              <w14:schemeClr w14:val="tx1"/>
            </w14:solidFill>
          </w14:textFill>
        </w:rPr>
      </w:pPr>
      <w:r>
        <w:rPr>
          <w:rFonts w:hint="eastAsia" w:ascii="仿宋" w:hAnsi="仿宋" w:cs="仿宋"/>
          <w:b/>
          <w:color w:val="000000" w:themeColor="text1"/>
          <w:szCs w:val="28"/>
          <w:highlight w:val="none"/>
          <w:lang w:val="en-US" w:eastAsia="zh-CN"/>
          <w14:textFill>
            <w14:solidFill>
              <w14:schemeClr w14:val="tx1"/>
            </w14:solidFill>
          </w14:textFill>
        </w:rPr>
        <w:t xml:space="preserve">3、考核方式</w:t>
      </w:r>
      <w:r/>
    </w:p>
    <w:p>
      <w:pPr>
        <w:jc w:val="left"/>
        <w:spacing w:line="560" w:lineRule="exact"/>
        <w:rPr>
          <w:rFonts w:hint="eastAsia" w:ascii="仿宋" w:hAnsi="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 xml:space="preserve">考核采用评分制，满分为100分，具体考核指标如下：</w:t>
      </w:r>
      <w:r/>
    </w:p>
    <w:tbl>
      <w:tblPr>
        <w:tblStyle w:val="976"/>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28"/>
        <w:gridCol w:w="4147"/>
        <w:gridCol w:w="2474"/>
      </w:tblGrid>
      <w:tr>
        <w:trPr>
          <w:tblHeader/>
        </w:trPr>
        <w:tc>
          <w:tcPr>
            <w:tcBorders>
              <w:bottom w:val="none" w:color="000000" w:sz="4" w:space="0"/>
            </w:tcBorders>
            <w:tcW w:w="1533" w:type="pct"/>
            <w:vAlign w:val="center"/>
            <w:textDirection w:val="lrTb"/>
            <w:noWrap w:val="false"/>
          </w:tcPr>
          <w:p>
            <w:pPr>
              <w:ind w:firstLine="0"/>
              <w:jc w:val="center"/>
              <w:keepLines w:val="0"/>
              <w:keepNext w:val="0"/>
              <w:pageBreakBefore w:val="0"/>
              <w:spacing w:before="0" w:after="0"/>
              <w:widowControl w:val="off"/>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考核项</w:t>
            </w:r>
            <w:r/>
          </w:p>
        </w:tc>
        <w:tc>
          <w:tcPr>
            <w:tcBorders>
              <w:bottom w:val="none" w:color="000000" w:sz="4" w:space="0"/>
            </w:tcBorders>
            <w:tcW w:w="2171" w:type="pct"/>
            <w:vAlign w:val="center"/>
            <w:textDirection w:val="lrTb"/>
            <w:noWrap w:val="false"/>
          </w:tcPr>
          <w:p>
            <w:pPr>
              <w:ind w:firstLine="0"/>
              <w:jc w:val="center"/>
              <w:keepLines w:val="0"/>
              <w:keepNext w:val="0"/>
              <w:pageBreakBefore w:val="0"/>
              <w:spacing w:before="0" w:after="0"/>
              <w:widowControl w:val="off"/>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考核内容</w:t>
            </w:r>
            <w:r/>
          </w:p>
        </w:tc>
        <w:tc>
          <w:tcPr>
            <w:tcBorders>
              <w:bottom w:val="none" w:color="000000" w:sz="4" w:space="0"/>
            </w:tcBorders>
            <w:tcW w:w="1295" w:type="pct"/>
            <w:vAlign w:val="center"/>
            <w:textDirection w:val="lrTb"/>
            <w:noWrap w:val="false"/>
          </w:tcPr>
          <w:p>
            <w:pPr>
              <w:ind w:firstLine="0"/>
              <w:jc w:val="center"/>
              <w:keepLines w:val="0"/>
              <w:keepNext w:val="0"/>
              <w:pageBreakBefore w:val="0"/>
              <w:spacing w:before="0" w:after="0"/>
              <w:widowControl w:val="off"/>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得分</w:t>
            </w:r>
            <w:r/>
          </w:p>
        </w:tc>
      </w:tr>
      <w:tr>
        <w:trPr/>
        <w:tc>
          <w:tcPr>
            <w:tcW w:w="1533"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硬件设备维保</w:t>
            </w: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w:t>
            </w: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25</w:t>
            </w: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分）</w:t>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确保服务器、网络设备等硬件设备稳定运行，运行可靠性大于99.9%</w:t>
            </w:r>
            <w:r/>
          </w:p>
        </w:tc>
        <w:tc>
          <w:tcPr>
            <w:tcW w:w="1295"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故障响应时间不超过2小时，故障修复时间不超过8小时，无重大硬件安全事故</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软件许可更新和技术支持</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w:t>
            </w: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25</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分）</w:t>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保障智慧建邺基础支撑平台通用软件运行可靠性大于99.9%，软件漏洞修复及时率达到100%，版本更新按期完成，无重大软件安全事故</w:t>
            </w:r>
            <w:r/>
          </w:p>
        </w:tc>
        <w:tc>
          <w:tcPr>
            <w:tcW w:w="1295"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center"/>
            <w:textDirection w:val="lrTb"/>
            <w:noWrap w:val="false"/>
          </w:tcPr>
          <w:p>
            <w:pPr>
              <w:ind w:firstLine="0"/>
              <w:jc w:val="center"/>
              <w:keepLines w:val="0"/>
              <w:keepNext w:val="0"/>
              <w:pageBreakBefore w:val="0"/>
              <w:spacing w:before="0" w:after="0"/>
              <w:widowControl w:val="off"/>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因运维原因造成业务中断</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技术支持响应时间不超过4小时</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安全漏洞修复不超过72小时</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驻场运维服务</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w:t>
            </w: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25</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分）</w:t>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确保工作日5×8小时驻场服务到位，日常问题处理及时率达到95%以上</w:t>
            </w:r>
            <w:r/>
          </w:p>
        </w:tc>
        <w:tc>
          <w:tcPr>
            <w:tcW w:w="1295"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7×24应急响应时间不超过30分钟</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平台健康检查覆盖率达到100%</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ascii="Times New Roman" w:hAnsi="Times New Roman" w:eastAsia="仿宋" w:cs="Times New Roman"/>
                <w:b w:val="0"/>
                <w:bCs w:val="0"/>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t xml:space="preserve">对</w:t>
            </w: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工作内容</w:t>
            </w:r>
            <w:r>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t xml:space="preserve">有责任心，积极主动承担运维责任，不推诿扯皮</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ascii="Times New Roman" w:hAnsi="Times New Roman" w:eastAsia="仿宋" w:cs="Times New Roman"/>
                <w:b w:val="0"/>
                <w:bCs w:val="0"/>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t xml:space="preserve">主动开展运维工作，主动发现并解决潜在问题，无需甲方督促</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ascii="Times New Roman" w:hAnsi="Times New Roman" w:eastAsia="仿宋" w:cs="Times New Roman"/>
                <w:b w:val="0"/>
                <w:bCs w:val="0"/>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t xml:space="preserve">平时运维操作严谨细致，配置、变更、巡检无疏漏</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ascii="Times New Roman" w:hAnsi="Times New Roman" w:eastAsia="仿宋" w:cs="Times New Roman"/>
                <w:b w:val="0"/>
                <w:bCs w:val="0"/>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eastAsia="en-US"/>
                <w14:textFill>
                  <w14:solidFill>
                    <w14:schemeClr w14:val="tx1"/>
                  </w14:solidFill>
                </w14:textFill>
              </w:rPr>
              <w:t xml:space="preserve">遵守甲方运维规章制度、运维管理规范，无违规操作</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机柜租赁</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（10分）</w:t>
            </w:r>
            <w:r/>
          </w:p>
        </w:tc>
        <w:tc>
          <w:tcPr>
            <w:tcW w:w="2171"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保障机柜租赁服务持续稳定，机柜电力可用性大于99.99%，温湿度控制在标准范围内，无因环境因素导致的设备故障</w:t>
            </w:r>
            <w:r/>
          </w:p>
        </w:tc>
        <w:tc>
          <w:tcPr>
            <w:tcW w:w="1295" w:type="pct"/>
            <w:vAlign w:val="center"/>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文档质量</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w:t>
            </w: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1</w:t>
            </w:r>
            <w:r>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5</w:t>
            </w:r>
            <w:r>
              <w:rPr>
                <w:rFonts w:ascii="Times New Roman" w:hAnsi="Times New Roman" w:eastAsia="仿宋" w:cs="Times New Roman"/>
                <w:color w:val="000000" w:themeColor="text1"/>
                <w:sz w:val="24"/>
                <w:szCs w:val="24"/>
                <w:highlight w:val="none"/>
                <w:lang w:val="en-US" w:eastAsia="en-US" w:bidi="ar-SA"/>
                <w14:textFill>
                  <w14:solidFill>
                    <w14:schemeClr w14:val="tx1"/>
                  </w14:solidFill>
                </w14:textFill>
              </w:rPr>
              <w:t xml:space="preserve">分）</w:t>
            </w:r>
            <w:r/>
          </w:p>
        </w:tc>
        <w:tc>
          <w:tcPr>
            <w:tcW w:w="2171" w:type="pct"/>
            <w:vAlign w:val="top"/>
            <w:textDirection w:val="lrTb"/>
            <w:noWrap w:val="false"/>
          </w:tcPr>
          <w:p>
            <w:pPr>
              <w:jc w:val="center"/>
              <w:spacing w:after="0" w:line="240" w:lineRule="auto"/>
              <w:widowControl w:val="off"/>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14:textFill>
                  <w14:solidFill>
                    <w14:schemeClr w14:val="tx1"/>
                  </w14:solidFill>
                </w14:textFill>
              </w:rPr>
              <w:t xml:space="preserve">按</w:t>
            </w: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采购人</w:t>
            </w:r>
            <w:r>
              <w:rPr>
                <w:rFonts w:hint="eastAsia" w:ascii="Times New Roman" w:hAnsi="Times New Roman" w:eastAsia="仿宋" w:cs="Times New Roman"/>
                <w:color w:val="000000" w:themeColor="text1"/>
                <w:sz w:val="24"/>
                <w:szCs w:val="24"/>
                <w:highlight w:val="none"/>
                <w14:textFill>
                  <w14:solidFill>
                    <w14:schemeClr w14:val="tx1"/>
                  </w14:solidFill>
                </w14:textFill>
              </w:rPr>
              <w:t xml:space="preserve">运维要求定期出具统一格式的相关</w:t>
            </w: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产出物</w:t>
            </w:r>
            <w:r/>
          </w:p>
        </w:tc>
        <w:tc>
          <w:tcPr>
            <w:tcW w:w="1295" w:type="pct"/>
            <w:vAlign w:val="center"/>
            <w:vMerge w:val="restart"/>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tcW w:w="1533"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c>
          <w:tcPr>
            <w:tcW w:w="2171" w:type="pct"/>
            <w:vAlign w:val="top"/>
            <w:textDirection w:val="lrTb"/>
            <w:noWrap w:val="false"/>
          </w:tcPr>
          <w:p>
            <w:pPr>
              <w:jc w:val="center"/>
              <w:spacing w:after="0" w:line="240" w:lineRule="auto"/>
              <w:widowControl w:val="off"/>
              <w:rPr>
                <w:rFonts w:hint="eastAsia"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产出物</w:t>
            </w:r>
            <w:r>
              <w:rPr>
                <w:rFonts w:hint="eastAsia" w:ascii="Times New Roman" w:hAnsi="Times New Roman" w:eastAsia="仿宋" w:cs="Times New Roman"/>
                <w:color w:val="000000" w:themeColor="text1"/>
                <w:sz w:val="24"/>
                <w:szCs w:val="24"/>
                <w:highlight w:val="none"/>
                <w14:textFill>
                  <w14:solidFill>
                    <w14:schemeClr w14:val="tx1"/>
                  </w14:solidFill>
                </w14:textFill>
              </w:rPr>
              <w:t xml:space="preserve">编写规范、完整、准确，可追溯</w:t>
            </w:r>
            <w:r/>
          </w:p>
        </w:tc>
        <w:tc>
          <w:tcPr>
            <w:tcW w:w="1295" w:type="pct"/>
            <w:vAlign w:val="center"/>
            <w:vMerge w:val="continue"/>
            <w:textDirection w:val="lrTb"/>
            <w:noWrap w:val="false"/>
          </w:tcPr>
          <w:p>
            <w:pPr>
              <w:ind w:firstLine="0"/>
              <w:jc w:val="center"/>
              <w:keepLines w:val="0"/>
              <w:keepNext w:val="0"/>
              <w:pageBreakBefore w:val="0"/>
              <w:spacing w:before="0" w:after="0"/>
              <w:widowControl w:val="off"/>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r>
        <w:trPr/>
        <w:tc>
          <w:tcPr>
            <w:gridSpan w:val="2"/>
            <w:tcW w:w="3704" w:type="pct"/>
            <w:vAlign w:val="center"/>
            <w:textDirection w:val="lrTb"/>
            <w:noWrap w:val="false"/>
          </w:tcPr>
          <w:p>
            <w:pPr>
              <w:jc w:val="center"/>
              <w:spacing w:after="0" w:line="240" w:lineRule="auto"/>
              <w:widowControl w:val="off"/>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总分</w:t>
            </w:r>
            <w:r/>
          </w:p>
        </w:tc>
        <w:tc>
          <w:tcPr>
            <w:tcW w:w="1295" w:type="pct"/>
            <w:vAlign w:val="center"/>
            <w:textDirection w:val="lrTb"/>
            <w:noWrap w:val="false"/>
          </w:tcPr>
          <w:p>
            <w:pPr>
              <w:ind w:firstLine="0"/>
              <w:jc w:val="center"/>
              <w:keepLines w:val="0"/>
              <w:keepNext w:val="0"/>
              <w:pageBreakBefore w:val="0"/>
              <w:spacing w:before="0" w:after="0"/>
              <w:widowControl w:val="off"/>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r>
            <w:r/>
          </w:p>
        </w:tc>
      </w:tr>
    </w:tbl>
    <w:p>
      <w:pPr>
        <w:ind w:firstLine="562"/>
        <w:keepLines w:val="0"/>
        <w:keepNext w:val="0"/>
        <w:pageBreakBefore w:val="0"/>
        <w:spacing w:line="560" w:lineRule="exact"/>
        <w:widowControl w:val="off"/>
        <w:rPr>
          <w:rFonts w:hint="default"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备注：</w:t>
      </w:r>
      <w:r/>
    </w:p>
    <w:p>
      <w:pPr>
        <w:numPr>
          <w:ilvl w:val="0"/>
          <w:numId w:val="4"/>
        </w:numPr>
        <w:jc w:val="left"/>
        <w:spacing w:line="56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本章节加“★”内容为实质性要求，需在《技术要求响应及偏离表》和《商务要求响应及偏离表》中明确响应，</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未对实质性要求明确响应或有负偏离的，按无效响应处理。</w:t>
      </w:r>
      <w:r/>
    </w:p>
    <w:p>
      <w:pPr>
        <w:numPr>
          <w:ilvl w:val="0"/>
          <w:numId w:val="0"/>
        </w:numPr>
        <w:ind w:firstLine="560"/>
        <w:jc w:val="left"/>
        <w:keepLines w:val="0"/>
        <w:keepNext w:val="0"/>
        <w:pageBreakBefore w:val="0"/>
        <w:spacing w:line="56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numPr>
          <w:ilvl w:val="0"/>
          <w:numId w:val="5"/>
        </w:numPr>
        <w:ind w:firstLine="883"/>
        <w:jc w:val="left"/>
        <w:keepLines w:val="0"/>
        <w:keepNext w:val="0"/>
        <w:pageBreakBefore w:val="0"/>
        <w:spacing w:line="560" w:lineRule="exact"/>
        <w:widowControl w:val="off"/>
        <w:rPr>
          <w:rStyle w:val="900"/>
          <w:rFonts w:hint="eastAsia" w:ascii="仿宋" w:hAnsi="仿宋" w:eastAsia="仿宋" w:cs="仿宋"/>
          <w:color w:val="000000" w:themeColor="text1"/>
          <w:highlight w:val="none"/>
          <w14:textFill>
            <w14:solidFill>
              <w14:schemeClr w14:val="tx1"/>
            </w14:solidFill>
          </w14:textFill>
        </w:rPr>
      </w:pPr>
      <w:r>
        <w:rPr>
          <w:rStyle w:val="900"/>
          <w:rFonts w:hint="eastAsia" w:ascii="仿宋" w:hAnsi="仿宋" w:eastAsia="仿宋" w:cs="仿宋"/>
          <w:color w:val="000000" w:themeColor="text1"/>
          <w:highlight w:val="none"/>
          <w14:textFill>
            <w14:solidFill>
              <w14:schemeClr w14:val="tx1"/>
            </w14:solidFill>
          </w14:textFill>
        </w:rPr>
        <w:br w:type="page" w:clear="all"/>
      </w:r>
      <w:r/>
    </w:p>
    <w:p>
      <w:pPr>
        <w:numPr>
          <w:ilvl w:val="0"/>
          <w:numId w:val="0"/>
        </w:numPr>
        <w:ind w:left="0" w:firstLine="0"/>
        <w:jc w:val="center"/>
        <w:keepNext/>
        <w:rPr>
          <w:rStyle w:val="900"/>
          <w:rFonts w:hint="eastAsia" w:ascii="仿宋" w:hAnsi="仿宋" w:eastAsia="仿宋" w:cs="仿宋"/>
          <w:color w:val="000000" w:themeColor="text1"/>
          <w:highlight w:val="none"/>
          <w14:textFill>
            <w14:solidFill>
              <w14:schemeClr w14:val="tx1"/>
            </w14:solidFill>
          </w14:textFill>
        </w:rPr>
        <w:outlineLvl w:val="0"/>
      </w:pPr>
      <w:r>
        <w:rPr>
          <w:rStyle w:val="900"/>
          <w:rFonts w:hint="eastAsia" w:ascii="仿宋" w:hAnsi="仿宋" w:eastAsia="仿宋" w:cs="仿宋"/>
          <w:color w:val="000000" w:themeColor="text1"/>
          <w:highlight w:val="none"/>
          <w14:textFill>
            <w14:solidFill>
              <w14:schemeClr w14:val="tx1"/>
            </w14:solidFill>
          </w14:textFill>
        </w:rPr>
        <w:t xml:space="preserve">第五章  评审方法与评审标准</w:t>
      </w:r>
      <w:bookmarkEnd w:id="189"/>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s="仿宋"/>
          <w:b/>
          <w:bCs/>
          <w:color w:val="000000" w:themeColor="text1"/>
          <w:sz w:val="28"/>
          <w:szCs w:val="28"/>
          <w:highlight w:val="none"/>
          <w14:textFill>
            <w14:solidFill>
              <w14:schemeClr w14:val="tx1"/>
            </w14:solidFill>
          </w14:textFill>
        </w:rPr>
        <w:t xml:space="preserve">评</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审</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方法</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采用</w:t>
      </w:r>
      <w:r>
        <w:rPr>
          <w:rFonts w:hint="eastAsia" w:ascii="仿宋" w:hAnsi="仿宋" w:eastAsia="仿宋" w:cs="仿宋"/>
          <w:color w:val="000000" w:themeColor="text1"/>
          <w:sz w:val="28"/>
          <w:szCs w:val="28"/>
          <w:highlight w:val="none"/>
          <w14:textFill>
            <w14:solidFill>
              <w14:schemeClr w14:val="tx1"/>
            </w14:solidFill>
          </w14:textFill>
        </w:rPr>
        <w:t xml:space="preserve">综合评分法，对满足磋商文件全部实质性要求的响应文件按评审因素的量化指标评审总分对供应商进行排序。</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经磋商确定最终采购需求和提交最后报价的供应商后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磋商小组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成员独立</w:t>
      </w:r>
      <w:r>
        <w:rPr>
          <w:rFonts w:hint="eastAsia" w:ascii="仿宋" w:hAnsi="仿宋" w:eastAsia="仿宋" w:cs="仿宋"/>
          <w:color w:val="000000" w:themeColor="text1"/>
          <w:sz w:val="28"/>
          <w:szCs w:val="28"/>
          <w:highlight w:val="none"/>
          <w14:textFill>
            <w14:solidFill>
              <w14:schemeClr w14:val="tx1"/>
            </w14:solidFill>
          </w14:textFill>
        </w:rPr>
        <w:t xml:space="preserve">对提交最后报价的供应商的响应文件和最后报价进行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综合</w:t>
      </w:r>
      <w:r>
        <w:rPr>
          <w:rFonts w:hint="eastAsia" w:ascii="仿宋" w:hAnsi="仿宋" w:eastAsia="仿宋" w:cs="仿宋"/>
          <w:color w:val="000000" w:themeColor="text1"/>
          <w:sz w:val="28"/>
          <w:szCs w:val="28"/>
          <w:highlight w:val="none"/>
          <w14:textFill>
            <w14:solidFill>
              <w14:schemeClr w14:val="tx1"/>
            </w14:solidFill>
          </w14:textFill>
        </w:rPr>
        <w:t xml:space="preserve">评分。</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磋商小组按照评审</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总</w:t>
      </w:r>
      <w:r>
        <w:rPr>
          <w:rFonts w:hint="eastAsia" w:ascii="仿宋" w:hAnsi="仿宋" w:eastAsia="仿宋" w:cs="仿宋"/>
          <w:color w:val="000000" w:themeColor="text1"/>
          <w:sz w:val="28"/>
          <w:szCs w:val="28"/>
          <w:highlight w:val="none"/>
          <w14:textFill>
            <w14:solidFill>
              <w14:schemeClr w14:val="tx1"/>
            </w14:solidFill>
          </w14:textFill>
        </w:rPr>
        <w:t xml:space="preserve">分由高到低顺序推荐</w:t>
      </w:r>
      <w:r>
        <w:rPr>
          <w:rFonts w:hint="eastAsia" w:ascii="仿宋" w:hAnsi="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val="0"/>
          <w:color w:val="000000" w:themeColor="text1"/>
          <w:sz w:val="28"/>
          <w:szCs w:val="28"/>
          <w:highlight w:val="none"/>
          <w:u w:val="none"/>
          <w:lang w:val="en-US" w:eastAsia="zh-CN"/>
          <w14:textFill>
            <w14:solidFill>
              <w14:schemeClr w14:val="tx1"/>
            </w14:solidFill>
          </w14:textFill>
        </w:rPr>
        <w:t xml:space="preserve">名</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成交候选供应商，</w:t>
      </w:r>
      <w:r>
        <w:rPr>
          <w:rFonts w:hint="eastAsia" w:ascii="仿宋" w:hAnsi="仿宋" w:eastAsia="仿宋" w:cs="仿宋"/>
          <w:color w:val="000000" w:themeColor="text1"/>
          <w:sz w:val="28"/>
          <w:szCs w:val="28"/>
          <w:highlight w:val="none"/>
          <w14:textFill>
            <w14:solidFill>
              <w14:schemeClr w14:val="tx1"/>
            </w14:solidFill>
          </w14:textFill>
        </w:rPr>
        <w:t xml:space="preserve">并编写评审报告。评审得分相同的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按照最后报价由低到高的顺序推荐。评审得分且最后报价相同的，按照“三、评审标准中</w:t>
      </w:r>
      <w:r>
        <w:rPr>
          <w:rFonts w:hint="eastAsia" w:ascii="仿宋" w:hAnsi="仿宋" w:cs="仿宋"/>
          <w:color w:val="000000" w:themeColor="text1"/>
          <w:sz w:val="28"/>
          <w:szCs w:val="28"/>
          <w:highlight w:val="none"/>
          <w:lang w:val="en-US" w:eastAsia="zh-CN"/>
          <w14:textFill>
            <w14:solidFill>
              <w14:schemeClr w14:val="tx1"/>
            </w14:solidFill>
          </w14:textFill>
        </w:rPr>
        <w:t xml:space="preserve">技术</w:t>
      </w:r>
      <w:r>
        <w:rPr>
          <w:rFonts w:hint="eastAsia" w:ascii="仿宋" w:hAnsi="仿宋" w:eastAsia="仿宋" w:cs="仿宋"/>
          <w:color w:val="000000" w:themeColor="text1"/>
          <w:sz w:val="28"/>
          <w:szCs w:val="28"/>
          <w:highlight w:val="none"/>
          <w14:textFill>
            <w14:solidFill>
              <w14:schemeClr w14:val="tx1"/>
            </w14:solidFill>
          </w14:textFill>
        </w:rPr>
        <w:t xml:space="preserve">”得分由高到低顺序推荐。</w:t>
      </w:r>
      <w:r/>
    </w:p>
    <w:p>
      <w:pPr>
        <w:ind w:firstLine="562"/>
        <w:keepLines w:val="0"/>
        <w:keepNext w:val="0"/>
        <w:pageBreakBefore w:val="0"/>
        <w:spacing w:line="56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二、</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小微企业价格扣除</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本项目服务全部由小微企业承接</w:t>
      </w:r>
      <w:r>
        <w:rPr>
          <w:rFonts w:hint="eastAsia" w:ascii="仿宋" w:hAnsi="仿宋" w:eastAsia="仿宋" w:cs="仿宋"/>
          <w:color w:val="000000" w:themeColor="text1"/>
          <w:sz w:val="28"/>
          <w:szCs w:val="28"/>
          <w:highlight w:val="none"/>
          <w:lang w:val="zh-CN" w:eastAsia="zh-CN"/>
          <w14:textFill>
            <w14:solidFill>
              <w14:schemeClr w14:val="tx1"/>
            </w14:solidFill>
          </w14:textFill>
        </w:rPr>
        <w:t xml:space="preserve">的，</w:t>
      </w:r>
      <w:r>
        <w:rPr>
          <w:rFonts w:hint="eastAsia" w:ascii="仿宋" w:hAnsi="仿宋" w:eastAsia="仿宋" w:cs="仿宋"/>
          <w:color w:val="000000" w:themeColor="text1"/>
          <w:sz w:val="28"/>
          <w:szCs w:val="28"/>
          <w:highlight w:val="none"/>
          <w14:textFill>
            <w14:solidFill>
              <w14:schemeClr w14:val="tx1"/>
            </w14:solidFill>
          </w14:textFill>
        </w:rPr>
        <w:t xml:space="preserve">对报价给予</w:t>
      </w:r>
      <w:r>
        <w:rPr>
          <w:rFonts w:hint="eastAsia" w:ascii="仿宋" w:hAnsi="仿宋" w:cs="仿宋"/>
          <w:color w:val="000000" w:themeColor="text1"/>
          <w:highlight w:val="none"/>
          <w:lang w:val="zh-CN"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的扣除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p>
    <w:p>
      <w:pPr>
        <w:ind w:firstLine="560"/>
        <w:keepLines w:val="0"/>
        <w:keepNext w:val="0"/>
        <w:pageBreakBefore w:val="0"/>
        <w:spacing w:line="56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残疾人福利性单位视同小型、微型企业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监狱和戒毒企业视同小型、微型企业</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给予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与小微企业</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相同</w:t>
      </w:r>
      <w:r>
        <w:rPr>
          <w:rFonts w:hint="eastAsia" w:ascii="仿宋" w:hAnsi="仿宋" w:eastAsia="仿宋" w:cs="仿宋"/>
          <w:color w:val="000000" w:themeColor="text1"/>
          <w:sz w:val="28"/>
          <w:szCs w:val="28"/>
          <w:highlight w:val="none"/>
          <w14:textFill>
            <w14:solidFill>
              <w14:schemeClr w14:val="tx1"/>
            </w14:solidFill>
          </w14:textFill>
        </w:rPr>
        <w:t xml:space="preserve">的价格扣除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用扣除后的价格参与评审</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残疾人福利单位、监狱企业属于小型、微型企业的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不重复享受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价格扣除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2"/>
        <w:keepLines w:val="0"/>
        <w:keepNext w:val="0"/>
        <w:pageBreakBefore w:val="0"/>
        <w:spacing w:line="56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上述价格扣除政策仅适用</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于</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u w:val="none"/>
          <w:lang w:val="en-US" w:eastAsia="zh-CN"/>
          <w14:textFill>
            <w14:solidFill>
              <w14:schemeClr w14:val="tx1"/>
            </w14:solidFill>
          </w14:textFill>
        </w:rPr>
        <w:t xml:space="preserve">非</w:t>
      </w:r>
      <w:r>
        <w:rPr>
          <w:rFonts w:hint="eastAsia" w:ascii="仿宋" w:hAnsi="仿宋" w:eastAsia="仿宋" w:cs="仿宋"/>
          <w:b/>
          <w:bCs/>
          <w:color w:val="000000" w:themeColor="text1"/>
          <w:sz w:val="28"/>
          <w:szCs w:val="28"/>
          <w:highlight w:val="none"/>
          <w:u w:val="none"/>
          <w:lang w:eastAsia="zh-CN"/>
          <w14:textFill>
            <w14:solidFill>
              <w14:schemeClr w14:val="tx1"/>
            </w14:solidFill>
          </w14:textFill>
        </w:rPr>
        <w:t xml:space="preserve">专门面向中小企业采购项目”</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562"/>
        <w:keepLines w:val="0"/>
        <w:keepNext w:val="0"/>
        <w:pageBreakBefore w:val="0"/>
        <w:spacing w:line="560" w:lineRule="exact"/>
        <w:widowControl w:val="off"/>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三、评审标准</w:t>
      </w:r>
      <w:r/>
    </w:p>
    <w:tbl>
      <w:tblPr>
        <w:tblStyle w:val="962"/>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1433"/>
      </w:tblGrid>
      <w:tr>
        <w:trPr>
          <w:jc w:val="center"/>
          <w:trHeight w:val="793"/>
        </w:trPr>
        <w:tc>
          <w:tcPr>
            <w:tcW w:w="519" w:type="dxa"/>
            <w:textDirection w:val="lrTb"/>
            <w:noWrap w:val="false"/>
          </w:tcPr>
          <w:p>
            <w:pPr>
              <w:ind w:firstLine="0"/>
              <w:jc w:val="center"/>
              <w:spacing w:before="264" w:line="264" w:lineRule="auto"/>
              <w:rPr>
                <w:rFonts w:hint="default"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序号</w:t>
            </w:r>
            <w:r/>
          </w:p>
        </w:tc>
        <w:tc>
          <w:tcPr>
            <w:tcW w:w="1179" w:type="dxa"/>
            <w:textDirection w:val="lrTb"/>
            <w:noWrap w:val="false"/>
          </w:tcPr>
          <w:p>
            <w:pPr>
              <w:ind w:firstLine="0"/>
              <w:jc w:val="center"/>
              <w:spacing w:before="264" w:line="264" w:lineRule="auto"/>
              <w:rPr>
                <w:rFonts w:hint="default"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评审因素</w:t>
            </w:r>
            <w:r/>
          </w:p>
        </w:tc>
        <w:tc>
          <w:tcPr>
            <w:tcW w:w="6616" w:type="dxa"/>
            <w:textDirection w:val="lrTb"/>
            <w:noWrap w:val="false"/>
          </w:tcPr>
          <w:p>
            <w:pPr>
              <w:ind w:firstLine="0"/>
              <w:jc w:val="center"/>
              <w:spacing w:before="264" w:line="264" w:lineRule="auto"/>
              <w:rPr>
                <w:rFonts w:hint="default"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评审细则</w:t>
            </w:r>
            <w:r/>
          </w:p>
        </w:tc>
        <w:tc>
          <w:tcPr>
            <w:tcW w:w="1433" w:type="dxa"/>
            <w:textDirection w:val="lrTb"/>
            <w:noWrap w:val="false"/>
          </w:tcPr>
          <w:p>
            <w:pPr>
              <w:ind w:firstLine="0"/>
              <w:jc w:val="center"/>
              <w:spacing w:before="264" w:line="264" w:lineRule="auto"/>
              <w:rPr>
                <w:rFonts w:hint="default" w:ascii="仿宋" w:hAnsi="仿宋" w:cs="仿宋"/>
                <w:b/>
                <w:bCs/>
                <w:color w:val="000000" w:themeColor="text1"/>
                <w:spacing w:val="-2"/>
                <w:sz w:val="24"/>
                <w:szCs w:val="24"/>
                <w:highlight w:val="none"/>
                <w14:textFill>
                  <w14:solidFill>
                    <w14:schemeClr w14:val="tx1"/>
                  </w14:solidFill>
                </w14:textFill>
              </w:rPr>
            </w:pPr>
            <w:r>
              <w:rPr>
                <w:rFonts w:hint="eastAsia" w:ascii="仿宋" w:hAnsi="仿宋" w:cs="仿宋"/>
                <w:b/>
                <w:bCs/>
                <w:color w:val="000000" w:themeColor="text1"/>
                <w:spacing w:val="-2"/>
                <w:sz w:val="24"/>
                <w:szCs w:val="24"/>
                <w:highlight w:val="none"/>
                <w14:textFill>
                  <w14:solidFill>
                    <w14:schemeClr w14:val="tx1"/>
                  </w14:solidFill>
                </w14:textFill>
              </w:rPr>
              <w:t xml:space="preserve">分值</w:t>
            </w:r>
            <w:r/>
          </w:p>
        </w:tc>
      </w:tr>
      <w:tr>
        <w:trPr>
          <w:jc w:val="center"/>
          <w:trHeight w:val="460"/>
        </w:trPr>
        <w:tc>
          <w:tcPr>
            <w:gridSpan w:val="4"/>
            <w:tcW w:w="9747" w:type="dxa"/>
            <w:textDirection w:val="lrTb"/>
            <w:noWrap w:val="false"/>
          </w:tcPr>
          <w:p>
            <w:pPr>
              <w:ind w:left="114" w:firstLine="0"/>
              <w:jc w:val="center"/>
              <w:spacing w:before="122"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1.价</w:t>
            </w:r>
            <w:r>
              <w:rPr>
                <w:rFonts w:hint="eastAsia" w:ascii="仿宋" w:hAnsi="仿宋" w:cs="仿宋"/>
                <w:b/>
                <w:bCs/>
                <w:color w:val="000000" w:themeColor="text1"/>
                <w:spacing w:val="-2"/>
                <w:sz w:val="24"/>
                <w:szCs w:val="24"/>
                <w:highlight w:val="none"/>
                <w14:textFill>
                  <w14:solidFill>
                    <w14:schemeClr w14:val="tx1"/>
                  </w14:solidFill>
                </w14:textFill>
              </w:rPr>
              <w:t xml:space="preserve">格(</w:t>
            </w:r>
            <w:r>
              <w:rPr>
                <w:rFonts w:hint="eastAsia" w:ascii="仿宋" w:hAnsi="仿宋" w:cs="仿宋"/>
                <w:b/>
                <w:bCs/>
                <w:color w:val="000000" w:themeColor="text1"/>
                <w:spacing w:val="-2"/>
                <w:sz w:val="24"/>
                <w:szCs w:val="24"/>
                <w:highlight w:val="none"/>
                <w:lang w:val="en-US" w:eastAsia="zh-CN"/>
                <w14:textFill>
                  <w14:solidFill>
                    <w14:schemeClr w14:val="tx1"/>
                  </w14:solidFill>
                </w14:textFill>
              </w:rPr>
              <w:t xml:space="preserve">20</w:t>
            </w:r>
            <w:r>
              <w:rPr>
                <w:rFonts w:hint="eastAsia" w:ascii="仿宋" w:hAnsi="仿宋" w:cs="仿宋"/>
                <w:b/>
                <w:bCs/>
                <w:color w:val="000000" w:themeColor="text1"/>
                <w:spacing w:val="-2"/>
                <w:sz w:val="24"/>
                <w:szCs w:val="24"/>
                <w:highlight w:val="none"/>
                <w14:textFill>
                  <w14:solidFill>
                    <w14:schemeClr w14:val="tx1"/>
                  </w14:solidFill>
                </w14:textFill>
              </w:rPr>
              <w:t xml:space="preserve">分)</w:t>
            </w:r>
            <w:r/>
          </w:p>
        </w:tc>
      </w:tr>
      <w:tr>
        <w:trPr>
          <w:jc w:val="center"/>
          <w:trHeight w:val="1030"/>
        </w:trPr>
        <w:tc>
          <w:tcPr>
            <w:tcW w:w="519" w:type="dxa"/>
            <w:vAlign w:val="center"/>
            <w:textDirection w:val="lrTb"/>
            <w:noWrap w:val="false"/>
          </w:tcPr>
          <w:p>
            <w:pPr>
              <w:ind w:firstLine="0"/>
              <w:jc w:val="center"/>
              <w:spacing w:before="68"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6"/>
                <w:sz w:val="24"/>
                <w:szCs w:val="24"/>
                <w:highlight w:val="none"/>
                <w14:textFill>
                  <w14:solidFill>
                    <w14:schemeClr w14:val="tx1"/>
                  </w14:solidFill>
                </w14:textFill>
              </w:rPr>
              <w:t xml:space="preserve">1</w:t>
            </w:r>
            <w:r>
              <w:rPr>
                <w:rFonts w:hint="eastAsia" w:ascii="仿宋" w:hAnsi="仿宋" w:cs="仿宋"/>
                <w:color w:val="000000" w:themeColor="text1"/>
                <w:spacing w:val="-5"/>
                <w:sz w:val="24"/>
                <w:szCs w:val="24"/>
                <w:highlight w:val="none"/>
                <w14:textFill>
                  <w14:solidFill>
                    <w14:schemeClr w14:val="tx1"/>
                  </w14:solidFill>
                </w14:textFill>
              </w:rPr>
              <w:t xml:space="preserve">.1</w:t>
            </w:r>
            <w:r/>
          </w:p>
        </w:tc>
        <w:tc>
          <w:tcPr>
            <w:tcW w:w="1179" w:type="dxa"/>
            <w:vAlign w:val="center"/>
            <w:textDirection w:val="lrTb"/>
            <w:noWrap w:val="false"/>
          </w:tcPr>
          <w:p>
            <w:pPr>
              <w:ind w:firstLine="0"/>
              <w:jc w:val="center"/>
              <w:spacing w:before="68"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价格分</w:t>
            </w:r>
            <w:r/>
          </w:p>
        </w:tc>
        <w:tc>
          <w:tcPr>
            <w:tcW w:w="6616" w:type="dxa"/>
            <w:vAlign w:val="center"/>
            <w:textDirection w:val="lrTb"/>
            <w:noWrap w:val="false"/>
          </w:tcPr>
          <w:p>
            <w:pPr>
              <w:ind w:firstLine="0"/>
              <w:spacing w:line="240"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p>
          <w:p>
            <w:pPr>
              <w:ind w:firstLine="0"/>
              <w:spacing w:line="240"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（2）对所有供应商的磋商价格按照以下办法进行评分：</w:t>
            </w:r>
            <w:r/>
          </w:p>
          <w:p>
            <w:pPr>
              <w:ind w:firstLine="0"/>
              <w:spacing w:line="240"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经磋商小组评审后，满足磋商文件要求且报价最低的磋商报价为磋商基准价，其价格分为满分</w:t>
            </w:r>
            <w:r>
              <w:rPr>
                <w:rFonts w:hint="eastAsia" w:ascii="仿宋" w:hAnsi="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40"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各响应报价得分=（磋商基准价/响应报价）×</w:t>
            </w:r>
            <w:r>
              <w:rPr>
                <w:rFonts w:hint="eastAsia" w:ascii="仿宋" w:hAnsi="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cs="仿宋"/>
                <w:color w:val="000000" w:themeColor="text1"/>
                <w:sz w:val="24"/>
                <w:szCs w:val="24"/>
                <w:highlight w:val="none"/>
                <w14:textFill>
                  <w14:solidFill>
                    <w14:schemeClr w14:val="tx1"/>
                  </w14:solidFill>
                </w14:textFill>
              </w:rPr>
              <w:t xml:space="preserve">（小数点留两位）</w:t>
            </w:r>
            <w:r/>
          </w:p>
          <w:p>
            <w:pPr>
              <w:ind w:firstLine="0"/>
              <w:jc w:val="left"/>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3）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W w:w="1433" w:type="dxa"/>
            <w:vAlign w:val="center"/>
            <w:textDirection w:val="lrTb"/>
            <w:noWrap w:val="false"/>
          </w:tcPr>
          <w:p>
            <w:pPr>
              <w:ind w:firstLine="0"/>
              <w:jc w:val="center"/>
              <w:spacing w:before="68" w:line="264" w:lineRule="auto"/>
              <w:rPr>
                <w:rFonts w:hint="default" w:ascii="仿宋" w:hAnsi="仿宋" w:eastAsia="仿宋" w:cs="仿宋"/>
                <w:color w:val="000000" w:themeColor="text1"/>
                <w:spacing w:val="-4"/>
                <w:sz w:val="24"/>
                <w:szCs w:val="24"/>
                <w:highlight w:val="none"/>
                <w:lang w:val="en-US" w:eastAsia="zh-CN"/>
                <w14:textFill>
                  <w14:solidFill>
                    <w14:schemeClr w14:val="tx1"/>
                  </w14:solidFill>
                </w14:textFill>
              </w:rPr>
            </w:pPr>
            <w:r>
              <w:rPr>
                <w:rFonts w:hint="eastAsia" w:ascii="仿宋" w:hAnsi="仿宋" w:cs="仿宋"/>
                <w:color w:val="000000" w:themeColor="text1"/>
                <w:spacing w:val="-4"/>
                <w:sz w:val="24"/>
                <w:szCs w:val="24"/>
                <w:highlight w:val="none"/>
                <w:lang w:val="en-US" w:eastAsia="zh-CN"/>
                <w14:textFill>
                  <w14:solidFill>
                    <w14:schemeClr w14:val="tx1"/>
                  </w14:solidFill>
                </w14:textFill>
              </w:rPr>
              <w:t xml:space="preserve">20</w:t>
            </w:r>
            <w:r/>
          </w:p>
        </w:tc>
      </w:tr>
      <w:tr>
        <w:trPr>
          <w:jc w:val="center"/>
          <w:trHeight w:val="460"/>
        </w:trPr>
        <w:tc>
          <w:tcPr>
            <w:gridSpan w:val="4"/>
            <w:tcW w:w="9747" w:type="dxa"/>
            <w:textDirection w:val="lrTb"/>
            <w:noWrap w:val="false"/>
          </w:tcPr>
          <w:p>
            <w:pPr>
              <w:ind w:left="114" w:firstLine="0"/>
              <w:jc w:val="center"/>
              <w:spacing w:before="123"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2.技术(</w:t>
            </w:r>
            <w:r>
              <w:rPr>
                <w:rFonts w:hint="eastAsia" w:ascii="仿宋" w:hAnsi="仿宋" w:cs="仿宋"/>
                <w:b/>
                <w:bCs/>
                <w:color w:val="000000" w:themeColor="text1"/>
                <w:spacing w:val="-3"/>
                <w:sz w:val="24"/>
                <w:szCs w:val="24"/>
                <w:highlight w:val="none"/>
                <w:lang w:val="en-US" w:eastAsia="zh-CN"/>
                <w14:textFill>
                  <w14:solidFill>
                    <w14:schemeClr w14:val="tx1"/>
                  </w14:solidFill>
                </w14:textFill>
              </w:rPr>
              <w:t xml:space="preserve">55</w:t>
            </w:r>
            <w:r>
              <w:rPr>
                <w:rFonts w:hint="eastAsia" w:ascii="仿宋" w:hAnsi="仿宋" w:cs="仿宋"/>
                <w:b/>
                <w:bCs/>
                <w:color w:val="000000" w:themeColor="text1"/>
                <w:spacing w:val="-3"/>
                <w:sz w:val="24"/>
                <w:szCs w:val="24"/>
                <w:highlight w:val="none"/>
                <w14:textFill>
                  <w14:solidFill>
                    <w14:schemeClr w14:val="tx1"/>
                  </w14:solidFill>
                </w14:textFill>
              </w:rPr>
              <w:t xml:space="preserve">分)</w:t>
            </w:r>
            <w:r/>
          </w:p>
        </w:tc>
      </w:tr>
      <w:tr>
        <w:trPr>
          <w:jc w:val="center"/>
          <w:trHeight w:val="891"/>
        </w:trPr>
        <w:tc>
          <w:tcPr>
            <w:tcW w:w="519" w:type="dxa"/>
            <w:vAlign w:val="center"/>
            <w:textDirection w:val="lrTb"/>
            <w:noWrap w:val="false"/>
          </w:tcPr>
          <w:p>
            <w:pPr>
              <w:ind w:firstLine="0"/>
              <w:jc w:val="center"/>
              <w:spacing w:line="264" w:lineRule="auto"/>
              <w:rPr>
                <w:rFonts w:hint="default"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2.1</w:t>
            </w:r>
            <w:r/>
          </w:p>
        </w:tc>
        <w:tc>
          <w:tcPr>
            <w:tcW w:w="1179" w:type="dxa"/>
            <w:vAlign w:val="center"/>
            <w:textDirection w:val="lrTb"/>
            <w:noWrap w:val="false"/>
          </w:tcPr>
          <w:p>
            <w:pPr>
              <w:ind w:firstLine="0"/>
              <w:jc w:val="center"/>
              <w:spacing w:line="264" w:lineRule="auto"/>
              <w:rPr>
                <w:rFonts w:hint="default"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运维需求理解分析</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评委根据供应商提供的需求理解材料综合评分，包括：1.项目整体运维需求理解分析；2.项目整体运维重难点理解分析；以上每项内容逐条阐述。 </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以上每项内容完整深刻、针对性强、紧贴采购需求的，得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2.5</w:t>
            </w:r>
            <w:r>
              <w:rPr>
                <w:rFonts w:hint="eastAsia" w:ascii="仿宋" w:hAnsi="仿宋" w:cs="仿宋"/>
                <w:color w:val="000000" w:themeColor="text1"/>
                <w:spacing w:val="1"/>
                <w:sz w:val="24"/>
                <w:szCs w:val="24"/>
                <w:highlight w:val="none"/>
                <w14:textFill>
                  <w14:solidFill>
                    <w14:schemeClr w14:val="tx1"/>
                  </w14:solidFill>
                </w14:textFill>
              </w:rPr>
              <w:t xml:space="preserve">分； </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以上每项内容基本完整、具有一定针对性、基本符合采购需求的，得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pacing w:val="1"/>
                <w:sz w:val="24"/>
                <w:szCs w:val="24"/>
                <w:highlight w:val="none"/>
                <w14:textFill>
                  <w14:solidFill>
                    <w14:schemeClr w14:val="tx1"/>
                  </w14:solidFill>
                </w14:textFill>
              </w:rPr>
              <w:t xml:space="preserve">分； </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default"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r>
      <w:tr>
        <w:trPr>
          <w:jc w:val="center"/>
          <w:trHeight w:val="889"/>
        </w:trPr>
        <w:tc>
          <w:tcPr>
            <w:tcW w:w="519" w:type="dxa"/>
            <w:vAlign w:val="center"/>
            <w:textDirection w:val="lrTb"/>
            <w:noWrap w:val="false"/>
          </w:tcPr>
          <w:p>
            <w:pPr>
              <w:contextualSpacing/>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2.2</w:t>
            </w:r>
            <w:r/>
          </w:p>
        </w:tc>
        <w:tc>
          <w:tcPr>
            <w:tcW w:w="1179" w:type="dxa"/>
            <w:vAlign w:val="center"/>
            <w:textDirection w:val="lrTb"/>
            <w:noWrap w:val="false"/>
          </w:tcPr>
          <w:p>
            <w:pPr>
              <w:contextualSpacing/>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运维服务保障方案及应急预案</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项目运维服务保障方案及应急预案综合评分，包括：1.项目整体运维服务保障方案；2.项目整体运维服务应急预案；3.运维服务承诺情况，服务承诺的可行性、完整性以及服务承诺落实的保障措施；以上每项内容逐条阐述。</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以上每项内容完整深刻、详尽合理、针对性和可行性强、紧贴采购需求的，得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3</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以上每项内容基本完整、基本详尽合理、具有一定的针对性和可行性、基本符合采购需求的，得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1.5</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9</w:t>
            </w:r>
            <w:r/>
          </w:p>
        </w:tc>
      </w:tr>
      <w:tr>
        <w:trPr>
          <w:jc w:val="center"/>
          <w:trHeight w:val="825"/>
        </w:trPr>
        <w:tc>
          <w:tcPr>
            <w:tcW w:w="519" w:type="dxa"/>
            <w:vAlign w:val="center"/>
            <w:textDirection w:val="lrTb"/>
            <w:noWrap w:val="false"/>
          </w:tcPr>
          <w:p>
            <w:pPr>
              <w:ind w:firstLine="0"/>
              <w:jc w:val="center"/>
              <w:spacing w:before="68" w:line="264" w:lineRule="auto"/>
              <w:rPr>
                <w:rFonts w:hint="default"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2.3</w:t>
            </w:r>
            <w:r/>
          </w:p>
        </w:tc>
        <w:tc>
          <w:tcPr>
            <w:tcW w:w="1179" w:type="dxa"/>
            <w:vAlign w:val="center"/>
            <w:textDirection w:val="lrTb"/>
            <w:noWrap w:val="false"/>
          </w:tcPr>
          <w:p>
            <w:pPr>
              <w:ind w:firstLine="0"/>
              <w:jc w:val="center"/>
              <w:spacing w:before="68" w:line="264" w:lineRule="auto"/>
              <w:rPr>
                <w:rFonts w:hint="default" w:ascii="仿宋" w:hAnsi="仿宋" w:cs="仿宋"/>
                <w:color w:val="000000" w:themeColor="text1"/>
                <w:spacing w:val="-2"/>
                <w:sz w:val="24"/>
                <w:szCs w:val="24"/>
                <w:highlight w:val="none"/>
                <w14:textFill>
                  <w14:solidFill>
                    <w14:schemeClr w14:val="tx1"/>
                  </w14:solidFill>
                </w14:textFill>
              </w:rPr>
            </w:pPr>
            <w:r>
              <w:rPr>
                <w:rFonts w:hint="eastAsia" w:ascii="仿宋" w:hAnsi="仿宋" w:cs="仿宋"/>
                <w:color w:val="000000" w:themeColor="text1"/>
                <w:spacing w:val="-2"/>
                <w:sz w:val="24"/>
                <w:szCs w:val="24"/>
                <w:highlight w:val="none"/>
                <w14:textFill>
                  <w14:solidFill>
                    <w14:schemeClr w14:val="tx1"/>
                  </w14:solidFill>
                </w14:textFill>
              </w:rPr>
              <w:t xml:space="preserve">项目实施方案</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评委根据供应商提供的项目实施方案综合评分，包括：1.实施流程及进度安排；2.软件运维服务措施；3.数据运维服务措施；4.技术服务支撑措施。以上每项内容逐条阐述。 </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以上每项内容完整深刻、可行性强、紧贴采购需求的，得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2.5</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以上每项内容基本完整、具有一定可行性、基本符合采购需求的，得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before="68" w:line="264"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pacing w:val="-2"/>
                <w:sz w:val="24"/>
                <w:szCs w:val="24"/>
                <w:highlight w:val="none"/>
                <w:lang w:val="en-US" w:eastAsia="zh-CN"/>
                <w14:textFill>
                  <w14:solidFill>
                    <w14:schemeClr w14:val="tx1"/>
                  </w14:solidFill>
                </w14:textFill>
              </w:rPr>
              <w:t xml:space="preserve">10</w:t>
            </w:r>
            <w:r/>
          </w:p>
        </w:tc>
      </w:tr>
      <w:tr>
        <w:trPr>
          <w:jc w:val="center"/>
          <w:trHeight w:val="868"/>
        </w:trPr>
        <w:tc>
          <w:tcPr>
            <w:tcW w:w="519" w:type="dxa"/>
            <w:vAlign w:val="center"/>
            <w:textDirection w:val="lrTb"/>
            <w:noWrap w:val="false"/>
          </w:tcPr>
          <w:p>
            <w:pPr>
              <w:ind w:firstLine="0"/>
              <w:jc w:val="center"/>
              <w:spacing w:before="69" w:line="264" w:lineRule="auto"/>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2.</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4</w:t>
            </w:r>
            <w:r/>
          </w:p>
        </w:tc>
        <w:tc>
          <w:tcPr>
            <w:tcW w:w="117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业务系统运维服务响应方案</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评委根据供应商提供的业务系统运维服务响应方案综合评分，包括1.运维服务目标；2.运维服务响应机制；3.运维服务流程；4.运维服务质量管理。以上每项内容逐条阐述。</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以上每项内容紧贴采购需求、详尽合理、针对性强、技术先进可行的，得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2</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以上每项内容基本符合采购需求、基本详尽合理、具有一定的针对性、基本可行的，得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eastAsia" w:ascii="仿宋" w:hAnsi="仿宋" w:eastAsia="仿宋" w:cs="仿宋"/>
                <w:color w:val="000000" w:themeColor="text1"/>
                <w:spacing w:val="1"/>
                <w:sz w:val="24"/>
                <w:szCs w:val="24"/>
                <w:highlight w:val="none"/>
                <w:lang w:eastAsia="zh-CN"/>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rPr>
                <w:rFonts w:hint="eastAsia" w:ascii="仿宋" w:hAnsi="仿宋" w:cs="仿宋"/>
                <w:color w:val="000000" w:themeColor="text1"/>
                <w:spacing w:val="1"/>
                <w:sz w:val="24"/>
                <w:szCs w:val="24"/>
                <w:highlight w:val="none"/>
                <w:lang w:eastAsia="zh-CN"/>
                <w14:textFill>
                  <w14:solidFill>
                    <w14:schemeClr w14:val="tx1"/>
                  </w14:solidFill>
                </w14:textFill>
              </w:rPr>
              <w:t xml:space="preserve">。</w:t>
            </w:r>
            <w:r/>
          </w:p>
        </w:tc>
        <w:tc>
          <w:tcPr>
            <w:tcW w:w="1433" w:type="dxa"/>
            <w:vAlign w:val="center"/>
            <w:textDirection w:val="lrTb"/>
            <w:noWrap w:val="false"/>
          </w:tcPr>
          <w:p>
            <w:pPr>
              <w:ind w:firstLine="0"/>
              <w:jc w:val="center"/>
              <w:spacing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w:t>
            </w:r>
            <w:r/>
          </w:p>
        </w:tc>
      </w:tr>
      <w:tr>
        <w:trPr>
          <w:jc w:val="center"/>
          <w:trHeight w:val="868"/>
        </w:trPr>
        <w:tc>
          <w:tcPr>
            <w:tcW w:w="519" w:type="dxa"/>
            <w:vAlign w:val="center"/>
            <w:textDirection w:val="lrTb"/>
            <w:noWrap w:val="false"/>
          </w:tcPr>
          <w:p>
            <w:pPr>
              <w:ind w:firstLine="0"/>
              <w:jc w:val="center"/>
              <w:spacing w:before="69" w:line="264" w:lineRule="auto"/>
              <w:rPr>
                <w:rFonts w:hint="default"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2.5</w:t>
            </w:r>
            <w:r/>
          </w:p>
        </w:tc>
        <w:tc>
          <w:tcPr>
            <w:tcW w:w="1179" w:type="dxa"/>
            <w:vAlign w:val="center"/>
            <w:textDirection w:val="lrTb"/>
            <w:noWrap w:val="false"/>
          </w:tcPr>
          <w:p>
            <w:pPr>
              <w:ind w:firstLine="0"/>
              <w:jc w:val="center"/>
              <w:spacing w:before="69"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项目培训方案</w:t>
            </w:r>
            <w:r/>
          </w:p>
        </w:tc>
        <w:tc>
          <w:tcPr>
            <w:tcW w:w="6616" w:type="dxa"/>
            <w:vAlign w:val="center"/>
            <w:textDirection w:val="lrTb"/>
            <w:noWrap w:val="false"/>
          </w:tcPr>
          <w:p>
            <w:pPr>
              <w:ind w:firstLine="0"/>
              <w:spacing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供应商</w:t>
            </w:r>
            <w:r>
              <w:rPr>
                <w:rFonts w:hint="eastAsia" w:ascii="仿宋" w:hAnsi="仿宋" w:cs="仿宋"/>
                <w:color w:val="000000" w:themeColor="text1"/>
                <w:spacing w:val="1"/>
                <w:sz w:val="24"/>
                <w:szCs w:val="24"/>
                <w:highlight w:val="none"/>
                <w14:textFill>
                  <w14:solidFill>
                    <w14:schemeClr w14:val="tx1"/>
                  </w14:solidFill>
                </w14:textFill>
              </w:rPr>
              <w:t xml:space="preserve">提供的项目培训方案综合评分，包括1.培训计划；2.培训内容；3.培训方式； 4.培训效果评估。以上每项内容逐条阐述。 </w:t>
            </w:r>
            <w:r/>
          </w:p>
          <w:p>
            <w:pPr>
              <w:ind w:firstLine="0"/>
              <w:spacing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以上每项内容紧贴采购需求、详尽合理、针对性和可行性强，得2分； </w:t>
            </w:r>
            <w:r/>
          </w:p>
          <w:p>
            <w:pPr>
              <w:ind w:firstLine="0"/>
              <w:spacing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以上每项内容基本符合采购需求、基本详尽合理、具有一定的针对性、基本可行的，得1分；</w:t>
            </w:r>
            <w:r/>
          </w:p>
          <w:p>
            <w:pPr>
              <w:ind w:firstLine="0"/>
              <w:spacing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以上每项内容不合理可行或未提供方案的不得分。</w:t>
            </w:r>
            <w:r/>
          </w:p>
        </w:tc>
        <w:tc>
          <w:tcPr>
            <w:tcW w:w="1433" w:type="dxa"/>
            <w:vAlign w:val="center"/>
            <w:textDirection w:val="lrTb"/>
            <w:noWrap w:val="false"/>
          </w:tcPr>
          <w:p>
            <w:pPr>
              <w:ind w:firstLine="0"/>
              <w:jc w:val="center"/>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8</w:t>
            </w:r>
            <w:r/>
          </w:p>
        </w:tc>
      </w:tr>
      <w:tr>
        <w:trPr>
          <w:jc w:val="center"/>
          <w:trHeight w:val="868"/>
        </w:trPr>
        <w:tc>
          <w:tcPr>
            <w:tcW w:w="519" w:type="dxa"/>
            <w:vAlign w:val="center"/>
            <w:textDirection w:val="lrTb"/>
            <w:noWrap w:val="false"/>
          </w:tcPr>
          <w:p>
            <w:pPr>
              <w:ind w:firstLine="0"/>
              <w:jc w:val="center"/>
              <w:spacing w:before="69" w:line="264" w:lineRule="auto"/>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2.</w:t>
            </w:r>
            <w:r>
              <w:rPr>
                <w:rFonts w:hint="eastAsia" w:ascii="仿宋" w:hAnsi="仿宋" w:cs="仿宋"/>
                <w:color w:val="000000" w:themeColor="text1"/>
                <w:spacing w:val="-4"/>
                <w:sz w:val="24"/>
                <w:szCs w:val="24"/>
                <w:highlight w:val="none"/>
                <w:lang w:val="en-US" w:eastAsia="zh-CN"/>
                <w14:textFill>
                  <w14:solidFill>
                    <w14:schemeClr w14:val="tx1"/>
                  </w14:solidFill>
                </w14:textFill>
              </w:rPr>
              <w:t xml:space="preserve">6</w:t>
            </w:r>
            <w:r/>
          </w:p>
        </w:tc>
        <w:tc>
          <w:tcPr>
            <w:tcW w:w="1179" w:type="dxa"/>
            <w:vAlign w:val="center"/>
            <w:textDirection w:val="lrTb"/>
            <w:noWrap w:val="false"/>
          </w:tcPr>
          <w:p>
            <w:pPr>
              <w:ind w:firstLine="0"/>
              <w:jc w:val="center"/>
              <w:spacing w:before="69"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运维巡检方案</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评委根据供应商提供详细运维巡检服务方案进行评分。（包含但不限于有完善的项目档案管理机制，能够建立完整的项目运维相关的知识库体系，各类工作记录单样例齐全。）</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方案完整、合理，记录单样例齐全，样例设计好得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方案比较完整，记录单样例比较齐全，样例设计较好得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3</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方案不够完整，记录单样例不够齐全，样例设计欠缺得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未提供方案或记录单样例不齐全、样例设计不合理得0分。</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pacing w:val="-2"/>
                <w:sz w:val="24"/>
                <w:szCs w:val="24"/>
                <w:highlight w:val="none"/>
                <w:lang w:val="en-US" w:eastAsia="zh-CN"/>
                <w14:textFill>
                  <w14:solidFill>
                    <w14:schemeClr w14:val="tx1"/>
                  </w14:solidFill>
                </w14:textFill>
              </w:rPr>
              <w:t xml:space="preserve">5</w:t>
            </w:r>
            <w:r/>
          </w:p>
        </w:tc>
      </w:tr>
      <w:tr>
        <w:trPr>
          <w:jc w:val="center"/>
          <w:trHeight w:val="868"/>
        </w:trPr>
        <w:tc>
          <w:tcPr>
            <w:tcW w:w="519" w:type="dxa"/>
            <w:vAlign w:val="center"/>
            <w:textDirection w:val="lrTb"/>
            <w:noWrap w:val="false"/>
          </w:tcPr>
          <w:p>
            <w:pPr>
              <w:ind w:firstLine="0"/>
              <w:jc w:val="center"/>
              <w:spacing w:before="69" w:line="264" w:lineRule="auto"/>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2.</w:t>
            </w:r>
            <w:r>
              <w:rPr>
                <w:rFonts w:hint="eastAsia" w:ascii="仿宋" w:hAnsi="仿宋" w:cs="仿宋"/>
                <w:color w:val="000000" w:themeColor="text1"/>
                <w:spacing w:val="-4"/>
                <w:sz w:val="24"/>
                <w:szCs w:val="24"/>
                <w:highlight w:val="none"/>
                <w:lang w:val="en-US" w:eastAsia="zh-CN"/>
                <w14:textFill>
                  <w14:solidFill>
                    <w14:schemeClr w14:val="tx1"/>
                  </w14:solidFill>
                </w14:textFill>
              </w:rPr>
              <w:t xml:space="preserve">7</w:t>
            </w:r>
            <w:r/>
          </w:p>
        </w:tc>
        <w:tc>
          <w:tcPr>
            <w:tcW w:w="117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4"/>
                <w:sz w:val="24"/>
                <w:szCs w:val="24"/>
                <w:highlight w:val="none"/>
                <w14:textFill>
                  <w14:solidFill>
                    <w14:schemeClr w14:val="tx1"/>
                  </w14:solidFill>
                </w14:textFill>
              </w:rPr>
              <w:t xml:space="preserve">项目沟通机制</w:t>
            </w:r>
            <w:r/>
          </w:p>
        </w:tc>
        <w:tc>
          <w:tcPr>
            <w:tcW w:w="6616" w:type="dxa"/>
            <w:vAlign w:val="center"/>
            <w:textDirection w:val="lrTb"/>
            <w:noWrap w:val="false"/>
          </w:tcPr>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根据供应商提供的项目沟通机制进行综合评分：建立了有效的沟通机制方案，包括明确的沟通渠道、沟通频率和沟通内容、沟通方式等进行评审：</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方案细致、完善、全面可实施的得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方案较为细致、完善、全面可实施的得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3</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方案基本合理可行得</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pacing w:val="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default" w:ascii="仿宋" w:hAnsi="仿宋" w:cs="仿宋"/>
                <w:color w:val="000000" w:themeColor="text1"/>
                <w:spacing w:val="1"/>
                <w:sz w:val="24"/>
                <w:szCs w:val="24"/>
                <w:highlight w:val="none"/>
                <w14:textFill>
                  <w14:solidFill>
                    <w14:schemeClr w14:val="tx1"/>
                  </w14:solidFill>
                </w14:textFill>
              </w:rPr>
              <w:t xml:space="preserve">未提供方案或方案与项目严重不符，得0分。</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r>
      <w:tr>
        <w:trPr>
          <w:jc w:val="center"/>
          <w:trHeight w:val="868"/>
        </w:trPr>
        <w:tc>
          <w:tcPr>
            <w:tcW w:w="519" w:type="dxa"/>
            <w:vAlign w:val="center"/>
            <w:textDirection w:val="lrTb"/>
            <w:noWrap w:val="false"/>
          </w:tcPr>
          <w:p>
            <w:pPr>
              <w:ind w:firstLine="0"/>
              <w:jc w:val="center"/>
              <w:spacing w:before="69" w:line="264" w:lineRule="auto"/>
              <w:rPr>
                <w:rFonts w:hint="default" w:ascii="仿宋" w:hAnsi="仿宋" w:eastAsia="仿宋" w:cs="仿宋"/>
                <w:color w:val="000000" w:themeColor="text1"/>
                <w:spacing w:val="-4"/>
                <w:sz w:val="24"/>
                <w:szCs w:val="24"/>
                <w:highlight w:val="none"/>
                <w:lang w:val="en-US" w:eastAsia="zh-CN"/>
                <w14:textFill>
                  <w14:solidFill>
                    <w14:schemeClr w14:val="tx1"/>
                  </w14:solidFill>
                </w14:textFill>
              </w:rPr>
            </w:pPr>
            <w:r>
              <w:rPr>
                <w:rFonts w:hint="eastAsia" w:ascii="仿宋" w:hAnsi="仿宋" w:cs="仿宋"/>
                <w:color w:val="000000" w:themeColor="text1"/>
                <w:spacing w:val="-4"/>
                <w:sz w:val="24"/>
                <w:szCs w:val="24"/>
                <w:highlight w:val="none"/>
                <w:lang w:val="en-US" w:eastAsia="zh-CN"/>
                <w14:textFill>
                  <w14:solidFill>
                    <w14:schemeClr w14:val="tx1"/>
                  </w14:solidFill>
                </w14:textFill>
              </w:rPr>
              <w:t xml:space="preserve">2.8</w:t>
            </w:r>
            <w:r/>
          </w:p>
        </w:tc>
        <w:tc>
          <w:tcPr>
            <w:tcW w:w="1179" w:type="dxa"/>
            <w:vAlign w:val="center"/>
            <w:textDirection w:val="lrTb"/>
            <w:noWrap w:val="false"/>
          </w:tcPr>
          <w:p>
            <w:pPr>
              <w:ind w:firstLine="0"/>
              <w:jc w:val="center"/>
              <w:spacing w:before="69" w:line="264" w:lineRule="auto"/>
              <w:rPr>
                <w:rFonts w:hint="eastAsia" w:ascii="仿宋" w:hAnsi="仿宋" w:cs="仿宋"/>
                <w:color w:val="000000" w:themeColor="text1"/>
                <w:spacing w:val="-4"/>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人员配备方案</w:t>
            </w:r>
            <w:r/>
          </w:p>
        </w:tc>
        <w:tc>
          <w:tcPr>
            <w:tcW w:w="6616" w:type="dxa"/>
            <w:vAlign w:val="center"/>
            <w:textDirection w:val="lrTb"/>
            <w:noWrap w:val="false"/>
          </w:tcPr>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评委根据供应商提供人员配备方案进行评分。</w:t>
            </w:r>
            <w:r/>
          </w:p>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方案合理，团队管理机制完善，团队人员运维服务经验丰富，满足项目需求，得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方案较为合理，团队管理机制较好，团队人员运维服务经验较为丰富，较好地满足项目需求；得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方案基本合理，团队管理机制欠缺，团队人员运维服务经验欠缺，基本满足项目需求，得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未提供方案或方案与项目严重不符，得0分。</w:t>
            </w:r>
            <w:r/>
          </w:p>
        </w:tc>
        <w:tc>
          <w:tcPr>
            <w:tcW w:w="1433" w:type="dxa"/>
            <w:vAlign w:val="center"/>
            <w:textDirection w:val="lrTb"/>
            <w:noWrap w:val="false"/>
          </w:tcPr>
          <w:p>
            <w:pPr>
              <w:ind w:firstLine="0"/>
              <w:jc w:val="center"/>
              <w:spacing w:before="68" w:line="264" w:lineRule="auto"/>
              <w:rPr>
                <w:rFonts w:hint="eastAsia"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p>
        </w:tc>
      </w:tr>
      <w:tr>
        <w:trPr>
          <w:jc w:val="center"/>
          <w:trHeight w:val="455"/>
        </w:trPr>
        <w:tc>
          <w:tcPr>
            <w:gridSpan w:val="4"/>
            <w:tcW w:w="9747" w:type="dxa"/>
            <w:vAlign w:val="center"/>
            <w:textDirection w:val="lrTb"/>
            <w:noWrap w:val="false"/>
          </w:tcPr>
          <w:p>
            <w:pPr>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3.业绩（</w:t>
            </w:r>
            <w:r>
              <w:rPr>
                <w:rFonts w:hint="eastAsia" w:ascii="仿宋" w:hAnsi="仿宋" w:cs="仿宋"/>
                <w:b/>
                <w:bCs/>
                <w:color w:val="000000" w:themeColor="text1"/>
                <w:spacing w:val="-3"/>
                <w:sz w:val="24"/>
                <w:szCs w:val="24"/>
                <w:highlight w:val="none"/>
                <w:lang w:val="en-US" w:eastAsia="zh-CN"/>
                <w14:textFill>
                  <w14:solidFill>
                    <w14:schemeClr w14:val="tx1"/>
                  </w14:solidFill>
                </w14:textFill>
              </w:rPr>
              <w:t xml:space="preserve">9</w:t>
            </w:r>
            <w:r>
              <w:rPr>
                <w:rFonts w:hint="eastAsia" w:ascii="仿宋" w:hAnsi="仿宋" w:cs="仿宋"/>
                <w:b/>
                <w:bCs/>
                <w:color w:val="000000" w:themeColor="text1"/>
                <w:spacing w:val="-3"/>
                <w:sz w:val="24"/>
                <w:szCs w:val="24"/>
                <w:highlight w:val="none"/>
                <w14:textFill>
                  <w14:solidFill>
                    <w14:schemeClr w14:val="tx1"/>
                  </w14:solidFill>
                </w14:textFill>
              </w:rPr>
              <w:t xml:space="preserve">分）</w:t>
            </w:r>
            <w:r/>
          </w:p>
        </w:tc>
      </w:tr>
      <w:tr>
        <w:trPr>
          <w:jc w:val="center"/>
          <w:trHeight w:val="1015"/>
        </w:trPr>
        <w:tc>
          <w:tcPr>
            <w:tcW w:w="51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3.1</w:t>
            </w:r>
            <w:r/>
          </w:p>
        </w:tc>
        <w:tc>
          <w:tcPr>
            <w:tcW w:w="117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业绩</w:t>
            </w:r>
            <w:r/>
          </w:p>
        </w:tc>
        <w:tc>
          <w:tcPr>
            <w:tcW w:w="6616" w:type="dxa"/>
            <w:vAlign w:val="center"/>
            <w:textDirection w:val="lrTb"/>
            <w:noWrap w:val="false"/>
          </w:tcPr>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供应商提供自2023年1月1日（含）以来（时间以合同签订时间为准）完成的类似信息化运维项目的案例，每提供1个得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cs="仿宋"/>
                <w:color w:val="000000" w:themeColor="text1"/>
                <w:sz w:val="24"/>
                <w:szCs w:val="24"/>
                <w:highlight w:val="none"/>
                <w14:textFill>
                  <w14:solidFill>
                    <w14:schemeClr w14:val="tx1"/>
                  </w14:solidFill>
                </w14:textFill>
              </w:rPr>
              <w:t xml:space="preserve">分，最多</w:t>
            </w:r>
            <w:r>
              <w:rPr>
                <w:rFonts w:hint="eastAsia" w:ascii="仿宋" w:hAnsi="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（提供合同</w:t>
            </w:r>
            <w:r>
              <w:rPr>
                <w:rFonts w:hint="eastAsia" w:ascii="仿宋" w:hAnsi="仿宋" w:cs="仿宋"/>
                <w:color w:val="000000" w:themeColor="text1"/>
                <w:sz w:val="24"/>
                <w:szCs w:val="24"/>
                <w:highlight w:val="none"/>
                <w:lang w:val="en-US" w:eastAsia="zh-CN"/>
                <w14:textFill>
                  <w14:solidFill>
                    <w14:schemeClr w14:val="tx1"/>
                  </w14:solidFill>
                </w14:textFill>
              </w:rPr>
              <w:t xml:space="preserve">扫描件</w:t>
            </w:r>
            <w:r>
              <w:rPr>
                <w:rFonts w:hint="eastAsia" w:ascii="仿宋" w:hAnsi="仿宋" w:cs="仿宋"/>
                <w:color w:val="000000" w:themeColor="text1"/>
                <w:sz w:val="24"/>
                <w:szCs w:val="24"/>
                <w:highlight w:val="none"/>
                <w14:textFill>
                  <w14:solidFill>
                    <w14:schemeClr w14:val="tx1"/>
                  </w14:solidFill>
                </w14:textFill>
              </w:rPr>
              <w:t xml:space="preserve">加盖公章，合同须能反映项目名称、主要标的物，签订时间和签章清晰可见，未按要求提供不得分。供应商业绩、项目经理经验、</w:t>
            </w: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w:t>
            </w:r>
            <w:r>
              <w:rPr>
                <w:rFonts w:hint="eastAsia" w:ascii="仿宋" w:hAnsi="仿宋" w:cs="仿宋"/>
                <w:color w:val="000000" w:themeColor="text1"/>
                <w:sz w:val="24"/>
                <w:szCs w:val="24"/>
                <w:highlight w:val="none"/>
                <w14:textFill>
                  <w14:solidFill>
                    <w14:schemeClr w14:val="tx1"/>
                  </w14:solidFill>
                </w14:textFill>
              </w:rPr>
              <w:t xml:space="preserve">经验三项评分因素，同一份合同（项目）仅能用于其中一项，</w:t>
            </w:r>
            <w:r>
              <w:rPr>
                <w:rFonts w:hint="eastAsia" w:ascii="仿宋" w:hAnsi="仿宋" w:cs="仿宋"/>
                <w:color w:val="000000" w:themeColor="text1"/>
                <w:sz w:val="24"/>
                <w:szCs w:val="24"/>
                <w:highlight w:val="none"/>
                <w:lang w:val="en-US" w:eastAsia="zh-CN"/>
                <w14:textFill>
                  <w14:solidFill>
                    <w14:schemeClr w14:val="tx1"/>
                  </w14:solidFill>
                </w14:textFill>
              </w:rPr>
              <w:t xml:space="preserve">不得</w:t>
            </w:r>
            <w:r>
              <w:rPr>
                <w:rFonts w:hint="eastAsia" w:ascii="仿宋" w:hAnsi="仿宋" w:cs="仿宋"/>
                <w:color w:val="000000" w:themeColor="text1"/>
                <w:sz w:val="24"/>
                <w:szCs w:val="24"/>
                <w:highlight w:val="none"/>
                <w14:textFill>
                  <w14:solidFill>
                    <w14:schemeClr w14:val="tx1"/>
                  </w14:solidFill>
                </w14:textFill>
              </w:rPr>
              <w:t xml:space="preserve">重复</w:t>
            </w:r>
            <w:r>
              <w:rPr>
                <w:rFonts w:hint="eastAsia" w:ascii="仿宋" w:hAnsi="仿宋" w:cs="仿宋"/>
                <w:color w:val="000000" w:themeColor="text1"/>
                <w:sz w:val="24"/>
                <w:szCs w:val="24"/>
                <w:highlight w:val="none"/>
                <w:lang w:val="en-US" w:eastAsia="zh-CN"/>
                <w14:textFill>
                  <w14:solidFill>
                    <w14:schemeClr w14:val="tx1"/>
                  </w14:solidFill>
                </w14:textFill>
              </w:rPr>
              <w:t xml:space="preserve">计分</w:t>
            </w:r>
            <w:r>
              <w:rPr>
                <w:rFonts w:hint="eastAsia" w:ascii="仿宋" w:hAnsi="仿宋" w:cs="仿宋"/>
                <w:color w:val="000000" w:themeColor="text1"/>
                <w:sz w:val="24"/>
                <w:szCs w:val="24"/>
                <w:highlight w:val="none"/>
                <w14:textFill>
                  <w14:solidFill>
                    <w14:schemeClr w14:val="tx1"/>
                  </w14:solidFill>
                </w14:textFill>
              </w:rPr>
              <w:t xml:space="preserve">。</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9</w:t>
            </w:r>
            <w:r/>
          </w:p>
        </w:tc>
      </w:tr>
      <w:tr>
        <w:trPr>
          <w:jc w:val="center"/>
          <w:trHeight w:val="504"/>
        </w:trPr>
        <w:tc>
          <w:tcPr>
            <w:gridSpan w:val="4"/>
            <w:tcW w:w="9747" w:type="dxa"/>
            <w:vAlign w:val="center"/>
            <w:textDirection w:val="lrTb"/>
            <w:noWrap w:val="false"/>
          </w:tcPr>
          <w:p>
            <w:pPr>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b/>
                <w:bCs/>
                <w:color w:val="000000" w:themeColor="text1"/>
                <w:spacing w:val="-3"/>
                <w:sz w:val="24"/>
                <w:szCs w:val="24"/>
                <w:highlight w:val="none"/>
                <w14:textFill>
                  <w14:solidFill>
                    <w14:schemeClr w14:val="tx1"/>
                  </w14:solidFill>
                </w14:textFill>
              </w:rPr>
              <w:t xml:space="preserve">4.履约能力（</w:t>
            </w:r>
            <w:r>
              <w:rPr>
                <w:rFonts w:hint="eastAsia" w:ascii="仿宋" w:hAnsi="仿宋" w:cs="仿宋"/>
                <w:b/>
                <w:bCs/>
                <w:color w:val="000000" w:themeColor="text1"/>
                <w:spacing w:val="-3"/>
                <w:sz w:val="24"/>
                <w:szCs w:val="24"/>
                <w:highlight w:val="none"/>
                <w:lang w:val="en-US" w:eastAsia="zh-CN"/>
                <w14:textFill>
                  <w14:solidFill>
                    <w14:schemeClr w14:val="tx1"/>
                  </w14:solidFill>
                </w14:textFill>
              </w:rPr>
              <w:t xml:space="preserve">16</w:t>
            </w:r>
            <w:r>
              <w:rPr>
                <w:rFonts w:hint="eastAsia" w:ascii="仿宋" w:hAnsi="仿宋" w:cs="仿宋"/>
                <w:b/>
                <w:bCs/>
                <w:color w:val="000000" w:themeColor="text1"/>
                <w:spacing w:val="-3"/>
                <w:sz w:val="24"/>
                <w:szCs w:val="24"/>
                <w:highlight w:val="none"/>
                <w14:textFill>
                  <w14:solidFill>
                    <w14:schemeClr w14:val="tx1"/>
                  </w14:solidFill>
                </w14:textFill>
              </w:rPr>
              <w:t xml:space="preserve">分）</w:t>
            </w:r>
            <w:r/>
          </w:p>
        </w:tc>
      </w:tr>
      <w:tr>
        <w:trPr>
          <w:jc w:val="center"/>
          <w:trHeight w:val="792"/>
        </w:trPr>
        <w:tc>
          <w:tcPr>
            <w:tcW w:w="51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4.1</w:t>
            </w:r>
            <w:r/>
          </w:p>
        </w:tc>
        <w:tc>
          <w:tcPr>
            <w:tcW w:w="1179" w:type="dxa"/>
            <w:vAlign w:val="center"/>
            <w:vMerge w:val="restart"/>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default" w:ascii="仿宋" w:hAnsi="仿宋" w:cs="仿宋"/>
                <w:color w:val="000000" w:themeColor="text1"/>
                <w:spacing w:val="-1"/>
                <w:sz w:val="24"/>
                <w:szCs w:val="24"/>
                <w:highlight w:val="none"/>
                <w14:textFill>
                  <w14:solidFill>
                    <w14:schemeClr w14:val="tx1"/>
                  </w14:solidFill>
                </w14:textFill>
              </w:rPr>
              <w:t xml:space="preserve">履约能力</w:t>
            </w:r>
            <w:r/>
          </w:p>
        </w:tc>
        <w:tc>
          <w:tcPr>
            <w:tcW w:w="6616" w:type="dxa"/>
            <w:vAlign w:val="center"/>
            <w:textDirection w:val="lrTb"/>
            <w:noWrap w:val="false"/>
          </w:tcPr>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项目经理</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1人</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要求：</w:t>
            </w:r>
            <w:r/>
          </w:p>
          <w:p>
            <w:pPr>
              <w:numPr>
                <w:ilvl w:val="0"/>
                <w:numId w:val="0"/>
              </w:num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w:t>
            </w:r>
            <w:r>
              <w:rPr>
                <w:rFonts w:hint="eastAsia" w:ascii="仿宋" w:hAnsi="仿宋" w:cs="仿宋"/>
                <w:color w:val="000000" w:themeColor="text1"/>
                <w:sz w:val="24"/>
                <w:szCs w:val="24"/>
                <w:highlight w:val="none"/>
                <w14:textFill>
                  <w14:solidFill>
                    <w14:schemeClr w14:val="tx1"/>
                  </w14:solidFill>
                </w14:textFill>
              </w:rPr>
              <w:t xml:space="preserve">具有信息系统项目管理师证书</w:t>
            </w:r>
            <w:r>
              <w:rPr>
                <w:rFonts w:hint="eastAsia" w:ascii="仿宋" w:hAnsi="仿宋" w:cs="仿宋"/>
                <w:color w:val="000000" w:themeColor="text1"/>
                <w:sz w:val="24"/>
                <w:szCs w:val="24"/>
                <w:highlight w:val="none"/>
                <w:lang w:val="en-US" w:eastAsia="zh-CN"/>
                <w14:textFill>
                  <w14:solidFill>
                    <w14:schemeClr w14:val="tx1"/>
                  </w14:solidFill>
                </w14:textFill>
              </w:rPr>
              <w:t xml:space="preserve">的，得</w:t>
            </w:r>
            <w:r>
              <w:rPr>
                <w:rFonts w:hint="eastAsia" w:ascii="仿宋" w:hAnsi="仿宋" w:cs="仿宋"/>
                <w:color w:val="000000" w:themeColor="text1"/>
                <w:sz w:val="24"/>
                <w:szCs w:val="24"/>
                <w:highlight w:val="none"/>
                <w14:textFill>
                  <w14:solidFill>
                    <w14:schemeClr w14:val="tx1"/>
                  </w14:solidFill>
                </w14:textFill>
              </w:rPr>
              <w:t xml:space="preserve">2分；</w:t>
            </w:r>
            <w:r/>
          </w:p>
          <w:p>
            <w:pPr>
              <w:numPr>
                <w:ilvl w:val="0"/>
                <w:numId w:val="0"/>
              </w:numPr>
              <w:ind w:firstLine="0"/>
              <w:spacing w:line="264" w:lineRule="auto"/>
              <w:rPr>
                <w:rFonts w:hint="default" w:ascii="仿宋" w:hAnsi="仿宋" w:cs="仿宋"/>
                <w:color w:val="000000" w:themeColor="text1"/>
                <w:sz w:val="24"/>
                <w:szCs w:val="24"/>
                <w:highlight w:val="none"/>
                <w:lang w:val="en-US"/>
                <w14:textFill>
                  <w14:solidFill>
                    <w14:schemeClr w14:val="tx1"/>
                  </w14:solidFill>
                </w14:textFill>
              </w:rPr>
            </w:pP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（2）具有电子信息类</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中级</w:t>
            </w:r>
            <w:r>
              <w:rPr>
                <w:rFonts w:hint="default" w:ascii="仿宋" w:hAnsi="仿宋" w:eastAsia="仿宋" w:cs="仿宋"/>
                <w:color w:val="000000" w:themeColor="text1"/>
                <w:sz w:val="24"/>
                <w:szCs w:val="24"/>
                <w:highlight w:val="none"/>
                <w:lang w:val="en-US" w:eastAsia="zh-CN" w:bidi="ar-SA"/>
                <w14:textFill>
                  <w14:solidFill>
                    <w14:schemeClr w14:val="tx1"/>
                  </w14:solidFill>
                </w14:textFill>
              </w:rPr>
              <w:t xml:space="preserve">工程师或以上职称证书</w:t>
            </w:r>
            <w:r>
              <w:rPr>
                <w:rFonts w:hint="eastAsia" w:ascii="仿宋" w:hAnsi="仿宋" w:cs="仿宋"/>
                <w:color w:val="000000" w:themeColor="text1"/>
                <w:sz w:val="24"/>
                <w:szCs w:val="24"/>
                <w:highlight w:val="none"/>
                <w:lang w:val="en-US" w:eastAsia="zh-CN" w:bidi="ar-SA"/>
                <w14:textFill>
                  <w14:solidFill>
                    <w14:schemeClr w14:val="tx1"/>
                  </w14:solidFill>
                </w14:textFill>
              </w:rPr>
              <w:t xml:space="preserve">的，得2分。</w:t>
            </w:r>
            <w:r/>
          </w:p>
          <w:p>
            <w:pPr>
              <w:numPr>
                <w:ilvl w:val="0"/>
                <w:numId w:val="0"/>
              </w:num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（须提供成员身份证、证书等有效证明文件及近6个月内（2026年0</w:t>
            </w: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z w:val="24"/>
                <w:szCs w:val="24"/>
                <w:highlight w:val="none"/>
                <w14:textFill>
                  <w14:solidFill>
                    <w14:schemeClr w14:val="tx1"/>
                  </w14:solidFill>
                </w14:textFill>
              </w:rPr>
              <w:t xml:space="preserve">月（含）</w:t>
            </w:r>
            <w:r>
              <w:rPr>
                <w:rFonts w:hint="eastAsia" w:ascii="仿宋" w:hAnsi="仿宋" w:cs="仿宋"/>
                <w:color w:val="000000" w:themeColor="text1"/>
                <w:sz w:val="24"/>
                <w:szCs w:val="24"/>
                <w:highlight w:val="none"/>
                <w:lang w:val="en-US" w:eastAsia="zh-CN"/>
                <w14:textFill>
                  <w14:solidFill>
                    <w14:schemeClr w14:val="tx1"/>
                  </w14:solidFill>
                </w14:textFill>
              </w:rPr>
              <w:t xml:space="preserve">以来</w:t>
            </w:r>
            <w:r>
              <w:rPr>
                <w:rFonts w:hint="eastAsia" w:ascii="仿宋" w:hAnsi="仿宋" w:cs="仿宋"/>
                <w:color w:val="000000" w:themeColor="text1"/>
                <w:sz w:val="24"/>
                <w:szCs w:val="24"/>
                <w:highlight w:val="none"/>
                <w14:textFill>
                  <w14:solidFill>
                    <w14:schemeClr w14:val="tx1"/>
                  </w14:solidFill>
                </w14:textFill>
              </w:rPr>
              <w:t xml:space="preserve">）任意一个月供应商为其缴纳的社保缴纳证明文件，并加盖公章）</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jc w:val="center"/>
          <w:trHeight w:val="426"/>
        </w:trPr>
        <w:tc>
          <w:tcPr>
            <w:tcW w:w="519" w:type="dxa"/>
            <w:vAlign w:val="center"/>
            <w:textDirection w:val="lrTb"/>
            <w:noWrap w:val="false"/>
          </w:tcPr>
          <w:p>
            <w:pPr>
              <w:ind w:firstLine="0"/>
              <w:jc w:val="center"/>
              <w:spacing w:before="69" w:line="264" w:lineRule="auto"/>
              <w:rPr>
                <w:rFonts w:hint="default"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4.2</w:t>
            </w:r>
            <w:r/>
          </w:p>
        </w:tc>
        <w:tc>
          <w:tcPr>
            <w:tcW w:w="1179" w:type="dxa"/>
            <w:vAlign w:val="center"/>
            <w:vMerge w:val="continue"/>
            <w:textDirection w:val="lrTb"/>
            <w:noWrap w:val="false"/>
          </w:tcPr>
          <w:p>
            <w:pPr>
              <w:ind w:firstLine="0"/>
              <w:jc w:val="center"/>
              <w:spacing w:before="69"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r>
            <w:r/>
          </w:p>
        </w:tc>
        <w:tc>
          <w:tcPr>
            <w:tcW w:w="6616" w:type="dxa"/>
            <w:vAlign w:val="center"/>
            <w:textDirection w:val="lrTb"/>
            <w:noWrap w:val="false"/>
          </w:tcPr>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供应商</w:t>
            </w:r>
            <w:r>
              <w:rPr>
                <w:rFonts w:hint="eastAsia" w:ascii="仿宋" w:hAnsi="仿宋" w:cs="仿宋"/>
                <w:color w:val="000000" w:themeColor="text1"/>
                <w:sz w:val="24"/>
                <w:szCs w:val="24"/>
                <w:highlight w:val="none"/>
                <w:lang w:val="en-US" w:eastAsia="zh-CN"/>
                <w14:textFill>
                  <w14:solidFill>
                    <w14:schemeClr w14:val="tx1"/>
                  </w14:solidFill>
                </w14:textFill>
              </w:rPr>
              <w:t xml:space="preserve">拟投入的</w:t>
            </w:r>
            <w:r>
              <w:rPr>
                <w:rFonts w:hint="eastAsia" w:ascii="仿宋" w:hAnsi="仿宋" w:cs="仿宋"/>
                <w:color w:val="000000" w:themeColor="text1"/>
                <w:sz w:val="24"/>
                <w:szCs w:val="24"/>
                <w:highlight w:val="none"/>
                <w14:textFill>
                  <w14:solidFill>
                    <w14:schemeClr w14:val="tx1"/>
                  </w14:solidFill>
                </w14:textFill>
              </w:rPr>
              <w:t xml:space="preserve">项目</w:t>
            </w:r>
            <w:r>
              <w:rPr>
                <w:rFonts w:hint="eastAsia" w:ascii="仿宋" w:hAnsi="仿宋" w:cs="仿宋"/>
                <w:color w:val="000000" w:themeColor="text1"/>
                <w:sz w:val="24"/>
                <w:szCs w:val="24"/>
                <w:highlight w:val="none"/>
                <w:lang w:val="en-US" w:eastAsia="zh-CN"/>
                <w14:textFill>
                  <w14:solidFill>
                    <w14:schemeClr w14:val="tx1"/>
                  </w14:solidFill>
                </w14:textFill>
              </w:rPr>
              <w:t xml:space="preserve">经理</w:t>
            </w:r>
            <w:r>
              <w:rPr>
                <w:rFonts w:hint="eastAsia" w:ascii="仿宋" w:hAnsi="仿宋" w:cs="仿宋"/>
                <w:color w:val="000000" w:themeColor="text1"/>
                <w:sz w:val="24"/>
                <w:szCs w:val="24"/>
                <w:highlight w:val="none"/>
                <w14:textFill>
                  <w14:solidFill>
                    <w14:schemeClr w14:val="tx1"/>
                  </w14:solidFill>
                </w14:textFill>
              </w:rPr>
              <w:t xml:space="preserve">自2023年1月1日（含）以来</w:t>
            </w:r>
            <w:r>
              <w:rPr>
                <w:rFonts w:hint="eastAsia" w:ascii="仿宋" w:hAnsi="仿宋" w:cs="仿宋"/>
                <w:color w:val="000000" w:themeColor="text1"/>
                <w:sz w:val="24"/>
                <w:szCs w:val="24"/>
                <w:highlight w:val="none"/>
                <w:lang w:val="en-US" w:eastAsia="zh-CN"/>
                <w14:textFill>
                  <w14:solidFill>
                    <w14:schemeClr w14:val="tx1"/>
                  </w14:solidFill>
                </w14:textFill>
              </w:rPr>
              <w:t xml:space="preserve">作为项目经理/项目负责人</w:t>
            </w:r>
            <w:r>
              <w:rPr>
                <w:rFonts w:hint="eastAsia" w:ascii="仿宋" w:hAnsi="仿宋" w:cs="仿宋"/>
                <w:color w:val="000000" w:themeColor="text1"/>
                <w:sz w:val="24"/>
                <w:szCs w:val="24"/>
                <w:highlight w:val="none"/>
                <w14:textFill>
                  <w14:solidFill>
                    <w14:schemeClr w14:val="tx1"/>
                  </w14:solidFill>
                </w14:textFill>
              </w:rPr>
              <w:t xml:space="preserve">承担过类似信息化运维项目</w:t>
            </w:r>
            <w:r>
              <w:rPr>
                <w:rFonts w:hint="eastAsia" w:ascii="仿宋" w:hAnsi="仿宋" w:cs="仿宋"/>
                <w:color w:val="000000" w:themeColor="text1"/>
                <w:sz w:val="24"/>
                <w:szCs w:val="24"/>
                <w:highlight w:val="none"/>
                <w:lang w:val="en-US" w:eastAsia="zh-CN"/>
                <w14:textFill>
                  <w14:solidFill>
                    <w14:schemeClr w14:val="tx1"/>
                  </w14:solidFill>
                </w14:textFill>
              </w:rPr>
              <w:t xml:space="preserve">经验</w:t>
            </w:r>
            <w:r>
              <w:rPr>
                <w:rFonts w:hint="eastAsia" w:ascii="仿宋" w:hAnsi="仿宋" w:cs="仿宋"/>
                <w:color w:val="000000" w:themeColor="text1"/>
                <w:sz w:val="24"/>
                <w:szCs w:val="24"/>
                <w:highlight w:val="none"/>
                <w14:textFill>
                  <w14:solidFill>
                    <w14:schemeClr w14:val="tx1"/>
                  </w14:solidFill>
                </w14:textFill>
              </w:rPr>
              <w:t xml:space="preserve">的，每有一项得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cs="仿宋"/>
                <w:color w:val="000000" w:themeColor="text1"/>
                <w:sz w:val="24"/>
                <w:szCs w:val="24"/>
                <w:highlight w:val="none"/>
                <w14:textFill>
                  <w14:solidFill>
                    <w14:schemeClr w14:val="tx1"/>
                  </w14:solidFill>
                </w14:textFill>
              </w:rPr>
              <w:t xml:space="preserve">分，满分</w:t>
            </w: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（提供合同、中标通知书扫描件加盖公章，缺一不可，时间以合同签订时间为准，资料须反映出相关内容</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项目经理信息</w:t>
            </w:r>
            <w:r>
              <w:rPr>
                <w:rFonts w:hint="eastAsia" w:ascii="仿宋" w:hAnsi="仿宋" w:cs="仿宋"/>
                <w:color w:val="000000" w:themeColor="text1"/>
                <w:sz w:val="24"/>
                <w:szCs w:val="24"/>
                <w:highlight w:val="none"/>
                <w14:textFill>
                  <w14:solidFill>
                    <w14:schemeClr w14:val="tx1"/>
                  </w14:solidFill>
                </w14:textFill>
              </w:rPr>
              <w:t xml:space="preserve">，否则不得分</w:t>
            </w:r>
            <w:r>
              <w:rPr>
                <w:rFonts w:hint="eastAsia" w:ascii="仿宋" w:hAnsi="仿宋" w:cs="仿宋"/>
                <w:color w:val="000000" w:themeColor="text1"/>
                <w:sz w:val="24"/>
                <w:szCs w:val="24"/>
                <w:highlight w:val="none"/>
                <w:lang w:eastAsia="zh-CN"/>
                <w14:textFill>
                  <w14:solidFill>
                    <w14:schemeClr w14:val="tx1"/>
                  </w14:solidFill>
                </w14:textFill>
              </w:rPr>
              <w:t xml:space="preserve">。供应商业绩、项目经理经验、</w:t>
            </w: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w:t>
            </w:r>
            <w:r>
              <w:rPr>
                <w:rFonts w:hint="eastAsia" w:ascii="仿宋" w:hAnsi="仿宋" w:cs="仿宋"/>
                <w:color w:val="000000" w:themeColor="text1"/>
                <w:sz w:val="24"/>
                <w:szCs w:val="24"/>
                <w:highlight w:val="none"/>
                <w:lang w:eastAsia="zh-CN"/>
                <w14:textFill>
                  <w14:solidFill>
                    <w14:schemeClr w14:val="tx1"/>
                  </w14:solidFill>
                </w14:textFill>
              </w:rPr>
              <w:t xml:space="preserve">经验三项评分因素，同一份合同（项目）仅能用于其中一项，</w:t>
            </w:r>
            <w:r>
              <w:rPr>
                <w:rFonts w:hint="eastAsia" w:ascii="仿宋" w:hAnsi="仿宋" w:cs="仿宋"/>
                <w:color w:val="000000" w:themeColor="text1"/>
                <w:sz w:val="24"/>
                <w:szCs w:val="24"/>
                <w:highlight w:val="none"/>
                <w:lang w:val="en-US" w:eastAsia="zh-CN"/>
                <w14:textFill>
                  <w14:solidFill>
                    <w14:schemeClr w14:val="tx1"/>
                  </w14:solidFill>
                </w14:textFill>
              </w:rPr>
              <w:t xml:space="preserve">不得</w:t>
            </w:r>
            <w:r>
              <w:rPr>
                <w:rFonts w:hint="eastAsia" w:ascii="仿宋" w:hAnsi="仿宋" w:cs="仿宋"/>
                <w:color w:val="000000" w:themeColor="text1"/>
                <w:sz w:val="24"/>
                <w:szCs w:val="24"/>
                <w:highlight w:val="none"/>
                <w:lang w:eastAsia="zh-CN"/>
                <w14:textFill>
                  <w14:solidFill>
                    <w14:schemeClr w14:val="tx1"/>
                  </w14:solidFill>
                </w14:textFill>
              </w:rPr>
              <w:t xml:space="preserve">重复</w:t>
            </w:r>
            <w:r>
              <w:rPr>
                <w:rFonts w:hint="eastAsia" w:ascii="仿宋" w:hAnsi="仿宋" w:cs="仿宋"/>
                <w:color w:val="000000" w:themeColor="text1"/>
                <w:sz w:val="24"/>
                <w:szCs w:val="24"/>
                <w:highlight w:val="none"/>
                <w:lang w:val="en-US" w:eastAsia="zh-CN"/>
                <w14:textFill>
                  <w14:solidFill>
                    <w14:schemeClr w14:val="tx1"/>
                  </w14:solidFill>
                </w14:textFill>
              </w:rPr>
              <w:t xml:space="preserve">计分</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jc w:val="center"/>
          <w:trHeight w:val="426"/>
        </w:trPr>
        <w:tc>
          <w:tcPr>
            <w:tcW w:w="51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4.3</w:t>
            </w:r>
            <w:r/>
          </w:p>
        </w:tc>
        <w:tc>
          <w:tcPr>
            <w:tcW w:w="1179" w:type="dxa"/>
            <w:vAlign w:val="center"/>
            <w:vMerge w:val="continue"/>
            <w:textDirection w:val="lrTb"/>
            <w:noWrap w:val="false"/>
          </w:tcPr>
          <w:p>
            <w:pPr>
              <w:ind w:firstLine="0"/>
              <w:jc w:val="center"/>
              <w:spacing w:before="69"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r>
            <w:r/>
          </w:p>
        </w:tc>
        <w:tc>
          <w:tcPr>
            <w:tcW w:w="6616" w:type="dxa"/>
            <w:vAlign w:val="center"/>
            <w:textDirection w:val="lrTb"/>
            <w:noWrap w:val="false"/>
          </w:tcPr>
          <w:p>
            <w:pPr>
              <w:ind w:firstLine="0"/>
              <w:spacing w:line="264"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常驻运维工程师（1人）要求：</w:t>
            </w:r>
            <w:r/>
          </w:p>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cs="仿宋"/>
                <w:color w:val="000000" w:themeColor="text1"/>
                <w:sz w:val="24"/>
                <w:szCs w:val="24"/>
                <w:highlight w:val="none"/>
                <w14:textFill>
                  <w14:solidFill>
                    <w14:schemeClr w14:val="tx1"/>
                  </w14:solidFill>
                </w14:textFill>
              </w:rPr>
              <w:t xml:space="preserve">拟投入的项目</w:t>
            </w: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w:t>
            </w:r>
            <w:r>
              <w:rPr>
                <w:rFonts w:hint="eastAsia" w:ascii="仿宋" w:hAnsi="仿宋" w:cs="仿宋"/>
                <w:color w:val="000000" w:themeColor="text1"/>
                <w:sz w:val="24"/>
                <w:szCs w:val="24"/>
                <w:highlight w:val="none"/>
                <w14:textFill>
                  <w14:solidFill>
                    <w14:schemeClr w14:val="tx1"/>
                  </w14:solidFill>
                </w14:textFill>
              </w:rPr>
              <w:t xml:space="preserve">具有电子信息类高级工程师或以上职称证书，得2分</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具有</w:t>
            </w:r>
            <w:r>
              <w:rPr>
                <w:rFonts w:hint="eastAsia" w:ascii="仿宋" w:hAnsi="仿宋" w:cs="仿宋"/>
                <w:color w:val="000000" w:themeColor="text1"/>
                <w:sz w:val="24"/>
                <w:szCs w:val="24"/>
                <w:highlight w:val="none"/>
                <w14:textFill>
                  <w14:solidFill>
                    <w14:schemeClr w14:val="tx1"/>
                  </w14:solidFill>
                </w14:textFill>
              </w:rPr>
              <w:t xml:space="preserve">电子信息类</w:t>
            </w:r>
            <w:r>
              <w:rPr>
                <w:rFonts w:hint="eastAsia" w:ascii="仿宋" w:hAnsi="仿宋" w:cs="仿宋"/>
                <w:color w:val="000000" w:themeColor="text1"/>
                <w:sz w:val="24"/>
                <w:szCs w:val="24"/>
                <w:highlight w:val="none"/>
                <w:lang w:val="en-US" w:eastAsia="zh-CN"/>
                <w14:textFill>
                  <w14:solidFill>
                    <w14:schemeClr w14:val="tx1"/>
                  </w14:solidFill>
                </w14:textFill>
              </w:rPr>
              <w:t xml:space="preserve">中级工程师职称证书的，得1分。未按要求提供不得分。</w:t>
            </w:r>
            <w:r/>
          </w:p>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（须提供成员身份证、证书等有效证明文件及近6个月内（2026年0</w:t>
            </w: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z w:val="24"/>
                <w:szCs w:val="24"/>
                <w:highlight w:val="none"/>
                <w14:textFill>
                  <w14:solidFill>
                    <w14:schemeClr w14:val="tx1"/>
                  </w14:solidFill>
                </w14:textFill>
              </w:rPr>
              <w:t xml:space="preserve">月（含）</w:t>
            </w:r>
            <w:r>
              <w:rPr>
                <w:rFonts w:hint="eastAsia" w:ascii="仿宋" w:hAnsi="仿宋" w:cs="仿宋"/>
                <w:color w:val="000000" w:themeColor="text1"/>
                <w:sz w:val="24"/>
                <w:szCs w:val="24"/>
                <w:highlight w:val="none"/>
                <w:lang w:val="en-US" w:eastAsia="zh-CN"/>
                <w14:textFill>
                  <w14:solidFill>
                    <w14:schemeClr w14:val="tx1"/>
                  </w14:solidFill>
                </w14:textFill>
              </w:rPr>
              <w:t xml:space="preserve">以来</w:t>
            </w:r>
            <w:r>
              <w:rPr>
                <w:rFonts w:hint="eastAsia" w:ascii="仿宋" w:hAnsi="仿宋" w:cs="仿宋"/>
                <w:color w:val="000000" w:themeColor="text1"/>
                <w:sz w:val="24"/>
                <w:szCs w:val="24"/>
                <w:highlight w:val="none"/>
                <w14:textFill>
                  <w14:solidFill>
                    <w14:schemeClr w14:val="tx1"/>
                  </w14:solidFill>
                </w14:textFill>
              </w:rPr>
              <w:t xml:space="preserve">）任意一个月供应商为其缴纳的社保缴纳证明文件，并加盖公章）</w:t>
            </w:r>
            <w:r/>
          </w:p>
        </w:tc>
        <w:tc>
          <w:tcPr>
            <w:tcW w:w="1433" w:type="dxa"/>
            <w:vAlign w:val="center"/>
            <w:textDirection w:val="lrTb"/>
            <w:noWrap w:val="false"/>
          </w:tcPr>
          <w:p>
            <w:pPr>
              <w:ind w:firstLine="0"/>
              <w:jc w:val="center"/>
              <w:spacing w:before="68" w:line="264"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r>
      <w:tr>
        <w:trPr>
          <w:jc w:val="center"/>
          <w:trHeight w:val="426"/>
        </w:trPr>
        <w:tc>
          <w:tcPr>
            <w:tcW w:w="519" w:type="dxa"/>
            <w:vAlign w:val="center"/>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4.4</w:t>
            </w:r>
            <w:r/>
          </w:p>
        </w:tc>
        <w:tc>
          <w:tcPr>
            <w:tcW w:w="1179" w:type="dxa"/>
            <w:vAlign w:val="center"/>
            <w:vMerge w:val="continue"/>
            <w:textDirection w:val="lrTb"/>
            <w:noWrap w:val="false"/>
          </w:tcPr>
          <w:p>
            <w:pPr>
              <w:ind w:firstLine="0"/>
              <w:jc w:val="center"/>
              <w:spacing w:before="69" w:line="264" w:lineRule="auto"/>
              <w:rPr>
                <w:rFonts w:hint="eastAsia" w:ascii="仿宋" w:hAnsi="仿宋" w:cs="仿宋"/>
                <w:color w:val="000000" w:themeColor="text1"/>
                <w:spacing w:val="-1"/>
                <w:sz w:val="24"/>
                <w:szCs w:val="24"/>
                <w:highlight w:val="none"/>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r>
            <w:r/>
          </w:p>
        </w:tc>
        <w:tc>
          <w:tcPr>
            <w:tcW w:w="6616" w:type="dxa"/>
            <w:vAlign w:val="center"/>
            <w:textDirection w:val="lrTb"/>
            <w:noWrap w:val="false"/>
          </w:tcPr>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供应商</w:t>
            </w:r>
            <w:r>
              <w:rPr>
                <w:rFonts w:hint="eastAsia" w:ascii="仿宋" w:hAnsi="仿宋" w:cs="仿宋"/>
                <w:color w:val="000000" w:themeColor="text1"/>
                <w:sz w:val="24"/>
                <w:szCs w:val="24"/>
                <w:highlight w:val="none"/>
                <w:lang w:val="en-US" w:eastAsia="zh-CN"/>
                <w14:textFill>
                  <w14:solidFill>
                    <w14:schemeClr w14:val="tx1"/>
                  </w14:solidFill>
                </w14:textFill>
              </w:rPr>
              <w:t xml:space="preserve">拟投入的常驻运维工程师</w:t>
            </w:r>
            <w:r>
              <w:rPr>
                <w:rFonts w:hint="eastAsia" w:ascii="仿宋" w:hAnsi="仿宋" w:cs="仿宋"/>
                <w:color w:val="000000" w:themeColor="text1"/>
                <w:sz w:val="24"/>
                <w:szCs w:val="24"/>
                <w:highlight w:val="none"/>
                <w14:textFill>
                  <w14:solidFill>
                    <w14:schemeClr w14:val="tx1"/>
                  </w14:solidFill>
                </w14:textFill>
              </w:rPr>
              <w:t xml:space="preserve">自2023年1月1日（含）以来</w:t>
            </w:r>
            <w:r>
              <w:rPr>
                <w:rFonts w:hint="eastAsia" w:ascii="仿宋" w:hAnsi="仿宋" w:cs="仿宋"/>
                <w:color w:val="000000" w:themeColor="text1"/>
                <w:sz w:val="24"/>
                <w:szCs w:val="24"/>
                <w:highlight w:val="none"/>
                <w:lang w:val="en-US" w:eastAsia="zh-CN"/>
                <w14:textFill>
                  <w14:solidFill>
                    <w14:schemeClr w14:val="tx1"/>
                  </w14:solidFill>
                </w14:textFill>
              </w:rPr>
              <w:t xml:space="preserve">具有类似信息化运维项目驻场经验的，</w:t>
            </w:r>
            <w:r>
              <w:rPr>
                <w:rFonts w:hint="eastAsia" w:ascii="仿宋" w:hAnsi="仿宋" w:cs="仿宋"/>
                <w:color w:val="000000" w:themeColor="text1"/>
                <w:sz w:val="24"/>
                <w:szCs w:val="24"/>
                <w:highlight w:val="none"/>
                <w14:textFill>
                  <w14:solidFill>
                    <w14:schemeClr w14:val="tx1"/>
                  </w14:solidFill>
                </w14:textFill>
              </w:rPr>
              <w:t xml:space="preserve">每有一项得</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cs="仿宋"/>
                <w:color w:val="000000" w:themeColor="text1"/>
                <w:sz w:val="24"/>
                <w:szCs w:val="24"/>
                <w:highlight w:val="none"/>
                <w14:textFill>
                  <w14:solidFill>
                    <w14:schemeClr w14:val="tx1"/>
                  </w14:solidFill>
                </w14:textFill>
              </w:rPr>
              <w:t xml:space="preserve">分，满分</w:t>
            </w: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cs="仿宋"/>
                <w:color w:val="000000" w:themeColor="text1"/>
                <w:sz w:val="24"/>
                <w:szCs w:val="24"/>
                <w:highlight w:val="none"/>
                <w14:textFill>
                  <w14:solidFill>
                    <w14:schemeClr w14:val="tx1"/>
                  </w14:solidFill>
                </w14:textFill>
              </w:rPr>
              <w:t xml:space="preserve">分。</w:t>
            </w:r>
            <w:r/>
          </w:p>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（提供合同、中标通知书扫描件加盖公章，缺一不可，时间以合同签订时间为准，资料须反映出相关内容</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常驻运维工程师信息（若上述资料中未体现常驻运维工程师信息的，需另外提供由甲方单位出具的盖章版证明材料）</w:t>
            </w:r>
            <w:r>
              <w:rPr>
                <w:rFonts w:hint="eastAsia" w:ascii="仿宋" w:hAnsi="仿宋" w:cs="仿宋"/>
                <w:color w:val="000000" w:themeColor="text1"/>
                <w:sz w:val="24"/>
                <w:szCs w:val="24"/>
                <w:highlight w:val="none"/>
                <w14:textFill>
                  <w14:solidFill>
                    <w14:schemeClr w14:val="tx1"/>
                  </w14:solidFill>
                </w14:textFill>
              </w:rPr>
              <w:t xml:space="preserve">，否则不得分</w:t>
            </w:r>
            <w:r>
              <w:rPr>
                <w:rFonts w:hint="eastAsia" w:ascii="仿宋" w:hAnsi="仿宋" w:cs="仿宋"/>
                <w:color w:val="000000" w:themeColor="text1"/>
                <w:sz w:val="24"/>
                <w:szCs w:val="24"/>
                <w:highlight w:val="none"/>
                <w:lang w:eastAsia="zh-CN"/>
                <w14:textFill>
                  <w14:solidFill>
                    <w14:schemeClr w14:val="tx1"/>
                  </w14:solidFill>
                </w14:textFill>
              </w:rPr>
              <w:t xml:space="preserve">。供应商业绩、项目经理经验、</w:t>
            </w:r>
            <w:r>
              <w:rPr>
                <w:rFonts w:hint="eastAsia" w:ascii="仿宋" w:hAnsi="仿宋" w:cs="仿宋"/>
                <w:color w:val="000000" w:themeColor="text1"/>
                <w:sz w:val="24"/>
                <w:szCs w:val="24"/>
                <w:highlight w:val="none"/>
                <w:lang w:val="en-US" w:eastAsia="zh-CN"/>
                <w14:textFill>
                  <w14:solidFill>
                    <w14:schemeClr w14:val="tx1"/>
                  </w14:solidFill>
                </w14:textFill>
              </w:rPr>
              <w:t xml:space="preserve">常驻运维工程师</w:t>
            </w:r>
            <w:r>
              <w:rPr>
                <w:rFonts w:hint="eastAsia" w:ascii="仿宋" w:hAnsi="仿宋" w:cs="仿宋"/>
                <w:color w:val="000000" w:themeColor="text1"/>
                <w:sz w:val="24"/>
                <w:szCs w:val="24"/>
                <w:highlight w:val="none"/>
                <w:lang w:eastAsia="zh-CN"/>
                <w14:textFill>
                  <w14:solidFill>
                    <w14:schemeClr w14:val="tx1"/>
                  </w14:solidFill>
                </w14:textFill>
              </w:rPr>
              <w:t xml:space="preserve">经验三项评分因素，同一份合同（项目）仅能用于其中一项，</w:t>
            </w:r>
            <w:r>
              <w:rPr>
                <w:rFonts w:hint="eastAsia" w:ascii="仿宋" w:hAnsi="仿宋" w:cs="仿宋"/>
                <w:color w:val="000000" w:themeColor="text1"/>
                <w:sz w:val="24"/>
                <w:szCs w:val="24"/>
                <w:highlight w:val="none"/>
                <w:lang w:val="en-US" w:eastAsia="zh-CN"/>
                <w14:textFill>
                  <w14:solidFill>
                    <w14:schemeClr w14:val="tx1"/>
                  </w14:solidFill>
                </w14:textFill>
              </w:rPr>
              <w:t xml:space="preserve">不得</w:t>
            </w:r>
            <w:r>
              <w:rPr>
                <w:rFonts w:hint="eastAsia" w:ascii="仿宋" w:hAnsi="仿宋" w:cs="仿宋"/>
                <w:color w:val="000000" w:themeColor="text1"/>
                <w:sz w:val="24"/>
                <w:szCs w:val="24"/>
                <w:highlight w:val="none"/>
                <w:lang w:eastAsia="zh-CN"/>
                <w14:textFill>
                  <w14:solidFill>
                    <w14:schemeClr w14:val="tx1"/>
                  </w14:solidFill>
                </w14:textFill>
              </w:rPr>
              <w:t xml:space="preserve">重复</w:t>
            </w:r>
            <w:r>
              <w:rPr>
                <w:rFonts w:hint="eastAsia" w:ascii="仿宋" w:hAnsi="仿宋" w:cs="仿宋"/>
                <w:color w:val="000000" w:themeColor="text1"/>
                <w:sz w:val="24"/>
                <w:szCs w:val="24"/>
                <w:highlight w:val="none"/>
                <w:lang w:val="en-US" w:eastAsia="zh-CN"/>
                <w14:textFill>
                  <w14:solidFill>
                    <w14:schemeClr w14:val="tx1"/>
                  </w14:solidFill>
                </w14:textFill>
              </w:rPr>
              <w:t xml:space="preserve">计分</w:t>
            </w:r>
            <w:r>
              <w:rPr>
                <w:rFonts w:hint="eastAsia" w:ascii="仿宋" w:hAnsi="仿宋" w:cs="仿宋"/>
                <w:color w:val="000000" w:themeColor="text1"/>
                <w:sz w:val="24"/>
                <w:szCs w:val="24"/>
                <w:highlight w:val="none"/>
                <w:lang w:eastAsia="zh-CN"/>
                <w14:textFill>
                  <w14:solidFill>
                    <w14:schemeClr w14:val="tx1"/>
                  </w14:solidFill>
                </w14:textFill>
              </w:rPr>
              <w:t xml:space="preserve">。</w:t>
            </w:r>
            <w:r/>
          </w:p>
        </w:tc>
        <w:tc>
          <w:tcPr>
            <w:tcW w:w="1433" w:type="dxa"/>
            <w:vAlign w:val="center"/>
            <w:textDirection w:val="lrTb"/>
            <w:noWrap w:val="false"/>
          </w:tcPr>
          <w:p>
            <w:pPr>
              <w:ind w:firstLine="0"/>
              <w:jc w:val="center"/>
              <w:spacing w:before="68" w:line="264" w:lineRule="auto"/>
              <w:rPr>
                <w:rFonts w:hint="default" w:ascii="仿宋" w:hAnsi="仿宋" w:cs="仿宋"/>
                <w:color w:val="000000" w:themeColor="text1"/>
                <w:sz w:val="24"/>
                <w:szCs w:val="24"/>
                <w:highlight w:val="none"/>
                <w:lang w:val="en-US"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2</w:t>
            </w:r>
            <w:r/>
          </w:p>
        </w:tc>
      </w:tr>
      <w:tr>
        <w:trPr>
          <w:jc w:val="center"/>
          <w:trHeight w:val="792"/>
        </w:trPr>
        <w:tc>
          <w:tcPr>
            <w:tcW w:w="519" w:type="dxa"/>
            <w:vAlign w:val="center"/>
            <w:textDirection w:val="lrTb"/>
            <w:noWrap w:val="false"/>
          </w:tcPr>
          <w:p>
            <w:pPr>
              <w:ind w:firstLine="0"/>
              <w:jc w:val="center"/>
              <w:spacing w:before="69" w:line="264" w:lineRule="auto"/>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pPr>
            <w:r>
              <w:rPr>
                <w:rFonts w:hint="eastAsia" w:ascii="仿宋" w:hAnsi="仿宋" w:cs="仿宋"/>
                <w:color w:val="000000" w:themeColor="text1"/>
                <w:spacing w:val="-1"/>
                <w:sz w:val="24"/>
                <w:szCs w:val="24"/>
                <w:highlight w:val="none"/>
                <w14:textFill>
                  <w14:solidFill>
                    <w14:schemeClr w14:val="tx1"/>
                  </w14:solidFill>
                </w14:textFill>
              </w:rPr>
              <w:t xml:space="preserve">4.</w:t>
            </w:r>
            <w:r>
              <w:rPr>
                <w:rFonts w:hint="eastAsia" w:ascii="仿宋" w:hAnsi="仿宋" w:cs="仿宋"/>
                <w:color w:val="000000" w:themeColor="text1"/>
                <w:spacing w:val="-1"/>
                <w:sz w:val="24"/>
                <w:szCs w:val="24"/>
                <w:highlight w:val="none"/>
                <w:lang w:val="en-US" w:eastAsia="zh-CN"/>
                <w14:textFill>
                  <w14:solidFill>
                    <w14:schemeClr w14:val="tx1"/>
                  </w14:solidFill>
                </w14:textFill>
              </w:rPr>
              <w:t xml:space="preserve">5</w:t>
            </w:r>
            <w:r/>
          </w:p>
        </w:tc>
        <w:tc>
          <w:tcPr>
            <w:tcW w:w="1179" w:type="dxa"/>
            <w:vAlign w:val="center"/>
            <w:vMerge w:val="continue"/>
            <w:textDirection w:val="lrTb"/>
            <w:noWrap w:val="false"/>
          </w:tcPr>
          <w:p>
            <w:pPr>
              <w:ind w:firstLine="0"/>
              <w:jc w:val="center"/>
              <w:spacing w:before="69" w:line="264" w:lineRule="auto"/>
              <w:rPr>
                <w:rFonts w:hint="default" w:ascii="仿宋" w:hAnsi="仿宋" w:cs="仿宋"/>
                <w:color w:val="000000" w:themeColor="text1"/>
                <w:spacing w:val="-1"/>
                <w:sz w:val="24"/>
                <w:szCs w:val="24"/>
                <w:highlight w:val="none"/>
                <w14:textFill>
                  <w14:solidFill>
                    <w14:schemeClr w14:val="tx1"/>
                  </w14:solidFill>
                </w14:textFill>
              </w:rPr>
            </w:pPr>
            <w:r>
              <w:rPr>
                <w:rFonts w:hint="default" w:ascii="仿宋" w:hAnsi="仿宋" w:cs="仿宋"/>
                <w:color w:val="000000" w:themeColor="text1"/>
                <w:spacing w:val="-1"/>
                <w:sz w:val="24"/>
                <w:szCs w:val="24"/>
                <w:highlight w:val="none"/>
                <w14:textFill>
                  <w14:solidFill>
                    <w14:schemeClr w14:val="tx1"/>
                  </w14:solidFill>
                </w14:textFill>
              </w:rPr>
            </w:r>
            <w:r/>
          </w:p>
        </w:tc>
        <w:tc>
          <w:tcPr>
            <w:tcW w:w="6616" w:type="dxa"/>
            <w:vAlign w:val="center"/>
            <w:textDirection w:val="lrTb"/>
            <w:noWrap w:val="false"/>
          </w:tcPr>
          <w:p>
            <w:pPr>
              <w:ind w:firstLine="0"/>
              <w:spacing w:line="264" w:lineRule="auto"/>
              <w:rPr>
                <w:rFonts w:hint="eastAsia"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项目</w:t>
            </w:r>
            <w:r>
              <w:rPr>
                <w:rFonts w:hint="eastAsia" w:ascii="仿宋" w:hAnsi="仿宋" w:cs="仿宋"/>
                <w:color w:val="000000" w:themeColor="text1"/>
                <w:sz w:val="24"/>
                <w:szCs w:val="24"/>
                <w:highlight w:val="none"/>
                <w14:textFill>
                  <w14:solidFill>
                    <w14:schemeClr w14:val="tx1"/>
                  </w14:solidFill>
                </w14:textFill>
              </w:rPr>
              <w:t xml:space="preserve">运维</w:t>
            </w:r>
            <w:r>
              <w:rPr>
                <w:rFonts w:hint="eastAsia" w:ascii="仿宋" w:hAnsi="仿宋" w:cs="仿宋"/>
                <w:color w:val="000000" w:themeColor="text1"/>
                <w:sz w:val="24"/>
                <w:szCs w:val="24"/>
                <w:highlight w:val="none"/>
                <w:lang w:val="en-US" w:eastAsia="zh-CN"/>
                <w14:textFill>
                  <w14:solidFill>
                    <w14:schemeClr w14:val="tx1"/>
                  </w14:solidFill>
                </w14:textFill>
              </w:rPr>
              <w:t xml:space="preserve">团队</w:t>
            </w:r>
            <w:r>
              <w:rPr>
                <w:rFonts w:hint="eastAsia" w:ascii="仿宋" w:hAnsi="仿宋" w:cs="仿宋"/>
                <w:color w:val="000000" w:themeColor="text1"/>
                <w:sz w:val="24"/>
                <w:szCs w:val="24"/>
                <w:highlight w:val="none"/>
                <w14:textFill>
                  <w14:solidFill>
                    <w14:schemeClr w14:val="tx1"/>
                  </w14:solidFill>
                </w14:textFill>
              </w:rPr>
              <w:t xml:space="preserve">人员</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项目经理、常驻运维工程师除外</w:t>
            </w:r>
            <w:r>
              <w:rPr>
                <w:rFonts w:hint="eastAsia" w:ascii="仿宋" w:hAnsi="仿宋" w:cs="仿宋"/>
                <w:color w:val="000000" w:themeColor="text1"/>
                <w:sz w:val="24"/>
                <w:szCs w:val="24"/>
                <w:highlight w:val="none"/>
                <w:lang w:eastAsia="zh-CN"/>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要求：具有信息系统项目管理师、系统分析师、系统架构设计师</w:t>
            </w:r>
            <w:r>
              <w:rPr>
                <w:rFonts w:hint="eastAsia" w:ascii="仿宋" w:hAnsi="仿宋" w:cs="仿宋"/>
                <w:color w:val="000000" w:themeColor="text1"/>
                <w:sz w:val="24"/>
                <w:szCs w:val="24"/>
                <w:highlight w:val="none"/>
                <w:lang w:eastAsia="zh-Hans"/>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系统规划与管理师高级资格证书的有一个得1分；具有软件测评师、软件设计师</w:t>
            </w:r>
            <w:r>
              <w:rPr>
                <w:rFonts w:hint="eastAsia" w:ascii="仿宋" w:hAnsi="仿宋" w:cs="仿宋"/>
                <w:color w:val="000000" w:themeColor="text1"/>
                <w:sz w:val="24"/>
                <w:szCs w:val="24"/>
                <w:highlight w:val="none"/>
                <w:lang w:eastAsia="zh-Hans"/>
                <w14:textFill>
                  <w14:solidFill>
                    <w14:schemeClr w14:val="tx1"/>
                  </w14:solidFill>
                </w14:textFill>
              </w:rPr>
              <w:t xml:space="preserve">、</w:t>
            </w:r>
            <w:r>
              <w:rPr>
                <w:rFonts w:hint="eastAsia" w:ascii="仿宋" w:hAnsi="仿宋" w:cs="仿宋"/>
                <w:color w:val="000000" w:themeColor="text1"/>
                <w:sz w:val="24"/>
                <w:szCs w:val="24"/>
                <w:highlight w:val="none"/>
                <w14:textFill>
                  <w14:solidFill>
                    <w14:schemeClr w14:val="tx1"/>
                  </w14:solidFill>
                </w14:textFill>
              </w:rPr>
              <w:t xml:space="preserve">系统集成项目管理工程师中级资格证书的有一个得0.5分，本项最多</w:t>
            </w: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cs="仿宋"/>
                <w:color w:val="000000" w:themeColor="text1"/>
                <w:sz w:val="24"/>
                <w:szCs w:val="24"/>
                <w:highlight w:val="none"/>
                <w14:textFill>
                  <w14:solidFill>
                    <w14:schemeClr w14:val="tx1"/>
                  </w14:solidFill>
                </w14:textFill>
              </w:rPr>
              <w:t xml:space="preserve">分，没有不得分。</w:t>
            </w:r>
            <w:r/>
          </w:p>
          <w:p>
            <w:pPr>
              <w:ind w:firstLine="0"/>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z w:val="24"/>
                <w:szCs w:val="24"/>
                <w:highlight w:val="none"/>
                <w14:textFill>
                  <w14:solidFill>
                    <w14:schemeClr w14:val="tx1"/>
                  </w14:solidFill>
                </w14:textFill>
              </w:rPr>
              <w:t xml:space="preserve">（</w:t>
            </w:r>
            <w:r>
              <w:rPr>
                <w:rFonts w:hint="eastAsia" w:ascii="仿宋" w:hAnsi="仿宋" w:cs="仿宋"/>
                <w:color w:val="000000" w:themeColor="text1"/>
                <w:sz w:val="24"/>
                <w:szCs w:val="24"/>
                <w:highlight w:val="none"/>
                <w:lang w:val="en-US" w:eastAsia="zh-CN"/>
                <w14:textFill>
                  <w14:solidFill>
                    <w14:schemeClr w14:val="tx1"/>
                  </w14:solidFill>
                </w14:textFill>
              </w:rPr>
              <w:t xml:space="preserve">一人多证不重复计分。</w:t>
            </w:r>
            <w:r>
              <w:rPr>
                <w:rFonts w:hint="eastAsia" w:ascii="仿宋" w:hAnsi="仿宋" w:cs="仿宋"/>
                <w:color w:val="000000" w:themeColor="text1"/>
                <w:sz w:val="24"/>
                <w:szCs w:val="24"/>
                <w:highlight w:val="none"/>
                <w14:textFill>
                  <w14:solidFill>
                    <w14:schemeClr w14:val="tx1"/>
                  </w14:solidFill>
                </w14:textFill>
              </w:rPr>
              <w:t xml:space="preserve">需提供所有成员身份证、证书等有效证明文件及近6个月内（2026年0</w:t>
            </w:r>
            <w:r>
              <w:rPr>
                <w:rFonts w:hint="eastAsia" w:ascii="仿宋" w:hAnsi="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cs="仿宋"/>
                <w:color w:val="000000" w:themeColor="text1"/>
                <w:sz w:val="24"/>
                <w:szCs w:val="24"/>
                <w:highlight w:val="none"/>
                <w14:textFill>
                  <w14:solidFill>
                    <w14:schemeClr w14:val="tx1"/>
                  </w14:solidFill>
                </w14:textFill>
              </w:rPr>
              <w:t xml:space="preserve">月（含）</w:t>
            </w:r>
            <w:r>
              <w:rPr>
                <w:rFonts w:hint="eastAsia" w:ascii="仿宋" w:hAnsi="仿宋" w:cs="仿宋"/>
                <w:color w:val="000000" w:themeColor="text1"/>
                <w:sz w:val="24"/>
                <w:szCs w:val="24"/>
                <w:highlight w:val="none"/>
                <w:lang w:val="en-US" w:eastAsia="zh-CN"/>
                <w14:textFill>
                  <w14:solidFill>
                    <w14:schemeClr w14:val="tx1"/>
                  </w14:solidFill>
                </w14:textFill>
              </w:rPr>
              <w:t xml:space="preserve">以来</w:t>
            </w:r>
            <w:r>
              <w:rPr>
                <w:rFonts w:hint="eastAsia" w:ascii="仿宋" w:hAnsi="仿宋" w:cs="仿宋"/>
                <w:color w:val="000000" w:themeColor="text1"/>
                <w:sz w:val="24"/>
                <w:szCs w:val="24"/>
                <w:highlight w:val="none"/>
                <w14:textFill>
                  <w14:solidFill>
                    <w14:schemeClr w14:val="tx1"/>
                  </w14:solidFill>
                </w14:textFill>
              </w:rPr>
              <w:t xml:space="preserve">）任意一个月供应商为其缴纳的社保缴纳证明文件，并加盖公章）</w:t>
            </w:r>
            <w:r/>
          </w:p>
        </w:tc>
        <w:tc>
          <w:tcPr>
            <w:tcW w:w="1433" w:type="dxa"/>
            <w:vAlign w:val="center"/>
            <w:textDirection w:val="lrTb"/>
            <w:noWrap w:val="false"/>
          </w:tcPr>
          <w:p>
            <w:pPr>
              <w:ind w:firstLine="0"/>
              <w:jc w:val="center"/>
              <w:spacing w:before="68" w:line="26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cs="仿宋"/>
                <w:color w:val="000000" w:themeColor="text1"/>
                <w:sz w:val="24"/>
                <w:szCs w:val="24"/>
                <w:highlight w:val="none"/>
                <w:lang w:val="en-US" w:eastAsia="zh-CN"/>
                <w14:textFill>
                  <w14:solidFill>
                    <w14:schemeClr w14:val="tx1"/>
                  </w14:solidFill>
                </w14:textFill>
              </w:rPr>
              <w:t xml:space="preserve">4</w:t>
            </w:r>
            <w:r/>
          </w:p>
        </w:tc>
      </w:tr>
      <w:tr>
        <w:trPr>
          <w:jc w:val="center"/>
          <w:trHeight w:val="464"/>
        </w:trPr>
        <w:tc>
          <w:tcPr>
            <w:tcW w:w="519" w:type="dxa"/>
            <w:vAlign w:val="center"/>
            <w:textDirection w:val="lrTb"/>
            <w:noWrap w:val="false"/>
          </w:tcPr>
          <w:p>
            <w:pPr>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3"/>
                <w:sz w:val="24"/>
                <w:szCs w:val="24"/>
                <w:highlight w:val="none"/>
                <w14:textFill>
                  <w14:solidFill>
                    <w14:schemeClr w14:val="tx1"/>
                  </w14:solidFill>
                </w14:textFill>
              </w:rPr>
              <w:t xml:space="preserve">合</w:t>
            </w:r>
            <w:r>
              <w:rPr>
                <w:rFonts w:hint="eastAsia" w:ascii="仿宋" w:hAnsi="仿宋" w:cs="仿宋"/>
                <w:color w:val="000000" w:themeColor="text1"/>
                <w:spacing w:val="-2"/>
                <w:sz w:val="24"/>
                <w:szCs w:val="24"/>
                <w:highlight w:val="none"/>
                <w14:textFill>
                  <w14:solidFill>
                    <w14:schemeClr w14:val="tx1"/>
                  </w14:solidFill>
                </w14:textFill>
              </w:rPr>
              <w:t xml:space="preserve">计</w:t>
            </w:r>
            <w:r/>
          </w:p>
        </w:tc>
        <w:tc>
          <w:tcPr>
            <w:gridSpan w:val="2"/>
            <w:tcW w:w="7795" w:type="dxa"/>
            <w:vAlign w:val="center"/>
            <w:textDirection w:val="lrTb"/>
            <w:noWrap w:val="false"/>
          </w:tcPr>
          <w:p>
            <w:pPr>
              <w:ind w:left="172" w:firstLine="0"/>
              <w:jc w:val="center"/>
              <w:spacing w:before="123" w:line="264" w:lineRule="auto"/>
              <w:rPr>
                <w:rFonts w:hint="default" w:ascii="仿宋" w:hAnsi="仿宋" w:cs="仿宋"/>
                <w:color w:val="000000" w:themeColor="text1"/>
                <w:spacing w:val="-2"/>
                <w:sz w:val="24"/>
                <w:szCs w:val="24"/>
                <w:highlight w:val="none"/>
                <w14:textFill>
                  <w14:solidFill>
                    <w14:schemeClr w14:val="tx1"/>
                  </w14:solidFill>
                </w14:textFill>
              </w:rPr>
            </w:pPr>
            <w:r>
              <w:rPr>
                <w:rFonts w:hint="default" w:ascii="仿宋" w:hAnsi="仿宋" w:cs="仿宋"/>
                <w:color w:val="000000" w:themeColor="text1"/>
                <w:spacing w:val="-2"/>
                <w:sz w:val="24"/>
                <w:szCs w:val="24"/>
                <w:highlight w:val="none"/>
                <w14:textFill>
                  <w14:solidFill>
                    <w14:schemeClr w14:val="tx1"/>
                  </w14:solidFill>
                </w14:textFill>
              </w:rPr>
            </w:r>
            <w:r/>
          </w:p>
        </w:tc>
        <w:tc>
          <w:tcPr>
            <w:tcW w:w="1433" w:type="dxa"/>
            <w:vAlign w:val="center"/>
            <w:textDirection w:val="lrTb"/>
            <w:noWrap w:val="false"/>
          </w:tcPr>
          <w:p>
            <w:pPr>
              <w:ind w:firstLine="0"/>
              <w:jc w:val="center"/>
              <w:spacing w:line="264" w:lineRule="auto"/>
              <w:rPr>
                <w:rFonts w:hint="default" w:ascii="仿宋" w:hAnsi="仿宋" w:cs="仿宋"/>
                <w:color w:val="000000" w:themeColor="text1"/>
                <w:sz w:val="24"/>
                <w:szCs w:val="24"/>
                <w:highlight w:val="none"/>
                <w14:textFill>
                  <w14:solidFill>
                    <w14:schemeClr w14:val="tx1"/>
                  </w14:solidFill>
                </w14:textFill>
              </w:rPr>
            </w:pPr>
            <w:r>
              <w:rPr>
                <w:rFonts w:hint="eastAsia" w:ascii="仿宋" w:hAnsi="仿宋" w:cs="仿宋"/>
                <w:color w:val="000000" w:themeColor="text1"/>
                <w:spacing w:val="-11"/>
                <w:sz w:val="24"/>
                <w:szCs w:val="24"/>
                <w:highlight w:val="none"/>
                <w14:textFill>
                  <w14:solidFill>
                    <w14:schemeClr w14:val="tx1"/>
                  </w14:solidFill>
                </w14:textFill>
              </w:rPr>
              <w:t xml:space="preserve">100分</w:t>
            </w:r>
            <w:r/>
          </w:p>
        </w:tc>
      </w:tr>
    </w:tbl>
    <w:p>
      <w:pPr>
        <w:ind w:left="0" w:firstLine="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br w:type="page" w:clear="all"/>
      </w:r>
      <w:r/>
    </w:p>
    <w:p>
      <w:pPr>
        <w:jc w:val="center"/>
        <w:rPr>
          <w:rFonts w:hint="eastAsia" w:ascii="仿宋" w:hAnsi="仿宋" w:eastAsia="仿宋" w:cs="仿宋"/>
          <w:bCs/>
          <w:color w:val="000000" w:themeColor="text1"/>
          <w:sz w:val="44"/>
          <w:szCs w:val="28"/>
          <w:highlight w:val="none"/>
          <w14:textFill>
            <w14:solidFill>
              <w14:schemeClr w14:val="tx1"/>
            </w14:solidFill>
          </w14:textFill>
        </w:rPr>
        <w:outlineLvl w:val="0"/>
      </w:pPr>
      <w:r/>
      <w:bookmarkStart w:id="191" w:name="_Toc160699569"/>
      <w:r>
        <w:rPr>
          <w:rStyle w:val="900"/>
          <w:rFonts w:hint="eastAsia" w:ascii="仿宋" w:hAnsi="仿宋" w:eastAsia="仿宋" w:cs="仿宋"/>
          <w:color w:val="000000" w:themeColor="text1"/>
          <w:highlight w:val="none"/>
          <w14:textFill>
            <w14:solidFill>
              <w14:schemeClr w14:val="tx1"/>
            </w14:solidFill>
          </w14:textFill>
        </w:rPr>
        <w:t xml:space="preserve">第六章  </w:t>
      </w:r>
      <w:bookmarkEnd w:id="187"/>
      <w:r/>
      <w:bookmarkEnd w:id="188"/>
      <w:r/>
      <w:bookmarkEnd w:id="190"/>
      <w:r>
        <w:rPr>
          <w:rStyle w:val="900"/>
          <w:rFonts w:hint="eastAsia" w:ascii="仿宋" w:hAnsi="仿宋" w:eastAsia="仿宋" w:cs="仿宋"/>
          <w:color w:val="000000" w:themeColor="text1"/>
          <w:highlight w:val="none"/>
          <w14:textFill>
            <w14:solidFill>
              <w14:schemeClr w14:val="tx1"/>
            </w14:solidFill>
          </w14:textFill>
        </w:rPr>
        <w:t xml:space="preserve">响应文件格式</w:t>
      </w:r>
      <w:bookmarkEnd w:id="191"/>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bookmarkStart w:id="192" w:name="_Hlt26671244"/>
      <w:r/>
      <w:bookmarkEnd w:id="192"/>
      <w:r/>
      <w:bookmarkStart w:id="193" w:name="_Hlt26955039"/>
      <w:r/>
      <w:bookmarkEnd w:id="193"/>
      <w:r/>
      <w:bookmarkStart w:id="194" w:name="_Toc120614282"/>
      <w:r/>
      <w:bookmarkStart w:id="195" w:name="_Toc26554094"/>
      <w:r/>
      <w:bookmarkStart w:id="196" w:name="_Toc49090576"/>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ind w:left="0" w:firstLine="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jc w:val="center"/>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r>
      <w:r/>
    </w:p>
    <w:p>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 xml:space="preserve">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line="440" w:lineRule="exac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ind w:left="0" w:firstLine="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一、供应商信用承诺函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二、满足特定资格要求的证明文件（如果设置特定资格要求，则需要提供）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eastAsia="zh-CN"/>
          <w14:textFill>
            <w14:solidFill>
              <w14:schemeClr w14:val="tx1"/>
            </w14:solidFill>
          </w14:textFill>
        </w:rPr>
        <w:t xml:space="preserve">法人/负责人</w:t>
      </w:r>
      <w:r>
        <w:rPr>
          <w:rFonts w:hint="eastAsia" w:ascii="仿宋" w:hAnsi="仿宋" w:eastAsia="仿宋" w:cs="仿宋"/>
          <w:color w:val="000000" w:themeColor="text1"/>
          <w:highlight w:val="none"/>
          <w14:textFill>
            <w14:solidFill>
              <w14:schemeClr w14:val="tx1"/>
            </w14:solidFill>
          </w14:textFill>
        </w:rPr>
        <w:t xml:space="preserve">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四、磋商响应函</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五、报价表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六、分项报价表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七、</w:t>
      </w:r>
      <w:r>
        <w:rPr>
          <w:rFonts w:hint="eastAsia" w:ascii="仿宋" w:hAnsi="仿宋" w:cs="仿宋"/>
          <w:color w:val="000000" w:themeColor="text1"/>
          <w:highlight w:val="none"/>
          <w:lang w:val="en-US" w:eastAsia="zh-CN"/>
          <w14:textFill>
            <w14:solidFill>
              <w14:schemeClr w14:val="tx1"/>
            </w14:solidFill>
          </w14:textFill>
        </w:rPr>
        <w:t xml:space="preserve">技术要求响应及</w:t>
      </w:r>
      <w:r>
        <w:rPr>
          <w:rFonts w:hint="eastAsia" w:ascii="仿宋" w:hAnsi="仿宋" w:eastAsia="仿宋" w:cs="仿宋"/>
          <w:color w:val="000000" w:themeColor="text1"/>
          <w:highlight w:val="none"/>
          <w14:textFill>
            <w14:solidFill>
              <w14:schemeClr w14:val="tx1"/>
            </w14:solidFill>
          </w14:textFill>
        </w:rPr>
        <w:t xml:space="preserve">偏离表</w:t>
      </w:r>
      <w:r/>
    </w:p>
    <w:p>
      <w:pPr>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八、商务要求响应及偏离表</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九</w:t>
      </w:r>
      <w:r>
        <w:rPr>
          <w:rFonts w:hint="eastAsia" w:ascii="仿宋" w:hAnsi="仿宋" w:eastAsia="仿宋" w:cs="仿宋"/>
          <w:color w:val="000000" w:themeColor="text1"/>
          <w:highlight w:val="none"/>
          <w14:textFill>
            <w14:solidFill>
              <w14:schemeClr w14:val="tx1"/>
            </w14:solidFill>
          </w14:textFill>
        </w:rPr>
        <w:t xml:space="preserve">、项目实施方案</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、服务与承诺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十一</w:t>
      </w: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zh-CN"/>
          <w14:textFill>
            <w14:solidFill>
              <w14:schemeClr w14:val="tx1"/>
            </w14:solidFill>
          </w14:textFill>
        </w:rPr>
        <w:t xml:space="preserve">竞争性磋商需要的其他证明文件及材料（</w:t>
      </w:r>
      <w:r>
        <w:rPr>
          <w:rFonts w:hint="eastAsia" w:ascii="仿宋" w:hAnsi="仿宋" w:eastAsia="仿宋" w:cs="仿宋"/>
          <w:color w:val="000000" w:themeColor="text1"/>
          <w:highlight w:val="none"/>
          <w14:textFill>
            <w14:solidFill>
              <w14:schemeClr w14:val="tx1"/>
            </w14:solidFill>
          </w14:textFill>
        </w:rPr>
        <w:t xml:space="preserve">格式自拟</w:t>
      </w:r>
      <w:r>
        <w:rPr>
          <w:rFonts w:hint="eastAsia" w:ascii="仿宋" w:hAnsi="仿宋" w:eastAsia="仿宋" w:cs="仿宋"/>
          <w:color w:val="000000" w:themeColor="text1"/>
          <w:highlight w:val="none"/>
          <w:lang w:val="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十</w:t>
      </w:r>
      <w:r>
        <w:rPr>
          <w:rFonts w:hint="eastAsia" w:ascii="仿宋" w:hAnsi="仿宋" w:cs="仿宋"/>
          <w:color w:val="000000" w:themeColor="text1"/>
          <w:highlight w:val="none"/>
          <w:lang w:val="en-US" w:eastAsia="zh-CN"/>
          <w14:textFill>
            <w14:solidFill>
              <w14:schemeClr w14:val="tx1"/>
            </w14:solidFill>
          </w14:textFill>
        </w:rPr>
        <w:t xml:space="preserve">二</w:t>
      </w:r>
      <w:r>
        <w:rPr>
          <w:rFonts w:hint="eastAsia" w:ascii="仿宋" w:hAnsi="仿宋" w:eastAsia="仿宋" w:cs="仿宋"/>
          <w:color w:val="000000" w:themeColor="text1"/>
          <w:highlight w:val="none"/>
          <w14:textFill>
            <w14:solidFill>
              <w14:schemeClr w14:val="tx1"/>
            </w14:solidFill>
          </w14:textFill>
        </w:rPr>
        <w:t xml:space="preserve">、附件</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t xml:space="preserve">南京市政府采购供应商信用记录表暨信用承诺书</w:t>
      </w:r>
      <w:r>
        <w:rPr>
          <w:rFonts w:hint="eastAsia" w:ascii="仿宋" w:hAnsi="仿宋" w:eastAsia="仿宋" w:cs="仿宋"/>
          <w:color w:val="000000" w:themeColor="text1"/>
          <w:highlight w:val="none"/>
          <w:lang w:val="en-US" w:eastAsia="zh-CN"/>
          <w14:textFill>
            <w14:solidFill>
              <w14:schemeClr w14:val="tx1"/>
            </w14:solidFill>
          </w14:textFill>
        </w:rPr>
        <w:t xml:space="preserve">格式</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中小企业声明函（如有）</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残疾人福利性单位声明函（如有）</w:t>
      </w:r>
      <w:r/>
    </w:p>
    <w:p>
      <w:pPr>
        <w:pStyle w:val="741"/>
        <w:rPr>
          <w:rFonts w:hint="eastAsia" w:eastAsia="仿宋"/>
          <w:color w:val="000000" w:themeColor="text1"/>
          <w:highlight w:val="none"/>
          <w:lang w:val="en-US" w:eastAsia="zh-CN"/>
          <w14:textFill>
            <w14:solidFill>
              <w14:schemeClr w14:val="tx1"/>
            </w14:solidFill>
          </w14:textFill>
        </w:rPr>
      </w:pPr>
      <w:r>
        <w:rPr>
          <w:rFonts w:hint="eastAsia" w:eastAsia="仿宋"/>
          <w:color w:val="000000" w:themeColor="text1"/>
          <w:highlight w:val="none"/>
          <w:lang w:val="en-US" w:eastAsia="zh-CN"/>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97"/>
        <w:keepLines/>
        <w:keepNext/>
        <w:spacing w:before="145" w:after="145" w:line="264" w:lineRule="auto"/>
        <w:rPr>
          <w:rFonts w:hint="eastAsia" w:ascii="仿宋" w:hAnsi="仿宋" w:eastAsia="仿宋" w:cs="仿宋"/>
          <w:i/>
          <w:color w:val="000000" w:themeColor="text1"/>
          <w:sz w:val="32"/>
          <w:szCs w:val="32"/>
          <w:highlight w:val="none"/>
          <w:u w:val="single"/>
          <w:lang w:eastAsia="zh-CN"/>
          <w14:textFill>
            <w14:solidFill>
              <w14:schemeClr w14:val="tx1"/>
            </w14:solidFill>
          </w14:textFill>
        </w:rPr>
        <w:outlineLvl w:val="2"/>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197" w:name="_Toc160699570"/>
      <w:r>
        <w:rPr>
          <w:rStyle w:val="901"/>
          <w:rFonts w:hint="eastAsia" w:ascii="仿宋" w:hAnsi="仿宋" w:eastAsia="仿宋" w:cs="仿宋"/>
          <w:color w:val="000000" w:themeColor="text1"/>
          <w:highlight w:val="none"/>
          <w14:textFill>
            <w14:solidFill>
              <w14:schemeClr w14:val="tx1"/>
            </w14:solidFill>
          </w14:textFill>
        </w:rPr>
        <w:t xml:space="preserve">一、供应商信用承诺函</w:t>
      </w:r>
      <w:bookmarkEnd w:id="197"/>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供应商信用承诺函</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致：</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南京市建邺区城市数字治理中心</w:t>
      </w:r>
      <w:r/>
    </w:p>
    <w:p>
      <w:pPr>
        <w:ind w:firstLine="112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cs="仿宋"/>
          <w:color w:val="000000" w:themeColor="text1"/>
          <w:highlight w:val="none"/>
          <w:lang w:eastAsia="zh-CN"/>
          <w14:textFill>
            <w14:solidFill>
              <w14:schemeClr w14:val="tx1"/>
            </w14:solidFill>
          </w14:textFill>
        </w:rPr>
        <w:t xml:space="preserve">南京通建项目管理咨询有限公司</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（供应商名称）郑重承诺：</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我公司符合下列要求：</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(一)具有独立承担民事责任的能力；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(二)具有良好的商业信誉和健全的财务会计制度；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(三)具有履行合同所必需的设备和专业技术能力；</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(四)有依法缴纳税收和社会保障资金的良好记录；</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 xml:space="preserve">如果我公司</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将在</w:t>
      </w:r>
      <w:r>
        <w:rPr>
          <w:rFonts w:hint="eastAsia" w:ascii="仿宋" w:hAnsi="仿宋" w:eastAsia="仿宋" w:cs="仿宋"/>
          <w:b/>
          <w:bCs/>
          <w:color w:val="000000" w:themeColor="text1"/>
          <w:highlight w:val="none"/>
          <w:lang w:eastAsia="zh-CN"/>
          <w14:textFill>
            <w14:solidFill>
              <w14:schemeClr w14:val="tx1"/>
            </w14:solidFill>
          </w14:textFill>
        </w:rPr>
        <w:t xml:space="preserve">成交</w:t>
      </w:r>
      <w:r>
        <w:rPr>
          <w:rFonts w:hint="eastAsia" w:ascii="仿宋" w:hAnsi="仿宋" w:eastAsia="仿宋" w:cs="仿宋"/>
          <w:b/>
          <w:bCs/>
          <w:color w:val="000000" w:themeColor="text1"/>
          <w:highlight w:val="none"/>
          <w14:textFill>
            <w14:solidFill>
              <w14:schemeClr w14:val="tx1"/>
            </w14:solidFill>
          </w14:textFill>
        </w:rPr>
        <w:t xml:space="preserve">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 xml:space="preserve">代理机构和采购人</w:t>
      </w:r>
      <w:r>
        <w:rPr>
          <w:rFonts w:hint="eastAsia" w:ascii="仿宋" w:hAnsi="仿宋" w:eastAsia="仿宋" w:cs="仿宋"/>
          <w:b/>
          <w:bCs/>
          <w:color w:val="000000" w:themeColor="text1"/>
          <w:highlight w:val="none"/>
          <w14:textFill>
            <w14:solidFill>
              <w14:schemeClr w14:val="tx1"/>
            </w14:solidFill>
          </w14:textFill>
        </w:rPr>
        <w:t xml:space="preserve">提供下列材料核验：</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（1）营业执照副本或事业单位法人登记证书；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法人</w:t>
      </w:r>
      <w:r>
        <w:rPr>
          <w:rFonts w:hint="eastAsia" w:ascii="仿宋" w:hAnsi="仿宋" w:cs="仿宋"/>
          <w:color w:val="000000" w:themeColor="text1"/>
          <w:highlight w:val="none"/>
          <w:lang w:val="en-US" w:eastAsia="zh-CN"/>
          <w14:textFill>
            <w14:solidFill>
              <w14:schemeClr w14:val="tx1"/>
            </w14:solidFill>
          </w14:textFill>
        </w:rPr>
        <w:t xml:space="preserve">/负责人</w:t>
      </w:r>
      <w:r>
        <w:rPr>
          <w:rFonts w:hint="eastAsia" w:ascii="仿宋" w:hAnsi="仿宋" w:eastAsia="仿宋" w:cs="仿宋"/>
          <w:color w:val="000000" w:themeColor="text1"/>
          <w:highlight w:val="none"/>
          <w14:textFill>
            <w14:solidFill>
              <w14:schemeClr w14:val="tx1"/>
            </w14:solidFill>
          </w14:textFill>
        </w:rPr>
        <w:t xml:space="preserve">成立满一年的提供）或参加本次政府采购活动前一年内的银行资信证明（法人</w:t>
      </w:r>
      <w:r>
        <w:rPr>
          <w:rFonts w:hint="eastAsia" w:ascii="仿宋" w:hAnsi="仿宋" w:cs="仿宋"/>
          <w:color w:val="000000" w:themeColor="text1"/>
          <w:highlight w:val="none"/>
          <w:lang w:val="en-US" w:eastAsia="zh-CN"/>
          <w14:textFill>
            <w14:solidFill>
              <w14:schemeClr w14:val="tx1"/>
            </w14:solidFill>
          </w14:textFill>
        </w:rPr>
        <w:t xml:space="preserve">/负责人</w:t>
      </w:r>
      <w:r>
        <w:rPr>
          <w:rFonts w:hint="eastAsia" w:ascii="仿宋" w:hAnsi="仿宋" w:eastAsia="仿宋" w:cs="仿宋"/>
          <w:color w:val="000000" w:themeColor="text1"/>
          <w:highlight w:val="none"/>
          <w14:textFill>
            <w14:solidFill>
              <w14:schemeClr w14:val="tx1"/>
            </w14:solidFill>
          </w14:textFill>
        </w:rPr>
        <w:t xml:space="preserve">或其他组织提供）或其他证明材料；</w:t>
      </w:r>
      <w:r/>
    </w:p>
    <w:p>
      <w:pPr>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（3）</w:t>
      </w:r>
      <w:r>
        <w:rPr>
          <w:rFonts w:hint="eastAsia" w:ascii="仿宋" w:hAnsi="仿宋" w:eastAsia="仿宋" w:cs="仿宋"/>
          <w:color w:val="000000" w:themeColor="text1"/>
          <w:highlight w:val="none"/>
          <w14:textFill>
            <w14:solidFill>
              <w14:schemeClr w14:val="tx1"/>
            </w14:solidFill>
          </w14:textFill>
        </w:rPr>
        <w:t xml:space="preserve">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 xml:space="preserve">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4</w:t>
      </w:r>
      <w:r>
        <w:rPr>
          <w:rFonts w:hint="eastAsia" w:ascii="仿宋" w:hAnsi="仿宋" w:eastAsia="仿宋" w:cs="仿宋"/>
          <w:color w:val="000000" w:themeColor="text1"/>
          <w:highlight w:val="none"/>
          <w14:textFill>
            <w14:solidFill>
              <w14:schemeClr w14:val="tx1"/>
            </w14:solidFill>
          </w14:textFill>
        </w:rPr>
        <w:t xml:space="preserve">）参加本次政府采购活动前一年内至少一个月依法缴纳税收和社会保障资金的证明材料。</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本公司对上述承诺</w:t>
      </w:r>
      <w:r>
        <w:rPr>
          <w:rFonts w:hint="eastAsia" w:ascii="仿宋" w:hAnsi="仿宋" w:eastAsia="仿宋" w:cs="仿宋"/>
          <w:color w:val="000000" w:themeColor="text1"/>
          <w:highlight w:val="none"/>
          <w:lang w:eastAsia="zh-CN"/>
          <w14:textFill>
            <w14:solidFill>
              <w14:schemeClr w14:val="tx1"/>
            </w14:solidFill>
          </w14:textFill>
        </w:rPr>
        <w:t xml:space="preserve">内容</w:t>
      </w:r>
      <w:r>
        <w:rPr>
          <w:rFonts w:hint="eastAsia" w:ascii="仿宋" w:hAnsi="仿宋" w:eastAsia="仿宋" w:cs="仿宋"/>
          <w:color w:val="000000" w:themeColor="text1"/>
          <w:highlight w:val="none"/>
          <w14:textFill>
            <w14:solidFill>
              <w14:schemeClr w14:val="tx1"/>
            </w14:solidFill>
          </w14:textFill>
        </w:rPr>
        <w:t xml:space="preserve">的真实性</w:t>
      </w:r>
      <w:r>
        <w:rPr>
          <w:rFonts w:hint="eastAsia" w:ascii="仿宋" w:hAnsi="仿宋" w:eastAsia="仿宋" w:cs="仿宋"/>
          <w:color w:val="000000" w:themeColor="text1"/>
          <w:highlight w:val="none"/>
          <w:lang w:eastAsia="zh-CN"/>
          <w14:textFill>
            <w14:solidFill>
              <w14:schemeClr w14:val="tx1"/>
            </w14:solidFill>
          </w14:textFill>
        </w:rPr>
        <w:t xml:space="preserve">、合法性、有效性</w:t>
      </w:r>
      <w:r>
        <w:rPr>
          <w:rFonts w:hint="eastAsia" w:ascii="仿宋" w:hAnsi="仿宋" w:eastAsia="仿宋" w:cs="仿宋"/>
          <w:color w:val="000000" w:themeColor="text1"/>
          <w:highlight w:val="none"/>
          <w14:textFill>
            <w14:solidFill>
              <w14:schemeClr w14:val="tx1"/>
            </w14:solidFill>
          </w14:textFill>
        </w:rPr>
        <w:t xml:space="preserve">负责</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如有虚假</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963"/>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 xml:space="preserve">供应商</w:t>
      </w:r>
      <w:r>
        <w:rPr>
          <w:rFonts w:hint="eastAsia" w:ascii="仿宋" w:hAnsi="仿宋" w:eastAsia="仿宋" w:cs="仿宋"/>
          <w:color w:val="000000" w:themeColor="text1"/>
          <w:highlight w:val="none"/>
          <w14:textFill>
            <w14:solidFill>
              <w14:schemeClr w14:val="tx1"/>
            </w14:solidFill>
          </w14:textFill>
        </w:rPr>
        <w:t xml:space="preserve">名称</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（加盖电子公章）</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  期：</w:t>
      </w:r>
      <w:r/>
    </w:p>
    <w:p>
      <w:pPr>
        <w:ind w:left="0" w:firstLine="0"/>
        <w:jc w:val="left"/>
        <w:widowControl/>
        <w:rPr>
          <w:rFonts w:hint="eastAsia" w:ascii="仿宋" w:hAnsi="仿宋" w:eastAsia="仿宋" w:cs="仿宋"/>
          <w:b/>
          <w:bCs/>
          <w:color w:val="000000" w:themeColor="text1"/>
          <w:highlight w:val="none"/>
          <w14:textFill>
            <w14:solidFill>
              <w14:schemeClr w14:val="tx1"/>
            </w14:solidFill>
          </w14:textFill>
        </w:rPr>
        <w:outlineLvl w:val="2"/>
      </w:pPr>
      <w:r/>
      <w:bookmarkStart w:id="198" w:name="_Toc160699571"/>
      <w:r>
        <w:rPr>
          <w:rFonts w:hint="eastAsia" w:ascii="仿宋" w:hAnsi="仿宋" w:eastAsia="仿宋" w:cs="仿宋"/>
          <w:b/>
          <w:bCs/>
          <w:color w:val="000000" w:themeColor="text1"/>
          <w:highlight w:val="none"/>
          <w14:textFill>
            <w14:solidFill>
              <w14:schemeClr w14:val="tx1"/>
            </w14:solidFill>
          </w14:textFill>
        </w:rPr>
        <w:t xml:space="preserve">二、特定资格要求的证明文件</w:t>
      </w:r>
      <w:bookmarkEnd w:id="198"/>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bookmarkEnd w:id="194"/>
      <w:bookmarkEnd w:id="195"/>
      <w:bookmarkEnd w:id="196"/>
      <w:r/>
    </w:p>
    <w:p>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r/>
      <w:bookmarkStart w:id="199" w:name="_Toc120614284"/>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693"/>
        <w:rPr>
          <w:rFonts w:hint="eastAsia" w:ascii="仿宋" w:hAnsi="仿宋" w:eastAsia="仿宋" w:cs="仿宋"/>
          <w:color w:val="000000" w:themeColor="text1"/>
          <w:highlight w:val="none"/>
          <w14:textFill>
            <w14:solidFill>
              <w14:schemeClr w14:val="tx1"/>
            </w14:solidFill>
          </w14:textFill>
        </w:rPr>
      </w:pPr>
      <w:r/>
      <w:bookmarkStart w:id="200" w:name="_Toc160699572"/>
      <w:r>
        <w:rPr>
          <w:rFonts w:hint="eastAsia" w:ascii="仿宋" w:hAnsi="仿宋" w:eastAsia="仿宋" w:cs="仿宋"/>
          <w:color w:val="000000" w:themeColor="text1"/>
          <w:highlight w:val="none"/>
          <w14:textFill>
            <w14:solidFill>
              <w14:schemeClr w14:val="tx1"/>
            </w14:solidFill>
          </w14:textFill>
        </w:rPr>
        <w:t xml:space="preserve">三、</w:t>
      </w:r>
      <w:r>
        <w:rPr>
          <w:rFonts w:hint="eastAsia" w:ascii="仿宋" w:hAnsi="仿宋" w:eastAsia="仿宋" w:cs="仿宋"/>
          <w:color w:val="000000" w:themeColor="text1"/>
          <w:highlight w:val="none"/>
          <w:lang w:eastAsia="zh-CN"/>
          <w14:textFill>
            <w14:solidFill>
              <w14:schemeClr w14:val="tx1"/>
            </w14:solidFill>
          </w14:textFill>
        </w:rPr>
        <w:t xml:space="preserve">法人/负责人</w:t>
      </w:r>
      <w:r>
        <w:rPr>
          <w:rFonts w:hint="eastAsia" w:ascii="仿宋" w:hAnsi="仿宋" w:eastAsia="仿宋" w:cs="仿宋"/>
          <w:color w:val="000000" w:themeColor="text1"/>
          <w:highlight w:val="none"/>
          <w14:textFill>
            <w14:solidFill>
              <w14:schemeClr w14:val="tx1"/>
            </w14:solidFill>
          </w14:textFill>
        </w:rPr>
        <w:t xml:space="preserve">授权书</w:t>
      </w:r>
      <w:bookmarkEnd w:id="200"/>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法人/负责人授权书</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本授权书声明：____________（供应商名称）授权________________（被授权人的姓名）为我方就（项目名称XXX）项目（编号XXX）采购活动的合法代理人，以本单位名义全权处理一切与该项目采购有关的事务。</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    期：</w:t>
      </w:r>
      <w:bookmarkStart w:id="201" w:name="_Hlt26955070"/>
      <w:r/>
      <w:bookmarkEnd w:id="201"/>
      <w:r/>
      <w:bookmarkStart w:id="202" w:name="_格式3__银行出具的资信证明"/>
      <w:r/>
      <w:bookmarkEnd w:id="202"/>
      <w:r/>
      <w:bookmarkStart w:id="203" w:name="_Hlt26671380"/>
      <w:r/>
      <w:bookmarkEnd w:id="203"/>
      <w:r>
        <w:rPr>
          <w:rFonts w:hint="eastAsia" w:ascii="仿宋" w:hAnsi="仿宋" w:eastAsia="仿宋" w:cs="仿宋"/>
          <w:color w:val="000000" w:themeColor="text1"/>
          <w:highlight w:val="none"/>
          <w14:textFill>
            <w14:solidFill>
              <w14:schemeClr w14:val="tx1"/>
            </w14:solidFill>
          </w14:textFill>
        </w:rPr>
        <w:t xml:space="preserve">________________                                         </w:t>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法人</w:t>
      </w:r>
      <w:r>
        <w:rPr>
          <w:rFonts w:hint="eastAsia" w:ascii="仿宋" w:hAnsi="仿宋" w:cs="仿宋"/>
          <w:color w:val="000000" w:themeColor="text1"/>
          <w:highlight w:val="none"/>
          <w:lang w:val="en-US" w:eastAsia="zh-CN"/>
          <w14:textFill>
            <w14:solidFill>
              <w14:schemeClr w14:val="tx1"/>
            </w14:solidFill>
          </w14:textFill>
        </w:rPr>
        <w:t xml:space="preserve">/负责人</w:t>
      </w:r>
      <w:r>
        <w:rPr>
          <w:rFonts w:hint="eastAsia" w:ascii="仿宋" w:hAnsi="仿宋" w:eastAsia="仿宋" w:cs="仿宋"/>
          <w:color w:val="000000" w:themeColor="text1"/>
          <w:highlight w:val="none"/>
          <w14:textFill>
            <w14:solidFill>
              <w14:schemeClr w14:val="tx1"/>
            </w14:solidFill>
          </w14:textFill>
        </w:rPr>
        <w:t xml:space="preserve">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被授权人身份证复印件</w:t>
      </w:r>
      <w:r>
        <w:rPr>
          <w:rFonts w:hint="eastAsia" w:ascii="仿宋" w:hAnsi="仿宋" w:eastAsia="仿宋" w:cs="仿宋"/>
          <w:color w:val="000000" w:themeColor="text1"/>
          <w:highlight w:val="none"/>
          <w:lang w:eastAsia="zh-CN"/>
          <w14:textFill>
            <w14:solidFill>
              <w14:schemeClr w14:val="tx1"/>
            </w14:solidFill>
          </w14:textFill>
        </w:rPr>
        <w:t xml:space="preserve">：</w:t>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ind w:left="0" w:firstLine="0"/>
        <w:jc w:val="left"/>
        <w:rPr>
          <w:rFonts w:hint="eastAsia" w:ascii="仿宋" w:hAnsi="仿宋" w:eastAsia="仿宋" w:cs="仿宋"/>
          <w:i/>
          <w:color w:val="000000" w:themeColor="text1"/>
          <w:sz w:val="32"/>
          <w:szCs w:val="32"/>
          <w:highlight w:val="none"/>
          <w:u w:val="single"/>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r>
      <w:r/>
    </w:p>
    <w:p>
      <w:pPr>
        <w:pStyle w:val="693"/>
        <w:rPr>
          <w:rFonts w:hint="eastAsia" w:ascii="仿宋" w:hAnsi="仿宋" w:eastAsia="仿宋" w:cs="仿宋"/>
          <w:color w:val="000000" w:themeColor="text1"/>
          <w:highlight w:val="none"/>
          <w14:textFill>
            <w14:solidFill>
              <w14:schemeClr w14:val="tx1"/>
            </w14:solidFill>
          </w14:textFill>
        </w:rPr>
      </w:pPr>
      <w:r/>
      <w:bookmarkStart w:id="204" w:name="_Toc160699573"/>
      <w:r>
        <w:rPr>
          <w:rFonts w:hint="eastAsia" w:ascii="仿宋" w:hAnsi="仿宋" w:eastAsia="仿宋" w:cs="仿宋"/>
          <w:color w:val="000000" w:themeColor="text1"/>
          <w:highlight w:val="none"/>
          <w14:textFill>
            <w14:solidFill>
              <w14:schemeClr w14:val="tx1"/>
            </w14:solidFill>
          </w14:textFill>
        </w:rPr>
        <w:t xml:space="preserve">四、磋商响应函</w:t>
      </w:r>
      <w:bookmarkEnd w:id="204"/>
      <w:r/>
      <w:r/>
    </w:p>
    <w:p>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磋商响应函</w:t>
      </w:r>
      <w:r/>
    </w:p>
    <w:p>
      <w:pPr>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致：</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南京市建邺区城市数字治理中心</w:t>
      </w:r>
      <w:r/>
    </w:p>
    <w:p>
      <w:pPr>
        <w:ind w:firstLine="112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 xml:space="preserve">南京通建项目管理咨询有限公司</w:t>
      </w:r>
      <w:r/>
    </w:p>
    <w:p>
      <w:pPr>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（项目编号）</w:t>
      </w:r>
      <w:r>
        <w:rPr>
          <w:rFonts w:hint="eastAsia" w:ascii="仿宋" w:hAnsi="仿宋" w:eastAsia="仿宋" w:cs="仿宋"/>
          <w:color w:val="000000" w:themeColor="text1"/>
          <w:sz w:val="28"/>
          <w:szCs w:val="28"/>
          <w:highlight w:val="none"/>
          <w14:textFill>
            <w14:solidFill>
              <w14:schemeClr w14:val="tx1"/>
            </w14:solidFill>
          </w14:textFill>
        </w:rPr>
        <w:t xml:space="preserve">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（供应商的名称），全权处理本次项目磋商的有关事宜。</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签字人兹宣布同意如下：</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7.我方为：</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上打“√”</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8.我方与本磋商有关的正式通讯地址为：</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938"/>
        <w:ind w:left="420"/>
        <w:keepLines w:val="0"/>
        <w:keepNext w:val="0"/>
        <w:pageBreakBefore w:val="0"/>
        <w:spacing w:before="0"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日</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3"/>
        <w:rPr>
          <w:rFonts w:hint="eastAsia" w:ascii="仿宋" w:hAnsi="仿宋" w:eastAsia="仿宋" w:cs="仿宋"/>
          <w:color w:val="000000" w:themeColor="text1"/>
          <w:highlight w:val="none"/>
          <w14:textFill>
            <w14:solidFill>
              <w14:schemeClr w14:val="tx1"/>
            </w14:solidFill>
          </w14:textFill>
        </w:rPr>
      </w:pPr>
      <w:r/>
      <w:bookmarkStart w:id="205" w:name="_Toc160699574"/>
      <w:r>
        <w:rPr>
          <w:rFonts w:hint="eastAsia" w:ascii="仿宋" w:hAnsi="仿宋" w:eastAsia="仿宋" w:cs="仿宋"/>
          <w:color w:val="000000" w:themeColor="text1"/>
          <w:highlight w:val="none"/>
          <w14:textFill>
            <w14:solidFill>
              <w14:schemeClr w14:val="tx1"/>
            </w14:solidFill>
          </w14:textFill>
        </w:rPr>
        <w:t xml:space="preserve">五、报价表</w:t>
      </w:r>
      <w:bookmarkEnd w:id="205"/>
      <w:r/>
      <w:r/>
    </w:p>
    <w:p>
      <w:pPr>
        <w:ind w:firstLine="562"/>
        <w:jc w:val="center"/>
        <w:spacing w:line="480" w:lineRule="auto"/>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 xml:space="preserve">报价表</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供应商名称：（加盖电子公章） </w:t>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ind w:firstLine="480"/>
        <w:jc w:val="left"/>
        <w:keepLines w:val="0"/>
        <w:keepNext w:val="0"/>
        <w:pageBreakBefore w:val="0"/>
        <w:spacing w:line="360" w:lineRule="auto"/>
        <w:widowControl w:val="off"/>
        <w:rPr>
          <w:rFonts w:ascii="仿宋" w:hAnsi="仿宋" w:cs="仿宋"/>
          <w:color w:val="000000" w:themeColor="text1"/>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      </w:t>
      </w:r>
      <w:r>
        <w:rPr>
          <w:rFonts w:hint="eastAsia" w:ascii="仿宋" w:hAnsi="仿宋" w:cs="仿宋"/>
          <w:color w:val="000000" w:themeColor="text1"/>
          <w:szCs w:val="28"/>
          <w:highlight w:val="none"/>
          <w14:textFill>
            <w14:solidFill>
              <w14:schemeClr w14:val="tx1"/>
            </w14:solidFill>
          </w14:textFill>
        </w:rPr>
        <w:t xml:space="preserve">                             </w:t>
      </w:r>
      <w:r/>
    </w:p>
    <w:tbl>
      <w:tblPr>
        <w:tblStyle w:val="70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center"/>
              <w:spacing w:line="480" w:lineRule="auto"/>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938"/>
              <w:ind w:firstLine="560"/>
              <w:spacing w:before="0" w:after="0" w:line="480" w:lineRule="auto"/>
              <w:rPr>
                <w:rFonts w:ascii="仿宋" w:hAnsi="仿宋" w:cs="仿宋"/>
                <w:color w:val="000000" w:themeColor="text1"/>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r/>
          </w:p>
        </w:tc>
      </w:tr>
    </w:tbl>
    <w:p>
      <w:pPr>
        <w:ind w:firstLine="560"/>
        <w:spacing w:line="480" w:lineRule="auto"/>
        <w:rPr>
          <w:rFonts w:ascii="仿宋" w:hAnsi="仿宋" w:cs="仿宋"/>
          <w:color w:val="000000" w:themeColor="text1"/>
          <w:szCs w:val="28"/>
          <w:highlight w:val="none"/>
          <w14:textFill>
            <w14:solidFill>
              <w14:schemeClr w14:val="tx1"/>
            </w14:solidFill>
          </w14:textFill>
        </w:rPr>
      </w:pPr>
      <w:r>
        <w:rPr>
          <w:rFonts w:ascii="仿宋" w:hAnsi="仿宋" w:cs="仿宋"/>
          <w:color w:val="000000" w:themeColor="text1"/>
          <w:szCs w:val="28"/>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3"/>
        <w:rPr>
          <w:rFonts w:hint="eastAsia" w:ascii="仿宋" w:hAnsi="仿宋" w:eastAsia="仿宋" w:cs="仿宋"/>
          <w:color w:val="000000" w:themeColor="text1"/>
          <w:highlight w:val="none"/>
          <w:lang w:eastAsia="zh-CN"/>
          <w14:textFill>
            <w14:solidFill>
              <w14:schemeClr w14:val="tx1"/>
            </w14:solidFill>
          </w14:textFill>
        </w:rPr>
      </w:pPr>
      <w:r/>
      <w:bookmarkStart w:id="206" w:name="_Toc160699575"/>
      <w:r>
        <w:rPr>
          <w:rFonts w:hint="eastAsia" w:ascii="仿宋" w:hAnsi="仿宋" w:eastAsia="仿宋" w:cs="仿宋"/>
          <w:color w:val="000000" w:themeColor="text1"/>
          <w:highlight w:val="none"/>
          <w14:textFill>
            <w14:solidFill>
              <w14:schemeClr w14:val="tx1"/>
            </w14:solidFill>
          </w14:textFill>
        </w:rPr>
        <w:t xml:space="preserve">六、分项报价表</w:t>
      </w:r>
      <w:bookmarkEnd w:id="206"/>
      <w:r>
        <w:rPr>
          <w:rFonts w:hint="eastAsia" w:ascii="仿宋" w:hAnsi="仿宋" w:cs="仿宋"/>
          <w:color w:val="000000" w:themeColor="text1"/>
          <w:highlight w:val="none"/>
          <w:lang w:eastAsia="zh-CN"/>
          <w14:textFill>
            <w14:solidFill>
              <w14:schemeClr w14:val="tx1"/>
            </w14:solidFill>
          </w14:textFill>
        </w:rPr>
        <w:t xml:space="preserve">（</w:t>
      </w:r>
      <w:r>
        <w:rPr>
          <w:rFonts w:hint="eastAsia" w:ascii="仿宋" w:hAnsi="仿宋" w:cs="仿宋"/>
          <w:color w:val="000000" w:themeColor="text1"/>
          <w:highlight w:val="none"/>
          <w:lang w:val="en-US" w:eastAsia="zh-CN"/>
          <w14:textFill>
            <w14:solidFill>
              <w14:schemeClr w14:val="tx1"/>
            </w14:solidFill>
          </w14:textFill>
        </w:rPr>
        <w:t xml:space="preserve">如有</w:t>
      </w:r>
      <w:r>
        <w:rPr>
          <w:rFonts w:hint="eastAsia" w:ascii="仿宋" w:hAnsi="仿宋" w:cs="仿宋"/>
          <w:color w:val="000000" w:themeColor="text1"/>
          <w:highlight w:val="none"/>
          <w:lang w:eastAsia="zh-CN"/>
          <w14:textFill>
            <w14:solidFill>
              <w14:schemeClr w14:val="tx1"/>
            </w14:solidFill>
          </w14:textFill>
        </w:rPr>
        <w:t xml:space="preserve">）</w:t>
      </w:r>
      <w:r/>
    </w:p>
    <w:p>
      <w:pPr>
        <w:jc w:val="left"/>
        <w:spacing w:line="240" w:lineRule="atLeast"/>
        <w:widowControl/>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r/>
    </w:p>
    <w:p>
      <w:pPr>
        <w:jc w:val="left"/>
        <w:spacing w:line="240" w:lineRule="atLeast"/>
        <w:widowControl/>
        <w:rPr>
          <w:rFonts w:hint="eastAsia" w:ascii="仿宋" w:hAnsi="仿宋" w:eastAsia="仿宋" w:cs="仿宋"/>
          <w:b/>
          <w:color w:val="000000" w:themeColor="text1"/>
          <w:sz w:val="32"/>
          <w:szCs w:val="28"/>
          <w:highlight w:val="none"/>
          <w:lang w:val="zh-CN"/>
          <w14:textFill>
            <w14:solidFill>
              <w14:schemeClr w14:val="tx1"/>
            </w14:solidFill>
          </w14:textFill>
        </w:rPr>
      </w:pPr>
      <w:r>
        <w:rPr>
          <w:rFonts w:hint="eastAsia" w:ascii="仿宋" w:hAnsi="仿宋" w:eastAsia="仿宋" w:cs="仿宋"/>
          <w:b/>
          <w:color w:val="000000" w:themeColor="text1"/>
          <w:sz w:val="32"/>
          <w:szCs w:val="28"/>
          <w:highlight w:val="none"/>
          <w:lang w:val="zh-CN"/>
          <w14:textFill>
            <w14:solidFill>
              <w14:schemeClr w14:val="tx1"/>
            </w14:solidFill>
          </w14:textFill>
        </w:rPr>
      </w:r>
      <w:r/>
    </w:p>
    <w:tbl>
      <w:tblPr>
        <w:tblStyle w:val="70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73"/>
        <w:gridCol w:w="1648"/>
        <w:gridCol w:w="1311"/>
        <w:gridCol w:w="1311"/>
        <w:gridCol w:w="1392"/>
        <w:gridCol w:w="1163"/>
      </w:tblGrid>
      <w:tr>
        <w:trPr>
          <w:jc w:val="center"/>
        </w:trPr>
        <w:tc>
          <w:tcPr>
            <w:gridSpan w:val="7"/>
            <w:tcBorders>
              <w:top w:val="single" w:color="auto" w:sz="4" w:space="0"/>
              <w:left w:val="single" w:color="auto" w:sz="4" w:space="0"/>
              <w:bottom w:val="single" w:color="auto" w:sz="4" w:space="0"/>
              <w:right w:val="single" w:color="auto" w:sz="4" w:space="0"/>
            </w:tcBorders>
            <w:tcW w:w="5000" w:type="pct"/>
            <w:textDirection w:val="lrTb"/>
            <w:noWrap w:val="false"/>
          </w:tcPr>
          <w:p>
            <w:pPr>
              <w:ind w:left="0" w:firstLine="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r/>
          </w:p>
          <w:p>
            <w:pPr>
              <w:ind w:left="0" w:firstLine="0"/>
              <w:jc w:val="left"/>
              <w:spacing w:line="360" w:lineRule="auto"/>
              <w:widowControl/>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04"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序号</w:t>
            </w:r>
            <w:r/>
          </w:p>
        </w:tc>
        <w:tc>
          <w:tcPr>
            <w:tcBorders>
              <w:top w:val="single" w:color="auto" w:sz="4" w:space="0"/>
              <w:left w:val="single" w:color="auto" w:sz="4" w:space="0"/>
              <w:right w:val="single" w:color="auto" w:sz="4" w:space="0"/>
            </w:tcBorders>
            <w:tcW w:w="905"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服务分项</w:t>
            </w:r>
            <w:r/>
          </w:p>
        </w:tc>
        <w:tc>
          <w:tcPr>
            <w:tcBorders>
              <w:top w:val="single" w:color="auto" w:sz="4" w:space="0"/>
              <w:left w:val="single" w:color="auto" w:sz="4" w:space="0"/>
              <w:right w:val="single" w:color="auto" w:sz="4" w:space="0"/>
            </w:tcBorders>
            <w:tcW w:w="840"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数量</w:t>
            </w:r>
            <w:r/>
          </w:p>
        </w:tc>
        <w:tc>
          <w:tcPr>
            <w:tcBorders>
              <w:top w:val="single" w:color="auto" w:sz="4" w:space="0"/>
              <w:left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left="0" w:firstLine="0"/>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是否属于小、微型企业的服务</w:t>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604"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tc>
        <w:tc>
          <w:tcPr>
            <w:tcBorders>
              <w:left w:val="single" w:color="auto" w:sz="4" w:space="0"/>
              <w:right w:val="single" w:color="auto" w:sz="4" w:space="0"/>
            </w:tcBorders>
            <w:tcW w:w="905"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840"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left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1"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2"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93" w:type="pct"/>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tc>
      </w:tr>
      <w:tr>
        <w:trPr>
          <w:jc w:val="center"/>
        </w:trPr>
        <w:tc>
          <w:tcPr>
            <w:gridSpan w:val="3"/>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总价（人民币，大写）</w:t>
            </w:r>
            <w:r/>
          </w:p>
        </w:tc>
        <w:tc>
          <w:tcPr>
            <w:gridSpan w:val="4"/>
            <w:tcBorders>
              <w:top w:val="single" w:color="auto" w:sz="4" w:space="0"/>
              <w:left w:val="single" w:color="auto" w:sz="4" w:space="0"/>
              <w:bottom w:val="single" w:color="auto" w:sz="4" w:space="0"/>
              <w:right w:val="single" w:color="auto" w:sz="4" w:space="0"/>
            </w:tcBorders>
            <w:tcW w:w="2648" w:type="pct"/>
            <w:textDirection w:val="lrTb"/>
            <w:noWrap w:val="false"/>
          </w:tcPr>
          <w:p>
            <w:pPr>
              <w:ind w:firstLine="2880"/>
              <w:jc w:val="left"/>
              <w:spacing w:line="360" w:lineRule="auto"/>
              <w:widowControl/>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元</w:t>
            </w:r>
            <w:r/>
          </w:p>
        </w:tc>
      </w:tr>
    </w:tbl>
    <w:p>
      <w:pPr>
        <w:jc w:val="left"/>
        <w:spacing w:line="560" w:lineRule="exact"/>
        <w:widowControl/>
        <w:rPr>
          <w:rFonts w:hint="eastAsia" w:ascii="仿宋" w:hAnsi="仿宋" w:eastAsia="仿宋" w:cs="仿宋"/>
          <w:color w:val="000000" w:themeColor="text1"/>
          <w:sz w:val="28"/>
          <w:szCs w:val="24"/>
          <w:highlight w:val="none"/>
          <w:lang w:val="zh-CN"/>
          <w14:textFill>
            <w14:solidFill>
              <w14:schemeClr w14:val="tx1"/>
            </w14:solidFill>
          </w14:textFill>
        </w:rPr>
      </w:pPr>
      <w:r>
        <w:rPr>
          <w:rFonts w:hint="eastAsia" w:ascii="仿宋" w:hAnsi="仿宋" w:eastAsia="仿宋" w:cs="仿宋"/>
          <w:color w:val="000000" w:themeColor="text1"/>
          <w:sz w:val="28"/>
          <w:szCs w:val="24"/>
          <w:highlight w:val="none"/>
          <w:lang w:val="zh-CN"/>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 xml:space="preserve">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 xml:space="preserve">加盖电子章</w:t>
      </w:r>
      <w:r>
        <w:rPr>
          <w:rFonts w:hint="eastAsia" w:ascii="仿宋" w:hAnsi="仿宋" w:eastAsia="仿宋" w:cs="仿宋"/>
          <w:color w:val="000000" w:themeColor="text1"/>
          <w:sz w:val="24"/>
          <w:szCs w:val="21"/>
          <w:highlight w:val="none"/>
          <w:u w:val="single"/>
          <w14:textFill>
            <w14:solidFill>
              <w14:schemeClr w14:val="tx1"/>
            </w14:solidFill>
          </w14:textFill>
        </w:rPr>
        <w:t xml:space="preserve">）</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注：1、在“是否属于小、微型企业的服务”栏内，填写“是”或“否”，如果小微型企业的服务报价无法划分计算的，评标时将不予认可。小型和微型企业服务是指供应商为小企业，且符合中小企业划分标准，提供本企业提供的服务。</w:t>
      </w:r>
      <w:r/>
    </w:p>
    <w:p>
      <w:pPr>
        <w:ind w:firstLine="480"/>
        <w:jc w:val="left"/>
        <w:spacing w:line="420"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 xml:space="preserve">2、经磋商后，如果成交价高于或低于供应商在响应文件首次报价的，分项报价同比例调整。</w:t>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3"/>
        <w:rPr>
          <w:rFonts w:hint="eastAsia" w:ascii="仿宋" w:hAnsi="仿宋" w:eastAsia="仿宋" w:cs="仿宋"/>
          <w:color w:val="000000" w:themeColor="text1"/>
          <w:highlight w:val="none"/>
          <w:lang w:val="en-US" w:eastAsia="zh-CN"/>
          <w14:textFill>
            <w14:solidFill>
              <w14:schemeClr w14:val="tx1"/>
            </w14:solidFill>
          </w14:textFill>
        </w:rPr>
      </w:pPr>
      <w:r/>
      <w:bookmarkStart w:id="207" w:name="_Toc160699578"/>
      <w:r>
        <w:rPr>
          <w:rFonts w:hint="eastAsia" w:ascii="仿宋" w:hAnsi="仿宋" w:eastAsia="仿宋" w:cs="仿宋"/>
          <w:color w:val="000000" w:themeColor="text1"/>
          <w:highlight w:val="none"/>
          <w14:textFill>
            <w14:solidFill>
              <w14:schemeClr w14:val="tx1"/>
            </w14:solidFill>
          </w14:textFill>
        </w:rPr>
        <w:t xml:space="preserve">七、</w:t>
      </w:r>
      <w:bookmarkEnd w:id="207"/>
      <w:r>
        <w:rPr>
          <w:rFonts w:hint="eastAsia" w:ascii="仿宋" w:hAnsi="仿宋" w:eastAsia="仿宋" w:cs="仿宋"/>
          <w:color w:val="000000" w:themeColor="text1"/>
          <w:highlight w:val="none"/>
          <w:lang w:val="en-US" w:eastAsia="zh-CN"/>
          <w14:textFill>
            <w14:solidFill>
              <w14:schemeClr w14:val="tx1"/>
            </w14:solidFill>
          </w14:textFill>
        </w:rPr>
        <w:t xml:space="preserve">技术要求响应及偏离表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技术要求响应及偏离表</w:t>
      </w:r>
      <w:r/>
    </w:p>
    <w:tbl>
      <w:tblPr>
        <w:tblStyle w:val="7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17"/>
        <w:gridCol w:w="2824"/>
        <w:gridCol w:w="3366"/>
      </w:tblGrid>
      <w:tr>
        <w:trPr>
          <w:cantSplit/>
        </w:trPr>
        <w:tc>
          <w:tcPr>
            <w:tcW w:w="37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1480"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磋商</w:t>
            </w:r>
            <w:r>
              <w:rPr>
                <w:rFonts w:hint="eastAsia" w:ascii="仿宋" w:hAnsi="仿宋" w:eastAsia="仿宋" w:cs="仿宋"/>
                <w:color w:val="000000" w:themeColor="text1"/>
                <w:sz w:val="24"/>
                <w:szCs w:val="24"/>
                <w:highlight w:val="none"/>
                <w14:textFill>
                  <w14:solidFill>
                    <w14:schemeClr w14:val="tx1"/>
                  </w14:solidFill>
                </w14:textFill>
              </w:rPr>
              <w:t xml:space="preserve">文件要求</w:t>
            </w:r>
            <w:r/>
          </w:p>
        </w:tc>
        <w:tc>
          <w:tcPr>
            <w:tcW w:w="143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响应情况</w:t>
            </w:r>
            <w:r/>
          </w:p>
        </w:tc>
        <w:tc>
          <w:tcPr>
            <w:tcW w:w="170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37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80"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433"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08" w:type="pct"/>
            <w:vAlign w:val="top"/>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736"/>
        <w:jc w:val="both"/>
        <w:keepLines w:val="0"/>
        <w:keepNext w:val="0"/>
        <w:spacing w:before="0" w:beforeAutospacing="0" w:after="0" w:afterAutospacing="0"/>
        <w:widowControl/>
        <w:rPr>
          <w:rFonts w:hint="eastAsia" w:ascii="仿宋" w:hAnsi="仿宋" w:eastAsia="仿宋" w:cs="仿宋"/>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560"/>
        <w:jc w:val="both"/>
        <w:keepLines w:val="0"/>
        <w:keepNext w:val="0"/>
        <w:pageBreakBefore w:val="0"/>
        <w:spacing w:line="360" w:lineRule="auto"/>
        <w:rPr>
          <w:rFonts w:hint="eastAsia" w:ascii="宋体" w:hAnsi="宋体"/>
          <w:color w:val="000000" w:themeColor="text1"/>
          <w:sz w:val="28"/>
          <w:szCs w:val="28"/>
          <w:highlight w:val="none"/>
          <w:u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w:t>
      </w:r>
      <w:r>
        <w:rPr>
          <w:rFonts w:hint="eastAsia" w:ascii="宋体" w:hAnsi="宋体"/>
          <w:color w:val="000000" w:themeColor="text1"/>
          <w:sz w:val="28"/>
          <w:szCs w:val="28"/>
          <w:highlight w:val="none"/>
          <w14:textFill>
            <w14:solidFill>
              <w14:schemeClr w14:val="tx1"/>
            </w14:solidFill>
          </w14:textFill>
        </w:rPr>
        <w:t xml:space="preserve">名称</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u w:val="none"/>
          <w14:textFill>
            <w14:solidFill>
              <w14:schemeClr w14:val="tx1"/>
            </w14:solidFill>
          </w14:textFill>
        </w:rPr>
        <w:t xml:space="preserve">（加盖电子公章）</w:t>
      </w:r>
      <w:r/>
    </w:p>
    <w:p>
      <w:pPr>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pStyle w:val="736"/>
        <w:ind w:firstLine="562"/>
        <w:jc w:val="both"/>
        <w:spacing w:before="0" w:beforeAutospacing="0" w:after="0" w:afterAutospacing="0" w:line="360" w:lineRule="auto"/>
        <w:rPr>
          <w:rFonts w:hint="default" w:ascii="宋体" w:hAnsi="宋体" w:eastAsia="仿宋" w:cs="Times New Roman"/>
          <w:b/>
          <w:bCs/>
          <w:color w:val="000000" w:themeColor="text1"/>
          <w:sz w:val="28"/>
          <w:szCs w:val="28"/>
          <w:highlight w:val="none"/>
          <w:lang w:val="en-US" w:eastAsia="zh-CN" w:bidi="ar-SA"/>
          <w14:textFill>
            <w14:solidFill>
              <w14:schemeClr w14:val="tx1"/>
            </w14:solidFill>
          </w14:textFill>
        </w:rPr>
      </w:pPr>
      <w:r>
        <w:rPr>
          <w:rFonts w:hint="default" w:ascii="宋体" w:hAnsi="宋体" w:eastAsia="仿宋" w:cs="Times New Roman"/>
          <w:b/>
          <w:bCs/>
          <w:color w:val="000000" w:themeColor="text1"/>
          <w:sz w:val="28"/>
          <w:szCs w:val="28"/>
          <w:highlight w:val="none"/>
          <w:lang w:val="en-US" w:eastAsia="zh-CN" w:bidi="ar-SA"/>
          <w14:textFill>
            <w14:solidFill>
              <w14:schemeClr w14:val="tx1"/>
            </w14:solidFill>
          </w14:textFill>
        </w:rPr>
        <w:t xml:space="preserve">备注： </w:t>
      </w:r>
      <w:r/>
    </w:p>
    <w:p>
      <w:pPr>
        <w:pStyle w:val="736"/>
        <w:ind w:firstLine="562"/>
        <w:jc w:val="both"/>
        <w:spacing w:before="0" w:beforeAutospacing="0" w:after="0" w:afterAutospacing="0"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1.供应商须对</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磋商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文件技术要求中的实质性要求（斜体下划线内容或打“★”内容）及其他要求做出明确响应，否则视为无效投标。</w:t>
      </w:r>
      <w:r/>
    </w:p>
    <w:p>
      <w:pPr>
        <w:pStyle w:val="736"/>
        <w:ind w:firstLine="562"/>
        <w:jc w:val="both"/>
        <w:spacing w:before="0" w:beforeAutospacing="0" w:after="0" w:afterAutospacing="0"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2.行数不够，可自行添加。</w:t>
      </w:r>
      <w:r/>
    </w:p>
    <w:p>
      <w:pPr>
        <w:pStyle w:val="736"/>
        <w:ind w:firstLine="562"/>
        <w:jc w:val="both"/>
        <w:spacing w:before="0" w:beforeAutospacing="0" w:after="0" w:afterAutospacing="0"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3.如</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文件要求提供相应证明材料的，相关证明材料附于表后。</w:t>
      </w:r>
      <w:r/>
    </w:p>
    <w:p>
      <w:pPr>
        <w:jc w:val="center"/>
        <w:rPr>
          <w:rFonts w:hint="eastAsia" w:ascii="黑体" w:hAnsi="Arial" w:eastAsia="黑体"/>
          <w:b/>
          <w:color w:val="000000" w:themeColor="text1"/>
          <w:sz w:val="36"/>
          <w:szCs w:val="21"/>
          <w:highlight w:val="none"/>
          <w14:textFill>
            <w14:solidFill>
              <w14:schemeClr w14:val="tx1"/>
            </w14:solidFill>
          </w14:textFill>
        </w:rPr>
      </w:pPr>
      <w:r>
        <w:rPr>
          <w:rFonts w:hint="eastAsia" w:ascii="黑体" w:hAnsi="Arial" w:eastAsia="黑体"/>
          <w:b/>
          <w:color w:val="000000" w:themeColor="text1"/>
          <w:sz w:val="36"/>
          <w:szCs w:val="21"/>
          <w:highlight w:val="none"/>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bookmarkStart w:id="208" w:name="_Hlt26955054"/>
      <w:r/>
      <w:bookmarkEnd w:id="208"/>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r>
      <w:r/>
    </w:p>
    <w:p>
      <w:pP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pPr>
      <w:r>
        <w:rPr>
          <w:rFonts w:hint="eastAsia" w:ascii="黑体" w:hAnsi="黑体" w:eastAsia="黑体" w:cs="Times New Roman"/>
          <w:i w:val="0"/>
          <w:iCs/>
          <w:color w:val="000000" w:themeColor="text1"/>
          <w:sz w:val="32"/>
          <w:szCs w:val="32"/>
          <w:highlight w:val="none"/>
          <w:u w:val="none"/>
          <w:lang w:val="en-US" w:eastAsia="zh-CN"/>
          <w14:textFill>
            <w14:solidFill>
              <w14:schemeClr w14:val="tx1"/>
            </w14:solidFill>
          </w14:textFill>
        </w:rPr>
        <w:br w:type="page" w:clear="all"/>
      </w:r>
      <w:r/>
    </w:p>
    <w:p>
      <w:pPr>
        <w:pStyle w:val="693"/>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八、商务要求响应及偏离表</w:t>
      </w:r>
      <w:r/>
    </w:p>
    <w:p>
      <w:pPr>
        <w:jc w:val="center"/>
        <w:spacing w:line="240" w:lineRule="atLeast"/>
        <w:widowControl/>
        <w:rPr>
          <w:rFonts w:hint="eastAsia" w:ascii="仿宋" w:hAnsi="仿宋" w:eastAsia="仿宋" w:cs="仿宋"/>
          <w:b/>
          <w:color w:val="000000" w:themeColor="text1"/>
          <w:sz w:val="28"/>
          <w:szCs w:val="24"/>
          <w:highlight w:val="none"/>
          <w:lang w:val="en-US" w:eastAsia="zh-CN"/>
          <w14:textFill>
            <w14:solidFill>
              <w14:schemeClr w14:val="tx1"/>
            </w14:solidFill>
          </w14:textFill>
        </w:rPr>
      </w:pPr>
      <w:r/>
      <w:bookmarkStart w:id="209" w:name="OLE_LINK2"/>
      <w:r>
        <w:rPr>
          <w:rFonts w:hint="eastAsia" w:ascii="仿宋" w:hAnsi="仿宋" w:eastAsia="仿宋" w:cs="仿宋"/>
          <w:b/>
          <w:color w:val="000000" w:themeColor="text1"/>
          <w:sz w:val="28"/>
          <w:szCs w:val="24"/>
          <w:highlight w:val="none"/>
          <w:lang w:val="en-US" w:eastAsia="zh-CN"/>
          <w14:textFill>
            <w14:solidFill>
              <w14:schemeClr w14:val="tx1"/>
            </w14:solidFill>
          </w14:textFill>
        </w:rPr>
        <w:t xml:space="preserve">商务要求响应及偏离表</w:t>
      </w:r>
      <w:bookmarkEnd w:id="209"/>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4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6" w:type="dxa"/>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pStyle w:val="736"/>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right="180" w:firstLine="560"/>
        <w:jc w:val="both"/>
        <w:keepLines w:val="0"/>
        <w:keepNext w:val="0"/>
        <w:pageBreakBefore w:val="0"/>
        <w:spacing w:line="360" w:lineRule="auto"/>
        <w:rPr>
          <w:rFonts w:hint="eastAsia" w:ascii="宋体" w:hAnsi="宋体" w:cs="Times New Roman"/>
          <w:color w:val="000000" w:themeColor="text1"/>
          <w:sz w:val="28"/>
          <w:szCs w:val="28"/>
          <w:highlight w:val="none"/>
          <w:lang w:val="en-US" w:eastAsia="zh-CN"/>
          <w14:textFill>
            <w14:solidFill>
              <w14:schemeClr w14:val="tx1"/>
            </w14:solidFill>
          </w14:textFill>
        </w:rPr>
      </w:pP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供应商名称：（加盖电子公章）</w:t>
      </w:r>
      <w:r/>
    </w:p>
    <w:p>
      <w:pPr>
        <w:pStyle w:val="736"/>
        <w:ind w:firstLine="562"/>
        <w:jc w:val="both"/>
        <w:spacing w:before="0" w:beforeAutospacing="0" w:after="0" w:afterAutospacing="0"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pStyle w:val="736"/>
        <w:ind w:firstLine="562"/>
        <w:jc w:val="both"/>
        <w:spacing w:before="0" w:beforeAutospacing="0" w:after="0" w:afterAutospacing="0"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备注： </w:t>
      </w:r>
      <w:r/>
    </w:p>
    <w:p>
      <w:pPr>
        <w:pStyle w:val="736"/>
        <w:ind w:firstLine="562"/>
        <w:jc w:val="both"/>
        <w:spacing w:before="0" w:beforeAutospacing="0" w:after="0" w:afterAutospacing="0"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1.供应商须对</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磋商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文件商务要求中的实质性要求（斜体下划线内容或打“★”内容）做出明确响应，否则视为无效投标。</w:t>
      </w:r>
      <w:r/>
    </w:p>
    <w:p>
      <w:pPr>
        <w:pStyle w:val="736"/>
        <w:ind w:firstLine="562"/>
        <w:jc w:val="both"/>
        <w:spacing w:before="0" w:beforeAutospacing="0" w:after="0" w:afterAutospacing="0" w:line="360" w:lineRule="auto"/>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2.行数不够，可自行添加。</w:t>
      </w:r>
      <w:r/>
    </w:p>
    <w:p>
      <w:pPr>
        <w:ind w:right="180"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3.如</w:t>
      </w:r>
      <w:r>
        <w:rPr>
          <w:rFonts w:hint="eastAsia" w:ascii="仿宋" w:hAnsi="仿宋" w:cs="仿宋"/>
          <w:b/>
          <w:bCs/>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文件要求提供相应证明材料的，相关证明材料附于表后。</w:t>
      </w:r>
      <w:r/>
    </w:p>
    <w:p>
      <w:pPr>
        <w:pStyle w:val="75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left"/>
        <w:widowControl/>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p>
    <w:p>
      <w:pPr>
        <w:pStyle w:val="693"/>
        <w:numPr>
          <w:ilvl w:val="0"/>
          <w:numId w:val="0"/>
        </w:numPr>
        <w:ind w:firstLine="562"/>
        <w:rPr>
          <w:rFonts w:hint="eastAsia" w:ascii="仿宋" w:hAnsi="仿宋" w:eastAsia="仿宋" w:cs="仿宋"/>
          <w:color w:val="000000" w:themeColor="text1"/>
          <w:highlight w:val="none"/>
          <w14:textFill>
            <w14:solidFill>
              <w14:schemeClr w14:val="tx1"/>
            </w14:solidFill>
          </w14:textFill>
        </w:rPr>
      </w:pPr>
      <w:r/>
      <w:bookmarkStart w:id="210" w:name="_Toc160699579"/>
      <w:r>
        <w:rPr>
          <w:rFonts w:hint="eastAsia" w:ascii="仿宋" w:hAnsi="仿宋" w:cs="仿宋"/>
          <w:b/>
          <w:bCs/>
          <w:color w:val="000000" w:themeColor="text1"/>
          <w:sz w:val="28"/>
          <w:szCs w:val="32"/>
          <w:highlight w:val="none"/>
          <w:lang w:val="en-US" w:eastAsia="zh-CN" w:bidi="ar-SA"/>
          <w14:textFill>
            <w14:solidFill>
              <w14:schemeClr w14:val="tx1"/>
            </w14:solidFill>
          </w14:textFill>
        </w:rPr>
        <w:t xml:space="preserve">九</w:t>
      </w:r>
      <w:r>
        <w:rPr>
          <w:rFonts w:hint="eastAsia" w:ascii="仿宋" w:hAnsi="仿宋" w:eastAsia="仿宋" w:cs="仿宋"/>
          <w:b/>
          <w:bCs/>
          <w:color w:val="000000" w:themeColor="text1"/>
          <w:sz w:val="28"/>
          <w:szCs w:val="32"/>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项目实施方案</w:t>
      </w:r>
      <w:bookmarkEnd w:id="210"/>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702"/>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693"/>
        <w:rPr>
          <w:rFonts w:hint="eastAsia" w:ascii="仿宋" w:hAnsi="仿宋" w:eastAsia="仿宋" w:cs="仿宋"/>
          <w:color w:val="000000" w:themeColor="text1"/>
          <w:highlight w:val="none"/>
          <w14:textFill>
            <w14:solidFill>
              <w14:schemeClr w14:val="tx1"/>
            </w14:solidFill>
          </w14:textFill>
        </w:rPr>
      </w:pPr>
      <w:r/>
      <w:bookmarkStart w:id="211" w:name="_Toc160699580"/>
      <w:r>
        <w:rPr>
          <w:rFonts w:hint="eastAsia" w:ascii="仿宋" w:hAnsi="仿宋" w:cs="仿宋"/>
          <w:color w:val="000000" w:themeColor="text1"/>
          <w:highlight w:val="none"/>
          <w:lang w:val="en-US" w:eastAsia="zh-CN"/>
          <w14:textFill>
            <w14:solidFill>
              <w14:schemeClr w14:val="tx1"/>
            </w14:solidFill>
          </w14:textFill>
        </w:rPr>
        <w:t xml:space="preserve">十</w:t>
      </w:r>
      <w:r>
        <w:rPr>
          <w:rFonts w:hint="eastAsia" w:ascii="仿宋" w:hAnsi="仿宋" w:eastAsia="仿宋" w:cs="仿宋"/>
          <w:color w:val="000000" w:themeColor="text1"/>
          <w:highlight w:val="none"/>
          <w14:textFill>
            <w14:solidFill>
              <w14:schemeClr w14:val="tx1"/>
            </w14:solidFill>
          </w14:textFill>
        </w:rPr>
        <w:t xml:space="preserve">、服务与承诺</w:t>
      </w:r>
      <w:bookmarkEnd w:id="211"/>
      <w:r/>
      <w:bookmarkEnd w:id="184"/>
      <w:bookmarkEnd w:id="185"/>
      <w:bookmarkEnd w:id="199"/>
      <w:r/>
    </w:p>
    <w:p>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r/>
    </w:p>
    <w:p>
      <w:pPr>
        <w:pStyle w:val="702"/>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02"/>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02"/>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702"/>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r>
      <w:r/>
    </w:p>
    <w:p>
      <w:pPr>
        <w:pStyle w:val="693"/>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十一</w:t>
      </w:r>
      <w:r>
        <w:rPr>
          <w:rFonts w:hint="eastAsia" w:ascii="仿宋" w:hAnsi="仿宋" w:eastAsia="仿宋" w:cs="仿宋"/>
          <w:color w:val="000000" w:themeColor="text1"/>
          <w:highlight w:val="none"/>
          <w14:textFill>
            <w14:solidFill>
              <w14:schemeClr w14:val="tx1"/>
            </w14:solidFill>
          </w14:textFill>
        </w:rPr>
        <w:t xml:space="preserve">、竞争性磋商需要的其他证明文件及材料（格式自拟）</w:t>
      </w:r>
      <w:r/>
    </w:p>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firstLine="497"/>
        <w:keepLines/>
        <w:keepNext/>
        <w:spacing w:before="145" w:after="145" w:line="264" w:lineRule="auto"/>
        <w:rPr>
          <w:rStyle w:val="903"/>
          <w:rFonts w:hint="eastAsia" w:ascii="仿宋" w:hAnsi="仿宋" w:eastAsia="仿宋" w:cs="仿宋"/>
          <w:color w:val="000000" w:themeColor="text1"/>
          <w:highlight w:val="none"/>
          <w:lang w:val="en-US" w:eastAsia="zh-CN"/>
          <w14:textFill>
            <w14:solidFill>
              <w14:schemeClr w14:val="tx1"/>
            </w14:solidFill>
          </w14:textFill>
        </w:rPr>
        <w:outlineLvl w:val="2"/>
      </w:pPr>
      <w:r>
        <w:rPr>
          <w:rFonts w:hint="eastAsia" w:ascii="仿宋" w:hAnsi="仿宋" w:eastAsia="仿宋" w:cs="仿宋"/>
          <w:b/>
          <w:bCs/>
          <w:color w:val="000000" w:themeColor="text1"/>
          <w:sz w:val="28"/>
          <w:szCs w:val="32"/>
          <w:highlight w:val="none"/>
          <w14:textFill>
            <w14:solidFill>
              <w14:schemeClr w14:val="tx1"/>
            </w14:solidFill>
          </w14:textFill>
        </w:rPr>
        <w:br w:type="page" w:clear="all"/>
      </w:r>
      <w:r>
        <w:rPr>
          <w:rStyle w:val="903"/>
          <w:rFonts w:hint="eastAsia" w:ascii="仿宋" w:hAnsi="仿宋" w:eastAsia="仿宋" w:cs="仿宋"/>
          <w:color w:val="000000" w:themeColor="text1"/>
          <w:highlight w:val="none"/>
          <w14:textFill>
            <w14:solidFill>
              <w14:schemeClr w14:val="tx1"/>
            </w14:solidFill>
          </w14:textFill>
        </w:rPr>
        <w:t xml:space="preserve">十</w:t>
      </w:r>
      <w:r>
        <w:rPr>
          <w:rStyle w:val="903"/>
          <w:rFonts w:hint="eastAsia" w:ascii="仿宋" w:hAnsi="仿宋" w:cs="仿宋"/>
          <w:color w:val="000000" w:themeColor="text1"/>
          <w:highlight w:val="none"/>
          <w:lang w:val="en-US" w:eastAsia="zh-CN"/>
          <w14:textFill>
            <w14:solidFill>
              <w14:schemeClr w14:val="tx1"/>
            </w14:solidFill>
          </w14:textFill>
        </w:rPr>
        <w:t xml:space="preserve">二</w:t>
      </w:r>
      <w:r>
        <w:rPr>
          <w:rStyle w:val="903"/>
          <w:rFonts w:hint="eastAsia" w:ascii="仿宋" w:hAnsi="仿宋" w:eastAsia="仿宋" w:cs="仿宋"/>
          <w:color w:val="000000" w:themeColor="text1"/>
          <w:highlight w:val="none"/>
          <w14:textFill>
            <w14:solidFill>
              <w14:schemeClr w14:val="tx1"/>
            </w14:solidFill>
          </w14:textFill>
        </w:rPr>
        <w:t xml:space="preserve">、</w:t>
      </w:r>
      <w:r>
        <w:rPr>
          <w:rStyle w:val="903"/>
          <w:rFonts w:hint="eastAsia" w:ascii="仿宋" w:hAnsi="仿宋" w:cs="仿宋"/>
          <w:color w:val="000000" w:themeColor="text1"/>
          <w:highlight w:val="none"/>
          <w:lang w:val="en-US" w:eastAsia="zh-CN"/>
          <w14:textFill>
            <w14:solidFill>
              <w14:schemeClr w14:val="tx1"/>
            </w14:solidFill>
          </w14:textFill>
        </w:rPr>
        <w:t xml:space="preserve">附件</w:t>
      </w:r>
      <w:r/>
    </w:p>
    <w:p>
      <w:pP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附件一、</w:t>
      </w:r>
      <w:r>
        <w:rPr>
          <w:rFonts w:hint="eastAsia" w:ascii="仿宋" w:hAnsi="仿宋" w:eastAsia="仿宋" w:cs="仿宋"/>
          <w:b/>
          <w:bCs/>
          <w:color w:val="000000" w:themeColor="text1"/>
          <w:sz w:val="30"/>
          <w:szCs w:val="30"/>
          <w:highlight w:val="none"/>
          <w:lang w:val="zh-CN"/>
          <w14:textFill>
            <w14:solidFill>
              <w14:schemeClr w14:val="tx1"/>
            </w14:solidFill>
          </w14:textFill>
        </w:rPr>
        <w:t xml:space="preserve">南京市政府采购供应商信用记录表暨信用承诺书</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格式</w:t>
      </w:r>
      <w:r/>
    </w:p>
    <w:p>
      <w:pPr>
        <w:ind w:firstLine="0"/>
        <w:jc w:val="center"/>
        <w:keepLines w:val="0"/>
        <w:keepNext w:val="0"/>
        <w:pageBreakBefore w:val="0"/>
        <w:spacing w:line="240" w:lineRule="auto"/>
        <w:widowControl w:val="off"/>
        <w:rPr>
          <w:rFonts w:hint="eastAsia" w:ascii="仿宋" w:hAnsi="仿宋" w:eastAsia="仿宋" w:cs="仿宋"/>
          <w:color w:val="000000" w:themeColor="text1"/>
          <w:sz w:val="44"/>
          <w:szCs w:val="52"/>
          <w:highlight w:val="none"/>
          <w:lang w:val="en-US" w:eastAsia="zh-CN"/>
          <w14:textFill>
            <w14:solidFill>
              <w14:schemeClr w14:val="tx1"/>
            </w14:solidFill>
          </w14:textFill>
        </w:rPr>
      </w:pPr>
      <w:r>
        <w:rPr>
          <w:rFonts w:hint="eastAsia" w:ascii="仿宋" w:hAnsi="仿宋" w:eastAsia="仿宋" w:cs="仿宋"/>
          <w:color w:val="000000" w:themeColor="text1"/>
          <w:sz w:val="44"/>
          <w:szCs w:val="52"/>
          <w:highlight w:val="none"/>
          <w:lang w:val="en-US" w:eastAsia="zh-CN"/>
          <w14:textFill>
            <w14:solidFill>
              <w14:schemeClr w14:val="tx1"/>
            </w14:solidFill>
          </w14:textFill>
        </w:rPr>
        <w:t xml:space="preserve">南京市政府采购供应商信用承诺书</w:t>
      </w:r>
      <w:r/>
    </w:p>
    <w:p>
      <w:pPr>
        <w:ind w:firstLine="0"/>
        <w:jc w:val="right"/>
        <w:spacing w:line="240" w:lineRule="auto"/>
        <w:rPr>
          <w:rFonts w:hint="eastAsia" w:ascii="仿宋" w:hAnsi="仿宋" w:eastAsia="仿宋" w:cs="仿宋"/>
          <w:color w:val="000000" w:themeColor="text1"/>
          <w:sz w:val="22"/>
          <w:szCs w:val="28"/>
          <w:highlight w:val="none"/>
          <w:lang w:val="en-US" w:eastAsia="zh-CN"/>
          <w14:textFill>
            <w14:solidFill>
              <w14:schemeClr w14:val="tx1"/>
            </w14:solidFill>
          </w14:textFill>
        </w:rPr>
      </w:pPr>
      <w:r>
        <w:rPr>
          <w:rFonts w:hint="eastAsia" w:ascii="仿宋" w:hAnsi="仿宋" w:eastAsia="仿宋" w:cs="仿宋"/>
          <w:color w:val="000000" w:themeColor="text1"/>
          <w:sz w:val="22"/>
          <w:szCs w:val="28"/>
          <w:highlight w:val="none"/>
          <w:lang w:val="en-US" w:eastAsia="zh-CN"/>
          <w14:textFill>
            <w14:solidFill>
              <w14:schemeClr w14:val="tx1"/>
            </w14:solidFill>
          </w14:textFill>
        </w:rPr>
        <w:t xml:space="preserve">XXXX年XX月XX日</w:t>
      </w:r>
      <w:r/>
    </w:p>
    <w:p>
      <w:pPr>
        <w:ind w:firstLine="0"/>
        <w:jc w:val="center"/>
        <w:spacing w:line="240" w:lineRule="auto"/>
        <w:rPr>
          <w:rFonts w:hint="eastAsia"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r>
      <w:r/>
    </w:p>
    <w:tbl>
      <w:tblPr>
        <w:tblStyle w:val="74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560" w:firstLine="0"/>
              <w:jc w:val="center"/>
              <w:spacing w:line="240" w:lineRule="auto"/>
              <w:tabs>
                <w:tab w:val="left" w:pos="2520" w:leader="none"/>
              </w:tabs>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   单位名称</w:t>
            </w:r>
            <w:r/>
          </w:p>
        </w:tc>
        <w:tc>
          <w:tcPr>
            <w:tcW w:w="2284"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统一社会信用代码</w:t>
            </w:r>
            <w:r/>
          </w:p>
        </w:tc>
        <w:tc>
          <w:tcPr>
            <w:tcW w:w="3331" w:type="dxa"/>
            <w:vAlign w:val="center"/>
            <w:textDirection w:val="lrTb"/>
            <w:noWrap w:val="false"/>
          </w:tcPr>
          <w:p>
            <w:pPr>
              <w:ind w:right="-904" w:firstLine="0"/>
              <w:jc w:val="center"/>
              <w:spacing w:line="240" w:lineRule="auto"/>
              <w:tabs>
                <w:tab w:val="left" w:pos="2320" w:leader="none"/>
              </w:tabs>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法定代表人</w:t>
            </w:r>
            <w:r/>
          </w:p>
        </w:tc>
        <w:tc>
          <w:tcPr>
            <w:tcW w:w="2284"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联系人</w:t>
            </w:r>
            <w:r/>
          </w:p>
        </w:tc>
        <w:tc>
          <w:tcPr>
            <w:tcW w:w="3331" w:type="dxa"/>
            <w:vAlign w:val="center"/>
            <w:textDirection w:val="lrTb"/>
            <w:noWrap w:val="false"/>
          </w:tcPr>
          <w:p>
            <w:pPr>
              <w:ind w:firstLine="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tc>
      </w:tr>
      <w:tr>
        <w:trPr>
          <w:trHeight w:val="567"/>
        </w:trPr>
        <w:tc>
          <w:tcPr>
            <w:tcW w:w="2148"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联系地址</w:t>
            </w:r>
            <w:r/>
          </w:p>
        </w:tc>
        <w:tc>
          <w:tcPr>
            <w:tcW w:w="2284"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r>
            <w:r/>
          </w:p>
        </w:tc>
        <w:tc>
          <w:tcPr>
            <w:tcW w:w="1833"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联系电话</w:t>
            </w:r>
            <w:r/>
          </w:p>
        </w:tc>
        <w:tc>
          <w:tcPr>
            <w:tcW w:w="3331" w:type="dxa"/>
            <w:vAlign w:val="center"/>
            <w:textDirection w:val="lrTb"/>
            <w:noWrap w:val="false"/>
          </w:tcPr>
          <w:p>
            <w:pPr>
              <w:ind w:firstLine="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tc>
      </w:tr>
      <w:tr>
        <w:trPr>
          <w:trHeight w:val="5560"/>
        </w:trPr>
        <w:tc>
          <w:tcPr>
            <w:tcW w:w="2148" w:type="dxa"/>
            <w:vAlign w:val="center"/>
            <w:textDirection w:val="lrTb"/>
            <w:noWrap w:val="false"/>
          </w:tcPr>
          <w:p>
            <w:pPr>
              <w:ind w:firstLine="0"/>
              <w:jc w:val="center"/>
              <w:spacing w:line="240" w:lineRule="auto"/>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4"/>
                <w:szCs w:val="32"/>
                <w:highlight w:val="none"/>
                <w:vertAlign w:val="baseline"/>
                <w:lang w:val="en-US" w:eastAsia="zh-CN"/>
                <w14:textFill>
                  <w14:solidFill>
                    <w14:schemeClr w14:val="tx1"/>
                  </w14:solidFill>
                </w14:textFill>
              </w:rPr>
              <w:t xml:space="preserve">信用承诺</w:t>
            </w:r>
            <w:r/>
          </w:p>
        </w:tc>
        <w:tc>
          <w:tcPr>
            <w:gridSpan w:val="3"/>
            <w:tcW w:w="7448" w:type="dxa"/>
            <w:vAlign w:val="center"/>
            <w:textDirection w:val="lrTb"/>
            <w:noWrap w:val="false"/>
          </w:tcPr>
          <w:p>
            <w:pPr>
              <w:ind w:firstLine="420"/>
              <w:jc w:val="both"/>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t xml:space="preserve">我公司自愿参加贵中心（公司）组织的本次采购活动，严格遵守《中华人民共和国政府采购法》及相关</w:t>
            </w: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t xml:space="preserve">供应商名称（盖章）：</w:t>
            </w:r>
            <w:r/>
          </w:p>
          <w:p>
            <w:pPr>
              <w:ind w:firstLine="42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t xml:space="preserve">法定代表人（签字）：</w:t>
            </w:r>
            <w:r/>
          </w:p>
          <w:p>
            <w:pPr>
              <w:ind w:firstLine="42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r>
            <w:r/>
          </w:p>
          <w:p>
            <w:pPr>
              <w:ind w:firstLine="420"/>
              <w:jc w:val="center"/>
              <w:spacing w:line="240" w:lineRule="auto"/>
              <w:rPr>
                <w:rFonts w:hint="eastAsia" w:ascii="仿宋" w:hAnsi="仿宋" w:eastAsia="仿宋" w:cs="仿宋"/>
                <w:color w:val="000000" w:themeColor="text1"/>
                <w:sz w:val="21"/>
                <w:highlight w:val="none"/>
                <w:vertAlign w:val="baseline"/>
                <w:lang w:val="en-US" w:eastAsia="zh-CN"/>
                <w14:textFill>
                  <w14:solidFill>
                    <w14:schemeClr w14:val="tx1"/>
                  </w14:solidFill>
                </w14:textFill>
              </w:rPr>
            </w:pPr>
            <w:r>
              <w:rPr>
                <w:rFonts w:hint="eastAsia" w:ascii="仿宋" w:hAnsi="仿宋" w:eastAsia="仿宋" w:cs="仿宋"/>
                <w:color w:val="000000" w:themeColor="text1"/>
                <w:sz w:val="21"/>
                <w:highlight w:val="none"/>
                <w:vertAlign w:val="baseline"/>
                <w:lang w:val="en-US" w:eastAsia="zh-CN"/>
                <w14:textFill>
                  <w14:solidFill>
                    <w14:schemeClr w14:val="tx1"/>
                  </w14:solidFill>
                </w14:textFill>
              </w:rPr>
              <w:t xml:space="preserve">XXXX年XX月XX日</w:t>
            </w:r>
            <w:r/>
          </w:p>
        </w:tc>
      </w:tr>
    </w:tbl>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ind w:firstLine="480"/>
        <w:jc w:val="left"/>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br w:type="page" w:clear="all"/>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附件</w:t>
      </w:r>
      <w:r>
        <w:rPr>
          <w:rFonts w:hint="eastAsia" w:ascii="仿宋" w:hAnsi="仿宋" w:cs="仿宋"/>
          <w:b/>
          <w:bCs/>
          <w:color w:val="000000" w:themeColor="text1"/>
          <w:sz w:val="30"/>
          <w:szCs w:val="30"/>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30"/>
          <w:szCs w:val="30"/>
          <w:highlight w:val="none"/>
          <w14:textFill>
            <w14:solidFill>
              <w14:schemeClr w14:val="tx1"/>
            </w14:solidFill>
          </w14:textFill>
        </w:rPr>
        <w:t xml:space="preserve">中小企业声明函（如有）</w:t>
      </w:r>
      <w:r/>
    </w:p>
    <w:p>
      <w:pPr>
        <w:jc w:val="center"/>
        <w:keepLines w:val="0"/>
        <w:keepNext w:val="0"/>
        <w:pageBreakBefore w:val="0"/>
        <w:spacing w:line="360" w:lineRule="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本公司（联合体）郑重声明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根据《政府采购促进中小企业发展管理办法》(财库〔2020〕46号)的规定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本公司（联合体）参加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14:textFill>
            <w14:solidFill>
              <w14:schemeClr w14:val="tx1"/>
            </w14:solidFill>
          </w14:textFill>
        </w:rPr>
        <w:t xml:space="preserve">（单位名称）</w:t>
      </w:r>
      <w:r>
        <w:rPr>
          <w:rFonts w:hint="eastAsia" w:ascii="仿宋" w:hAnsi="仿宋" w:eastAsia="仿宋" w:cs="仿宋"/>
          <w:color w:val="000000" w:themeColor="text1"/>
          <w:sz w:val="24"/>
          <w:szCs w:val="24"/>
          <w:highlight w:val="none"/>
          <w14:textFill>
            <w14:solidFill>
              <w14:schemeClr w14:val="tx1"/>
            </w14:solidFill>
          </w14:textFill>
        </w:rPr>
        <w:t xml:space="preserve">采购编号为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u w:val="none"/>
          <w14:textFill>
            <w14:solidFill>
              <w14:schemeClr w14:val="tx1"/>
            </w14:solidFill>
          </w14:textFill>
        </w:rPr>
        <w:t xml:space="preserve">（分包号：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XXX</w:t>
      </w:r>
      <w:r>
        <w:rPr>
          <w:rFonts w:hint="eastAsia" w:ascii="仿宋" w:hAnsi="仿宋" w:eastAsia="仿宋" w:cs="仿宋"/>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的采购活动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服务全部由符合政策的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相关企业（含联合体中的小微企业、签订分包意向协议的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w:t>
      </w:r>
      <w:r>
        <w:rPr>
          <w:rFonts w:hint="eastAsia" w:ascii="仿宋" w:hAnsi="仿宋" w:eastAsia="仿宋" w:cs="仿宋"/>
          <w:color w:val="000000" w:themeColor="text1"/>
          <w:sz w:val="24"/>
          <w:szCs w:val="24"/>
          <w:highlight w:val="none"/>
          <w14:textFill>
            <w14:solidFill>
              <w14:schemeClr w14:val="tx1"/>
            </w14:solidFill>
          </w14:textFill>
        </w:rPr>
        <w:t xml:space="preserve">小企业）的具体情况如下：</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i/>
          <w:color w:val="000000" w:themeColor="text1"/>
          <w:sz w:val="24"/>
          <w:szCs w:val="24"/>
          <w:highlight w:val="none"/>
          <w:u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（标的名称）</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（磋商文件中明确的所属行业）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承接企业</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中型企业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小型企业</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14:textFill>
            <w14:solidFill>
              <w14:schemeClr w14:val="tx1"/>
            </w14:solidFill>
          </w14:textFill>
        </w:rPr>
        <w:t xml:space="preserve">微型企业</w:t>
      </w:r>
      <w:r>
        <w:rPr>
          <w:rFonts w:hint="eastAsia" w:ascii="仿宋" w:hAnsi="仿宋" w:eastAsia="仿宋" w:cs="仿宋"/>
          <w:color w:val="000000" w:themeColor="text1"/>
          <w:sz w:val="24"/>
          <w:szCs w:val="24"/>
          <w:highlight w:val="none"/>
          <w:u w:val="none"/>
          <w:lang w:eastAsia="zh-CN"/>
          <w14:textFill>
            <w14:solidFill>
              <w14:schemeClr w14:val="tx1"/>
            </w14:solidFill>
          </w14:textFill>
        </w:rPr>
        <w:t xml:space="preserve">。</w:t>
      </w:r>
      <w:r/>
    </w:p>
    <w:p>
      <w:pPr>
        <w:ind w:firstLine="36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不属于大企业的分支机构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不存在控股股东为大企业的情形</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也不存在与大企业的负责人为同一人的情形。</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如有虚假</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将依法承担相应责任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927"/>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企业名称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（加盖电子公章）</w:t>
      </w:r>
      <w:r/>
    </w:p>
    <w:p>
      <w:pPr>
        <w:ind w:firstLine="600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期：</w:t>
      </w:r>
      <w:r/>
    </w:p>
    <w:p>
      <w:pPr>
        <w:ind w:firstLine="480"/>
        <w:keepLines w:val="0"/>
        <w:keepNext w:val="0"/>
        <w:pageBreakBefore w:val="0"/>
        <w:spacing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u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内打“√”。</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如不提供此声明函，不得参加专门面向中小企业采购项目或者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不得享受小微企业价格扣除政策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采购项目中，服务的承接商应当为中小企业，不对其中涉及的货物的制造商、工程的承建商作出要求。</w:t>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 xml:space="preserve">附件三、</w:t>
      </w:r>
      <w:r>
        <w:rPr>
          <w:rFonts w:hint="eastAsia" w:ascii="仿宋" w:hAnsi="仿宋" w:eastAsia="仿宋" w:cs="仿宋"/>
          <w:b/>
          <w:bCs/>
          <w:color w:val="000000" w:themeColor="text1"/>
          <w:sz w:val="32"/>
          <w:szCs w:val="32"/>
          <w:highlight w:val="none"/>
          <w14:textFill>
            <w14:solidFill>
              <w14:schemeClr w14:val="tx1"/>
            </w14:solidFill>
          </w14:textFill>
        </w:rPr>
        <w:t xml:space="preserve">残疾人福利性单位声明函（如有）</w:t>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残疾人福利性单位声明函</w:t>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cs="仿宋"/>
          <w:color w:val="000000" w:themeColor="text1"/>
          <w:sz w:val="24"/>
          <w:szCs w:val="24"/>
          <w:highlight w:val="none"/>
          <w:lang w:eastAsia="zh-CN"/>
          <w14:textFill>
            <w14:solidFill>
              <w14:schemeClr w14:val="tx1"/>
            </w14:solidFill>
          </w14:textFill>
        </w:rPr>
        <w:t xml:space="preserve">〔2017〕141号</w:t>
      </w:r>
      <w:r>
        <w:rPr>
          <w:rFonts w:hint="eastAsia" w:ascii="仿宋" w:hAnsi="仿宋" w:eastAsia="仿宋" w:cs="仿宋"/>
          <w:color w:val="000000" w:themeColor="text1"/>
          <w:sz w:val="24"/>
          <w:szCs w:val="24"/>
          <w:highlight w:val="none"/>
          <w14:textFill>
            <w14:solidFill>
              <w14:schemeClr w14:val="tx1"/>
            </w14:solidFill>
          </w14:textFill>
        </w:rPr>
        <w:t xml:space="preserve">）的规定，本单位为符合条件的残疾人福利性单位，且本单位参加______单位的采购文件编号为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项目（分包号：**）采购活动提供本单位承担的服务。</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96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both"/>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r/>
    </w:p>
    <w:p>
      <w:pPr>
        <w:ind w:firstLine="57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年___月___日</w:t>
      </w:r>
      <w:r/>
    </w:p>
    <w:p>
      <w:pPr>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clear="all"/>
      </w: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属于监狱企业的证明文件</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节能产品认证证书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 xml:space="preserve">环境标志产品认证证书</w:t>
      </w:r>
      <w:r/>
    </w:p>
    <w:p>
      <w:pPr>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（提供国家确定的认证机构出具的、处于有效期之内的产品认证证书）</w:t>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02"/>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 xml:space="preserve">进口产品转让技术、消化吸收再创新方案</w:t>
      </w:r>
      <w:r/>
    </w:p>
    <w:p>
      <w:pPr>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 xml:space="preserve">（对于允许进口产品参加的项目）</w:t>
      </w:r>
      <w:r/>
    </w:p>
    <w:p>
      <w:pPr>
        <w:ind w:firstLine="480"/>
        <w:spacing w:line="588" w:lineRule="exac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r>
      <w:r/>
    </w:p>
    <w:p>
      <w:pPr>
        <w:pStyle w:val="702"/>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b w:val="0"/>
          <w:bCs/>
          <w:color w:val="000000" w:themeColor="text1"/>
          <w:sz w:val="32"/>
          <w:szCs w:val="32"/>
          <w:highlight w:val="none"/>
          <w14:textFill>
            <w14:solidFill>
              <w14:schemeClr w14:val="tx1"/>
            </w14:solidFill>
          </w14:textFill>
        </w:rPr>
      </w:pPr>
      <w:r>
        <w:rPr>
          <w:rFonts w:hint="eastAsia" w:ascii="仿宋" w:hAnsi="仿宋" w:eastAsia="仿宋" w:cs="仿宋"/>
          <w:b w:val="0"/>
          <w:bCs/>
          <w:color w:val="000000" w:themeColor="text1"/>
          <w:sz w:val="32"/>
          <w:szCs w:val="32"/>
          <w:highlight w:val="none"/>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134" w:right="1134" w:bottom="1134"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5"/>
        <w:rFonts w:ascii="宋体" w:hAnsi="宋体"/>
      </w:rPr>
      <w:framePr w:wrap="around" w:vAnchor="text" w:hAnchor="margin" w:xAlign="center" w:y="1"/>
    </w:pPr>
    <w:r>
      <w:rPr>
        <w:rFonts w:ascii="宋体" w:hAnsi="宋体"/>
      </w:rPr>
      <w:fldChar w:fldCharType="begin"/>
    </w:r>
    <w:r>
      <w:rPr>
        <w:rStyle w:val="745"/>
        <w:rFonts w:ascii="宋体" w:hAnsi="宋体"/>
      </w:rPr>
      <w:instrText xml:space="preserve">PAGE  </w:instrText>
    </w:r>
    <w:r>
      <w:rPr>
        <w:rFonts w:ascii="宋体" w:hAnsi="宋体"/>
      </w:rPr>
      <w:fldChar w:fldCharType="separate"/>
    </w:r>
    <w:r>
      <w:rPr>
        <w:rStyle w:val="745"/>
        <w:rFonts w:ascii="宋体" w:hAnsi="宋体"/>
      </w:rPr>
      <w:t xml:space="preserve">5</w:t>
    </w:r>
    <w:r>
      <w:rPr>
        <w:rFonts w:ascii="宋体" w:hAnsi="宋体"/>
      </w:rPr>
      <w:fldChar w:fldCharType="end"/>
    </w:r>
    <w:r/>
  </w:p>
  <w:p>
    <w:pPr>
      <w:pStyle w:val="72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1</w: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2">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00"/>
    <w:link w:val="738"/>
    <w:uiPriority w:val="10"/>
    <w:rPr>
      <w:sz w:val="48"/>
      <w:szCs w:val="48"/>
    </w:rPr>
  </w:style>
  <w:style w:type="character" w:styleId="36">
    <w:name w:val="Subtitle Char"/>
    <w:basedOn w:val="700"/>
    <w:link w:val="727"/>
    <w:uiPriority w:val="11"/>
    <w:rPr>
      <w:sz w:val="24"/>
      <w:szCs w:val="24"/>
    </w:rPr>
  </w:style>
  <w:style w:type="character" w:styleId="38">
    <w:name w:val="Quote Char"/>
    <w:link w:val="765"/>
    <w:uiPriority w:val="29"/>
    <w:rPr>
      <w:i/>
    </w:rPr>
  </w:style>
  <w:style w:type="character" w:styleId="40">
    <w:name w:val="Intense Quote Char"/>
    <w:link w:val="767"/>
    <w:uiPriority w:val="30"/>
    <w:rPr>
      <w:i/>
    </w:r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9"/>
    <w:uiPriority w:val="99"/>
    <w:rPr>
      <w:sz w:val="18"/>
    </w:rPr>
  </w:style>
  <w:style w:type="character" w:styleId="178">
    <w:name w:val="Endnote Text Char"/>
    <w:link w:val="721"/>
    <w:uiPriority w:val="99"/>
    <w:rPr>
      <w:sz w:val="20"/>
    </w:rPr>
  </w:style>
  <w:style w:type="paragraph" w:styleId="189">
    <w:name w:val="TOC Heading"/>
    <w:uiPriority w:val="39"/>
    <w:unhideWhenUsed/>
  </w:style>
  <w:style w:type="paragraph" w:styleId="690" w:default="1">
    <w:name w:val="Normal"/>
    <w:uiPriority w:val="0"/>
    <w:qFormat/>
    <w:pPr>
      <w:ind w:firstLine="420"/>
      <w:jc w:val="both"/>
      <w:spacing w:line="360" w:lineRule="auto"/>
      <w:widowControl w:val="off"/>
    </w:pPr>
    <w:rPr>
      <w:rFonts w:ascii="Times New Roman" w:hAnsi="Times New Roman" w:eastAsia="仿宋" w:cs="Times New Roman"/>
      <w:sz w:val="28"/>
      <w:szCs w:val="22"/>
      <w:lang w:val="en-US" w:eastAsia="zh-CN" w:bidi="ar-SA"/>
    </w:rPr>
  </w:style>
  <w:style w:type="paragraph" w:styleId="691">
    <w:name w:val="Heading 1"/>
    <w:basedOn w:val="690"/>
    <w:next w:val="690"/>
    <w:link w:val="900"/>
    <w:uiPriority w:val="0"/>
    <w:qFormat/>
    <w:pPr>
      <w:jc w:val="center"/>
      <w:keepNext/>
      <w:spacing w:line="360" w:lineRule="auto"/>
      <w:outlineLvl w:val="0"/>
    </w:pPr>
    <w:rPr>
      <w:rFonts w:ascii="楷体_GB2312" w:hAnsi="楷体_GB2312"/>
      <w:b/>
      <w:sz w:val="44"/>
      <w:szCs w:val="28"/>
    </w:rPr>
  </w:style>
  <w:style w:type="paragraph" w:styleId="692">
    <w:name w:val="Heading 2"/>
    <w:basedOn w:val="690"/>
    <w:next w:val="690"/>
    <w:link w:val="901"/>
    <w:uiPriority w:val="0"/>
    <w:qFormat/>
    <w:pPr>
      <w:jc w:val="center"/>
      <w:keepLines/>
      <w:keepNext/>
      <w:spacing w:line="360" w:lineRule="auto"/>
      <w:outlineLvl w:val="1"/>
    </w:pPr>
    <w:rPr>
      <w:rFonts w:ascii="Arial" w:hAnsi="Arial" w:cs="Arial"/>
      <w:b/>
      <w:bCs/>
      <w:sz w:val="32"/>
      <w:szCs w:val="44"/>
    </w:rPr>
  </w:style>
  <w:style w:type="paragraph" w:styleId="693">
    <w:name w:val="Heading 3"/>
    <w:basedOn w:val="690"/>
    <w:next w:val="702"/>
    <w:link w:val="903"/>
    <w:uiPriority w:val="0"/>
    <w:qFormat/>
    <w:pPr>
      <w:jc w:val="left"/>
      <w:keepLines/>
      <w:keepNext/>
      <w:spacing w:line="360" w:lineRule="auto"/>
      <w:outlineLvl w:val="2"/>
    </w:pPr>
    <w:rPr>
      <w:b/>
      <w:bCs/>
      <w:sz w:val="28"/>
      <w:szCs w:val="32"/>
    </w:rPr>
  </w:style>
  <w:style w:type="paragraph" w:styleId="694">
    <w:name w:val="Heading 4"/>
    <w:basedOn w:val="690"/>
    <w:next w:val="703"/>
    <w:link w:val="904"/>
    <w:uiPriority w:val="0"/>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3"/>
    <w:link w:val="905"/>
    <w:uiPriority w:val="0"/>
    <w:qFormat/>
    <w:pPr>
      <w:keepNext/>
      <w:outlineLvl w:val="4"/>
    </w:pPr>
    <w:rPr>
      <w:rFonts w:ascii="宋体"/>
      <w:color w:val="000000"/>
      <w:sz w:val="28"/>
      <w:szCs w:val="28"/>
    </w:rPr>
  </w:style>
  <w:style w:type="paragraph" w:styleId="696">
    <w:name w:val="Heading 6"/>
    <w:basedOn w:val="690"/>
    <w:next w:val="690"/>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07"/>
    <w:uiPriority w:val="0"/>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09"/>
    <w:uiPriority w:val="0"/>
    <w:qFormat/>
    <w:pPr>
      <w:numPr>
        <w:ilvl w:val="8"/>
        <w:numId w:val="1"/>
      </w:numPr>
      <w:keepLines/>
      <w:keepNext/>
      <w:spacing w:before="240" w:after="64" w:line="320" w:lineRule="auto"/>
      <w:outlineLvl w:val="8"/>
    </w:pPr>
    <w:rPr>
      <w:rFonts w:ascii="Arial" w:hAnsi="Arial" w:eastAsia="黑体"/>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link w:val="913"/>
    <w:uiPriority w:val="0"/>
    <w:qFormat/>
    <w:rPr>
      <w:rFonts w:ascii="楷体_GB2312" w:hAnsi="Arial" w:eastAsia="楷体_GB2312"/>
      <w:sz w:val="28"/>
      <w:szCs w:val="28"/>
    </w:rPr>
  </w:style>
  <w:style w:type="paragraph" w:styleId="703">
    <w:name w:val="Normal Indent"/>
    <w:basedOn w:val="690"/>
    <w:next w:val="704"/>
    <w:link w:val="902"/>
    <w:uiPriority w:val="0"/>
    <w:qFormat/>
    <w:pPr>
      <w:ind w:firstLine="420"/>
    </w:pPr>
    <w:rPr>
      <w:szCs w:val="21"/>
    </w:rPr>
  </w:style>
  <w:style w:type="paragraph" w:styleId="704">
    <w:name w:val="Body Text Indent"/>
    <w:basedOn w:val="690"/>
    <w:next w:val="705"/>
    <w:link w:val="914"/>
    <w:uiPriority w:val="0"/>
    <w:unhideWhenUsed/>
    <w:qFormat/>
    <w:pPr>
      <w:ind w:left="420"/>
      <w:spacing w:after="120"/>
    </w:pPr>
  </w:style>
  <w:style w:type="paragraph" w:styleId="705">
    <w:name w:val="envelope return"/>
    <w:basedOn w:val="690"/>
    <w:uiPriority w:val="0"/>
    <w:qFormat/>
    <w:rPr>
      <w:rFonts w:ascii="Arial" w:hAnsi="Arial" w:eastAsia="宋体" w:cs="宋体"/>
    </w:rPr>
  </w:style>
  <w:style w:type="paragraph" w:styleId="706">
    <w:name w:val="List 3"/>
    <w:basedOn w:val="690"/>
    <w:uiPriority w:val="0"/>
    <w:qFormat/>
    <w:pPr>
      <w:ind w:left="100" w:hanging="200"/>
    </w:pPr>
    <w:rPr>
      <w:szCs w:val="21"/>
    </w:rPr>
  </w:style>
  <w:style w:type="paragraph" w:styleId="707">
    <w:name w:val="toc 7"/>
    <w:basedOn w:val="690"/>
    <w:next w:val="690"/>
    <w:uiPriority w:val="0"/>
    <w:semiHidden/>
    <w:qFormat/>
    <w:pPr>
      <w:ind w:left="1260"/>
      <w:jc w:val="left"/>
    </w:pPr>
    <w:rPr>
      <w:szCs w:val="21"/>
    </w:rPr>
  </w:style>
  <w:style w:type="paragraph" w:styleId="708">
    <w:name w:val="Caption"/>
    <w:basedOn w:val="690"/>
    <w:next w:val="690"/>
    <w:uiPriority w:val="35"/>
    <w:semiHidden/>
    <w:unhideWhenUsed/>
    <w:qFormat/>
    <w:pPr>
      <w:spacing w:line="276" w:lineRule="auto"/>
    </w:pPr>
    <w:rPr>
      <w:b/>
      <w:bCs/>
      <w:color w:val="4f81bd"/>
      <w:sz w:val="18"/>
      <w:szCs w:val="18"/>
    </w:rPr>
  </w:style>
  <w:style w:type="paragraph" w:styleId="709">
    <w:name w:val="Document Map"/>
    <w:basedOn w:val="690"/>
    <w:link w:val="910"/>
    <w:uiPriority w:val="0"/>
    <w:semiHidden/>
    <w:qFormat/>
    <w:pPr>
      <w:shd w:val="clear" w:color="auto" w:fill="000080"/>
    </w:pPr>
    <w:rPr>
      <w:szCs w:val="21"/>
    </w:rPr>
  </w:style>
  <w:style w:type="paragraph" w:styleId="710">
    <w:name w:val="annotation text"/>
    <w:basedOn w:val="690"/>
    <w:link w:val="911"/>
    <w:uiPriority w:val="0"/>
    <w:unhideWhenUsed/>
    <w:qFormat/>
    <w:pPr>
      <w:jc w:val="left"/>
    </w:pPr>
  </w:style>
  <w:style w:type="paragraph" w:styleId="711">
    <w:name w:val="Body Text 3"/>
    <w:basedOn w:val="690"/>
    <w:link w:val="912"/>
    <w:uiPriority w:val="0"/>
    <w:qFormat/>
    <w:rPr>
      <w:rFonts w:ascii="仿宋_GB2312" w:hAnsi="Arial" w:eastAsia="仿宋_GB2312"/>
      <w:sz w:val="32"/>
      <w:szCs w:val="32"/>
    </w:rPr>
  </w:style>
  <w:style w:type="paragraph" w:styleId="712">
    <w:name w:val="List 2"/>
    <w:basedOn w:val="690"/>
    <w:uiPriority w:val="0"/>
    <w:qFormat/>
    <w:pPr>
      <w:ind w:left="100" w:hanging="200"/>
    </w:pPr>
    <w:rPr>
      <w:szCs w:val="21"/>
    </w:rPr>
  </w:style>
  <w:style w:type="paragraph" w:styleId="713">
    <w:name w:val="Block Text"/>
    <w:basedOn w:val="690"/>
    <w:uiPriority w:val="99"/>
    <w:unhideWhenUsed/>
    <w:qFormat/>
    <w:pPr>
      <w:ind w:left="1440" w:right="1440"/>
      <w:spacing w:after="120"/>
    </w:pPr>
  </w:style>
  <w:style w:type="paragraph" w:styleId="714">
    <w:name w:val="index 4"/>
    <w:basedOn w:val="690"/>
    <w:next w:val="690"/>
    <w:uiPriority w:val="0"/>
    <w:semiHidden/>
    <w:qFormat/>
    <w:pPr>
      <w:ind w:left="1260"/>
    </w:pPr>
    <w:rPr>
      <w:rFonts w:ascii="Calibri" w:hAnsi="Calibri" w:eastAsia="Calibri" w:cs="宋体"/>
      <w:sz w:val="20"/>
      <w:lang w:val="zh-CN"/>
    </w:rPr>
  </w:style>
  <w:style w:type="paragraph" w:styleId="715">
    <w:name w:val="toc 5"/>
    <w:basedOn w:val="690"/>
    <w:next w:val="690"/>
    <w:uiPriority w:val="0"/>
    <w:semiHidden/>
    <w:qFormat/>
    <w:pPr>
      <w:ind w:left="840"/>
      <w:jc w:val="left"/>
    </w:pPr>
    <w:rPr>
      <w:szCs w:val="21"/>
    </w:rPr>
  </w:style>
  <w:style w:type="paragraph" w:styleId="716">
    <w:name w:val="toc 3"/>
    <w:basedOn w:val="690"/>
    <w:next w:val="690"/>
    <w:uiPriority w:val="39"/>
    <w:qFormat/>
    <w:pPr>
      <w:ind w:left="420"/>
      <w:jc w:val="left"/>
    </w:pPr>
    <w:rPr>
      <w:i/>
      <w:iCs/>
      <w:szCs w:val="24"/>
    </w:rPr>
  </w:style>
  <w:style w:type="paragraph" w:styleId="717">
    <w:name w:val="Plain Text"/>
    <w:basedOn w:val="690"/>
    <w:link w:val="915"/>
    <w:uiPriority w:val="0"/>
    <w:qFormat/>
    <w:rPr>
      <w:rFonts w:ascii="宋体" w:hAnsi="Courier New" w:cs="Courier New"/>
      <w:szCs w:val="21"/>
    </w:rPr>
  </w:style>
  <w:style w:type="paragraph" w:styleId="718">
    <w:name w:val="toc 8"/>
    <w:basedOn w:val="690"/>
    <w:next w:val="690"/>
    <w:uiPriority w:val="0"/>
    <w:semiHidden/>
    <w:qFormat/>
    <w:pPr>
      <w:ind w:left="1470"/>
      <w:jc w:val="left"/>
    </w:pPr>
    <w:rPr>
      <w:szCs w:val="21"/>
    </w:rPr>
  </w:style>
  <w:style w:type="paragraph" w:styleId="719">
    <w:name w:val="Date"/>
    <w:basedOn w:val="690"/>
    <w:next w:val="690"/>
    <w:link w:val="916"/>
    <w:uiPriority w:val="0"/>
    <w:qFormat/>
    <w:rPr>
      <w:sz w:val="24"/>
      <w:szCs w:val="24"/>
    </w:rPr>
  </w:style>
  <w:style w:type="paragraph" w:styleId="720">
    <w:name w:val="Body Text Indent 2"/>
    <w:basedOn w:val="690"/>
    <w:link w:val="917"/>
    <w:uiPriority w:val="0"/>
    <w:qFormat/>
    <w:pPr>
      <w:ind w:left="630" w:firstLine="645"/>
    </w:pPr>
    <w:rPr>
      <w:rFonts w:ascii="Arial" w:hAnsi="Arial" w:eastAsia="仿宋_GB2312" w:cs="Arial"/>
      <w:sz w:val="32"/>
      <w:szCs w:val="32"/>
    </w:rPr>
  </w:style>
  <w:style w:type="paragraph" w:styleId="721">
    <w:name w:val="endnote text"/>
    <w:basedOn w:val="690"/>
    <w:link w:val="898"/>
    <w:uiPriority w:val="99"/>
    <w:semiHidden/>
    <w:unhideWhenUsed/>
    <w:qFormat/>
    <w:rPr>
      <w:sz w:val="20"/>
    </w:rPr>
  </w:style>
  <w:style w:type="paragraph" w:styleId="722">
    <w:name w:val="Balloon Text"/>
    <w:basedOn w:val="690"/>
    <w:link w:val="918"/>
    <w:uiPriority w:val="0"/>
    <w:semiHidden/>
    <w:qFormat/>
    <w:rPr>
      <w:sz w:val="18"/>
      <w:szCs w:val="18"/>
    </w:rPr>
  </w:style>
  <w:style w:type="paragraph" w:styleId="723">
    <w:name w:val="Footer"/>
    <w:basedOn w:val="690"/>
    <w:link w:val="919"/>
    <w:uiPriority w:val="0"/>
    <w:qFormat/>
    <w:pPr>
      <w:jc w:val="left"/>
      <w:tabs>
        <w:tab w:val="center" w:pos="4153" w:leader="none"/>
        <w:tab w:val="right" w:pos="8306" w:leader="none"/>
      </w:tabs>
    </w:pPr>
    <w:rPr>
      <w:sz w:val="18"/>
      <w:szCs w:val="18"/>
    </w:rPr>
  </w:style>
  <w:style w:type="paragraph" w:styleId="724">
    <w:name w:val="Header"/>
    <w:basedOn w:val="690"/>
    <w:link w:val="920"/>
    <w:uiPriority w:val="0"/>
    <w:qFormat/>
    <w:pPr>
      <w:jc w:val="center"/>
      <w:tabs>
        <w:tab w:val="center" w:pos="4153" w:leader="none"/>
        <w:tab w:val="right" w:pos="8306" w:leader="none"/>
      </w:tabs>
      <w:pBdr>
        <w:bottom w:val="single" w:color="000000" w:sz="6" w:space="1"/>
      </w:pBdr>
    </w:pPr>
    <w:rPr>
      <w:sz w:val="18"/>
      <w:szCs w:val="18"/>
    </w:rPr>
  </w:style>
  <w:style w:type="paragraph" w:styleId="725">
    <w:name w:val="toc 1"/>
    <w:basedOn w:val="690"/>
    <w:next w:val="690"/>
    <w:uiPriority w:val="39"/>
    <w:qFormat/>
    <w:pPr>
      <w:jc w:val="left"/>
      <w:spacing w:before="120" w:after="120" w:line="400" w:lineRule="exact"/>
      <w:tabs>
        <w:tab w:val="right" w:pos="8720" w:leader="dot"/>
      </w:tabs>
    </w:pPr>
    <w:rPr>
      <w:rFonts w:ascii="宋体" w:hAnsi="宋体"/>
      <w:caps/>
      <w:sz w:val="24"/>
      <w:szCs w:val="24"/>
    </w:rPr>
  </w:style>
  <w:style w:type="paragraph" w:styleId="726">
    <w:name w:val="toc 4"/>
    <w:basedOn w:val="690"/>
    <w:next w:val="690"/>
    <w:uiPriority w:val="0"/>
    <w:semiHidden/>
    <w:qFormat/>
    <w:pPr>
      <w:ind w:left="630"/>
      <w:jc w:val="left"/>
    </w:pPr>
    <w:rPr>
      <w:szCs w:val="21"/>
    </w:rPr>
  </w:style>
  <w:style w:type="paragraph" w:styleId="727">
    <w:name w:val="Subtitle"/>
    <w:basedOn w:val="690"/>
    <w:next w:val="690"/>
    <w:link w:val="764"/>
    <w:uiPriority w:val="11"/>
    <w:qFormat/>
    <w:pPr>
      <w:spacing w:before="200" w:after="200"/>
    </w:pPr>
    <w:rPr>
      <w:sz w:val="24"/>
      <w:szCs w:val="24"/>
    </w:rPr>
  </w:style>
  <w:style w:type="paragraph" w:styleId="728">
    <w:name w:val="List"/>
    <w:basedOn w:val="690"/>
    <w:uiPriority w:val="0"/>
    <w:qFormat/>
    <w:pPr>
      <w:ind w:left="200" w:hanging="200"/>
    </w:pPr>
    <w:rPr>
      <w:szCs w:val="21"/>
    </w:rPr>
  </w:style>
  <w:style w:type="paragraph" w:styleId="729">
    <w:name w:val="footnote text"/>
    <w:basedOn w:val="690"/>
    <w:link w:val="897"/>
    <w:uiPriority w:val="99"/>
    <w:semiHidden/>
    <w:unhideWhenUsed/>
    <w:qFormat/>
    <w:pPr>
      <w:spacing w:after="40"/>
    </w:pPr>
    <w:rPr>
      <w:sz w:val="18"/>
    </w:rPr>
  </w:style>
  <w:style w:type="paragraph" w:styleId="730">
    <w:name w:val="toc 6"/>
    <w:basedOn w:val="690"/>
    <w:next w:val="690"/>
    <w:uiPriority w:val="0"/>
    <w:semiHidden/>
    <w:qFormat/>
    <w:pPr>
      <w:ind w:left="1050"/>
      <w:jc w:val="left"/>
    </w:pPr>
    <w:rPr>
      <w:szCs w:val="21"/>
    </w:rPr>
  </w:style>
  <w:style w:type="paragraph" w:styleId="731">
    <w:name w:val="Body Text Indent 3"/>
    <w:basedOn w:val="690"/>
    <w:link w:val="921"/>
    <w:uiPriority w:val="0"/>
    <w:qFormat/>
    <w:pPr>
      <w:ind w:left="645" w:firstLine="645"/>
    </w:pPr>
    <w:rPr>
      <w:rFonts w:ascii="Arial" w:hAnsi="Arial" w:eastAsia="仿宋_GB2312" w:cs="Arial"/>
      <w:color w:val="ffff00"/>
      <w:sz w:val="32"/>
      <w:szCs w:val="32"/>
    </w:rPr>
  </w:style>
  <w:style w:type="paragraph" w:styleId="732">
    <w:name w:val="table of figures"/>
    <w:basedOn w:val="690"/>
    <w:next w:val="690"/>
    <w:uiPriority w:val="0"/>
    <w:semiHidden/>
    <w:qFormat/>
    <w:pPr>
      <w:ind w:left="840" w:hanging="420"/>
    </w:pPr>
    <w:rPr>
      <w:szCs w:val="21"/>
    </w:rPr>
  </w:style>
  <w:style w:type="paragraph" w:styleId="733">
    <w:name w:val="toc 2"/>
    <w:basedOn w:val="690"/>
    <w:next w:val="690"/>
    <w:uiPriority w:val="39"/>
    <w:qFormat/>
    <w:pPr>
      <w:ind w:left="210"/>
      <w:jc w:val="left"/>
    </w:pPr>
    <w:rPr>
      <w:smallCaps/>
      <w:szCs w:val="24"/>
    </w:rPr>
  </w:style>
  <w:style w:type="paragraph" w:styleId="734">
    <w:name w:val="toc 9"/>
    <w:basedOn w:val="690"/>
    <w:next w:val="690"/>
    <w:uiPriority w:val="0"/>
    <w:semiHidden/>
    <w:qFormat/>
    <w:pPr>
      <w:ind w:left="1680"/>
      <w:jc w:val="left"/>
    </w:pPr>
    <w:rPr>
      <w:szCs w:val="21"/>
    </w:rPr>
  </w:style>
  <w:style w:type="paragraph" w:styleId="735">
    <w:name w:val="Body Text 2"/>
    <w:basedOn w:val="690"/>
    <w:link w:val="922"/>
    <w:uiPriority w:val="0"/>
    <w:qFormat/>
    <w:pPr>
      <w:jc w:val="center"/>
      <w:widowControl/>
    </w:pPr>
    <w:rPr>
      <w:rFonts w:ascii="楷体_GB2312" w:eastAsia="楷体_GB2312"/>
      <w:sz w:val="28"/>
      <w:szCs w:val="28"/>
    </w:rPr>
  </w:style>
  <w:style w:type="paragraph" w:styleId="736">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37">
    <w:name w:val="index 1"/>
    <w:basedOn w:val="690"/>
    <w:next w:val="690"/>
    <w:uiPriority w:val="0"/>
    <w:semiHidden/>
    <w:qFormat/>
    <w:pPr>
      <w:spacing w:line="240" w:lineRule="atLeast"/>
    </w:pPr>
    <w:rPr>
      <w:b/>
      <w:bCs/>
      <w:szCs w:val="21"/>
    </w:rPr>
  </w:style>
  <w:style w:type="paragraph" w:styleId="738">
    <w:name w:val="Title"/>
    <w:basedOn w:val="690"/>
    <w:next w:val="690"/>
    <w:link w:val="763"/>
    <w:uiPriority w:val="10"/>
    <w:qFormat/>
    <w:pPr>
      <w:contextualSpacing/>
      <w:spacing w:before="300" w:after="200"/>
    </w:pPr>
    <w:rPr>
      <w:sz w:val="48"/>
      <w:szCs w:val="48"/>
    </w:rPr>
  </w:style>
  <w:style w:type="paragraph" w:styleId="739">
    <w:name w:val="annotation subject"/>
    <w:basedOn w:val="710"/>
    <w:next w:val="710"/>
    <w:link w:val="923"/>
    <w:uiPriority w:val="0"/>
    <w:semiHidden/>
    <w:qFormat/>
    <w:rPr>
      <w:b/>
      <w:bCs/>
      <w:szCs w:val="21"/>
    </w:rPr>
  </w:style>
  <w:style w:type="paragraph" w:styleId="740">
    <w:name w:val="Body Text First Indent"/>
    <w:basedOn w:val="702"/>
    <w:link w:val="924"/>
    <w:uiPriority w:val="0"/>
    <w:qFormat/>
    <w:pPr>
      <w:ind w:firstLine="200"/>
      <w:spacing w:line="360" w:lineRule="auto"/>
    </w:pPr>
    <w:rPr>
      <w:rFonts w:ascii="仿宋_GB2312" w:eastAsia="仿宋_GB2312"/>
      <w:sz w:val="30"/>
      <w:szCs w:val="30"/>
    </w:rPr>
  </w:style>
  <w:style w:type="paragraph" w:styleId="741">
    <w:name w:val="Body Text First Indent 2"/>
    <w:basedOn w:val="704"/>
    <w:next w:val="690"/>
    <w:link w:val="925"/>
    <w:uiPriority w:val="0"/>
    <w:qFormat/>
    <w:pPr>
      <w:ind w:left="0" w:firstLine="420"/>
      <w:spacing w:after="0" w:line="360" w:lineRule="auto"/>
    </w:pPr>
    <w:rPr>
      <w:rFonts w:ascii="宋体" w:hAnsi="宋体"/>
      <w:szCs w:val="20"/>
    </w:rPr>
  </w:style>
  <w:style w:type="table" w:styleId="742">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Strong"/>
    <w:uiPriority w:val="0"/>
    <w:qFormat/>
    <w:rPr>
      <w:b/>
      <w:bCs/>
    </w:r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FollowedHyperlink"/>
    <w:uiPriority w:val="0"/>
    <w:qFormat/>
    <w:rPr>
      <w:color w:val="800080"/>
      <w:u w:val="single"/>
    </w:rPr>
  </w:style>
  <w:style w:type="character" w:styleId="747">
    <w:name w:val="Hyperlink"/>
    <w:uiPriority w:val="99"/>
    <w:qFormat/>
    <w:rPr>
      <w:color w:val="0000ff"/>
      <w:u w:val="single"/>
    </w:rPr>
  </w:style>
  <w:style w:type="character" w:styleId="748">
    <w:name w:val="annotation reference"/>
    <w:uiPriority w:val="0"/>
    <w:semiHidden/>
    <w:qFormat/>
    <w:rPr>
      <w:sz w:val="21"/>
      <w:szCs w:val="21"/>
    </w:rPr>
  </w:style>
  <w:style w:type="character" w:styleId="749">
    <w:name w:val="footnote reference"/>
    <w:uiPriority w:val="99"/>
    <w:unhideWhenUsed/>
    <w:qFormat/>
    <w:rPr>
      <w:vertAlign w:val="superscript"/>
    </w:rPr>
  </w:style>
  <w:style w:type="paragraph" w:styleId="750" w:customStyle="1">
    <w:name w:val="索引 411"/>
    <w:basedOn w:val="690"/>
    <w:next w:val="690"/>
    <w:uiPriority w:val="99"/>
    <w:unhideWhenUsed/>
    <w:qFormat/>
    <w:pPr>
      <w:jc w:val="left"/>
    </w:pPr>
    <w:rPr>
      <w:sz w:val="24"/>
      <w:szCs w:val="24"/>
    </w:rPr>
  </w:style>
  <w:style w:type="paragraph" w:styleId="751" w:customStyle="1">
    <w:name w:val="正文文本1"/>
    <w:basedOn w:val="690"/>
    <w:next w:val="690"/>
    <w:uiPriority w:val="0"/>
    <w:semiHidden/>
    <w:qFormat/>
    <w:rPr>
      <w:rFonts w:ascii="Arial" w:hAnsi="Arial" w:eastAsia="Arial" w:cs="Arial"/>
      <w:szCs w:val="21"/>
      <w:lang w:eastAsia="en-US"/>
    </w:rPr>
  </w:style>
  <w:style w:type="character" w:styleId="752" w:customStyle="1">
    <w:name w:val="Heading 1 Char"/>
    <w:uiPriority w:val="9"/>
    <w:qFormat/>
    <w:rPr>
      <w:rFonts w:ascii="Arial" w:hAnsi="Arial" w:eastAsia="Arial" w:cs="Arial"/>
      <w:sz w:val="40"/>
      <w:szCs w:val="40"/>
    </w:rPr>
  </w:style>
  <w:style w:type="character" w:styleId="753" w:customStyle="1">
    <w:name w:val="Heading 2 Char"/>
    <w:uiPriority w:val="9"/>
    <w:qFormat/>
    <w:rPr>
      <w:rFonts w:ascii="Arial" w:hAnsi="Arial" w:eastAsia="Arial" w:cs="Arial"/>
      <w:sz w:val="34"/>
    </w:rPr>
  </w:style>
  <w:style w:type="character" w:styleId="754" w:customStyle="1">
    <w:name w:val="Heading 3 Char"/>
    <w:uiPriority w:val="9"/>
    <w:qFormat/>
    <w:rPr>
      <w:rFonts w:ascii="Arial" w:hAnsi="Arial" w:eastAsia="Arial" w:cs="Arial"/>
      <w:sz w:val="30"/>
      <w:szCs w:val="30"/>
    </w:rPr>
  </w:style>
  <w:style w:type="character" w:styleId="755" w:customStyle="1">
    <w:name w:val="Heading 4 Char"/>
    <w:uiPriority w:val="9"/>
    <w:qFormat/>
    <w:rPr>
      <w:rFonts w:ascii="Arial" w:hAnsi="Arial" w:eastAsia="Arial" w:cs="Arial"/>
      <w:b/>
      <w:bCs/>
      <w:sz w:val="26"/>
      <w:szCs w:val="26"/>
    </w:rPr>
  </w:style>
  <w:style w:type="character" w:styleId="756" w:customStyle="1">
    <w:name w:val="Heading 5 Char"/>
    <w:uiPriority w:val="9"/>
    <w:qFormat/>
    <w:rPr>
      <w:rFonts w:ascii="Arial" w:hAnsi="Arial" w:eastAsia="Arial" w:cs="Arial"/>
      <w:b/>
      <w:bCs/>
      <w:sz w:val="24"/>
      <w:szCs w:val="24"/>
    </w:rPr>
  </w:style>
  <w:style w:type="character" w:styleId="757" w:customStyle="1">
    <w:name w:val="Heading 6 Char"/>
    <w:uiPriority w:val="9"/>
    <w:qFormat/>
    <w:rPr>
      <w:rFonts w:ascii="Arial" w:hAnsi="Arial" w:eastAsia="Arial" w:cs="Arial"/>
      <w:b/>
      <w:bCs/>
      <w:sz w:val="22"/>
      <w:szCs w:val="22"/>
    </w:rPr>
  </w:style>
  <w:style w:type="character" w:styleId="758" w:customStyle="1">
    <w:name w:val="Heading 7 Char"/>
    <w:uiPriority w:val="9"/>
    <w:qFormat/>
    <w:rPr>
      <w:rFonts w:ascii="Arial" w:hAnsi="Arial" w:eastAsia="Arial" w:cs="Arial"/>
      <w:b/>
      <w:bCs/>
      <w:i/>
      <w:iCs/>
      <w:sz w:val="22"/>
      <w:szCs w:val="22"/>
    </w:rPr>
  </w:style>
  <w:style w:type="character" w:styleId="759" w:customStyle="1">
    <w:name w:val="Heading 8 Char"/>
    <w:uiPriority w:val="9"/>
    <w:qFormat/>
    <w:rPr>
      <w:rFonts w:ascii="Arial" w:hAnsi="Arial" w:eastAsia="Arial" w:cs="Arial"/>
      <w:i/>
      <w:iCs/>
      <w:sz w:val="22"/>
      <w:szCs w:val="22"/>
    </w:rPr>
  </w:style>
  <w:style w:type="character" w:styleId="760" w:customStyle="1">
    <w:name w:val="Heading 9 Char"/>
    <w:uiPriority w:val="9"/>
    <w:qFormat/>
    <w:rPr>
      <w:rFonts w:ascii="Arial" w:hAnsi="Arial" w:eastAsia="Arial" w:cs="Arial"/>
      <w:i/>
      <w:iCs/>
      <w:sz w:val="21"/>
      <w:szCs w:val="21"/>
    </w:rPr>
  </w:style>
  <w:style w:type="paragraph" w:styleId="761">
    <w:name w:val="List Paragraph"/>
    <w:basedOn w:val="690"/>
    <w:uiPriority w:val="0"/>
    <w:qFormat/>
    <w:pPr>
      <w:contextualSpacing/>
      <w:ind w:left="720"/>
      <w:jc w:val="left"/>
      <w:widowControl/>
    </w:pPr>
    <w:rPr>
      <w:rFonts w:ascii="Calibri" w:hAnsi="Calibri"/>
      <w:sz w:val="24"/>
      <w:szCs w:val="24"/>
      <w:lang w:eastAsia="en-US" w:bidi="en-US"/>
    </w:rPr>
  </w:style>
  <w:style w:type="paragraph" w:styleId="76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63" w:customStyle="1">
    <w:name w:val="标题 Char"/>
    <w:link w:val="738"/>
    <w:uiPriority w:val="10"/>
    <w:qFormat/>
    <w:rPr>
      <w:sz w:val="48"/>
      <w:szCs w:val="48"/>
    </w:rPr>
  </w:style>
  <w:style w:type="character" w:styleId="764" w:customStyle="1">
    <w:name w:val="副标题 Char"/>
    <w:link w:val="727"/>
    <w:uiPriority w:val="11"/>
    <w:qFormat/>
    <w:rPr>
      <w:sz w:val="24"/>
      <w:szCs w:val="24"/>
    </w:rPr>
  </w:style>
  <w:style w:type="paragraph" w:styleId="765">
    <w:name w:val="Quote"/>
    <w:basedOn w:val="690"/>
    <w:next w:val="690"/>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690"/>
    <w:next w:val="690"/>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Header Char"/>
    <w:uiPriority w:val="99"/>
    <w:qFormat/>
  </w:style>
  <w:style w:type="character" w:styleId="770" w:customStyle="1">
    <w:name w:val="Footer Char"/>
    <w:uiPriority w:val="99"/>
    <w:qFormat/>
  </w:style>
  <w:style w:type="character" w:styleId="771" w:customStyle="1">
    <w:name w:val="Caption Char"/>
    <w:uiPriority w:val="99"/>
    <w:qFormat/>
  </w:style>
  <w:style w:type="table" w:styleId="77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5" w:customStyle="1">
    <w:name w:val="无格式表格 31"/>
    <w:uiPriority w:val="99"/>
    <w:qFormat/>
    <w:tblPr>
      <w:tblCellMar>
        <w:left w:w="0" w:type="dxa"/>
        <w:top w:w="0" w:type="dxa"/>
        <w:right w:w="0" w:type="dxa"/>
        <w:bottom w:w="0" w:type="dxa"/>
      </w:tblCellMar>
    </w:tblPr>
  </w:style>
  <w:style w:type="table" w:styleId="776" w:customStyle="1">
    <w:name w:val="无格式表格 41"/>
    <w:uiPriority w:val="99"/>
    <w:qFormat/>
    <w:tblPr>
      <w:tblCellMar>
        <w:left w:w="0" w:type="dxa"/>
        <w:top w:w="0" w:type="dxa"/>
        <w:right w:w="0" w:type="dxa"/>
        <w:bottom w:w="0" w:type="dxa"/>
      </w:tblCellMar>
    </w:tblPr>
  </w:style>
  <w:style w:type="table" w:styleId="777" w:customStyle="1">
    <w:name w:val="无格式表格 51"/>
    <w:uiPriority w:val="99"/>
    <w:qFormat/>
    <w:tblPr>
      <w:tblCellMar>
        <w:left w:w="0" w:type="dxa"/>
        <w:top w:w="0" w:type="dxa"/>
        <w:right w:w="0" w:type="dxa"/>
        <w:bottom w:w="0" w:type="dxa"/>
      </w:tblCellMar>
    </w:tblPr>
  </w:style>
  <w:style w:type="table" w:styleId="77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清单表 1 浅色1"/>
    <w:uiPriority w:val="99"/>
    <w:qFormat/>
    <w:tblPr>
      <w:tblCellMar>
        <w:left w:w="0" w:type="dxa"/>
        <w:top w:w="0" w:type="dxa"/>
        <w:right w:w="0" w:type="dxa"/>
        <w:bottom w:w="0" w:type="dxa"/>
      </w:tblCellMar>
    </w:tblPr>
  </w:style>
  <w:style w:type="table" w:styleId="828" w:customStyle="1">
    <w:name w:val="List Table 1 Light - Accent 1"/>
    <w:uiPriority w:val="99"/>
    <w:qFormat/>
    <w:tblPr>
      <w:tblCellMar>
        <w:left w:w="0" w:type="dxa"/>
        <w:top w:w="0" w:type="dxa"/>
        <w:right w:w="0" w:type="dxa"/>
        <w:bottom w:w="0" w:type="dxa"/>
      </w:tblCellMar>
    </w:tblPr>
  </w:style>
  <w:style w:type="table" w:styleId="829" w:customStyle="1">
    <w:name w:val="List Table 1 Light - Accent 2"/>
    <w:uiPriority w:val="99"/>
    <w:qFormat/>
    <w:tblPr>
      <w:tblCellMar>
        <w:left w:w="0" w:type="dxa"/>
        <w:top w:w="0" w:type="dxa"/>
        <w:right w:w="0" w:type="dxa"/>
        <w:bottom w:w="0" w:type="dxa"/>
      </w:tblCellMar>
    </w:tblPr>
  </w:style>
  <w:style w:type="table" w:styleId="830" w:customStyle="1">
    <w:name w:val="List Table 1 Light - Accent 3"/>
    <w:uiPriority w:val="99"/>
    <w:qFormat/>
    <w:tblPr>
      <w:tblCellMar>
        <w:left w:w="0" w:type="dxa"/>
        <w:top w:w="0" w:type="dxa"/>
        <w:right w:w="0" w:type="dxa"/>
        <w:bottom w:w="0" w:type="dxa"/>
      </w:tblCellMar>
    </w:tblPr>
  </w:style>
  <w:style w:type="table" w:styleId="831" w:customStyle="1">
    <w:name w:val="List Table 1 Light - Accent 4"/>
    <w:uiPriority w:val="99"/>
    <w:qFormat/>
    <w:tblPr>
      <w:tblCellMar>
        <w:left w:w="0" w:type="dxa"/>
        <w:top w:w="0" w:type="dxa"/>
        <w:right w:w="0" w:type="dxa"/>
        <w:bottom w:w="0" w:type="dxa"/>
      </w:tblCellMar>
    </w:tblPr>
  </w:style>
  <w:style w:type="table" w:styleId="832" w:customStyle="1">
    <w:name w:val="List Table 1 Light - Accent 5"/>
    <w:uiPriority w:val="99"/>
    <w:qFormat/>
    <w:tblPr>
      <w:tblCellMar>
        <w:left w:w="0" w:type="dxa"/>
        <w:top w:w="0" w:type="dxa"/>
        <w:right w:w="0" w:type="dxa"/>
        <w:bottom w:w="0" w:type="dxa"/>
      </w:tblCellMar>
    </w:tblPr>
  </w:style>
  <w:style w:type="table" w:styleId="833" w:customStyle="1">
    <w:name w:val="List Table 1 Light - Accent 6"/>
    <w:uiPriority w:val="99"/>
    <w:qFormat/>
    <w:tblPr>
      <w:tblCellMar>
        <w:left w:w="0" w:type="dxa"/>
        <w:top w:w="0" w:type="dxa"/>
        <w:right w:w="0" w:type="dxa"/>
        <w:bottom w:w="0" w:type="dxa"/>
      </w:tblCellMar>
    </w:tblPr>
  </w:style>
  <w:style w:type="table" w:styleId="83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ned - Accent 1"/>
    <w:uiPriority w:val="99"/>
    <w:qFormat/>
    <w:rPr>
      <w:color w:val="404040"/>
    </w:rPr>
    <w:tblPr>
      <w:tblCellMar>
        <w:left w:w="0" w:type="dxa"/>
        <w:top w:w="0" w:type="dxa"/>
        <w:right w:w="0" w:type="dxa"/>
        <w:bottom w:w="0" w:type="dxa"/>
      </w:tblCellMar>
    </w:tblPr>
  </w:style>
  <w:style w:type="table" w:styleId="878" w:customStyle="1">
    <w:name w:val="Lined - Accent 2"/>
    <w:uiPriority w:val="99"/>
    <w:qFormat/>
    <w:rPr>
      <w:color w:val="404040"/>
    </w:rPr>
    <w:tblPr>
      <w:tblCellMar>
        <w:left w:w="0" w:type="dxa"/>
        <w:top w:w="0" w:type="dxa"/>
        <w:right w:w="0" w:type="dxa"/>
        <w:bottom w:w="0" w:type="dxa"/>
      </w:tblCellMar>
    </w:tblPr>
  </w:style>
  <w:style w:type="table" w:styleId="879" w:customStyle="1">
    <w:name w:val="Lined - Accent 3"/>
    <w:uiPriority w:val="99"/>
    <w:qFormat/>
    <w:rPr>
      <w:color w:val="404040"/>
    </w:rPr>
    <w:tblPr>
      <w:tblCellMar>
        <w:left w:w="0" w:type="dxa"/>
        <w:top w:w="0" w:type="dxa"/>
        <w:right w:w="0" w:type="dxa"/>
        <w:bottom w:w="0" w:type="dxa"/>
      </w:tblCellMar>
    </w:tblPr>
  </w:style>
  <w:style w:type="table" w:styleId="880" w:customStyle="1">
    <w:name w:val="Lined - Accent 4"/>
    <w:uiPriority w:val="99"/>
    <w:qFormat/>
    <w:rPr>
      <w:color w:val="404040"/>
    </w:rPr>
    <w:tblPr>
      <w:tblCellMar>
        <w:left w:w="0" w:type="dxa"/>
        <w:top w:w="0" w:type="dxa"/>
        <w:right w:w="0" w:type="dxa"/>
        <w:bottom w:w="0" w:type="dxa"/>
      </w:tblCellMar>
    </w:tblPr>
  </w:style>
  <w:style w:type="table" w:styleId="881" w:customStyle="1">
    <w:name w:val="Lined - Accent 5"/>
    <w:uiPriority w:val="99"/>
    <w:qFormat/>
    <w:rPr>
      <w:color w:val="404040"/>
    </w:rPr>
    <w:tblPr>
      <w:tblCellMar>
        <w:left w:w="0" w:type="dxa"/>
        <w:top w:w="0" w:type="dxa"/>
        <w:right w:w="0" w:type="dxa"/>
        <w:bottom w:w="0" w:type="dxa"/>
      </w:tblCellMar>
    </w:tblPr>
  </w:style>
  <w:style w:type="table" w:styleId="882" w:customStyle="1">
    <w:name w:val="Lined - Accent 6"/>
    <w:uiPriority w:val="99"/>
    <w:qFormat/>
    <w:rPr>
      <w:color w:val="404040"/>
    </w:rPr>
    <w:tblPr>
      <w:tblCellMar>
        <w:left w:w="0" w:type="dxa"/>
        <w:top w:w="0" w:type="dxa"/>
        <w:right w:w="0" w:type="dxa"/>
        <w:bottom w:w="0" w:type="dxa"/>
      </w:tblCellMar>
    </w:tblPr>
  </w:style>
  <w:style w:type="table" w:styleId="8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7" w:customStyle="1">
    <w:name w:val="脚注文本 Char"/>
    <w:link w:val="729"/>
    <w:uiPriority w:val="99"/>
    <w:qFormat/>
    <w:rPr>
      <w:sz w:val="18"/>
    </w:rPr>
  </w:style>
  <w:style w:type="character" w:styleId="898" w:customStyle="1">
    <w:name w:val="尾注文本 Char"/>
    <w:link w:val="721"/>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character" w:styleId="900" w:customStyle="1">
    <w:name w:val="标题 1 Char"/>
    <w:link w:val="691"/>
    <w:uiPriority w:val="0"/>
    <w:qFormat/>
    <w:rPr>
      <w:rFonts w:ascii="楷体_GB2312" w:hAnsi="楷体_GB2312" w:eastAsia="仿宋" w:cs="Times New Roman"/>
      <w:b/>
      <w:sz w:val="44"/>
      <w:szCs w:val="28"/>
    </w:rPr>
  </w:style>
  <w:style w:type="character" w:styleId="901" w:customStyle="1">
    <w:name w:val="标题 2 Char"/>
    <w:link w:val="692"/>
    <w:uiPriority w:val="0"/>
    <w:qFormat/>
    <w:rPr>
      <w:rFonts w:ascii="Arial" w:hAnsi="Arial" w:eastAsia="仿宋" w:cs="Arial"/>
      <w:b/>
      <w:bCs/>
      <w:sz w:val="32"/>
      <w:szCs w:val="44"/>
    </w:rPr>
  </w:style>
  <w:style w:type="character" w:styleId="902" w:customStyle="1">
    <w:name w:val="正文缩进 Char"/>
    <w:link w:val="703"/>
    <w:uiPriority w:val="0"/>
    <w:qFormat/>
    <w:rPr>
      <w:szCs w:val="21"/>
    </w:rPr>
  </w:style>
  <w:style w:type="character" w:styleId="903" w:customStyle="1">
    <w:name w:val="标题 3 Char"/>
    <w:link w:val="693"/>
    <w:uiPriority w:val="0"/>
    <w:qFormat/>
    <w:rPr>
      <w:rFonts w:ascii="Times New Roman" w:hAnsi="Times New Roman" w:eastAsia="仿宋" w:cs="Times New Roman"/>
      <w:b/>
      <w:bCs/>
      <w:sz w:val="28"/>
      <w:szCs w:val="32"/>
    </w:rPr>
  </w:style>
  <w:style w:type="character" w:styleId="904" w:customStyle="1">
    <w:name w:val="标题 4 Char"/>
    <w:link w:val="694"/>
    <w:uiPriority w:val="0"/>
    <w:qFormat/>
    <w:rPr>
      <w:rFonts w:ascii="Arial" w:hAnsi="Arial" w:eastAsia="黑体" w:cs="Arial"/>
      <w:b/>
      <w:bCs/>
      <w:sz w:val="28"/>
      <w:szCs w:val="28"/>
    </w:rPr>
  </w:style>
  <w:style w:type="character" w:styleId="905" w:customStyle="1">
    <w:name w:val="标题 5 Char"/>
    <w:link w:val="695"/>
    <w:uiPriority w:val="0"/>
    <w:qFormat/>
    <w:rPr>
      <w:rFonts w:ascii="宋体" w:hAnsi="Times New Roman" w:eastAsia="宋体" w:cs="Times New Roman"/>
      <w:color w:val="000000"/>
      <w:sz w:val="28"/>
      <w:szCs w:val="28"/>
    </w:rPr>
  </w:style>
  <w:style w:type="character" w:styleId="906" w:customStyle="1">
    <w:name w:val="标题 6 Char"/>
    <w:link w:val="696"/>
    <w:uiPriority w:val="0"/>
    <w:qFormat/>
    <w:rPr>
      <w:rFonts w:ascii="Arial" w:hAnsi="Arial" w:eastAsia="黑体" w:cs="Times New Roman"/>
      <w:b/>
      <w:bCs/>
      <w:sz w:val="24"/>
      <w:szCs w:val="24"/>
    </w:rPr>
  </w:style>
  <w:style w:type="character" w:styleId="907" w:customStyle="1">
    <w:name w:val="标题 7 Char"/>
    <w:link w:val="697"/>
    <w:uiPriority w:val="0"/>
    <w:qFormat/>
    <w:rPr>
      <w:rFonts w:ascii="Times New Roman" w:hAnsi="Times New Roman" w:eastAsia="宋体" w:cs="Times New Roman"/>
      <w:b/>
      <w:bCs/>
      <w:sz w:val="24"/>
      <w:szCs w:val="24"/>
    </w:rPr>
  </w:style>
  <w:style w:type="character" w:styleId="908" w:customStyle="1">
    <w:name w:val="标题 8 Char"/>
    <w:link w:val="698"/>
    <w:uiPriority w:val="0"/>
    <w:qFormat/>
    <w:rPr>
      <w:rFonts w:ascii="Arial" w:hAnsi="Arial" w:eastAsia="黑体" w:cs="Times New Roman"/>
      <w:sz w:val="24"/>
      <w:szCs w:val="24"/>
    </w:rPr>
  </w:style>
  <w:style w:type="character" w:styleId="909" w:customStyle="1">
    <w:name w:val="标题 9 Char"/>
    <w:link w:val="699"/>
    <w:uiPriority w:val="0"/>
    <w:qFormat/>
    <w:rPr>
      <w:rFonts w:ascii="Arial" w:hAnsi="Arial" w:eastAsia="黑体" w:cs="Times New Roman"/>
      <w:szCs w:val="21"/>
    </w:rPr>
  </w:style>
  <w:style w:type="character" w:styleId="910" w:customStyle="1">
    <w:name w:val="文档结构图 Char"/>
    <w:link w:val="709"/>
    <w:uiPriority w:val="0"/>
    <w:semiHidden/>
    <w:qFormat/>
    <w:rPr>
      <w:rFonts w:ascii="Times New Roman" w:hAnsi="Times New Roman" w:eastAsia="宋体" w:cs="Times New Roman"/>
      <w:szCs w:val="21"/>
      <w:shd w:val="clear" w:color="auto" w:fill="000080"/>
    </w:rPr>
  </w:style>
  <w:style w:type="character" w:styleId="911" w:customStyle="1">
    <w:name w:val="批注文字 Char"/>
    <w:basedOn w:val="700"/>
    <w:link w:val="710"/>
    <w:uiPriority w:val="99"/>
    <w:semiHidden/>
    <w:qFormat/>
  </w:style>
  <w:style w:type="character" w:styleId="912" w:customStyle="1">
    <w:name w:val="正文文本 3 Char"/>
    <w:link w:val="711"/>
    <w:uiPriority w:val="0"/>
    <w:qFormat/>
    <w:rPr>
      <w:rFonts w:ascii="仿宋_GB2312" w:hAnsi="Arial" w:eastAsia="仿宋_GB2312" w:cs="Times New Roman"/>
      <w:sz w:val="32"/>
      <w:szCs w:val="32"/>
    </w:rPr>
  </w:style>
  <w:style w:type="character" w:styleId="913" w:customStyle="1">
    <w:name w:val="正文文本 Char"/>
    <w:link w:val="702"/>
    <w:uiPriority w:val="0"/>
    <w:qFormat/>
    <w:rPr>
      <w:rFonts w:ascii="楷体_GB2312" w:hAnsi="Arial" w:eastAsia="楷体_GB2312" w:cs="Times New Roman"/>
      <w:sz w:val="28"/>
      <w:szCs w:val="28"/>
    </w:rPr>
  </w:style>
  <w:style w:type="character" w:styleId="914" w:customStyle="1">
    <w:name w:val="正文文本缩进 Char"/>
    <w:basedOn w:val="700"/>
    <w:link w:val="704"/>
    <w:uiPriority w:val="99"/>
    <w:semiHidden/>
    <w:qFormat/>
  </w:style>
  <w:style w:type="character" w:styleId="915" w:customStyle="1">
    <w:name w:val="纯文本 Char"/>
    <w:link w:val="717"/>
    <w:uiPriority w:val="0"/>
    <w:qFormat/>
    <w:rPr>
      <w:rFonts w:ascii="宋体" w:hAnsi="Courier New" w:eastAsia="宋体" w:cs="Courier New"/>
      <w:szCs w:val="21"/>
    </w:rPr>
  </w:style>
  <w:style w:type="character" w:styleId="916" w:customStyle="1">
    <w:name w:val="日期 Char"/>
    <w:link w:val="719"/>
    <w:uiPriority w:val="0"/>
    <w:qFormat/>
    <w:rPr>
      <w:rFonts w:ascii="Times New Roman" w:hAnsi="Times New Roman" w:eastAsia="宋体" w:cs="Times New Roman"/>
      <w:sz w:val="24"/>
      <w:szCs w:val="24"/>
    </w:rPr>
  </w:style>
  <w:style w:type="character" w:styleId="917" w:customStyle="1">
    <w:name w:val="正文文本缩进 2 Char"/>
    <w:link w:val="720"/>
    <w:uiPriority w:val="0"/>
    <w:qFormat/>
    <w:rPr>
      <w:rFonts w:ascii="Arial" w:hAnsi="Arial" w:eastAsia="仿宋_GB2312" w:cs="Arial"/>
      <w:sz w:val="32"/>
      <w:szCs w:val="32"/>
    </w:rPr>
  </w:style>
  <w:style w:type="character" w:styleId="918" w:customStyle="1">
    <w:name w:val="批注框文本 Char"/>
    <w:link w:val="722"/>
    <w:uiPriority w:val="0"/>
    <w:semiHidden/>
    <w:qFormat/>
    <w:rPr>
      <w:rFonts w:ascii="Times New Roman" w:hAnsi="Times New Roman" w:eastAsia="宋体" w:cs="Times New Roman"/>
      <w:sz w:val="18"/>
      <w:szCs w:val="18"/>
    </w:rPr>
  </w:style>
  <w:style w:type="character" w:styleId="919" w:customStyle="1">
    <w:name w:val="页脚 Char"/>
    <w:link w:val="723"/>
    <w:uiPriority w:val="0"/>
    <w:qFormat/>
    <w:rPr>
      <w:rFonts w:ascii="Times New Roman" w:hAnsi="Times New Roman" w:eastAsia="宋体" w:cs="Times New Roman"/>
      <w:sz w:val="18"/>
      <w:szCs w:val="18"/>
    </w:rPr>
  </w:style>
  <w:style w:type="character" w:styleId="920" w:customStyle="1">
    <w:name w:val="页眉 Char"/>
    <w:link w:val="724"/>
    <w:uiPriority w:val="0"/>
    <w:qFormat/>
    <w:rPr>
      <w:rFonts w:ascii="Times New Roman" w:hAnsi="Times New Roman" w:eastAsia="宋体" w:cs="Times New Roman"/>
      <w:sz w:val="18"/>
      <w:szCs w:val="18"/>
    </w:rPr>
  </w:style>
  <w:style w:type="character" w:styleId="921" w:customStyle="1">
    <w:name w:val="正文文本缩进 3 Char"/>
    <w:link w:val="731"/>
    <w:uiPriority w:val="0"/>
    <w:qFormat/>
    <w:rPr>
      <w:rFonts w:ascii="Arial" w:hAnsi="Arial" w:eastAsia="仿宋_GB2312" w:cs="Arial"/>
      <w:color w:val="ffff00"/>
      <w:sz w:val="32"/>
      <w:szCs w:val="32"/>
    </w:rPr>
  </w:style>
  <w:style w:type="character" w:styleId="922" w:customStyle="1">
    <w:name w:val="正文文本 2 Char"/>
    <w:link w:val="735"/>
    <w:uiPriority w:val="0"/>
    <w:qFormat/>
    <w:rPr>
      <w:rFonts w:ascii="楷体_GB2312" w:hAnsi="Times New Roman" w:eastAsia="楷体_GB2312" w:cs="Times New Roman"/>
      <w:sz w:val="28"/>
      <w:szCs w:val="28"/>
    </w:rPr>
  </w:style>
  <w:style w:type="character" w:styleId="923" w:customStyle="1">
    <w:name w:val="批注主题 Char"/>
    <w:link w:val="739"/>
    <w:uiPriority w:val="0"/>
    <w:semiHidden/>
    <w:qFormat/>
    <w:rPr>
      <w:rFonts w:ascii="Times New Roman" w:hAnsi="Times New Roman" w:eastAsia="宋体" w:cs="Times New Roman"/>
      <w:b/>
      <w:bCs/>
      <w:szCs w:val="21"/>
    </w:rPr>
  </w:style>
  <w:style w:type="character" w:styleId="924" w:customStyle="1">
    <w:name w:val="正文首行缩进 Char"/>
    <w:link w:val="740"/>
    <w:uiPriority w:val="0"/>
    <w:qFormat/>
    <w:rPr>
      <w:rFonts w:ascii="仿宋_GB2312" w:hAnsi="Times New Roman" w:eastAsia="仿宋_GB2312" w:cs="Times New Roman"/>
      <w:sz w:val="30"/>
      <w:szCs w:val="30"/>
    </w:rPr>
  </w:style>
  <w:style w:type="character" w:styleId="925" w:customStyle="1">
    <w:name w:val="正文首行缩进 2 Char"/>
    <w:link w:val="741"/>
    <w:uiPriority w:val="0"/>
    <w:qFormat/>
    <w:rPr>
      <w:rFonts w:ascii="宋体" w:hAnsi="宋体" w:eastAsia="宋体" w:cs="Times New Roman"/>
      <w:szCs w:val="20"/>
    </w:rPr>
  </w:style>
  <w:style w:type="character" w:styleId="926" w:customStyle="1">
    <w:name w:val="已访问的超链接1"/>
    <w:uiPriority w:val="0"/>
    <w:qFormat/>
    <w:rPr>
      <w:color w:val="800080"/>
      <w:u w:val="single"/>
    </w:rPr>
  </w:style>
  <w:style w:type="paragraph" w:styleId="927" w:customStyle="1">
    <w:name w:val="索引 41"/>
    <w:basedOn w:val="690"/>
    <w:next w:val="690"/>
    <w:uiPriority w:val="0"/>
    <w:semiHidden/>
    <w:qFormat/>
    <w:pPr>
      <w:ind w:left="1260"/>
    </w:pPr>
    <w:rPr>
      <w:rFonts w:ascii="Calibri" w:hAnsi="Calibri" w:eastAsia="Calibri" w:cs="宋体"/>
      <w:sz w:val="20"/>
      <w:lang w:val="zh-CN"/>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90"/>
    <w:link w:val="92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90"/>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90"/>
    <w:next w:val="702"/>
    <w:uiPriority w:val="0"/>
    <w:qFormat/>
    <w:pPr>
      <w:spacing w:after="120"/>
    </w:pPr>
    <w:rPr>
      <w:rFonts w:ascii="宋体" w:hAnsi="Arial"/>
      <w:bCs/>
      <w:iCs/>
      <w:szCs w:val="24"/>
    </w:rPr>
  </w:style>
  <w:style w:type="paragraph" w:styleId="934"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90"/>
    <w:uiPriority w:val="0"/>
    <w:qFormat/>
    <w:pPr>
      <w:ind w:firstLine="200"/>
      <w:tabs>
        <w:tab w:val="left" w:pos="360" w:leader="none"/>
      </w:tabs>
    </w:pPr>
    <w:rPr>
      <w:sz w:val="28"/>
      <w:szCs w:val="30"/>
    </w:rPr>
  </w:style>
  <w:style w:type="paragraph" w:styleId="937" w:customStyle="1">
    <w:name w:val="Char1"/>
    <w:basedOn w:val="709"/>
    <w:uiPriority w:val="0"/>
    <w:qFormat/>
    <w:rPr>
      <w:rFonts w:ascii="Tahoma" w:hAnsi="Tahoma"/>
      <w:sz w:val="24"/>
      <w:szCs w:val="24"/>
    </w:rPr>
  </w:style>
  <w:style w:type="paragraph" w:styleId="938"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90"/>
    <w:uiPriority w:val="0"/>
    <w:qFormat/>
    <w:pPr>
      <w:jc w:val="left"/>
      <w:widowControl/>
    </w:pPr>
    <w:rPr>
      <w:sz w:val="20"/>
      <w:szCs w:val="20"/>
      <w:lang w:val="de-DE" w:eastAsia="de-DE"/>
    </w:rPr>
  </w:style>
  <w:style w:type="paragraph" w:styleId="94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41"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Char Char Char Char"/>
    <w:basedOn w:val="709"/>
    <w:uiPriority w:val="0"/>
    <w:qFormat/>
    <w:pPr>
      <w:spacing w:line="360" w:lineRule="auto"/>
    </w:pPr>
    <w:rPr>
      <w:rFonts w:ascii="Tahoma" w:hAnsi="Tahoma"/>
      <w:sz w:val="24"/>
      <w:szCs w:val="24"/>
    </w:rPr>
  </w:style>
  <w:style w:type="paragraph" w:styleId="943" w:customStyle="1">
    <w:name w:val="4"/>
    <w:basedOn w:val="690"/>
    <w:next w:val="731"/>
    <w:uiPriority w:val="0"/>
    <w:qFormat/>
    <w:pPr>
      <w:ind w:firstLine="420"/>
      <w:spacing w:line="360" w:lineRule="auto"/>
    </w:pPr>
    <w:rPr>
      <w:color w:val="ff0000"/>
      <w:sz w:val="24"/>
      <w:szCs w:val="24"/>
    </w:rPr>
  </w:style>
  <w:style w:type="paragraph" w:styleId="944"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690"/>
    <w:uiPriority w:val="0"/>
    <w:qFormat/>
    <w:pPr>
      <w:spacing w:line="360" w:lineRule="auto"/>
    </w:pPr>
    <w:rPr>
      <w:sz w:val="24"/>
      <w:szCs w:val="20"/>
    </w:rPr>
  </w:style>
  <w:style w:type="paragraph" w:styleId="946" w:customStyle="1">
    <w:name w:val="样式1"/>
    <w:basedOn w:val="690"/>
    <w:uiPriority w:val="0"/>
    <w:qFormat/>
    <w:pPr>
      <w:numPr>
        <w:ilvl w:val="0"/>
        <w:numId w:val="3"/>
      </w:numPr>
    </w:pPr>
    <w:rPr>
      <w:rFonts w:ascii="宋体" w:hAnsi="宋体"/>
      <w:szCs w:val="21"/>
    </w:rPr>
  </w:style>
  <w:style w:type="paragraph" w:styleId="947"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5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5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56"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57" w:customStyle="1">
    <w:name w:val="Char Char Char Char1"/>
    <w:basedOn w:val="709"/>
    <w:uiPriority w:val="0"/>
    <w:qFormat/>
    <w:pPr>
      <w:spacing w:line="360" w:lineRule="auto"/>
    </w:pPr>
    <w:rPr>
      <w:rFonts w:ascii="Tahoma" w:hAnsi="Tahoma"/>
      <w:sz w:val="24"/>
      <w:szCs w:val="24"/>
    </w:rPr>
  </w:style>
  <w:style w:type="paragraph" w:styleId="958" w:customStyle="1">
    <w:name w:val="table_1stline"/>
    <w:basedOn w:val="690"/>
    <w:uiPriority w:val="0"/>
    <w:qFormat/>
    <w:pPr>
      <w:jc w:val="left"/>
      <w:spacing w:before="120"/>
      <w:widowControl/>
    </w:pPr>
    <w:rPr>
      <w:bCs/>
      <w:sz w:val="20"/>
      <w:szCs w:val="20"/>
      <w:lang w:val="de-DE" w:eastAsia="de-DE"/>
    </w:rPr>
  </w:style>
  <w:style w:type="paragraph" w:styleId="959"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修订1"/>
    <w:uiPriority w:val="99"/>
    <w:semiHidden/>
    <w:qFormat/>
    <w:rPr>
      <w:rFonts w:ascii="Times New Roman" w:hAnsi="Times New Roman" w:eastAsia="宋体" w:cs="Times New Roman"/>
      <w:sz w:val="21"/>
      <w:szCs w:val="21"/>
      <w:lang w:val="en-US" w:eastAsia="zh-CN" w:bidi="ar-SA"/>
    </w:rPr>
  </w:style>
  <w:style w:type="table" w:styleId="962" w:customStyle="1">
    <w:name w:val="Table Normal"/>
    <w:uiPriority w:val="0"/>
    <w:qFormat/>
    <w:tblPr>
      <w:tblCellMar>
        <w:left w:w="0" w:type="dxa"/>
        <w:top w:w="0" w:type="dxa"/>
        <w:right w:w="0" w:type="dxa"/>
        <w:bottom w:w="0" w:type="dxa"/>
      </w:tblCellMar>
    </w:tblPr>
  </w:style>
  <w:style w:type="paragraph" w:styleId="963" w:customStyle="1">
    <w:name w:val="正文文本 211"/>
    <w:basedOn w:val="690"/>
    <w:uiPriority w:val="99"/>
    <w:qFormat/>
    <w:pPr>
      <w:jc w:val="center"/>
    </w:pPr>
    <w:rPr>
      <w:b/>
      <w:bCs/>
      <w:sz w:val="20"/>
      <w:szCs w:val="20"/>
    </w:rPr>
  </w:style>
  <w:style w:type="paragraph" w:styleId="964" w:customStyle="1">
    <w:name w:val="正文文本12"/>
    <w:basedOn w:val="690"/>
    <w:uiPriority w:val="1"/>
    <w:qFormat/>
    <w:pPr>
      <w:ind w:left="120"/>
    </w:pPr>
    <w:rPr>
      <w:rFonts w:ascii="宋体" w:hAnsi="宋体" w:cs="宋体"/>
      <w:szCs w:val="21"/>
      <w:lang w:val="zh-CN" w:bidi="zh-CN"/>
    </w:rPr>
  </w:style>
  <w:style w:type="paragraph" w:styleId="965" w:customStyle="1">
    <w:name w:val="Table Text"/>
    <w:basedOn w:val="690"/>
    <w:uiPriority w:val="0"/>
    <w:semiHidden/>
    <w:qFormat/>
    <w:pPr>
      <w:ind w:left="44" w:right="44"/>
      <w:spacing w:line="280" w:lineRule="exact"/>
    </w:pPr>
    <w:rPr>
      <w:rFonts w:ascii="宋体" w:hAnsi="宋体" w:cs="宋体"/>
      <w:lang w:eastAsia="en-US"/>
    </w:rPr>
  </w:style>
  <w:style w:type="paragraph" w:styleId="966" w:customStyle="1">
    <w:name w:val="正文缩进t"/>
    <w:basedOn w:val="690"/>
    <w:uiPriority w:val="0"/>
    <w:qFormat/>
    <w:pPr>
      <w:ind w:firstLine="200"/>
    </w:pPr>
  </w:style>
  <w:style w:type="table" w:styleId="967" w:customStyle="1">
    <w:name w:val="网格型1"/>
    <w:basedOn w:val="701"/>
    <w:uiPriority w:val="59"/>
    <w:qFormat/>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8" w:customStyle="1">
    <w:name w:val="正文文本缩进11"/>
    <w:basedOn w:val="690"/>
    <w:next w:val="969"/>
    <w:uiPriority w:val="0"/>
    <w:unhideWhenUsed/>
    <w:qFormat/>
    <w:pPr>
      <w:ind w:left="420"/>
      <w:spacing w:after="120"/>
    </w:pPr>
  </w:style>
  <w:style w:type="paragraph" w:styleId="969" w:customStyle="1">
    <w:name w:val="正文首行缩进 211"/>
    <w:basedOn w:val="968"/>
    <w:uiPriority w:val="0"/>
    <w:qFormat/>
    <w:pPr>
      <w:ind w:left="0" w:firstLine="420"/>
      <w:spacing w:after="0" w:line="360" w:lineRule="auto"/>
    </w:pPr>
    <w:rPr>
      <w:rFonts w:ascii="宋体" w:hAnsi="宋体" w:eastAsia="宋体" w:cs="Times New Roman"/>
      <w:szCs w:val="20"/>
    </w:rPr>
  </w:style>
  <w:style w:type="paragraph" w:styleId="970"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71" w:customStyle="1">
    <w:name w:val="First Paragraph"/>
    <w:basedOn w:val="702"/>
    <w:next w:val="702"/>
    <w:uiPriority w:val="0"/>
    <w:qFormat/>
  </w:style>
  <w:style w:type="paragraph" w:styleId="972" w:customStyle="1">
    <w:name w:val="正文首行缩进 21"/>
    <w:basedOn w:val="973"/>
    <w:next w:val="690"/>
    <w:uiPriority w:val="0"/>
    <w:qFormat/>
    <w:pPr>
      <w:ind w:left="0" w:firstLine="420"/>
      <w:spacing w:after="0" w:line="360" w:lineRule="auto"/>
    </w:pPr>
    <w:rPr>
      <w:rFonts w:ascii="宋体" w:hAnsi="宋体" w:cs="Times New Roman"/>
      <w:szCs w:val="20"/>
    </w:rPr>
  </w:style>
  <w:style w:type="paragraph" w:styleId="973" w:customStyle="1">
    <w:name w:val="正文文本缩进111"/>
    <w:basedOn w:val="690"/>
    <w:next w:val="974"/>
    <w:uiPriority w:val="0"/>
    <w:unhideWhenUsed/>
    <w:qFormat/>
    <w:pPr>
      <w:ind w:left="420"/>
      <w:spacing w:after="120"/>
    </w:pPr>
  </w:style>
  <w:style w:type="paragraph" w:styleId="974" w:customStyle="1">
    <w:name w:val="寄信人地址11"/>
    <w:basedOn w:val="690"/>
    <w:uiPriority w:val="0"/>
    <w:qFormat/>
    <w:rPr>
      <w:rFonts w:ascii="Arial" w:hAnsi="Arial"/>
    </w:rPr>
  </w:style>
  <w:style w:type="paragraph" w:styleId="975" w:customStyle="1">
    <w:name w:val="Compact"/>
    <w:basedOn w:val="702"/>
    <w:uiPriority w:val="0"/>
    <w:qFormat/>
    <w:pPr>
      <w:spacing w:before="36" w:after="36"/>
    </w:pPr>
  </w:style>
  <w:style w:type="table" w:styleId="976" w:customStyle="1">
    <w:name w:val="Table"/>
    <w:uiPriority w:val="0"/>
    <w:semiHidden/>
    <w:unhideWhenUsed/>
    <w:qFormat/>
    <w:tblPr>
      <w:tblCellMar>
        <w:left w:w="108" w:type="dxa"/>
        <w:top w:w="0" w:type="dxa"/>
        <w:right w:w="108" w:type="dxa"/>
        <w:bottom w:w="0" w:type="dxa"/>
      </w:tblCellMar>
    </w:tblPr>
    <w:tblStylePr w:type="firstRow">
      <w:tcPr>
        <w:tcBorders>
          <w:bottom w:val="single" w:color="auto" w:sz="0" w:space="0"/>
        </w:tcBorders>
        <w:vAlign w:val="bottom"/>
      </w:tcPr>
    </w:tblStylePr>
  </w:style>
  <w:style w:type="numbering" w:styleId="10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340ad939-52cc-434a-8570-9bc6b47765e5</errorID>
      <errorWord>硬件的</errorWord>
      <group>L1_Word</group>
      <groupName>字词问题</groupName>
      <ability>L2_Typo</ability>
      <abilityName>字词错误</abilityName>
      <candidateList>
        <item>硬件</item>
      </candidateList>
      <explain/>
      <paraID> 7FDD149</paraID>
      <start>56</start>
      <end>59</end>
      <status>unmodified</status>
      <modifiedWord/>
      <trackRevisions>false</trackRevisions>
    </reviewItem>
    <reviewItem>
      <errorID>bf7f65fd-3ed6-48f5-9cb9-afa223ed5f02</errorID>
      <errorWord>(</errorWord>
      <group>L1_Format</group>
      <groupName>格式问题</groupName>
      <ability>L2_HalfPunc_CN</ability>
      <abilityName>全半角问题</abilityName>
      <candidateList>
        <item>（</item>
      </candidateList>
      <explain>文本全半角错误。</explain>
      <paraID>41762415</paraID>
      <start>48</start>
      <end>49</end>
      <status>unmodified</status>
      <modifiedWord/>
      <trackRevisions>false</trackRevisions>
    </reviewItem>
    <reviewItem>
      <errorID>6b4dbda4-634e-4f45-bf43-84eca6af0830</errorID>
      <errorWord>)</errorWord>
      <group>L1_Format</group>
      <groupName>格式问题</groupName>
      <ability>L2_HalfPunc_CN</ability>
      <abilityName>全半角问题</abilityName>
      <candidateList>
        <item>）</item>
      </candidateList>
      <explain>文本全半角错误。</explain>
      <paraID>41762415</paraID>
      <start>64</start>
      <end>65</end>
      <status>unmodified</status>
      <modifiedWord/>
      <trackRevisions>false</trackRevisions>
    </reviewItem>
    <reviewItem>
      <errorID>e7e0d57e-dc6b-47c6-a002-84afa4550173</errorID>
      <errorWord>(</errorWord>
      <group>L1_Format</group>
      <groupName>格式问题</groupName>
      <ability>L2_HalfPunc_CN</ability>
      <abilityName>全半角问题</abilityName>
      <candidateList>
        <item>（</item>
      </candidateList>
      <explain>文本全半角错误。</explain>
      <paraID>41762415</paraID>
      <start>105</start>
      <end>106</end>
      <status>unmodified</status>
      <modifiedWord/>
      <trackRevisions>false</trackRevisions>
    </reviewItem>
    <reviewItem>
      <errorID>87997879-6b71-4cba-91a1-62f89038ad45</errorID>
      <errorWord>)</errorWord>
      <group>L1_Format</group>
      <groupName>格式问题</groupName>
      <ability>L2_HalfPunc_CN</ability>
      <abilityName>全半角问题</abilityName>
      <candidateList>
        <item>）</item>
      </candidateList>
      <explain>文本全半角错误。</explain>
      <paraID>41762415</paraID>
      <start>168</start>
      <end>169</end>
      <status>unmodified</status>
      <modifiedWord/>
      <trackRevisions>false</trackRevisions>
    </reviewItem>
    <reviewItem>
      <errorID>b044c966-7702-4d1a-b25c-6e39e91d318d</errorID>
      <errorWord>(</errorWord>
      <group>L1_Format</group>
      <groupName>格式问题</groupName>
      <ability>L2_HalfPunc_CN</ability>
      <abilityName>全半角问题</abilityName>
      <candidateList>
        <item>（</item>
      </candidateList>
      <explain>文本全半角错误。</explain>
      <paraID>444BA530</paraID>
      <start>42</start>
      <end>43</end>
      <status>unmodified</status>
      <modifiedWord/>
      <trackRevisions>false</trackRevisions>
    </reviewItem>
    <reviewItem>
      <errorID>477ca343-30cf-4976-b7f9-69a4a90da104</errorID>
      <errorWord>)</errorWord>
      <group>L1_Format</group>
      <groupName>格式问题</groupName>
      <ability>L2_HalfPunc_CN</ability>
      <abilityName>全半角问题</abilityName>
      <candidateList>
        <item>）</item>
      </candidateList>
      <explain>文本全半角错误。</explain>
      <paraID>444BA530</paraID>
      <start>57</start>
      <end>58</end>
      <status>unmodified</status>
      <modifiedWord/>
      <trackRevisions>false</trackRevisions>
    </reviewItem>
    <reviewItem>
      <errorID>e41aabe7-2f3b-4db5-af7c-45cf60eeb03d</errorID>
      <errorWord>:</errorWord>
      <group>L1_Format</group>
      <groupName>格式问题</groupName>
      <ability>L2_HalfPunc_CN</ability>
      <abilityName>全半角问题</abilityName>
      <candidateList>
        <item>：</item>
      </candidateList>
      <explain>文本全半角错误。</explain>
      <paraID>7D64054D</paraID>
      <start>18</start>
      <end>19</end>
      <status>unmodified</status>
      <modifiedWord/>
      <trackRevisions>false</trackRevisions>
    </reviewItem>
    <reviewItem>
      <errorID>4409a0e1-d6b4-4f0b-b3a4-ff3d4e596395</errorID>
      <errorWord>(</errorWord>
      <group>L1_Format</group>
      <groupName>格式问题</groupName>
      <ability>L2_HalfPunc_CN</ability>
      <abilityName>全半角问题</abilityName>
      <candidateList>
        <item>（</item>
      </candidateList>
      <explain>文本全半角错误。</explain>
      <paraID>4C6A730E</paraID>
      <start>19</start>
      <end>20</end>
      <status>unmodified</status>
      <modifiedWord/>
      <trackRevisions>false</trackRevisions>
    </reviewItem>
    <reviewItem>
      <errorID>8e2b48f3-60b5-4245-a250-44191656d94a</errorID>
      <errorWord>)</errorWord>
      <group>L1_Format</group>
      <groupName>格式问题</groupName>
      <ability>L2_HalfPunc_CN</ability>
      <abilityName>全半角问题</abilityName>
      <candidateList>
        <item>）</item>
      </candidateList>
      <explain>文本全半角错误。</explain>
      <paraID>4C6A730E</paraID>
      <start>28</start>
      <end>29</end>
      <status>unmodified</status>
      <modifiedWord/>
      <trackRevisions>false</trackRevisions>
    </reviewItem>
    <reviewItem>
      <errorID>fd70dae0-b694-444a-b5bf-6cae3225fded</errorID>
      <errorWord>间</errorWord>
      <group>L1_Word</group>
      <groupName>字词问题</groupName>
      <ability>L2_Typo</ability>
      <abilityName>字词错误</abilityName>
      <candidateList>
        <item>间之</item>
      </candidateList>
      <explain/>
      <paraID>2F1FA168</paraID>
      <start>14</start>
      <end>15</end>
      <status>unmodified</status>
      <modifiedWord/>
      <trackRevisions>false</trackRevisions>
    </reviewItem>
    <reviewItem>
      <errorID>0a70f49b-e81c-4b45-beef-9a93589490a3</errorID>
      <errorWord>法律、法规</errorWord>
      <group>L1_Word</group>
      <groupName>字词问题</groupName>
      <ability>L2_Typo</ability>
      <abilityName>字词错误</abilityName>
      <candidateList>
        <item>法律法规</item>
      </candidateList>
      <explain/>
      <paraID>7C474664</paraID>
      <start>11</start>
      <end>16</end>
      <status>unmodified</status>
      <modifiedWord/>
      <trackRevisions>false</trackRevisions>
    </reviewItem>
    <reviewItem>
      <errorID>2ca9da0b-1350-44f0-84dc-c386b13cd1c3</errorID>
      <errorWord>国家发改委</errorWord>
      <group>L1_Knowledge</group>
      <groupName>知识性问题</groupName>
      <ability>L2_Knowledge</ability>
      <abilityName>其他知识</abilityName>
      <candidateList>
        <item>国家发展改革委</item>
      </candidateList>
      <explain/>
      <paraID>21A4C514</paraID>
      <start>17</start>
      <end>22</end>
      <status>unmodified</status>
      <modifiedWord/>
      <trackRevisions>false</trackRevisions>
    </reviewItem>
    <reviewItem>
      <errorID>8e948570-f15d-4813-83ea-9a9386a1b6d3</errorID>
      <errorWord>，</errorWord>
      <group>L1_Word</group>
      <groupName>字词问题</groupName>
      <ability>L2_Typo</ability>
      <abilityName>字词错误</abilityName>
      <candidateList>
        <item>，并</item>
      </candidateList>
      <explain/>
      <paraID>57E3D6FB</paraID>
      <start>90</start>
      <end>91</end>
      <status>unmodified</status>
      <modifiedWord/>
      <trackRevisions>false</trackRevisions>
    </reviewItem>
    <reviewItem>
      <errorID>6e6b8e11-d12d-4ae8-a8de-696707c142e6</errorID>
      <errorWord>,</errorWord>
      <group>L1_Format</group>
      <groupName>格式问题</groupName>
      <ability>L2_HalfPunc_CN</ability>
      <abilityName>全半角问题</abilityName>
      <candidateList>
        <item>，</item>
      </candidateList>
      <explain>文本全半角错误。</explain>
      <paraID> 3F8EC7B</paraID>
      <start>70</start>
      <end>71</end>
      <status>unmodified</status>
      <modifiedWord/>
      <trackRevisions>false</trackRevisions>
    </reviewItem>
    <reviewItem>
      <errorID>d1a5f2c0-2aaa-4086-8af1-982b166351e2</errorID>
      <errorWord>,</errorWord>
      <group>L1_Format</group>
      <groupName>格式问题</groupName>
      <ability>L2_HalfPunc_CN</ability>
      <abilityName>全半角问题</abilityName>
      <candidateList>
        <item>，</item>
      </candidateList>
      <explain>文本全半角错误。</explain>
      <paraID>1309358B</paraID>
      <start>48</start>
      <end>49</end>
      <status>unmodified</status>
      <modifiedWord/>
      <trackRevisions>false</trackRevisions>
    </reviewItem>
    <reviewItem>
      <errorID>ac4c46a9-6d62-4e07-828d-b1749e816ddc</errorID>
      <errorWord>,</errorWord>
      <group>L1_Format</group>
      <groupName>格式问题</groupName>
      <ability>L2_HalfPunc_CN</ability>
      <abilityName>全半角问题</abilityName>
      <candidateList>
        <item>，</item>
      </candidateList>
      <explain>文本全半角错误。</explain>
      <paraID> 8CC1106</paraID>
      <start>54</start>
      <end>55</end>
      <status>unmodified</status>
      <modifiedWord/>
      <trackRevisions>false</trackRevisions>
    </reviewItem>
    <reviewItem>
      <errorID>2fd27ee5-d8b2-4c95-8bef-d0d5cc7eafdf</errorID>
      <errorWord>（</errorWord>
      <group>L1_Punc</group>
      <groupName>标点问题</groupName>
      <ability>L2_Punc_CN</ability>
      <abilityName>标点符号问题</abilityName>
      <candidateList/>
      <explain>同一形式括号套用。</explain>
      <paraID>  37155F</paraID>
      <start>64</start>
      <end>65</end>
      <status>unmodified</status>
      <modifiedWord/>
      <trackRevisions>false</trackRevisions>
    </reviewItem>
    <reviewItem>
      <errorID>c6f3817f-4dcd-43c1-bfef-dead26266905</errorID>
      <errorWord>）</errorWord>
      <group>L1_Punc</group>
      <groupName>标点问题</groupName>
      <ability>L2_Punc_CN</ability>
      <abilityName>标点符号问题</abilityName>
      <candidateList/>
      <explain>同一形式括号套用。</explain>
      <paraID>  37155F</paraID>
      <start>81</start>
      <end>82</end>
      <status>unmodified</status>
      <modifiedWord/>
      <trackRevisions>false</trackRevisions>
    </reviewItem>
    <reviewItem>
      <errorID>3b2c9bd4-f5ee-4034-8fa8-7b3c30745d16</errorID>
      <errorWord>（</errorWord>
      <group>L1_Punc</group>
      <groupName>标点问题</groupName>
      <ability>L2_Punc_CN</ability>
      <abilityName>标点符号问题</abilityName>
      <candidateList/>
      <explain>同一形式括号套用。</explain>
      <paraID>  37155F</paraID>
      <start>108</start>
      <end>109</end>
      <status>unmodified</status>
      <modifiedWord/>
      <trackRevisions>false</trackRevisions>
    </reviewItem>
    <reviewItem>
      <errorID>deb93949-7b85-4b1c-9817-f7178e2da853</errorID>
      <errorWord>）</errorWord>
      <group>L1_Punc</group>
      <groupName>标点问题</groupName>
      <ability>L2_Punc_CN</ability>
      <abilityName>标点符号问题</abilityName>
      <candidateList/>
      <explain>同一形式括号套用。</explain>
      <paraID>  37155F</paraID>
      <start>113</start>
      <end>114</end>
      <status>unmodified</status>
      <modifiedWord/>
      <trackRevisions>false</trackRevisions>
    </reviewItem>
    <reviewItem>
      <errorID>757dc3a4-61df-4765-9704-ebc7be001c69</errorID>
      <errorWord>（</errorWord>
      <group>L1_Punc</group>
      <groupName>标点问题</groupName>
      <ability>L2_Punc_CN</ability>
      <abilityName>标点符号问题</abilityName>
      <candidateList/>
      <explain>同一形式括号套用。</explain>
      <paraID>  37155F</paraID>
      <start>119</start>
      <end>120</end>
      <status>unmodified</status>
      <modifiedWord/>
      <trackRevisions>false</trackRevisions>
    </reviewItem>
    <reviewItem>
      <errorID>daf82a7b-6dd0-4115-9799-ddb0838dbcaa</errorID>
      <errorWord>）</errorWord>
      <group>L1_Punc</group>
      <groupName>标点问题</groupName>
      <ability>L2_Punc_CN</ability>
      <abilityName>标点符号问题</abilityName>
      <candidateList/>
      <explain>同一形式括号套用。</explain>
      <paraID>  37155F</paraID>
      <start>133</start>
      <end>134</end>
      <status>unmodified</status>
      <modifiedWord/>
      <trackRevisions>false</trackRevisions>
    </reviewItem>
    <reviewItem>
      <errorID>b4e5e292-ac1b-4846-8547-d0fad1424ec5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605D8A4B</paraID>
      <start>5</start>
      <end>10</end>
      <status>unmodified</status>
      <modifiedWord/>
      <trackRevisions>false</trackRevisions>
    </reviewItem>
    <reviewItem>
      <errorID>9532615a-262b-4081-a1ea-73b9f6dc7421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62113381</paraID>
      <start>26</start>
      <end>29</end>
      <status>unmodified</status>
      <modifiedWord/>
      <trackRevisions>false</trackRevisions>
    </reviewItem>
    <reviewItem>
      <errorID>da43c122-d7f5-4548-9451-c032aa665841</errorID>
      <errorWord>,</errorWord>
      <group>L1_Format</group>
      <groupName>格式问题</groupName>
      <ability>L2_HalfPunc_CN</ability>
      <abilityName>全半角问题</abilityName>
      <candidateList>
        <item>，</item>
      </candidateList>
      <explain>文本全半角错误。</explain>
      <paraID> 82FFF99</paraID>
      <start>54</start>
      <end>55</end>
      <status>unmodified</status>
      <modifiedWord/>
      <trackRevisions>false</trackRevisions>
    </reviewItem>
    <reviewItem>
      <errorID>d01e592d-a433-407d-bf40-c5f69aa245ec</errorID>
      <errorWord>,</errorWord>
      <group>L1_Format</group>
      <groupName>格式问题</groupName>
      <ability>L2_HalfPunc_CN</ability>
      <abilityName>全半角问题</abilityName>
      <candidateList>
        <item>，</item>
      </candidateList>
      <explain>文本全半角错误。</explain>
      <paraID>59D0D9F9</paraID>
      <start>54</start>
      <end>55</end>
      <status>unmodified</status>
      <modifiedWord/>
      <trackRevisions>false</trackRevisions>
    </reviewItem>
    <reviewItem>
      <errorID>a356e090-d4a7-4d81-a946-d484004320a9</errorID>
      <errorWord>,</errorWord>
      <group>L1_Format</group>
      <groupName>格式问题</groupName>
      <ability>L2_HalfPunc_CN</ability>
      <abilityName>全半角问题</abilityName>
      <candidateList>
        <item>，</item>
      </candidateList>
      <explain>文本全半角错误。</explain>
      <paraID>59D0D9F9</paraID>
      <start>105</start>
      <end>106</end>
      <status>unmodified</status>
      <modifiedWord/>
      <trackRevisions>false</trackRevisions>
    </reviewItem>
    <reviewItem>
      <errorID>6d2c6eb7-7d1a-4c71-bd34-c220e690e843</errorID>
      <errorWord>,</errorWord>
      <group>L1_Format</group>
      <groupName>格式问题</groupName>
      <ability>L2_HalfPunc_CN</ability>
      <abilityName>全半角问题</abilityName>
      <candidateList>
        <item>，</item>
      </candidateList>
      <explain>文本全半角错误。</explain>
      <paraID>748F6693</paraID>
      <start>54</start>
      <end>55</end>
      <status>unmodified</status>
      <modifiedWord/>
      <trackRevisions>false</trackRevisions>
    </reviewItem>
    <reviewItem>
      <errorID>5c894b40-42ee-4e22-a9f3-ec02c6864fc4</errorID>
      <errorWord>,</errorWord>
      <group>L1_Format</group>
      <groupName>格式问题</groupName>
      <ability>L2_HalfPunc_CN</ability>
      <abilityName>全半角问题</abilityName>
      <candidateList>
        <item>，</item>
      </candidateList>
      <explain>文本全半角错误。</explain>
      <paraID>40B69572</paraID>
      <start>54</start>
      <end>55</end>
      <status>unmodified</status>
      <modifiedWord/>
      <trackRevisions>false</trackRevisions>
    </reviewItem>
    <reviewItem>
      <errorID>6a852422-2ddd-4ad3-ae7d-96d69b76f868</errorID>
      <errorWord>,</errorWord>
      <group>L1_Format</group>
      <groupName>格式问题</groupName>
      <ability>L2_HalfPunc_CN</ability>
      <abilityName>全半角问题</abilityName>
      <candidateList>
        <item>，</item>
      </candidateList>
      <explain>文本全半角错误。</explain>
      <paraID> 253DBF8</paraID>
      <start>29</start>
      <end>30</end>
      <status>unmodified</status>
      <modifiedWord/>
      <trackRevisions>false</trackRevisions>
    </reviewItem>
    <reviewItem>
      <errorID>b6228ba3-052c-4167-907c-247d4f4703fc</errorID>
      <errorWord>,</errorWord>
      <group>L1_Format</group>
      <groupName>格式问题</groupName>
      <ability>L2_HalfPunc_CN</ability>
      <abilityName>全半角问题</abilityName>
      <candidateList>
        <item>，</item>
      </candidateList>
      <explain>文本全半角错误。</explain>
      <paraID> 253DBF8</paraID>
      <start>57</start>
      <end>58</end>
      <status>unmodified</status>
      <modifiedWord/>
      <trackRevisions>false</trackRevisions>
    </reviewItem>
    <reviewItem>
      <errorID>357caf38-f2b5-4242-9eb7-be0d07f35843</errorID>
      <errorWord>,</errorWord>
      <group>L1_Format</group>
      <groupName>格式问题</groupName>
      <ability>L2_HalfPunc_CN</ability>
      <abilityName>全半角问题</abilityName>
      <candidateList>
        <item>，</item>
      </candidateList>
      <explain>文本全半角错误。</explain>
      <paraID>343DA3DE</paraID>
      <start>49</start>
      <end>50</end>
      <status>unmodified</status>
      <modifiedWord/>
      <trackRevisions>false</trackRevisions>
    </reviewItem>
    <reviewItem>
      <errorID>ddc5a36b-d433-4b81-ba31-a106b52a868f</errorID>
      <errorWord>,</errorWord>
      <group>L1_Format</group>
      <groupName>格式问题</groupName>
      <ability>L2_HalfPunc_CN</ability>
      <abilityName>全半角问题</abilityName>
      <candidateList>
        <item>，</item>
      </candidateList>
      <explain>文本全半角错误。</explain>
      <paraID>2064446D</paraID>
      <start>40</start>
      <end>41</end>
      <status>unmodified</status>
      <modifiedWord/>
      <trackRevisions>false</trackRevisions>
    </reviewItem>
    <reviewItem>
      <errorID>91cac325-d710-407e-b2bb-6a01678c65fc</errorID>
      <errorWord>,</errorWord>
      <group>L1_Format</group>
      <groupName>格式问题</groupName>
      <ability>L2_HalfPunc_CN</ability>
      <abilityName>全半角问题</abilityName>
      <candidateList>
        <item>，</item>
      </candidateList>
      <explain>文本全半角错误。</explain>
      <paraID>2064446D</paraID>
      <start>49</start>
      <end>50</end>
      <status>unmodified</status>
      <modifiedWord/>
      <trackRevisions>false</trackRevisions>
    </reviewItem>
    <reviewItem>
      <errorID>3635a847-abda-43a0-954a-3b23ee42d7b6</errorID>
      <errorWord>,</errorWord>
      <group>L1_Format</group>
      <groupName>格式问题</groupName>
      <ability>L2_HalfPunc_CN</ability>
      <abilityName>全半角问题</abilityName>
      <candidateList>
        <item>，</item>
      </candidateList>
      <explain>文本全半角错误。</explain>
      <paraID>7F1D60DA</paraID>
      <start>43</start>
      <end>44</end>
      <status>unmodified</status>
      <modifiedWord/>
      <trackRevisions>false</trackRevisions>
    </reviewItem>
    <reviewItem>
      <errorID>a26e117c-14b6-43b1-ba05-3108b928624c</errorID>
      <errorWord>,</errorWord>
      <group>L1_Format</group>
      <groupName>格式问题</groupName>
      <ability>L2_HalfPunc_CN</ability>
      <abilityName>全半角问题</abilityName>
      <candidateList>
        <item>，</item>
      </candidateList>
      <explain>文本全半角错误。</explain>
      <paraID>7F1D60DA</paraID>
      <start>51</start>
      <end>52</end>
      <status>unmodified</status>
      <modifiedWord/>
      <trackRevisions>false</trackRevisions>
    </reviewItem>
    <reviewItem>
      <errorID>d6c4647b-88eb-48ca-8db7-c1b709d1fee4</errorID>
      <errorWord>(</errorWord>
      <group>L1_Format</group>
      <groupName>格式问题</groupName>
      <ability>L2_HalfPunc_CN</ability>
      <abilityName>全半角问题</abilityName>
      <candidateList>
        <item>（</item>
      </candidateList>
      <explain>文本全半角错误。</explain>
      <paraID>74480EC0</paraID>
      <start>63</start>
      <end>64</end>
      <status>unmodified</status>
      <modifiedWord/>
      <trackRevisions>false</trackRevisions>
    </reviewItem>
    <reviewItem>
      <errorID>412feadc-05c7-465c-9cd0-da17f6097e5e</errorID>
      <errorWord>)</errorWord>
      <group>L1_Format</group>
      <groupName>格式问题</groupName>
      <ability>L2_HalfPunc_CN</ability>
      <abilityName>全半角问题</abilityName>
      <candidateList>
        <item>）</item>
      </candidateList>
      <explain>文本全半角错误。</explain>
      <paraID>74480EC0</paraID>
      <start>67</start>
      <end>68</end>
      <status>unmodified</status>
      <modifiedWord/>
      <trackRevisions>false</trackRevisions>
    </reviewItem>
    <reviewItem>
      <errorID>936b9d27-5e5d-4ed9-b4d1-d7f7ef7a43db</errorID>
      <errorWord>)</errorWord>
      <group>L1_Format</group>
      <groupName>格式问题</groupName>
      <ability>L2_HalfPunc_CN</ability>
      <abilityName>全半角问题</abilityName>
      <candidateList>
        <item>）</item>
      </candidateList>
      <explain>文本全半角错误。</explain>
      <paraID>74480EC0</paraID>
      <start>86</start>
      <end>87</end>
      <status>unmodified</status>
      <modifiedWord/>
      <trackRevisions>false</trackRevisions>
    </reviewItem>
    <reviewItem>
      <errorID>95026555-dbc0-42b0-a8e5-879246bfddc9</errorID>
      <errorWord>(</errorWord>
      <group>L1_Format</group>
      <groupName>格式问题</groupName>
      <ability>L2_HalfPunc_CN</ability>
      <abilityName>全半角问题</abilityName>
      <candidateList>
        <item>（</item>
      </candidateList>
      <explain>文本全半角错误。</explain>
      <paraID>74480EC0</paraID>
      <start>133</start>
      <end>134</end>
      <status>unmodified</status>
      <modifiedWord/>
      <trackRevisions>false</trackRevisions>
    </reviewItem>
    <reviewItem>
      <errorID>4483ec07-9cca-4091-a4d9-1bf4641baf59</errorID>
      <errorWord>)</errorWord>
      <group>L1_Format</group>
      <groupName>格式问题</groupName>
      <ability>L2_HalfPunc_CN</ability>
      <abilityName>全半角问题</abilityName>
      <candidateList>
        <item>）</item>
      </candidateList>
      <explain>文本全半角错误。</explain>
      <paraID>74480EC0</paraID>
      <start>145</start>
      <end>146</end>
      <status>unmodified</status>
      <modifiedWord/>
      <trackRevisions>false</trackRevisions>
    </reviewItem>
    <reviewItem>
      <errorID>92985357-226a-432e-a401-1955af4d9aa9</errorID>
      <errorWord>)</errorWord>
      <group>L1_Format</group>
      <groupName>格式问题</groupName>
      <ability>L2_HalfPunc_CN</ability>
      <abilityName>全半角问题</abilityName>
      <candidateList>
        <item>）</item>
      </candidateList>
      <explain>文本全半角错误。</explain>
      <paraID> 4835E3B</paraID>
      <start>1</start>
      <end>2</end>
      <status>unmodified</status>
      <modifiedWord/>
      <trackRevisions>false</trackRevisions>
    </reviewItem>
    <reviewItem>
      <errorID>f119202d-cd02-4fb1-9bff-19dc13cf5289</errorID>
      <errorWord>)</errorWord>
      <group>L1_Format</group>
      <groupName>格式问题</groupName>
      <ability>L2_HalfPunc_CN</ability>
      <abilityName>全半角问题</abilityName>
      <candidateList>
        <item>）</item>
      </candidateList>
      <explain>文本全半角错误。</explain>
      <paraID>6B1A35E5</paraID>
      <start>111</start>
      <end>112</end>
      <status>unmodified</status>
      <modifiedWord/>
      <trackRevisions>false</trackRevisions>
    </reviewItem>
    <reviewItem>
      <errorID>cdb549f5-02da-4b0f-a580-de5ed0a6d6d3</errorID>
      <errorWord>(</errorWord>
      <group>L1_Format</group>
      <groupName>格式问题</groupName>
      <ability>L2_HalfPunc_CN</ability>
      <abilityName>全半角问题</abilityName>
      <candidateList>
        <item>（</item>
      </candidateList>
      <explain>文本全半角错误。</explain>
      <paraID>6B1A35E5</paraID>
      <start>121</start>
      <end>122</end>
      <status>unmodified</status>
      <modifiedWord/>
      <trackRevisions>false</trackRevisions>
    </reviewItem>
    <reviewItem>
      <errorID>11f87920-49db-4b1e-a4c8-1593596d8544</errorID>
      <errorWord>)</errorWord>
      <group>L1_Format</group>
      <groupName>格式问题</groupName>
      <ability>L2_HalfPunc_CN</ability>
      <abilityName>全半角问题</abilityName>
      <candidateList>
        <item>）</item>
      </candidateList>
      <explain>文本全半角错误。</explain>
      <paraID>6B1A35E5</paraID>
      <start>126</start>
      <end>127</end>
      <status>unmodified</status>
      <modifiedWord/>
      <trackRevisions>false</trackRevisions>
    </reviewItem>
    <reviewItem>
      <errorID>9fbd4755-fe2d-4c8f-bfde-bb90e2fd109d</errorID>
      <errorWord>)</errorWord>
      <group>L1_Format</group>
      <groupName>格式问题</groupName>
      <ability>L2_HalfPunc_CN</ability>
      <abilityName>全半角问题</abilityName>
      <candidateList>
        <item>）</item>
      </candidateList>
      <explain>文本全半角错误。</explain>
      <paraID>6B1A35E5</paraID>
      <start>196</start>
      <end>197</end>
      <status>unmodified</status>
      <modifiedWord/>
      <trackRevisions>false</trackRevisions>
    </reviewItem>
    <reviewItem>
      <errorID>6101afef-ec93-4024-a86f-54647de78e26</errorID>
      <errorWord>（</errorWord>
      <group>L1_Format</group>
      <groupName>格式问题</groupName>
      <ability>L2_HalfPunc_CN</ability>
      <abilityName>全半角问题</abilityName>
      <candidateList>
        <item>(</item>
      </candidateList>
      <explain>文本全半角错误。</explain>
      <paraID>2167822B</paraID>
      <start>0</start>
      <end>1</end>
      <status>unmodified</status>
      <modifiedWord/>
      <trackRevisions>false</trackRevisions>
    </reviewItem>
    <reviewItem>
      <errorID>6b98cc38-9724-40c5-ae1e-7a9555f5e8e3</errorID>
      <errorWord>）</errorWord>
      <group>L1_Format</group>
      <groupName>格式问题</groupName>
      <ability>L2_HalfPunc_CN</ability>
      <abilityName>全半角问题</abilityName>
      <candidateList>
        <item>)</item>
      </candidateList>
      <explain>文本全半角错误。</explain>
      <paraID>2167822B</paraID>
      <start>2</start>
      <end>3</end>
      <status>unmodified</status>
      <modifiedWord/>
      <trackRevisions>false</trackRevisions>
    </reviewItem>
    <reviewItem>
      <errorID>c80dcb94-87e1-4fae-8440-43bb71918fa4</errorID>
      <errorWord>：</errorWord>
      <group>L1_Format</group>
      <groupName>格式问题</groupName>
      <ability>L2_HalfPunc_CN</ability>
      <abilityName>全半角问题</abilityName>
      <candidateList>
        <item>:</item>
      </candidateList>
      <explain>文本全半角错误。</explain>
      <paraID>2167822B</paraID>
      <start>6</start>
      <end>7</end>
      <status>unmodified</status>
      <modifiedWord/>
      <trackRevisions>false</trackRevisions>
    </reviewItem>
    <reviewItem>
      <errorID>68c115ea-bf02-4153-8c2c-05cf1f5334c8</errorID>
      <errorWord>（</errorWord>
      <group>L1_Format</group>
      <groupName>格式问题</groupName>
      <ability>L2_HalfPunc_CN</ability>
      <abilityName>全半角问题</abilityName>
      <candidateList>
        <item>(</item>
      </candidateList>
      <explain>文本全半角错误。</explain>
      <paraID>1503A50D</paraID>
      <start>0</start>
      <end>1</end>
      <status>unmodified</status>
      <modifiedWord/>
      <trackRevisions>false</trackRevisions>
    </reviewItem>
    <reviewItem>
      <errorID>f2a6bbd3-7459-4bfa-8152-5909ff96f2db</errorID>
      <errorWord>）</errorWord>
      <group>L1_Format</group>
      <groupName>格式问题</groupName>
      <ability>L2_HalfPunc_CN</ability>
      <abilityName>全半角问题</abilityName>
      <candidateList>
        <item>)</item>
      </candidateList>
      <explain>文本全半角错误。</explain>
      <paraID>1503A50D</paraID>
      <start>2</start>
      <end>3</end>
      <status>unmodified</status>
      <modifiedWord/>
      <trackRevisions>false</trackRevisions>
    </reviewItem>
    <reviewItem>
      <errorID>9b931f7b-73dd-47c3-8470-35de5202086b</errorID>
      <errorWord>：</errorWord>
      <group>L1_Format</group>
      <groupName>格式问题</groupName>
      <ability>L2_HalfPunc_CN</ability>
      <abilityName>全半角问题</abilityName>
      <candidateList>
        <item>:</item>
      </candidateList>
      <explain>文本全半角错误。</explain>
      <paraID>1503A50D</paraID>
      <start>6</start>
      <end>7</end>
      <status>unmodified</status>
      <modifiedWord/>
      <trackRevisions>false</trackRevisions>
    </reviewItem>
    <reviewItem>
      <errorID>fa297c23-5661-451a-87ec-a3385f870c91</errorID>
      <errorWord>（</errorWord>
      <group>L1_Format</group>
      <groupName>格式问题</groupName>
      <ability>L2_HalfPunc_CN</ability>
      <abilityName>全半角问题</abilityName>
      <candidateList>
        <item>(</item>
      </candidateList>
      <explain>文本全半角错误。</explain>
      <paraID>3C9BC5A7</paraID>
      <start>0</start>
      <end>1</end>
      <status>unmodified</status>
      <modifiedWord/>
      <trackRevisions>false</trackRevisions>
    </reviewItem>
    <reviewItem>
      <errorID>aaa45a39-e617-4617-950d-05a883af3be0</errorID>
      <errorWord>）</errorWord>
      <group>L1_Format</group>
      <groupName>格式问题</groupName>
      <ability>L2_HalfPunc_CN</ability>
      <abilityName>全半角问题</abilityName>
      <candidateList>
        <item>)</item>
      </candidateList>
      <explain>文本全半角错误。</explain>
      <paraID>3C9BC5A7</paraID>
      <start>2</start>
      <end>3</end>
      <status>unmodified</status>
      <modifiedWord/>
      <trackRevisions>false</trackRevisions>
    </reviewItem>
    <reviewItem>
      <errorID>ae5a2457-fe1d-496c-aaeb-868f7487e204</errorID>
      <errorWord>：</errorWord>
      <group>L1_Format</group>
      <groupName>格式问题</groupName>
      <ability>L2_HalfPunc_CN</ability>
      <abilityName>全半角问题</abilityName>
      <candidateList>
        <item>:</item>
      </candidateList>
      <explain>文本全半角错误。</explain>
      <paraID>3C9BC5A7</paraID>
      <start>6</start>
      <end>7</end>
      <status>unmodified</status>
      <modifiedWord/>
      <trackRevisions>false</trackRevisions>
    </reviewItem>
    <reviewItem>
      <errorID>4ea6b98d-3acd-46ae-863e-6b8fbab5217d</errorID>
      <errorWord>基础支撑平台软件是基于</errorWord>
      <group>L1_Grammar</group>
      <groupName>语法问题</groupName>
      <ability>L2_Grammar</ability>
      <abilityName>语法错误</abilityName>
      <candidateList>
        <item>基础支撑平台软件是</item>
      </candidateList>
      <explain>该表达中的“基础支撑平台软件是基于”存在语义重复。</explain>
      <paraID>44FD95B0</paraID>
      <start>4</start>
      <end>15</end>
      <status>unmodified</status>
      <modifiedWord/>
      <trackRevisions>false</trackRevisions>
    </reviewItem>
    <reviewItem>
      <errorID>ce88f605-777f-4386-a30d-1dc92b4e6cab</errorID>
      <errorWord>(</errorWord>
      <group>L1_Format</group>
      <groupName>格式问题</groupName>
      <ability>L2_HalfPunc_CN</ability>
      <abilityName>全半角问题</abilityName>
      <candidateList>
        <item>（</item>
      </candidateList>
      <explain>文本全半角错误。</explain>
      <paraID>387BAAF3</paraID>
      <start>12</start>
      <end>13</end>
      <status>unmodified</status>
      <modifiedWord/>
      <trackRevisions>false</trackRevisions>
    </reviewItem>
    <reviewItem>
      <errorID>25949835-0631-4652-adc6-9c113a5b8b00</errorID>
      <errorWord>)</errorWord>
      <group>L1_Format</group>
      <groupName>格式问题</groupName>
      <ability>L2_HalfPunc_CN</ability>
      <abilityName>全半角问题</abilityName>
      <candidateList>
        <item>）</item>
      </candidateList>
      <explain>文本全半角错误。</explain>
      <paraID>387BAAF3</paraID>
      <start>19</start>
      <end>20</end>
      <status>unmodified</status>
      <modifiedWord/>
      <trackRevisions>false</trackRevisions>
    </reviewItem>
    <reviewItem>
      <errorID>ed201d41-0795-41e3-a734-4f43d66ca85e</errorID>
      <errorWord>-</errorWord>
      <group>L1_Format</group>
      <groupName>格式问题</groupName>
      <ability>L2_HalfPunc_CN</ability>
      <abilityName>全半角问题</abilityName>
      <candidateList>
        <item>－</item>
      </candidateList>
      <explain>文本全半角错误。</explain>
      <paraID>1E0F6114</paraID>
      <start>4</start>
      <end>5</end>
      <status>unmodified</status>
      <modifiedWord/>
      <trackRevisions>false</trackRevisions>
    </reviewItem>
    <reviewItem>
      <errorID>0c6a48b3-8a5e-4d6c-8d38-29094c8ab840</errorID>
      <errorWord>-</errorWord>
      <group>L1_Format</group>
      <groupName>格式问题</groupName>
      <ability>L2_HalfPunc_CN</ability>
      <abilityName>全半角问题</abilityName>
      <candidateList>
        <item>－</item>
      </candidateList>
      <explain>文本全半角错误。</explain>
      <paraID>79282F20</paraID>
      <start>2</start>
      <end>3</end>
      <status>unmodified</status>
      <modifiedWord/>
      <trackRevisions>false</trackRevisions>
    </reviewItem>
    <reviewItem>
      <errorID>a4c84f6c-a5c5-4b23-aac1-e91a6251d11c</errorID>
      <errorWord>(</errorWord>
      <group>L1_Format</group>
      <groupName>格式问题</groupName>
      <ability>L2_HalfPunc_CN</ability>
      <abilityName>全半角问题</abilityName>
      <candidateList>
        <item>（</item>
      </candidateList>
      <explain>文本全半角错误。</explain>
      <paraID>7E11A5B6</paraID>
      <start>10</start>
      <end>11</end>
      <status>unmodified</status>
      <modifiedWord/>
      <trackRevisions>false</trackRevisions>
    </reviewItem>
    <reviewItem>
      <errorID>a547a450-7793-4a4a-8ddd-e183af1db0c0</errorID>
      <errorWord>)</errorWord>
      <group>L1_Format</group>
      <groupName>格式问题</groupName>
      <ability>L2_HalfPunc_CN</ability>
      <abilityName>全半角问题</abilityName>
      <candidateList>
        <item>）</item>
      </candidateList>
      <explain>文本全半角错误。</explain>
      <paraID>7E11A5B6</paraID>
      <start>14</start>
      <end>15</end>
      <status>unmodified</status>
      <modifiedWord/>
      <trackRevisions>false</trackRevisions>
    </reviewItem>
    <reviewItem>
      <errorID>eb67bed6-3abb-4fec-829c-2d1e9a2c3b8f</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4A8E929D</paraID>
      <start>98</start>
      <end>105</end>
      <status>unmodified</status>
      <modifiedWord/>
      <trackRevisions>false</trackRevisions>
    </reviewItem>
    <reviewItem>
      <errorID>ecb08e6f-b4ff-4b89-9614-2a8bf503afd4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79A3D334</paraID>
      <start>0</start>
      <end>2</end>
      <status>unmodified</status>
      <modifiedWord/>
      <trackRevisions>false</trackRevisions>
    </reviewItem>
    <reviewItem>
      <errorID>cd4ab7db-982f-40a8-a3b9-288b29478df8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1433E87B</paraID>
      <start>0</start>
      <end>2</end>
      <status>unmodified</status>
      <modifiedWord/>
      <trackRevisions>false</trackRevisions>
    </reviewItem>
    <reviewItem>
      <errorID>87a86a55-9b65-4e5c-8bc2-a793ab0f5b87</errorID>
      <errorWord>,</errorWord>
      <group>L1_Format</group>
      <groupName>格式问题</groupName>
      <ability>L2_HalfPunc_CN</ability>
      <abilityName>全半角问题</abilityName>
      <candidateList>
        <item>，</item>
      </candidateList>
      <explain>文本全半角错误。</explain>
      <paraID>1EAB1032</paraID>
      <start>35</start>
      <end>36</end>
      <status>unmodified</status>
      <modifiedWord/>
      <trackRevisions>false</trackRevisions>
    </reviewItem>
    <reviewItem>
      <errorID>26e1be41-f8f7-4184-a933-285efcd269ba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B28E3B4</paraID>
      <start>0</start>
      <end>2</end>
      <status>unmodified</status>
      <modifiedWord/>
      <trackRevisions>false</trackRevisions>
    </reviewItem>
    <reviewItem>
      <errorID>62b1c0f5-f4f5-45f4-9241-d733adb5bde1</errorID>
      <errorWord>响应响应</errorWord>
      <group>L1_Word</group>
      <groupName>字词问题</groupName>
      <ability>L2_Typo</ability>
      <abilityName>字词错误</abilityName>
      <candidateList>
        <item>响应</item>
      </candidateList>
      <explain/>
      <paraID>2FD5A79F</paraID>
      <start>6</start>
      <end>10</end>
      <status>unmodified</status>
      <modifiedWord/>
      <trackRevisions>false</trackRevisions>
    </reviewItem>
    <reviewItem>
      <errorID>5c7a7bae-7d1f-41c9-a278-99c6f2cb0f60</errorID>
      <errorWord>(</errorWord>
      <group>L1_Format</group>
      <groupName>格式问题</groupName>
      <ability>L2_HalfPunc_CN</ability>
      <abilityName>全半角问题</abilityName>
      <candidateList>
        <item>（</item>
      </candidateList>
      <explain>文本全半角错误。</explain>
      <paraID>63D2803D</paraID>
      <start>4</start>
      <end>5</end>
      <status>unmodified</status>
      <modifiedWord/>
      <trackRevisions>false</trackRevisions>
    </reviewItem>
    <reviewItem>
      <errorID>a5559f22-f842-4ac4-ae0d-52352f0b2262</errorID>
      <errorWord>)</errorWord>
      <group>L1_Format</group>
      <groupName>格式问题</groupName>
      <ability>L2_HalfPunc_CN</ability>
      <abilityName>全半角问题</abilityName>
      <candidateList>
        <item>）</item>
      </candidateList>
      <explain>文本全半角错误。</explain>
      <paraID>63D2803D</paraID>
      <start>8</start>
      <end>9</end>
      <status>unmodified</status>
      <modifiedWord/>
      <trackRevisions>false</trackRevisions>
    </reviewItem>
    <reviewItem>
      <errorID>57b79a0a-2a06-4eb0-9932-ce2dc86a6dd5</errorID>
      <errorWord>(</errorWord>
      <group>L1_Format</group>
      <groupName>格式问题</groupName>
      <ability>L2_HalfPunc_CN</ability>
      <abilityName>全半角问题</abilityName>
      <candidateList>
        <item>（</item>
      </candidateList>
      <explain>文本全半角错误。</explain>
      <paraID>7AA1EEC9</paraID>
      <start>4</start>
      <end>5</end>
      <status>unmodified</status>
      <modifiedWord/>
      <trackRevisions>false</trackRevisions>
    </reviewItem>
    <reviewItem>
      <errorID>02b5ff01-d2dd-422a-8efb-28c84df631ff</errorID>
      <errorWord>)</errorWord>
      <group>L1_Format</group>
      <groupName>格式问题</groupName>
      <ability>L2_HalfPunc_CN</ability>
      <abilityName>全半角问题</abilityName>
      <candidateList>
        <item>）</item>
      </candidateList>
      <explain>文本全半角错误。</explain>
      <paraID>7AA1EEC9</paraID>
      <start>8</start>
      <end>9</end>
      <status>unmodified</status>
      <modifiedWord/>
      <trackRevisions>false</trackRevisions>
    </reviewItem>
    <reviewItem>
      <errorID>c07645fd-f72c-4d7a-b92b-94d01ee8fcfd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27E945A3</paraID>
      <start>0</start>
      <end>3</end>
      <status>unmodified</status>
      <modifiedWord/>
      <trackRevisions>false</trackRevisions>
    </reviewItem>
    <reviewItem>
      <errorID>a7eceee2-81c6-4ef9-bd1a-c7cd1d8fc576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5B79506</paraID>
      <start>0</start>
      <end>3</end>
      <status>unmodified</status>
      <modifiedWord/>
      <trackRevisions>false</trackRevisions>
    </reviewItem>
    <reviewItem>
      <errorID>99c2a373-1581-473d-89a1-e508246ed4f9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6FDF7E30</paraID>
      <start>0</start>
      <end>3</end>
      <status>unmodified</status>
      <modifiedWord/>
      <trackRevisions>false</trackRevisions>
    </reviewItem>
    <reviewItem>
      <errorID>43407244-1e3d-4004-989a-7ab8d18d1b53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27ED1586</paraID>
      <start>0</start>
      <end>3</end>
      <status>unmodified</status>
      <modifiedWord/>
      <trackRevisions>false</trackRevisions>
    </reviewItem>
    <reviewItem>
      <errorID>84a7e554-ef42-4f49-a587-b743778122e5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6AB2C7DE</paraID>
      <start>0</start>
      <end>3</end>
      <status>unmodified</status>
      <modifiedWord/>
      <trackRevisions>false</trackRevisions>
    </reviewItem>
    <reviewItem>
      <errorID>81f0454b-a31f-400e-8a08-b3537e4b2674</errorID>
      <errorWord>(</errorWord>
      <group>L1_Format</group>
      <groupName>格式问题</groupName>
      <ability>L2_HalfPunc_CN</ability>
      <abilityName>全半角问题</abilityName>
      <candidateList>
        <item>（</item>
      </candidateList>
      <explain>文本全半角错误。</explain>
      <paraID> E13C8D4</paraID>
      <start>40</start>
      <end>41</end>
      <status>unmodified</status>
      <modifiedWord/>
      <trackRevisions>false</trackRevisions>
    </reviewItem>
    <reviewItem>
      <errorID>5e9e34cb-bc79-49fa-bba2-0771c198e9fa</errorID>
      <errorWord>)</errorWord>
      <group>L1_Format</group>
      <groupName>格式问题</groupName>
      <ability>L2_HalfPunc_CN</ability>
      <abilityName>全半角问题</abilityName>
      <candidateList>
        <item>）</item>
      </candidateList>
      <explain>文本全半角错误。</explain>
      <paraID> E13C8D4</paraID>
      <start>43</start>
      <end>44</end>
      <status>unmodified</status>
      <modifiedWord/>
      <trackRevisions>false</trackRevisions>
    </reviewItem>
    <reviewItem>
      <errorID>8af0ea90-849f-4372-8fa2-826c9602a1a2</errorID>
      <errorWord>,</errorWord>
      <group>L1_Format</group>
      <groupName>格式问题</groupName>
      <ability>L2_HalfPunc_CN</ability>
      <abilityName>全半角问题</abilityName>
      <candidateList>
        <item>，</item>
      </candidateList>
      <explain>文本全半角错误。</explain>
      <paraID>6984C657</paraID>
      <start>34</start>
      <end>35</end>
      <status>unmodified</status>
      <modifiedWord/>
      <trackRevisions>false</trackRevisions>
    </reviewItem>
    <reviewItem>
      <errorID>91347c6d-270a-4acf-9e8f-f5efea57cf1a</errorID>
      <errorWord>间</errorWord>
      <group>L1_Word</group>
      <groupName>字词问题</groupName>
      <ability>L2_Typo</ability>
      <abilityName>字词错误</abilityName>
      <candidateList>
        <item>间内</item>
      </candidateList>
      <explain/>
      <paraID>6984C657</paraID>
      <start>47</start>
      <end>48</end>
      <status>unmodified</status>
      <modifiedWord/>
      <trackRevisions>false</trackRevisions>
    </reviewItem>
    <reviewItem>
      <errorID>cef643f5-a252-4f6b-ad7b-71a2592f1b7c</errorID>
      <errorWord>(</errorWord>
      <group>L1_Format</group>
      <groupName>格式问题</groupName>
      <ability>L2_HalfPunc_CN</ability>
      <abilityName>全半角问题</abilityName>
      <candidateList>
        <item>（</item>
      </candidateList>
      <explain>文本全半角错误。</explain>
      <paraID>26FF5AF8</paraID>
      <start>2</start>
      <end>3</end>
      <status>unmodified</status>
      <modifiedWord/>
      <trackRevisions>false</trackRevisions>
    </reviewItem>
    <reviewItem>
      <errorID>4c97877a-0f15-49ba-a4d7-4610cb8fe304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7A83BDEB</paraID>
      <start>0</start>
      <end>2</end>
      <status>unmodified</status>
      <modifiedWord/>
      <trackRevisions>false</trackRevisions>
    </reviewItem>
    <reviewItem>
      <errorID>c80df8ce-6753-43c8-89b6-136655027711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6013FB85</paraID>
      <start>108</start>
      <end>113</end>
      <status>unmodified</status>
      <modifiedWord/>
      <trackRevisions>false</trackRevisions>
    </reviewItem>
    <reviewItem>
      <errorID>922c5623-4f18-4277-a55a-5fbafa3ef7bc</errorID>
      <errorWord>；</errorWord>
      <group>L1_Word</group>
      <groupName>字词问题</groupName>
      <ability>L2_Typo</ability>
      <abilityName>字词错误</abilityName>
      <candidateList>
        <item>；具</item>
      </candidateList>
      <explain/>
      <paraID>6013FB85</paraID>
      <start>161</start>
      <end>162</end>
      <status>unmodified</status>
      <modifiedWord/>
      <trackRevisions>false</trackRevisions>
    </reviewItem>
    <reviewItem>
      <errorID>fd0449f5-6d96-4589-b5eb-64da76e2d792</errorID>
      <errorWord>，</errorWord>
      <group>L1_Word</group>
      <groupName>字词问题</groupName>
      <ability>L2_Typo</ability>
      <abilityName>字词错误</abilityName>
      <candidateList>
        <item>，自</item>
      </candidateList>
      <explain/>
      <paraID>6013FB85</paraID>
      <start>266</start>
      <end>267</end>
      <status>unmodified</status>
      <modifiedWord/>
      <trackRevisions>false</trackRevisions>
    </reviewItem>
    <reviewItem>
      <errorID>9f1e6bc1-0f1a-43d9-9b30-4c2da08b6fc2</errorID>
      <errorWord>，</errorWord>
      <group>L1_Word</group>
      <groupName>字词问题</groupName>
      <ability>L2_Typo</ability>
      <abilityName>字词错误</abilityName>
      <candidateList>
        <item>，并</item>
      </candidateList>
      <explain/>
      <paraID>6013FB85</paraID>
      <start>276</start>
      <end>277</end>
      <status>unmodified</status>
      <modifiedWord/>
      <trackRevisions>false</trackRevisions>
    </reviewItem>
    <reviewItem>
      <errorID>92c3f073-c18c-40e5-a5a5-ddad2a9d6514</errorID>
      <errorWord>(</errorWord>
      <group>L1_Format</group>
      <groupName>格式问题</groupName>
      <ability>L2_HalfPunc_CN</ability>
      <abilityName>全半角问题</abilityName>
      <candidateList>
        <item>（</item>
      </candidateList>
      <explain>文本全半角错误。</explain>
      <paraID>5C8333D5</paraID>
      <start>33</start>
      <end>34</end>
      <status>unmodified</status>
      <modifiedWord/>
      <trackRevisions>false</trackRevisions>
    </reviewItem>
    <reviewItem>
      <errorID>2d234f54-53c8-40af-b757-ba2127a67a39</errorID>
      <errorWord>)</errorWord>
      <group>L1_Format</group>
      <groupName>格式问题</groupName>
      <ability>L2_HalfPunc_CN</ability>
      <abilityName>全半角问题</abilityName>
      <candidateList>
        <item>）</item>
      </candidateList>
      <explain>文本全半角错误。</explain>
      <paraID>5C8333D5</paraID>
      <start>45</start>
      <end>46</end>
      <status>unmodified</status>
      <modifiedWord/>
      <trackRevisions>false</trackRevisions>
    </reviewItem>
    <reviewItem>
      <errorID>5ac6f799-574d-4ab7-928b-8828e05603e5</errorID>
      <errorWord>(</errorWord>
      <group>L1_Format</group>
      <groupName>格式问题</groupName>
      <ability>L2_HalfPunc_CN</ability>
      <abilityName>全半角问题</abilityName>
      <candidateList>
        <item>（</item>
      </candidateList>
      <explain>文本全半角错误。</explain>
      <paraID>5C8333D5</paraID>
      <start>204</start>
      <end>205</end>
      <status>unmodified</status>
      <modifiedWord/>
      <trackRevisions>false</trackRevisions>
    </reviewItem>
    <reviewItem>
      <errorID>adcd1858-0565-4bbc-bc39-13294ff8b536</errorID>
      <errorWord>)</errorWord>
      <group>L1_Format</group>
      <groupName>格式问题</groupName>
      <ability>L2_HalfPunc_CN</ability>
      <abilityName>全半角问题</abilityName>
      <candidateList>
        <item>）</item>
      </candidateList>
      <explain>文本全半角错误。</explain>
      <paraID>5C8333D5</paraID>
      <start>221</start>
      <end>222</end>
      <status>unmodified</status>
      <modifiedWord/>
      <trackRevisions>false</trackRevisions>
    </reviewItem>
    <reviewItem>
      <errorID>205e805b-772a-4ffb-ad1b-c45095cf6f56</errorID>
      <errorWord>(</errorWord>
      <group>L1_Format</group>
      <groupName>格式问题</groupName>
      <ability>L2_HalfPunc_CN</ability>
      <abilityName>全半角问题</abilityName>
      <candidateList>
        <item>（</item>
      </candidateList>
      <explain>文本全半角错误。</explain>
      <paraID>404A3439</paraID>
      <start>19</start>
      <end>20</end>
      <status>unmodified</status>
      <modifiedWord/>
      <trackRevisions>false</trackRevisions>
    </reviewItem>
    <reviewItem>
      <errorID>97eabfd5-7b53-4120-97c4-651bc604c87c</errorID>
      <errorWord>)</errorWord>
      <group>L1_Format</group>
      <groupName>格式问题</groupName>
      <ability>L2_HalfPunc_CN</ability>
      <abilityName>全半角问题</abilityName>
      <candidateList>
        <item>）</item>
      </candidateList>
      <explain>文本全半角错误。</explain>
      <paraID>404A3439</paraID>
      <start>29</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20114-E419-4DCB-899A-76EB82F46BED}"/>
</file>

<file path=customXml/itemProps2.xml><?xml version="1.0" encoding="utf-8"?>
<ds:datastoreItem xmlns:ds="http://schemas.openxmlformats.org/officeDocument/2006/customXml" ds:itemID="{18C88067-0D45-4B50-9548-D0C8496510CD}"/>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通建</cp:lastModifiedBy>
  <cp:revision>11</cp:revision>
  <dcterms:created xsi:type="dcterms:W3CDTF">2023-03-29T07:28:00Z</dcterms:created>
  <dcterms:modified xsi:type="dcterms:W3CDTF">2026-10-28T09:32:04Z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B8C4019741AF4B16AF9A2DC9FCC4B55E_13</vt:lpwstr>
  </property>
  <property fmtid="{D5CDD505-2E9C-101B-9397-08002B2CF9AE}" pid="4" name="KSOTemplateDocerSaveRecord">
    <vt:lpwstr>eyJoZGlkIjoiMjQ4MzE4YTc1MGZhMGM1OTE1ZjgzNjJiZGYxZmE2YzIiLCJ1c2VySWQiOiIxNzcwNDY3OTkzIn0=</vt:lpwstr>
  </property>
</Properties>
</file>