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0"/>
        <w:rPr>
          <w:rFonts w:eastAsia="黑体"/>
          <w:b/>
          <w:bCs/>
          <w:sz w:val="84"/>
        </w:rPr>
      </w:pPr>
      <w:r>
        <w:rPr>
          <w:rFonts w:hint="eastAsia" w:eastAsia="黑体"/>
          <w:b/>
          <w:bCs/>
          <w:sz w:val="84"/>
        </w:rPr>
        <w:t xml:space="preserve"> </w:t>
      </w:r>
      <w:r/>
    </w:p>
    <w:p>
      <w:pPr>
        <w:pStyle w:val="837"/>
        <w:ind w:firstLine="0"/>
        <w:jc w:val="center"/>
        <w:rPr>
          <w:rFonts w:eastAsia="黑体"/>
          <w:b/>
          <w:bCs/>
          <w:sz w:val="84"/>
        </w:rPr>
      </w:pPr>
      <w:r>
        <w:rPr>
          <w:rFonts w:hint="eastAsia" w:eastAsia="黑体"/>
          <w:b/>
          <w:bCs/>
          <w:sz w:val="84"/>
        </w:rPr>
        <w:t xml:space="preserve">招　标　文　件</w:t>
      </w:r>
      <w:r/>
    </w:p>
    <w:p>
      <w:pPr>
        <w:pStyle w:val="837"/>
        <w:ind w:firstLine="0"/>
        <w:rPr>
          <w:b/>
          <w:bCs/>
          <w:sz w:val="32"/>
        </w:rPr>
      </w:pPr>
      <w:r>
        <w:rPr>
          <w:b/>
          <w:bCs/>
          <w:sz w:val="32"/>
        </w:rPr>
      </w:r>
      <w:r/>
    </w:p>
    <w:p>
      <w:pPr>
        <w:pStyle w:val="837"/>
        <w:ind w:firstLine="0"/>
        <w:jc w:val="center"/>
        <w:rPr>
          <w:b/>
          <w:bCs/>
          <w:sz w:val="32"/>
        </w:rPr>
      </w:pPr>
      <w:r>
        <w:rPr>
          <w:rFonts w:hint="eastAsia"/>
          <w:b/>
          <w:bCs/>
          <w:sz w:val="32"/>
        </w:rPr>
        <w:t xml:space="preserve">项目名称：省住房城乡建设厅综合服务平台升级改造（2026）项目</w:t>
      </w:r>
      <w:r/>
    </w:p>
    <w:p>
      <w:pPr>
        <w:jc w:val="center"/>
        <w:rPr>
          <w:b/>
          <w:sz w:val="30"/>
          <w:szCs w:val="30"/>
        </w:rPr>
      </w:pPr>
      <w:r>
        <w:rPr>
          <w:rFonts w:hint="eastAsia"/>
          <w:b/>
          <w:bCs/>
          <w:sz w:val="32"/>
        </w:rPr>
        <w:t xml:space="preserve">采购编号：</w:t>
      </w:r>
      <w:r>
        <w:rPr>
          <w:rFonts w:ascii="Arial" w:hAnsi="Arial"/>
          <w:b/>
          <w:bCs/>
          <w:sz w:val="32"/>
          <w:szCs w:val="24"/>
        </w:rPr>
        <w:t xml:space="preserve">JSZC-320000-SCZX-G2026-0524</w:t>
      </w:r>
      <w:r/>
    </w:p>
    <w:p>
      <w:pPr>
        <w:ind w:left="2811" w:hanging="2811"/>
        <w:jc w:val="center"/>
        <w:rPr>
          <w:b/>
          <w:sz w:val="28"/>
          <w:szCs w:val="28"/>
        </w:rPr>
      </w:pPr>
      <w:r>
        <w:rPr>
          <w:b/>
          <w:sz w:val="28"/>
          <w:szCs w:val="28"/>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spacing w:before="0" w:after="0"/>
        <w:rPr>
          <w:rFonts w:hint="eastAsia" w:ascii="宋体" w:hAnsi="宋体"/>
        </w:rPr>
      </w:pPr>
      <w:r>
        <w:rPr>
          <w:rFonts w:hint="eastAsia" w:ascii="宋体" w:hAnsi="宋体"/>
        </w:rPr>
      </w:r>
      <w:r/>
    </w:p>
    <w:p>
      <w:pPr>
        <w:pStyle w:val="837"/>
        <w:ind w:firstLine="0"/>
        <w:jc w:val="center"/>
        <w:rPr>
          <w:b/>
          <w:bCs/>
          <w:sz w:val="32"/>
        </w:rPr>
      </w:pPr>
      <w:r>
        <w:rPr>
          <w:rFonts w:hint="eastAsia"/>
          <w:b/>
          <w:bCs/>
          <w:sz w:val="32"/>
        </w:rPr>
        <w:t xml:space="preserve">江苏省政府采购中心</w:t>
      </w:r>
      <w:r/>
    </w:p>
    <w:p>
      <w:pPr>
        <w:pStyle w:val="837"/>
        <w:ind w:firstLine="0"/>
        <w:jc w:val="center"/>
        <w:rPr>
          <w:b/>
          <w:bCs/>
          <w:sz w:val="32"/>
        </w:rPr>
      </w:pPr>
      <w:r>
        <w:rPr>
          <w:rFonts w:hint="eastAsia"/>
          <w:b/>
          <w:bCs/>
          <w:sz w:val="32"/>
        </w:rPr>
        <w:t xml:space="preserve">2026年</w:t>
      </w:r>
      <w:r>
        <w:rPr>
          <w:b/>
          <w:bCs/>
          <w:sz w:val="32"/>
        </w:rPr>
        <w:t xml:space="preserve">10</w:t>
      </w:r>
      <w:r>
        <w:rPr>
          <w:rFonts w:hint="eastAsia"/>
          <w:b/>
          <w:bCs/>
          <w:sz w:val="32"/>
        </w:rPr>
        <w:t xml:space="preserve">月</w:t>
      </w:r>
      <w:r/>
    </w:p>
    <w:p>
      <w:pPr>
        <w:pStyle w:val="837"/>
        <w:ind w:firstLine="0"/>
        <w:rPr>
          <w:u w:val="single"/>
        </w:rPr>
      </w:pPr>
      <w:r>
        <w:rPr>
          <w:rFonts w:hint="eastAsia"/>
        </w:rPr>
        <w:t xml:space="preserve">                        </w:t>
      </w:r>
      <w:r/>
    </w:p>
    <w:p>
      <w:pPr>
        <w:pStyle w:val="83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bookmarkStart w:id="6" w:name="_Toc6322"/>
      <w:r>
        <w:rPr>
          <w:rFonts w:hint="eastAsia" w:ascii="黑体" w:hAnsi="Arial" w:eastAsia="黑体"/>
          <w:b/>
          <w:sz w:val="44"/>
        </w:rPr>
        <w:t xml:space="preserve">总  目  录</w:t>
      </w:r>
      <w:bookmarkEnd w:id="6"/>
      <w:r/>
      <w:r/>
    </w:p>
    <w:p>
      <w:pPr>
        <w:pStyle w:val="700"/>
        <w:tabs>
          <w:tab w:val="right" w:pos="8953" w:leader="dot"/>
        </w:tabs>
      </w:pPr>
      <w:r/>
      <w:bookmarkStart w:id="211" w:name="_GoBack"/>
      <w:r/>
      <w:bookmarkEnd w:id="211"/>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rPr>
        <w:t xml:space="preserve">总  目  录</w:t>
      </w:r>
      <w:r>
        <w:tab/>
      </w:r>
      <w:r>
        <w:fldChar w:fldCharType="begin"/>
      </w:r>
      <w:r>
        <w:instrText xml:space="preserve"> PAGEREF _Toc6322 \h </w:instrText>
      </w:r>
      <w:r>
        <w:fldChar w:fldCharType="separate"/>
      </w:r>
      <w:r>
        <w:t xml:space="preserve">2</w:t>
      </w:r>
      <w:r>
        <w:fldChar w:fldCharType="end"/>
      </w:r>
      <w:r/>
    </w:p>
    <w:p>
      <w:pPr>
        <w:pStyle w:val="700"/>
        <w:tabs>
          <w:tab w:val="right" w:pos="8953" w:leader="dot"/>
        </w:tabs>
      </w:pPr>
      <w:r>
        <w:rPr>
          <w:rFonts w:hint="eastAsia" w:ascii="黑体" w:eastAsia="黑体"/>
          <w:szCs w:val="44"/>
        </w:rPr>
        <w:t xml:space="preserve">第一章  投标邀请</w:t>
      </w:r>
      <w:r>
        <w:tab/>
      </w:r>
      <w:r>
        <w:fldChar w:fldCharType="begin"/>
      </w:r>
      <w:r>
        <w:instrText xml:space="preserve"> PAGEREF _Toc4891 \h </w:instrText>
      </w:r>
      <w:r>
        <w:fldChar w:fldCharType="separate"/>
      </w:r>
      <w:r>
        <w:t xml:space="preserve">3</w:t>
      </w:r>
      <w:r>
        <w:fldChar w:fldCharType="end"/>
      </w:r>
      <w:r/>
    </w:p>
    <w:p>
      <w:pPr>
        <w:pStyle w:val="700"/>
        <w:tabs>
          <w:tab w:val="right" w:pos="8953" w:leader="dot"/>
        </w:tabs>
      </w:pPr>
      <w:r>
        <w:rPr>
          <w:rFonts w:hint="eastAsia" w:ascii="黑体" w:eastAsia="黑体"/>
          <w:szCs w:val="44"/>
        </w:rPr>
        <w:t xml:space="preserve">第二章  投标人须知</w:t>
      </w:r>
      <w:r>
        <w:tab/>
      </w:r>
      <w:r>
        <w:fldChar w:fldCharType="begin"/>
      </w:r>
      <w:r>
        <w:instrText xml:space="preserve"> PAGEREF _Toc4197 \h </w:instrText>
      </w:r>
      <w:r>
        <w:fldChar w:fldCharType="separate"/>
      </w:r>
      <w:r>
        <w:t xml:space="preserve">6</w:t>
      </w:r>
      <w:r>
        <w:fldChar w:fldCharType="end"/>
      </w:r>
      <w:r/>
    </w:p>
    <w:p>
      <w:pPr>
        <w:pStyle w:val="700"/>
        <w:tabs>
          <w:tab w:val="right" w:pos="8953" w:leader="dot"/>
        </w:tabs>
      </w:pPr>
      <w:r>
        <w:rPr>
          <w:rFonts w:hint="eastAsia" w:ascii="黑体" w:eastAsia="黑体"/>
          <w:szCs w:val="44"/>
        </w:rPr>
        <w:t xml:space="preserve">第三章  合同文本</w:t>
      </w:r>
      <w:r>
        <w:tab/>
      </w:r>
      <w:r>
        <w:fldChar w:fldCharType="begin"/>
      </w:r>
      <w:r>
        <w:instrText xml:space="preserve"> PAGEREF _Toc13347 \h </w:instrText>
      </w:r>
      <w:r>
        <w:fldChar w:fldCharType="separate"/>
      </w:r>
      <w:r>
        <w:t xml:space="preserve">16</w:t>
      </w:r>
      <w:r>
        <w:fldChar w:fldCharType="end"/>
      </w:r>
      <w:r/>
    </w:p>
    <w:p>
      <w:pPr>
        <w:pStyle w:val="700"/>
        <w:tabs>
          <w:tab w:val="right" w:pos="8953" w:leader="dot"/>
        </w:tabs>
      </w:pPr>
      <w:r>
        <w:rPr>
          <w:rFonts w:ascii="黑体" w:eastAsia="黑体"/>
          <w:bCs/>
        </w:rPr>
        <w:t xml:space="preserve">第四章 采购需求</w:t>
      </w:r>
      <w:r>
        <w:tab/>
      </w:r>
      <w:r>
        <w:fldChar w:fldCharType="begin"/>
      </w:r>
      <w:r>
        <w:instrText xml:space="preserve"> PAGEREF _Toc4740 \h </w:instrText>
      </w:r>
      <w:r>
        <w:fldChar w:fldCharType="separate"/>
      </w:r>
      <w:r>
        <w:t xml:space="preserve">23</w:t>
      </w:r>
      <w:r>
        <w:fldChar w:fldCharType="end"/>
      </w:r>
      <w:r/>
    </w:p>
    <w:p>
      <w:pPr>
        <w:pStyle w:val="700"/>
        <w:tabs>
          <w:tab w:val="right" w:pos="8953" w:leader="dot"/>
        </w:tabs>
      </w:pPr>
      <w:r>
        <w:rPr>
          <w:rFonts w:hint="eastAsia" w:ascii="黑体" w:eastAsia="黑体"/>
          <w:bCs/>
        </w:rPr>
        <w:t xml:space="preserve">第五章  评标方法与评标标准</w:t>
      </w:r>
      <w:r>
        <w:tab/>
      </w:r>
      <w:r>
        <w:fldChar w:fldCharType="begin"/>
      </w:r>
      <w:r>
        <w:instrText xml:space="preserve"> PAGEREF _Toc1344 \h </w:instrText>
      </w:r>
      <w:r>
        <w:fldChar w:fldCharType="separate"/>
      </w:r>
      <w:r>
        <w:t xml:space="preserve">57</w:t>
      </w:r>
      <w:r>
        <w:fldChar w:fldCharType="end"/>
      </w:r>
      <w:r/>
    </w:p>
    <w:p>
      <w:pPr>
        <w:pStyle w:val="700"/>
        <w:tabs>
          <w:tab w:val="right" w:pos="8953" w:leader="dot"/>
        </w:tabs>
      </w:pPr>
      <w:r>
        <w:rPr>
          <w:rFonts w:hint="eastAsia" w:ascii="黑体" w:eastAsia="黑体"/>
          <w:bCs/>
        </w:rPr>
        <w:t xml:space="preserve">第六章  投标文件格式</w:t>
      </w:r>
      <w:r>
        <w:tab/>
      </w:r>
      <w:r>
        <w:fldChar w:fldCharType="begin"/>
      </w:r>
      <w:r>
        <w:instrText xml:space="preserve"> PAGEREF _Toc863 \h </w:instrText>
      </w:r>
      <w:r>
        <w:fldChar w:fldCharType="separate"/>
      </w:r>
      <w:r>
        <w:t xml:space="preserve">66</w:t>
      </w:r>
      <w: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669"/>
        <w:rPr>
          <w:rFonts w:ascii="黑体" w:eastAsia="黑体"/>
          <w:bCs/>
          <w:sz w:val="44"/>
          <w:szCs w:val="44"/>
        </w:rPr>
      </w:pPr>
      <w:r/>
      <w:bookmarkStart w:id="7" w:name="_Toc489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受江苏省住房和城乡建设厅委托，江苏省政府采购中心就省住房城乡建设厅综合服务平台升级改造（2026）项目(JSZC-320000-SCZX-G2026-0524)项目进行公开招标采购，欢迎符合条件的供应商投标。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省住房城乡建设厅综合服务平台升级改造（2026）项目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年11月6日09点30分（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671"/>
        <w:ind w:firstLine="498"/>
        <w:spacing w:before="145" w:after="145" w:line="400" w:lineRule="exact"/>
      </w:pPr>
      <w:r/>
      <w:bookmarkStart w:id="8" w:name="_Toc35393621"/>
      <w:r/>
      <w:bookmarkStart w:id="9" w:name="_Toc35393790"/>
      <w:r/>
      <w:bookmarkStart w:id="10" w:name="_Toc38985263"/>
      <w:r/>
      <w:bookmarkStart w:id="11" w:name="_Toc28359002"/>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1.采购编号：JSZC-320000-SCZX-G2026-0524</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省住房城乡建设厅综合服务平台升级改造（2026）项目</w:t>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Style w:val="67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lang w:eastAsia="en-US"/>
              </w:rPr>
            </w:pPr>
            <w:r>
              <w:rPr>
                <w:rFonts w:ascii="宋体" w:hAnsi="宋体"/>
                <w:lang w:eastAsia="en-US"/>
              </w:rPr>
              <w:t xml:space="preserve">799.35</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Style w:val="67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681.26</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ascii="宋体" w:hAnsi="宋体" w:cs="宋体"/>
          <w:sz w:val="24"/>
          <w:szCs w:val="24"/>
        </w:rPr>
        <w:t xml:space="preserve">本项目以数字化赋能住房城乡建设审批改革为</w:t>
      </w:r>
      <w:r>
        <w:rPr>
          <w:rFonts w:ascii="宋体" w:hAnsi="宋体" w:cs="宋体"/>
          <w:sz w:val="24"/>
          <w:szCs w:val="24"/>
        </w:rPr>
        <w:t xml:space="preserve">主线，围绕“统一平台、规范流程、智能高效、公开透明、安全可靠”总体目标，构建全省一体化行政审批及动态监管体系，全面提升住房城乡建设领域治理能力和政务服务水平。项目紧扣住房城乡建设领域行政审批工作实际，坚守依法审批底线，围绕标准化、集成化、数智化、便利化，依托住房城乡建设审批高质量数据集，培育智能审批应用场景，重构审批业务运行范式，推动服务从“人找服务”向“服务找人”、审批从“人工逐件核查”向“AI智审+人工精判”、风控从“人工经验管控”向“全链条智能防控”、研判从“人工统计分析”向“数智科学决策”迭代升级。</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ascii="宋体" w:hAnsi="宋体" w:cs="宋体"/>
          <w:sz w:val="24"/>
          <w:szCs w:val="24"/>
        </w:rPr>
        <w:t xml:space="preserve">自合同签订之日起12个月</w:t>
      </w:r>
      <w:r>
        <w:rPr>
          <w:rFonts w:hint="eastAsia" w:ascii="宋体" w:hAnsi="宋体" w:cs="宋体"/>
          <w:sz w:val="24"/>
          <w:szCs w:val="24"/>
        </w:rPr>
        <w:t xml:space="preserve">。</w:t>
      </w:r>
      <w:r/>
    </w:p>
    <w:p>
      <w:pPr>
        <w:pStyle w:val="671"/>
        <w:ind w:firstLine="498"/>
        <w:spacing w:before="145" w:after="145" w:line="400" w:lineRule="exact"/>
      </w:pPr>
      <w:r/>
      <w:bookmarkStart w:id="14" w:name="_Toc28359003"/>
      <w:r/>
      <w:bookmarkStart w:id="15" w:name="_Toc35393791"/>
      <w:r/>
      <w:bookmarkStart w:id="16" w:name="_Toc38985264"/>
      <w:r/>
      <w:bookmarkStart w:id="17" w:name="_Toc35393622"/>
      <w:r/>
      <w:bookmarkStart w:id="18" w:name="_Toc28359080"/>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35393623"/>
      <w:r/>
      <w:bookmarkStart w:id="20" w:name="_Toc28359004"/>
      <w:r/>
      <w:bookmarkStart w:id="21" w:name="_Toc38985265"/>
      <w:r/>
      <w:bookmarkStart w:id="22" w:name="_Toc35393792"/>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400" w:lineRule="exact"/>
        <w:rPr>
          <w:b/>
          <w:bCs/>
          <w:sz w:val="32"/>
          <w:szCs w:val="32"/>
        </w:rPr>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bookmarkEnd w:id="19"/>
      <w:bookmarkEnd w:id="20"/>
      <w:bookmarkEnd w:id="21"/>
      <w:bookmarkEnd w:id="22"/>
      <w:bookmarkEnd w:id="23"/>
      <w:r/>
    </w:p>
    <w:p>
      <w:pPr>
        <w:pStyle w:val="671"/>
        <w:ind w:firstLine="498"/>
        <w:spacing w:before="145" w:after="145" w:line="400" w:lineRule="exact"/>
      </w:pPr>
      <w:r/>
      <w:bookmarkStart w:id="24" w:name="_Toc28359005"/>
      <w:r/>
      <w:bookmarkStart w:id="25" w:name="_Toc28359082"/>
      <w:r/>
      <w:bookmarkStart w:id="26" w:name="_Toc35393793"/>
      <w:r/>
      <w:bookmarkStart w:id="27" w:name="_Toc35393624"/>
      <w:r/>
      <w:bookmarkStart w:id="28" w:name="_Toc38985266"/>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2026年11月6日09点30分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38985267"/>
      <w:r/>
      <w:bookmarkStart w:id="30" w:name="_Toc35393794"/>
      <w:r/>
      <w:bookmarkStart w:id="31" w:name="_Toc28359084"/>
      <w:r/>
      <w:bookmarkStart w:id="32" w:name="_Toc35393625"/>
      <w:r/>
      <w:bookmarkStart w:id="33" w:name="_Toc28359007"/>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671"/>
        <w:ind w:firstLine="498"/>
        <w:spacing w:before="145" w:after="145" w:line="400" w:lineRule="exact"/>
      </w:pPr>
      <w:r/>
      <w:bookmarkStart w:id="34" w:name="_Toc38985268"/>
      <w:r/>
      <w:bookmarkStart w:id="35" w:name="_Toc35393626"/>
      <w:r/>
      <w:bookmarkStart w:id="36" w:name="_Toc35393795"/>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671"/>
        <w:ind w:firstLine="498"/>
        <w:spacing w:before="145" w:after="145" w:line="400" w:lineRule="exact"/>
      </w:pPr>
      <w:r/>
      <w:bookmarkStart w:id="37" w:name="_Toc35393796"/>
      <w:r/>
      <w:bookmarkStart w:id="38" w:name="_Toc38985269"/>
      <w:r/>
      <w:bookmarkStart w:id="39" w:name="_Toc28359008"/>
      <w:r/>
      <w:bookmarkStart w:id="40" w:name="_Toc35393627"/>
      <w:r/>
      <w:bookmarkStart w:id="41" w:name="_Toc28359085"/>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86"/>
      <w:r/>
      <w:bookmarkStart w:id="43" w:name="_Toc28359009"/>
      <w:r>
        <w:rPr>
          <w:rFonts w:hint="eastAsia" w:ascii="宋体" w:hAnsi="宋体" w:cs="宋体"/>
          <w:bCs/>
          <w:sz w:val="24"/>
          <w:szCs w:val="24"/>
          <w:u w:val="single"/>
          <w:lang w:bidi="ar"/>
        </w:rPr>
        <w:t xml:space="preserve">名 称：江苏省住房和城乡建设厅</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ascii="宋体" w:hAnsi="宋体"/>
          <w:sz w:val="24"/>
          <w:szCs w:val="24"/>
          <w:u w:val="single"/>
        </w:rPr>
        <w:t xml:space="preserve">鼓楼区草场门大街88号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ascii="宋体" w:hAnsi="宋体"/>
          <w:sz w:val="24"/>
          <w:szCs w:val="24"/>
          <w:u w:val="single"/>
        </w:rPr>
        <w:t xml:space="preserve">王宇旻</w:t>
      </w:r>
      <w:r>
        <w:rPr>
          <w:rFonts w:hint="eastAsia" w:ascii="宋体" w:hAnsi="宋体"/>
          <w:sz w:val="24"/>
          <w:szCs w:val="24"/>
          <w:u w:val="single"/>
        </w:rPr>
        <w:t xml:space="preserve">、张贻国</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hint="eastAsia" w:ascii="宋体" w:hAnsi="宋体"/>
          <w:sz w:val="24"/>
          <w:szCs w:val="24"/>
          <w:u w:val="single"/>
        </w:rPr>
        <w:t xml:space="preserve">025-83666783、83666739</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End w:id="42"/>
      <w:r/>
      <w:bookmarkEnd w:id="43"/>
      <w:r/>
      <w:bookmarkStart w:id="44" w:name="_Toc28359010"/>
      <w:r/>
      <w:bookmarkStart w:id="45" w:name="_Toc28359087"/>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671"/>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669"/>
        <w:rPr>
          <w:rFonts w:ascii="黑体" w:eastAsia="黑体"/>
          <w:sz w:val="44"/>
          <w:szCs w:val="44"/>
        </w:rPr>
      </w:pPr>
      <w:r/>
      <w:bookmarkStart w:id="46" w:name="_Toc120614211"/>
      <w:r/>
      <w:bookmarkStart w:id="47" w:name="_Toc4197"/>
      <w:r>
        <w:rPr>
          <w:rFonts w:hint="eastAsia" w:ascii="黑体" w:eastAsia="黑体"/>
          <w:sz w:val="44"/>
          <w:szCs w:val="44"/>
        </w:rPr>
        <w:t xml:space="preserve">第二章  </w:t>
      </w:r>
      <w:bookmarkEnd w:id="1"/>
      <w:r/>
      <w:bookmarkEnd w:id="2"/>
      <w:r/>
      <w:bookmarkEnd w:id="3"/>
      <w:r/>
      <w:bookmarkEnd w:id="4"/>
      <w:r/>
      <w:bookmarkEnd w:id="5"/>
      <w:r/>
      <w:bookmarkEnd w:id="46"/>
      <w:r/>
      <w:bookmarkStart w:id="48" w:name="_Toc20823274"/>
      <w:r/>
      <w:bookmarkStart w:id="49" w:name="_Toc120614213"/>
      <w:r/>
      <w:bookmarkStart w:id="50" w:name="_Toc16938518"/>
      <w:r/>
      <w:bookmarkStart w:id="51" w:name="_Toc513029202"/>
      <w:r>
        <w:rPr>
          <w:rFonts w:hint="eastAsia" w:ascii="黑体" w:eastAsia="黑体"/>
          <w:sz w:val="44"/>
          <w:szCs w:val="44"/>
        </w:rPr>
        <w:t xml:space="preserve">投标人须知</w:t>
      </w:r>
      <w:bookmarkEnd w:id="47"/>
      <w:r/>
      <w:bookmarkEnd w:id="48"/>
      <w:r/>
      <w:bookmarkEnd w:id="49"/>
      <w:r/>
      <w:bookmarkEnd w:id="50"/>
      <w:r/>
      <w:bookmarkEnd w:id="51"/>
      <w:r/>
      <w:r/>
    </w:p>
    <w:p>
      <w:pPr>
        <w:pStyle w:val="671"/>
        <w:ind w:firstLine="498"/>
        <w:spacing w:before="145" w:after="145" w:line="400" w:lineRule="exact"/>
      </w:pPr>
      <w:r/>
      <w:bookmarkStart w:id="52" w:name="_Toc16938519"/>
      <w:r/>
      <w:bookmarkStart w:id="53" w:name="_Toc20823275"/>
      <w:r/>
      <w:bookmarkStart w:id="54" w:name="_Toc513029203"/>
      <w:r/>
      <w:bookmarkStart w:id="55" w:name="_Toc120614214"/>
      <w:r/>
      <w:bookmarkStart w:id="56" w:name="OLE_LINK5"/>
      <w:r/>
      <w:bookmarkStart w:id="57" w:name="OLE_LINK6"/>
      <w:r/>
      <w:bookmarkStart w:id="58" w:name="OLE_LINK4"/>
      <w:r>
        <w:rPr>
          <w:rFonts w:hint="eastAsia"/>
        </w:rPr>
        <w:t xml:space="preserve">一、总则</w:t>
      </w:r>
      <w:bookmarkEnd w:id="52"/>
      <w:r/>
      <w:bookmarkEnd w:id="53"/>
      <w:r/>
      <w:bookmarkEnd w:id="54"/>
      <w:r/>
      <w:bookmarkEnd w:id="55"/>
      <w:r/>
      <w:r/>
    </w:p>
    <w:p>
      <w:pPr>
        <w:pStyle w:val="672"/>
        <w:ind w:firstLine="420"/>
        <w:spacing w:before="0" w:after="0" w:line="400" w:lineRule="exact"/>
        <w:rPr>
          <w:b w:val="0"/>
          <w:bCs w:val="0"/>
        </w:rPr>
      </w:pPr>
      <w:r/>
      <w:bookmarkStart w:id="59" w:name="_Hlt16619475"/>
      <w:r/>
      <w:bookmarkEnd w:id="59"/>
      <w:r/>
      <w:bookmarkStart w:id="60" w:name="_Toc458694821"/>
      <w:r/>
      <w:bookmarkStart w:id="61" w:name="_Toc20823276"/>
      <w:r/>
      <w:bookmarkStart w:id="62" w:name="_Toc513029204"/>
      <w:r/>
      <w:bookmarkStart w:id="63" w:name="_Toc16938520"/>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72"/>
        <w:ind w:firstLine="420"/>
        <w:spacing w:before="0" w:after="0" w:line="400" w:lineRule="exact"/>
        <w:rPr>
          <w:b w:val="0"/>
          <w:bCs w:val="0"/>
        </w:rPr>
      </w:pPr>
      <w:r/>
      <w:bookmarkStart w:id="64" w:name="_Toc513029205"/>
      <w:r/>
      <w:bookmarkStart w:id="65" w:name="_Toc20823277"/>
      <w:r/>
      <w:bookmarkStart w:id="66" w:name="_Toc16938521"/>
      <w:r>
        <w:rPr>
          <w:rFonts w:hint="eastAsia"/>
          <w:b w:val="0"/>
          <w:bCs w:val="0"/>
        </w:rPr>
        <w:t xml:space="preserve">2、合格的投标人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72"/>
        <w:ind w:firstLine="422"/>
        <w:spacing w:before="0" w:after="0" w:line="400" w:lineRule="exact"/>
      </w:pPr>
      <w:r/>
      <w:bookmarkStart w:id="67" w:name="_Toc20823278"/>
      <w:r/>
      <w:bookmarkStart w:id="68" w:name="_Toc16938522"/>
      <w:r/>
      <w:bookmarkStart w:id="69" w:name="_Toc513029206"/>
      <w:r>
        <w:rPr>
          <w:rFonts w:hint="eastAsia"/>
        </w:rPr>
        <w:t xml:space="preserve">3、适用法律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20823279"/>
      <w:r/>
      <w:bookmarkStart w:id="71" w:name="_Toc16938523"/>
      <w:r/>
      <w:bookmarkStart w:id="72" w:name="_Toc513029207"/>
      <w:r/>
      <w:bookmarkStart w:id="73" w:name="_Toc462564067"/>
      <w:r>
        <w:rPr>
          <w:rFonts w:hint="eastAsia" w:ascii="宋体" w:hAnsi="宋体"/>
          <w:sz w:val="24"/>
        </w:rPr>
        <w:t xml:space="preserve">3.2 在本项目政府采购活动过程中，如果所执行的标准有更新的，按照最新标准执行。</w:t>
      </w:r>
      <w:r/>
    </w:p>
    <w:p>
      <w:pPr>
        <w:pStyle w:val="672"/>
        <w:ind w:firstLine="420"/>
        <w:spacing w:before="0" w:after="0" w:line="400" w:lineRule="exact"/>
        <w:rPr>
          <w:b w:val="0"/>
          <w:bCs w:val="0"/>
        </w:rPr>
      </w:pPr>
      <w:r>
        <w:rPr>
          <w:rFonts w:hint="eastAsia"/>
          <w:b w:val="0"/>
          <w:bCs w:val="0"/>
        </w:rPr>
        <w:t xml:space="preserve">4、投标费用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72"/>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71"/>
        <w:ind w:firstLine="321"/>
        <w:spacing w:before="145" w:after="145" w:line="400" w:lineRule="exact"/>
      </w:pPr>
      <w:r/>
      <w:bookmarkStart w:id="74" w:name="_Toc120614215"/>
      <w:r/>
      <w:bookmarkStart w:id="75" w:name="_Toc513029209"/>
      <w:r/>
      <w:bookmarkStart w:id="76" w:name="_Toc16938525"/>
      <w:r/>
      <w:bookmarkStart w:id="77" w:name="_Toc20823281"/>
      <w:r>
        <w:rPr>
          <w:rFonts w:hint="eastAsia"/>
        </w:rPr>
        <w:t xml:space="preserve">二、招标文件</w:t>
      </w:r>
      <w:bookmarkEnd w:id="74"/>
      <w:r/>
      <w:bookmarkEnd w:id="75"/>
      <w:r/>
      <w:bookmarkEnd w:id="76"/>
      <w:r/>
      <w:bookmarkEnd w:id="77"/>
      <w:r/>
      <w:r/>
    </w:p>
    <w:p>
      <w:pPr>
        <w:pStyle w:val="672"/>
        <w:ind w:firstLine="420"/>
        <w:spacing w:before="0" w:after="0" w:line="400" w:lineRule="exact"/>
        <w:rPr>
          <w:b w:val="0"/>
          <w:bCs w:val="0"/>
        </w:rPr>
      </w:pPr>
      <w:r/>
      <w:bookmarkStart w:id="78" w:name="_Toc513029210"/>
      <w:r/>
      <w:bookmarkStart w:id="79" w:name="_Toc20823282"/>
      <w:r/>
      <w:bookmarkStart w:id="80" w:name="_Toc16938526"/>
      <w:r>
        <w:rPr>
          <w:rFonts w:hint="eastAsia"/>
          <w:b w:val="0"/>
          <w:bCs w:val="0"/>
        </w:rPr>
        <w:t xml:space="preserve">6、招标文件构成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firstLine="560"/>
        <w:spacing w:before="0" w:after="0" w:line="400" w:lineRule="exact"/>
        <w:rPr>
          <w:b w:val="0"/>
          <w:bCs w:val="0"/>
        </w:rPr>
      </w:pPr>
      <w:r/>
      <w:bookmarkStart w:id="81" w:name="_Toc513029212"/>
      <w:r/>
      <w:bookmarkStart w:id="82" w:name="_Toc20823284"/>
      <w:r/>
      <w:bookmarkStart w:id="83" w:name="_Toc16938528"/>
      <w:r/>
      <w:bookmarkStart w:id="84" w:name="_Toc462564071"/>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71"/>
        <w:ind w:firstLine="482"/>
        <w:spacing w:before="145" w:after="145" w:line="400" w:lineRule="exact"/>
      </w:pPr>
      <w:r/>
      <w:bookmarkStart w:id="85" w:name="_Toc120614216"/>
      <w:r/>
      <w:bookmarkStart w:id="86" w:name="_Toc20823285"/>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
    </w:p>
    <w:p>
      <w:pPr>
        <w:pStyle w:val="672"/>
        <w:ind w:firstLine="560"/>
        <w:spacing w:before="0" w:after="0" w:line="400" w:lineRule="exact"/>
        <w:rPr>
          <w:bCs w:val="0"/>
        </w:rPr>
      </w:pPr>
      <w:r/>
      <w:bookmarkStart w:id="90" w:name="_Toc20823286"/>
      <w:r/>
      <w:bookmarkStart w:id="91" w:name="_Toc462564073"/>
      <w:r/>
      <w:bookmarkStart w:id="92" w:name="_Toc16938530"/>
      <w:r/>
      <w:bookmarkStart w:id="93" w:name="_Toc513029214"/>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72"/>
        <w:ind w:firstLine="420"/>
        <w:spacing w:before="0" w:after="0" w:line="400" w:lineRule="exact"/>
        <w:rPr>
          <w:b w:val="0"/>
          <w:bCs w:val="0"/>
        </w:rPr>
      </w:pPr>
      <w:r/>
      <w:bookmarkStart w:id="94" w:name="_Toc462564074"/>
      <w:r/>
      <w:bookmarkStart w:id="95" w:name="_Toc513029215"/>
      <w:r/>
      <w:bookmarkStart w:id="96" w:name="_Toc20823287"/>
      <w:r/>
      <w:bookmarkStart w:id="97" w:name="_Toc16938531"/>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72"/>
        <w:ind w:firstLine="420"/>
        <w:spacing w:before="0" w:after="0" w:line="400" w:lineRule="exact"/>
        <w:rPr>
          <w:b w:val="0"/>
          <w:bCs w:val="0"/>
        </w:rPr>
      </w:pPr>
      <w:r/>
      <w:bookmarkStart w:id="98" w:name="_Hlt26954838"/>
      <w:r/>
      <w:bookmarkEnd w:id="98"/>
      <w:r/>
      <w:bookmarkStart w:id="99" w:name="_Hlt26670360"/>
      <w:r/>
      <w:bookmarkEnd w:id="99"/>
      <w:r/>
      <w:bookmarkStart w:id="100" w:name="_Hlt26668975"/>
      <w:r/>
      <w:bookmarkEnd w:id="100"/>
      <w:r/>
      <w:bookmarkStart w:id="101" w:name="_Toc14577357"/>
      <w:r/>
      <w:bookmarkStart w:id="102" w:name="_Toc513029219"/>
      <w:r/>
      <w:bookmarkStart w:id="103" w:name="_Toc49090509"/>
      <w:r/>
      <w:bookmarkStart w:id="104" w:name="_Toc513029216"/>
      <w:r/>
      <w:bookmarkStart w:id="105" w:name="_Toc14577354"/>
      <w:r/>
      <w:bookmarkStart w:id="106"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bookmarkEnd w:id="104"/>
      <w:bookmarkEnd w:id="105"/>
      <w:bookmarkEnd w:id="106"/>
      <w:r/>
    </w:p>
    <w:p>
      <w:pPr>
        <w:spacing w:line="400" w:lineRule="exact"/>
        <w:rPr>
          <w:rFonts w:hint="eastAsia" w:ascii="宋体" w:hAnsi="宋体"/>
          <w:sz w:val="24"/>
          <w:szCs w:val="24"/>
        </w:rPr>
      </w:pPr>
      <w:r/>
      <w:bookmarkStart w:id="107" w:name="_Toc14577355"/>
      <w:r/>
      <w:bookmarkStart w:id="108"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72"/>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7"/>
      <w:r/>
      <w:bookmarkStart w:id="109" w:name="_Hlt26670373"/>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2"/>
        <w:ind w:firstLine="420"/>
        <w:spacing w:before="0" w:after="0" w:line="400" w:lineRule="exact"/>
        <w:rPr>
          <w:b w:val="0"/>
          <w:bCs w:val="0"/>
        </w:rPr>
      </w:pPr>
      <w:r/>
      <w:bookmarkStart w:id="112" w:name="_Hlt26670482"/>
      <w:r/>
      <w:bookmarkEnd w:id="112"/>
      <w:r/>
      <w:bookmarkStart w:id="113" w:name="_Hlt26954842"/>
      <w:r/>
      <w:bookmarkEnd w:id="113"/>
      <w:r/>
      <w:bookmarkStart w:id="114" w:name="_Hlt26954848"/>
      <w:r/>
      <w:bookmarkEnd w:id="114"/>
      <w:r/>
      <w:bookmarkStart w:id="115" w:name="_Hlt26954731"/>
      <w:r/>
      <w:bookmarkEnd w:id="115"/>
      <w:r/>
      <w:bookmarkStart w:id="116" w:name="_Hlt26670486"/>
      <w:r/>
      <w:bookmarkEnd w:id="116"/>
      <w:r/>
      <w:bookmarkStart w:id="117" w:name="_Hlt26954844"/>
      <w:r/>
      <w:bookmarkEnd w:id="117"/>
      <w:r/>
      <w:bookmarkStart w:id="118" w:name="_Hlt26954846"/>
      <w:r/>
      <w:bookmarkEnd w:id="118"/>
      <w:r/>
      <w:bookmarkStart w:id="119" w:name="_Hlt26670403"/>
      <w:r/>
      <w:bookmarkEnd w:id="119"/>
      <w:r/>
      <w:bookmarkStart w:id="120" w:name="_Hlt26668983"/>
      <w:r/>
      <w:bookmarkEnd w:id="120"/>
      <w:r/>
      <w:bookmarkStart w:id="121" w:name="_Hlt26670425"/>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2" w:name="_Toc14577359"/>
      <w:r/>
      <w:bookmarkStart w:id="12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72"/>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bookmarkEnd w:id="123"/>
      <w:r/>
    </w:p>
    <w:p>
      <w:pPr>
        <w:pStyle w:val="672"/>
        <w:ind w:firstLine="420"/>
        <w:spacing w:before="0" w:after="0" w:line="400" w:lineRule="exact"/>
        <w:rPr>
          <w:b w:val="0"/>
          <w:bCs w:val="0"/>
        </w:rPr>
      </w:pPr>
      <w:r/>
      <w:bookmarkStart w:id="124" w:name="_Hlt26954734"/>
      <w:r/>
      <w:bookmarkEnd w:id="124"/>
      <w:r/>
      <w:bookmarkStart w:id="125" w:name="_Hlt26954850"/>
      <w:r/>
      <w:bookmarkEnd w:id="125"/>
      <w:r/>
      <w:bookmarkStart w:id="126" w:name="_Hlt26670489"/>
      <w:r/>
      <w:bookmarkEnd w:id="126"/>
      <w:r/>
      <w:bookmarkStart w:id="127" w:name="_Toc49090511"/>
      <w:r/>
      <w:bookmarkStart w:id="128" w:name="_Toc14577360"/>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2"/>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1"/>
        <w:ind w:firstLine="482"/>
        <w:spacing w:before="145" w:after="145" w:line="400" w:lineRule="exact"/>
      </w:pPr>
      <w:r/>
      <w:bookmarkStart w:id="129" w:name="_Hlt26954739"/>
      <w:r/>
      <w:bookmarkEnd w:id="129"/>
      <w:r/>
      <w:bookmarkStart w:id="130" w:name="_Hlt26954852"/>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
    </w:p>
    <w:p>
      <w:pPr>
        <w:pStyle w:val="672"/>
        <w:ind w:firstLine="560"/>
        <w:spacing w:before="0" w:after="0" w:line="400" w:lineRule="exact"/>
        <w:rPr>
          <w:rFonts w:ascii="黑体"/>
          <w:b w:val="0"/>
          <w:bCs w:val="0"/>
        </w:rPr>
      </w:pPr>
      <w:r/>
      <w:bookmarkStart w:id="135" w:name="_Toc20823297"/>
      <w:r/>
      <w:bookmarkStart w:id="136" w:name="_Toc462564084"/>
      <w:r/>
      <w:bookmarkStart w:id="137" w:name="_Toc513029225"/>
      <w:r/>
      <w:bookmarkStart w:id="138"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25"/>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513029226"/>
      <w:r/>
      <w:bookmarkStart w:id="141" w:name="_Toc16938542"/>
      <w:r/>
      <w:r/>
    </w:p>
    <w:p>
      <w:pPr>
        <w:pStyle w:val="672"/>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72"/>
        <w:ind w:firstLine="420"/>
        <w:spacing w:before="0" w:after="0" w:line="400" w:lineRule="exact"/>
        <w:rPr>
          <w:b w:val="0"/>
          <w:bCs w:val="0"/>
        </w:rPr>
      </w:pPr>
      <w:r/>
      <w:bookmarkStart w:id="142" w:name="_Toc16938543"/>
      <w:r/>
      <w:bookmarkStart w:id="143" w:name="_Toc513029227"/>
      <w:r/>
      <w:bookmarkStart w:id="144" w:name="_Toc20823299"/>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72"/>
        <w:ind w:firstLine="420"/>
        <w:spacing w:before="0" w:after="0" w:line="400" w:lineRule="exact"/>
        <w:rPr>
          <w:b w:val="0"/>
          <w:bCs w:val="0"/>
        </w:rPr>
      </w:pPr>
      <w:r/>
      <w:bookmarkStart w:id="145" w:name="_Toc513029228"/>
      <w:r/>
      <w:bookmarkStart w:id="146" w:name="_Toc16938544"/>
      <w:r/>
      <w:bookmarkStart w:id="147" w:name="_Toc20823300"/>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671"/>
        <w:ind w:firstLine="482"/>
        <w:spacing w:before="145" w:after="145" w:line="400" w:lineRule="exact"/>
      </w:pPr>
      <w:r/>
      <w:bookmarkStart w:id="148" w:name="_Toc513029229"/>
      <w:r/>
      <w:bookmarkStart w:id="149" w:name="_Toc120614218"/>
      <w:r/>
      <w:bookmarkStart w:id="150" w:name="_Toc20823301"/>
      <w:r/>
      <w:bookmarkStart w:id="151" w:name="_Toc16938545"/>
      <w:r>
        <w:rPr>
          <w:rFonts w:hint="eastAsia"/>
        </w:rPr>
        <w:t xml:space="preserve">五、开标与评标</w:t>
      </w:r>
      <w:bookmarkEnd w:id="148"/>
      <w:r/>
      <w:bookmarkEnd w:id="149"/>
      <w:r/>
      <w:bookmarkEnd w:id="150"/>
      <w:r/>
      <w:bookmarkEnd w:id="151"/>
      <w:r/>
      <w:r/>
    </w:p>
    <w:p>
      <w:pPr>
        <w:pStyle w:val="672"/>
        <w:ind w:firstLine="420"/>
        <w:spacing w:before="0" w:after="0" w:line="400" w:lineRule="exact"/>
        <w:rPr>
          <w:b w:val="0"/>
          <w:bCs w:val="0"/>
        </w:rPr>
      </w:pPr>
      <w:r/>
      <w:bookmarkStart w:id="152" w:name="_Toc513029230"/>
      <w:r/>
      <w:bookmarkStart w:id="153" w:name="_Toc20823302"/>
      <w:r/>
      <w:bookmarkStart w:id="154" w:name="_Toc16938546"/>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672"/>
        <w:ind w:firstLine="420"/>
        <w:spacing w:before="0" w:after="0" w:line="400" w:lineRule="exact"/>
        <w:rPr>
          <w:b w:val="0"/>
          <w:bCs w:val="0"/>
        </w:rPr>
      </w:pPr>
      <w:r/>
      <w:bookmarkStart w:id="155" w:name="_Toc513029231"/>
      <w:r/>
      <w:bookmarkStart w:id="156" w:name="_Toc16938547"/>
      <w:r/>
      <w:bookmarkStart w:id="157"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672"/>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672"/>
        <w:ind w:firstLine="420"/>
        <w:spacing w:before="0" w:after="0" w:line="400" w:lineRule="exact"/>
        <w:rPr>
          <w:b w:val="0"/>
          <w:bCs w:val="0"/>
        </w:rPr>
      </w:pPr>
      <w:r/>
      <w:bookmarkStart w:id="158" w:name="_Toc513029232"/>
      <w:r/>
      <w:bookmarkStart w:id="159" w:name="_Toc16938548"/>
      <w:r/>
      <w:bookmarkStart w:id="160" w:name="_Toc20823304"/>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672"/>
        <w:ind w:firstLine="420"/>
        <w:spacing w:before="0" w:after="0" w:line="400" w:lineRule="exact"/>
        <w:rPr>
          <w:b w:val="0"/>
          <w:bCs w:val="0"/>
        </w:rPr>
      </w:pPr>
      <w:r/>
      <w:bookmarkStart w:id="161" w:name="_Toc16938549"/>
      <w:r/>
      <w:bookmarkStart w:id="162" w:name="_Toc20823305"/>
      <w:r/>
      <w:bookmarkStart w:id="163"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20823306"/>
      <w:r/>
      <w:bookmarkStart w:id="165" w:name="_Toc513029234"/>
      <w:r/>
      <w:bookmarkStart w:id="166"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672"/>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71"/>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672"/>
        <w:ind w:firstLine="600"/>
        <w:spacing w:before="0" w:after="0" w:line="400" w:lineRule="exact"/>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67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71"/>
        <w:spacing w:before="145" w:after="145" w:line="400" w:lineRule="exact"/>
      </w:pPr>
      <w:r/>
      <w:bookmarkStart w:id="175" w:name="_Toc120614220"/>
      <w:r/>
      <w:bookmarkStart w:id="176" w:name="_Toc20823308"/>
      <w:r/>
      <w:bookmarkStart w:id="177" w:name="_Toc513029236"/>
      <w:r/>
      <w:bookmarkStart w:id="178" w:name="_Toc16938552"/>
      <w:r>
        <w:rPr>
          <w:rFonts w:hint="eastAsia"/>
        </w:rPr>
        <w:t xml:space="preserve">七、授予合同</w:t>
      </w:r>
      <w:bookmarkEnd w:id="175"/>
      <w:r/>
      <w:bookmarkEnd w:id="176"/>
      <w:bookmarkEnd w:id="177"/>
      <w:bookmarkEnd w:id="178"/>
      <w:r/>
    </w:p>
    <w:p>
      <w:pPr>
        <w:pStyle w:val="672"/>
        <w:ind w:firstLine="600"/>
        <w:spacing w:before="0" w:after="0" w:line="400" w:lineRule="exact"/>
        <w:rPr>
          <w:rFonts w:hint="eastAsia" w:ascii="黑体" w:hAnsi="宋体" w:cs="Times New Roman"/>
          <w:b w:val="0"/>
          <w:sz w:val="30"/>
          <w:szCs w:val="30"/>
        </w:rPr>
      </w:pPr>
      <w:r/>
      <w:bookmarkStart w:id="179" w:name="_Toc20823309"/>
      <w:r/>
      <w:bookmarkStart w:id="180" w:name="_Toc16938553"/>
      <w:r/>
      <w:bookmarkStart w:id="181"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7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9"/>
      <w:bookmarkEnd w:id="180"/>
      <w:bookmarkEnd w:id="181"/>
      <w:r/>
    </w:p>
    <w:p>
      <w:pPr>
        <w:pStyle w:val="672"/>
        <w:ind w:firstLine="600"/>
        <w:spacing w:before="0" w:after="0" w:line="400" w:lineRule="exact"/>
        <w:rPr>
          <w:rFonts w:hint="eastAsia" w:ascii="黑体" w:hAnsi="宋体" w:cs="Times New Roman"/>
          <w:b w:val="0"/>
          <w:sz w:val="30"/>
          <w:szCs w:val="30"/>
        </w:rPr>
      </w:pPr>
      <w:r/>
      <w:bookmarkStart w:id="182" w:name="_Toc120614221"/>
      <w:r/>
      <w:bookmarkStart w:id="183" w:name="_Toc479757207"/>
      <w:r/>
      <w:bookmarkStart w:id="184" w:name="_Toc513029242"/>
      <w:r/>
      <w:bookmarkStart w:id="185" w:name="_Toc20823314"/>
      <w:r/>
      <w:bookmarkStart w:id="186"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68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680"/>
        <w:ind w:firstLine="0"/>
        <w:spacing w:line="400" w:lineRule="exact"/>
        <w:rPr>
          <w:rFonts w:hint="eastAsia" w:ascii="宋体" w:hAnsi="宋体"/>
          <w:bCs/>
          <w:sz w:val="24"/>
        </w:rPr>
      </w:pPr>
      <w:r>
        <w:rPr>
          <w:rFonts w:hint="eastAsia" w:ascii="宋体" w:hAnsi="宋体"/>
          <w:bCs/>
          <w:sz w:val="24"/>
        </w:rPr>
        <w:br w:type="page" w:clear="all"/>
      </w:r>
      <w:bookmarkEnd w:id="56"/>
      <w:bookmarkEnd w:id="57"/>
      <w:bookmarkEnd w:id="58"/>
      <w:r/>
    </w:p>
    <w:p>
      <w:pPr>
        <w:pStyle w:val="669"/>
        <w:rPr>
          <w:rFonts w:ascii="黑体" w:eastAsia="黑体"/>
          <w:bCs/>
          <w:sz w:val="44"/>
        </w:rPr>
      </w:pPr>
      <w:r/>
      <w:bookmarkStart w:id="187" w:name="_Toc13347"/>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jc w:val="center"/>
        <w:spacing w:before="120" w:after="120"/>
        <w:rPr>
          <w:rFonts w:hint="eastAsia" w:ascii="宋体" w:hAnsi="宋体" w:cs="Courier New"/>
          <w:b/>
          <w:bCs/>
          <w:sz w:val="30"/>
          <w:szCs w:val="30"/>
        </w:rPr>
      </w:pPr>
      <w:r/>
      <w:bookmarkStart w:id="188" w:name="_Hlt16619369"/>
      <w:r/>
      <w:bookmarkEnd w:id="188"/>
      <w:r/>
      <w:bookmarkStart w:id="189" w:name="_Toc20823346"/>
      <w:r/>
      <w:bookmarkStart w:id="190" w:name="_Toc120614244"/>
      <w:r/>
      <w:bookmarkStart w:id="191" w:name="_Hlt16619350"/>
      <w:r/>
      <w:bookmarkStart w:id="192" w:name="_Toc16938590"/>
      <w:r/>
      <w:bookmarkStart w:id="193" w:name="_Toc462564139"/>
      <w:r/>
      <w:bookmarkStart w:id="194" w:name="_Toc479757211"/>
      <w:r>
        <w:rPr>
          <w:rFonts w:hint="eastAsia" w:ascii="宋体" w:hAnsi="宋体" w:cs="Courier New"/>
          <w:b/>
          <w:bCs/>
          <w:sz w:val="30"/>
          <w:szCs w:val="30"/>
        </w:rPr>
        <w:t xml:space="preserve">江苏省政府采购合同（服务）（合同编号）</w:t>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96"/>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96"/>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96"/>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96"/>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6"/>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96"/>
        <w:spacing w:before="120" w:after="120"/>
        <w:rPr>
          <w:rFonts w:hint="eastAsia" w:hAnsi="宋体"/>
          <w:sz w:val="24"/>
          <w:szCs w:val="24"/>
        </w:rPr>
      </w:pPr>
      <w:r>
        <w:rPr>
          <w:rFonts w:hint="eastAsia" w:hAnsi="宋体"/>
          <w:sz w:val="24"/>
          <w:szCs w:val="24"/>
        </w:rPr>
        <w:t xml:space="preserve">1.3 标的数量（规模）：</w:t>
      </w:r>
      <w:r/>
    </w:p>
    <w:p>
      <w:pPr>
        <w:pStyle w:val="996"/>
        <w:spacing w:before="120" w:after="120"/>
        <w:rPr>
          <w:rFonts w:hint="eastAsia" w:hAnsi="宋体"/>
          <w:sz w:val="24"/>
          <w:szCs w:val="24"/>
        </w:rPr>
      </w:pPr>
      <w:r>
        <w:rPr>
          <w:rFonts w:hint="eastAsia" w:hAnsi="宋体"/>
          <w:sz w:val="24"/>
          <w:szCs w:val="24"/>
        </w:rPr>
        <w:t xml:space="preserve">1.4 履行时间（期限）：</w:t>
      </w:r>
      <w:r/>
    </w:p>
    <w:p>
      <w:pPr>
        <w:pStyle w:val="996"/>
        <w:spacing w:before="120" w:after="120"/>
        <w:rPr>
          <w:rFonts w:hint="eastAsia" w:hAnsi="宋体"/>
          <w:sz w:val="24"/>
          <w:szCs w:val="24"/>
        </w:rPr>
      </w:pPr>
      <w:r>
        <w:rPr>
          <w:rFonts w:hint="eastAsia" w:hAnsi="宋体"/>
          <w:sz w:val="24"/>
          <w:szCs w:val="24"/>
        </w:rPr>
        <w:t xml:space="preserve">1.5 履行地点：</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96"/>
        <w:spacing w:before="120" w:after="120"/>
        <w:rPr>
          <w:rFonts w:hint="eastAsia" w:hAnsi="宋体"/>
          <w:b/>
          <w:sz w:val="24"/>
          <w:szCs w:val="24"/>
        </w:rPr>
      </w:pPr>
      <w:r>
        <w:rPr>
          <w:rFonts w:hAnsi="宋体"/>
          <w:b/>
          <w:sz w:val="24"/>
          <w:szCs w:val="24"/>
        </w:rPr>
        <w:t xml:space="preserve">二、合同金额</w:t>
      </w:r>
      <w:r/>
    </w:p>
    <w:p>
      <w:pPr>
        <w:pStyle w:val="996"/>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rPr>
        <w:t xml:space="preserve">（</w:t>
      </w:r>
      <w:r>
        <w:rPr>
          <w:rFonts w:hint="eastAsia" w:hAnsi="宋体"/>
          <w:sz w:val="24"/>
          <w:szCs w:val="24"/>
        </w:rPr>
        <w:t xml:space="preserve">本合同价格为含税固定总价，</w:t>
      </w:r>
      <w:r>
        <w:rPr>
          <w:rFonts w:hAnsi="宋体"/>
          <w:sz w:val="24"/>
          <w:szCs w:val="24"/>
        </w:rPr>
        <w:t xml:space="preserve">包含人工、差旅、驻场、培训、税费、测评配合等全部费用</w:t>
      </w:r>
      <w:r>
        <w:rPr>
          <w:rFonts w:hAnsi="宋体" w:cs="宋体"/>
          <w:sz w:val="24"/>
          <w:szCs w:val="24"/>
        </w:rPr>
        <w:t xml:space="preserve">。</w:t>
      </w:r>
      <w:r>
        <w:rPr>
          <w:rFonts w:hint="eastAsia" w:hAnsi="宋体"/>
          <w:sz w:val="24"/>
          <w:szCs w:val="24"/>
        </w:rPr>
        <w:t xml:space="preserve">）</w:t>
      </w:r>
      <w:r/>
    </w:p>
    <w:p>
      <w:pPr>
        <w:pStyle w:val="996"/>
        <w:spacing w:before="120" w:after="120"/>
        <w:rPr>
          <w:rFonts w:hint="eastAsia" w:hAnsi="宋体"/>
          <w:b/>
          <w:sz w:val="24"/>
          <w:szCs w:val="24"/>
        </w:rPr>
      </w:pPr>
      <w:r>
        <w:rPr>
          <w:rFonts w:hAnsi="宋体"/>
          <w:b/>
          <w:sz w:val="24"/>
          <w:szCs w:val="24"/>
        </w:rPr>
        <w:t xml:space="preserve">三、技术资料</w:t>
      </w:r>
      <w:r/>
    </w:p>
    <w:p>
      <w:pPr>
        <w:pStyle w:val="99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6"/>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6"/>
        <w:ind w:left="412" w:hanging="412"/>
        <w:spacing w:before="120" w:after="120"/>
        <w:rPr>
          <w:rFonts w:hint="eastAsia" w:hAnsi="宋体"/>
          <w:b/>
          <w:sz w:val="24"/>
          <w:szCs w:val="24"/>
        </w:rPr>
      </w:pPr>
      <w:r>
        <w:rPr>
          <w:rFonts w:hAnsi="宋体"/>
          <w:b/>
          <w:sz w:val="24"/>
          <w:szCs w:val="24"/>
        </w:rPr>
        <w:t xml:space="preserve">四、知识产权</w:t>
      </w:r>
      <w:r/>
    </w:p>
    <w:p>
      <w:pPr>
        <w:pStyle w:val="99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6"/>
        <w:ind w:left="408" w:hanging="408"/>
        <w:spacing w:before="120" w:after="120"/>
        <w:rPr>
          <w:rFonts w:hint="eastAsia" w:hAnsi="宋体"/>
          <w:sz w:val="24"/>
          <w:szCs w:val="24"/>
        </w:rPr>
      </w:pPr>
      <w:r>
        <w:rPr>
          <w:rFonts w:hint="eastAsia" w:hAnsi="宋体"/>
          <w:sz w:val="24"/>
          <w:szCs w:val="24"/>
        </w:rPr>
        <w:t xml:space="preserve">4.2</w:t>
      </w:r>
      <w:r>
        <w:rPr>
          <w:rFonts w:hAnsi="宋体"/>
          <w:sz w:val="24"/>
          <w:szCs w:val="24"/>
        </w:rPr>
        <w:t xml:space="preserve">乙方须签订保密协议；不得泄露、篡改、删除、非法留存甲方数据；遵守《网络安全法》《数据安全法》《个人信息保护法》；合同终止后返还并彻底删除数据。保密信息的范围、保密义务的具体要求、保密期限及违约责任等详细约定，按本合同附件一《信息安全保密协议》执行。附件一为本合同不可分割的组成部分，与本合同具有同等法律效力。</w:t>
      </w:r>
      <w:r/>
    </w:p>
    <w:p>
      <w:pPr>
        <w:pStyle w:val="996"/>
        <w:spacing w:before="120" w:after="120"/>
        <w:rPr>
          <w:rFonts w:hint="eastAsia" w:hAnsi="宋体"/>
          <w:sz w:val="24"/>
          <w:szCs w:val="24"/>
          <w:u w:val="single"/>
        </w:rPr>
      </w:pPr>
      <w:r>
        <w:rPr>
          <w:rFonts w:hAnsi="宋体"/>
          <w:b/>
          <w:sz w:val="24"/>
          <w:szCs w:val="24"/>
        </w:rPr>
        <w:t xml:space="preserve">五、产权担保</w:t>
      </w:r>
      <w:r/>
    </w:p>
    <w:p>
      <w:pPr>
        <w:pStyle w:val="996"/>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rPr>
        <w:t xml:space="preserve">本项目形成的定制开发成果、文档、数据及数据权益归甲方所有；乙方既有产品授予甲方永久、免费、不可撤销使用许可；不得设置后门、到期锁定；侵权由乙方承担全部责任并保证甲方继续使用。</w:t>
      </w:r>
      <w:r/>
    </w:p>
    <w:p>
      <w:pPr>
        <w:pStyle w:val="996"/>
        <w:ind w:left="410" w:hanging="410"/>
        <w:spacing w:before="120" w:after="120"/>
        <w:rPr>
          <w:rFonts w:hint="eastAsia" w:hAnsi="宋体"/>
          <w:b/>
          <w:sz w:val="24"/>
          <w:szCs w:val="24"/>
        </w:rPr>
      </w:pPr>
      <w:r>
        <w:rPr>
          <w:rFonts w:hAnsi="宋体"/>
          <w:b/>
          <w:sz w:val="24"/>
          <w:szCs w:val="24"/>
        </w:rPr>
        <w:t xml:space="preserve">六、履约保证金</w:t>
      </w:r>
      <w:r/>
    </w:p>
    <w:p>
      <w:pPr>
        <w:pStyle w:val="996"/>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0</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99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96"/>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96"/>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96"/>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96"/>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6"/>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预付款支付时间：合同签订后7工作日内，预付款支付比例：合同金额的35%。</w:t>
      </w:r>
      <w:r>
        <w:rPr>
          <w:rFonts w:ascii="宋体" w:hAnsi="宋体"/>
          <w:sz w:val="24"/>
          <w:szCs w:val="24"/>
        </w:rPr>
        <w:t xml:space="preserve">8</w:t>
      </w:r>
      <w:r>
        <w:rPr>
          <w:rFonts w:hint="eastAsia" w:ascii="宋体" w:hAnsi="宋体"/>
          <w:sz w:val="24"/>
          <w:szCs w:val="24"/>
        </w:rPr>
        <w:t xml:space="preserve">.1.2 试运行款项支付时间：</w:t>
      </w:r>
      <w:r>
        <w:rPr>
          <w:rFonts w:ascii="宋体" w:hAnsi="宋体" w:cs="宋体"/>
          <w:sz w:val="24"/>
          <w:szCs w:val="24"/>
        </w:rPr>
        <w:t xml:space="preserve">基本完成项目建设并通过采购人组织的初步验收后</w:t>
      </w:r>
      <w:r>
        <w:rPr>
          <w:rFonts w:ascii="宋体" w:hAnsi="宋体" w:cs="Times New Roman"/>
          <w:sz w:val="24"/>
        </w:rPr>
        <w:t xml:space="preserve">并收到中标人开具本阶段的等额发票后，</w:t>
      </w:r>
      <w:r>
        <w:rPr>
          <w:rFonts w:ascii="宋体" w:hAnsi="宋体" w:cs="宋体"/>
          <w:sz w:val="24"/>
          <w:szCs w:val="24"/>
        </w:rPr>
        <w:t xml:space="preserve">采购人向中标人支付第二笔款项，占合同总额的35%</w:t>
      </w:r>
      <w:r>
        <w:rPr>
          <w:rFonts w:hint="eastAsia" w:ascii="宋体" w:hAnsi="宋体" w:cs="宋体"/>
          <w:sz w:val="24"/>
          <w:szCs w:val="24"/>
        </w:rPr>
        <w:t xml:space="preserve">。</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.1.3 尾款支付时间：</w:t>
      </w:r>
      <w:r>
        <w:rPr>
          <w:rFonts w:hint="eastAsia" w:ascii="宋体" w:hAnsi="宋体" w:cs="Arial"/>
          <w:sz w:val="24"/>
          <w:szCs w:val="24"/>
        </w:rPr>
        <w:t xml:space="preserve">开发完成且试运行满1个月后，经</w:t>
      </w:r>
      <w:r>
        <w:rPr>
          <w:rFonts w:hint="eastAsia" w:ascii="宋体" w:hAnsi="宋体"/>
          <w:sz w:val="24"/>
          <w:szCs w:val="24"/>
        </w:rPr>
        <w:t xml:space="preserve">采购人</w:t>
      </w:r>
      <w:r>
        <w:rPr>
          <w:rFonts w:hint="eastAsia" w:ascii="宋体" w:hAnsi="宋体" w:cs="Arial"/>
          <w:sz w:val="24"/>
          <w:szCs w:val="24"/>
        </w:rPr>
        <w:t xml:space="preserve">验收通过，乙方交付全部文档、完成培训，并</w:t>
      </w:r>
      <w:r>
        <w:rPr>
          <w:rFonts w:hint="eastAsia" w:ascii="宋体" w:hAnsi="宋体"/>
          <w:sz w:val="24"/>
          <w:szCs w:val="24"/>
        </w:rPr>
        <w:t xml:space="preserve">收到乙方发票后</w:t>
      </w:r>
      <w:r>
        <w:rPr>
          <w:rFonts w:ascii="宋体" w:hAnsi="宋体"/>
          <w:sz w:val="24"/>
          <w:szCs w:val="24"/>
        </w:rPr>
        <w:t xml:space="preserve">10</w:t>
      </w:r>
      <w:r>
        <w:rPr>
          <w:rFonts w:hint="eastAsia" w:ascii="宋体" w:hAnsi="宋体"/>
          <w:sz w:val="24"/>
          <w:szCs w:val="24"/>
        </w:rPr>
        <w:t xml:space="preserve">个工作日内，尾款支付比例：合同金额的30%。</w:t>
      </w:r>
      <w:r/>
    </w:p>
    <w:p>
      <w:pPr>
        <w:spacing w:before="145" w:after="145"/>
        <w:rPr>
          <w:rFonts w:hint="eastAsia"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96"/>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9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9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9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乙方应在甲方指定期限内整改并申请复验，复验合格即为验收通过。累计复验两次仍不合格的，甲方依法及时处理。采购合同的履行、违约责任和解决争议的方式等适用《民法典》。乙方在履约过程中有政府采购法律法规规定的违法违规情形的,甲方将及时报告本级财政部门。</w:t>
      </w:r>
      <w:r/>
    </w:p>
    <w:p>
      <w:pPr>
        <w:pStyle w:val="996"/>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int="eastAsia" w:hAnsi="宋体"/>
          <w:sz w:val="24"/>
          <w:szCs w:val="24"/>
        </w:rPr>
        <w:t xml:space="preserve"> 本合同生效后，任何一方不履行或不完全履行本合同约定义务的，即构成违约，守约方有权要求违约方按照守约方遭受的全部损失承担赔偿责任，该损失包括但不限于，守约方为实现权利救济而支付的律师费、差旅费等。</w:t>
      </w:r>
      <w:r/>
    </w:p>
    <w:p>
      <w:pPr>
        <w:pStyle w:val="996"/>
        <w:spacing w:before="120" w:after="120"/>
        <w:rPr>
          <w:rFonts w:hint="eastAsia" w:hAnsi="宋体"/>
          <w:sz w:val="24"/>
          <w:szCs w:val="24"/>
        </w:rPr>
      </w:pPr>
      <w:r>
        <w:rPr>
          <w:rFonts w:hint="eastAsia" w:hAnsi="宋体"/>
          <w:sz w:val="24"/>
          <w:szCs w:val="24"/>
        </w:rPr>
        <w:t xml:space="preserve">11.2 由于乙方原因造成其提供的服务不能满足合同中规定的要求，则甲方有权在书面通知乙方后，要求乙方按照以每例情事按合同总额</w:t>
      </w:r>
      <w:r>
        <w:rPr>
          <w:rFonts w:hint="eastAsia" w:hAnsi="宋体"/>
          <w:b/>
          <w:bCs/>
          <w:sz w:val="24"/>
          <w:szCs w:val="24"/>
        </w:rPr>
        <w:t xml:space="preserve">3%</w:t>
      </w:r>
      <w:r>
        <w:rPr>
          <w:rFonts w:hint="eastAsia" w:hAnsi="宋体"/>
          <w:sz w:val="24"/>
          <w:szCs w:val="24"/>
        </w:rPr>
        <w:t xml:space="preserve">的标准支付违约金，甲方有权在向乙方的任何应付款项中直接扣除该等违约金。服务期限内，上述情事累计发生超过3次的（包含3次），或因乙方有任何履行合同不符合约定的情形，经甲方以书面形式通知乙方，乙方在7日内未能予以补正和改进的，甲方有权解除本合同。甲方依法或依本合约约定行使合同解除权的，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w:t>
      </w:r>
      <w:r/>
    </w:p>
    <w:p>
      <w:pPr>
        <w:pStyle w:val="996"/>
        <w:spacing w:before="120" w:after="120"/>
        <w:rPr>
          <w:rFonts w:hint="eastAsia" w:hAnsi="宋体"/>
          <w:sz w:val="24"/>
          <w:szCs w:val="24"/>
        </w:rPr>
      </w:pPr>
      <w:r>
        <w:rPr>
          <w:rFonts w:hint="eastAsia" w:hAnsi="宋体"/>
          <w:sz w:val="24"/>
          <w:szCs w:val="24"/>
        </w:rPr>
        <w:t xml:space="preserve">11.3 由于乙方原因造成其不能按时完成服务的，每逾期1个工作日，乙方向甲方支付合同总额的</w:t>
      </w:r>
      <w:r>
        <w:rPr>
          <w:rFonts w:hint="eastAsia" w:hAnsi="宋体"/>
          <w:b/>
          <w:bCs/>
          <w:sz w:val="24"/>
          <w:szCs w:val="24"/>
        </w:rPr>
        <w:t xml:space="preserve">3%</w:t>
      </w:r>
      <w:r>
        <w:rPr>
          <w:rFonts w:hint="eastAsia" w:hAnsi="宋体"/>
          <w:sz w:val="24"/>
          <w:szCs w:val="24"/>
        </w:rPr>
        <w:t xml:space="preserve">的违约金，甲方有权在向乙方的任何应付款项中直接扣除该等违约金。乙方逾期履行超过5个工作日的，甲方有权解除本合同，乙方须向甲方退还甲方已经支付的全部款项，并且乙方须按照合同总额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 乙方在本合同项下的累计赔偿责任（含违约金）不超过合同总金额的10%，因乙方故意或重大过失造成的损失除外。</w:t>
      </w:r>
      <w:r/>
    </w:p>
    <w:p>
      <w:pPr>
        <w:pStyle w:val="996"/>
        <w:spacing w:before="120" w:after="120"/>
        <w:rPr>
          <w:rFonts w:hint="eastAsia"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996"/>
        <w:spacing w:before="120" w:after="120"/>
        <w:rPr>
          <w:rFonts w:hint="eastAsia" w:hAnsi="宋体"/>
          <w:sz w:val="24"/>
          <w:szCs w:val="24"/>
        </w:rPr>
      </w:pPr>
      <w:r>
        <w:rPr>
          <w:rFonts w:hint="eastAsia" w:hAnsi="宋体"/>
          <w:sz w:val="24"/>
          <w:szCs w:val="24"/>
        </w:rPr>
        <w:t xml:space="preserve">11.5【日常管理】甲方对乙方服务情况进行季度考核，根据乙方服务完成情况、服务质量、安全保障能力、服务态度等进行综合评价，考核结果与实际付款挂钩：</w:t>
      </w:r>
      <w:r/>
    </w:p>
    <w:p>
      <w:pPr>
        <w:pStyle w:val="996"/>
        <w:spacing w:before="120" w:after="120"/>
        <w:rPr>
          <w:rFonts w:hint="eastAsia" w:hAnsi="宋体"/>
          <w:sz w:val="24"/>
          <w:szCs w:val="24"/>
        </w:rPr>
      </w:pPr>
      <w:r>
        <w:rPr>
          <w:rFonts w:hint="eastAsia" w:hAnsi="宋体"/>
          <w:sz w:val="24"/>
          <w:szCs w:val="24"/>
        </w:rPr>
        <w:t xml:space="preserve">①当四个季度考核结果均为良好以上时，全额支付合同总价款；</w:t>
      </w:r>
      <w:r/>
    </w:p>
    <w:p>
      <w:pPr>
        <w:pStyle w:val="996"/>
        <w:spacing w:before="120" w:after="120"/>
        <w:rPr>
          <w:rFonts w:hint="eastAsia" w:hAnsi="宋体"/>
          <w:sz w:val="24"/>
          <w:szCs w:val="24"/>
        </w:rPr>
      </w:pPr>
      <w:r>
        <w:rPr>
          <w:rFonts w:hint="eastAsia" w:hAnsi="宋体"/>
          <w:sz w:val="24"/>
          <w:szCs w:val="24"/>
        </w:rPr>
        <w:t xml:space="preserve">②当季度考核结果为一般时，每次扣除合同总价款的1%；</w:t>
      </w:r>
      <w:r/>
    </w:p>
    <w:p>
      <w:pPr>
        <w:pStyle w:val="996"/>
        <w:spacing w:before="120" w:after="120"/>
        <w:rPr>
          <w:rFonts w:hint="eastAsia" w:hAnsi="宋体"/>
          <w:sz w:val="24"/>
          <w:szCs w:val="24"/>
        </w:rPr>
      </w:pPr>
      <w:r>
        <w:rPr>
          <w:rFonts w:hint="eastAsia" w:hAnsi="宋体"/>
          <w:sz w:val="24"/>
          <w:szCs w:val="24"/>
        </w:rPr>
        <w:t xml:space="preserve">③当季度考核结果为较差时，每次扣除合同总价款的5%。</w:t>
      </w:r>
      <w:r/>
    </w:p>
    <w:p>
      <w:pPr>
        <w:pStyle w:val="996"/>
        <w:spacing w:before="120" w:after="120"/>
        <w:rPr>
          <w:rFonts w:hint="eastAsia" w:hAnsi="宋体"/>
          <w:sz w:val="24"/>
          <w:szCs w:val="24"/>
        </w:rPr>
      </w:pPr>
      <w:r>
        <w:rPr>
          <w:rFonts w:hint="eastAsia" w:hAnsi="宋体"/>
          <w:sz w:val="24"/>
          <w:szCs w:val="24"/>
        </w:rPr>
        <w:t xml:space="preserve">④乙方未足额提供服务人员，或未经甲方同意更换服务人员，且在甲方发出书面整改通知之后5个工作日未完成整改的，甲方有权解除合同，全额扣除剩余未支付款项。</w:t>
      </w:r>
      <w:r/>
    </w:p>
    <w:p>
      <w:pPr>
        <w:pStyle w:val="996"/>
        <w:spacing w:before="120" w:after="120"/>
        <w:rPr>
          <w:rFonts w:hint="eastAsia" w:hAnsi="宋体"/>
          <w:sz w:val="24"/>
          <w:szCs w:val="24"/>
        </w:rPr>
      </w:pPr>
      <w:r>
        <w:rPr>
          <w:rFonts w:hint="eastAsia" w:hAnsi="宋体"/>
          <w:sz w:val="24"/>
          <w:szCs w:val="24"/>
        </w:rPr>
        <w:t xml:space="preserve">⑤乙方人员服务态度不佳、违反工作纪律、响应滞后、故障处置不及时的，乙方应当在5个工作日内完成人员更换，新人需经甲方同意后方可上岗。</w:t>
      </w:r>
      <w:r/>
    </w:p>
    <w:p>
      <w:pPr>
        <w:pStyle w:val="996"/>
        <w:spacing w:before="120" w:after="120"/>
        <w:rPr>
          <w:rFonts w:hint="eastAsia" w:hAnsi="宋体"/>
          <w:sz w:val="24"/>
          <w:szCs w:val="24"/>
        </w:rPr>
      </w:pPr>
      <w:r>
        <w:rPr>
          <w:rFonts w:hint="eastAsia" w:hAnsi="宋体"/>
          <w:sz w:val="24"/>
          <w:szCs w:val="24"/>
        </w:rPr>
        <w:t xml:space="preserve">11.6【运行事故/事件】因乙方操作不当、配置错误、运行监测不到位、故障响应滞后等原因：</w:t>
      </w:r>
      <w:r/>
    </w:p>
    <w:p>
      <w:pPr>
        <w:pStyle w:val="996"/>
        <w:spacing w:before="120" w:after="120"/>
        <w:rPr>
          <w:rFonts w:hint="eastAsia" w:hAnsi="宋体"/>
          <w:sz w:val="24"/>
          <w:szCs w:val="24"/>
        </w:rPr>
      </w:pPr>
      <w:r>
        <w:rPr>
          <w:rFonts w:hint="eastAsia" w:hAnsi="宋体"/>
          <w:sz w:val="24"/>
          <w:szCs w:val="24"/>
        </w:rPr>
        <w:t xml:space="preserve">①经网信部门认定为较大网络安全事件的，每发生1次，乙方应支付合同总价款10%的违约金，累计发生达到2次，甲方有权单方面解除合同。</w:t>
      </w:r>
      <w:r/>
    </w:p>
    <w:p>
      <w:pPr>
        <w:pStyle w:val="996"/>
        <w:spacing w:before="120" w:after="120"/>
        <w:rPr>
          <w:rFonts w:hint="eastAsia" w:hAnsi="宋体"/>
          <w:sz w:val="24"/>
          <w:szCs w:val="24"/>
        </w:rPr>
      </w:pPr>
      <w:r>
        <w:rPr>
          <w:rFonts w:hint="eastAsia" w:hAnsi="宋体"/>
          <w:sz w:val="24"/>
          <w:szCs w:val="24"/>
        </w:rPr>
        <w:t xml:space="preserve">②经网信部门认定为重大网络安全事件、特别重大网络安全事件的，甲方有权解除合同，全额扣除剩余未支付费用，乙方应向甲方支付合同总价款30%的违约金，违约金不足以弥补甲方损失的，乙方还需赔偿甲方因此遭受的全部损失。</w:t>
      </w:r>
      <w:r/>
    </w:p>
    <w:p>
      <w:pPr>
        <w:pStyle w:val="996"/>
        <w:spacing w:before="120" w:after="120"/>
        <w:rPr>
          <w:rFonts w:hint="eastAsia" w:hAnsi="宋体"/>
          <w:sz w:val="24"/>
          <w:szCs w:val="24"/>
        </w:rPr>
      </w:pPr>
      <w:r>
        <w:rPr>
          <w:rFonts w:hint="eastAsia" w:hAnsi="宋体"/>
          <w:sz w:val="24"/>
          <w:szCs w:val="24"/>
        </w:rPr>
        <w:t xml:space="preserve">③发生上述情况，甲方有权向相关主管部门上报，为相关部门行政处罚、信用评价提供线索。仅对因乙方原因直接导致的、且经双方共同委托的第三方机构认定的事件适用本条；甲方基础设施及第三方系统原因导致的事件不计入。</w:t>
      </w:r>
      <w:r/>
    </w:p>
    <w:p>
      <w:pPr>
        <w:pStyle w:val="996"/>
        <w:spacing w:before="120" w:after="120"/>
        <w:rPr>
          <w:rFonts w:hint="eastAsia" w:hAnsi="宋体"/>
          <w:sz w:val="24"/>
          <w:szCs w:val="24"/>
        </w:rPr>
      </w:pPr>
      <w:r>
        <w:rPr>
          <w:rFonts w:hint="eastAsia" w:hAnsi="宋体"/>
          <w:sz w:val="24"/>
          <w:szCs w:val="24"/>
        </w:rPr>
      </w:r>
      <w:r/>
    </w:p>
    <w:p>
      <w:pPr>
        <w:pStyle w:val="996"/>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6"/>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w:t>
      </w:r>
      <w:r>
        <w:rPr>
          <w:rFonts w:hint="eastAsia" w:hAnsi="宋体"/>
          <w:sz w:val="24"/>
          <w:szCs w:val="24"/>
        </w:rPr>
        <w:t xml:space="preserve">甲方有权解除合同，已付款项按实际完成情况结算。</w:t>
      </w:r>
      <w:r/>
    </w:p>
    <w:p>
      <w:pPr>
        <w:pStyle w:val="996"/>
        <w:spacing w:before="120" w:after="120"/>
        <w:rPr>
          <w:rFonts w:hint="eastAsia" w:hAnsi="宋体"/>
          <w:sz w:val="24"/>
          <w:szCs w:val="24"/>
        </w:rPr>
      </w:pPr>
      <w:r>
        <w:rPr>
          <w:rFonts w:hint="eastAsia" w:hAnsi="宋体"/>
          <w:sz w:val="24"/>
          <w:szCs w:val="24"/>
        </w:rPr>
        <w:t xml:space="preserve">12.4因不可抗力、甲方原因、或非乙方原因（含第三方基础设施提供方、政府主管部门）导致不能履行合同的，合同履行期相应顺延，乙方不承担违约责任。</w:t>
      </w:r>
      <w:r/>
    </w:p>
    <w:p>
      <w:pPr>
        <w:pStyle w:val="996"/>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9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6"/>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96"/>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两</w:t>
      </w:r>
      <w:r>
        <w:rPr>
          <w:rFonts w:hAnsi="宋体"/>
          <w:sz w:val="24"/>
          <w:szCs w:val="24"/>
        </w:rPr>
        <w:t xml:space="preserve">份。</w:t>
      </w:r>
      <w:r/>
    </w:p>
    <w:p>
      <w:pPr>
        <w:pStyle w:val="996"/>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96"/>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6"/>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6"/>
        <w:ind w:firstLine="240"/>
        <w:spacing w:before="120" w:after="120" w:line="0" w:lineRule="atLeast"/>
      </w:pPr>
      <w:r>
        <w:rPr>
          <w:rFonts w:hint="eastAsia" w:hAnsi="宋体"/>
          <w:sz w:val="24"/>
          <w:szCs w:val="24"/>
        </w:rPr>
        <w:t xml:space="preserve">联系电话：                    联系电话：          </w:t>
      </w:r>
      <w:r/>
    </w:p>
    <w:p>
      <w:pPr>
        <w:pStyle w:val="996"/>
        <w:jc w:val="center"/>
        <w:spacing w:before="120" w:after="120" w:line="0" w:lineRule="atLeast"/>
      </w:pPr>
      <w:r>
        <w:rPr>
          <w:rFonts w:hint="eastAsia"/>
        </w:rPr>
        <w:t xml:space="preserve">                                         </w:t>
      </w:r>
      <w:r/>
    </w:p>
    <w:p>
      <w:pPr>
        <w:pStyle w:val="996"/>
        <w:jc w:val="right"/>
        <w:spacing w:before="120" w:after="120" w:line="0" w:lineRule="atLeast"/>
        <w:rPr>
          <w:sz w:val="24"/>
          <w:szCs w:val="24"/>
        </w:rPr>
      </w:pPr>
      <w:r>
        <w:rPr>
          <w:rFonts w:hint="eastAsia"/>
          <w:sz w:val="24"/>
          <w:szCs w:val="24"/>
        </w:rPr>
        <w:t xml:space="preserve"> </w:t>
      </w:r>
      <w:r/>
    </w:p>
    <w:p>
      <w:pPr>
        <w:pStyle w:val="69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sz w:val="24"/>
          <w:szCs w:val="24"/>
        </w:rPr>
      </w:pPr>
      <w:r>
        <w:rPr>
          <w:sz w:val="24"/>
          <w:szCs w:val="24"/>
        </w:rPr>
      </w:r>
      <w:r/>
    </w:p>
    <w:p>
      <w:pPr>
        <w:pStyle w:val="692"/>
        <w:jc w:val="left"/>
        <w:spacing w:before="120" w:after="120" w:line="0" w:lineRule="atLeast"/>
        <w:rPr>
          <w:sz w:val="24"/>
          <w:szCs w:val="24"/>
        </w:rPr>
      </w:pPr>
      <w:r>
        <w:rPr>
          <w:rFonts w:hint="eastAsia"/>
          <w:sz w:val="24"/>
          <w:szCs w:val="24"/>
        </w:rPr>
        <w:t xml:space="preserve">附件一：信息安全保密协议</w:t>
      </w:r>
      <w:r/>
    </w:p>
    <w:p>
      <w:pPr>
        <w:pStyle w:val="692"/>
        <w:ind w:firstLine="480"/>
        <w:jc w:val="left"/>
        <w:spacing w:line="0" w:lineRule="atLeast"/>
        <w:rPr>
          <w:sz w:val="24"/>
          <w:szCs w:val="24"/>
        </w:rPr>
      </w:pPr>
      <w:r>
        <w:rPr>
          <w:sz w:val="24"/>
          <w:szCs w:val="24"/>
        </w:rPr>
      </w:r>
      <w:r/>
    </w:p>
    <w:p>
      <w:pPr>
        <w:pStyle w:val="692"/>
        <w:ind w:firstLine="480"/>
        <w:jc w:val="left"/>
        <w:spacing w:line="0" w:lineRule="atLeast"/>
        <w:rPr>
          <w:sz w:val="24"/>
          <w:szCs w:val="24"/>
        </w:rPr>
      </w:pPr>
      <w:r>
        <w:rPr>
          <w:rFonts w:hint="eastAsia"/>
          <w:sz w:val="24"/>
          <w:szCs w:val="24"/>
        </w:rPr>
        <w:t xml:space="preserve">甲方：江苏省住房和城乡建设厅</w:t>
      </w:r>
      <w:r/>
    </w:p>
    <w:p>
      <w:pPr>
        <w:pStyle w:val="692"/>
        <w:ind w:firstLine="480"/>
        <w:jc w:val="left"/>
        <w:spacing w:line="0" w:lineRule="atLeast"/>
        <w:rPr>
          <w:sz w:val="24"/>
          <w:szCs w:val="24"/>
        </w:rPr>
      </w:pPr>
      <w:r>
        <w:rPr>
          <w:rFonts w:hint="eastAsia"/>
          <w:sz w:val="24"/>
          <w:szCs w:val="24"/>
        </w:rPr>
        <w:t xml:space="preserve">乙方：</w:t>
      </w:r>
      <w:r/>
    </w:p>
    <w:p>
      <w:pPr>
        <w:pStyle w:val="692"/>
        <w:ind w:firstLine="480"/>
        <w:jc w:val="left"/>
        <w:spacing w:line="0" w:lineRule="atLeast"/>
        <w:rPr>
          <w:sz w:val="24"/>
          <w:szCs w:val="24"/>
        </w:rPr>
      </w:pPr>
      <w:r>
        <w:rPr>
          <w:sz w:val="24"/>
          <w:szCs w:val="24"/>
        </w:rPr>
      </w:r>
      <w:r/>
    </w:p>
    <w:p>
      <w:pPr>
        <w:pStyle w:val="692"/>
        <w:ind w:firstLine="480"/>
        <w:jc w:val="left"/>
        <w:spacing w:line="0" w:lineRule="atLeast"/>
        <w:rPr>
          <w:sz w:val="24"/>
          <w:szCs w:val="24"/>
        </w:rPr>
      </w:pPr>
      <w:r>
        <w:rPr>
          <w:rFonts w:hint="eastAsia"/>
          <w:sz w:val="24"/>
          <w:szCs w:val="24"/>
        </w:rPr>
        <w:t xml:space="preserve">为加强甲方</w:t>
      </w:r>
      <w:r>
        <w:rPr>
          <w:sz w:val="24"/>
          <w:szCs w:val="24"/>
        </w:rPr>
        <w:t xml:space="preserve">信息技术资料和</w:t>
      </w:r>
      <w:r>
        <w:rPr>
          <w:rFonts w:hint="eastAsia"/>
          <w:sz w:val="24"/>
          <w:szCs w:val="24"/>
        </w:rPr>
        <w:t xml:space="preserve">系统</w:t>
      </w:r>
      <w:r>
        <w:rPr>
          <w:sz w:val="24"/>
          <w:szCs w:val="24"/>
        </w:rPr>
        <w:t xml:space="preserve">数据的管理</w:t>
      </w:r>
      <w:r>
        <w:rPr>
          <w:rFonts w:hint="eastAsia"/>
          <w:sz w:val="24"/>
          <w:szCs w:val="24"/>
        </w:rPr>
        <w:t xml:space="preserve">，确保甲方的文件资料、计算机系统和信息数据安全，杜绝失密、泄密等事件发生，甲、乙双方根据甲方各项规章制度的规定和信息安全保护相关法律法规，双方在遵循平等自愿、协商一致、诚实信用的原则下，达成如下协议：</w:t>
      </w:r>
      <w:r/>
    </w:p>
    <w:p>
      <w:pPr>
        <w:pStyle w:val="692"/>
        <w:ind w:firstLine="480"/>
        <w:jc w:val="left"/>
        <w:spacing w:line="0" w:lineRule="atLeast"/>
        <w:rPr>
          <w:sz w:val="24"/>
          <w:szCs w:val="24"/>
        </w:rPr>
      </w:pPr>
      <w:r>
        <w:rPr>
          <w:rFonts w:hint="eastAsia"/>
          <w:sz w:val="24"/>
          <w:szCs w:val="24"/>
        </w:rPr>
        <w:t xml:space="preserve">一、保密内容</w:t>
      </w:r>
      <w:r/>
    </w:p>
    <w:p>
      <w:pPr>
        <w:pStyle w:val="692"/>
        <w:ind w:firstLine="480"/>
        <w:jc w:val="left"/>
        <w:spacing w:line="0" w:lineRule="atLeast"/>
        <w:rPr>
          <w:sz w:val="24"/>
          <w:szCs w:val="24"/>
        </w:rPr>
      </w:pPr>
      <w:r>
        <w:rPr>
          <w:rFonts w:hint="eastAsia"/>
          <w:sz w:val="24"/>
          <w:szCs w:val="24"/>
        </w:rPr>
        <w:t xml:space="preserve">（一）甲方</w:t>
      </w:r>
      <w:r>
        <w:rPr>
          <w:sz w:val="24"/>
          <w:szCs w:val="24"/>
        </w:rPr>
        <w:t xml:space="preserve">信息系统项目</w:t>
      </w:r>
      <w:r>
        <w:rPr>
          <w:rFonts w:hint="eastAsia"/>
          <w:sz w:val="24"/>
          <w:szCs w:val="24"/>
        </w:rPr>
        <w:t xml:space="preserve">数据信息。包括但不限于：系统</w:t>
      </w:r>
      <w:r>
        <w:rPr>
          <w:sz w:val="24"/>
          <w:szCs w:val="24"/>
        </w:rPr>
        <w:t xml:space="preserve">建设、</w:t>
      </w:r>
      <w:r>
        <w:rPr>
          <w:rFonts w:hint="eastAsia"/>
          <w:sz w:val="24"/>
          <w:szCs w:val="24"/>
        </w:rPr>
        <w:t xml:space="preserve">实施</w:t>
      </w:r>
      <w:r>
        <w:rPr>
          <w:sz w:val="24"/>
          <w:szCs w:val="24"/>
        </w:rPr>
        <w:t xml:space="preserve">及运维过程中所有</w:t>
      </w:r>
      <w:r>
        <w:rPr>
          <w:rFonts w:hint="eastAsia"/>
          <w:sz w:val="24"/>
          <w:szCs w:val="24"/>
        </w:rPr>
        <w:t xml:space="preserve">系统软件、计算机程序、信息数据、参数。</w:t>
      </w:r>
      <w:r/>
    </w:p>
    <w:p>
      <w:pPr>
        <w:pStyle w:val="692"/>
        <w:ind w:firstLine="480"/>
        <w:jc w:val="left"/>
        <w:spacing w:line="0" w:lineRule="atLeast"/>
        <w:rPr>
          <w:sz w:val="24"/>
          <w:szCs w:val="24"/>
        </w:rPr>
      </w:pPr>
      <w:r>
        <w:rPr>
          <w:rFonts w:hint="eastAsia"/>
          <w:sz w:val="24"/>
          <w:szCs w:val="24"/>
        </w:rPr>
        <w:t xml:space="preserve">（二）与甲方信息系统</w:t>
      </w:r>
      <w:r>
        <w:rPr>
          <w:sz w:val="24"/>
          <w:szCs w:val="24"/>
        </w:rPr>
        <w:t xml:space="preserve">项目</w:t>
      </w:r>
      <w:r>
        <w:rPr>
          <w:rFonts w:hint="eastAsia"/>
          <w:sz w:val="24"/>
          <w:szCs w:val="24"/>
        </w:rPr>
        <w:t xml:space="preserve">相关的</w:t>
      </w:r>
      <w:r>
        <w:rPr>
          <w:sz w:val="24"/>
          <w:szCs w:val="24"/>
        </w:rPr>
        <w:t xml:space="preserve">项目</w:t>
      </w:r>
      <w:r>
        <w:rPr>
          <w:rFonts w:hint="eastAsia"/>
          <w:sz w:val="24"/>
          <w:szCs w:val="24"/>
        </w:rPr>
        <w:t xml:space="preserve">设计</w:t>
      </w:r>
      <w:r>
        <w:rPr>
          <w:sz w:val="24"/>
          <w:szCs w:val="24"/>
        </w:rPr>
        <w:t xml:space="preserve">、开发工具</w:t>
      </w:r>
      <w:r>
        <w:rPr>
          <w:rFonts w:hint="eastAsia"/>
          <w:sz w:val="24"/>
          <w:szCs w:val="24"/>
        </w:rPr>
        <w:t xml:space="preserve">、研究成果、</w:t>
      </w:r>
      <w:r>
        <w:rPr>
          <w:sz w:val="24"/>
          <w:szCs w:val="24"/>
        </w:rPr>
        <w:t xml:space="preserve">专利技术等</w:t>
      </w:r>
      <w:r>
        <w:rPr>
          <w:rFonts w:hint="eastAsia"/>
          <w:sz w:val="24"/>
          <w:szCs w:val="24"/>
        </w:rPr>
        <w:t xml:space="preserve">。</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三</w:t>
      </w:r>
      <w:r>
        <w:rPr>
          <w:sz w:val="24"/>
          <w:szCs w:val="24"/>
        </w:rPr>
        <w:t xml:space="preserve">）甲方在</w:t>
      </w:r>
      <w:r>
        <w:rPr>
          <w:rFonts w:hint="eastAsia"/>
          <w:sz w:val="24"/>
          <w:szCs w:val="24"/>
        </w:rPr>
        <w:t xml:space="preserve">信息</w:t>
      </w:r>
      <w:r>
        <w:rPr>
          <w:sz w:val="24"/>
          <w:szCs w:val="24"/>
        </w:rPr>
        <w:t xml:space="preserve">系统中生成或上传的所有数据及文件资料。</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四</w:t>
      </w:r>
      <w:r>
        <w:rPr>
          <w:sz w:val="24"/>
          <w:szCs w:val="24"/>
        </w:rPr>
        <w:t xml:space="preserve">）在</w:t>
      </w:r>
      <w:r>
        <w:rPr>
          <w:rFonts w:hint="eastAsia"/>
          <w:sz w:val="24"/>
          <w:szCs w:val="24"/>
        </w:rPr>
        <w:t xml:space="preserve">系统</w:t>
      </w:r>
      <w:r>
        <w:rPr>
          <w:sz w:val="24"/>
          <w:szCs w:val="24"/>
        </w:rPr>
        <w:t xml:space="preserve">实施中甲方为乙方提供的网络资源、开发平台、开发工具、各用户名及口令等信息</w:t>
      </w:r>
      <w:r>
        <w:rPr>
          <w:rFonts w:hint="eastAsia"/>
          <w:sz w:val="24"/>
          <w:szCs w:val="24"/>
        </w:rPr>
        <w:t xml:space="preserve">。</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五</w:t>
      </w:r>
      <w:r>
        <w:rPr>
          <w:sz w:val="24"/>
          <w:szCs w:val="24"/>
        </w:rPr>
        <w:t xml:space="preserve">）乙方在实施一体化信息系统建设项目过程中所获悉的甲方基础数据及甲方接口数据、配置数据等关联数据信息。</w:t>
      </w:r>
      <w:r/>
    </w:p>
    <w:p>
      <w:pPr>
        <w:pStyle w:val="692"/>
        <w:ind w:firstLine="480"/>
        <w:jc w:val="left"/>
        <w:spacing w:line="0" w:lineRule="atLeast"/>
        <w:rPr>
          <w:sz w:val="24"/>
          <w:szCs w:val="24"/>
        </w:rPr>
      </w:pPr>
      <w:r>
        <w:rPr>
          <w:rFonts w:hint="eastAsia"/>
          <w:sz w:val="24"/>
          <w:szCs w:val="24"/>
        </w:rPr>
        <w:t xml:space="preserve">（六）乙方在服务合同期间所持有的科研成果和技术秘密，经双方协议乙方同意被甲方应用的，乙方应对研究成果和技术秘密进行保密。</w:t>
      </w:r>
      <w:r/>
    </w:p>
    <w:p>
      <w:pPr>
        <w:pStyle w:val="692"/>
        <w:ind w:firstLine="480"/>
        <w:jc w:val="left"/>
        <w:spacing w:line="0" w:lineRule="atLeast"/>
        <w:rPr>
          <w:sz w:val="24"/>
          <w:szCs w:val="24"/>
        </w:rPr>
      </w:pPr>
      <w:r>
        <w:rPr>
          <w:rFonts w:hint="eastAsia"/>
          <w:sz w:val="24"/>
          <w:szCs w:val="24"/>
        </w:rPr>
        <w:t xml:space="preserve">（七）乙方在服务合同期间的工作成果、科研成果和专利技术等。</w:t>
      </w:r>
      <w:r/>
    </w:p>
    <w:p>
      <w:pPr>
        <w:pStyle w:val="692"/>
        <w:ind w:firstLine="480"/>
        <w:jc w:val="left"/>
        <w:spacing w:line="0" w:lineRule="atLeast"/>
        <w:rPr>
          <w:sz w:val="24"/>
          <w:szCs w:val="24"/>
        </w:rPr>
      </w:pPr>
      <w:r>
        <w:rPr>
          <w:rFonts w:hint="eastAsia"/>
          <w:sz w:val="24"/>
          <w:szCs w:val="24"/>
        </w:rPr>
        <w:t xml:space="preserve">（八）乙方在服务合同期间所接触、知悉的关于甲方所拥有的资料等。</w:t>
      </w:r>
      <w:r/>
    </w:p>
    <w:p>
      <w:pPr>
        <w:pStyle w:val="692"/>
        <w:ind w:firstLine="480"/>
        <w:jc w:val="left"/>
        <w:spacing w:line="0" w:lineRule="atLeast"/>
        <w:rPr>
          <w:sz w:val="24"/>
          <w:szCs w:val="24"/>
        </w:rPr>
      </w:pPr>
      <w:r>
        <w:rPr>
          <w:rFonts w:hint="eastAsia"/>
          <w:sz w:val="24"/>
          <w:szCs w:val="24"/>
        </w:rPr>
        <w:t xml:space="preserve">（九）其他甲方认为合理并告知乙方属于保密的资料以及法律</w:t>
      </w:r>
      <w:r>
        <w:rPr>
          <w:sz w:val="24"/>
          <w:szCs w:val="24"/>
        </w:rPr>
        <w:t xml:space="preserve">、</w:t>
      </w:r>
      <w:r>
        <w:rPr>
          <w:rFonts w:hint="eastAsia"/>
          <w:sz w:val="24"/>
          <w:szCs w:val="24"/>
        </w:rPr>
        <w:t xml:space="preserve">法规规定的属于商业秘密保护范畴内的相关信息资料</w:t>
      </w:r>
      <w:r>
        <w:rPr>
          <w:sz w:val="24"/>
          <w:szCs w:val="24"/>
        </w:rPr>
        <w:t xml:space="preserve">。</w:t>
      </w:r>
      <w:r/>
    </w:p>
    <w:p>
      <w:pPr>
        <w:pStyle w:val="692"/>
        <w:ind w:firstLine="480"/>
        <w:jc w:val="left"/>
        <w:spacing w:line="0" w:lineRule="atLeast"/>
        <w:rPr>
          <w:sz w:val="24"/>
          <w:szCs w:val="24"/>
        </w:rPr>
      </w:pPr>
      <w:r>
        <w:rPr>
          <w:rFonts w:hint="eastAsia"/>
          <w:sz w:val="24"/>
          <w:szCs w:val="24"/>
        </w:rPr>
        <w:t xml:space="preserve">二、保密人员范围</w:t>
      </w:r>
      <w:r/>
    </w:p>
    <w:p>
      <w:pPr>
        <w:pStyle w:val="692"/>
        <w:ind w:firstLine="480"/>
        <w:jc w:val="left"/>
        <w:spacing w:line="0" w:lineRule="atLeast"/>
        <w:rPr>
          <w:sz w:val="24"/>
          <w:szCs w:val="24"/>
        </w:rPr>
      </w:pPr>
      <w:r>
        <w:rPr>
          <w:rFonts w:hint="eastAsia"/>
          <w:sz w:val="24"/>
          <w:szCs w:val="24"/>
        </w:rPr>
        <w:t xml:space="preserve">参与该系统项目的乙方项目经理及所有项目实施人员及关联方。</w:t>
      </w:r>
      <w:r/>
    </w:p>
    <w:p>
      <w:pPr>
        <w:pStyle w:val="692"/>
        <w:ind w:firstLine="480"/>
        <w:jc w:val="left"/>
        <w:spacing w:line="0" w:lineRule="atLeast"/>
        <w:rPr>
          <w:sz w:val="24"/>
          <w:szCs w:val="24"/>
        </w:rPr>
      </w:pPr>
      <w:r>
        <w:rPr>
          <w:rFonts w:hint="eastAsia"/>
          <w:sz w:val="24"/>
          <w:szCs w:val="24"/>
        </w:rPr>
        <w:t xml:space="preserve">三、甲方的权利和义务</w:t>
      </w:r>
      <w:r/>
    </w:p>
    <w:p>
      <w:pPr>
        <w:pStyle w:val="692"/>
        <w:ind w:firstLine="480"/>
        <w:jc w:val="left"/>
        <w:spacing w:line="0" w:lineRule="atLeast"/>
        <w:rPr>
          <w:sz w:val="24"/>
          <w:szCs w:val="24"/>
        </w:rPr>
      </w:pPr>
      <w:r>
        <w:rPr>
          <w:rFonts w:hint="eastAsia"/>
          <w:sz w:val="24"/>
          <w:szCs w:val="24"/>
        </w:rPr>
        <w:t xml:space="preserve">（一）为</w:t>
      </w:r>
      <w:r>
        <w:rPr>
          <w:sz w:val="24"/>
          <w:szCs w:val="24"/>
        </w:rPr>
        <w:t xml:space="preserve">乙方提供</w:t>
      </w:r>
      <w:r>
        <w:rPr>
          <w:rFonts w:hint="eastAsia"/>
          <w:sz w:val="24"/>
          <w:szCs w:val="24"/>
        </w:rPr>
        <w:t xml:space="preserve">所需</w:t>
      </w:r>
      <w:r>
        <w:rPr>
          <w:sz w:val="24"/>
          <w:szCs w:val="24"/>
        </w:rPr>
        <w:t xml:space="preserve">的服务器</w:t>
      </w:r>
      <w:r>
        <w:rPr>
          <w:rFonts w:hint="eastAsia"/>
          <w:sz w:val="24"/>
          <w:szCs w:val="24"/>
        </w:rPr>
        <w:t xml:space="preserve">和</w:t>
      </w:r>
      <w:r>
        <w:rPr>
          <w:sz w:val="24"/>
          <w:szCs w:val="24"/>
        </w:rPr>
        <w:t xml:space="preserve">应用软件</w:t>
      </w:r>
      <w:r>
        <w:rPr>
          <w:rFonts w:hint="eastAsia"/>
          <w:sz w:val="24"/>
          <w:szCs w:val="24"/>
        </w:rPr>
        <w:t xml:space="preserve">使用</w:t>
      </w:r>
      <w:r>
        <w:rPr>
          <w:sz w:val="24"/>
          <w:szCs w:val="24"/>
        </w:rPr>
        <w:t xml:space="preserve">权限</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（二）对工作场所进行安全保密检查，及时清理与工作无关的文件资料，消除保密隐患。</w:t>
      </w:r>
      <w:r/>
    </w:p>
    <w:p>
      <w:pPr>
        <w:pStyle w:val="692"/>
        <w:ind w:firstLine="480"/>
        <w:jc w:val="left"/>
        <w:spacing w:line="0" w:lineRule="atLeast"/>
        <w:rPr>
          <w:sz w:val="24"/>
          <w:szCs w:val="24"/>
        </w:rPr>
      </w:pPr>
      <w:r>
        <w:rPr>
          <w:rFonts w:hint="eastAsia"/>
          <w:sz w:val="24"/>
          <w:szCs w:val="24"/>
        </w:rPr>
        <w:t xml:space="preserve">（三）负责检查乙方人员保密工作情况。</w:t>
      </w:r>
      <w:r/>
    </w:p>
    <w:p>
      <w:pPr>
        <w:pStyle w:val="692"/>
        <w:ind w:firstLine="480"/>
        <w:jc w:val="left"/>
        <w:spacing w:line="0" w:lineRule="atLeast"/>
        <w:rPr>
          <w:sz w:val="24"/>
          <w:szCs w:val="24"/>
        </w:rPr>
      </w:pPr>
      <w:r>
        <w:rPr>
          <w:rFonts w:hint="eastAsia"/>
          <w:sz w:val="24"/>
          <w:szCs w:val="24"/>
        </w:rPr>
        <w:t xml:space="preserve">（四）加强对乙方执行保密制度情况的监督检查，及时发现问题，纠正错误。</w:t>
      </w:r>
      <w:r/>
    </w:p>
    <w:p>
      <w:pPr>
        <w:pStyle w:val="692"/>
        <w:ind w:firstLine="480"/>
        <w:jc w:val="left"/>
        <w:spacing w:line="0" w:lineRule="atLeast"/>
        <w:rPr>
          <w:sz w:val="24"/>
          <w:szCs w:val="24"/>
        </w:rPr>
      </w:pPr>
      <w:r>
        <w:rPr>
          <w:rFonts w:hint="eastAsia"/>
          <w:sz w:val="24"/>
          <w:szCs w:val="24"/>
        </w:rPr>
        <w:t xml:space="preserve">四、乙方的权利和义务</w:t>
      </w:r>
      <w:r/>
    </w:p>
    <w:p>
      <w:pPr>
        <w:pStyle w:val="692"/>
        <w:ind w:firstLine="480"/>
        <w:jc w:val="left"/>
        <w:spacing w:line="0" w:lineRule="atLeast"/>
        <w:rPr>
          <w:sz w:val="24"/>
          <w:szCs w:val="24"/>
        </w:rPr>
      </w:pPr>
      <w:r>
        <w:rPr>
          <w:rFonts w:hint="eastAsia"/>
          <w:sz w:val="24"/>
          <w:szCs w:val="24"/>
        </w:rPr>
        <w:t xml:space="preserve">（一）</w:t>
      </w:r>
      <w:r>
        <w:rPr>
          <w:sz w:val="24"/>
          <w:szCs w:val="24"/>
        </w:rPr>
        <w:t xml:space="preserve">严格遵守</w:t>
      </w:r>
      <w:r>
        <w:rPr>
          <w:rFonts w:hint="eastAsia"/>
          <w:sz w:val="24"/>
          <w:szCs w:val="24"/>
        </w:rPr>
        <w:t xml:space="preserve">相关法律法规和甲方的规章制度要求</w:t>
      </w:r>
      <w:r>
        <w:rPr>
          <w:sz w:val="24"/>
          <w:szCs w:val="24"/>
        </w:rPr>
        <w:t xml:space="preserve">，</w:t>
      </w:r>
      <w:r>
        <w:rPr>
          <w:rFonts w:hint="eastAsia"/>
          <w:sz w:val="24"/>
          <w:szCs w:val="24"/>
        </w:rPr>
        <w:t xml:space="preserve">乙方应采取一切合理且不低于乙方对其自身类似保密信息所采取的措施来保护甲方向其披露的保密信息，以防止保密信息被披露、公开、未经授权的使用（包括一切故意、过失、意外情况）</w:t>
      </w:r>
      <w:r>
        <w:rPr>
          <w:sz w:val="24"/>
          <w:szCs w:val="24"/>
        </w:rPr>
        <w:t xml:space="preserve">，不得以任何手段谋取私利，损害甲方的利益</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（二）乙方提供的产品不得携带病毒或设置后门程序，不得侵犯第三方的专利权、版权、商标权或其他权利。</w:t>
      </w:r>
      <w:r/>
    </w:p>
    <w:p>
      <w:pPr>
        <w:pStyle w:val="692"/>
        <w:ind w:firstLine="480"/>
        <w:jc w:val="left"/>
        <w:spacing w:line="0" w:lineRule="atLeast"/>
        <w:rPr>
          <w:sz w:val="24"/>
          <w:szCs w:val="24"/>
        </w:rPr>
      </w:pPr>
      <w:r>
        <w:rPr>
          <w:rFonts w:hint="eastAsia"/>
          <w:sz w:val="24"/>
          <w:szCs w:val="24"/>
        </w:rPr>
        <w:t xml:space="preserve">（三）</w:t>
      </w:r>
      <w:r>
        <w:rPr>
          <w:sz w:val="24"/>
          <w:szCs w:val="24"/>
        </w:rPr>
        <w:t xml:space="preserve">建立保密及监督机制，</w:t>
      </w:r>
      <w:r>
        <w:rPr>
          <w:rFonts w:hint="eastAsia"/>
          <w:sz w:val="24"/>
          <w:szCs w:val="24"/>
        </w:rPr>
        <w:t xml:space="preserve">加强对派至甲方场所工作人员的教育和管理，组织人员学习保密法律法规及有关制度，进行安全保密教育，增强保密观念。乙方内部无关人员严禁获取保密范围内的相关信息。</w:t>
      </w:r>
      <w:r/>
    </w:p>
    <w:p>
      <w:pPr>
        <w:pStyle w:val="692"/>
        <w:ind w:firstLine="480"/>
        <w:jc w:val="left"/>
        <w:spacing w:line="0" w:lineRule="atLeast"/>
        <w:rPr>
          <w:sz w:val="24"/>
          <w:szCs w:val="24"/>
        </w:rPr>
      </w:pPr>
      <w:r>
        <w:rPr>
          <w:rFonts w:hint="eastAsia"/>
          <w:sz w:val="24"/>
          <w:szCs w:val="24"/>
        </w:rPr>
        <w:t xml:space="preserve">（四）提供相关工作人员的基本情况（姓名、年龄、性别、身份证号码、居住地址、联系方式等）。乙方相关进场服务工作人员应配合甲方相关制度要求签署书面的保密承诺。</w:t>
      </w:r>
      <w:r/>
    </w:p>
    <w:p>
      <w:pPr>
        <w:pStyle w:val="692"/>
        <w:ind w:firstLine="480"/>
        <w:jc w:val="left"/>
        <w:spacing w:line="0" w:lineRule="atLeast"/>
        <w:rPr>
          <w:sz w:val="24"/>
          <w:szCs w:val="24"/>
        </w:rPr>
      </w:pPr>
      <w:r>
        <w:rPr>
          <w:rFonts w:hint="eastAsia"/>
          <w:sz w:val="24"/>
          <w:szCs w:val="24"/>
        </w:rPr>
        <w:t xml:space="preserve">（五）若对在甲方场所的工作人员进行调换，需提前一个月与甲方沟通。</w:t>
      </w:r>
      <w:r/>
    </w:p>
    <w:p>
      <w:pPr>
        <w:pStyle w:val="692"/>
        <w:ind w:firstLine="480"/>
        <w:jc w:val="left"/>
        <w:spacing w:line="0" w:lineRule="atLeast"/>
        <w:rPr>
          <w:sz w:val="24"/>
          <w:szCs w:val="24"/>
        </w:rPr>
      </w:pPr>
      <w:r>
        <w:rPr>
          <w:rFonts w:hint="eastAsia"/>
          <w:sz w:val="24"/>
          <w:szCs w:val="24"/>
        </w:rPr>
        <w:t xml:space="preserve">（六）</w:t>
      </w:r>
      <w:r>
        <w:rPr>
          <w:sz w:val="24"/>
          <w:szCs w:val="24"/>
        </w:rPr>
        <w:t xml:space="preserve">不得在未经甲方</w:t>
      </w:r>
      <w:r>
        <w:rPr>
          <w:rFonts w:hint="eastAsia"/>
          <w:sz w:val="24"/>
          <w:szCs w:val="24"/>
        </w:rPr>
        <w:t xml:space="preserve">书面许可</w:t>
      </w:r>
      <w:r>
        <w:rPr>
          <w:sz w:val="24"/>
          <w:szCs w:val="24"/>
        </w:rPr>
        <w:t xml:space="preserve">的情况下</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1．对</w:t>
      </w:r>
      <w:r>
        <w:rPr>
          <w:sz w:val="24"/>
          <w:szCs w:val="24"/>
        </w:rPr>
        <w:t xml:space="preserve">保密信息进行修改、补充、复制</w:t>
      </w:r>
      <w:r>
        <w:rPr>
          <w:rFonts w:hint="eastAsia"/>
          <w:sz w:val="24"/>
          <w:szCs w:val="24"/>
        </w:rPr>
        <w:t xml:space="preserve">等；</w:t>
      </w:r>
      <w:r/>
    </w:p>
    <w:p>
      <w:pPr>
        <w:pStyle w:val="692"/>
        <w:ind w:firstLine="480"/>
        <w:jc w:val="left"/>
        <w:spacing w:line="0" w:lineRule="atLeast"/>
        <w:rPr>
          <w:sz w:val="24"/>
          <w:szCs w:val="24"/>
        </w:rPr>
      </w:pPr>
      <w:r>
        <w:rPr>
          <w:rFonts w:hint="eastAsia"/>
          <w:sz w:val="24"/>
          <w:szCs w:val="24"/>
        </w:rPr>
        <w:t xml:space="preserve">2．擅自抄录、复制甲方的设备资料、工作文件和电话号码等；</w:t>
      </w:r>
      <w:r/>
    </w:p>
    <w:p>
      <w:pPr>
        <w:pStyle w:val="692"/>
        <w:ind w:firstLine="480"/>
        <w:jc w:val="left"/>
        <w:spacing w:line="0" w:lineRule="atLeast"/>
        <w:rPr>
          <w:sz w:val="24"/>
          <w:szCs w:val="24"/>
        </w:rPr>
      </w:pPr>
      <w:r>
        <w:rPr>
          <w:rFonts w:hint="eastAsia"/>
          <w:sz w:val="24"/>
          <w:szCs w:val="24"/>
        </w:rPr>
        <w:t xml:space="preserve">3．将</w:t>
      </w:r>
      <w:r>
        <w:rPr>
          <w:sz w:val="24"/>
          <w:szCs w:val="24"/>
        </w:rPr>
        <w:t xml:space="preserve">保密信息</w:t>
      </w:r>
      <w:r>
        <w:rPr>
          <w:rFonts w:hint="eastAsia"/>
          <w:sz w:val="24"/>
          <w:szCs w:val="24"/>
        </w:rPr>
        <w:t xml:space="preserve">以</w:t>
      </w:r>
      <w:r>
        <w:rPr>
          <w:sz w:val="24"/>
          <w:szCs w:val="24"/>
        </w:rPr>
        <w:t xml:space="preserve">任何方式（</w:t>
      </w:r>
      <w:r>
        <w:rPr>
          <w:rFonts w:hint="eastAsia"/>
          <w:sz w:val="24"/>
          <w:szCs w:val="24"/>
        </w:rPr>
        <w:t xml:space="preserve">如E</w:t>
      </w:r>
      <w:r>
        <w:rPr>
          <w:sz w:val="24"/>
          <w:szCs w:val="24"/>
        </w:rPr>
        <w:t xml:space="preserve">-mail</w:t>
      </w:r>
      <w:r>
        <w:rPr>
          <w:rFonts w:hint="eastAsia"/>
          <w:sz w:val="24"/>
          <w:szCs w:val="24"/>
        </w:rPr>
        <w:t xml:space="preserve">、移动存储设备等</w:t>
      </w:r>
      <w:r>
        <w:rPr>
          <w:sz w:val="24"/>
          <w:szCs w:val="24"/>
        </w:rPr>
        <w:t xml:space="preserve">）</w:t>
      </w:r>
      <w:r>
        <w:rPr>
          <w:rFonts w:hint="eastAsia"/>
          <w:sz w:val="24"/>
          <w:szCs w:val="24"/>
        </w:rPr>
        <w:t xml:space="preserve">携带</w:t>
      </w:r>
      <w:r>
        <w:rPr>
          <w:sz w:val="24"/>
          <w:szCs w:val="24"/>
        </w:rPr>
        <w:t xml:space="preserve">出甲方</w:t>
      </w:r>
      <w:r>
        <w:rPr>
          <w:rFonts w:hint="eastAsia"/>
          <w:sz w:val="24"/>
          <w:szCs w:val="24"/>
        </w:rPr>
        <w:t xml:space="preserve">规定的</w:t>
      </w:r>
      <w:r>
        <w:rPr>
          <w:sz w:val="24"/>
          <w:szCs w:val="24"/>
        </w:rPr>
        <w:t xml:space="preserve">场所</w:t>
      </w:r>
      <w:r>
        <w:rPr>
          <w:rFonts w:hint="eastAsia"/>
          <w:sz w:val="24"/>
          <w:szCs w:val="24"/>
        </w:rPr>
        <w:t xml:space="preserve">或向第三方泄露；</w:t>
      </w:r>
      <w:r/>
    </w:p>
    <w:p>
      <w:pPr>
        <w:pStyle w:val="692"/>
        <w:ind w:firstLine="480"/>
        <w:jc w:val="left"/>
        <w:spacing w:line="0" w:lineRule="atLeast"/>
        <w:rPr>
          <w:sz w:val="24"/>
          <w:szCs w:val="24"/>
        </w:rPr>
      </w:pPr>
      <w:r>
        <w:rPr>
          <w:rFonts w:hint="eastAsia"/>
          <w:sz w:val="24"/>
          <w:szCs w:val="24"/>
        </w:rPr>
        <w:t xml:space="preserve">4．擅自设置、调整甲方系统设备的参数和配置，在甲方的计算机系统及网站等应用软件中预留后门等；</w:t>
      </w:r>
      <w:r/>
    </w:p>
    <w:p>
      <w:pPr>
        <w:pStyle w:val="692"/>
        <w:ind w:firstLine="480"/>
        <w:jc w:val="left"/>
        <w:spacing w:line="0" w:lineRule="atLeast"/>
        <w:rPr>
          <w:sz w:val="24"/>
          <w:szCs w:val="24"/>
        </w:rPr>
      </w:pPr>
      <w:r>
        <w:rPr>
          <w:rFonts w:hint="eastAsia"/>
          <w:sz w:val="24"/>
          <w:szCs w:val="24"/>
        </w:rPr>
        <w:t xml:space="preserve">5．擅自在甲方单位从事与项目无关的事务，与无关人员谈论甲方的情况；</w:t>
      </w:r>
      <w:r/>
    </w:p>
    <w:p>
      <w:pPr>
        <w:pStyle w:val="692"/>
        <w:ind w:firstLine="480"/>
        <w:jc w:val="left"/>
        <w:spacing w:line="0" w:lineRule="atLeast"/>
        <w:rPr>
          <w:sz w:val="24"/>
          <w:szCs w:val="24"/>
        </w:rPr>
      </w:pPr>
      <w:r>
        <w:rPr>
          <w:rFonts w:hint="eastAsia"/>
          <w:sz w:val="24"/>
          <w:szCs w:val="24"/>
        </w:rPr>
        <w:t xml:space="preserve">6．擅自进出与工作无关的甲方其他场所，擅自在甲方工作场所摄像、照相；</w:t>
      </w:r>
      <w:r/>
    </w:p>
    <w:p>
      <w:pPr>
        <w:pStyle w:val="692"/>
        <w:ind w:firstLine="480"/>
        <w:jc w:val="left"/>
        <w:spacing w:line="0" w:lineRule="atLeast"/>
        <w:rPr>
          <w:sz w:val="24"/>
          <w:szCs w:val="24"/>
        </w:rPr>
      </w:pPr>
      <w:r>
        <w:rPr>
          <w:rFonts w:hint="eastAsia"/>
          <w:sz w:val="24"/>
          <w:szCs w:val="24"/>
        </w:rPr>
        <w:t xml:space="preserve">7．其他涉及泄密、影响系统安全的行为。</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七</w:t>
      </w:r>
      <w:r>
        <w:rPr>
          <w:sz w:val="24"/>
          <w:szCs w:val="24"/>
        </w:rPr>
        <w:t xml:space="preserve">）</w:t>
      </w:r>
      <w:r>
        <w:rPr>
          <w:rFonts w:hint="eastAsia"/>
          <w:sz w:val="24"/>
          <w:szCs w:val="24"/>
        </w:rPr>
        <w:t xml:space="preserve">乙方应履行网络安全保护义务，保障网络免受干扰、破坏或者未经授权的访问，防止网络数据泄露或者被窃取、篡改。包括制定内部安全管理制度和操作规程，确定网络安全负责人，采取防范计算机病毒和网络攻击、网络侵入等危害网络安全行为的技术措施，采取监测、记录网络运行状态、网络安全事件的技术措施，并按照规定留存相关的网络日志不少于六个月，采取数据分类、重要数据备份和加密等措施。</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八</w:t>
      </w:r>
      <w:r>
        <w:rPr>
          <w:sz w:val="24"/>
          <w:szCs w:val="24"/>
        </w:rPr>
        <w:t xml:space="preserve">）</w:t>
      </w:r>
      <w:r>
        <w:rPr>
          <w:rFonts w:hint="eastAsia"/>
          <w:sz w:val="24"/>
          <w:szCs w:val="24"/>
        </w:rPr>
        <w:t xml:space="preserve">乙方一旦知悉保密信息被未经授权地使用或披露，应立即通知甲方并应采取相关救济措施。</w:t>
      </w:r>
      <w:r/>
    </w:p>
    <w:p>
      <w:pPr>
        <w:pStyle w:val="692"/>
        <w:ind w:firstLine="480"/>
        <w:jc w:val="left"/>
        <w:spacing w:line="0" w:lineRule="atLeast"/>
        <w:rPr>
          <w:sz w:val="24"/>
          <w:szCs w:val="24"/>
        </w:rPr>
      </w:pPr>
      <w:r>
        <w:rPr>
          <w:rFonts w:hint="eastAsia"/>
          <w:sz w:val="24"/>
          <w:szCs w:val="24"/>
        </w:rPr>
        <w:t xml:space="preserve">（九）加强接触系统数据人员的保密管理，落实开发运维人员的保密责任，明确追责、问责要求。</w:t>
      </w:r>
      <w:r/>
    </w:p>
    <w:p>
      <w:pPr>
        <w:pStyle w:val="692"/>
        <w:ind w:firstLine="480"/>
        <w:jc w:val="left"/>
        <w:spacing w:line="0" w:lineRule="atLeast"/>
        <w:rPr>
          <w:sz w:val="24"/>
          <w:szCs w:val="24"/>
        </w:rPr>
      </w:pPr>
      <w:r>
        <w:rPr>
          <w:rFonts w:hint="eastAsia"/>
          <w:sz w:val="24"/>
          <w:szCs w:val="24"/>
        </w:rPr>
        <w:t xml:space="preserve">（十）完成工作任务或服务终止后，向甲方上交全部资料和数据信息书面材料和电子文档，不得留存任何副本。</w:t>
      </w:r>
      <w:r/>
    </w:p>
    <w:p>
      <w:pPr>
        <w:pStyle w:val="692"/>
        <w:ind w:firstLine="480"/>
        <w:jc w:val="left"/>
        <w:spacing w:line="0" w:lineRule="atLeast"/>
        <w:rPr>
          <w:sz w:val="24"/>
          <w:szCs w:val="24"/>
        </w:rPr>
      </w:pPr>
      <w:r>
        <w:rPr>
          <w:rFonts w:hint="eastAsia"/>
          <w:sz w:val="24"/>
          <w:szCs w:val="24"/>
        </w:rPr>
        <w:t xml:space="preserve">五、保密期限</w:t>
      </w:r>
      <w:r/>
    </w:p>
    <w:p>
      <w:pPr>
        <w:pStyle w:val="692"/>
        <w:ind w:firstLine="480"/>
        <w:jc w:val="left"/>
        <w:spacing w:line="0" w:lineRule="atLeast"/>
        <w:rPr>
          <w:sz w:val="24"/>
          <w:szCs w:val="24"/>
        </w:rPr>
      </w:pPr>
      <w:r>
        <w:rPr>
          <w:rFonts w:hint="eastAsia"/>
          <w:sz w:val="24"/>
          <w:szCs w:val="24"/>
        </w:rPr>
        <w:t xml:space="preserve">（一）</w:t>
      </w:r>
      <w:r>
        <w:rPr>
          <w:sz w:val="24"/>
          <w:szCs w:val="24"/>
        </w:rPr>
        <w:t xml:space="preserve">保密期限</w:t>
      </w:r>
      <w:r>
        <w:rPr>
          <w:rFonts w:hint="eastAsia"/>
          <w:sz w:val="24"/>
          <w:szCs w:val="24"/>
        </w:rPr>
        <w:t xml:space="preserve">与甲乙双方的服务合同期限一致</w:t>
      </w:r>
      <w:r>
        <w:rPr>
          <w:sz w:val="24"/>
          <w:szCs w:val="24"/>
        </w:rPr>
        <w:t xml:space="preserve">。</w:t>
      </w:r>
      <w:r/>
    </w:p>
    <w:p>
      <w:pPr>
        <w:pStyle w:val="692"/>
        <w:ind w:firstLine="480"/>
        <w:jc w:val="left"/>
        <w:spacing w:line="0" w:lineRule="atLeast"/>
        <w:rPr>
          <w:sz w:val="24"/>
          <w:szCs w:val="24"/>
        </w:rPr>
      </w:pPr>
      <w:r>
        <w:rPr>
          <w:rFonts w:hint="eastAsia"/>
          <w:sz w:val="24"/>
          <w:szCs w:val="24"/>
        </w:rPr>
        <w:t xml:space="preserve">（二）在本协议保密期限届满</w:t>
      </w:r>
      <w:r>
        <w:rPr>
          <w:sz w:val="24"/>
          <w:szCs w:val="24"/>
        </w:rPr>
        <w:t xml:space="preserve">后，如果本协议中</w:t>
      </w:r>
      <w:r>
        <w:rPr>
          <w:rFonts w:hint="eastAsia"/>
          <w:sz w:val="24"/>
          <w:szCs w:val="24"/>
        </w:rPr>
        <w:t xml:space="preserve">部分</w:t>
      </w:r>
      <w:r>
        <w:rPr>
          <w:sz w:val="24"/>
          <w:szCs w:val="24"/>
        </w:rPr>
        <w:t xml:space="preserve">保密信息并未失去保密性，</w:t>
      </w:r>
      <w:r>
        <w:rPr>
          <w:rFonts w:hint="eastAsia"/>
          <w:sz w:val="24"/>
          <w:szCs w:val="24"/>
        </w:rPr>
        <w:t xml:space="preserve">或甲方认为应当保密并告知乙方的</w:t>
      </w:r>
      <w:r>
        <w:rPr>
          <w:sz w:val="24"/>
          <w:szCs w:val="24"/>
        </w:rPr>
        <w:t xml:space="preserve">，本协议仍对这些</w:t>
      </w:r>
      <w:r>
        <w:rPr>
          <w:rFonts w:hint="eastAsia"/>
          <w:sz w:val="24"/>
          <w:szCs w:val="24"/>
        </w:rPr>
        <w:t xml:space="preserve">未</w:t>
      </w:r>
      <w:r>
        <w:rPr>
          <w:sz w:val="24"/>
          <w:szCs w:val="24"/>
        </w:rPr>
        <w:t xml:space="preserve">失去保密性</w:t>
      </w:r>
      <w:r>
        <w:rPr>
          <w:rFonts w:hint="eastAsia"/>
          <w:sz w:val="24"/>
          <w:szCs w:val="24"/>
        </w:rPr>
        <w:t xml:space="preserve">的</w:t>
      </w:r>
      <w:r>
        <w:rPr>
          <w:sz w:val="24"/>
          <w:szCs w:val="24"/>
        </w:rPr>
        <w:t xml:space="preserve">信息</w:t>
      </w:r>
      <w:r>
        <w:rPr>
          <w:rFonts w:hint="eastAsia"/>
          <w:sz w:val="24"/>
          <w:szCs w:val="24"/>
        </w:rPr>
        <w:t xml:space="preserve">有效</w:t>
      </w:r>
      <w:r>
        <w:rPr>
          <w:sz w:val="24"/>
          <w:szCs w:val="24"/>
        </w:rPr>
        <w:t xml:space="preserve">。</w:t>
      </w:r>
      <w:r/>
    </w:p>
    <w:p>
      <w:pPr>
        <w:pStyle w:val="692"/>
        <w:ind w:firstLine="480"/>
        <w:jc w:val="left"/>
        <w:spacing w:line="0" w:lineRule="atLeast"/>
        <w:rPr>
          <w:sz w:val="24"/>
          <w:szCs w:val="24"/>
        </w:rPr>
      </w:pPr>
      <w:r>
        <w:rPr>
          <w:rFonts w:hint="eastAsia"/>
          <w:sz w:val="24"/>
          <w:szCs w:val="24"/>
        </w:rPr>
        <w:t xml:space="preserve">六、违约责任</w:t>
      </w:r>
      <w:r/>
    </w:p>
    <w:p>
      <w:pPr>
        <w:pStyle w:val="692"/>
        <w:ind w:firstLine="480"/>
        <w:jc w:val="left"/>
        <w:spacing w:line="0" w:lineRule="atLeast"/>
        <w:rPr>
          <w:sz w:val="24"/>
          <w:szCs w:val="24"/>
        </w:rPr>
      </w:pPr>
      <w:r>
        <w:rPr>
          <w:rFonts w:hint="eastAsia"/>
          <w:sz w:val="24"/>
          <w:szCs w:val="24"/>
        </w:rPr>
        <w:t xml:space="preserve">在保密协议期内，乙方违反本协议的约定，对造成严重失、泄密事故的个人，甲方有权追究其法律责任。</w:t>
      </w:r>
      <w:r/>
    </w:p>
    <w:p>
      <w:pPr>
        <w:pStyle w:val="692"/>
        <w:ind w:firstLine="480"/>
        <w:jc w:val="left"/>
        <w:spacing w:line="0" w:lineRule="atLeast"/>
        <w:rPr>
          <w:sz w:val="24"/>
          <w:szCs w:val="24"/>
        </w:rPr>
      </w:pPr>
      <w:r>
        <w:rPr>
          <w:rFonts w:hint="eastAsia"/>
          <w:sz w:val="24"/>
          <w:szCs w:val="24"/>
        </w:rPr>
        <w:t xml:space="preserve">乙方及合作中必要知晓保密信息的乙方雇员及关联方，未遵守本协议的约定泄露或使用了甲方的保密信息或违反了安全规定，甲方有权要求乙方立即返还或销毁相关保密信息</w:t>
      </w:r>
      <w:r>
        <w:rPr>
          <w:sz w:val="24"/>
          <w:szCs w:val="24"/>
        </w:rPr>
        <w:t xml:space="preserve">。</w:t>
      </w:r>
      <w:r>
        <w:rPr>
          <w:rFonts w:hint="eastAsia"/>
          <w:sz w:val="24"/>
          <w:szCs w:val="24"/>
        </w:rPr>
        <w:t xml:space="preserve">甲方有权终止双方的合作项目，乙方需返还甲方已支付的全部合同款项，并按照合同价款的30%支付违约金。违约金不足以弥补损失的</w:t>
      </w:r>
      <w:r>
        <w:rPr>
          <w:sz w:val="24"/>
          <w:szCs w:val="24"/>
        </w:rPr>
        <w:t xml:space="preserve">，</w:t>
      </w:r>
      <w:r>
        <w:rPr>
          <w:rFonts w:hint="eastAsia"/>
          <w:sz w:val="24"/>
          <w:szCs w:val="24"/>
        </w:rPr>
        <w:t xml:space="preserve">乙方还应承担赔偿损失的责任</w:t>
      </w:r>
      <w:r>
        <w:rPr>
          <w:sz w:val="24"/>
          <w:szCs w:val="24"/>
        </w:rPr>
        <w:t xml:space="preserve">，</w:t>
      </w:r>
      <w:r>
        <w:rPr>
          <w:rFonts w:hint="eastAsia"/>
          <w:sz w:val="24"/>
          <w:szCs w:val="24"/>
        </w:rPr>
        <w:t xml:space="preserve">包括甲方为维权而支出的律师费</w:t>
      </w:r>
      <w:r>
        <w:rPr>
          <w:sz w:val="24"/>
          <w:szCs w:val="24"/>
        </w:rPr>
        <w:t xml:space="preserve">、</w:t>
      </w:r>
      <w:r>
        <w:rPr>
          <w:rFonts w:hint="eastAsia"/>
          <w:sz w:val="24"/>
          <w:szCs w:val="24"/>
        </w:rPr>
        <w:t xml:space="preserve">公证费</w:t>
      </w:r>
      <w:r>
        <w:rPr>
          <w:sz w:val="24"/>
          <w:szCs w:val="24"/>
        </w:rPr>
        <w:t xml:space="preserve">、</w:t>
      </w:r>
      <w:r>
        <w:rPr>
          <w:rFonts w:hint="eastAsia"/>
          <w:sz w:val="24"/>
          <w:szCs w:val="24"/>
        </w:rPr>
        <w:t xml:space="preserve">鉴定费</w:t>
      </w:r>
      <w:r>
        <w:rPr>
          <w:sz w:val="24"/>
          <w:szCs w:val="24"/>
        </w:rPr>
        <w:t xml:space="preserve">、</w:t>
      </w:r>
      <w:r>
        <w:rPr>
          <w:rFonts w:hint="eastAsia"/>
          <w:sz w:val="24"/>
          <w:szCs w:val="24"/>
        </w:rPr>
        <w:t xml:space="preserve">保全保险费等一切合理费用</w:t>
      </w:r>
      <w:r>
        <w:rPr>
          <w:sz w:val="24"/>
          <w:szCs w:val="24"/>
        </w:rPr>
        <w:t xml:space="preserve">。</w:t>
      </w:r>
      <w:r/>
    </w:p>
    <w:p>
      <w:pPr>
        <w:pStyle w:val="692"/>
        <w:ind w:firstLine="480"/>
        <w:jc w:val="left"/>
        <w:spacing w:line="0" w:lineRule="atLeast"/>
        <w:rPr>
          <w:sz w:val="24"/>
          <w:szCs w:val="24"/>
        </w:rPr>
      </w:pPr>
      <w:r>
        <w:rPr>
          <w:rFonts w:hint="eastAsia"/>
          <w:sz w:val="24"/>
          <w:szCs w:val="24"/>
        </w:rPr>
        <w:t xml:space="preserve">七、争议解决</w:t>
      </w:r>
      <w:r/>
    </w:p>
    <w:p>
      <w:pPr>
        <w:pStyle w:val="692"/>
        <w:ind w:firstLine="480"/>
        <w:jc w:val="left"/>
        <w:spacing w:line="0" w:lineRule="atLeast"/>
        <w:rPr>
          <w:sz w:val="24"/>
          <w:szCs w:val="24"/>
        </w:rPr>
      </w:pPr>
      <w:r>
        <w:rPr>
          <w:rFonts w:hint="eastAsia"/>
          <w:sz w:val="24"/>
          <w:szCs w:val="24"/>
        </w:rPr>
        <w:t xml:space="preserve">甲乙双方因履行本协议发生争议，</w:t>
      </w:r>
      <w:r>
        <w:rPr>
          <w:sz w:val="24"/>
          <w:szCs w:val="24"/>
        </w:rPr>
        <w:t xml:space="preserve">双方应协商解决，</w:t>
      </w:r>
      <w:r>
        <w:rPr>
          <w:rFonts w:hint="eastAsia"/>
          <w:sz w:val="24"/>
          <w:szCs w:val="24"/>
        </w:rPr>
        <w:t xml:space="preserve">协调未果的，可向甲方所在地人民法院诉讼解决。</w:t>
      </w:r>
      <w:r/>
    </w:p>
    <w:p>
      <w:pPr>
        <w:pStyle w:val="692"/>
        <w:ind w:firstLine="480"/>
        <w:jc w:val="left"/>
        <w:spacing w:line="0" w:lineRule="atLeast"/>
        <w:rPr>
          <w:sz w:val="24"/>
          <w:szCs w:val="24"/>
        </w:rPr>
      </w:pPr>
      <w:r>
        <w:rPr>
          <w:rFonts w:hint="eastAsia"/>
          <w:sz w:val="24"/>
          <w:szCs w:val="24"/>
        </w:rPr>
        <w:t xml:space="preserve">八、其他事项</w:t>
      </w:r>
      <w:r/>
    </w:p>
    <w:p>
      <w:pPr>
        <w:pStyle w:val="692"/>
        <w:ind w:firstLine="480"/>
        <w:jc w:val="left"/>
        <w:spacing w:line="0" w:lineRule="atLeast"/>
        <w:rPr>
          <w:sz w:val="24"/>
          <w:szCs w:val="24"/>
        </w:rPr>
      </w:pPr>
      <w:r>
        <w:rPr>
          <w:rFonts w:hint="eastAsia"/>
          <w:sz w:val="24"/>
          <w:szCs w:val="24"/>
        </w:rPr>
        <w:t xml:space="preserve">（一）</w:t>
      </w:r>
      <w:r>
        <w:rPr>
          <w:sz w:val="24"/>
          <w:szCs w:val="24"/>
        </w:rPr>
        <w:t xml:space="preserve">本协议的订立、解释、履行、效力和争议的解决等均适用中华人民共和国法律</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（二）</w:t>
      </w:r>
      <w:r>
        <w:rPr>
          <w:sz w:val="24"/>
          <w:szCs w:val="24"/>
        </w:rPr>
        <w:t xml:space="preserve">如果本协议任何条款根据现行法律被确定为无效或无法实施，本协议的其他所有条款将继续有效</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（三）</w:t>
      </w:r>
      <w:r>
        <w:rPr>
          <w:sz w:val="24"/>
          <w:szCs w:val="24"/>
        </w:rPr>
        <w:t xml:space="preserve">本协议经双方授权代表签字并盖章，自签订日起生效</w:t>
      </w:r>
      <w:r>
        <w:rPr>
          <w:rFonts w:hint="eastAsia"/>
          <w:sz w:val="24"/>
          <w:szCs w:val="24"/>
        </w:rPr>
        <w:t xml:space="preserve">。</w:t>
      </w:r>
      <w:r/>
    </w:p>
    <w:p>
      <w:pPr>
        <w:pStyle w:val="692"/>
        <w:ind w:firstLine="480"/>
        <w:jc w:val="left"/>
        <w:spacing w:line="0" w:lineRule="atLeast"/>
        <w:rPr>
          <w:sz w:val="24"/>
          <w:szCs w:val="24"/>
        </w:rPr>
      </w:pPr>
      <w:r>
        <w:rPr>
          <w:rFonts w:hint="eastAsia"/>
          <w:sz w:val="24"/>
          <w:szCs w:val="24"/>
        </w:rPr>
        <w:t xml:space="preserve">（四）</w:t>
      </w:r>
      <w:r>
        <w:rPr>
          <w:sz w:val="24"/>
          <w:szCs w:val="24"/>
        </w:rPr>
        <w:t xml:space="preserve">本协议一式两份，</w:t>
      </w:r>
      <w:r>
        <w:rPr>
          <w:rFonts w:hint="eastAsia"/>
          <w:sz w:val="24"/>
          <w:szCs w:val="24"/>
        </w:rPr>
        <w:t xml:space="preserve">甲乙双方</w:t>
      </w:r>
      <w:r>
        <w:rPr>
          <w:sz w:val="24"/>
          <w:szCs w:val="24"/>
        </w:rPr>
        <w:t xml:space="preserve">各执一份，具有同等法律效力</w:t>
      </w:r>
      <w:r>
        <w:rPr>
          <w:rFonts w:hint="eastAsia"/>
          <w:sz w:val="24"/>
          <w:szCs w:val="24"/>
        </w:rPr>
        <w:t xml:space="preserve">。</w:t>
      </w:r>
      <w:r/>
    </w:p>
    <w:p>
      <w:pPr>
        <w:pStyle w:val="692"/>
        <w:ind w:firstLine="480"/>
        <w:jc w:val="left"/>
        <w:spacing w:line="0" w:lineRule="atLeast"/>
        <w:rPr>
          <w:sz w:val="24"/>
          <w:szCs w:val="24"/>
        </w:rPr>
      </w:pPr>
      <w:r>
        <w:rPr>
          <w:sz w:val="24"/>
          <w:szCs w:val="24"/>
        </w:rPr>
        <w:t xml:space="preserve">（</w:t>
      </w:r>
      <w:r>
        <w:rPr>
          <w:rFonts w:hint="eastAsia"/>
          <w:sz w:val="24"/>
          <w:szCs w:val="24"/>
        </w:rPr>
        <w:t xml:space="preserve">五</w:t>
      </w:r>
      <w:r>
        <w:rPr>
          <w:sz w:val="24"/>
          <w:szCs w:val="24"/>
        </w:rPr>
        <w:t xml:space="preserve">）</w:t>
      </w:r>
      <w:r>
        <w:rPr>
          <w:rFonts w:hint="eastAsia"/>
          <w:sz w:val="24"/>
          <w:szCs w:val="24"/>
        </w:rPr>
        <w:t xml:space="preserve">双方确认按照下方的约定的地址与联系方式进行送达，今后凡与本协议有关的书面材料，诉讼文书等材料送达均以此为准。若寄送邮件无人签收或被拒收的，则文书退回之日则为送达之日。</w:t>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sz w:val="24"/>
          <w:szCs w:val="24"/>
        </w:rPr>
      </w:pPr>
      <w:r>
        <w:rPr>
          <w:sz w:val="24"/>
          <w:szCs w:val="24"/>
        </w:rPr>
      </w:r>
      <w:r/>
    </w:p>
    <w:p>
      <w:pPr>
        <w:pStyle w:val="692"/>
        <w:jc w:val="left"/>
        <w:spacing w:before="120" w:after="120" w:line="0" w:lineRule="atLeast"/>
        <w:rPr>
          <w:sz w:val="24"/>
          <w:szCs w:val="24"/>
        </w:rPr>
      </w:pPr>
      <w:r>
        <w:rPr>
          <w:sz w:val="24"/>
          <w:szCs w:val="24"/>
        </w:rPr>
      </w:r>
      <w:r/>
    </w:p>
    <w:p>
      <w:pPr>
        <w:pStyle w:val="996"/>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96"/>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6"/>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6"/>
        <w:ind w:firstLine="240"/>
        <w:spacing w:before="120" w:after="120" w:line="0" w:lineRule="atLeast"/>
      </w:pPr>
      <w:r>
        <w:rPr>
          <w:rFonts w:hint="eastAsia" w:hAnsi="宋体"/>
          <w:sz w:val="24"/>
          <w:szCs w:val="24"/>
        </w:rPr>
        <w:t xml:space="preserve">联系电话：                    联系电话：          </w:t>
      </w:r>
      <w:r/>
    </w:p>
    <w:p>
      <w:pPr>
        <w:pStyle w:val="996"/>
        <w:jc w:val="center"/>
        <w:spacing w:before="120" w:after="120" w:line="0" w:lineRule="atLeast"/>
      </w:pPr>
      <w:r>
        <w:rPr>
          <w:rFonts w:hint="eastAsia"/>
        </w:rPr>
        <w:t xml:space="preserve">                                         </w:t>
      </w:r>
      <w:r/>
    </w:p>
    <w:p>
      <w:pPr>
        <w:pStyle w:val="996"/>
        <w:jc w:val="right"/>
        <w:spacing w:before="120" w:after="120" w:line="0" w:lineRule="atLeast"/>
        <w:rPr>
          <w:sz w:val="24"/>
          <w:szCs w:val="24"/>
        </w:rPr>
      </w:pPr>
      <w:r>
        <w:rPr>
          <w:rFonts w:hint="eastAsia"/>
          <w:sz w:val="24"/>
          <w:szCs w:val="24"/>
        </w:rPr>
        <w:t xml:space="preserve"> </w:t>
      </w:r>
      <w:r/>
    </w:p>
    <w:p>
      <w:pPr>
        <w:pStyle w:val="69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sz w:val="24"/>
          <w:szCs w:val="24"/>
        </w:rPr>
      </w:pPr>
      <w:r>
        <w:rPr>
          <w:sz w:val="24"/>
          <w:szCs w:val="24"/>
        </w:rPr>
      </w:r>
      <w:r/>
    </w:p>
    <w:p>
      <w:pPr>
        <w:pStyle w:val="692"/>
        <w:jc w:val="center"/>
        <w:spacing w:before="120" w:after="120" w:line="0" w:lineRule="atLeast"/>
        <w:rPr>
          <w:rFonts w:ascii="黑体" w:eastAsia="黑体"/>
          <w:bCs/>
          <w:sz w:val="44"/>
        </w:rPr>
      </w:pPr>
      <w:r>
        <w:rPr>
          <w:rFonts w:ascii="黑体" w:eastAsia="黑体"/>
          <w:bCs/>
          <w:sz w:val="44"/>
        </w:rPr>
        <w:br w:type="page" w:clear="all"/>
      </w:r>
      <w:r/>
    </w:p>
    <w:p>
      <w:pPr>
        <w:pStyle w:val="669"/>
        <w:rPr>
          <w:rFonts w:ascii="黑体" w:eastAsia="黑体"/>
          <w:bCs/>
          <w:sz w:val="44"/>
        </w:rPr>
      </w:pPr>
      <w:r/>
      <w:bookmarkStart w:id="195" w:name="_Toc4740"/>
      <w:r>
        <w:rPr>
          <w:rFonts w:ascii="黑体" w:eastAsia="黑体"/>
          <w:bCs/>
          <w:sz w:val="44"/>
        </w:rPr>
        <w:t xml:space="preserve">第四章 采购需求</w:t>
      </w:r>
      <w:bookmarkEnd w:id="195"/>
      <w:r/>
      <w:r/>
    </w:p>
    <w:p>
      <w:r/>
      <w:bookmarkEnd w:id="189"/>
      <w:bookmarkEnd w:id="190"/>
      <w:bookmarkEnd w:id="191"/>
      <w:bookmarkEnd w:id="192"/>
      <w:r/>
    </w:p>
    <w:p>
      <w:pPr>
        <w:keepLines/>
        <w:keepNext/>
        <w:spacing w:before="260" w:after="260" w:line="413" w:lineRule="auto"/>
        <w:rPr>
          <w:rFonts w:ascii="Arial" w:hAnsi="Arial" w:eastAsia="黑体" w:cs="Times New Roman"/>
          <w:b/>
          <w:sz w:val="32"/>
        </w:rPr>
        <w:outlineLvl w:val="1"/>
      </w:pPr>
      <w:r/>
      <w:bookmarkStart w:id="196" w:name="OLE_LINK25"/>
      <w:r/>
      <w:bookmarkStart w:id="197" w:name="OLE_LINK24"/>
      <w:r/>
      <w:bookmarkStart w:id="198" w:name="_Toc49090575"/>
      <w:r/>
      <w:bookmarkStart w:id="199" w:name="_Toc26554093"/>
      <w:r/>
      <w:bookmarkStart w:id="200" w:name="_Toc120614281"/>
      <w:r>
        <w:rPr>
          <w:rFonts w:ascii="Arial" w:hAnsi="Arial" w:eastAsia="黑体" w:cs="Times New Roman"/>
          <w:b/>
          <w:sz w:val="32"/>
        </w:rPr>
        <w:t xml:space="preserve">一、采购标的清单</w:t>
      </w:r>
      <w:r/>
    </w:p>
    <w:tbl>
      <w:tblPr>
        <w:tblStyle w:val="6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6"/>
        <w:gridCol w:w="3542"/>
        <w:gridCol w:w="4241"/>
      </w:tblGrid>
      <w:tr>
        <w:trPr>
          <w:cantSplit/>
          <w:jc w:val="center"/>
          <w:trHeight w:val="701"/>
        </w:trPr>
        <w:tc>
          <w:tcPr>
            <w:tcW w:w="756" w:type="dxa"/>
            <w:vAlign w:val="center"/>
            <w:textDirection w:val="lrTb"/>
            <w:noWrap w:val="false"/>
          </w:tcPr>
          <w:p>
            <w:pPr>
              <w:jc w:val="left"/>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采购包号</w:t>
            </w:r>
            <w:r/>
          </w:p>
        </w:tc>
        <w:tc>
          <w:tcPr>
            <w:tcW w:w="1932" w:type="dxa"/>
            <w:vAlign w:val="center"/>
            <w:textDirection w:val="lrTb"/>
            <w:noWrap w:val="false"/>
          </w:tcPr>
          <w:p>
            <w:pPr>
              <w:jc w:val="left"/>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采购标的</w:t>
            </w:r>
            <w:r/>
          </w:p>
        </w:tc>
        <w:tc>
          <w:tcPr>
            <w:tcW w:w="2313" w:type="dxa"/>
            <w:vAlign w:val="center"/>
            <w:textDirection w:val="lrTb"/>
            <w:noWrap w:val="false"/>
          </w:tcPr>
          <w:p>
            <w:pPr>
              <w:jc w:val="left"/>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所属行业</w:t>
            </w:r>
            <w:r/>
          </w:p>
        </w:tc>
      </w:tr>
      <w:tr>
        <w:trPr>
          <w:cantSplit/>
          <w:jc w:val="center"/>
          <w:trHeight w:val="291"/>
        </w:trPr>
        <w:tc>
          <w:tcPr>
            <w:tcW w:w="756" w:type="dxa"/>
            <w:vAlign w:val="center"/>
            <w:textDirection w:val="lrTb"/>
            <w:noWrap w:val="false"/>
          </w:tcPr>
          <w:p>
            <w:pPr>
              <w:jc w:val="center"/>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1</w:t>
            </w:r>
            <w:r/>
          </w:p>
        </w:tc>
        <w:tc>
          <w:tcPr>
            <w:tcW w:w="1932" w:type="dxa"/>
            <w:vAlign w:val="center"/>
            <w:textDirection w:val="lrTb"/>
            <w:noWrap w:val="false"/>
          </w:tcPr>
          <w:p>
            <w:pPr>
              <w:jc w:val="left"/>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省住房城乡建设厅综合服务平台升级改造（2026）项目</w:t>
            </w:r>
            <w:r/>
          </w:p>
        </w:tc>
        <w:tc>
          <w:tcPr>
            <w:tcW w:w="2313" w:type="dxa"/>
            <w:vAlign w:val="center"/>
            <w:textDirection w:val="lrTb"/>
            <w:noWrap w:val="false"/>
          </w:tcPr>
          <w:p>
            <w:pPr>
              <w:jc w:val="left"/>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软件和信息技术服务业</w:t>
            </w:r>
            <w:r/>
          </w:p>
        </w:tc>
      </w:tr>
    </w:tbl>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二、项目概述</w:t>
      </w:r>
      <w:r/>
    </w:p>
    <w:p>
      <w:pPr>
        <w:keepLines/>
        <w:keepNext/>
        <w:spacing w:before="260" w:after="260" w:line="413" w:lineRule="auto"/>
        <w:rPr>
          <w:rFonts w:cs="Times New Roman"/>
          <w:b/>
          <w:sz w:val="32"/>
        </w:rPr>
        <w:outlineLvl w:val="2"/>
      </w:pPr>
      <w:r>
        <w:rPr>
          <w:rFonts w:cs="Times New Roman"/>
          <w:b/>
          <w:sz w:val="32"/>
        </w:rPr>
        <w:t xml:space="preserve">（一）建设背景</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建筑业是江苏省国民经济的支柱产业、优势产业和富民产业，各类住房城乡建设领域企业资质、人员注册</w:t>
      </w:r>
      <w:r>
        <w:rPr>
          <w:rFonts w:ascii="宋体" w:hAnsi="宋体" w:cs="Times New Roman"/>
          <w:sz w:val="24"/>
          <w:szCs w:val="24"/>
        </w:rPr>
        <w:t xml:space="preserve">等事项办理需求量大、覆盖面广，直接关系到行业营商环境优化与企业高质量发展。省住房城乡建设领域注册企业主体超14万家、注册人员30余万人，全省8大类企业资质许可备案和4类执业人员注册管理业务，近三年累计办件总量达115万件。近年来，国家持续深化“放管服”改革、全面推进数字政府建设，住房和城乡建设部出台工程建设企业资质管理改革、行政审批信息化建设等系列政策，明确要求各地构建一体化住建政务服务体系；江苏省落实省政府办公厅《关于加快全省建筑业转型升级的若干措施》中数字化转型相关要求，抢抓“人工智能+”行动发展机遇。</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对照数字政</w:t>
      </w:r>
      <w:r>
        <w:rPr>
          <w:rFonts w:ascii="宋体" w:hAnsi="宋体" w:cs="Times New Roman"/>
          <w:sz w:val="24"/>
          <w:szCs w:val="24"/>
        </w:rPr>
        <w:t xml:space="preserve">府建设和行政审批改革更高要求，现有平台依托老旧技术框架建设，存在明显短板：一是智能化水平偏低，审批全流程高度依赖人工逐项核验，未构建覆盖申报、受理、审核、复核、办结全流程的AI智能研判机制；二是审批监管不足，针对人员“挂证”、业绩造假等隐蔽性风险主要依靠人工审核研判和单点数据比对，廉政风险防控存在薄弱环节；三是数据共享不充分，企业、人员、业绩等核心数据分散在多个独立业务系统，标准不统一、口径不规范，缺乏支撑智能应用的高质量数据底座；四是底层技术框架老旧、部分安全漏洞难以修复，软硬件环境不满足国产化适配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为了有效提升行政审批服务质效、健全行业智能化监管体系，按照住建领域行政审批改革工作部署及我省关于创新智能监管机制等要求，并切实筑牢廉政风控防线，省住房城乡建设厅决定实施综合服务平台升级改造项目，这是当前住房城乡建设领域深化政务改革、强化行业治理的迫切需求。</w:t>
      </w:r>
      <w:r/>
    </w:p>
    <w:p>
      <w:pPr>
        <w:keepLines/>
        <w:keepNext/>
        <w:spacing w:before="260" w:after="260" w:line="413" w:lineRule="auto"/>
        <w:rPr>
          <w:rFonts w:cs="Times New Roman"/>
          <w:b/>
          <w:sz w:val="32"/>
        </w:rPr>
        <w:outlineLvl w:val="2"/>
      </w:pPr>
      <w:r>
        <w:rPr>
          <w:rFonts w:cs="Times New Roman"/>
          <w:b/>
          <w:sz w:val="32"/>
        </w:rPr>
        <w:t xml:space="preserve">（二）建设目标</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本项目以数字化赋能住房城乡建设审批改革为主线，围绕</w:t>
      </w:r>
      <w:r>
        <w:rPr>
          <w:rFonts w:ascii="宋体" w:hAnsi="宋体" w:cs="Times New Roman"/>
          <w:sz w:val="24"/>
          <w:szCs w:val="24"/>
        </w:rPr>
        <w:t xml:space="preserve">“统一平台、规范流程、智能高效、公开透明、安全可靠”总体目标，构建全省一体化行政审批及动态监管体系，全面提升住房城乡建设领域治理能力和政务服务水平。项目紧扣住房城乡建设领域行政审批工作实际，坚守依法审批底线，围绕标准化、集成化、数智化、便利化，依托住房城乡建设审批高质量数据集，培育智能审批应用场景，重构审批业务运行范式，推动服务从“人找服务”向“服务找人”、审批从“人工逐件核查”向“AI智审+人工精判”、风控从“人工经验管控”向“全链条智能防控”、研判从“人工统计分析”向“数智科学决策”迭代升级。具体包括：</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是构建智慧政务服务体系。以市场主体需求为核心，打造全流程智慧申报服务能力，通过智能填报引导、材料自动预填、错误实时校验、政策精准答疑，从源头降低申报难度、减少退补件次数；全面对接省一体化政务服务体系，推动更多审批事项“全程网办”“一网通办”，实现企业群众办事“少跑腿、零跑动、好办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是构建智能审批能力体系。围绕企业资质、人员资格审批业务，将AI能力深度嵌入申报引导、材料识别、规则比对、风险预警、意见生成全流程，建立“AI智能预检+人工精准复核”的分级分类智能预审机制，固化统一审核标准与裁量口径，大幅压缩人工审核工作量与自由裁量空间，实现审批标准统一化、审核流程自动化、办理过程可追溯。</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三是构建智能风控监管体系。依托多源数据交叉核验与智能风险模型，构建“事前风险预警、事中实时管控、事后追溯核查”的全链条智能风控体系，针对人员挂靠、业绩造假、材料不实、异常审批等高频违规场景，实现自动识别、智能标记、精准推送，从源头重点监控违规申报行为，并有效防范审批廉政风险。</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四是构建高质量数据集体系。通过系统化、规范化数据治理，建成九大核心数据集，覆盖住房城乡建设领域企业资质审批的核心数据要素；将治理完成的数据统一纳入平台资产化管理，搭建标准化数据目录和元数据描述体系，实现数据高质量运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五是构建安全可靠支撑体系。全面适配国产化服务器、操作系统、数据库、中间件等基础软硬件，完成平台全栈国产化适配改造；严格落实网络安全等级保护三级与商用密码应用安全性评估要求，构建覆盖网络、主机、应用、数据的纵深安全防护体系，配套建设统一智能运维监控能力，保障平台7×24小时稳定可靠运行。</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三、总体要求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本章明确平台建设的基本原则、总体框架、技术与性能要求、软硬件选型原则及安全体系建设要求，是供应商响应、评标评审与履约验收的技术依据。</w:t>
      </w:r>
      <w:r/>
    </w:p>
    <w:p>
      <w:pPr>
        <w:keepLines/>
        <w:keepNext/>
        <w:spacing w:before="260" w:after="260" w:line="413" w:lineRule="auto"/>
        <w:rPr>
          <w:rFonts w:cs="Times New Roman"/>
          <w:b/>
          <w:sz w:val="32"/>
        </w:rPr>
        <w:outlineLvl w:val="2"/>
      </w:pPr>
      <w:r>
        <w:rPr>
          <w:rFonts w:cs="Times New Roman"/>
          <w:b/>
          <w:sz w:val="32"/>
        </w:rPr>
        <w:t xml:space="preserve">（一）建设原则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本项目建设遵循以下原则：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是统筹规划、分步实施。遵循《国务院关于加强数字政府建设的指导意见》《江苏省省级政务信息化项目建设管理办法》等相关要求，立足省、市、县三级住建一体化审批监管体系统筹规划建设。坚持省级统建、集约共建思路，依托“苏政源”数字资源底座、省政务云等基础设施底座，统一数据交换、AI应用标准。按需求梳理、开发迭代、数据治理、测试上线分阶段分步落地，将企业资质、人员注册等业务单元模块化、颗粒化拆解，打通部省、跨部门数据共享链路，避免重复建设，实现软硬件资源、数据资源、AI能力全域复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是创新驱动、需求牵引。紧扣江苏省“人工智能+”行动部署与建筑业数字化转型工作要求，创新引入大模型、多源数据交叉比对等新一代信息技术，搭建人工智能应用，创新人机协同审批新模式；建设九大核心数据集，构建“数据汇聚—分类分级—数据治理—资源归集”全流程闭环治理体系，持续夯实标准化、高质量的数据底座，支撑AI智能申报、智能预检、智能风控、智能问数等智慧审批场景应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三是优化服务、迭代完善。坚持便民利企核心导向，围绕企业资质、执业人员注册全流程、审批人员监管核查等各类使用场景，推进线上申报、线下业务融合，整合电子证照、跨部门数据共享等服务资源，精简申报材料、压缩审批时限、优化全流程办事链路，切实降低市场主体制度性交易成本。</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四是安全可控、稳定可靠。严格遵循《网络安全法》《数据安全法》《密码法》，落实网络安全等级保护要求、商用密码应用安全性评估要求，构建全栈自主可信安全体系；基础设施、操作系统、数据库等采用国产软硬件，部署国密算法，覆盖数据传输、存储全环节；针对住房城乡建设领域企业、人员、审批有关敏感数据，落实分级分类加密、脱敏管控，建立关键操作留痕、异常自动预警、应急处置闭环机制，防范数据泄露、篡改、AI模型投毒、违规访问等各类安全风险。</w:t>
      </w:r>
      <w:r/>
    </w:p>
    <w:p>
      <w:pPr>
        <w:keepLines/>
        <w:keepNext/>
        <w:spacing w:before="260" w:after="260" w:line="413" w:lineRule="auto"/>
        <w:rPr>
          <w:rFonts w:cs="Times New Roman"/>
          <w:b/>
          <w:sz w:val="32"/>
        </w:rPr>
        <w:outlineLvl w:val="2"/>
      </w:pPr>
      <w:r>
        <w:rPr>
          <w:rFonts w:cs="Times New Roman"/>
          <w:b/>
          <w:sz w:val="32"/>
        </w:rPr>
        <w:t xml:space="preserve">（二）总体框架</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总体架构遵循“集约建设、智能驱动、分层解耦、安全可控”的设计原则，以安全可靠技术路线为底座，在充分复用现有业务流程、数据资源和服务能力的基础上，重点对企业资质申报管理和个人资格注册管理两大核心业务系统开展智能化提质建设。</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总体框架由七个层次构成：一是基础设施体系，依托省政务云现有资源，复用政务网与互联网双网环境，提供通用/智能算力、分布式存储、高速网络及安全等基础能力；二是数据资源体系，基于省“智慧住房城乡建设”平台（一期）已建成的数据资源能力，整合企业、人员、业绩、资质等核心数据资源，为业务应用提供标准化、高质量的数据服务；三是应用支撑体系，复用省“智慧住房城乡建设”平台（一期）已建的数据字典、用户中心、门</w:t>
      </w:r>
      <w:r>
        <w:rPr>
          <w:rFonts w:ascii="宋体" w:hAnsi="宋体" w:cs="Times New Roman"/>
          <w:sz w:val="24"/>
          <w:szCs w:val="24"/>
        </w:rPr>
        <w:t xml:space="preserve">户中心、消息中心等能力；四是AI能力支撑体系，依托省政务云提供的模型资源、AI能力引擎、智能体开发平台、数据与算法平台等成套AI底座资源，实现智能能力统一纳管、集约共享；五是业务应用体系，构建企业资质申报审批管理与个人资格注册审批管理等主要业务集群，并通过智慧申报助手、智能预审、智能风险评估、智能问数等AI智能应用实现数智赋能；六是用户体系，面向省住房城乡建设厅、市县主管部门、企业侧填报人员、注册资格申报人员及社会公众提供差异化服务；七是保障体系，从政策制度、标准规范、运维保障、网络安全等方面支撑系统运行。</w:t>
      </w:r>
      <w:r/>
    </w:p>
    <w:p>
      <w:pPr>
        <w:keepLines/>
        <w:keepNext/>
        <w:spacing w:before="260" w:after="260" w:line="413" w:lineRule="auto"/>
        <w:rPr>
          <w:rFonts w:cs="Times New Roman"/>
          <w:b/>
          <w:sz w:val="32"/>
        </w:rPr>
        <w:outlineLvl w:val="2"/>
      </w:pPr>
      <w:r>
        <w:rPr>
          <w:rFonts w:cs="Times New Roman"/>
          <w:b/>
          <w:sz w:val="32"/>
        </w:rPr>
        <w:t xml:space="preserve">（三）技术要求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采用微服务架构与集群化部署模式，实现高内聚、低耦合，支持单个服务独立升级、扩展与替换，无需停机即可完成功能迭代。系统采用B/S架构，将身份验证、数据加密、日志采集、规则校验等通用能力封装为可复用组件，支持跨业务模块直接调用。平台依托省政务云建设，在政务外网区与互联网区分别申请使用云主机、数据库、中间件、智能算力、安全防护设施等资源，全部选用主流国产化产品，采用集群化部署实现系统高可用、高并发。</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人工智能应用依托省政务云智算算力资源和模型资源建设。模型层面调用省政务云提供的模型资源做住建行业轻量化适配；分阶段建成智慧申报助手、智能预审、智能风险评估、智能问数四类行业专用智能体。</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平台须实现与内外部关联系统的数据整合与业务协同，遵循“数据同源、标准统一、协同联动、一数一源”原则。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平台设计与建设须遵循国家、行业及江</w:t>
      </w:r>
      <w:r>
        <w:rPr>
          <w:rFonts w:ascii="宋体" w:hAnsi="宋体" w:cs="Times New Roman"/>
          <w:sz w:val="24"/>
          <w:szCs w:val="24"/>
        </w:rPr>
        <w:t xml:space="preserve">苏省相关标准规范，主要包括：《信息安全技术 网络安全等级保护基本要求》（GB/T 22239-2019）、《电子政务标准化指南》（GB/T 30850系列）、《数字政府架构框架 第1部分：参考模型》（GB/T 45963.1-2025）、《全国一体化政务服务平台“一网通办”基本要求》（GB/T 44193-2024）、《公共数据管理规范 第2部分：数据共享交换》（DB32/T 4608.2-2023）等。本项目同步编制综合服务平台数据规范、综合服务平台数据共享交换规范、数据集应用规范和综合服务平台技术规范。</w:t>
      </w:r>
      <w:r/>
    </w:p>
    <w:p>
      <w:pPr>
        <w:keepLines/>
        <w:keepNext/>
        <w:spacing w:before="260" w:after="260" w:line="413" w:lineRule="auto"/>
        <w:rPr>
          <w:rFonts w:cs="Times New Roman"/>
          <w:b/>
          <w:sz w:val="32"/>
        </w:rPr>
        <w:outlineLvl w:val="2"/>
      </w:pPr>
      <w:r>
        <w:rPr>
          <w:rFonts w:cs="Times New Roman"/>
          <w:b/>
          <w:sz w:val="32"/>
        </w:rPr>
        <w:t xml:space="preserve">（四）性能要求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平台须满足以下性能要求：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是系统响应时间。企业端申报页面加载时间≤5秒；智能预检（含材料完整性、一致性校验）响应时间≤30秒；AI模型推理（OCR识别、规则匹配）单条办件处理时间≤30秒；人工复核端页面跳转与数据加载时间≤5秒；万级数据量统计报表生成时间≤10秒。</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是系统吞吐量。互联网区高峰期（每月申报集中期）支持≥5000并发用户同时在线操作；政务外网区审批端支持≥800并发用户同时处理业务；AI预审服务支持≥50个办件/分钟的同时处理能力。平台正常运营年份可支撑全省超过10万家企业、30万注册人员及省、市、县三级审批管理人员同时在线使用，月均承载审批办件量不少于4万件，年度累计办件量达48万件以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三是系统资源利用率。日常运行服务器CPU平均使用率≤70%、内存平均使用率≤80%；业务高峰期CPU峰值使用率≤85%、内存峰值使用率≤90%；数据库存储空间使用率≤75%；网络带宽日常使用率≤60%、高峰期使用率≤80%。</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四是数据存储可靠性。数据库采用主从热备架构，主库故障时从库自动切换为主库，切换时间≤30秒；每日凌晨2点执行全量数据备份，备份数据留存≥7天，每周开展1次备份恢复测试，恢复成功率100%，恢复时间控制在30分钟内；支持异地灾备部署，极端情况下可通过异地备份数据在4小时内完成系统重建。系统可用性≥99.9%，支持7×24小时不间断运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五是核心业务容错性。外部数据接口调用失败时自动重试3次（每次间隔5秒），避免单次调用失败影响业务；AI模型推理异常时自动降级为人工审核模式，防止单点故障影响整体业务；配置流量削峰与熔断机制，当并发量超过系统阈值时自动限制新请求接入，优先保障核心审批业务正常运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六是系统平台安全性。平台所有新增功能须通过黑盒测试，缺陷修复率100%，无严重及以上遗留缺陷；系统上线前须通过第三方机构的渗透测试、漏洞扫描与代码审计，中高危漏洞整改率100%。</w:t>
      </w:r>
      <w:r/>
    </w:p>
    <w:p>
      <w:pPr>
        <w:keepLines/>
        <w:keepNext/>
        <w:spacing w:before="260" w:after="260" w:line="413" w:lineRule="auto"/>
        <w:rPr>
          <w:rFonts w:cs="Times New Roman"/>
          <w:b/>
          <w:sz w:val="32"/>
        </w:rPr>
        <w:outlineLvl w:val="2"/>
      </w:pPr>
      <w:r>
        <w:rPr>
          <w:rFonts w:cs="Times New Roman"/>
          <w:b/>
          <w:sz w:val="32"/>
        </w:rPr>
        <w:t xml:space="preserve">（五）主要软硬件选型原则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本项目软硬件选型遵循国产化、自主可控要求，全部选用主流国产化产品并依托省政务云集约提供，具体选型原则如下。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1.总体选型原则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软硬件选型遵循“先进、成熟、安全、开放”的技术原则，全部选用主流国产化产品，落实自主可控建设要求。基础设施、操作系统、数据库、中间件等核心软硬件采用国产化产品，服务器、操作系统、数据库、中间件等全部通过省政务云申请，采用集群化部署方式。AI模型训练与推理算力全部依托省政务云智算集群申领，不自建GPU服务器或智算节点。主机安全、堡垒机、数据加解密、时间戳服务、数据库加密等网络和密码应用安全防护设施由政务云统筹提供。</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2.应用软件要求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平台应用软件须满足以下要求：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（1）功能性要求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平台须完整覆盖企业资质申报管理和个人资格注册管理两大核心业务板块的全流程功能，涵盖申报受理、材料核验、审核审批、证照生成、结果送达等环节，并建设智慧申报助手、智能预审、智</w:t>
      </w:r>
      <w:r>
        <w:rPr>
          <w:rFonts w:ascii="宋体" w:hAnsi="宋体" w:cs="Times New Roman"/>
          <w:sz w:val="24"/>
          <w:szCs w:val="24"/>
        </w:rPr>
        <w:t xml:space="preserve">能风险评估、智能问数等人工智能应用及运维功能。企业资质申报管理须覆盖建筑业企业资质、工程勘察资质、工程设计资质、工程监理企业资质、建设工程质量检测机构资质、房地产估价机构备案、建筑施工企业安全生产许可证、房地产开发企业二级资质等全部资质类型，支持首次申请、延续、升级、增项、变更、注销等全事项办理；个人资格注册管理须覆盖二级注册建筑师、二级注册建造师、二级注册结构工程师、二级注册造价工程师等4类人员资格的注册申报和审批，以及二级建造师的继续教育管理。平台须支持表单、流程、权限等参数化配置，适应业务与政策调整。</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（2）可移植性要求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采用微服务架构，实现高内聚、低耦合，与硬件、操作系统、数据库、中间件解耦，支持单个服务独立升级、扩展与替换，支持跨平台部署与迁移。将身份验证、数据加密、日志采集、规则校验等通用能力封装为可复用组件，支持跨企业资质审批、人员资格注册、信用监管等业务模块直接调用，避免重复开发。</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（3）易用性要求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界面设计、操作流程须贴合企业和群众日常办事习惯，优化交互界面与办事操作流程，提升系统响应效率与易用性。企业端提供智能填报引导、材料自动预填、错误实时校验、政策精准答疑、在线预览与进度查询等功能；移动端功能统一嵌入“苏服办”APP，支持AI智能导办与预填申报，实现注册业务掌上办、集成办。</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（4）兼容性要求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平台须兼容主流浏览器及统信、360等国产浏览器，适配</w:t>
      </w:r>
      <w:r>
        <w:rPr>
          <w:rFonts w:hint="eastAsia" w:ascii="宋体" w:hAnsi="宋体" w:cs="Times New Roman"/>
          <w:sz w:val="24"/>
          <w:szCs w:val="24"/>
        </w:rPr>
        <w:t xml:space="preserve">x</w:t>
      </w:r>
      <w:r>
        <w:rPr>
          <w:rFonts w:ascii="宋体" w:hAnsi="宋体" w:cs="Times New Roman"/>
          <w:sz w:val="24"/>
          <w:szCs w:val="24"/>
        </w:rPr>
        <w:t xml:space="preserve">86/ARM双架构，兼容国产服务器、操作系统、数据库与办公终端。新系统须继承老系统的对外接口规范，按照“接口不变、逐步替换”原则确保外部系统无感知切换。</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（5）可维护性要求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建立全链路监控体系，覆盖微服务运行状态、接口调用、AI模型推理、数据交换等核心环节，提供可视化性能分析界面，支持按时间、业务类型、用户角色等维度快速定位性能瓶颈；实现完整的日志审计与追踪能力，重要操作留痕可追溯，支持对审批流程、数据异常、接口故障等问题进行快速根因分析。运维功能需对智能体服务及所依赖的IT资源进行全栈监控、告警管理与自动化巡检。</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3.外部软件选型要求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涉及外部软件选型的，须满足以下要求：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（1）服务器操作系统软件要求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平台所有云服务器须安装国产商业操作系统，支持适配银河麒麟、统信等国产操作系统，确保系统兼容性与安全性，符合国产化合规要求，适配安全可靠软硬件环境。</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（2）国产化中间件支持要求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平台须支持适配普元、东方通等主流国产Web中间件；数据库须支持适配达梦、神通、人大金仓等国产化数据库；版式软件须支持福昕、数科等，流式软件须支持WPS、永中office等；CPU须支持鲲鹏系列、龙芯系列、海光系列等国产化CPU。</w:t>
      </w:r>
      <w:r/>
    </w:p>
    <w:p>
      <w:pPr>
        <w:keepLines/>
        <w:keepNext/>
        <w:spacing w:before="260" w:after="260" w:line="413" w:lineRule="auto"/>
        <w:rPr>
          <w:rFonts w:cs="Times New Roman"/>
          <w:b/>
          <w:sz w:val="32"/>
        </w:rPr>
        <w:outlineLvl w:val="2"/>
      </w:pPr>
      <w:r>
        <w:rPr>
          <w:rFonts w:cs="Times New Roman"/>
          <w:b/>
          <w:sz w:val="32"/>
        </w:rPr>
        <w:t xml:space="preserve">（六）安全体系建设</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安全建设须严格遵循国家网络安全相关法律法规，全面满足网络安全等级保护第三级及商用密码应用安全性评估要求，依托省政务云构建覆盖物理环境、网络边界、主机系统、应用服务、数据全生命周期及安全管理的一体化防护体系，构建“云平台基础设施安全+租户安全+运维安全”三位一体的纵深防御体系，确保平台运行安全、数据安全、业务安全、管理安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一是落实等级保护要求。依据《信息安全技术 网络安全等级保护基本要求》（GB/T 22239-2019）规定，从安全物理环境、安全通信网络、安全区域边界、安全计算环境、安全管理中心等方面落实技术类要求。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是强化数据安全防护。依托省政务云数据安全底座，遵照《数据安全法》《个人信息保护法》及江苏省政务数据管理相关规定，对数据进行分类分级，明确各级别数据在采集、存储、使用、共享、销毁等全生命周期中的安全管理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三是规范密码应用。依托省政务云统一商用密码基础设施与密码服务能力，遵循《密码法》及商用密码管理相关规范，全面采用SM2/SM3/SM4/SM9等国密算法替换RSA、DES等国际算法。</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四是落实人工智能应用安全。平台搭载智慧申报助手、智能预审、智能风险评估、智能问数四大人工智能应用，须全面落实大模型、智能体、训练数据、模型全生命周期安全管控，满足政务人工智能安全相关标准规范，防范模型泄露、数据投毒、Prompt注入、推理越权、算法偏见等安全风险，落实人工智能安全检测与评估等相关要求。全量数据存储、标注等全程限定在政务云内，严禁原始数据集对外导出、外流，数据调用实行分级授权、操作留痕。</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五是健全安全运营与应急机制。建立“检测—分析—感知—响应”的安全运营闭环机制，通过持续安全检测、事件关联分析、安全态势感知与应急响应处置，实现对平台安全状态的动态监测、风险识别、预警处置与复盘优化。</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四、建设内容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本项目建设内容包括定制化软件开发、高质量数据集、标准规范编制三大板块。软件开发</w:t>
      </w:r>
      <w:r>
        <w:rPr>
          <w:rFonts w:ascii="宋体" w:hAnsi="宋体" w:cs="Times New Roman"/>
          <w:sz w:val="24"/>
          <w:szCs w:val="24"/>
        </w:rPr>
        <w:t xml:space="preserve">围绕企业资质申报管理和个人资格注册管理两大核心业务板块开展智能化改造，新建智慧申报助手、智能预审、智能风险评估、智能问数四类人工智能应用及运维功能，并完成与相关平台的对接；数据治理聚焦企业资质审批全链条数据要素，建设九大核心高质量数据集；标准规范编制形成四项标准规范，为平台集约化建设与长效运行提供制度保障。本项目严格遵循集约建设原则，不存在与单位内其他政务信息系统功能类似、重复建设的情形，不自行采购、建设或变相建设同类基础资源，GPU算力和模型资源全部依托省政务云智算集群申领、不单独采购GPU硬件或云服务。</w:t>
      </w:r>
      <w:r/>
    </w:p>
    <w:p>
      <w:pPr>
        <w:keepLines/>
        <w:keepNext/>
        <w:spacing w:before="260" w:after="260" w:line="413" w:lineRule="auto"/>
        <w:rPr>
          <w:rFonts w:cs="Times New Roman"/>
          <w:b/>
          <w:sz w:val="32"/>
        </w:rPr>
        <w:outlineLvl w:val="2"/>
      </w:pPr>
      <w:r>
        <w:rPr>
          <w:rFonts w:cs="Times New Roman"/>
          <w:b/>
          <w:sz w:val="32"/>
        </w:rPr>
        <w:t xml:space="preserve">（一）软件开发</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软件开发板块以国产化适配为主、代码重构为辅，适配</w:t>
      </w:r>
      <w:r>
        <w:rPr>
          <w:rFonts w:hint="eastAsia" w:ascii="宋体" w:hAnsi="宋体" w:cs="Times New Roman"/>
          <w:sz w:val="24"/>
          <w:szCs w:val="24"/>
        </w:rPr>
        <w:t xml:space="preserve">x</w:t>
      </w:r>
      <w:r>
        <w:rPr>
          <w:rFonts w:ascii="宋体" w:hAnsi="宋体" w:cs="Times New Roman"/>
          <w:sz w:val="24"/>
          <w:szCs w:val="24"/>
        </w:rPr>
        <w:t xml:space="preserve">86/ARM双架构，采用B/S架构，基于省政务云资源池部署，复用省政务云计算/存储/网络资源、统一身份认证、电子证照库及现有审批流程模板等公共能力。本板块包括企业资质申报管理、个人资格注册管理、智慧申报助手、智能预审、智能风险评估、智能问数、运维功能及与相关平台对接等内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1.企业资质申报审批管理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系统面向全省建筑业、勘察设计、工程监理等住房城乡建设领域企业，对申报受理、材料核验、审核审批、证照生成、结果送达等全流程功能进行深度优化与智能化改造，支撑建筑业企业资质、工程勘察资质、工程设计资质、工程监理企业资质、建设工程质量检测机构资质、房地产开发企业二级资质、建筑施工企业安全生产许可证、房地产估价机构备案等8大类企业资质许可备案事项在线办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名词解释：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（1）首次申请：向审批机关提出资质申请，首次取得相应资质证书。</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（2）增项：已取得资质的企业申请增加相同资质下其他专业类别或业务范围的资质。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（3）升级：企业满足提升要求后，申请将已持有资质的等级由低等级提高到高等级。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（4）延续：资质证书有效期届满前，企业申请延长该证书的有效期限。</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（5）变更：企业名称、法定代表人、注册资本、地址等营业执照信息变化时，申请变更资质证书相应内容。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（6）重组合并分立：企业通过合并改制重组等方式，申请将资质转移至其他满足要求的企业。</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（7）注销：因企业依法终止、经营范围变更、吊销、撤销等情形、</w:t>
      </w:r>
      <w:r>
        <w:rPr>
          <w:rFonts w:hint="eastAsia" w:ascii="宋体" w:hAnsi="宋体" w:cs="Times New Roman"/>
          <w:sz w:val="24"/>
          <w:szCs w:val="24"/>
        </w:rPr>
        <w:t xml:space="preserve">注销</w:t>
      </w:r>
      <w:r>
        <w:rPr>
          <w:rFonts w:ascii="宋体" w:hAnsi="宋体" w:cs="Times New Roman"/>
          <w:sz w:val="24"/>
          <w:szCs w:val="24"/>
        </w:rPr>
        <w:t xml:space="preserve">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（8）背靠背审核：2名以上审核人员对申报事项进行独立审核。</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（9）批次：多件长流程事项分类按批次归集，提高会审和推送批量处理效率。</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（10）资质动态核查：在资质证书有效期内，对持证企业是否持续满足有关资质标准进行不定时抽查与核验的事中事后监管。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（11）历史办件查询：按企业、事项、时间、状态等多条件检索与调阅已办结的历史事项，用于追溯、统计、分析。</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（12）电子证照生成签发：审批通过后由系统自动生成带有电子签章的电子证书/证照，并推送至企业账号或电子证照库完成签发。</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系统包括以下业务模块：</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（1）建筑业企业资质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建筑业企业资质的建筑业企业，按照“数据准备—事项申报—状态跟踪”的业务链路设计，主要包括企业信息管理、企业人员信息管理、企业设备与业绩信息管理、资质事项申报管理、资质申报办件管理、资质审批管理，以及资质各类申报事项管理，审批办件的业绩与设备管理、人员管理、其他信息管理、受理审核管理等功能，支撑施工总承包、专业分包各等级资质的新设立、增项、升级、重新核定、重组合并分立、延续、注销等业务办理。为省、市住房城乡建设主管部门及提供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（2）工程设计资质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工程设计资质的设计企业，遵循“先建库、后选报”设计理念，主要包括企业信息管理、人员信息管理、业绩信息管理、资质事项申报管理、申报办件管理、资质审批管理，以及新设立、增项、重新核定、重组合并分立、延续、注销等各项资质事项申报审批管理和审批办件的业绩、人员、其他信息与审核管理等功能。人员配置以注册人员和非注册职称人员为核心，业绩以工程设计项目为核查对象。为省级住房城乡建设主管部门及提供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（3）工程勘察资质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工程勘察资质的勘察企业，主要包括企业信息管理、人员信息管理、设备与业绩信息管理、资质事项申报管理、申报办件管理、资质审批管理，以及新设立、增项、重新核定、重组合并分立、延续、注销等各项资质事项申报和审批办件的业绩与设备、人员、其他信息、受理审核管理等功能，为省级住房城乡建设主管部门提供工程勘察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（4）工程监理企业资质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工程监理资质的监理企业，主要包括企业信息管理、人员信息管理、设备与业绩信息管理、资质事项申报管理、申报办件管理、资质审批管理，以及新设立、增项、延续、注销等各项资质事项申报和审批办件审核管理等功能。人员配置以技术负责人和注册人员为核心核查要素，支持新设立、增项、升级、延续、重组合并分立、重新核定、注销等事项办理。为省级住房城乡建设主管部门提供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（5）安全生产许可证</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安全生产许可证的建筑业企业，主要包括企业信息管理、人员信息管理、资质事项申报管理、申报办件管理、资质审批管理及审批办件管理等功能。数据准备层聚焦企业基本信息、申报联系人和安全生产相关人员信息，申报前提为企业已具备有效的建筑业企业资质证书，支持首次申请、延续、重新审核、注销等事项办理。为省级住房城乡建设主管部门及提供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（6）建设工程质量检测机构资质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建设工程质量检测机构，主要包括机构信息管理、人员信息管理、检测场所和设备信息管理、资质事项申报管理、申报办件管理、资质审批管理、审批办件管理及审批管理等功能，支持检验场所、检验设备、检测能力、校准证书的精细化管理，支持受理、初审、复审、专家评审、二次会审机制；支持新设立、增项、增加参数、升级、延续、重组合并分立、重新核定、注销并等事项办理。为住房城乡建设主管部门及提供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（7）房地产估价机构备案</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房地产估价机构及其分支机构，采用机构与分支机构分入口管理的入口分流设计，主要包括机构信息管理、人员信息管理、业绩信息管理、分支机构信息管理、资质事项申报管理、分支机构备案事项申报管理、申报办件管理、资质审批管理、审批办件管理及分支机构备案审批办件管理等功能。</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（8）房地产开发企业二级资质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持有或申请房地产开发企业二级资质的房地产企业，按照设区市-区县的审批权限下放管控配置，识别企业的审批链路，功能主要包括企业信息管理、专业人员管理、资质事项申报管理、申报办件管理、资质审批管理，以及资质核定、延续、注销、变更等专项审批管理和审批办件的专业人员、附件信息与审核管理等功能，为设区市主管部门及下属区县单位提供房地产开发企业二级资质审批全流程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（9）资质证书信息依营业执照变更</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本模块为企业提供资质证书信息依营业执照变更的统一申报入口，主要包括变更事项申报管理和资质审批办件信息管理等功能。</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（10）资质批次管理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围绕各类资质核准业务的批量办理需求搭建，主要包括建设领域企业资质核准批次管理、建设工程质量检测资质核准批次管理等功能，可归集指定周期内的申报事项，依照资质类型划分审批批次，配套专家请假备案、评审组人员调配能力，支撑统一组织会审、专家集中评审的批次化管控。</w:t>
      </w:r>
      <w:r/>
    </w:p>
    <w:p>
      <w:pPr>
        <w:ind w:firstLine="24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（11）动态核查管理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工程勘察、工程设计、建筑业、工程监理等企业资质、安许证等保持规定要求情况的常态化监管，主要包括资质动态核查管理、动态核查配套管理、安全生产许可证动态核查管理等功能。动态核查每天自动执行一次，实现市场主体行为的全周期监管与风险预警。</w:t>
      </w:r>
      <w:r/>
    </w:p>
    <w:p>
      <w:pPr>
        <w:numPr>
          <w:ilvl w:val="0"/>
          <w:numId w:val="7"/>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省外检测机构进苏备案管理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省外检测机构进苏备案涵盖备案申请、设区市现场核查、备案审批、公示异议处理、备案后管理等环节。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（13）综合业务管理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作为资质申请与审批平台的后台管理核心，主要包括基础信息查询管理、企业资质申报流程管理、企业历史办件查询、历史数据报表、企业资质申报业务配置管理、电子证照维护、数据流转日志、函询、安许证暂扣管理、工作台、省住房城乡建设厅旗舰店等功能。</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个人资格注册管理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名词解释：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（1）初始注册：人员取得执业资格证书后，受聘于执业单位并申请登记，取得注册证书。</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（2）延续注册：注册证书有效期届满前，人员因继续受聘执业，申请延长注册有效期以持续保留执业资格。</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（3）注销注册：人员与执业单位解除关系、不再执业或主动放弃时，申请撤销其注册登记、退出注册。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（4）公告：在注册审核前后，将拟核准的注册人员名单及结果向社会公开发布，接受公众监督。</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（5）常态化核查：对已在册人员是否持续满足注册条件开展定期或不定期的持续性核验。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（6）历史办件查询：按人员、单位、事项、时间、状态等条件检索与调阅已办结的注册资格历史事项，用于追溯、统计。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系统面向全省二级建筑师、二级建造师、二级结构工程师、二级造价工程师等4类注册执业人员，对注册申报、受理、审核、审批全流程进行数字化改造，覆盖人员职业全生命周期管理，并打通个人移动端、企业管理端、审批管理端数据通道。系统按照长办件、短办件两类审批流程设计，初始注册、延续注册、注销注册、注册信息更正等事项实现全程线上闭环办理，大幅压缩注册办理周期。系统包括以下业务模块：</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（1）个人资格注册申报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行业执业人员提供一站式自助服务，主要包括我的资格、注册申报管理、人员资格事项管理、人员资格长三角示范区注册管理、人员注册资格信息管理、个人中心等功能，提供申报导办（提示可办事项）、已注册业务智能办理延续注销增项、申报完成自动生成申请表等能力，实现掌上申报、指尖办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（2）审批管理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为管理端提供审核任务的全景视图与审批工作台，面向审批人、专业负责人及处室负责人，主要包括任务信息管理、待分配任务管理、待审批事项管理、已审批事项管理等功能，围绕“任务归集—统一派发—审核办理—归档统计”业务链路设计，支持系统秒批与审批闭环。平台构建省、市、县三级分层授权的监管账号权限体系，实现按行政属地的数据隔离与权限管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（3）信息维护</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管理端运维人员，主要包括资格信息维护管理、人员信息维护管理、注册信息维护管理、社保信息维护管理、公告信息发布管理、企业基本信息管理、资格导入历史管理等功能，负责资格库、人员、注册、社保、公告、企业及导入历史等基础数据的统一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（4）批次管理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对长办件审批通过后的注册批次进行汇总、维护与归档，面向专业负责人与处室审批领导，主要包括批次汇总管理、延续汇总管理、批次待办管理、批次已办管理等功能，围绕“长办件签发—批次汇总—批次维护—归档追溯”业务链路设计，支撑统一签发与证书生成。</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（5）异常预警管理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统筹处置频次偏低、流程特殊、风控要求高的非常规业务，主要包括办件评价查询管理、注册查询管理、统计分析等功能，涵盖资格注销、信用修复、异常锁定、信息更正、异议申诉等事项，实现全流程闭环管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（6）继续教育管理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本模块面向二级注册建造师继续教育信息的统一管理与数据归集，实现继续教育情况与资格管理业务的联动协同，支持培训机构统一上传继续教育记录、个人在线查询继续教育情况等功能。</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动态核查管理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模块支撑挂证治理与风险管控，主要包括：重点关注人员管理、重点关注人员企业管理、抽查比对管理、常态化核查管理、复查管理等功能，通过多源数据交叉比对开展智能校验与预警，排查挂靠、人证分离、虚假申报等违规线索，采用随机抽查与定向检查两种方式，实现从被动受理到主动发现的风险管控。</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智慧申报助手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本应用为新建人工智能应用，面向全省企业经办人，采用RAG、意图识别与表单填充技术，前端嵌入式集成。通过自然语言问答引导申报，基于FAQ知识库和政策库提供智能服务。应用包括以下功能模块：</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（1）智能对话</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主要包括专业知识库构建、自然语言理解与意图识别、富媒体答案展示等功能，基于住房城乡建设领域政策知识库为申报人提供全天候智能咨询与答疑服务。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（2）企业画像分析</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主要包括多维度标签体系构建、主动需求预判、个性化服务推荐等功能，基于用户历史行为与申报特征实现精准画像与主动服务。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（3）智能办事导航</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主要包括意图识别与事项匹配、材料清单智能生成、一键跳转申报入口、办理中持续引导等功能，根据申报人需求自动匹配事项并生成个性化材料清单，引导完成申报。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（4）智能进度伴行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主要包括全流程节点状态查看、主动进度推送、补正提醒与智能指引、智能催办与逾期管理、证照到期主动提醒等功能，实现申报全过程的主动伴随式服务。</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AI智能预检</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面向省、市、县三级审批审核人员新建的人工智能辅助应用，不替代人工审批主体责任，运用NLP、规则引擎及大模型推理技术，具备智能完整性核验、规范性核验、资质标准校验、材料一致性核验、智能审核意见生成、智能审核辅助建议、决策风险提示、决策建议输出八大模块，可实现申报材料自动校验比对、差异识别、生成标准化审核意见、开展企业风险画像研判并输出分级分类研判结论，为人工审批复核提供辅助决策参考。</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智能风险评估</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面向省住房城乡建设厅风险监管人员的新建人工智能应用，依托规则引擎与大模型推理技术搭建 7 类风险预警模型，通过智能风险评估场景建设、风险预警、知识沉淀与统计分析功能，构建覆盖申报、审批、监管全流程风险评估能力，对挂证、业绩造假等各类高频违规行为自动识别预警推送，同时沉淀风险处置经验形成知识资产，支撑监管统计分析。</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智能问数</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应用为新建人工智能应用，面向全省企业、个人申请人、社会公众及12345热线客服构建业务服务知识库。通过自然语言交互式数据分析，按需调取办件运行、企业主体画像、行业风险态势、审批效能等数据并自动生成分析成果。应用包括以下功能模块：</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（1）智能问答</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主要包括自然语言统计查询、趋势研判报告自动生成、效能画像分析等功能，支持以自然语言方式查询业务数据并自动生成分析成果。</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（2）智能数据管控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主要包括敏感信息智能识别、数据质量与访问边界规则智能生成、动态规则更新与自学习等功能，保障数据查询安全合规。</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运维功能</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平台运维保障人员新建的系统，对</w:t>
      </w:r>
      <w:r>
        <w:rPr>
          <w:rFonts w:ascii="宋体" w:hAnsi="宋体" w:cs="Times New Roman"/>
          <w:sz w:val="24"/>
          <w:szCs w:val="24"/>
        </w:rPr>
        <w:t xml:space="preserve">智慧申报助手、智能预审、智能风险评估、智能问数</w:t>
      </w:r>
      <w:r>
        <w:rPr>
          <w:rFonts w:ascii="宋体" w:hAnsi="宋体" w:cs="宋体"/>
          <w:sz w:val="24"/>
          <w:szCs w:val="24"/>
        </w:rPr>
        <w:t xml:space="preserve">等智能体服务开展全域监控、告警管理及自动化巡检，采用超级管理员、普通管理员、普通成员的分权分域角色体系，复用省政务云日志审计系统、堡垒机现有能力，不重复采购硬件监控设备；通过监控指标采集、基础层监控、告警管理、服务检测、健康检查、数据溯源审计、权限控制、业务配置管理、日志管理模块，完成智能体及底层资源指标采集、系统状态可视化监控、异常分级告警、服务主动探测评估、数据防篡改溯源、分权分域权限管控、业务流程运维及运维日志审计，支撑故障定位与系统运维保障。</w:t>
      </w:r>
      <w:r/>
    </w:p>
    <w:p>
      <w:pPr>
        <w:numPr>
          <w:ilvl w:val="0"/>
          <w:numId w:val="8"/>
        </w:num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与相关平台对接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按照“数据同源、标准统一、协同联动、一数一源”原则，全面梳理内外部关联系统，推进数据资源整合与业务协同对接。平台对接遵循“接口不变、逐步替换”原则，新系统继承老系统对外接口规范，确保外部系统无感知切换，并增强接口容错能力，支持数据校验、异常重试、降级处理、超时熔断等机制。主要对接内容如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（1）与省一体化政务服务平台对接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深度集成省一体化政务服务平台，通过统一身份认证实现法人及自然人用户的单点登录与跨域互认；通过电子证照共享在资质申报与人员注册环节实时调用资格证书数据，支撑“免证办”。</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（2）与“苏服办”APP对接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依托现有“苏服办”移动端服务载体，优化升级住房城乡建设领域原有线上服务能力，对现有移动端办事功能迭代完善，结合统一身份核验、移动端消息推送、电子证照共享等省级公共服务基础能力完成适配对接，实现个人相关业务移动端便捷办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（3）与“苏政源”数字资源底座对接</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按照 “一部门一系统” 原则整合现</w:t>
      </w:r>
      <w:r>
        <w:rPr>
          <w:rFonts w:ascii="宋体" w:hAnsi="宋体" w:cs="宋体"/>
          <w:sz w:val="24"/>
          <w:szCs w:val="24"/>
        </w:rPr>
        <w:t xml:space="preserve">有分散外部数据对接能力，依托 “苏政源” 数字资源底座统一调用各类能力，对接电子证照实现审批全流程证照预览验证、制证归集，对接好差评完成评价数据自动采集回传；作为数源部门按标准归集推送资质证书等证照，作为使用部门按需调取外部证照支撑材料免于提交，同时对接省公共数据平台获取住建领域公共数据资源；分别对接全国建筑市场监管公共服务平台、全国工程质量安全监管信息平台，获取注册人员、企业资质、业绩、安全生产许可及相关人员证书等权威数据开展业务核验，完成部省之间数据双向同步推送，实现全国数据互通互认，防范虚假材料申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（4）接口预留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可对接“1+7”其他系统管理端，实现“一次登录、全域通行”；建立统一用户信息库与角色权限映射机制，支持多系统间用户信息同步与权限穿透管理。同时做好与省数据局拟实施的“苏在线”全省一体化协同办公平台对接准备，预留统一身份认证、组织用户体系、待办消息、业务协同等接口条件，在“苏在线”平台建设时予以接入。</w:t>
      </w:r>
      <w:r/>
    </w:p>
    <w:p>
      <w:pPr>
        <w:keepLines/>
        <w:keepNext/>
        <w:spacing w:before="260" w:after="260" w:line="413" w:lineRule="auto"/>
        <w:rPr>
          <w:rFonts w:cs="Times New Roman"/>
          <w:b/>
          <w:sz w:val="32"/>
        </w:rPr>
        <w:outlineLvl w:val="2"/>
      </w:pPr>
      <w:r>
        <w:rPr>
          <w:rFonts w:cs="Times New Roman"/>
          <w:b/>
          <w:sz w:val="32"/>
        </w:rPr>
        <w:t xml:space="preserve">（二）高质量数据集服务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数据治理聚焦企业资质审批全链条数据要素，以省住房城乡建设厅综合服务平台自有数据为核心治理对象，围绕企业、人员、业绩、审批四大核心主题域开展专业化、标准化数据治理，按需对接省工程建设数字化监管平台、全国建筑市场监管公共服务平台（四库一平台）、“苏政源”数字资源底座等内外部业务系统，构建“数据汇集—分类分级—质量治理—资产纳管”全流程闭环治理体系，持续夯实标准化、高质量的数据底座，支撑AI智能申报、智能预检等智慧审批场景应用。本项目数据治理涉及结构化数据总量约1363万条。数据治理包括以下内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1.高质量数据范围</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围绕企业、人员、业绩、审批四大核心实体构建高质量数据服务框架：企业库整合企业工商信息、资质信息、信用信息，形成统一企业视图，支撑资质审批、动态核查与信用监管；人员库整合人员身份信息、注册资格信息、安管及特种作业人员信息</w:t>
      </w:r>
      <w:r>
        <w:rPr>
          <w:rFonts w:ascii="宋体" w:hAnsi="宋体" w:cs="Times New Roman"/>
          <w:sz w:val="24"/>
          <w:szCs w:val="24"/>
        </w:rPr>
        <w:t xml:space="preserve">，支撑人员资格注册、安管人员管理及信用监管；业绩库整合省内历史与增量业绩，形成统一项目业绩视图，支撑资质升级、增项审批及动态核查；业务库整合历史审批记录、审批流程数据、审核意见、审批用时、补正记录、驳回原因等，形成统一审批行为视图，支撑审批效能分析、AI模型训练及审批行为监管。在此基础上构建面向AI预审、动态核查等特定场景的专题库，以及涵盖政策法规与高频问答的知识库，形成分层分类的数据资产体系。治理工作依托数据资产目录管理、数据质量检核与提升、数据标注管理、合成数据生成与脱敏、数据安全与权限管控等工具开展。</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2.九大核心高质量数据集建设</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为支撑</w:t>
      </w:r>
      <w:r>
        <w:rPr>
          <w:rFonts w:ascii="宋体" w:hAnsi="宋体" w:cs="Times New Roman"/>
          <w:sz w:val="24"/>
          <w:szCs w:val="24"/>
        </w:rPr>
        <w:t xml:space="preserve">智慧申报助手、智能预审、智能风险评估、智能问数</w:t>
      </w:r>
      <w:r>
        <w:rPr>
          <w:rFonts w:ascii="宋体" w:hAnsi="宋体" w:cs="宋体"/>
          <w:sz w:val="24"/>
          <w:szCs w:val="24"/>
        </w:rPr>
        <w:t xml:space="preserve">应用场景，按业务域划分构建</w:t>
      </w:r>
      <w:r>
        <w:rPr>
          <w:rFonts w:ascii="宋体" w:hAnsi="宋体" w:cs="宋体"/>
          <w:sz w:val="24"/>
          <w:szCs w:val="24"/>
        </w:rPr>
        <w:t xml:space="preserve">覆盖企业、人员、业绩、办件、信用、政策、问答七个核心数据域的九大高质量数据集，打造住建领域资质审批全业务链条数据底座，各数据集明确数据来源、量级、字段数、清洗规则、标注样本量、质量指标、更新频率及安全分级；数据集包含企业基本信息、企业资质证书、信用、注册人员信息、历史办件及审核记录、特种作业与安管人员信息、省内高质量业绩、政策法规及资质标准知识、高频问题及标准答复数据集，分别汇聚现有平台、部省级业务系统、12345 热线等多渠道数据，对废止政策文件单独标记留存，不做解析，全面满足 AI 场景的数据供给需求。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3.数据处理流程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数据处理遵循“统一标准、统一接口、统一归集”原则，涵盖数据采集、数据汇聚、数据分析、数据分类分级、数据加工、数据标注、数据维护等环节。数据采集坚持“能接尽接、按需采集”策略，遵循一事一采、最小必要原则，仅在企业提交申报事项时通过“苏政源”数字资源底座等权威渠道采集外部核验数据，综合运用库表接入、文件接入、接口接入等</w:t>
      </w:r>
      <w:r>
        <w:rPr>
          <w:rFonts w:ascii="宋体" w:hAnsi="宋体" w:cs="Times New Roman"/>
          <w:sz w:val="24"/>
          <w:szCs w:val="24"/>
        </w:rPr>
        <w:t xml:space="preserve">方式；数据汇聚通过统一数据接口与交换规范进行标准化清洗、转换与整合，以统一社会信用代码、身份证号、办件编号为核心标识进行实体融合，冲突按数据源优先级裁决，嵌入完整性、一致性、唯一性、时效性质量预检并自动生成数据资源目录；数据标注采用“标注—审核—抽检”三级质量控制机制，对申报材料进行OCR标注，对审核要点、政策法规、审批规则进行结构化标注，对合规案例进行正样本标注，标注结果与原始数据关联存储，支持溯源和版本管理。数据处理须满足相应时效要求，历史业绩类数据、新增业绩数据、外部对接基础信息按规定周期处理与同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4.高质量数据集交付成果</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高质量数据集工作交付数据集成果、数据资产成果和治理流程成果三类。数据集成果为上述九大核心高质量数据集；数据资产成果涵盖标准化数据资源目录（在“苏政源”数字资源底座编目挂接）、分级分类数据资产清单、数据血缘图谱和数据质量报告，保障数据资产可发现、可管控、可追溯；治理流程成果涵盖存量数据治理成果报告、异常数据核验闭环记录、数据更新维护操作规程、数据安全审计日志和审批数据治理成果报告，记录数据治理全过程的工作痕迹和合规保障。</w:t>
      </w:r>
      <w:r/>
    </w:p>
    <w:p>
      <w:pPr>
        <w:keepLines/>
        <w:keepNext/>
        <w:spacing w:before="260" w:after="260" w:line="413" w:lineRule="auto"/>
        <w:rPr>
          <w:rFonts w:cs="Times New Roman"/>
          <w:b/>
          <w:sz w:val="32"/>
        </w:rPr>
        <w:outlineLvl w:val="2"/>
      </w:pPr>
      <w:r>
        <w:rPr>
          <w:rFonts w:cs="Times New Roman"/>
          <w:b/>
          <w:sz w:val="32"/>
        </w:rPr>
        <w:t xml:space="preserve">（三）标准规范编制</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针对江苏省住建领域行政许可业务省市县数据标准不统一、系统协同难、智能化应用基础薄弱等痛点，本项目搭建包含数据定义、共享交换、平台技术标准的标准规范体系，编制住房和城乡建设综合服务平台数据规范、数据共享交换规范、数据集应用规范、技术规范四项规范，统一全省企业资质与人员资格审批数据口径，明确跨层级跨部门数据交互协议及安全规则，消除信息孤岛，实现全省住建审批业务同标准办理、高效率协同、智能化升级，从数据汇聚共享、数据集安全使用、平台建设运维等方面，为综合服务平台集约化建设及长效运行提供制度保障。</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五、服务方案与服务能力要求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供应商须依据本章建设内容及技术要求，针对本项目编制全面、完整、可落地、可验收的服务方案，并对本服务方案与服务能力要求逐项作出响应。服务方案将作为技术部分评审与履约验收的重要依据。</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1.项目理解及需求分析</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供应商须对本项目进行深入理解与需求分析，形成完整的需求分析报告，至少满足以下要求：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（1）项目背景分析：结合项目背景及项目特点，对项目建设必要性、业务现状、信息化平台建设现状进行深入分析。</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（2）核心业务分析：覆盖企业资质申报管理、个人资格注册管理两大核心业务板块。</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（3）AI场景分析：覆盖智慧申报助手、智能预审、智能风险评估、智能问数等人工智能应用场景。</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（4）需求细化：明确各功能模块的使用对象、业务场景、功能需求及数据需求，为系统设计和开发提供依据。</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2.总体架构设计</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供应商须对本项目开展总体架构设计，方案须从顶层视角完成系统整体规划设计，至少满足以下要求：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（1）设计内容：涵盖设计原则、总体架构、业务架构、数据架构、技术架构、部署架构、安全架构。</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（2）框架规划：从顶层视角明确平台总体框架、层次划分、模块结构、系统边界及内外系统对接关系。</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（3）总体目标：符合“统一平台、规范流程、智能高效、公开透明、安全可靠”的总体目标。</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（4）非功能性要求：满足国产化适配、高可用、高并发、易运维、易扩展等要求。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（5）系统集成方案：明确与省住建厅现有政务服务平台、统一身份认证、电子证照库、数据共享交换平台等外部系统的对接关系与集成方案，保障数据互通与业务协同。</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3.数据安全方案</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供应商须制定数据安全防护方案，至少满足以下要求：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（1）环节防护：制定数据传输、数据存储、数据共享交换等环节的数据安全防护方案。</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（2）敏感数据保护：对公民个人信息、企业商业秘密等敏感数据采取加密存储、访问控制、数据脱敏、备份恢复等技术手段。</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（3）AI专项防护：针对智慧申报助手、智能预审、智能风险评估、智能问数等人工智能应用提出数据安全、模型安全、防范数据投毒等专项防护措施。</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（4）应急与容灾：制定数据安全应急预案和备份恢复策略，明确备份频率、恢复时限及演练安排，保障数据不丢失、业务不中断。</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4.企业资质申报管理</w:t>
      </w:r>
      <w:r/>
    </w:p>
    <w:p>
      <w:pPr>
        <w:ind w:firstLine="42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供</w:t>
      </w:r>
      <w:r>
        <w:rPr>
          <w:rFonts w:ascii="宋体" w:hAnsi="宋体" w:cs="宋体"/>
          <w:sz w:val="24"/>
          <w:szCs w:val="24"/>
        </w:rPr>
        <w:t xml:space="preserve">应商须提供企业资质申报管理模块的建设方案，至少满足以下要求：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覆盖范围：覆盖建筑业企业资质、工程勘察资质、工程设计资质、工程监理企业资质、建设工程质量检测机构资质、房地产开发企业二级资质、房地产估价机构备案、建筑施工企业安全生产许可证等8大类企业资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（2）全生命周期办理：实现首次申请、增项、升级、延续、变更、重组合并分立、注销等全生命周期事项办理。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（3）流程配置：支持差异化审批流程配置。</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（4）审批监管功能：实现背靠背审核、批次审批、资质动态核查、历史办件查询及电子证照生成签发等功能。</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5.个人资格注册管理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供应商须提供个人资格注册管理模块的建设方案，至少满足以下要求：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（1）覆盖范围：覆盖二级注册建筑师、二级建造师、二级注册结构工程师、二级造价工程师等4类人员资格。</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（2）全流程办理：实现初始注册、延续注册、变更注册、注销注册等全流程线上办理方案。</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（3）多端协同：提供企业端、培训机构端、管理端多端协同服务方案。</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（4）办理功能：支持短流程快速办结、公示公告、常态化核查及历史办件查询等功能方案。</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6.人工智能应用建设</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供应商须提供人工智能应用建设方案，至少满足以下要求：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（1）应用场景：涵盖智慧申报助手、智能预审、智能风险评估、智能问数等人工智能应用场景。</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（2）技术路线：明确各应用的技术路线（RAG、意图识别、NLP、规则引擎、大模型推理等）。</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（3）融合机制：明确各应用的功能模块设计、与审批流程的深度融合方式及人机协同审批机制。</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（4）安全管控：配套落实大模型、智能体、训练数据、模型全生命周期安全管控措施，确保人工智能应用稳定、安全、可控。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（5）运行机制：明确AI应用的运行监控、操作日志、告警处置及版本迭代机制，保障应用长期稳定运行与持续可用。</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7.高质量数据集建设</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供应商须提供高质量数据集的建设方案，至少满足以下要求：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（1）数据范围：满足企业信息、资质证书、人员信息、信用处罚、历史办件、工程业绩、政策法规、高频问答等9类高质量数据集建设需求。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（2）实施流程：明确数据采集、数据汇聚、数据清洗、数据标注、分类分级、资产纳管的全流程实施方式。</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（3）数据底座：为人工智能应用提供标准化、高质量的数据底座。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（4）更新维护机制：建立数据集的动态更新与维护机制，明确更新频率、更新流程及数据溯源要求，确保数据鲜活、准确、可追溯。</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（5）共享服务机制：明确数据集的资产纳管、目录发布与共享服务方式，支持面向人工智能应用及业务场景的按需供给。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8.质量管理措施</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供应商须提供针对本项目的质量管理方案，至少满足以下要求：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（1）保障体系：建立针对本项目的质量保障体系。</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（2）管理措施：提出质量管理措施、质量控制方法。</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（3）过程控制：明确需求、设计、开发、测试、试运行、验收各环节的质量控制手段。</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（4）缺陷管理：建立缺陷管理机制，确保平台所有新增功能通过测试、缺陷修复率100%、无严重及以上遗留缺陷。</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（5）测试管理：制定覆盖单元测试、集成测试、系统测试、性能测试等层级的测试方案，明确测试用例、测试记录、缺陷跟踪及回归测试要求。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9.进度管理</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供应商须提供针对本项目的进度管理方案，至少满足以下要求：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（1）计划体系：包含版本计划、迭代计划和每日计划。</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（2）制度机制：明确例会制度、里程碑汇报等内容。</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（3）实施计划：编制细化可执行的项目实施进度计划，明确各阶段工作内容、实施步骤、时间节点、人员分工及交付成果。</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（4）资源保障：明确项目实施人员配置、组织分工及资源保障措施，关键岗位人员须保持稳定，确需变更时应及时补充并做好工作交接。</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（5）风险应对：识别影响进度的关键路径与风险因素，制定应对措施与预警机制，出现进度偏差时及时纠偏并向采购人报告。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10.培训及售后服务</w:t>
      </w:r>
      <w:r/>
    </w:p>
    <w:p>
      <w:pPr>
        <w:ind w:firstLine="480"/>
        <w:jc w:val="left"/>
        <w:spacing w:line="500" w:lineRule="exact"/>
        <w:rPr>
          <w:rFonts w:hint="eastAsia" w:ascii="宋体" w:hAnsi="宋体" w:eastAsia="方正仿宋_GBK" w:cs="宋体"/>
          <w:sz w:val="28"/>
          <w:szCs w:val="28"/>
        </w:rPr>
      </w:pPr>
      <w:r>
        <w:rPr>
          <w:rFonts w:ascii="宋体" w:hAnsi="宋体" w:cs="宋体"/>
          <w:sz w:val="24"/>
          <w:szCs w:val="24"/>
        </w:rPr>
        <w:t xml:space="preserve">投标人应根据本项目特点，提供详细的培训及售后服务方案，至少满足以下要求：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（1）技术文档：供应商必须提供工作人员的操作培训和技术人员的技术培训，提供培训资料，如系统架构文档、需求详细设计文档、系统部署文档等，并可按采购人要求进行补充和细化。</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（2）功能讲解：供应商允许采购人全程参与系统开发过程，针对每个模块或需求对采购人进行讲解，并按采购人提出的修改意见进行调整。</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（3）代码管理：系统的源代码需按采购人要求进行规范化，需按采购人要求对代码进行版本管理。</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培训要求：系统上线后，供应商应安排不少于2名具备相应资质和项目经验的技术人员，对采购单位使用部门人员开展岗位实操培训，培训覆盖企业人员、审批人员、运维人员、系统管理员四类岗位，围绕系统上线、日常操作、故障处置开展全流程培训。确保参训人员熟练掌握设备或系统的日常使用及维护技能。累计培训总人次不少于20人次；总课时≥8课时（每课时不少于30分钟）。培训教材须包含操作手册、运维手册。培训方式可以采用集中授课、现场实操、视频教学等，必要时提供一对一指导。</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5）售后服务：供应商应根据本项目特点提供完善的售后服务和日常维护方案，主要是在免费运维期内，供应商主动对系统进行维护和功能优化、日常巡检、安全扫描等。对于故障响应：中标供应商提供7*8小时服务，响应时间为即时，响应答复时间不超过0.5小时，1小时内到达现场。对采购人提出的合理服务要求，须及时进行电话、邮件及远程网络支持，并在1小时内到场服务。紧急需求按采购人要求时间内完成。</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六、履约能力要求</w:t>
      </w:r>
      <w:r/>
    </w:p>
    <w:p>
      <w:pPr>
        <w:ind w:firstLine="480"/>
        <w:spacing w:line="500" w:lineRule="exact"/>
        <w:rPr>
          <w:rFonts w:hint="eastAsia" w:ascii="宋体" w:hAnsi="宋体" w:cs="Times New Roman"/>
          <w:sz w:val="24"/>
          <w:szCs w:val="24"/>
        </w:rPr>
      </w:pPr>
      <w:r>
        <w:rPr>
          <w:rFonts w:ascii="宋体" w:hAnsi="宋体" w:cs="Times New Roman"/>
          <w:sz w:val="24"/>
          <w:szCs w:val="24"/>
        </w:rPr>
        <w:t xml:space="preserve">1.投标人应具有自主研发能力，具备与本项目相关的软件著作权证书，证书内容包含“审批平台”</w:t>
      </w:r>
      <w:r>
        <w:rPr>
          <w:rFonts w:hint="eastAsia" w:ascii="宋体" w:hAnsi="宋体" w:cs="Times New Roman"/>
          <w:sz w:val="24"/>
          <w:szCs w:val="24"/>
        </w:rPr>
        <w:t xml:space="preserve">、</w:t>
      </w:r>
      <w:r>
        <w:rPr>
          <w:rFonts w:ascii="宋体" w:hAnsi="宋体" w:cs="Times New Roman"/>
          <w:sz w:val="24"/>
          <w:szCs w:val="24"/>
        </w:rPr>
        <w:t xml:space="preserve">“政务服务”或“AI平台”相关的关键词，提供相应软件著作权证书。</w:t>
      </w:r>
      <w:r/>
    </w:p>
    <w:p>
      <w:pPr>
        <w:ind w:firstLine="480"/>
        <w:spacing w:line="500" w:lineRule="exact"/>
        <w:rPr>
          <w:rFonts w:hint="eastAsia" w:ascii="宋体" w:hAnsi="宋体" w:cs="Times New Roman"/>
          <w:sz w:val="24"/>
          <w:szCs w:val="24"/>
        </w:rPr>
      </w:pPr>
      <w:r>
        <w:rPr>
          <w:rFonts w:ascii="宋体" w:hAnsi="宋体" w:cs="Times New Roman"/>
          <w:sz w:val="24"/>
          <w:szCs w:val="24"/>
        </w:rPr>
        <w:t xml:space="preserve">自2023年1月1日起，投标人具有类似项目业绩（政务服务、AI应用</w:t>
      </w:r>
      <w:r>
        <w:rPr>
          <w:rFonts w:hint="eastAsia" w:ascii="宋体" w:hAnsi="宋体" w:cs="Times New Roman"/>
          <w:sz w:val="24"/>
          <w:szCs w:val="24"/>
        </w:rPr>
        <w:t xml:space="preserve">、数据治理</w:t>
      </w:r>
      <w:r>
        <w:rPr>
          <w:rFonts w:ascii="宋体" w:hAnsi="宋体" w:cs="Times New Roman"/>
          <w:sz w:val="24"/>
          <w:szCs w:val="24"/>
        </w:rPr>
        <w:t xml:space="preserve">或审批监管类）</w:t>
      </w:r>
      <w:r/>
    </w:p>
    <w:p>
      <w:pPr>
        <w:ind w:firstLine="480"/>
        <w:spacing w:line="500" w:lineRule="exact"/>
        <w:rPr>
          <w:rFonts w:hint="eastAsia" w:ascii="宋体" w:hAnsi="宋体" w:cs="宋体"/>
          <w:sz w:val="24"/>
          <w:szCs w:val="24"/>
        </w:rPr>
      </w:pPr>
      <w:r>
        <w:rPr>
          <w:rFonts w:ascii="宋体" w:hAnsi="宋体" w:cs="宋体"/>
          <w:sz w:val="24"/>
          <w:szCs w:val="24"/>
        </w:rPr>
        <w:t xml:space="preserve">2.投标人自2023年1月1日以来（以合同签订时间为准）承接过类似</w:t>
      </w:r>
      <w:r>
        <w:rPr>
          <w:rFonts w:ascii="宋体" w:hAnsi="宋体" w:cs="Times New Roman"/>
          <w:sz w:val="24"/>
          <w:szCs w:val="24"/>
        </w:rPr>
        <w:t xml:space="preserve">政务服务、AI应用或审批监管类</w:t>
      </w:r>
      <w:r>
        <w:rPr>
          <w:rFonts w:ascii="宋体" w:hAnsi="宋体" w:cs="宋体"/>
          <w:sz w:val="24"/>
          <w:szCs w:val="24"/>
        </w:rPr>
        <w:t xml:space="preserve">项目经验。</w:t>
      </w:r>
      <w:r/>
    </w:p>
    <w:p>
      <w:pPr>
        <w:ind w:firstLine="480"/>
        <w:spacing w:line="500" w:lineRule="exact"/>
        <w:rPr>
          <w:rFonts w:hint="eastAsia" w:ascii="宋体" w:hAnsi="宋体" w:cs="宋体"/>
          <w:sz w:val="24"/>
          <w:szCs w:val="24"/>
        </w:rPr>
      </w:pPr>
      <w:r>
        <w:rPr>
          <w:rFonts w:ascii="宋体" w:hAnsi="宋体" w:cs="宋体"/>
          <w:sz w:val="24"/>
          <w:szCs w:val="24"/>
        </w:rPr>
        <w:t xml:space="preserve">3.投标人为本项目应配备相应的开发团队，团队人员不少于20人，且应为投标人自有人员，依法为其缴纳社保。</w:t>
      </w:r>
      <w:r/>
    </w:p>
    <w:p>
      <w:pPr>
        <w:ind w:firstLine="480"/>
        <w:spacing w:line="500" w:lineRule="exact"/>
        <w:rPr>
          <w:rFonts w:hint="eastAsia" w:ascii="宋体" w:hAnsi="宋体" w:cs="宋体"/>
          <w:sz w:val="24"/>
          <w:szCs w:val="24"/>
        </w:rPr>
      </w:pPr>
      <w:r>
        <w:rPr>
          <w:rFonts w:ascii="宋体" w:hAnsi="宋体" w:cs="宋体"/>
          <w:sz w:val="24"/>
          <w:szCs w:val="24"/>
        </w:rPr>
        <w:t xml:space="preserve">投标人应为本项目配备项目经理1人，具有高级工程师证书（人工智能方向）、信息系统项目管理师证书、系统分析师证书；</w:t>
      </w:r>
      <w:r/>
    </w:p>
    <w:p>
      <w:pPr>
        <w:ind w:firstLine="480"/>
        <w:spacing w:line="500" w:lineRule="exact"/>
        <w:rPr>
          <w:rFonts w:hint="eastAsia" w:ascii="宋体" w:hAnsi="宋体" w:cs="宋体"/>
          <w:sz w:val="24"/>
          <w:szCs w:val="24"/>
        </w:rPr>
      </w:pPr>
      <w:r>
        <w:rPr>
          <w:rFonts w:ascii="宋体" w:hAnsi="宋体" w:cs="宋体"/>
          <w:sz w:val="24"/>
          <w:szCs w:val="24"/>
        </w:rPr>
        <w:t xml:space="preserve">技术负责人1人，具有高级工程师证书（电子信息方向）、系统架构设计师证书、软件设计师证书；</w:t>
      </w:r>
      <w:r/>
    </w:p>
    <w:p>
      <w:pPr>
        <w:ind w:firstLine="480"/>
        <w:spacing w:line="500" w:lineRule="exact"/>
        <w:rPr>
          <w:rFonts w:hint="eastAsia" w:ascii="宋体" w:hAnsi="宋体" w:cs="宋体"/>
          <w:sz w:val="24"/>
          <w:szCs w:val="24"/>
        </w:rPr>
      </w:pPr>
      <w:r>
        <w:rPr>
          <w:rFonts w:ascii="宋体" w:hAnsi="宋体" w:cs="宋体"/>
          <w:sz w:val="24"/>
          <w:szCs w:val="24"/>
        </w:rPr>
        <w:t xml:space="preserve">信息安全负责人1人，具有信息系统项目管理师证书、CISAW信息安全保障人员证书、信息安全工程师证书；</w:t>
      </w:r>
      <w:r/>
    </w:p>
    <w:p>
      <w:pPr>
        <w:ind w:firstLine="480"/>
        <w:spacing w:line="500" w:lineRule="exact"/>
        <w:rPr>
          <w:rFonts w:hint="eastAsia" w:ascii="宋体" w:hAnsi="宋体" w:cs="宋体"/>
          <w:sz w:val="24"/>
          <w:szCs w:val="24"/>
        </w:rPr>
      </w:pPr>
      <w:r>
        <w:rPr>
          <w:rFonts w:ascii="宋体" w:hAnsi="宋体" w:cs="宋体"/>
          <w:sz w:val="24"/>
          <w:szCs w:val="24"/>
        </w:rPr>
        <w:t xml:space="preserve">架构分析负责人1人，具有系统分析师证书、系统架构师证书；</w:t>
      </w:r>
      <w:r/>
    </w:p>
    <w:p>
      <w:pPr>
        <w:ind w:firstLine="480"/>
        <w:spacing w:line="500" w:lineRule="exact"/>
        <w:rPr>
          <w:rFonts w:hint="eastAsia" w:ascii="宋体" w:hAnsi="宋体" w:cs="宋体"/>
          <w:sz w:val="24"/>
          <w:szCs w:val="24"/>
        </w:rPr>
      </w:pPr>
      <w:r>
        <w:rPr>
          <w:rFonts w:ascii="宋体" w:hAnsi="宋体" w:cs="宋体"/>
          <w:sz w:val="24"/>
          <w:szCs w:val="24"/>
        </w:rPr>
        <w:t xml:space="preserve">测试负责人1人，具有软件测试工程师证书、软件设计师证书、系统架构设计师证书；</w:t>
      </w:r>
      <w:r/>
    </w:p>
    <w:p>
      <w:pPr>
        <w:ind w:firstLine="480"/>
        <w:jc w:val="left"/>
        <w:spacing w:before="120" w:after="120" w:line="400" w:lineRule="exact"/>
        <w:rPr>
          <w:rFonts w:hint="eastAsia" w:ascii="宋体" w:hAnsi="宋体" w:cs="宋体"/>
          <w:sz w:val="24"/>
          <w:szCs w:val="24"/>
        </w:rPr>
      </w:pPr>
      <w:r>
        <w:rPr>
          <w:rFonts w:ascii="宋体" w:hAnsi="宋体" w:cs="宋体"/>
          <w:sz w:val="24"/>
          <w:szCs w:val="24"/>
        </w:rPr>
        <w:t xml:space="preserve">因本次项目内容涉及软件开发、人工智能、信息安全、运行维护等多门学科的复合型知识，项目团队中的核心成员</w:t>
      </w:r>
      <w:r>
        <w:rPr>
          <w:rFonts w:ascii="宋体" w:hAnsi="宋体" w:cs="Times New Roman"/>
          <w:sz w:val="24"/>
          <w:szCs w:val="24"/>
        </w:rPr>
        <w:t xml:space="preserve">（不含项目经理、技术负责人、信息安全负责人、架构分析负责人、测试负责人）</w:t>
      </w:r>
      <w:r>
        <w:rPr>
          <w:rFonts w:ascii="宋体" w:hAnsi="宋体" w:cs="宋体"/>
          <w:sz w:val="24"/>
          <w:szCs w:val="24"/>
        </w:rPr>
        <w:t xml:space="preserve">还应具有以下能力：投入本项目的核心成员具有</w:t>
      </w:r>
      <w:r>
        <w:rPr>
          <w:rFonts w:ascii="宋体" w:hAnsi="宋体" w:cs="Times New Roman"/>
          <w:sz w:val="24"/>
          <w:szCs w:val="24"/>
        </w:rPr>
        <w:t xml:space="preserve">人工智能应用工程师（高级）证书</w:t>
      </w:r>
      <w:r>
        <w:rPr>
          <w:rFonts w:hint="eastAsia" w:ascii="宋体" w:hAnsi="宋体" w:cs="宋体"/>
          <w:sz w:val="24"/>
          <w:szCs w:val="24"/>
        </w:rPr>
        <w:t xml:space="preserve">、</w:t>
      </w:r>
      <w:r>
        <w:rPr>
          <w:rFonts w:ascii="宋体" w:hAnsi="宋体" w:cs="Times New Roman"/>
          <w:sz w:val="24"/>
          <w:szCs w:val="24"/>
        </w:rPr>
        <w:t xml:space="preserve">信息技术应用创新考试评价证书（云适配迁移工程师方向）</w:t>
      </w:r>
      <w:r>
        <w:rPr>
          <w:rFonts w:hint="eastAsia" w:ascii="宋体" w:hAnsi="宋体" w:cs="Times New Roman"/>
          <w:sz w:val="24"/>
          <w:szCs w:val="24"/>
        </w:rPr>
        <w:t xml:space="preserve">、</w:t>
      </w:r>
      <w:r>
        <w:rPr>
          <w:rFonts w:hint="eastAsia" w:ascii="宋体" w:hAnsi="宋体" w:cs="宋体"/>
          <w:sz w:val="24"/>
          <w:szCs w:val="24"/>
        </w:rPr>
        <w:t xml:space="preserve">信息技术应用创新考试评价证书（规划管理师方向）、信息技术应用创新考试评价证书（集成项目管理师方向）、用户研究工程师证书、</w:t>
      </w:r>
      <w:r>
        <w:rPr>
          <w:rFonts w:ascii="宋体" w:hAnsi="宋体" w:cs="宋体"/>
          <w:sz w:val="24"/>
          <w:szCs w:val="24"/>
        </w:rPr>
        <w:t xml:space="preserve">CISP-PTE 注册渗透测试工程师证书</w:t>
      </w:r>
      <w:r>
        <w:rPr>
          <w:rFonts w:hint="eastAsia" w:ascii="宋体" w:hAnsi="宋体" w:cs="宋体"/>
          <w:sz w:val="24"/>
          <w:szCs w:val="24"/>
        </w:rPr>
        <w:t xml:space="preserve">、CISP-DSG 注册数据安全治理专业人员证书，1人多证只算1证，多人同证只算1人</w:t>
      </w:r>
      <w:r>
        <w:rPr>
          <w:rFonts w:ascii="宋体" w:hAnsi="宋体" w:cs="宋体"/>
          <w:sz w:val="24"/>
          <w:szCs w:val="24"/>
        </w:rPr>
        <w:t xml:space="preserve">。</w:t>
      </w:r>
      <w:r/>
    </w:p>
    <w:p>
      <w:pPr>
        <w:ind w:firstLine="480"/>
        <w:spacing w:line="500" w:lineRule="exact"/>
        <w:rPr>
          <w:rFonts w:hint="eastAsia" w:ascii="宋体" w:hAnsi="宋体" w:cs="宋体"/>
          <w:sz w:val="24"/>
          <w:szCs w:val="24"/>
        </w:rPr>
      </w:pPr>
      <w:r>
        <w:rPr>
          <w:rFonts w:ascii="宋体" w:hAnsi="宋体" w:cs="宋体"/>
          <w:sz w:val="24"/>
          <w:szCs w:val="24"/>
        </w:rPr>
        <w:t xml:space="preserve">4.验收交付要求</w:t>
      </w:r>
      <w:r/>
    </w:p>
    <w:p>
      <w:pPr>
        <w:ind w:firstLine="480"/>
        <w:spacing w:line="500" w:lineRule="exact"/>
        <w:rPr>
          <w:rFonts w:hint="eastAsia" w:ascii="宋体" w:hAnsi="宋体" w:cs="宋体"/>
          <w:sz w:val="24"/>
          <w:szCs w:val="24"/>
        </w:rPr>
      </w:pPr>
      <w:r>
        <w:rPr>
          <w:rFonts w:ascii="宋体" w:hAnsi="宋体" w:cs="宋体"/>
          <w:sz w:val="24"/>
          <w:szCs w:val="24"/>
        </w:rPr>
        <w:t xml:space="preserve">系统验收完成后，开发所涉及软件的知识产权为采购人合法所有；本系统开发的所有成果版权属于采购人（江苏省住房和城乡建设厅）所有。软件产品、源代码及所有文档资料须于开发完成后三个月内提交给江苏省住房和城乡建设厅，未经许可，投标人不得擅自修改、使用和转让。</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七、项目实施与验收要求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章明确项目实施、联调对接、用户培训、上线试运行、项目验收及交付物等方面的管理要求。中标人须严格按照合同规定制定项目工作范围，进行充分的需求分析和调研，依据需求分析和调研结果开展设计和开发，并接受采购人及监理单位的监督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（一）实施与联调服务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1.实施进度与计划管理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编制项目计划与进度计划，采用科学方法确定进度目标，进行进度控制，在与质量、安全目标协调的基础上实现项目目标。进度计划编制前需进行详细的项目结构分析，通过项目WBS分解，将项目分解到相对独立、内容单一、易于检查的项目单元，明确单元之间的逻辑关系与工作关系，做到每个单元具体落实到责任者，形成项目网络图及关键路径。根据总进度计划制定项目资源总计划，并分解到各阶段，作为项目实施过程的进度依据。计划编制须考虑各种风险的存在，为进度留有余地、具有一定弹性。</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进度实施过程中须采用日常监测和定期监测相结合的方法开展进度动态监测，日常监测记录每一项工作的实际开始时间、实际完成时间、实际进展时间、实际消耗的资源及目前状况等内容；定期监测每隔一定时间对项目进度计划执行情况进行全面监测、检查。进度分析比较采用横道图比较法，通过分析进度偏差的影响、找出原因，制定对策并指定专人负责落实，对项目进度计划进行适当调整。项目实施须采用阶段控制方法，定义相应的阶段里程碑及其考核标准，细化控制力度，便于提前发现问题、解决问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2.沟通与报告机制</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中标人需建立并落实完善的项目沟通制度，保障各方协同一致，通过每周提交项目工作周报、每月开展项目月度汇报、项目负责人不定期开展经常性报告、按成果节点组织阶段性汇报、每周或每两周召开项目例会并形成例会报告、按需组织专题讨论会的方式开展沟通，项目全过程执行周报制度，发生应急情况实时直报项目经理；同时中标人应建立完整项目档案，汇总实施反馈，统计办件改造、数据归集、AI 应用落地等阶段性成效，为项目领导小组决策提供支撑。</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3.风险与问题管理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建立风险管理机制，包括风险识别、风险分析、风险响应、风险监督与风险控制等环节。风险识别须明确可能影响项目的内外部因素（如技术复杂性、政策调整、供应链中断等），通过文献回顾、专家访谈、历史数据分析、SWOT分析等方法广泛收集风险信息，将潜在风险记录在风险清单中，并持续监测项目环境，确保新出现的风险及时纳入管理范围。风</w:t>
      </w:r>
      <w:r>
        <w:rPr>
          <w:rFonts w:ascii="宋体" w:hAnsi="宋体" w:cs="Times New Roman"/>
          <w:sz w:val="24"/>
          <w:szCs w:val="24"/>
        </w:rPr>
        <w:t xml:space="preserve">险分析须对每项风险进行量化分析，评估其发生的可能性和对项目目标的影响程度，根据风险的严重性和紧急性进行优先级排序，对高风险项开展根本原因分析。风险响应须针对每项风险制定具体应对策略（风险规避、减轻、转移、接受）及详细行动计划，明确责任人、时间表和所需资源，并为可能发生的重大风险制定应急计划。风险监督与控制须定期跟踪风险清单中每一项风险的状态变化，评估应对措施效果，及时调整风险管理策略和行动计划，并定期向项目相关方报告风险管理情况。项目结束后须组织团队复盘，总结风险管理过程中的经验教训，将风险管理知识文档化。</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中标人须建立问题管理机制，对项目中出现的问题事件进行高效评估并处理，问题须跟踪直至完全解决，避免问题遗留或引发新的问题。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4.变更管理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对合同的任何变更</w:t>
      </w:r>
      <w:r>
        <w:rPr>
          <w:rFonts w:ascii="宋体" w:hAnsi="宋体" w:cs="Times New Roman"/>
          <w:sz w:val="24"/>
          <w:szCs w:val="24"/>
        </w:rPr>
        <w:t xml:space="preserve">都必须以书面形式作出。变更管理按以下流程执行：一是变更请求，变更请求可由项目组提出，须尽可能详细地描述变更的全部细节，并提交项目负责人和项目建设单位负责人共同评估；二是变更评估，项目负责人为变更请求分配唯一的变更请求号，记录在变更请求登记表中，并检查变更对项目各个因素的影响，形成评估结果文档；三是变更批准，经项目负责人和项目建设单位负责人确认通过的变更请求，以完整的变更请求表形式交由项目领导小组审核和批准；四是变更实施，接到书面同意并且变更为双方接受后，项目组成员方可根据双方同意的时间进度开始实施变更事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5.实施与测试管理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严格按质量体系要求管理和控制项目的所有实施与测试，管理和控制工作包括但不限于详细的操作规程、人力资源、工作环境三个方面。操作规程方面，须为项目中的每个关键活动和测试阶段制定详细的操作规程，包括步骤、输入、</w:t>
      </w:r>
      <w:r>
        <w:rPr>
          <w:rFonts w:ascii="宋体" w:hAnsi="宋体" w:cs="Times New Roman"/>
          <w:sz w:val="24"/>
          <w:szCs w:val="24"/>
        </w:rPr>
        <w:t xml:space="preserve">输出、预期结果、异常处理流程等；对操作规程进行版本控制，确保所有更新都经过审核并通知相关人员；对执行操作规程的人员进行必要培训，并通过实操考核验证其掌握程度；收集执行过程中的反馈，定期回顾和修订操作规程。人力资源方面，须为项目团队中每个成员清晰定义其角色、职责和权限，确保任务分配合理、责任到人；确保所有关键岗位人员具备必要的技能和资质；加强团队内部沟通，定期举行项目会议。工作环境方面，必须确保工作场所符合安全、卫生、环保等要求，建立安全、稳定的信息系统，保护项目数据的安全性和完整性，防止信息泄露和非法访问。</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6.文档管理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项目文档是项目重要的组织过程资产，必须进行规范化分类管理，按函件、技术、管理、报告、纪要、总结等类别进行归档和统一编号管理。文档管理须遵循以下原则：一是一致性，系统开发验收前向采购人提交完整详细的技术文档，内容与所开发的系统一致，提交的技术文档为正式版本，纸质文档与电子文档的内容一致；二是保密性，对本项目的所有技术文件以及采购人提供的内部资料、技术文档和</w:t>
      </w:r>
      <w:r>
        <w:rPr>
          <w:rFonts w:ascii="宋体" w:hAnsi="宋体" w:cs="Times New Roman"/>
          <w:sz w:val="24"/>
          <w:szCs w:val="24"/>
        </w:rPr>
        <w:t xml:space="preserve">信息予以保密，遵守与采购人签订的保密协议，未经采购人书面许可不得以任何形式向第三方透露本项目的任何内容；三是知识产权，项目所有开发成果、源代码、文档等知识产权归采购人所有，中标人不得将开发过程中接触到的业务数据用于任何形式、项目以外的用途，不得私自复制、传播采购人所有的文件与数据。文档质量须满足完备性、正确性、简明性、规范性要求，即提供系统进展各环节的文档（包括阶段性文档和日常工作文档），真实反映各阶段工作并与该阶段需求一致，语言清晰、准确、简练，格式具有统一的标准规范，术语含义及图示符号符合行业相关规定。</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7.安全管理与保密要求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建立项目建设安全管理制度，涵盖安全组织管理、行为控制和安全技术管理三个方面，消除项目建设过程中存在的各种隐患和风险，通过规范人的行为和对物的不安全因素的控制和管理，最大程度预防和避免意外事故。中标人须落实安全保密措施，与采购人签订保密协议，项目人员须签署保密承诺，业务数据不得出域，账号实行最小授权；未经采购人书面许可，不得以任何形式向第三方泄露项目开发源代码、技术资料及采购人的业务信息、数据、文档；项目人员离职须完成权限回收和保密承诺。</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（二）用户培训与系统上线试运行服务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1.培训对象与培训类型</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项目培训对象覆盖省、市、县三级住建管理工作人员及平台相关使用人员，分为领导交流与培训、管理类、技术类、业务操作类四大类型，并按领导管理层、系统管理员、普通用户三个层次开展，培训目标促使普</w:t>
      </w:r>
      <w:r>
        <w:rPr>
          <w:rFonts w:ascii="宋体" w:hAnsi="宋体" w:cs="宋体"/>
          <w:sz w:val="24"/>
          <w:szCs w:val="24"/>
        </w:rPr>
        <w:t xml:space="preserve">通人员熟练操作系统、技术管理人员可独立处置系统一般问题；新系统上线前需针对三级审批人员开展专项培训，围绕系统操作流程、各类智能体功能、人机协同审批模式开展讲解实操，并编制操作手册及常见问题解答；培训分项目启动初步培训、实施过程性培训、验收后使用培训三个阶段实施，中标人需联合采购人制定包含参训人员、课程、时间的分级培训计划；培训以现场授课加上机辅导为主、远程培训及热线支持为辅，完整留存培训相关记录资料并作为项目交付物，过渡期组建专项技术支持团队，通过在线、电话渠道实时答疑处置问题，保障审批人员快速适配新系统。</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2.上线切换与新旧系统衔接</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为保障新旧系统衔接阶段业务不间断办理、数据完整留存、服务体验稳定，中标人需落实相关实施要求：上线初期执行为期3个月的新老系统双轨并行策略，老系统受理及审批业务双向写入两套系统，存量在途办件继续在</w:t>
      </w:r>
      <w:r>
        <w:rPr>
          <w:rFonts w:ascii="宋体" w:hAnsi="宋体" w:cs="宋体"/>
          <w:sz w:val="24"/>
          <w:szCs w:val="24"/>
        </w:rPr>
        <w:t xml:space="preserve">老系统办结，两套系统物理隔离并定时同步数据，待新系统稳定后完成业务全面切换；开展历史企业、人员、资质、办件、附件等核心业务数据迁移治理，迁移前制定清洗规则预处理异常数据，迁移后完成标准化标注，对自动化无法处理的脏数据采取人工复核，并按既定时间节点完成不同类型存量数据迁移工作，形成支撑 AI 智能体应用的高质量数据集；同时建立系统回退机制，新系统发生重大故障时经技术、业务负责人双重确认可切回老系统，未办结办件同步回退老系统，严控回退触发条件，并制定衔接期风险防控预案，对关键指标开展每日巡检，及时处置各类问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3.试运行要求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系统上线后须进入试运行阶段，试运行期间中标人须完成以下工作：一是对平台运行状态、AI服务调用、数据交换链路进行全栈监控，保障系统稳定运行；二是及时受理并处置试运行期间发现的各类问题，按故障等级明确响应与修复时限；三是开展性能与安全监测，验证系统是否满足性能要求规定的各项指标；四是组织省、市、县三级审批人员在试运行期间实际使用系统，收集使用反馈并持续优化；五是试运行结束后编制试运行总结报告，作为项目验收的必备材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（三）项目验收要求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1.验收方法</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项目验收采用以下方法：一是登记法，对项目中所涉及的所有软件</w:t>
      </w:r>
      <w:r>
        <w:rPr>
          <w:rFonts w:ascii="宋体" w:hAnsi="宋体" w:cs="Times New Roman"/>
          <w:sz w:val="24"/>
          <w:szCs w:val="24"/>
        </w:rPr>
        <w:t xml:space="preserve">和应用程序逐一登记，特别是系统软件使用手册、应用程序和各种技术文档等须登记造册，不可遗漏并妥善保管；对项目建设中根据实际进展情况、双方同意后修订的合同条款及协调开发建设中的问题进行登记。二是对照法，对照检查项目各项建设内容的结果是否与合同条款及工程实施方案相一致。三是操作法，运行项目系统软件，检验其管理应用软件的实际能力是否与合同规定的一致；运行应用软件、实际操作、处理业务，检查是否与合同规定的一致、达到预期目的。四是测试法，对能使用检测仪器进行检测的设备实施实际测试，检查是否和实施的规格、性能要求相一致。</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2.验收步骤</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项目验收按以下步骤组织实施：一是需求分析，由项目监理单位组织人员对项目进行验收需求分析，监理单位须配备有经验的工程师和行业专家组成项目团队负责具体工作；二是编写验收方案（计划书），项目监理单位在对项目进行深入需求分析的基础上编写验收方案（计划书）</w:t>
      </w:r>
      <w:r>
        <w:rPr>
          <w:rFonts w:ascii="宋体" w:hAnsi="宋体" w:cs="Times New Roman"/>
          <w:sz w:val="24"/>
          <w:szCs w:val="24"/>
        </w:rPr>
        <w:t xml:space="preserve">，提交省住房城乡建设厅审定；三是成立项目验收小组，实施测试验收工作时成立项目验收小组，具体负责验收事宜；四是项目验收的实施，严格按照验收方案对项目应用软件、网络集成效果、系统文档资料等进行全面的测试和验收；五是提交验收报告，项目验收完毕后对项目系统设计、建设质量、软件运行情况等做出全面评价，得出结论性意见，对不合格的项目不予验收，对遗留问题提出具体的解决意见；六是召开项目验收评审会，召开项目验收评审会，全面细致地审核项目验收小组所提交的验收报告，给出最终的验收意见，形成验收评审报告提交省住房城乡建设厅存档。</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3.验收程序</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项目验收分为初验和终验两个阶段：</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初验。项目竣工后经测试和试运行合格，中标人根据合同、采购文件、计划任务书检查并总结项目完成情况后，向采购人提出初验申请，由省住房城乡建设厅组织监理和中标人进行初验。中标人须提供初验申请书、完工报告、项目总结以及要求的验收评审资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（2）终验。初验合格后，采购人根据合同、采购文件、任务书检查、总结项目组织实施和完</w:t>
      </w:r>
      <w:r>
        <w:rPr>
          <w:rFonts w:ascii="宋体" w:hAnsi="宋体" w:cs="Times New Roman"/>
          <w:sz w:val="24"/>
          <w:szCs w:val="24"/>
        </w:rPr>
        <w:t xml:space="preserve">成情况后提出验收申请；经审核材料齐全后由省住房城乡建设厅组织验收，验收工作由省住房城乡建设厅、监理等单位和专家组成验收小组进行。验收工作分为验收小组验收和终评两个步骤：验收小组一般由5至8人组成，成员由省住房城乡建设厅的管理人员、监理单位专业技术人员共同组成，验收时参照相关验收内容及标准进行，验收后须提交验收报告；终评一般由8至15人组成，成员由验收小组及省住房城乡建设厅和监理单位组织的领导、专家等组成，终评一般采取会议评议方式进行，听取验收总结报告说明、验收小组验收结果及意见，通过评审后提交验收评审报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（3）验收签字。经过验收、评审形成的验收报告和评审报告，由验收成员签字。</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4.验收内容与标准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验收内容和验收标准应根据项目实际情况制定，由项目监理单位负责编写、省住房城乡建设厅审核。验收内容一般包括测试（复核）、资料评审、质量鉴定三部分，具体包括：</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（1）软件验收：按功能要求的可执行软件、开发计划文档、详细设计文档、质量保证计划、确认测试计划、源代码、使用说明书等产品及单元测试等。</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（2）验收评测工作：文档分析、方案制定、现场测试、问题清单提交、测试报告。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（3）验收测试内容：功能度、安全可靠性、易用性、可扩充性、兼容性、效率、资源占用率、用户文档。</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（4）文档验收标准：文档完备性、内容针对性、内容充分性、内容一致性、文字明确性、图表详实性、易读性、文档价值等。</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软件验收标准须符合国家和相关标准要求。本项目系统上线前须通过第三方机构的渗透测试、漏洞扫描与代码审计，中高危漏洞整改率100%；须通过网络安全等级保护第三级测评及商用密码应用安全性评估，测评报告作为验收必备材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5.评审资料</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验收须评审的资料包括以下四个部分：一是基础资料，包括采购文件、投标文件、有关合同、有关批复文件、</w:t>
      </w:r>
      <w:r>
        <w:rPr>
          <w:rFonts w:ascii="宋体" w:hAnsi="宋体" w:cs="Times New Roman"/>
          <w:sz w:val="24"/>
          <w:szCs w:val="24"/>
        </w:rPr>
        <w:t xml:space="preserve">系统设计说明书、系统功能说明书、系统结构图、项目详细实施方案；二是项目竣工资料，包括项目开工报告、项目实施报告、项目质量测试报告、项目检查报告、测试报告、材料清单、项目实施质量与安全检查记录、操作使用说明书、售后服务保证文件、培训文档及其他文件；三是软件开发文档，包括需求说明书、概要设计说明书、详细设计说明书、数据库设计说明书、测试计划、测试报告、程序维护手册、程序员开发手册、用户操作手册；四是软件开发管理文档，包括项目计划书、质量控制计划、配置管理计划、用户培训计划、质量总结报告、会议记录和开发进度月报。</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（四）项目交付物要求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1.软件与源代码交付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交付本项目全部定制化软件开发成果，包括企业资质申报管理、个人资格注册管理、智慧申报助手、智能预审、智能风险评估、智能问数、运维功能等各系统（应用）的可执行程序、完整源代码及编译构建脚本。项目所有开发成果、源代码、文档等知识产权归采购人所有，中标人须完整移交源代码及相关技术资产，不得设置任何技术壁垒，保障采购人具备自主运维与二次开发能力。</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2.数据集与数据资产交付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交付数据治理成果，包括：一是数据集成果，即企业基本信息、企业资质证书、信用、注册人员信息、历史办件及审核记录、特种作业人员与安管人员信息、省内高质量业绩、政策法规及资质标准知识、高频问题及标准答复等九大核心高质量数据集；二是数据资产成果，包括标准化数据资源目录、分级分类数据资产清单、数据血缘图谱和数据质量报告；三是治理流程成果，包括存量数据治理成果报告、异常数据核验闭环记录、数据更新维护操作规程、数据安全审计日志和审批数据治理成果报告。</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3.标准规范交付</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交付本项目编制的四项标准规范成果，包括住房和城乡建设综合服务平台数据规范、住房和城乡建设综合服务平台数据共享交换规范、住房和城乡建设综合服务平台数据集应用规范、住房和城乡建设综合服务平台技术规范，标准规范须提交可编辑源文件。</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4.交付形式与时点</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交付物须同时提供纸质版和电子版，电子版须提供可编辑源文件；文档按函件、技术、管理、报告、纪要、总结等类别进行归档和统一编号管理。系统开发验收前须向采购人提交完整详细的技术文档，各阶段文档随阶段成果同步交付，全部交付物在项目竣工验收时一次性完整移交。</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5.保密与数据移交要求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交付物涉及敏感数据的，中标人须按数据安全与保密要求规范存储、传输与销毁处理；项目全量数据存储、标注等须全程限定在政务云内，严禁原始数据集对外导出、外流；项目结束后须完成数据与文档的完整移交，不得留存、复制或向第三方披露采购人的业务数据。</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八、质量保障、系统运维及售后服务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本章明确项目质量保障、系统运维及售后服务的管理要求，相关指标须可量化、可考核。</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（一）质量保障要求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1.质量管理体系要求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项目质量控制坚持“事前预防、事中控制、事后检查”</w:t>
      </w:r>
      <w:r>
        <w:rPr>
          <w:rFonts w:ascii="宋体" w:hAnsi="宋体" w:cs="Times New Roman"/>
          <w:sz w:val="24"/>
          <w:szCs w:val="24"/>
        </w:rPr>
        <w:t xml:space="preserve">的原则，重点落实“通过预防，不让问题发生”以及“防止发生过的问题再发生”，确保“按规范实施、按流程操作”，以“追求零缺陷”为目标，争取“一次性把事情做好”。中标人须建立规范化的质量管理过程，包括质量策划、质量控制与质量改进，提供产品/项目的质量管理方法、技能与工具，并制定相应的工程质量管理方案，保证满足承诺的项目质量要求。项目管理流程、标准与规范须以ISO9001质量体系标准为基础，在项目全过程（包括前期、中期和后期）严格按照ISO9001质量体系标准进行管理和控制，使各项工作都有标准可依据、有标准可考评。</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2.质量管理过程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质量管理过程包括以下三个环节：一是质量计划，识别与项目相关的质量标准，并确定如何满足这些标准；二是质量保证，定期评估项目整体绩效，以确信项目可以满足相关质量标准，质量保证是贯穿项目始终的活动，分为提供给项目管理小组和管理执行组织的内部质量保证，以及提供给其他非密切参与人员的外部质量保证；三是质量控制，监控特定的项目结果，确定它们是否遵循相关质量标准，并找出消除不满意绩效的途径，项目结果包括产品结果（可交付使用部分）和管理成果。</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围绕平台国产化适配、AI预审准确率、数据治理质量、系统并发性能、等保密评合规等核心指标，建立全流程质量管控机制，覆盖需求、开发、测试、试运行、验收各环节，确保项目成果符合住建政务服务规范与数字政府建设标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3.工程监理配合要求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实行工程监理制，项目建设单位按照信息系统工程监理的有关规定，委托具有信息系统工程相应监理资质的工程监理单位对项目建设进行工程监理。中标人须配合监理单位开展监理工作，接受监理单位对项目进度、质量及合同履约的监督，按要求提供项目文档、测试材料、验收资料，配合监理单位组织阶段性测评与竣工核验；须配合监理单位协调开发单位、业务处室、第三方测评机构多方工作关系，同步配合跟踪智能风控、数据共享、密码应用等专项改造落地情况。建设单位、承建单位和监理单位均须制定相应的工程质量管理方案。</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4.过程质量与缺陷管理</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中标人须建立缺陷管理机制，明确缺陷分级标准、修复时限、复测要求与上线准出标准；对测试与试运行期间发现的缺陷须跟踪至完全解决，并记录缺陷处置全过程。</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5.阶段控制与里程碑评审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采用阶段控制方法，通过分解目标、细化任务，实现对项目的进度与质量控制，定义相应的阶段里程碑及其考核标准。各阶段完成后须组织里程碑评审，评审通过后方可进入下一阶段；须开展变更影响评估，并同步更新相关文档，确保文档与系统实际状态一致。</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（二）运维及售后服务要求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1.运维组织与机构</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本项目由省住房城乡建设厅和中标人共同成立运行维护机构，主要负责综合服务平台运行维护的统一组织和协调，监督检查相关管理制度、标准的执行情况，协调与各方信息系统的对接及数据资源共享工作。中标人须采用驻场运维模式，派驻三人驻场运维团队，按照省住房城乡建设厅作息时间提供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2.运维人员稳定性要求</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运维团队须保持稳定，原则上合同期内不更换人员；如确需更换，须提前1个月书面告知采购人并安排好工作交接。中标人须建立科学、严格的系统日常管理与维护规章制度，规范系统管理，明确分工、责任到人，将系统日常运行情况与维护人员的岗位考评挂钩，并根据应用部门的反馈对维护人员进行考核。</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3.运维工作内容</w:t>
      </w:r>
      <w:r/>
    </w:p>
    <w:p>
      <w:pPr>
        <w:ind w:firstLine="480"/>
        <w:jc w:val="left"/>
        <w:spacing w:before="120" w:after="120" w:line="400" w:lineRule="exact"/>
        <w:rPr>
          <w:rFonts w:hint="eastAsia" w:ascii="宋体" w:hAnsi="宋体" w:cs="Times New Roman"/>
          <w:sz w:val="24"/>
          <w:szCs w:val="24"/>
        </w:rPr>
      </w:pPr>
      <w:r>
        <w:rPr>
          <w:rFonts w:ascii="宋体" w:hAnsi="宋体" w:cs="宋体"/>
          <w:sz w:val="24"/>
          <w:szCs w:val="24"/>
        </w:rPr>
        <w:t xml:space="preserve">中标人需针对不同维护对象开展运维工作，包含随业务变化开展数据更新与结构调整的数据维护，根据业务变动开展程序修改、软件升级及配</w:t>
      </w:r>
      <w:r>
        <w:rPr>
          <w:rFonts w:ascii="宋体" w:hAnsi="宋体" w:cs="宋体"/>
          <w:sz w:val="24"/>
          <w:szCs w:val="24"/>
        </w:rPr>
        <w:t xml:space="preserve">套培训管理制度落地的系统维护，适配应用场景开展代码增删改的代码维护，处理数据、电子证照异常并提供技术咨询、按工单完成问题修正留痕反馈的系统日常功能维护，依托项目运维能力对外部接入数据、各 AI 智能体服务及底层 IT 资源开展全栈监控告警与自动化巡检的系统运行监控，按照每周全备份、每日增量备份、差异备份每 3 周循环的策略执行数据库备份并定期开展恢复测试，依托省政务云备份能力满足 RPO、RTO 指标，制定巡检项开展每周定期巡检并输出巡检周报，同时接收各方反馈问题，提供 7*8 小时技术支持与问题处置服务。</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4.运维工作规范与应急响应</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配合建立信息安全监控、预警和应急处置机制，落实应急处理工作组织机构及职责、预警和预防机制、应急处理程序与保障措施；须建立“检测—分析—感知—响应”的安全运营闭环机制，通过持续安全检测、事件关联分析、安全态势感知与应急响应处置，实现对平台安全状态的动态监测、风险识别、预警处置与复盘优化。须定期开展应急演练，验证数据备份恢复与系统重建能力，数据库主从热备架构下主库故障时从库自动切换时间≤30秒，备份恢复时间控制在30分钟内、恢复成功率100%，极端情况下可通过异地备份数据在4小时内完成系统重建。</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5.运维服务考核</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中标人须建立服务水平协议（SLA）指标体系，围绕系统可用性、故障响应时限、故障解决时限、巡检完成率、缺陷修复率、数据备份成功率、用户问题办结率等指标开展服务考核，完整记录考核数据与运维过程痕迹，形成巡检报告、运维周报与月度报告。考核发现未达标项须限期整改并提交整改报告，整改结果纳入后续考核。</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6.服务期满衔接与知识转移</w:t>
      </w:r>
      <w:r/>
    </w:p>
    <w:p>
      <w:pPr>
        <w:ind w:firstLine="480"/>
        <w:jc w:val="left"/>
        <w:spacing w:before="120" w:after="120" w:line="400" w:lineRule="exact"/>
        <w:rPr>
          <w:rFonts w:hint="eastAsia" w:ascii="宋体" w:hAnsi="宋体" w:cs="Times New Roman"/>
          <w:sz w:val="24"/>
          <w:szCs w:val="24"/>
        </w:rPr>
      </w:pPr>
      <w:r>
        <w:rPr>
          <w:rFonts w:ascii="宋体" w:hAnsi="宋体" w:cs="Times New Roman"/>
          <w:sz w:val="24"/>
          <w:szCs w:val="24"/>
        </w:rPr>
        <w:t xml:space="preserve">服务期满后，中标人须完成数据与文档的完整移交，不得设置技术壁垒，不得留存、复制或向第三方披露采购人的业务数据；须配合采购人做好服务延续的衔接安排，保障平台运行不中断。中标人须落实知识转移要求，通过技术培训、文档交付、伴随式运维等方式，确保采购人技术人员掌握平台的基本原理、配置管理及运行维护等技术，能够独立维护平台、保障系统高效稳定运行，并具备在系统标准体系框架下开发新模块、丰富系统功能的能力，逐步形成拥有较多骨干力量的专业技术团队，为常态运维、服务管理提供人才保障。</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九、商务要求</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采购预算金额为799.35万元，本次采购最高限价不超过681.26万元。</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1.交货期：自合同签订之日起12个月。</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2.交货方式：现场交货验货，并提交相关交付物。</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3.交货地点：江苏省南京市草场门大街88号</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4.质保期：2年</w:t>
      </w:r>
      <w:r/>
    </w:p>
    <w:p>
      <w:pPr>
        <w:ind w:firstLine="480"/>
        <w:jc w:val="left"/>
        <w:spacing w:line="500" w:lineRule="exact"/>
        <w:rPr>
          <w:rFonts w:hint="eastAsia" w:ascii="宋体" w:hAnsi="宋体" w:cs="宋体"/>
          <w:sz w:val="24"/>
          <w:szCs w:val="24"/>
        </w:rPr>
      </w:pPr>
      <w:r>
        <w:rPr>
          <w:rFonts w:ascii="宋体" w:hAnsi="宋体" w:cs="宋体"/>
          <w:sz w:val="24"/>
          <w:szCs w:val="24"/>
        </w:rPr>
        <w:t xml:space="preserve">5.款项支付：</w:t>
      </w:r>
      <w:r/>
    </w:p>
    <w:p>
      <w:pPr>
        <w:ind w:firstLine="480"/>
        <w:jc w:val="left"/>
        <w:spacing w:before="120" w:after="120" w:line="400" w:lineRule="exact"/>
        <w:rPr>
          <w:rFonts w:ascii="Arial" w:hAnsi="Arial" w:cs="Times New Roman"/>
          <w:sz w:val="24"/>
          <w:szCs w:val="24"/>
        </w:rPr>
      </w:pPr>
      <w:r>
        <w:rPr>
          <w:rFonts w:ascii="宋体" w:hAnsi="宋体" w:cs="宋体"/>
          <w:sz w:val="24"/>
          <w:szCs w:val="24"/>
        </w:rPr>
        <w:t xml:space="preserve">第一阶段：采购人应在本合同签订后，在收到中标人该阶段的等额发票15日之内，向中标人支付第一笔款项，占合同总额的35%；第二阶段：中标人基本完成项目建设并通过采购人组织的初步验收后</w:t>
      </w:r>
      <w:r>
        <w:rPr>
          <w:rFonts w:ascii="宋体" w:hAnsi="宋体" w:cs="Times New Roman"/>
          <w:sz w:val="24"/>
        </w:rPr>
        <w:t xml:space="preserve">并收到中标人开具本阶段的等额发票后，</w:t>
      </w:r>
      <w:r>
        <w:rPr>
          <w:rFonts w:ascii="宋体" w:hAnsi="宋体" w:cs="宋体"/>
          <w:sz w:val="24"/>
          <w:szCs w:val="24"/>
        </w:rPr>
        <w:t xml:space="preserve">采购人向中标人支付第二笔款项，占合同总额的35%；第三阶段：系统经过三个月试运行，</w:t>
      </w:r>
      <w:r>
        <w:rPr>
          <w:rFonts w:ascii="宋体" w:hAnsi="宋体" w:cs="Times New Roman"/>
          <w:sz w:val="24"/>
        </w:rPr>
        <w:t xml:space="preserve">最终验</w:t>
      </w:r>
      <w:r>
        <w:rPr>
          <w:rFonts w:ascii="宋体" w:hAnsi="宋体" w:cs="宋体"/>
          <w:sz w:val="24"/>
          <w:szCs w:val="24"/>
        </w:rPr>
        <w:t xml:space="preserve">收后并</w:t>
      </w:r>
      <w:r>
        <w:rPr>
          <w:rFonts w:ascii="宋体" w:hAnsi="宋体" w:cs="Times New Roman"/>
          <w:sz w:val="24"/>
        </w:rPr>
        <w:t xml:space="preserve">收到中标人开具本阶段的等额发票后</w:t>
      </w:r>
      <w:r>
        <w:rPr>
          <w:rFonts w:ascii="宋体" w:hAnsi="宋体" w:cs="宋体"/>
          <w:sz w:val="24"/>
          <w:szCs w:val="24"/>
        </w:rPr>
        <w:t xml:space="preserve">，采购人向中标人支付第三笔款项，占合同总额的30%。</w:t>
      </w:r>
      <w:r/>
    </w:p>
    <w:p>
      <w:pPr>
        <w:keepLines/>
        <w:keepNext/>
        <w:spacing w:before="260" w:after="260" w:line="413" w:lineRule="auto"/>
        <w:rPr>
          <w:rFonts w:ascii="Arial" w:hAnsi="Arial" w:eastAsia="黑体" w:cs="Times New Roman"/>
          <w:b/>
          <w:sz w:val="32"/>
        </w:rPr>
        <w:outlineLvl w:val="1"/>
      </w:pPr>
      <w:r>
        <w:rPr>
          <w:rFonts w:ascii="Arial" w:hAnsi="Arial" w:eastAsia="黑体" w:cs="Times New Roman"/>
          <w:b/>
          <w:sz w:val="32"/>
        </w:rPr>
        <w:t xml:space="preserve">十、合同转包或分包</w:t>
      </w:r>
      <w:r/>
    </w:p>
    <w:p>
      <w:pPr>
        <w:ind w:firstLine="420"/>
        <w:spacing w:before="145" w:after="145"/>
        <w:rPr>
          <w:rFonts w:hint="eastAsia" w:ascii="宋体" w:hAnsi="宋体" w:cs="Times New Roman"/>
          <w:sz w:val="24"/>
          <w:szCs w:val="24"/>
        </w:rPr>
      </w:pPr>
      <w:r>
        <w:rPr>
          <w:rFonts w:ascii="宋体" w:hAnsi="宋体" w:cs="宋体"/>
          <w:sz w:val="24"/>
          <w:szCs w:val="24"/>
        </w:rPr>
        <w:t xml:space="preserve">1.</w:t>
      </w:r>
      <w:r>
        <w:rPr>
          <w:rFonts w:ascii="宋体" w:hAnsi="宋体" w:cs="Times New Roman"/>
          <w:sz w:val="24"/>
          <w:szCs w:val="24"/>
        </w:rPr>
        <w:t xml:space="preserve">中标人不得将合同标的进行转包或分包。</w:t>
      </w:r>
      <w:r/>
    </w:p>
    <w:p>
      <w:pPr>
        <w:ind w:firstLine="420"/>
        <w:spacing w:before="145" w:after="145"/>
        <w:rPr>
          <w:rFonts w:ascii="黑体" w:hAnsi="Arial" w:eastAsia="黑体" w:cs="Times New Roman"/>
          <w:b/>
          <w:sz w:val="44"/>
          <w:szCs w:val="28"/>
        </w:rPr>
      </w:pPr>
      <w:r>
        <w:rPr>
          <w:rFonts w:ascii="宋体" w:hAnsi="宋体" w:cs="Times New Roman"/>
          <w:sz w:val="24"/>
          <w:szCs w:val="24"/>
        </w:rPr>
        <w:t xml:space="preserve">2.中标人如有前述行为，采购人有权解除合同，中标人承担由此产生的一切责任与后果。</w:t>
      </w:r>
      <w:r/>
    </w:p>
    <w:p>
      <w:pPr>
        <w:rPr>
          <w:rFonts w:cs="Times New Roman"/>
        </w:rPr>
      </w:pPr>
      <w:r>
        <w:rPr>
          <w:rFonts w:cs="Times New Roman"/>
        </w:rPr>
      </w:r>
      <w:r/>
    </w:p>
    <w:p>
      <w:pPr>
        <w:keepLines/>
        <w:keepNext/>
        <w:spacing w:before="260" w:after="260" w:line="413" w:lineRule="auto"/>
        <w:rPr>
          <w:rFonts w:ascii="Arial" w:hAnsi="Arial" w:eastAsia="黑体" w:cs="Times New Roman"/>
          <w:b/>
          <w:sz w:val="32"/>
        </w:rPr>
        <w:outlineLvl w:val="1"/>
      </w:pPr>
      <w:r>
        <w:rPr>
          <w:rFonts w:hint="eastAsia" w:ascii="Arial" w:hAnsi="Arial" w:eastAsia="黑体" w:cs="Times New Roman"/>
          <w:b/>
          <w:sz w:val="32"/>
        </w:rPr>
        <w:t xml:space="preserve">十一</w:t>
      </w:r>
      <w:r>
        <w:rPr>
          <w:rFonts w:ascii="Arial" w:hAnsi="Arial" w:eastAsia="黑体" w:cs="Times New Roman"/>
          <w:b/>
          <w:sz w:val="32"/>
        </w:rPr>
        <w:t xml:space="preserve">、其他要求</w:t>
      </w:r>
      <w:r/>
    </w:p>
    <w:p>
      <w:pPr>
        <w:spacing w:line="0" w:lineRule="atLeast"/>
        <w:rPr>
          <w:rFonts w:hint="eastAsia" w:ascii="宋体" w:hAnsi="宋体"/>
          <w:sz w:val="24"/>
          <w:szCs w:val="24"/>
        </w:rPr>
      </w:pPr>
      <w:r>
        <w:rPr>
          <w:rFonts w:hint="eastAsia" w:ascii="宋体" w:hAnsi="宋体"/>
          <w:sz w:val="24"/>
          <w:szCs w:val="24"/>
        </w:rPr>
        <w:t xml:space="preserve">1、项目属性:服务类项目。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67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rHeight w:val="458"/>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3094" w:type="dxa"/>
            <w:textDirection w:val="lrTb"/>
            <w:noWrap w:val="false"/>
          </w:tcPr>
          <w:p>
            <w:pPr>
              <w:jc w:val="center"/>
              <w:rPr>
                <w:rFonts w:hint="eastAsia" w:ascii="宋体" w:hAnsi="宋体"/>
                <w:lang w:eastAsia="en-US"/>
              </w:rPr>
            </w:pPr>
            <w:r>
              <w:rPr>
                <w:rFonts w:hint="eastAsia" w:ascii="宋体" w:hAnsi="宋体"/>
                <w:lang w:eastAsia="en-US"/>
              </w:rPr>
              <w:t xml:space="preserve">否</w:t>
            </w:r>
            <w:r/>
          </w:p>
        </w:tc>
      </w:tr>
    </w:tbl>
    <w:p>
      <w:pPr>
        <w:ind w:firstLine="480"/>
        <w:spacing w:line="400" w:lineRule="exact"/>
        <w:rPr>
          <w:rFonts w:hint="eastAsia" w:ascii="宋体" w:hAnsi="宋体"/>
          <w:sz w:val="24"/>
          <w:szCs w:val="24"/>
        </w:rPr>
      </w:pPr>
      <w:r>
        <w:rPr>
          <w:rFonts w:hint="eastAsia" w:ascii="宋体" w:hAnsi="宋体"/>
          <w:sz w:val="24"/>
          <w:szCs w:val="24"/>
        </w:rPr>
      </w:r>
      <w:r/>
    </w:p>
    <w:p>
      <w:pPr>
        <w:keepLines/>
        <w:keepNext/>
        <w:spacing w:before="260" w:after="260" w:line="413" w:lineRule="auto"/>
        <w:rPr>
          <w:rFonts w:ascii="Arial" w:hAnsi="Arial" w:eastAsia="黑体" w:cs="Times New Roman"/>
          <w:b/>
          <w:sz w:val="32"/>
        </w:rPr>
        <w:outlineLvl w:val="1"/>
      </w:pPr>
      <w:r/>
      <w:bookmarkStart w:id="201" w:name="_Toc227167504"/>
      <w:r/>
      <w:bookmarkStart w:id="202" w:name="_Toc220489001"/>
      <w:r>
        <w:rPr>
          <w:rFonts w:hint="eastAsia" w:ascii="Arial" w:hAnsi="Arial" w:eastAsia="黑体" w:cs="Times New Roman"/>
          <w:b/>
          <w:sz w:val="32"/>
        </w:rPr>
        <w:t xml:space="preserve">十</w:t>
      </w:r>
      <w:r>
        <w:rPr>
          <w:rFonts w:ascii="Arial" w:hAnsi="Arial" w:eastAsia="黑体" w:cs="Times New Roman"/>
          <w:b/>
          <w:sz w:val="32"/>
        </w:rPr>
        <w:t xml:space="preserve">二</w:t>
      </w:r>
      <w:r>
        <w:rPr>
          <w:rFonts w:hint="eastAsia" w:ascii="Arial" w:hAnsi="Arial" w:eastAsia="黑体" w:cs="Times New Roman"/>
          <w:b/>
          <w:sz w:val="32"/>
        </w:rPr>
        <w:t xml:space="preserve">、政府采购中实施本国产品标准及相关政策</w:t>
      </w:r>
      <w:bookmarkEnd w:id="201"/>
      <w:r/>
      <w:bookmarkEnd w:id="202"/>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96"/>
      <w:r/>
      <w:bookmarkEnd w:id="197"/>
      <w:r/>
      <w:r/>
    </w:p>
    <w:p>
      <w:pPr>
        <w:jc w:val="left"/>
        <w:widowControl/>
        <w:rPr>
          <w:rFonts w:hint="eastAsia" w:ascii="宋体" w:hAnsi="宋体"/>
          <w:sz w:val="24"/>
          <w:szCs w:val="24"/>
        </w:rPr>
      </w:pPr>
      <w:r>
        <w:rPr>
          <w:rFonts w:hint="eastAsia" w:ascii="宋体" w:hAnsi="宋体"/>
          <w:sz w:val="24"/>
          <w:szCs w:val="24"/>
        </w:rPr>
        <w:br w:type="page" w:clear="all"/>
      </w:r>
      <w:r/>
    </w:p>
    <w:p>
      <w:pPr>
        <w:pStyle w:val="669"/>
        <w:rPr>
          <w:rFonts w:ascii="黑体" w:eastAsia="黑体"/>
          <w:bCs/>
          <w:sz w:val="44"/>
        </w:rPr>
      </w:pPr>
      <w:r/>
      <w:bookmarkStart w:id="203" w:name="_Toc1344"/>
      <w:r>
        <w:rPr>
          <w:rFonts w:hint="eastAsia" w:ascii="黑体" w:eastAsia="黑体"/>
          <w:bCs/>
          <w:sz w:val="44"/>
        </w:rPr>
        <w:t xml:space="preserve">第五章  评标方法与评标标准</w:t>
      </w:r>
      <w:bookmarkEnd w:id="203"/>
      <w:r/>
      <w:r/>
    </w:p>
    <w:p>
      <w:r/>
      <w:r/>
    </w:p>
    <w:p>
      <w:pPr>
        <w:pStyle w:val="837"/>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量化指标评审得分最高的投标人为中标候选人。</w:t>
      </w:r>
      <w:r/>
    </w:p>
    <w:tbl>
      <w:tblPr>
        <w:tblStyle w:val="67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701"/>
        <w:gridCol w:w="5656"/>
      </w:tblGrid>
      <w:tr>
        <w:trPr>
          <w:trHeight w:val="571"/>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p>
        </w:tc>
        <w:tc>
          <w:tcPr>
            <w:tcW w:w="5656"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rHeight w:val="584"/>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5656" w:type="dxa"/>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37"/>
        <w:ind w:firstLine="420"/>
        <w:spacing w:line="0" w:lineRule="atLeast"/>
        <w:rPr>
          <w:rFonts w:hint="eastAsia" w:ascii="宋体" w:hAnsi="宋体"/>
          <w:b/>
        </w:rPr>
      </w:pPr>
      <w:r>
        <w:rPr>
          <w:rFonts w:hint="eastAsia" w:ascii="宋体" w:hAnsi="宋体"/>
        </w:rPr>
        <w:t xml:space="preserve">本项目按照采购包各选取1名中标候选人。</w:t>
      </w:r>
      <w:r/>
    </w:p>
    <w:p>
      <w:pPr>
        <w:pStyle w:val="837"/>
        <w:ind w:firstLine="441"/>
        <w:spacing w:line="0" w:lineRule="atLeast"/>
        <w:rPr>
          <w:rFonts w:hint="eastAsia" w:ascii="宋体" w:hAnsi="宋体"/>
          <w:b/>
        </w:rPr>
      </w:pPr>
      <w:r>
        <w:rPr>
          <w:rFonts w:hint="eastAsia" w:ascii="宋体" w:hAnsi="宋体"/>
          <w:b/>
        </w:rPr>
        <w:t xml:space="preserve">政府采购政策功能落实</w:t>
      </w:r>
      <w:r/>
    </w:p>
    <w:p>
      <w:pPr>
        <w:pStyle w:val="837"/>
        <w:spacing w:line="0" w:lineRule="atLeast"/>
        <w:rPr>
          <w:rFonts w:hint="eastAsia" w:ascii="宋体" w:hAnsi="宋体"/>
        </w:rPr>
      </w:pPr>
      <w:r>
        <w:rPr>
          <w:rFonts w:hint="eastAsia" w:ascii="宋体" w:hAnsi="宋体"/>
        </w:rPr>
        <w:t xml:space="preserve">1、小微型企业价格扣除</w:t>
      </w:r>
      <w:r/>
    </w:p>
    <w:p>
      <w:pPr>
        <w:pStyle w:val="83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3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37"/>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p>
    <w:p>
      <w:pPr>
        <w:pStyle w:val="837"/>
        <w:spacing w:line="0" w:lineRule="atLeast"/>
        <w:rPr>
          <w:rFonts w:hint="eastAsia" w:ascii="宋体" w:hAnsi="宋体"/>
        </w:rPr>
      </w:pPr>
      <w:r>
        <w:rPr>
          <w:rFonts w:hint="eastAsia" w:ascii="宋体" w:hAnsi="宋体"/>
        </w:rPr>
        <w:t xml:space="preserve">2、残疾人福利单位价格扣除</w:t>
      </w:r>
      <w:r/>
    </w:p>
    <w:p>
      <w:pPr>
        <w:pStyle w:val="83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3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3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37"/>
        <w:spacing w:line="0" w:lineRule="atLeast"/>
        <w:rPr>
          <w:rFonts w:hint="eastAsia" w:ascii="宋体" w:hAnsi="宋体"/>
        </w:rPr>
      </w:pPr>
      <w:r>
        <w:rPr>
          <w:rFonts w:hint="eastAsia" w:ascii="宋体" w:hAnsi="宋体"/>
        </w:rPr>
        <w:t xml:space="preserve">3、监狱和戒毒企业价格扣除</w:t>
      </w:r>
      <w:r/>
    </w:p>
    <w:p>
      <w:pPr>
        <w:pStyle w:val="83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3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3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37"/>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3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本项目采用综合评分法确定中标候选人。评标委员会将按下列评分办法和标准进行评分，总分值为100分。</w:t>
      </w:r>
      <w:r/>
    </w:p>
    <w:p>
      <w:pPr>
        <w:pStyle w:val="837"/>
        <w:ind w:firstLine="482"/>
        <w:spacing w:line="0" w:lineRule="atLeast"/>
        <w:rPr>
          <w:rFonts w:hint="eastAsia" w:ascii="宋体" w:hAnsi="宋体" w:cs="宋体"/>
          <w:b/>
        </w:rPr>
      </w:pPr>
      <w:r>
        <w:rPr>
          <w:rFonts w:hint="eastAsia" w:ascii="宋体" w:hAnsi="宋体" w:cs="宋体"/>
          <w:b/>
        </w:rPr>
        <w:t xml:space="preserve">评标方法与评标标准</w:t>
      </w:r>
      <w:r/>
    </w:p>
    <w:p>
      <w:pPr>
        <w:pStyle w:val="837"/>
        <w:spacing w:line="400" w:lineRule="exact"/>
        <w:rPr>
          <w:rFonts w:hint="eastAsia" w:ascii="宋体" w:hAnsi="宋体"/>
        </w:rPr>
      </w:pPr>
      <w:r>
        <w:rPr>
          <w:rFonts w:hint="eastAsia" w:ascii="宋体" w:hAnsi="宋体"/>
        </w:rPr>
        <w:t xml:space="preserve">本项目采用综合评分法确定中标候选人。评标委员会将按下列评分标准进行评分，总分值为100分。</w:t>
      </w:r>
      <w:r/>
    </w:p>
    <w:p>
      <w:pPr>
        <w:pStyle w:val="837"/>
        <w:spacing w:line="400" w:lineRule="exact"/>
        <w:rPr>
          <w:rFonts w:hint="eastAsia" w:ascii="宋体" w:hAnsi="宋体"/>
        </w:rPr>
      </w:pPr>
      <w:r>
        <w:rPr>
          <w:rFonts w:hint="eastAsia" w:ascii="宋体" w:hAnsi="宋体"/>
        </w:rPr>
        <w:t xml:space="preserve">（一）价格（1</w:t>
      </w:r>
      <w:r>
        <w:rPr>
          <w:rFonts w:ascii="宋体" w:hAnsi="宋体"/>
        </w:rPr>
        <w:t xml:space="preserve">0</w:t>
      </w:r>
      <w:r>
        <w:rPr>
          <w:rFonts w:hint="eastAsia" w:ascii="宋体" w:hAnsi="宋体"/>
        </w:rPr>
        <w:t xml:space="preserve">分）</w:t>
      </w:r>
      <w:r/>
    </w:p>
    <w:p>
      <w:pPr>
        <w:pStyle w:val="837"/>
        <w:spacing w:line="400" w:lineRule="exact"/>
        <w:rPr>
          <w:rFonts w:hint="eastAsia" w:ascii="宋体" w:hAnsi="宋体"/>
        </w:rPr>
      </w:pPr>
      <w:r>
        <w:rPr>
          <w:rFonts w:hint="eastAsia" w:ascii="宋体" w:hAnsi="宋体"/>
        </w:rPr>
        <w:t xml:space="preserve">价格分采用低价优先法计算，即满足招标文件要求且报价最低的投标供应商的价格为评标基准价，其价格分为满分。其他投标供应商的价格分均按照下列公式计算：报价得分=（评分基准价/投标报价）*1</w:t>
      </w:r>
      <w:r>
        <w:rPr>
          <w:rFonts w:ascii="宋体" w:hAnsi="宋体"/>
        </w:rPr>
        <w:t xml:space="preserve">0</w:t>
      </w:r>
      <w:r>
        <w:rPr>
          <w:rFonts w:hint="eastAsia" w:ascii="宋体" w:hAnsi="宋体"/>
        </w:rPr>
        <w:t xml:space="preserve">。</w:t>
      </w:r>
      <w:r/>
    </w:p>
    <w:p>
      <w:pPr>
        <w:pStyle w:val="837"/>
        <w:spacing w:line="400" w:lineRule="exact"/>
        <w:rPr>
          <w:rFonts w:hint="eastAsia" w:ascii="宋体" w:hAnsi="宋体"/>
        </w:rPr>
      </w:pPr>
      <w:r>
        <w:rPr>
          <w:rFonts w:hint="eastAsia" w:ascii="宋体" w:hAnsi="宋体"/>
        </w:rPr>
        <w:t xml:space="preserve">（二）商务部分（34分）</w:t>
      </w:r>
      <w:r/>
    </w:p>
    <w:p>
      <w:pPr>
        <w:pStyle w:val="837"/>
        <w:spacing w:line="400" w:lineRule="exact"/>
        <w:rPr>
          <w:rFonts w:hint="eastAsia" w:ascii="宋体" w:hAnsi="宋体"/>
        </w:rPr>
      </w:pPr>
      <w:r>
        <w:rPr>
          <w:rFonts w:hint="eastAsia" w:ascii="宋体" w:hAnsi="宋体"/>
        </w:rPr>
        <w:t xml:space="preserve">2.1、企业能力（6分）</w:t>
      </w:r>
      <w:r/>
    </w:p>
    <w:p>
      <w:pPr>
        <w:pStyle w:val="837"/>
        <w:spacing w:line="400" w:lineRule="exact"/>
        <w:rPr>
          <w:rFonts w:hint="eastAsia" w:ascii="宋体" w:hAnsi="宋体"/>
        </w:rPr>
      </w:pPr>
      <w:r>
        <w:rPr>
          <w:rFonts w:hint="eastAsia" w:ascii="宋体" w:hAnsi="宋体"/>
        </w:rPr>
        <w:t xml:space="preserve">2.1.1、投标人具有国家认证认可监督管理委员会认可的认证机构颁发的</w:t>
      </w:r>
      <w:r/>
    </w:p>
    <w:p>
      <w:pPr>
        <w:pStyle w:val="837"/>
        <w:spacing w:line="400" w:lineRule="exact"/>
        <w:rPr>
          <w:rFonts w:hint="eastAsia" w:ascii="宋体" w:hAnsi="宋体"/>
        </w:rPr>
      </w:pPr>
      <w:r>
        <w:rPr>
          <w:rFonts w:hint="eastAsia" w:ascii="宋体" w:hAnsi="宋体"/>
        </w:rPr>
        <w:t xml:space="preserve">（1）ISO 9001 质量管理体系认证证书；</w:t>
      </w:r>
      <w:r/>
    </w:p>
    <w:p>
      <w:pPr>
        <w:pStyle w:val="837"/>
        <w:spacing w:line="400" w:lineRule="exact"/>
        <w:rPr>
          <w:rFonts w:hint="eastAsia" w:ascii="宋体" w:hAnsi="宋体"/>
        </w:rPr>
      </w:pPr>
      <w:r>
        <w:rPr>
          <w:rFonts w:hint="eastAsia" w:ascii="宋体" w:hAnsi="宋体"/>
        </w:rPr>
        <w:t xml:space="preserve">（2）ISO 14001 环境管理体系认证证书；</w:t>
      </w:r>
      <w:r/>
    </w:p>
    <w:p>
      <w:pPr>
        <w:pStyle w:val="837"/>
        <w:spacing w:line="400" w:lineRule="exact"/>
        <w:rPr>
          <w:rFonts w:hint="eastAsia" w:ascii="宋体" w:hAnsi="宋体"/>
        </w:rPr>
      </w:pPr>
      <w:r>
        <w:rPr>
          <w:rFonts w:hint="eastAsia" w:ascii="宋体" w:hAnsi="宋体"/>
        </w:rPr>
        <w:t xml:space="preserve">（3）ISO 45001 职业健康安全管理体系认证证书；</w:t>
      </w:r>
      <w:r/>
    </w:p>
    <w:p>
      <w:pPr>
        <w:pStyle w:val="837"/>
        <w:spacing w:line="400" w:lineRule="exact"/>
        <w:rPr>
          <w:rFonts w:hint="eastAsia" w:ascii="宋体" w:hAnsi="宋体"/>
        </w:rPr>
      </w:pPr>
      <w:r>
        <w:rPr>
          <w:rFonts w:hint="eastAsia" w:ascii="宋体" w:hAnsi="宋体"/>
        </w:rPr>
        <w:t xml:space="preserve">提供有效期内证书扫描件并加盖投标人公章，每提供一个证书得2分，最高得6分，未提供或不符合要求不得分。</w:t>
      </w:r>
      <w:r/>
    </w:p>
    <w:p>
      <w:pPr>
        <w:pStyle w:val="837"/>
        <w:spacing w:line="400" w:lineRule="exact"/>
        <w:rPr>
          <w:rFonts w:hint="eastAsia" w:ascii="宋体" w:hAnsi="宋体"/>
        </w:rPr>
      </w:pPr>
      <w:r>
        <w:rPr>
          <w:rFonts w:hint="eastAsia" w:ascii="宋体" w:hAnsi="宋体"/>
        </w:rPr>
        <w:t xml:space="preserve">2.2、项目业绩（4分）</w:t>
      </w:r>
      <w:r/>
    </w:p>
    <w:p>
      <w:pPr>
        <w:pStyle w:val="837"/>
        <w:spacing w:line="400" w:lineRule="exact"/>
        <w:rPr>
          <w:rFonts w:hint="eastAsia" w:ascii="宋体" w:hAnsi="宋体"/>
        </w:rPr>
      </w:pPr>
      <w:r>
        <w:rPr>
          <w:rFonts w:hint="eastAsia" w:ascii="宋体" w:hAnsi="宋体"/>
        </w:rPr>
        <w:t xml:space="preserve">自2023年1月1日起，投标人具有类似项目业绩（</w:t>
      </w:r>
      <w:r>
        <w:rPr>
          <w:rFonts w:ascii="宋体" w:hAnsi="宋体"/>
        </w:rPr>
        <w:t xml:space="preserve">政务服务</w:t>
      </w:r>
      <w:r>
        <w:rPr>
          <w:rFonts w:hint="eastAsia" w:ascii="宋体" w:hAnsi="宋体"/>
        </w:rPr>
        <w:t xml:space="preserve">、AI应用、数据治理</w:t>
      </w:r>
      <w:r>
        <w:rPr>
          <w:rFonts w:ascii="宋体" w:hAnsi="宋体"/>
        </w:rPr>
        <w:t xml:space="preserve">或审批监管类</w:t>
      </w:r>
      <w:r>
        <w:rPr>
          <w:rFonts w:hint="eastAsia" w:ascii="宋体" w:hAnsi="宋体"/>
        </w:rPr>
        <w:t xml:space="preserve">），每提供一个得0.5分，最多得4分。</w:t>
      </w:r>
      <w:r/>
    </w:p>
    <w:p>
      <w:pPr>
        <w:pStyle w:val="837"/>
        <w:spacing w:line="400" w:lineRule="exact"/>
        <w:rPr>
          <w:rFonts w:hint="eastAsia" w:ascii="宋体" w:hAnsi="宋体"/>
        </w:rPr>
      </w:pPr>
      <w:r>
        <w:rPr>
          <w:rFonts w:hint="eastAsia" w:ascii="宋体" w:hAnsi="宋体"/>
        </w:rPr>
        <w:t xml:space="preserve">以上业绩证明材料具体要求如下：提供合同关键页（必须涵括合同时间、合同内容、合同签章页）复印件，如投标文件中提供的项目业绩与招标文件描述的关键字样不一致，而该投标文件中能证明投标人拥有的项目业绩具有相同或相似功能和效果，且评标委员会认可的，视同符合要求；合同复印件内容文字和印章须清晰可见且无遮盖。</w:t>
      </w:r>
      <w:r/>
    </w:p>
    <w:p>
      <w:pPr>
        <w:pStyle w:val="837"/>
        <w:spacing w:line="400" w:lineRule="exact"/>
        <w:rPr>
          <w:rFonts w:hint="eastAsia" w:ascii="宋体" w:hAnsi="宋体"/>
        </w:rPr>
      </w:pPr>
      <w:r>
        <w:rPr>
          <w:rFonts w:hint="eastAsia" w:ascii="宋体" w:hAnsi="宋体"/>
        </w:rPr>
        <w:t xml:space="preserve">2.3、软件著作权（3分）</w:t>
      </w:r>
      <w:r/>
    </w:p>
    <w:p>
      <w:pPr>
        <w:pStyle w:val="837"/>
        <w:spacing w:line="400" w:lineRule="exact"/>
        <w:rPr>
          <w:rFonts w:hint="eastAsia" w:ascii="宋体" w:hAnsi="宋体"/>
        </w:rPr>
      </w:pPr>
      <w:r>
        <w:rPr>
          <w:rFonts w:hint="eastAsia" w:ascii="宋体" w:hAnsi="宋体"/>
        </w:rPr>
        <w:t xml:space="preserve">投标人具有与本次业务相关的软件著作权证书（证书获取时间需为招标文件公告日期前），证书名称须包含“审批平台”、“政务服务”或“AI平台”相关的关键词，每提供一个得0.5分，最高得3分。</w:t>
      </w:r>
      <w:r/>
    </w:p>
    <w:p>
      <w:pPr>
        <w:pStyle w:val="837"/>
        <w:spacing w:line="400" w:lineRule="exact"/>
        <w:rPr>
          <w:rFonts w:hint="eastAsia" w:ascii="宋体" w:hAnsi="宋体"/>
        </w:rPr>
      </w:pPr>
      <w:r>
        <w:rPr>
          <w:rFonts w:hint="eastAsia" w:ascii="宋体" w:hAnsi="宋体"/>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p>
      <w:pPr>
        <w:pStyle w:val="837"/>
        <w:spacing w:line="400" w:lineRule="exact"/>
        <w:rPr>
          <w:rFonts w:hint="eastAsia" w:ascii="宋体" w:hAnsi="宋体"/>
        </w:rPr>
      </w:pPr>
      <w:r>
        <w:rPr>
          <w:rFonts w:hint="eastAsia" w:ascii="宋体" w:hAnsi="宋体"/>
        </w:rPr>
        <w:t xml:space="preserve">2.4、项目团队（21分）</w:t>
      </w:r>
      <w:r/>
    </w:p>
    <w:p>
      <w:pPr>
        <w:pStyle w:val="837"/>
        <w:spacing w:line="400" w:lineRule="exact"/>
        <w:rPr>
          <w:rFonts w:hint="eastAsia" w:ascii="宋体" w:hAnsi="宋体"/>
        </w:rPr>
      </w:pPr>
      <w:r>
        <w:rPr>
          <w:rFonts w:hint="eastAsia" w:ascii="宋体" w:hAnsi="宋体"/>
        </w:rPr>
        <w:t xml:space="preserve">2.4.1、拟派的项目经理需具备国家认证且在有效期内的以下证书：</w:t>
      </w:r>
      <w:r/>
    </w:p>
    <w:p>
      <w:pPr>
        <w:pStyle w:val="837"/>
        <w:spacing w:line="400" w:lineRule="exact"/>
        <w:rPr>
          <w:rFonts w:hint="eastAsia" w:ascii="宋体" w:hAnsi="宋体"/>
        </w:rPr>
      </w:pPr>
      <w:r>
        <w:rPr>
          <w:rFonts w:hint="eastAsia" w:ascii="宋体" w:hAnsi="宋体"/>
        </w:rPr>
        <w:t xml:space="preserve">（1）</w:t>
      </w:r>
      <w:r>
        <w:rPr>
          <w:rFonts w:hint="eastAsia" w:ascii="宋体" w:hAnsi="宋体" w:cs="宋体"/>
        </w:rPr>
        <w:t xml:space="preserve">高级工程师证书（人工智能方向）</w:t>
      </w:r>
      <w:r>
        <w:rPr>
          <w:rFonts w:hint="eastAsia" w:ascii="宋体" w:hAnsi="宋体"/>
        </w:rPr>
        <w:t xml:space="preserve">；</w:t>
      </w:r>
      <w:r/>
    </w:p>
    <w:p>
      <w:pPr>
        <w:pStyle w:val="837"/>
        <w:spacing w:line="400" w:lineRule="exact"/>
        <w:rPr>
          <w:rFonts w:hint="eastAsia" w:ascii="宋体" w:hAnsi="宋体"/>
        </w:rPr>
      </w:pPr>
      <w:r>
        <w:rPr>
          <w:rFonts w:hint="eastAsia" w:ascii="宋体" w:hAnsi="宋体"/>
        </w:rPr>
        <w:t xml:space="preserve">（2）信息系统项目管理师证书；</w:t>
      </w:r>
      <w:r/>
    </w:p>
    <w:p>
      <w:pPr>
        <w:pStyle w:val="837"/>
        <w:spacing w:line="400" w:lineRule="exact"/>
        <w:rPr>
          <w:rFonts w:hint="eastAsia" w:ascii="宋体" w:hAnsi="宋体"/>
        </w:rPr>
      </w:pPr>
      <w:r>
        <w:rPr>
          <w:rFonts w:hint="eastAsia" w:ascii="宋体" w:hAnsi="宋体"/>
        </w:rPr>
        <w:t xml:space="preserve">（3）</w:t>
      </w:r>
      <w:r>
        <w:rPr>
          <w:rFonts w:hint="eastAsia" w:ascii="宋体" w:hAnsi="宋体" w:cs="宋体"/>
        </w:rPr>
        <w:t xml:space="preserve">系统分析师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每提供一个证书得1分，本项最高得3分。本项仅计项目经理1人。</w:t>
      </w:r>
      <w:r/>
    </w:p>
    <w:p>
      <w:pPr>
        <w:pStyle w:val="837"/>
        <w:spacing w:line="400" w:lineRule="exact"/>
        <w:rPr>
          <w:rFonts w:hint="eastAsia" w:ascii="宋体" w:hAnsi="宋体"/>
        </w:rPr>
      </w:pPr>
      <w:r>
        <w:rPr>
          <w:rFonts w:hint="eastAsia" w:ascii="宋体" w:hAnsi="宋体"/>
        </w:rPr>
        <w:t xml:space="preserve">2.4.2、拟派的项目技术负责人需具备国家认证且在有效期内的以下证书：</w:t>
      </w:r>
      <w:r/>
    </w:p>
    <w:p>
      <w:pPr>
        <w:pStyle w:val="837"/>
        <w:spacing w:line="400" w:lineRule="exact"/>
        <w:rPr>
          <w:rFonts w:hint="eastAsia" w:ascii="宋体" w:hAnsi="宋体"/>
        </w:rPr>
      </w:pPr>
      <w:r>
        <w:rPr>
          <w:rFonts w:hint="eastAsia" w:ascii="宋体" w:hAnsi="宋体"/>
        </w:rPr>
        <w:t xml:space="preserve">（1）</w:t>
      </w:r>
      <w:r>
        <w:rPr>
          <w:rFonts w:hint="eastAsia" w:ascii="宋体" w:hAnsi="宋体" w:cs="宋体"/>
        </w:rPr>
        <w:t xml:space="preserve">高级工程师证书（电子信息方向）；</w:t>
      </w:r>
      <w:r/>
    </w:p>
    <w:p>
      <w:pPr>
        <w:pStyle w:val="837"/>
        <w:spacing w:line="400" w:lineRule="exact"/>
        <w:rPr>
          <w:rFonts w:hint="eastAsia" w:ascii="宋体" w:hAnsi="宋体"/>
        </w:rPr>
      </w:pPr>
      <w:r>
        <w:rPr>
          <w:rFonts w:hint="eastAsia" w:ascii="宋体" w:hAnsi="宋体"/>
        </w:rPr>
        <w:t xml:space="preserve">（2）系统架构设计师证书；</w:t>
      </w:r>
      <w:r/>
    </w:p>
    <w:p>
      <w:pPr>
        <w:pStyle w:val="837"/>
        <w:spacing w:line="400" w:lineRule="exact"/>
        <w:rPr>
          <w:rFonts w:hint="eastAsia" w:ascii="宋体" w:hAnsi="宋体"/>
        </w:rPr>
      </w:pPr>
      <w:r>
        <w:rPr>
          <w:rFonts w:hint="eastAsia" w:ascii="宋体" w:hAnsi="宋体"/>
        </w:rPr>
        <w:t xml:space="preserve">（3）软件设计师证书；</w:t>
      </w:r>
      <w:r/>
    </w:p>
    <w:p>
      <w:pPr>
        <w:pStyle w:val="837"/>
        <w:spacing w:line="400" w:lineRule="exact"/>
        <w:rPr>
          <w:rFonts w:hint="eastAsia" w:ascii="宋体" w:hAnsi="宋体"/>
        </w:rPr>
      </w:pPr>
      <w:r>
        <w:rPr>
          <w:rFonts w:hint="eastAsia" w:ascii="宋体" w:hAnsi="宋体"/>
        </w:rPr>
        <w:t xml:space="preserve">每提供一个证书得1分，本项最高得3分。本项仅计项目技术负责人1人。</w:t>
      </w:r>
      <w:r/>
    </w:p>
    <w:p>
      <w:pPr>
        <w:pStyle w:val="837"/>
        <w:spacing w:line="400" w:lineRule="exact"/>
        <w:rPr>
          <w:rFonts w:hint="eastAsia" w:ascii="宋体" w:hAnsi="宋体"/>
        </w:rPr>
      </w:pPr>
      <w:r>
        <w:rPr>
          <w:rFonts w:hint="eastAsia" w:ascii="宋体" w:hAnsi="宋体"/>
        </w:rPr>
        <w:t xml:space="preserve">2.4.3、拟派的项目信息安全负责人需具备国家认证且在有效期内的以下证书：</w:t>
      </w:r>
      <w:r/>
    </w:p>
    <w:p>
      <w:pPr>
        <w:pStyle w:val="837"/>
        <w:spacing w:line="400" w:lineRule="exact"/>
        <w:rPr>
          <w:rFonts w:hint="eastAsia" w:ascii="宋体" w:hAnsi="宋体"/>
        </w:rPr>
      </w:pPr>
      <w:r>
        <w:rPr>
          <w:rFonts w:hint="eastAsia" w:ascii="宋体" w:hAnsi="宋体"/>
        </w:rPr>
        <w:t xml:space="preserve">（1）信息系统项目管理师证书；</w:t>
      </w:r>
      <w:r/>
    </w:p>
    <w:p>
      <w:pPr>
        <w:pStyle w:val="837"/>
        <w:spacing w:line="400" w:lineRule="exact"/>
        <w:rPr>
          <w:rFonts w:hint="eastAsia" w:ascii="宋体" w:hAnsi="宋体"/>
        </w:rPr>
      </w:pPr>
      <w:r>
        <w:rPr>
          <w:rFonts w:hint="eastAsia" w:ascii="宋体" w:hAnsi="宋体"/>
        </w:rPr>
        <w:t xml:space="preserve">（2）CISAW信息安全保障人员</w:t>
      </w:r>
      <w:r>
        <w:rPr>
          <w:rFonts w:hint="eastAsia" w:ascii="宋体" w:hAnsi="宋体" w:cs="宋体"/>
        </w:rPr>
        <w:t xml:space="preserve">证书；</w:t>
      </w:r>
      <w:r/>
    </w:p>
    <w:p>
      <w:pPr>
        <w:pStyle w:val="837"/>
        <w:spacing w:line="400" w:lineRule="exact"/>
        <w:rPr>
          <w:rFonts w:hint="eastAsia" w:ascii="宋体" w:hAnsi="宋体"/>
        </w:rPr>
      </w:pPr>
      <w:r>
        <w:rPr>
          <w:rFonts w:hint="eastAsia" w:ascii="宋体" w:hAnsi="宋体"/>
        </w:rPr>
        <w:t xml:space="preserve">（3）信息安全工程师</w:t>
      </w:r>
      <w:r>
        <w:rPr>
          <w:rFonts w:hint="eastAsia" w:ascii="宋体" w:hAnsi="宋体" w:cs="宋体"/>
        </w:rPr>
        <w:t xml:space="preserve">证书；</w:t>
      </w:r>
      <w:r/>
    </w:p>
    <w:p>
      <w:pPr>
        <w:pStyle w:val="837"/>
        <w:spacing w:line="400" w:lineRule="exact"/>
        <w:rPr>
          <w:rFonts w:hint="eastAsia" w:ascii="宋体" w:hAnsi="宋体"/>
        </w:rPr>
      </w:pPr>
      <w:r>
        <w:rPr>
          <w:rFonts w:hint="eastAsia" w:ascii="宋体" w:hAnsi="宋体"/>
        </w:rPr>
        <w:t xml:space="preserve">每提供一个证书得1分，本项最高得3分。本项仅计项目信息安全负责人1人。</w:t>
      </w:r>
      <w:r/>
    </w:p>
    <w:p>
      <w:pPr>
        <w:pStyle w:val="837"/>
        <w:spacing w:line="400" w:lineRule="exact"/>
        <w:rPr>
          <w:rFonts w:hint="eastAsia" w:ascii="宋体" w:hAnsi="宋体"/>
        </w:rPr>
      </w:pPr>
      <w:r>
        <w:rPr>
          <w:rFonts w:hint="eastAsia" w:ascii="宋体" w:hAnsi="宋体"/>
        </w:rPr>
        <w:t xml:space="preserve">2.4.4、拟派的项目架构分析负责人需具备国家认证且在有效期内的以下证书：</w:t>
      </w:r>
      <w:r/>
    </w:p>
    <w:p>
      <w:pPr>
        <w:pStyle w:val="837"/>
        <w:spacing w:line="400" w:lineRule="exact"/>
        <w:rPr>
          <w:rFonts w:hint="eastAsia" w:ascii="宋体" w:hAnsi="宋体"/>
        </w:rPr>
      </w:pPr>
      <w:r>
        <w:rPr>
          <w:rFonts w:hint="eastAsia" w:ascii="宋体" w:hAnsi="宋体"/>
        </w:rPr>
        <w:t xml:space="preserve">（1）</w:t>
      </w:r>
      <w:r>
        <w:rPr>
          <w:rFonts w:ascii="宋体" w:hAnsi="宋体"/>
        </w:rPr>
        <w:t xml:space="preserve">系统分析师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（2）</w:t>
      </w:r>
      <w:r>
        <w:rPr>
          <w:rFonts w:ascii="宋体" w:hAnsi="宋体"/>
        </w:rPr>
        <w:t xml:space="preserve">系统架构师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每提供一个证书得1分，本项最高得2分。本项仅计项目架构分析负责人1人。</w:t>
      </w:r>
      <w:r/>
    </w:p>
    <w:p>
      <w:pPr>
        <w:pStyle w:val="837"/>
        <w:spacing w:line="400" w:lineRule="exact"/>
        <w:rPr>
          <w:rFonts w:hint="eastAsia" w:ascii="宋体" w:hAnsi="宋体"/>
        </w:rPr>
      </w:pPr>
      <w:r>
        <w:rPr>
          <w:rFonts w:hint="eastAsia" w:ascii="宋体" w:hAnsi="宋体"/>
        </w:rPr>
        <w:t xml:space="preserve">2.4.5、拟派的项目测试负责人需具备国家认证且在有效期内的以下证书：</w:t>
      </w:r>
      <w:r/>
    </w:p>
    <w:p>
      <w:pPr>
        <w:pStyle w:val="837"/>
        <w:spacing w:line="400" w:lineRule="exact"/>
        <w:rPr>
          <w:rFonts w:hint="eastAsia" w:ascii="宋体" w:hAnsi="宋体"/>
        </w:rPr>
      </w:pPr>
      <w:r>
        <w:rPr>
          <w:rFonts w:hint="eastAsia" w:ascii="宋体" w:hAnsi="宋体"/>
        </w:rPr>
        <w:t xml:space="preserve">（1）</w:t>
      </w:r>
      <w:r>
        <w:rPr>
          <w:rFonts w:ascii="宋体" w:hAnsi="宋体"/>
        </w:rPr>
        <w:t xml:space="preserve">软件测试工程师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（2）</w:t>
      </w:r>
      <w:r>
        <w:rPr>
          <w:rFonts w:ascii="宋体" w:hAnsi="宋体"/>
        </w:rPr>
        <w:t xml:space="preserve">软件设计师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（3）</w:t>
      </w:r>
      <w:r>
        <w:rPr>
          <w:rFonts w:ascii="宋体" w:hAnsi="宋体"/>
        </w:rPr>
        <w:t xml:space="preserve">系统架构设计师</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每提供一个证书得1分，本项最高得3分。本项仅计项目测试负责人1人。</w:t>
      </w:r>
      <w:r/>
    </w:p>
    <w:p>
      <w:pPr>
        <w:pStyle w:val="837"/>
        <w:spacing w:line="400" w:lineRule="exact"/>
        <w:rPr>
          <w:rFonts w:hint="eastAsia" w:ascii="宋体" w:hAnsi="宋体"/>
        </w:rPr>
      </w:pPr>
      <w:r>
        <w:rPr>
          <w:rFonts w:hint="eastAsia" w:ascii="宋体" w:hAnsi="宋体"/>
        </w:rPr>
        <w:t xml:space="preserve">2.4.6、拟派的团队成员（不含项目经理、技术负责人、信息安全负责人、架构分析负责人、测试负责人）</w:t>
      </w:r>
      <w:r/>
    </w:p>
    <w:p>
      <w:pPr>
        <w:pStyle w:val="837"/>
        <w:spacing w:line="400" w:lineRule="exact"/>
        <w:rPr>
          <w:rFonts w:hint="eastAsia" w:ascii="宋体" w:hAnsi="宋体"/>
        </w:rPr>
      </w:pPr>
      <w:r>
        <w:rPr>
          <w:rFonts w:hint="eastAsia" w:ascii="宋体" w:hAnsi="宋体" w:cs="宋体"/>
        </w:rPr>
        <w:t xml:space="preserve">本次项目内容涉及软件开发、人工智能、信息安全等多门学科的复合型知识，项目团队中的核心成员应具有以下能力</w:t>
      </w:r>
      <w:r>
        <w:rPr>
          <w:rFonts w:hint="eastAsia" w:ascii="宋体" w:hAnsi="宋体"/>
        </w:rPr>
        <w:t xml:space="preserve">证书：</w:t>
      </w:r>
      <w:r/>
    </w:p>
    <w:p>
      <w:pPr>
        <w:pStyle w:val="837"/>
        <w:spacing w:line="400" w:lineRule="exact"/>
        <w:rPr>
          <w:rFonts w:hint="eastAsia" w:ascii="宋体" w:hAnsi="宋体"/>
        </w:rPr>
      </w:pPr>
      <w:r>
        <w:rPr>
          <w:rFonts w:hint="eastAsia" w:ascii="宋体" w:hAnsi="宋体"/>
        </w:rPr>
        <w:t xml:space="preserve">（1）人工智能应用工程师（高级）；</w:t>
      </w:r>
      <w:r/>
    </w:p>
    <w:p>
      <w:pPr>
        <w:pStyle w:val="837"/>
        <w:spacing w:line="400" w:lineRule="exact"/>
        <w:rPr>
          <w:rFonts w:hint="eastAsia" w:ascii="宋体" w:hAnsi="宋体"/>
        </w:rPr>
      </w:pPr>
      <w:r>
        <w:rPr>
          <w:rFonts w:hint="eastAsia" w:ascii="宋体" w:hAnsi="宋体"/>
        </w:rPr>
        <w:t xml:space="preserve">（2）信息技术应用创新考试评价证书（云适配迁移工程师方向）；</w:t>
      </w:r>
      <w:r/>
    </w:p>
    <w:p>
      <w:pPr>
        <w:pStyle w:val="837"/>
        <w:spacing w:line="400" w:lineRule="exact"/>
        <w:rPr>
          <w:rFonts w:hint="eastAsia" w:ascii="宋体" w:hAnsi="宋体"/>
        </w:rPr>
      </w:pPr>
      <w:r>
        <w:rPr>
          <w:rFonts w:hint="eastAsia" w:ascii="宋体" w:hAnsi="宋体"/>
        </w:rPr>
        <w:t xml:space="preserve">（3）信息技术应用创新考试评价证书（规划管理师方向）；</w:t>
      </w:r>
      <w:r/>
    </w:p>
    <w:p>
      <w:pPr>
        <w:pStyle w:val="837"/>
        <w:spacing w:line="400" w:lineRule="exact"/>
        <w:rPr>
          <w:rFonts w:hint="eastAsia" w:ascii="宋体" w:hAnsi="宋体"/>
        </w:rPr>
      </w:pPr>
      <w:r>
        <w:rPr>
          <w:rFonts w:hint="eastAsia" w:ascii="宋体" w:hAnsi="宋体"/>
        </w:rPr>
        <w:t xml:space="preserve">（4）信息技术应用创新考试评价证书（集成项目管理师方向）；</w:t>
      </w:r>
      <w:r/>
    </w:p>
    <w:p>
      <w:pPr>
        <w:pStyle w:val="837"/>
        <w:spacing w:line="400" w:lineRule="exact"/>
        <w:rPr>
          <w:rFonts w:hint="eastAsia" w:ascii="宋体" w:hAnsi="宋体"/>
        </w:rPr>
      </w:pPr>
      <w:r>
        <w:rPr>
          <w:rFonts w:hint="eastAsia" w:ascii="宋体" w:hAnsi="宋体"/>
        </w:rPr>
        <w:t xml:space="preserve">（5）用户研究工程师证书；</w:t>
      </w:r>
      <w:r/>
    </w:p>
    <w:p>
      <w:pPr>
        <w:pStyle w:val="837"/>
        <w:spacing w:line="400" w:lineRule="exact"/>
        <w:rPr>
          <w:rFonts w:hint="eastAsia" w:ascii="宋体" w:hAnsi="宋体"/>
        </w:rPr>
      </w:pPr>
      <w:r>
        <w:rPr>
          <w:rFonts w:hint="eastAsia" w:ascii="宋体" w:hAnsi="宋体"/>
        </w:rPr>
        <w:t xml:space="preserve">（6）CISP-PTE 注册渗透测试工程师证书；</w:t>
      </w:r>
      <w:r/>
    </w:p>
    <w:p>
      <w:pPr>
        <w:pStyle w:val="837"/>
        <w:spacing w:line="400" w:lineRule="exact"/>
        <w:rPr>
          <w:rFonts w:hint="eastAsia" w:ascii="宋体" w:hAnsi="宋体"/>
        </w:rPr>
      </w:pPr>
      <w:r>
        <w:rPr>
          <w:rFonts w:hint="eastAsia" w:ascii="宋体" w:hAnsi="宋体"/>
        </w:rPr>
        <w:t xml:space="preserve">（7）CISP-DSG 注册数据安全治理专业人员证书；</w:t>
      </w:r>
      <w:r/>
    </w:p>
    <w:p>
      <w:pPr>
        <w:pStyle w:val="837"/>
        <w:spacing w:line="400" w:lineRule="exact"/>
        <w:rPr>
          <w:rFonts w:hint="eastAsia" w:ascii="宋体" w:hAnsi="宋体"/>
        </w:rPr>
      </w:pPr>
      <w:r>
        <w:rPr>
          <w:rFonts w:hint="eastAsia" w:ascii="宋体" w:hAnsi="宋体"/>
        </w:rPr>
        <w:t xml:space="preserve">每提供一种证书得1分，一人多证只得1分</w:t>
      </w:r>
      <w:r>
        <w:rPr>
          <w:rFonts w:ascii="宋体" w:hAnsi="宋体" w:cs="宋体"/>
        </w:rPr>
        <w:t xml:space="preserve">，多人同证只算1人</w:t>
      </w:r>
      <w:r>
        <w:rPr>
          <w:rFonts w:hint="eastAsia" w:ascii="宋体" w:hAnsi="宋体"/>
        </w:rPr>
        <w:t xml:space="preserve">，最高得7分。</w:t>
      </w:r>
      <w:r/>
    </w:p>
    <w:p>
      <w:pPr>
        <w:pStyle w:val="837"/>
        <w:spacing w:line="400" w:lineRule="exact"/>
        <w:rPr>
          <w:rFonts w:hint="eastAsia" w:ascii="宋体" w:hAnsi="宋体"/>
        </w:rPr>
      </w:pPr>
      <w:r>
        <w:rPr>
          <w:rFonts w:hint="eastAsia" w:ascii="宋体" w:hAnsi="宋体"/>
        </w:rPr>
        <w:t xml:space="preserve">以上人员均需提供资质证书复印件并加盖公章。同时提供以上所有人员开标前三个月内由投标人缴纳的任意一个月社保证明复印件（如提供为多人社保信息汇总材料，请于证明材料中用明显标识标注出所提供人员社保证明材料所在项，以便评标委员会评审）。不满足要求或不提供不得分。</w:t>
      </w:r>
      <w:r/>
    </w:p>
    <w:p>
      <w:pPr>
        <w:pStyle w:val="837"/>
        <w:spacing w:line="400" w:lineRule="exact"/>
        <w:rPr>
          <w:rFonts w:hint="eastAsia" w:ascii="宋体" w:hAnsi="宋体"/>
        </w:rPr>
      </w:pPr>
      <w:r>
        <w:rPr>
          <w:rFonts w:hint="eastAsia" w:ascii="宋体" w:hAnsi="宋体"/>
        </w:rPr>
        <w:t xml:space="preserve">（三）技术部分（46分）</w:t>
      </w:r>
      <w:r/>
    </w:p>
    <w:p>
      <w:pPr>
        <w:pStyle w:val="837"/>
        <w:spacing w:line="400" w:lineRule="exact"/>
        <w:rPr>
          <w:rFonts w:hint="eastAsia" w:ascii="宋体" w:hAnsi="宋体"/>
        </w:rPr>
      </w:pPr>
      <w:r>
        <w:rPr>
          <w:rFonts w:hint="eastAsia" w:ascii="宋体" w:hAnsi="宋体"/>
        </w:rPr>
        <w:t xml:space="preserve">3.1、项目理解及需求分析（4分），</w:t>
      </w:r>
      <w:r>
        <w:rPr>
          <w:rFonts w:hint="eastAsia" w:ascii="宋体" w:hAnsi="宋体" w:cs="宋体"/>
        </w:rPr>
        <w:t xml:space="preserve">评委根据投标文件对招标文件第四章“采购需求”（五）“服务方案与服务能力要求”中“</w:t>
      </w:r>
      <w:r>
        <w:rPr>
          <w:rFonts w:hint="eastAsia" w:ascii="宋体" w:hAnsi="宋体"/>
        </w:rPr>
        <w:t xml:space="preserve">项目理解及需求分析</w:t>
      </w:r>
      <w:r>
        <w:rPr>
          <w:rFonts w:hint="eastAsia" w:ascii="宋体" w:hAnsi="宋体" w:cs="宋体"/>
        </w:rPr>
        <w:t xml:space="preserve">”的要求的响应情况进行评审</w:t>
      </w:r>
      <w:r>
        <w:rPr>
          <w:rFonts w:hint="eastAsia" w:ascii="宋体" w:hAnsi="宋体"/>
        </w:rPr>
        <w:t xml:space="preserve">。</w:t>
      </w:r>
      <w:r/>
    </w:p>
    <w:p>
      <w:pPr>
        <w:pStyle w:val="837"/>
        <w:spacing w:line="400" w:lineRule="exact"/>
        <w:rPr>
          <w:rFonts w:hint="eastAsia" w:ascii="宋体" w:hAnsi="宋体"/>
        </w:rPr>
      </w:pPr>
      <w:r>
        <w:rPr>
          <w:rFonts w:hint="eastAsia" w:ascii="宋体" w:hAnsi="宋体"/>
        </w:rPr>
        <w:t xml:space="preserve">（1）投标文件未符合“项目理解及需求分析”全部条款要求的，视为不符合招标文件，本项得0分；</w:t>
      </w:r>
      <w:r/>
    </w:p>
    <w:p>
      <w:pPr>
        <w:pStyle w:val="837"/>
        <w:spacing w:line="400" w:lineRule="exact"/>
        <w:rPr>
          <w:rFonts w:hint="eastAsia" w:ascii="宋体" w:hAnsi="宋体"/>
        </w:rPr>
      </w:pPr>
      <w:r>
        <w:rPr>
          <w:rFonts w:hint="eastAsia" w:ascii="宋体" w:hAnsi="宋体"/>
        </w:rPr>
        <w:t xml:space="preserve">（2）投标文件符合“项目理解及需求分析”全部条款要求的，视为符合招标文件，本项得2分；</w:t>
      </w:r>
      <w:r/>
    </w:p>
    <w:p>
      <w:pPr>
        <w:pStyle w:val="837"/>
        <w:spacing w:line="400" w:lineRule="exact"/>
        <w:rPr>
          <w:rFonts w:hint="eastAsia" w:ascii="宋体" w:hAnsi="宋体"/>
        </w:rPr>
      </w:pPr>
      <w:r>
        <w:rPr>
          <w:rFonts w:hint="eastAsia" w:ascii="宋体" w:hAnsi="宋体"/>
        </w:rPr>
        <w:t xml:space="preserve">（3）</w:t>
      </w:r>
      <w:r>
        <w:rPr>
          <w:rFonts w:hint="eastAsia" w:ascii="宋体" w:hAnsi="宋体" w:cs="宋体"/>
        </w:rPr>
        <w:t xml:space="preserve">投标文件对“</w:t>
      </w:r>
      <w:r>
        <w:rPr>
          <w:rFonts w:hint="eastAsia" w:ascii="宋体" w:hAnsi="宋体"/>
        </w:rPr>
        <w:t xml:space="preserve">项目理解及需求分析</w:t>
      </w:r>
      <w:r>
        <w:rPr>
          <w:rFonts w:hint="eastAsia" w:ascii="宋体" w:hAnsi="宋体" w:cs="宋体"/>
        </w:rPr>
        <w:t xml:space="preserve">”中</w:t>
      </w:r>
      <w:r>
        <w:rPr>
          <w:rFonts w:ascii="宋体" w:hAnsi="宋体" w:cs="宋体"/>
        </w:rPr>
        <w:t xml:space="preserve">“</w:t>
      </w:r>
      <w:r>
        <w:rPr>
          <w:rFonts w:hint="eastAsia"/>
        </w:rPr>
        <w:t xml:space="preserve">项目背景分析</w:t>
      </w:r>
      <w:r>
        <w:rPr>
          <w:rFonts w:ascii="宋体" w:hAnsi="宋体" w:cs="宋体"/>
        </w:rPr>
        <w:t xml:space="preserve">”</w:t>
      </w:r>
      <w:r>
        <w:rPr>
          <w:rFonts w:hint="eastAsia" w:ascii="宋体" w:hAnsi="宋体" w:cs="宋体"/>
        </w:rPr>
        <w:t xml:space="preserve">、</w:t>
      </w:r>
      <w:r>
        <w:rPr>
          <w:rFonts w:hint="eastAsia"/>
        </w:rPr>
        <w:t xml:space="preserve">“核心业务分析”、“AI场景分析”、“需求细化”</w:t>
      </w:r>
      <w:r>
        <w:rPr>
          <w:rFonts w:hint="eastAsia" w:ascii="宋体" w:hAnsi="宋体" w:cs="宋体"/>
        </w:rPr>
        <w:t xml:space="preserve">的响应内容全部优于招标文件要求的，本项得4分。</w:t>
      </w:r>
      <w:r/>
    </w:p>
    <w:p>
      <w:pPr>
        <w:pStyle w:val="837"/>
        <w:spacing w:line="400" w:lineRule="exact"/>
        <w:rPr>
          <w:rFonts w:hint="eastAsia" w:ascii="宋体" w:hAnsi="宋体"/>
        </w:rPr>
      </w:pPr>
      <w:r>
        <w:rPr>
          <w:rFonts w:hint="eastAsia" w:ascii="宋体" w:hAnsi="宋体"/>
        </w:rPr>
        <w:t xml:space="preserve">3.2、总体架构设计（5分），</w:t>
      </w:r>
      <w:r>
        <w:rPr>
          <w:rFonts w:hint="eastAsia" w:ascii="宋体" w:hAnsi="宋体" w:cs="宋体"/>
        </w:rPr>
        <w:t xml:space="preserve">评委根据投标文件对招标文件第四章“采购需求”（五）“服务方案与服务能力要求”中“</w:t>
      </w:r>
      <w:r>
        <w:rPr>
          <w:rFonts w:hint="eastAsia" w:ascii="宋体" w:hAnsi="宋体"/>
        </w:rPr>
        <w:t xml:space="preserve">总体架构设计</w:t>
      </w:r>
      <w:r>
        <w:rPr>
          <w:rFonts w:hint="eastAsia" w:ascii="宋体" w:hAnsi="宋体" w:cs="宋体"/>
        </w:rPr>
        <w:t xml:space="preserve">”的要求的响应情况进行评审</w:t>
      </w:r>
      <w:r>
        <w:rPr>
          <w:rFonts w:hint="eastAsia" w:ascii="宋体" w:hAnsi="宋体"/>
        </w:rPr>
        <w:t xml:space="preserve">。</w:t>
      </w:r>
      <w:r/>
    </w:p>
    <w:p>
      <w:pPr>
        <w:pStyle w:val="837"/>
        <w:ind w:firstLine="0"/>
        <w:spacing w:line="400" w:lineRule="exact"/>
        <w:rPr>
          <w:rFonts w:hint="eastAsia" w:ascii="宋体" w:hAnsi="宋体"/>
        </w:rPr>
      </w:pPr>
      <w:r>
        <w:rPr>
          <w:rFonts w:hint="eastAsia" w:ascii="宋体" w:hAnsi="宋体"/>
        </w:rPr>
        <w:t xml:space="preserve">（1）投标文件未符合“总体架构设计”全部条款要求的，视为不符合招标文件，本项得0分；</w:t>
      </w:r>
      <w:r/>
    </w:p>
    <w:p>
      <w:pPr>
        <w:pStyle w:val="837"/>
        <w:spacing w:line="400" w:lineRule="exact"/>
        <w:rPr>
          <w:rFonts w:hint="eastAsia" w:ascii="宋体" w:hAnsi="宋体"/>
        </w:rPr>
      </w:pPr>
      <w:r>
        <w:rPr>
          <w:rFonts w:hint="eastAsia" w:ascii="宋体" w:hAnsi="宋体"/>
        </w:rPr>
        <w:t xml:space="preserve">（2）投标文件符合“总体架构设计”全部条款要求的，视为符合招标文件，本项得3分；</w:t>
      </w:r>
      <w:r/>
    </w:p>
    <w:p>
      <w:pPr>
        <w:pStyle w:val="837"/>
        <w:spacing w:line="400" w:lineRule="exact"/>
        <w:rPr>
          <w:rFonts w:hint="eastAsia" w:ascii="宋体" w:hAnsi="宋体"/>
        </w:rPr>
      </w:pPr>
      <w:r>
        <w:rPr>
          <w:rFonts w:hint="eastAsia" w:ascii="宋体" w:hAnsi="宋体"/>
        </w:rPr>
        <w:t xml:space="preserve">（3）</w:t>
      </w:r>
      <w:r>
        <w:rPr>
          <w:rFonts w:hint="eastAsia" w:ascii="宋体" w:hAnsi="宋体" w:cs="宋体"/>
        </w:rPr>
        <w:t xml:space="preserve">投标文件对“</w:t>
      </w:r>
      <w:r>
        <w:rPr>
          <w:rFonts w:hint="eastAsia" w:ascii="宋体" w:hAnsi="宋体"/>
        </w:rPr>
        <w:t xml:space="preserve">总体架构设计</w:t>
      </w:r>
      <w:r>
        <w:rPr>
          <w:rFonts w:hint="eastAsia" w:ascii="宋体" w:hAnsi="宋体" w:cs="宋体"/>
        </w:rPr>
        <w:t xml:space="preserve">”中“</w:t>
      </w:r>
      <w:r>
        <w:rPr>
          <w:rFonts w:hint="eastAsia"/>
        </w:rPr>
        <w:t xml:space="preserve">设计内容</w:t>
      </w:r>
      <w:r>
        <w:rPr>
          <w:rFonts w:hint="eastAsia" w:ascii="宋体" w:hAnsi="宋体" w:cs="宋体"/>
        </w:rPr>
        <w:t xml:space="preserve">”、“</w:t>
      </w:r>
      <w:r>
        <w:rPr>
          <w:rFonts w:hint="eastAsia"/>
        </w:rPr>
        <w:t xml:space="preserve">框架规划</w:t>
      </w:r>
      <w:r>
        <w:rPr>
          <w:rFonts w:hint="eastAsia" w:ascii="宋体" w:hAnsi="宋体" w:cs="宋体"/>
        </w:rPr>
        <w:t xml:space="preserve">”、“</w:t>
      </w:r>
      <w:r>
        <w:rPr>
          <w:rFonts w:hint="eastAsia"/>
        </w:rPr>
        <w:t xml:space="preserve">总体目标</w:t>
      </w:r>
      <w:r>
        <w:rPr>
          <w:rFonts w:hint="eastAsia" w:ascii="宋体" w:hAnsi="宋体" w:cs="宋体"/>
        </w:rPr>
        <w:t xml:space="preserve">”、“</w:t>
      </w:r>
      <w:r>
        <w:rPr>
          <w:rFonts w:hint="eastAsia"/>
        </w:rPr>
        <w:t xml:space="preserve">非功能性要求</w:t>
      </w:r>
      <w:r>
        <w:rPr>
          <w:rFonts w:hint="eastAsia" w:ascii="宋体" w:hAnsi="宋体" w:cs="宋体"/>
        </w:rPr>
        <w:t xml:space="preserve">”、“</w:t>
      </w:r>
      <w:r>
        <w:rPr>
          <w:rFonts w:hint="eastAsia"/>
        </w:rPr>
        <w:t xml:space="preserve">系统集成方案</w:t>
      </w:r>
      <w:r>
        <w:rPr>
          <w:rFonts w:hint="eastAsia" w:ascii="宋体" w:hAnsi="宋体" w:cs="宋体"/>
        </w:rPr>
        <w:t xml:space="preserve">”的响应内容全部优于招标文件要求的，本项得5分。</w:t>
      </w:r>
      <w:r/>
    </w:p>
    <w:p>
      <w:pPr>
        <w:pStyle w:val="837"/>
        <w:spacing w:line="400" w:lineRule="exact"/>
        <w:rPr>
          <w:rFonts w:hint="eastAsia" w:ascii="宋体" w:hAnsi="宋体"/>
        </w:rPr>
      </w:pPr>
      <w:r>
        <w:rPr>
          <w:rFonts w:hint="eastAsia" w:ascii="宋体" w:hAnsi="宋体"/>
        </w:rPr>
        <w:t xml:space="preserve">3.3、数据安全方案（4分），</w:t>
      </w:r>
      <w:r>
        <w:rPr>
          <w:rFonts w:hint="eastAsia" w:ascii="宋体" w:hAnsi="宋体" w:cs="宋体"/>
        </w:rPr>
        <w:t xml:space="preserve">评委根据投标文件对招标文件第四章“采购需求”（五）“服务方案与服务能力要求”中“</w:t>
      </w:r>
      <w:r>
        <w:rPr>
          <w:rFonts w:hint="eastAsia" w:ascii="宋体" w:hAnsi="宋体"/>
        </w:rPr>
        <w:t xml:space="preserve">数据安全方案</w:t>
      </w:r>
      <w:r>
        <w:rPr>
          <w:rFonts w:hint="eastAsia" w:ascii="宋体" w:hAnsi="宋体" w:cs="宋体"/>
        </w:rPr>
        <w:t xml:space="preserve">”的要求的响应情况进行评审</w:t>
      </w:r>
      <w:r>
        <w:rPr>
          <w:rFonts w:hint="eastAsia" w:ascii="宋体" w:hAnsi="宋体"/>
        </w:rPr>
        <w:t xml:space="preserve">。</w:t>
      </w:r>
      <w:r/>
    </w:p>
    <w:p>
      <w:pPr>
        <w:pStyle w:val="837"/>
        <w:spacing w:line="400" w:lineRule="exact"/>
        <w:rPr>
          <w:rFonts w:hint="eastAsia" w:ascii="宋体" w:hAnsi="宋体"/>
        </w:rPr>
      </w:pPr>
      <w:r>
        <w:rPr>
          <w:rFonts w:hint="eastAsia" w:ascii="宋体" w:hAnsi="宋体"/>
        </w:rPr>
        <w:t xml:space="preserve">（1）投标文件未符合“数据安全方案”全部条款要求的，视为不符合招标文件，本项得0分；</w:t>
      </w:r>
      <w:r/>
    </w:p>
    <w:p>
      <w:pPr>
        <w:pStyle w:val="837"/>
        <w:spacing w:line="400" w:lineRule="exact"/>
        <w:rPr>
          <w:rFonts w:hint="eastAsia" w:ascii="宋体" w:hAnsi="宋体"/>
        </w:rPr>
      </w:pPr>
      <w:r>
        <w:rPr>
          <w:rFonts w:hint="eastAsia" w:ascii="宋体" w:hAnsi="宋体"/>
        </w:rPr>
        <w:t xml:space="preserve">（2）投标文件符合“数据安全方案”全部条款要求的，视为符合招标文件，本项得2分；</w:t>
      </w:r>
      <w:r/>
    </w:p>
    <w:p>
      <w:pPr>
        <w:pStyle w:val="837"/>
        <w:spacing w:line="400" w:lineRule="exact"/>
        <w:rPr>
          <w:rFonts w:hint="eastAsia" w:ascii="宋体" w:hAnsi="宋体"/>
        </w:rPr>
      </w:pPr>
      <w:r>
        <w:rPr>
          <w:rFonts w:hint="eastAsia" w:ascii="宋体" w:hAnsi="宋体"/>
        </w:rPr>
        <w:t xml:space="preserve">（3）</w:t>
      </w:r>
      <w:r>
        <w:rPr>
          <w:rFonts w:hint="eastAsia" w:ascii="宋体" w:hAnsi="宋体" w:cs="宋体"/>
        </w:rPr>
        <w:t xml:space="preserve">投标文件对“</w:t>
      </w:r>
      <w:r>
        <w:rPr>
          <w:rFonts w:hint="eastAsia" w:ascii="宋体" w:hAnsi="宋体"/>
        </w:rPr>
        <w:t xml:space="preserve">数据安全方案</w:t>
      </w:r>
      <w:r>
        <w:rPr>
          <w:rFonts w:hint="eastAsia" w:ascii="宋体" w:hAnsi="宋体" w:cs="宋体"/>
        </w:rPr>
        <w:t xml:space="preserve">”中“</w:t>
      </w:r>
      <w:r>
        <w:rPr>
          <w:rFonts w:hint="eastAsia"/>
        </w:rPr>
        <w:t xml:space="preserve">环节防护</w:t>
      </w:r>
      <w:r>
        <w:rPr>
          <w:rFonts w:hint="eastAsia" w:ascii="宋体" w:hAnsi="宋体" w:cs="宋体"/>
        </w:rPr>
        <w:t xml:space="preserve">”、“</w:t>
      </w:r>
      <w:r>
        <w:rPr>
          <w:rFonts w:hint="eastAsia"/>
        </w:rPr>
        <w:t xml:space="preserve">敏感数据保护</w:t>
      </w:r>
      <w:r>
        <w:rPr>
          <w:rFonts w:hint="eastAsia" w:ascii="宋体" w:hAnsi="宋体" w:cs="宋体"/>
        </w:rPr>
        <w:t xml:space="preserve">”、“</w:t>
      </w:r>
      <w:r>
        <w:rPr>
          <w:rFonts w:hint="eastAsia"/>
        </w:rPr>
        <w:t xml:space="preserve">AI专项防护</w:t>
      </w:r>
      <w:r>
        <w:rPr>
          <w:rFonts w:hint="eastAsia" w:ascii="宋体" w:hAnsi="宋体" w:cs="宋体"/>
        </w:rPr>
        <w:t xml:space="preserve">”、“</w:t>
      </w:r>
      <w:r>
        <w:rPr>
          <w:rFonts w:hint="eastAsia"/>
        </w:rPr>
        <w:t xml:space="preserve">应急与容灾</w:t>
      </w:r>
      <w:r>
        <w:rPr>
          <w:rFonts w:hint="eastAsia" w:ascii="宋体" w:hAnsi="宋体" w:cs="宋体"/>
        </w:rPr>
        <w:t xml:space="preserve">”的响应内容全部优于招标文件要求的，本项得4分。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3.4、企业资质申报管理（4分），评委根据投标文件对招标文件第四章“采购需求”（五）“服务方案与服务能力要求”中“企业资质申报管理”的要求的响应情况进行评审。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（1）投标文件未符合“企业资质申报管理”全部条款要求的，视为不符合招标文件，本项得0分；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（2）投标文件符合“企业资质申报管理”全部条款要求的，视为符合招标文件，本项得2分；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 “企业资质申报管理”中“全生命周期办理”、“流程配置”、“审批监管功能”全部优于招标文件要求的（前提是投标文件对“企业资质申报管理”中“覆盖范围</w:t>
      </w:r>
      <w:r>
        <w:rPr>
          <w:rFonts w:ascii="宋体" w:hAnsi="宋体"/>
          <w:sz w:val="24"/>
          <w:szCs w:val="24"/>
        </w:rPr>
        <w:t xml:space="preserve">”</w:t>
      </w:r>
      <w:r>
        <w:rPr>
          <w:rFonts w:hint="eastAsia" w:ascii="宋体" w:hAnsi="宋体"/>
          <w:sz w:val="24"/>
          <w:szCs w:val="24"/>
        </w:rPr>
        <w:t xml:space="preserve">的响应内容符合招标文件要求），本项得4分。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3.5、个人资格注册管理（4分），评委根据投标文件对招标文件第四章“采购需求”（五）“服务方案与服务能力要求”中“个人资格注册管理”的要求的响应情况进行评审。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（1）投标文件未符合“个人资格注册管理”全部条款要求的，视为不符合招标文件，本项得0分；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（2）投标文件符合“个人资格注册管理”全部条款要求的，视为符合招标文件，本项得2分；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（3）投标文件对“个人资格注册管理”中“</w:t>
      </w:r>
      <w:r>
        <w:rPr>
          <w:rFonts w:ascii="宋体" w:hAnsi="宋体" w:cs="Times New Roman"/>
          <w:sz w:val="24"/>
          <w:szCs w:val="24"/>
        </w:rPr>
        <w:t xml:space="preserve">全流程办理</w:t>
      </w:r>
      <w:r>
        <w:rPr>
          <w:rFonts w:hint="eastAsia" w:ascii="宋体" w:hAnsi="宋体"/>
          <w:sz w:val="24"/>
          <w:szCs w:val="24"/>
        </w:rPr>
        <w:t xml:space="preserve">”、“</w:t>
      </w:r>
      <w:r>
        <w:rPr>
          <w:rFonts w:ascii="宋体" w:hAnsi="宋体" w:cs="Times New Roman"/>
          <w:sz w:val="24"/>
          <w:szCs w:val="24"/>
        </w:rPr>
        <w:t xml:space="preserve">多端协同</w:t>
      </w:r>
      <w:r>
        <w:rPr>
          <w:rFonts w:hint="eastAsia" w:ascii="宋体" w:hAnsi="宋体"/>
          <w:sz w:val="24"/>
          <w:szCs w:val="24"/>
        </w:rPr>
        <w:t xml:space="preserve">”、“</w:t>
      </w:r>
      <w:r>
        <w:rPr>
          <w:rFonts w:ascii="宋体" w:hAnsi="宋体" w:cs="Times New Roman"/>
          <w:sz w:val="24"/>
          <w:szCs w:val="24"/>
        </w:rPr>
        <w:t xml:space="preserve">办理功能</w:t>
      </w:r>
      <w:r>
        <w:rPr>
          <w:rFonts w:hint="eastAsia" w:ascii="宋体" w:hAnsi="宋体"/>
          <w:sz w:val="24"/>
          <w:szCs w:val="24"/>
        </w:rPr>
        <w:t xml:space="preserve">”全部优于招标文件要求的（前提是投标文件对“个人资格注册管理”中“</w:t>
      </w:r>
      <w:r>
        <w:rPr>
          <w:rFonts w:ascii="宋体" w:hAnsi="宋体" w:cs="Times New Roman"/>
          <w:sz w:val="24"/>
          <w:szCs w:val="24"/>
        </w:rPr>
        <w:t xml:space="preserve">覆盖范围</w:t>
      </w:r>
      <w:r>
        <w:rPr>
          <w:rFonts w:hint="eastAsia" w:ascii="宋体" w:hAnsi="宋体"/>
          <w:sz w:val="24"/>
          <w:szCs w:val="24"/>
        </w:rPr>
        <w:t xml:space="preserve">”的响应内容符合招标文件要求），本项得4分。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3.6、人工智能应用建设（5分），评委根据投标文件对招标文件第四章“采购需求”（五）“服务方案与服务能力要求”中“人工智能应用建设”的要求的响应情况进行评审。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（1）投标文件未符合“人工智能应用建设”全部条款要求的，视为不符合招标文件，本项得0分；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（2）投标文件符合“人工智能应用建设”全部条款要求的，视为符合招标文件，本项得3分；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（3）投标文件对“人工智能应用建设”中“</w:t>
      </w:r>
      <w:r>
        <w:rPr>
          <w:rFonts w:ascii="宋体" w:hAnsi="宋体" w:cs="Times New Roman"/>
          <w:sz w:val="24"/>
          <w:szCs w:val="24"/>
        </w:rPr>
        <w:t xml:space="preserve">技术路线</w:t>
      </w:r>
      <w:r>
        <w:rPr>
          <w:rFonts w:hint="eastAsia" w:ascii="宋体" w:hAnsi="宋体"/>
          <w:sz w:val="24"/>
          <w:szCs w:val="24"/>
        </w:rPr>
        <w:t xml:space="preserve">”、“</w:t>
      </w:r>
      <w:r>
        <w:rPr>
          <w:rFonts w:ascii="宋体" w:hAnsi="宋体" w:cs="Times New Roman"/>
          <w:sz w:val="24"/>
          <w:szCs w:val="24"/>
        </w:rPr>
        <w:t xml:space="preserve">融合机制</w:t>
      </w:r>
      <w:r>
        <w:rPr>
          <w:rFonts w:hint="eastAsia" w:ascii="宋体" w:hAnsi="宋体"/>
          <w:sz w:val="24"/>
          <w:szCs w:val="24"/>
        </w:rPr>
        <w:t xml:space="preserve">”、“</w:t>
      </w:r>
      <w:r>
        <w:rPr>
          <w:rFonts w:ascii="宋体" w:hAnsi="宋体" w:cs="Times New Roman"/>
          <w:sz w:val="24"/>
          <w:szCs w:val="24"/>
        </w:rPr>
        <w:t xml:space="preserve">安全管控</w:t>
      </w:r>
      <w:r>
        <w:rPr>
          <w:rFonts w:hint="eastAsia" w:ascii="宋体" w:hAnsi="宋体"/>
          <w:sz w:val="24"/>
          <w:szCs w:val="24"/>
        </w:rPr>
        <w:t xml:space="preserve">”、“</w:t>
      </w:r>
      <w:r>
        <w:rPr>
          <w:rFonts w:ascii="宋体" w:hAnsi="宋体" w:cs="Times New Roman"/>
          <w:sz w:val="24"/>
          <w:szCs w:val="24"/>
        </w:rPr>
        <w:t xml:space="preserve">运行机制</w:t>
      </w:r>
      <w:r>
        <w:rPr>
          <w:rFonts w:hint="eastAsia" w:ascii="宋体" w:hAnsi="宋体"/>
          <w:sz w:val="24"/>
          <w:szCs w:val="24"/>
        </w:rPr>
        <w:t xml:space="preserve">”的响应内容全部优于招标文件要求的（前提是投标文件对“人工智能应用建设”中“</w:t>
      </w:r>
      <w:r>
        <w:rPr>
          <w:rFonts w:ascii="宋体" w:hAnsi="宋体" w:cs="Times New Roman"/>
          <w:sz w:val="24"/>
          <w:szCs w:val="24"/>
        </w:rPr>
        <w:t xml:space="preserve">应用场景</w:t>
      </w:r>
      <w:r>
        <w:rPr>
          <w:rFonts w:hint="eastAsia" w:ascii="宋体" w:hAnsi="宋体"/>
          <w:sz w:val="24"/>
          <w:szCs w:val="24"/>
        </w:rPr>
        <w:t xml:space="preserve">”的响应内容符合招标文件要求），本项得5分。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3.7、高质量数据集建设（5分），评委根据投标文件对招标文件第四章“采购需求”（五）“服务方案与服务能力要求”中“高质量数据集建设”的要求的响应情况进行评审。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（1）投标文件未符合“高质量数据集建设”全部条款要求的，视为不符合招标文件，本项得0分；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（2）投标文件符合“高质量数据集建设”全部条款要求的，视为符合招标文件，本项得3分；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 “高质量数据集建设”中“</w:t>
      </w:r>
      <w:r>
        <w:rPr>
          <w:rFonts w:ascii="宋体" w:hAnsi="宋体" w:cs="Times New Roman"/>
          <w:sz w:val="24"/>
          <w:szCs w:val="24"/>
        </w:rPr>
        <w:t xml:space="preserve">数据范围</w:t>
      </w:r>
      <w:r>
        <w:rPr>
          <w:rFonts w:hint="eastAsia" w:ascii="宋体" w:hAnsi="宋体"/>
          <w:sz w:val="24"/>
          <w:szCs w:val="24"/>
        </w:rPr>
        <w:t xml:space="preserve">”、“</w:t>
      </w:r>
      <w:r>
        <w:rPr>
          <w:rFonts w:ascii="宋体" w:hAnsi="宋体" w:cs="Times New Roman"/>
          <w:sz w:val="24"/>
          <w:szCs w:val="24"/>
        </w:rPr>
        <w:t xml:space="preserve">实施流程</w:t>
      </w:r>
      <w:r>
        <w:rPr>
          <w:rFonts w:hint="eastAsia" w:ascii="宋体" w:hAnsi="宋体"/>
          <w:sz w:val="24"/>
          <w:szCs w:val="24"/>
        </w:rPr>
        <w:t xml:space="preserve">”、“</w:t>
      </w:r>
      <w:r>
        <w:rPr>
          <w:rFonts w:ascii="宋体" w:hAnsi="宋体" w:cs="Times New Roman"/>
          <w:sz w:val="24"/>
          <w:szCs w:val="24"/>
        </w:rPr>
        <w:t xml:space="preserve">数据底座</w:t>
      </w:r>
      <w:r>
        <w:rPr>
          <w:rFonts w:hint="eastAsia" w:ascii="宋体" w:hAnsi="宋体"/>
          <w:sz w:val="24"/>
          <w:szCs w:val="24"/>
        </w:rPr>
        <w:t xml:space="preserve">”、“</w:t>
      </w:r>
      <w:r>
        <w:rPr>
          <w:rFonts w:ascii="宋体" w:hAnsi="宋体" w:cs="Times New Roman"/>
          <w:sz w:val="24"/>
          <w:szCs w:val="24"/>
        </w:rPr>
        <w:t xml:space="preserve">更新维护机制</w:t>
      </w:r>
      <w:r>
        <w:rPr>
          <w:rFonts w:hint="eastAsia" w:ascii="宋体" w:hAnsi="宋体"/>
          <w:sz w:val="24"/>
          <w:szCs w:val="24"/>
        </w:rPr>
        <w:t xml:space="preserve">”、“</w:t>
      </w:r>
      <w:r>
        <w:rPr>
          <w:rFonts w:ascii="宋体" w:hAnsi="宋体" w:cs="Times New Roman"/>
          <w:sz w:val="24"/>
          <w:szCs w:val="24"/>
        </w:rPr>
        <w:t xml:space="preserve">共享服务机制</w:t>
      </w:r>
      <w:r>
        <w:rPr>
          <w:rFonts w:hint="eastAsia" w:ascii="宋体" w:hAnsi="宋体"/>
          <w:sz w:val="24"/>
          <w:szCs w:val="24"/>
        </w:rPr>
        <w:t xml:space="preserve">”的响应内容全部优于招标文件要求的，本项得5分。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3.8、质量管理措施（5分），评委根据投标文件对招标文件第四章“采购需求”（五）“服务方案与服务能力要求”中“质量管理措施”的要求的响应情况进行评审。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（1）投标文件未符合“质量管理措施”全部条款要求的，视为不符合招标文件，本项得0分；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（2）投标文件符合“质量管理措施”全部条款要求的，视为符合招标文件，本项得3分；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（3）投标文件对“质量管理措施”中“</w:t>
      </w:r>
      <w:r>
        <w:rPr>
          <w:rFonts w:ascii="宋体" w:hAnsi="宋体" w:cs="宋体"/>
          <w:sz w:val="24"/>
          <w:szCs w:val="24"/>
        </w:rPr>
        <w:t xml:space="preserve">保障体系</w:t>
      </w:r>
      <w:r>
        <w:rPr>
          <w:rFonts w:hint="eastAsia" w:ascii="宋体" w:hAnsi="宋体"/>
          <w:sz w:val="24"/>
          <w:szCs w:val="24"/>
        </w:rPr>
        <w:t xml:space="preserve">”、“</w:t>
      </w:r>
      <w:r>
        <w:rPr>
          <w:rFonts w:ascii="宋体" w:hAnsi="宋体" w:cs="宋体"/>
          <w:sz w:val="24"/>
          <w:szCs w:val="24"/>
        </w:rPr>
        <w:t xml:space="preserve">管理措施</w:t>
      </w:r>
      <w:r>
        <w:rPr>
          <w:rFonts w:hint="eastAsia" w:ascii="宋体" w:hAnsi="宋体"/>
          <w:sz w:val="24"/>
          <w:szCs w:val="24"/>
        </w:rPr>
        <w:t xml:space="preserve">”、“</w:t>
      </w:r>
      <w:r>
        <w:rPr>
          <w:rFonts w:ascii="宋体" w:hAnsi="宋体" w:cs="宋体"/>
          <w:sz w:val="24"/>
          <w:szCs w:val="24"/>
        </w:rPr>
        <w:t xml:space="preserve">过程控制</w:t>
      </w:r>
      <w:r>
        <w:rPr>
          <w:rFonts w:hint="eastAsia" w:ascii="宋体" w:hAnsi="宋体"/>
          <w:sz w:val="24"/>
          <w:szCs w:val="24"/>
        </w:rPr>
        <w:t xml:space="preserve">”、“</w:t>
      </w:r>
      <w:r>
        <w:rPr>
          <w:rFonts w:ascii="宋体" w:hAnsi="宋体" w:cs="宋体"/>
          <w:sz w:val="24"/>
          <w:szCs w:val="24"/>
        </w:rPr>
        <w:t xml:space="preserve">缺陷管理</w:t>
      </w:r>
      <w:r>
        <w:rPr>
          <w:rFonts w:hint="eastAsia" w:ascii="宋体" w:hAnsi="宋体"/>
          <w:sz w:val="24"/>
          <w:szCs w:val="24"/>
        </w:rPr>
        <w:t xml:space="preserve">”、“</w:t>
      </w:r>
      <w:r>
        <w:rPr>
          <w:rFonts w:ascii="宋体" w:hAnsi="宋体" w:cs="宋体"/>
          <w:sz w:val="24"/>
          <w:szCs w:val="24"/>
        </w:rPr>
        <w:t xml:space="preserve">测试管理</w:t>
      </w:r>
      <w:r>
        <w:rPr>
          <w:rFonts w:hint="eastAsia" w:ascii="宋体" w:hAnsi="宋体"/>
          <w:sz w:val="24"/>
          <w:szCs w:val="24"/>
        </w:rPr>
        <w:t xml:space="preserve">”的响应内容全部优于招标文件要求的，本项得5分。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3.9、进度管理（5分），评委根据投标文件对招标文件第四章“采购需求”（五）“服务方案与服务能力要求”中“进度管理”的要求的响应情况进行评审。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（1）投标文件未符合“进度管理”全部条款要求的，视为不符合招标文件，本项得0分；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（2）投标文件符合“进度管理”全部条款要求的，视为符合招标文件，本项得3分；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（3）投标文件对“进度管理”中“</w:t>
      </w:r>
      <w:r>
        <w:rPr>
          <w:rFonts w:ascii="宋体" w:hAnsi="宋体" w:cs="宋体"/>
          <w:sz w:val="24"/>
          <w:szCs w:val="24"/>
        </w:rPr>
        <w:t xml:space="preserve">计划体系</w:t>
      </w:r>
      <w:r>
        <w:rPr>
          <w:rFonts w:hint="eastAsia" w:ascii="宋体" w:hAnsi="宋体"/>
          <w:sz w:val="24"/>
          <w:szCs w:val="24"/>
        </w:rPr>
        <w:t xml:space="preserve">”、“</w:t>
      </w:r>
      <w:r>
        <w:rPr>
          <w:rFonts w:ascii="宋体" w:hAnsi="宋体" w:cs="宋体"/>
          <w:sz w:val="24"/>
          <w:szCs w:val="24"/>
        </w:rPr>
        <w:t xml:space="preserve">制度机制</w:t>
      </w:r>
      <w:r>
        <w:rPr>
          <w:rFonts w:hint="eastAsia" w:ascii="宋体" w:hAnsi="宋体"/>
          <w:sz w:val="24"/>
          <w:szCs w:val="24"/>
        </w:rPr>
        <w:t xml:space="preserve">”、“</w:t>
      </w:r>
      <w:r>
        <w:rPr>
          <w:rFonts w:ascii="宋体" w:hAnsi="宋体" w:cs="宋体"/>
          <w:sz w:val="24"/>
          <w:szCs w:val="24"/>
        </w:rPr>
        <w:t xml:space="preserve">实施计划</w:t>
      </w:r>
      <w:r>
        <w:rPr>
          <w:rFonts w:hint="eastAsia" w:ascii="宋体" w:hAnsi="宋体"/>
          <w:sz w:val="24"/>
          <w:szCs w:val="24"/>
        </w:rPr>
        <w:t xml:space="preserve">”、“</w:t>
      </w:r>
      <w:r>
        <w:rPr>
          <w:rFonts w:ascii="宋体" w:hAnsi="宋体" w:cs="宋体"/>
          <w:sz w:val="24"/>
          <w:szCs w:val="24"/>
        </w:rPr>
        <w:t xml:space="preserve">资源保障</w:t>
      </w:r>
      <w:r>
        <w:rPr>
          <w:rFonts w:hint="eastAsia" w:ascii="宋体" w:hAnsi="宋体"/>
          <w:sz w:val="24"/>
          <w:szCs w:val="24"/>
        </w:rPr>
        <w:t xml:space="preserve">”、“</w:t>
      </w:r>
      <w:r>
        <w:rPr>
          <w:rFonts w:ascii="宋体" w:hAnsi="宋体" w:cs="宋体"/>
          <w:sz w:val="24"/>
          <w:szCs w:val="24"/>
        </w:rPr>
        <w:t xml:space="preserve">风险应对</w:t>
      </w:r>
      <w:r>
        <w:rPr>
          <w:rFonts w:hint="eastAsia" w:ascii="宋体" w:hAnsi="宋体"/>
          <w:sz w:val="24"/>
          <w:szCs w:val="24"/>
        </w:rPr>
        <w:t xml:space="preserve">”的响应内容全部优于招标文件要求的，本项得5分。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3.10、培训及售后服务（5分），评委根据投标文件对招标文件第四章“采购需求”（五）“服务方案与服务能力要求”中“培训及售后服务”的要求的响应情况进行评审。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（1）投标文件未符合“培训及售后服务”全部条款要求的，视为不符合招标文件，本项得0分；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（2）投标文件符合“培训及售后服务”全部条款要求的，视为符合招标文件，本项得3分；</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（3）投标文件对“培训及售后服务”中“技术文档”、“功能讲解”、“代码管理”、“培训要求”、“售后服务”的响应内容全部优于招标文件要求的，本项得5分。</w:t>
      </w:r>
      <w:r/>
    </w:p>
    <w:p>
      <w:pPr>
        <w:pStyle w:val="837"/>
        <w:spacing w:line="400" w:lineRule="exact"/>
        <w:rPr>
          <w:rFonts w:hint="eastAsia" w:ascii="宋体" w:hAnsi="宋体"/>
        </w:rPr>
      </w:pPr>
      <w:r>
        <w:rPr>
          <w:rFonts w:hint="eastAsia" w:ascii="宋体" w:hAnsi="宋体"/>
        </w:rPr>
        <w:t xml:space="preserve">（四）系统演示部分（10分）</w:t>
      </w:r>
      <w:r/>
    </w:p>
    <w:p>
      <w:pPr>
        <w:pStyle w:val="837"/>
        <w:spacing w:line="400" w:lineRule="exact"/>
        <w:rPr>
          <w:rFonts w:hint="eastAsia" w:ascii="宋体" w:hAnsi="宋体"/>
        </w:rPr>
      </w:pPr>
      <w:r>
        <w:rPr>
          <w:rFonts w:hint="eastAsia" w:ascii="宋体" w:hAnsi="宋体"/>
        </w:rPr>
        <w:t xml:space="preserve">投标人需按招标文件要求制作演示视频文件，视频文件的格式为*.mp4或*.avi，须将视频文件分段压缩为*.zip文件上传（单个文件不得大于50M，所有文件总共不得大于300M）。文件上传方式见《操作手册》规定，上传的演示视频将作为投标文件的组成部分，视频时长总计不超过15分钟。</w:t>
      </w:r>
      <w:r/>
    </w:p>
    <w:p>
      <w:pPr>
        <w:pStyle w:val="837"/>
        <w:spacing w:line="400" w:lineRule="exact"/>
        <w:rPr>
          <w:rFonts w:hint="eastAsia" w:ascii="宋体" w:hAnsi="宋体"/>
        </w:rPr>
      </w:pPr>
      <w:r>
        <w:rPr>
          <w:rFonts w:hint="eastAsia" w:ascii="宋体" w:hAnsi="宋体"/>
        </w:rPr>
        <w:t xml:space="preserve">各投标供应商可根据自身情况选择合适的演示方式，要求演示的系统必须是投标供应商自主研发的系统，演示时长控制在15分钟内。采用系统进行演示的，满分为10分；采用原型、PPT、Word等方式进行模拟演示的，满分得5分；演示相关功能模块符合建设内容需求的得分，不演示或不符合要求的不得分。演示应包含但不限于以下内容：</w:t>
      </w:r>
      <w:r/>
    </w:p>
    <w:p>
      <w:pPr>
        <w:pStyle w:val="837"/>
        <w:spacing w:line="400" w:lineRule="exact"/>
        <w:rPr>
          <w:rFonts w:hint="eastAsia" w:ascii="宋体" w:hAnsi="宋体"/>
        </w:rPr>
      </w:pPr>
      <w:r>
        <w:rPr>
          <w:rFonts w:hint="eastAsia" w:ascii="宋体" w:hAnsi="宋体"/>
        </w:rPr>
        <w:t xml:space="preserve">（1）企业资质申报管理：演示从企业八大类资质中选择建筑施工企业安全生产许可证，演示该资质相关事项申报与审批的完整流程，演示内容应包括企业端基础信息维护、事项申请发起，以及审批端长流程、短流程等不同审批流程的办理过程。符合要求的得2分，演示不全或不演示的不得分。</w:t>
      </w:r>
      <w:r/>
    </w:p>
    <w:p>
      <w:pPr>
        <w:pStyle w:val="837"/>
        <w:spacing w:line="400" w:lineRule="exact"/>
        <w:rPr>
          <w:rFonts w:hint="eastAsia" w:ascii="宋体" w:hAnsi="宋体"/>
        </w:rPr>
      </w:pPr>
      <w:r>
        <w:rPr>
          <w:rFonts w:hint="eastAsia" w:ascii="宋体" w:hAnsi="宋体"/>
        </w:rPr>
        <w:t xml:space="preserve">（2）个人资格注册管理：演示从二级注册建筑师、二级注册结构工程师、二级建造师、二级造价工程师等4类人员资格注册事项中任选1类，演示该类资格注册申报与审批的完整流程。符合要求的得2分，演示不全或不演示的不得分。</w:t>
      </w:r>
      <w:r/>
    </w:p>
    <w:p>
      <w:pPr>
        <w:pStyle w:val="837"/>
        <w:spacing w:line="400" w:lineRule="exact"/>
        <w:rPr>
          <w:rFonts w:hint="eastAsia" w:ascii="宋体" w:hAnsi="宋体"/>
        </w:rPr>
      </w:pPr>
      <w:r>
        <w:rPr>
          <w:rFonts w:hint="eastAsia" w:ascii="宋体" w:hAnsi="宋体"/>
        </w:rPr>
        <w:t xml:space="preserve">（3）智慧申报助手、AI智能预检与数据治理：演示申报前智能预检、材料智能核验、政策智能问答；演示企业申报环节申报材料智能识别提取、预检结论自动生成、审批管理端预检报告生成全过程；演示支撑上述智能应用的数据治理流程，包括数据采集汇聚、清洗治理规则配置、数据质量报告生成、高质量数据集资产目录纳管及数据服务接口调用。符合要求的得2分，演示不全或不演示的不得分。</w:t>
      </w:r>
      <w:r/>
    </w:p>
    <w:p>
      <w:pPr>
        <w:pStyle w:val="837"/>
        <w:spacing w:line="400" w:lineRule="exact"/>
        <w:rPr>
          <w:rFonts w:hint="eastAsia" w:ascii="宋体" w:hAnsi="宋体"/>
        </w:rPr>
      </w:pPr>
      <w:r>
        <w:rPr>
          <w:rFonts w:hint="eastAsia" w:ascii="宋体" w:hAnsi="宋体"/>
        </w:rPr>
        <w:t xml:space="preserve">（4）智能风险评估与智能问数：演示风险预警模型与阈值配置、多源数据交叉核验、风险等级判定、人工核查处置反馈闭环管理；演示以自然语言方式查询企业、人员、办件、业绩等数据，自动生成数据图表、分析解读。符合要求的得2分，演示不全或不演示的不得分。</w:t>
      </w:r>
      <w:r/>
    </w:p>
    <w:p>
      <w:pPr>
        <w:pStyle w:val="837"/>
        <w:spacing w:line="400" w:lineRule="exact"/>
        <w:rPr>
          <w:rFonts w:hint="eastAsia" w:ascii="宋体" w:hAnsi="宋体"/>
        </w:rPr>
      </w:pPr>
      <w:r>
        <w:rPr>
          <w:rFonts w:hint="eastAsia" w:ascii="宋体" w:hAnsi="宋体"/>
        </w:rPr>
        <w:t xml:space="preserve">（5）运维功能：演示</w:t>
      </w:r>
      <w:r>
        <w:rPr>
          <w:rFonts w:hint="eastAsia"/>
          <w:szCs w:val="28"/>
        </w:rPr>
        <w:t xml:space="preserve">对智能体服务进行监测，支持对智能体连续出现输出结论与预期严重偏离、风险识别数量异常波动、智能问答未命中率超过阈值、自然语言查询解析失败率过高、智能体调用成功率低于设定阈值、智能体平均响应时长超过阈值、智能体输出结果置信度持续偏低等异常进行监控。</w:t>
      </w:r>
      <w:r>
        <w:rPr>
          <w:rFonts w:hint="eastAsia" w:ascii="宋体" w:hAnsi="宋体"/>
        </w:rPr>
        <w:t xml:space="preserve">符合要求的得2分，演示不全或不演示的不得分。</w:t>
      </w:r>
      <w:r/>
    </w:p>
    <w:p>
      <w:pPr>
        <w:pStyle w:val="837"/>
        <w:spacing w:line="400" w:lineRule="exact"/>
        <w:rPr>
          <w:rFonts w:hint="eastAsia" w:ascii="宋体" w:hAnsi="宋体"/>
        </w:rPr>
      </w:pPr>
      <w:r>
        <w:rPr>
          <w:rFonts w:hint="eastAsia" w:ascii="宋体" w:hAnsi="宋体"/>
        </w:rPr>
        <w:t xml:space="preserve">以上 5项功能演示，采用系统演示，每有1项演示符合所有要求得2分，满分10分；采用原型、PPT、Word等方式进行模拟演示的，每有1项演示符合所有要求得1分，满分5分。不满足要求或未提供的不得分。</w:t>
      </w:r>
      <w:r/>
    </w:p>
    <w:p>
      <w:pPr>
        <w:pStyle w:val="837"/>
        <w:spacing w:line="400" w:lineRule="exact"/>
        <w:rPr>
          <w:rFonts w:hint="eastAsia" w:ascii="宋体" w:hAnsi="宋体"/>
        </w:rPr>
      </w:pPr>
      <w:r>
        <w:rPr>
          <w:rFonts w:hint="eastAsia" w:ascii="宋体" w:hAnsi="宋体"/>
        </w:rPr>
        <w:t xml:space="preserve">说明：第五章评分项内容须提供的证明材料，须为有效证明材料。证明材料原件采购人有权在中标后合同签订前核查，如有虚假，报财政监管部门处理。</w:t>
      </w:r>
      <w:r/>
    </w:p>
    <w:p>
      <w:pPr>
        <w:jc w:val="left"/>
        <w:widowControl/>
      </w:pPr>
      <w:r>
        <w:br w:type="page" w:clear="all"/>
      </w:r>
      <w:r/>
    </w:p>
    <w:p>
      <w:r/>
      <w:r/>
    </w:p>
    <w:p>
      <w:pPr>
        <w:pStyle w:val="669"/>
        <w:rPr>
          <w:rFonts w:ascii="黑体" w:eastAsia="黑体"/>
          <w:bCs/>
          <w:sz w:val="44"/>
        </w:rPr>
      </w:pPr>
      <w:r/>
      <w:bookmarkStart w:id="204" w:name="_Toc863"/>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bookmarkEnd w:id="204"/>
      <w:r>
        <w:rPr>
          <w:rFonts w:hint="eastAsia" w:ascii="黑体" w:eastAsia="黑体"/>
          <w:bCs/>
          <w:sz w:val="44"/>
        </w:rPr>
        <w:t xml:space="preserve"> </w:t>
      </w:r>
      <w:r/>
    </w:p>
    <w:p>
      <w:pPr>
        <w:jc w:val="center"/>
        <w:rPr>
          <w:rFonts w:hint="eastAsia" w:ascii="宋体" w:hAnsi="宋体"/>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37"/>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79"/>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交付期/服务期</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11"/>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837"/>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3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37"/>
        <w:ind w:left="420"/>
        <w:spacing w:before="0" w:after="0" w:line="420" w:lineRule="exact"/>
        <w:rPr>
          <w:rFonts w:hint="eastAsia" w:ascii="宋体" w:hAnsi="宋体"/>
          <w:szCs w:val="21"/>
        </w:rPr>
      </w:pPr>
      <w:r>
        <w:rPr>
          <w:rFonts w:hint="eastAsia" w:ascii="宋体" w:hAnsi="宋体"/>
          <w:szCs w:val="21"/>
        </w:rPr>
        <w:t xml:space="preserve">地          址：</w:t>
      </w:r>
      <w:r/>
    </w:p>
    <w:p>
      <w:pPr>
        <w:pStyle w:val="837"/>
        <w:ind w:left="420"/>
        <w:spacing w:before="0" w:after="0" w:line="420" w:lineRule="exact"/>
        <w:rPr>
          <w:rFonts w:hint="eastAsia" w:ascii="宋体" w:hAnsi="宋体"/>
          <w:szCs w:val="21"/>
        </w:rPr>
      </w:pPr>
      <w:r>
        <w:rPr>
          <w:rFonts w:hint="eastAsia" w:ascii="宋体" w:hAnsi="宋体"/>
          <w:szCs w:val="21"/>
        </w:rPr>
        <w:t xml:space="preserve">邮          编：</w:t>
      </w:r>
      <w:r/>
    </w:p>
    <w:p>
      <w:pPr>
        <w:pStyle w:val="837"/>
        <w:ind w:left="420"/>
        <w:spacing w:before="0" w:after="0" w:line="420" w:lineRule="exact"/>
        <w:rPr>
          <w:rFonts w:hint="eastAsia" w:ascii="宋体" w:hAnsi="宋体"/>
          <w:szCs w:val="21"/>
        </w:rPr>
      </w:pPr>
      <w:r>
        <w:rPr>
          <w:rFonts w:hint="eastAsia" w:ascii="宋体" w:hAnsi="宋体"/>
          <w:szCs w:val="21"/>
        </w:rPr>
        <w:t xml:space="preserve">电          话：</w:t>
      </w:r>
      <w:r/>
    </w:p>
    <w:p>
      <w:pPr>
        <w:pStyle w:val="837"/>
        <w:ind w:left="420"/>
        <w:spacing w:before="0" w:after="0" w:line="420" w:lineRule="exact"/>
        <w:rPr>
          <w:rFonts w:hint="eastAsia" w:ascii="宋体" w:hAnsi="宋体"/>
          <w:szCs w:val="21"/>
        </w:rPr>
      </w:pPr>
      <w:r>
        <w:rPr>
          <w:rFonts w:hint="eastAsia" w:ascii="宋体" w:hAnsi="宋体"/>
          <w:szCs w:val="21"/>
        </w:rPr>
        <w:t xml:space="preserve">传          真：</w:t>
      </w:r>
      <w:r/>
    </w:p>
    <w:p>
      <w:pPr>
        <w:pStyle w:val="83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37"/>
        <w:ind w:left="420"/>
        <w:spacing w:before="0" w:after="0" w:line="420" w:lineRule="exact"/>
        <w:rPr>
          <w:rFonts w:hint="eastAsia" w:ascii="宋体" w:hAnsi="宋体"/>
          <w:szCs w:val="21"/>
        </w:rPr>
      </w:pPr>
      <w:r>
        <w:rPr>
          <w:rFonts w:hint="eastAsia" w:ascii="宋体" w:hAnsi="宋体"/>
          <w:szCs w:val="21"/>
        </w:rPr>
        <w:t xml:space="preserve">账          号： </w:t>
      </w:r>
      <w:r/>
    </w:p>
    <w:p>
      <w:pPr>
        <w:pStyle w:val="837"/>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37"/>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07"/>
      <w:bookmarkEnd w:id="208"/>
      <w:bookmarkEnd w:id="209"/>
      <w:r/>
    </w:p>
    <w:p>
      <w:pPr>
        <w:spacing w:line="460" w:lineRule="exact"/>
        <w:rPr>
          <w:rFonts w:hint="eastAsia" w:ascii="黑体" w:hAnsi="黑体" w:eastAsia="黑体"/>
          <w:b/>
          <w:sz w:val="32"/>
          <w:szCs w:val="32"/>
        </w:rPr>
      </w:pPr>
      <w:r/>
      <w:bookmarkStart w:id="210"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711"/>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20"/>
          <w:rFonts w:hint="eastAsia" w:cs="方正魏碑_GBK"/>
          <w:i w:val="0"/>
          <w:u w:val="single"/>
          <w:shd w:val="clear" w:color="auto" w:fill="ffffff"/>
        </w:rPr>
        <w:t xml:space="preserve">（产品名称1）</w:t>
      </w:r>
      <w:r>
        <w:rPr>
          <w:rStyle w:val="720"/>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20"/>
          <w:rFonts w:hint="eastAsia" w:cs="方正魏碑_GBK"/>
          <w:i w:val="0"/>
          <w:u w:val="single"/>
          <w:shd w:val="clear" w:color="auto" w:fill="ffffff"/>
        </w:rPr>
        <w:t xml:space="preserve">（厂名）</w:t>
      </w:r>
      <w:r>
        <w:rPr>
          <w:rStyle w:val="720"/>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20"/>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20"/>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20"/>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20"/>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11"/>
        <w:ind w:firstLine="480"/>
        <w:spacing w:before="30" w:beforeAutospacing="0" w:after="30" w:afterAutospacing="0" w:line="460" w:lineRule="exact"/>
        <w:rPr>
          <w:rFonts w:hint="eastAsia" w:cs="方正魏碑_GBK"/>
        </w:rPr>
      </w:pPr>
      <w:r>
        <w:rPr>
          <w:rFonts w:hint="eastAsia" w:cs="方正魏碑_GBK"/>
        </w:rPr>
      </w:r>
      <w:r/>
    </w:p>
    <w:p>
      <w:pPr>
        <w:pStyle w:val="711"/>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11"/>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11"/>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11"/>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11"/>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bookmarkEnd w:id="193"/>
      <w:r/>
      <w:bookmarkEnd w:id="194"/>
      <w:r/>
      <w:bookmarkEnd w:id="210"/>
      <w:r/>
      <w:r/>
    </w:p>
    <w:p>
      <w:pPr>
        <w:jc w:val="left"/>
        <w:widowControl/>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方正楷体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718"/>
        <w:rFonts w:hint="eastAsia" w:ascii="宋体" w:hAnsi="宋体"/>
      </w:rPr>
      <w:framePr w:wrap="around" w:vAnchor="text" w:hAnchor="margin" w:xAlign="center" w:y="1"/>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25</w:t>
    </w:r>
    <w:r>
      <w:rPr>
        <w:rFonts w:ascii="宋体" w:hAnsi="宋体"/>
      </w:rPr>
      <w:fldChar w:fldCharType="end"/>
    </w:r>
    <w:r/>
  </w:p>
  <w:p>
    <w:pPr>
      <w:pStyle w:val="79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p>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4"/>
      <w:isLgl w:val="false"/>
      <w:suff w:val="nothing"/>
      <w:lvlText w:val=""/>
      <w:lvlJc w:val="left"/>
      <w:pPr>
        <w:ind w:left="0" w:firstLine="0"/>
      </w:pPr>
      <w:rPr>
        <w:rFonts w:hint="eastAsia"/>
      </w:rPr>
    </w:lvl>
    <w:lvl w:ilvl="6">
      <w:start w:val="1"/>
      <w:numFmt w:val="decimal"/>
      <w:pStyle w:val="1005"/>
      <w:isLgl w:val="false"/>
      <w:suff w:val="nothing"/>
      <w:lvlText w:val=""/>
      <w:lvlJc w:val="left"/>
      <w:pPr>
        <w:ind w:left="0" w:firstLine="0"/>
      </w:pPr>
      <w:rPr>
        <w:rFonts w:hint="eastAsia"/>
      </w:rPr>
    </w:lvl>
    <w:lvl w:ilvl="7">
      <w:start w:val="1"/>
      <w:numFmt w:val="decimal"/>
      <w:pStyle w:val="1006"/>
      <w:isLgl w:val="false"/>
      <w:suff w:val="nothing"/>
      <w:lvlText w:val=""/>
      <w:lvlJc w:val="left"/>
      <w:pPr>
        <w:ind w:left="0" w:firstLine="0"/>
      </w:pPr>
      <w:rPr>
        <w:rFonts w:hint="eastAsia"/>
      </w:rPr>
    </w:lvl>
    <w:lvl w:ilvl="8">
      <w:start w:val="1"/>
      <w:numFmt w:val="decimal"/>
      <w:pStyle w:val="1007"/>
      <w:isLgl w:val="false"/>
      <w:suff w:val="nothing"/>
      <w:lvlText w:val=""/>
      <w:lvlJc w:val="left"/>
      <w:pPr>
        <w:ind w:left="0" w:firstLine="0"/>
      </w:pPr>
      <w:rPr>
        <w:rFonts w:hint="eastAsia"/>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990"/>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4"/>
      <w:isLgl w:val="false"/>
      <w:suff w:val="nothing"/>
      <w:lvlText w:val=""/>
      <w:lvlJc w:val="left"/>
      <w:pPr>
        <w:ind w:left="0" w:firstLine="0"/>
      </w:pPr>
      <w:rPr>
        <w:rFonts w:hint="eastAsia"/>
      </w:rPr>
    </w:lvl>
    <w:lvl w:ilvl="6">
      <w:start w:val="1"/>
      <w:numFmt w:val="decimal"/>
      <w:pStyle w:val="675"/>
      <w:isLgl w:val="false"/>
      <w:suff w:val="nothing"/>
      <w:lvlText w:val=""/>
      <w:lvlJc w:val="left"/>
      <w:pPr>
        <w:ind w:left="0" w:firstLine="0"/>
      </w:pPr>
      <w:rPr>
        <w:rFonts w:hint="eastAsia"/>
      </w:rPr>
    </w:lvl>
    <w:lvl w:ilvl="7">
      <w:start w:val="1"/>
      <w:numFmt w:val="decimal"/>
      <w:pStyle w:val="676"/>
      <w:isLgl w:val="false"/>
      <w:suff w:val="nothing"/>
      <w:lvlText w:val=""/>
      <w:lvlJc w:val="left"/>
      <w:pPr>
        <w:ind w:left="0" w:firstLine="0"/>
      </w:pPr>
      <w:rPr>
        <w:rFonts w:hint="eastAsia"/>
      </w:rPr>
    </w:lvl>
    <w:lvl w:ilvl="8">
      <w:start w:val="1"/>
      <w:numFmt w:val="decimal"/>
      <w:pStyle w:val="677"/>
      <w:isLgl w:val="false"/>
      <w:suff w:val="nothing"/>
      <w:lvlText w:val=""/>
      <w:lvlJc w:val="left"/>
      <w:pPr>
        <w:ind w:left="0" w:firstLine="0"/>
      </w:pPr>
      <w:rPr>
        <w:rFonts w:hint="eastAsia"/>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7"/>
  </w:num>
  <w:num w:numId="3">
    <w:abstractNumId w:val="2"/>
  </w:num>
  <w:num w:numId="4">
    <w:abstractNumId w:val="4"/>
  </w:num>
  <w:num w:numId="5">
    <w:abstractNumId w:val="0"/>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2">
    <w:name w:val="Header Char"/>
    <w:basedOn w:val="678"/>
    <w:link w:val="699"/>
    <w:uiPriority w:val="99"/>
  </w:style>
  <w:style w:type="character" w:styleId="46">
    <w:name w:val="Caption Char"/>
    <w:basedOn w:val="683"/>
    <w:link w:val="698"/>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8" w:default="1">
    <w:name w:val="Normal"/>
    <w:uiPriority w:val="0"/>
    <w:qFormat/>
    <w:pPr>
      <w:jc w:val="both"/>
      <w:widowControl w:val="off"/>
    </w:pPr>
    <w:rPr>
      <w:rFonts w:ascii="Times New Roman" w:hAnsi="Times New Roman" w:eastAsia="宋体" w:cs="Calibri"/>
      <w:sz w:val="21"/>
      <w:szCs w:val="21"/>
      <w:lang w:val="en-US" w:eastAsia="zh-CN" w:bidi="ar-SA"/>
    </w:rPr>
  </w:style>
  <w:style w:type="paragraph" w:styleId="669">
    <w:name w:val="Heading 1"/>
    <w:basedOn w:val="668"/>
    <w:next w:val="668"/>
    <w:link w:val="773"/>
    <w:uiPriority w:val="9"/>
    <w:qFormat/>
    <w:pPr>
      <w:jc w:val="center"/>
      <w:keepNext/>
      <w:outlineLvl w:val="0"/>
    </w:pPr>
    <w:rPr>
      <w:rFonts w:ascii="楷体_GB2312" w:eastAsia="楷体_GB2312"/>
      <w:sz w:val="28"/>
      <w:szCs w:val="28"/>
    </w:rPr>
  </w:style>
  <w:style w:type="paragraph" w:styleId="670">
    <w:name w:val="Heading 2"/>
    <w:basedOn w:val="668"/>
    <w:next w:val="680"/>
    <w:link w:val="77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671">
    <w:name w:val="Heading 3"/>
    <w:basedOn w:val="668"/>
    <w:next w:val="680"/>
    <w:link w:val="775"/>
    <w:uiPriority w:val="9"/>
    <w:qFormat/>
    <w:pPr>
      <w:keepLines/>
      <w:keepNext/>
      <w:spacing w:before="260" w:after="260" w:line="416" w:lineRule="auto"/>
      <w:outlineLvl w:val="2"/>
    </w:pPr>
    <w:rPr>
      <w:b/>
      <w:bCs/>
      <w:sz w:val="32"/>
      <w:szCs w:val="32"/>
    </w:rPr>
  </w:style>
  <w:style w:type="paragraph" w:styleId="672">
    <w:name w:val="Heading 4"/>
    <w:basedOn w:val="668"/>
    <w:next w:val="680"/>
    <w:link w:val="776"/>
    <w:uiPriority w:val="9"/>
    <w:qFormat/>
    <w:pPr>
      <w:keepLines/>
      <w:keepNext/>
      <w:spacing w:before="280" w:after="290" w:line="376" w:lineRule="auto"/>
      <w:outlineLvl w:val="3"/>
    </w:pPr>
    <w:rPr>
      <w:rFonts w:ascii="Arial" w:hAnsi="Arial" w:eastAsia="黑体" w:cs="Arial"/>
      <w:b/>
      <w:bCs/>
      <w:sz w:val="28"/>
      <w:szCs w:val="28"/>
    </w:rPr>
  </w:style>
  <w:style w:type="paragraph" w:styleId="673">
    <w:name w:val="Heading 5"/>
    <w:basedOn w:val="668"/>
    <w:next w:val="680"/>
    <w:link w:val="777"/>
    <w:uiPriority w:val="9"/>
    <w:qFormat/>
    <w:pPr>
      <w:keepNext/>
      <w:outlineLvl w:val="4"/>
    </w:pPr>
    <w:rPr>
      <w:rFonts w:ascii="宋体"/>
      <w:color w:val="000000"/>
      <w:sz w:val="28"/>
      <w:szCs w:val="28"/>
    </w:rPr>
  </w:style>
  <w:style w:type="paragraph" w:styleId="674">
    <w:name w:val="Heading 6"/>
    <w:basedOn w:val="668"/>
    <w:next w:val="668"/>
    <w:link w:val="778"/>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79"/>
    <w:uiPriority w:val="9"/>
    <w:qFormat/>
    <w:pPr>
      <w:numPr>
        <w:ilvl w:val="6"/>
        <w:numId w:val="1"/>
      </w:numPr>
      <w:keepLines/>
      <w:keepNext/>
      <w:spacing w:before="240" w:after="64" w:line="320" w:lineRule="auto"/>
      <w:outlineLvl w:val="6"/>
    </w:pPr>
    <w:rPr>
      <w:b/>
      <w:bCs/>
      <w:sz w:val="24"/>
      <w:szCs w:val="24"/>
    </w:rPr>
  </w:style>
  <w:style w:type="paragraph" w:styleId="676">
    <w:name w:val="Heading 8"/>
    <w:basedOn w:val="668"/>
    <w:next w:val="668"/>
    <w:link w:val="780"/>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81"/>
    <w:uiPriority w:val="9"/>
    <w:qFormat/>
    <w:pPr>
      <w:numPr>
        <w:ilvl w:val="8"/>
        <w:numId w:val="1"/>
      </w:numPr>
      <w:keepLines/>
      <w:keepNext/>
      <w:spacing w:before="240" w:after="64" w:line="320" w:lineRule="auto"/>
      <w:outlineLvl w:val="8"/>
    </w:pPr>
    <w:rPr>
      <w:rFonts w:ascii="Arial" w:hAnsi="Arial" w:eastAsia="黑体"/>
    </w:rPr>
  </w:style>
  <w:style w:type="character" w:styleId="678" w:default="1">
    <w:name w:val="Default Paragraph Font"/>
    <w:uiPriority w:val="1"/>
    <w:semiHidden/>
    <w:unhideWhenUsed/>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link w:val="755"/>
    <w:uiPriority w:val="0"/>
    <w:qFormat/>
    <w:pPr>
      <w:ind w:firstLine="420"/>
    </w:pPr>
  </w:style>
  <w:style w:type="paragraph" w:styleId="681">
    <w:name w:val="List 3"/>
    <w:basedOn w:val="668"/>
    <w:uiPriority w:val="0"/>
    <w:qFormat/>
    <w:pPr>
      <w:ind w:left="100" w:hanging="200"/>
    </w:pPr>
  </w:style>
  <w:style w:type="paragraph" w:styleId="682">
    <w:name w:val="toc 7"/>
    <w:basedOn w:val="668"/>
    <w:next w:val="668"/>
    <w:uiPriority w:val="39"/>
    <w:unhideWhenUsed/>
    <w:qFormat/>
    <w:pPr>
      <w:ind w:left="1701"/>
      <w:spacing w:after="57"/>
    </w:pPr>
  </w:style>
  <w:style w:type="paragraph" w:styleId="683">
    <w:name w:val="Caption"/>
    <w:basedOn w:val="668"/>
    <w:next w:val="668"/>
    <w:uiPriority w:val="35"/>
    <w:semiHidden/>
    <w:unhideWhenUsed/>
    <w:qFormat/>
    <w:pPr>
      <w:spacing w:line="276" w:lineRule="auto"/>
    </w:pPr>
    <w:rPr>
      <w:b/>
      <w:bCs/>
      <w:color w:val="4f81bd"/>
      <w:sz w:val="18"/>
      <w:szCs w:val="18"/>
    </w:rPr>
  </w:style>
  <w:style w:type="paragraph" w:styleId="684">
    <w:name w:val="Document Map"/>
    <w:basedOn w:val="668"/>
    <w:link w:val="756"/>
    <w:uiPriority w:val="0"/>
    <w:semiHidden/>
    <w:qFormat/>
    <w:pPr>
      <w:shd w:val="clear" w:color="auto" w:fill="000080"/>
    </w:pPr>
  </w:style>
  <w:style w:type="paragraph" w:styleId="685">
    <w:name w:val="annotation text"/>
    <w:basedOn w:val="668"/>
    <w:link w:val="757"/>
    <w:uiPriority w:val="0"/>
    <w:qFormat/>
    <w:pPr>
      <w:jc w:val="left"/>
    </w:pPr>
  </w:style>
  <w:style w:type="paragraph" w:styleId="686">
    <w:name w:val="Body Text 3"/>
    <w:basedOn w:val="668"/>
    <w:link w:val="758"/>
    <w:uiPriority w:val="0"/>
    <w:qFormat/>
    <w:rPr>
      <w:rFonts w:ascii="仿宋_GB2312" w:hAnsi="Arial" w:eastAsia="仿宋_GB2312"/>
      <w:sz w:val="32"/>
      <w:szCs w:val="32"/>
    </w:rPr>
  </w:style>
  <w:style w:type="paragraph" w:styleId="687">
    <w:name w:val="Body Text"/>
    <w:basedOn w:val="668"/>
    <w:link w:val="759"/>
    <w:uiPriority w:val="0"/>
    <w:qFormat/>
    <w:rPr>
      <w:rFonts w:ascii="楷体_GB2312" w:hAnsi="Arial" w:eastAsia="楷体_GB2312"/>
      <w:sz w:val="28"/>
      <w:szCs w:val="28"/>
    </w:rPr>
  </w:style>
  <w:style w:type="paragraph" w:styleId="688">
    <w:name w:val="Body Text Indent"/>
    <w:basedOn w:val="668"/>
    <w:link w:val="760"/>
    <w:uiPriority w:val="0"/>
    <w:qFormat/>
    <w:pPr>
      <w:ind w:firstLine="645"/>
    </w:pPr>
    <w:rPr>
      <w:rFonts w:ascii="楷体_GB2312" w:eastAsia="楷体_GB2312"/>
      <w:sz w:val="32"/>
      <w:szCs w:val="32"/>
    </w:rPr>
  </w:style>
  <w:style w:type="paragraph" w:styleId="689">
    <w:name w:val="List 2"/>
    <w:basedOn w:val="668"/>
    <w:uiPriority w:val="0"/>
    <w:qFormat/>
    <w:pPr>
      <w:ind w:left="100" w:hanging="200"/>
    </w:pPr>
  </w:style>
  <w:style w:type="paragraph" w:styleId="690">
    <w:name w:val="toc 5"/>
    <w:basedOn w:val="668"/>
    <w:next w:val="668"/>
    <w:uiPriority w:val="39"/>
    <w:unhideWhenUsed/>
    <w:qFormat/>
    <w:pPr>
      <w:ind w:left="1134"/>
      <w:spacing w:after="57"/>
    </w:pPr>
  </w:style>
  <w:style w:type="paragraph" w:styleId="691">
    <w:name w:val="toc 3"/>
    <w:basedOn w:val="668"/>
    <w:next w:val="668"/>
    <w:uiPriority w:val="39"/>
    <w:unhideWhenUsed/>
    <w:qFormat/>
    <w:pPr>
      <w:ind w:left="567"/>
      <w:spacing w:after="57"/>
    </w:pPr>
  </w:style>
  <w:style w:type="paragraph" w:styleId="692">
    <w:name w:val="Plain Text"/>
    <w:basedOn w:val="668"/>
    <w:link w:val="761"/>
    <w:uiPriority w:val="0"/>
    <w:qFormat/>
    <w:rPr>
      <w:rFonts w:ascii="宋体" w:hAnsi="Courier New" w:cs="Courier New"/>
    </w:rPr>
  </w:style>
  <w:style w:type="paragraph" w:styleId="693">
    <w:name w:val="toc 8"/>
    <w:basedOn w:val="668"/>
    <w:next w:val="668"/>
    <w:uiPriority w:val="39"/>
    <w:unhideWhenUsed/>
    <w:qFormat/>
    <w:pPr>
      <w:ind w:left="1984"/>
      <w:spacing w:after="57"/>
    </w:pPr>
  </w:style>
  <w:style w:type="paragraph" w:styleId="694">
    <w:name w:val="Date"/>
    <w:basedOn w:val="668"/>
    <w:next w:val="668"/>
    <w:link w:val="762"/>
    <w:uiPriority w:val="0"/>
    <w:qFormat/>
    <w:rPr>
      <w:sz w:val="24"/>
      <w:szCs w:val="24"/>
    </w:rPr>
  </w:style>
  <w:style w:type="paragraph" w:styleId="695">
    <w:name w:val="Body Text Indent 2"/>
    <w:basedOn w:val="668"/>
    <w:link w:val="763"/>
    <w:uiPriority w:val="0"/>
    <w:qFormat/>
    <w:pPr>
      <w:ind w:left="630" w:firstLine="645"/>
    </w:pPr>
    <w:rPr>
      <w:rFonts w:ascii="Arial" w:hAnsi="Arial" w:eastAsia="仿宋_GB2312" w:cs="Arial"/>
      <w:sz w:val="32"/>
      <w:szCs w:val="32"/>
    </w:rPr>
  </w:style>
  <w:style w:type="paragraph" w:styleId="696">
    <w:name w:val="endnote text"/>
    <w:basedOn w:val="668"/>
    <w:link w:val="764"/>
    <w:uiPriority w:val="99"/>
    <w:unhideWhenUsed/>
    <w:qFormat/>
    <w:rPr>
      <w:rFonts w:ascii="等线" w:hAnsi="等线"/>
      <w:sz w:val="20"/>
      <w:szCs w:val="22"/>
    </w:rPr>
  </w:style>
  <w:style w:type="paragraph" w:styleId="697">
    <w:name w:val="Balloon Text"/>
    <w:basedOn w:val="668"/>
    <w:link w:val="765"/>
    <w:uiPriority w:val="99"/>
    <w:semiHidden/>
    <w:qFormat/>
    <w:rPr>
      <w:sz w:val="18"/>
      <w:szCs w:val="18"/>
    </w:rPr>
  </w:style>
  <w:style w:type="paragraph" w:styleId="698">
    <w:name w:val="Footer"/>
    <w:basedOn w:val="668"/>
    <w:link w:val="752"/>
    <w:uiPriority w:val="99"/>
    <w:unhideWhenUsed/>
    <w:qFormat/>
    <w:pPr>
      <w:tabs>
        <w:tab w:val="center" w:pos="7143" w:leader="none"/>
        <w:tab w:val="right" w:pos="14287" w:leader="none"/>
      </w:tabs>
    </w:pPr>
  </w:style>
  <w:style w:type="paragraph" w:styleId="699">
    <w:name w:val="Header"/>
    <w:basedOn w:val="668"/>
    <w:link w:val="797"/>
    <w:uiPriority w:val="99"/>
    <w:unhideWhenUsed/>
    <w:qFormat/>
    <w:pPr>
      <w:tabs>
        <w:tab w:val="center" w:pos="7143" w:leader="none"/>
        <w:tab w:val="right" w:pos="14287" w:leader="none"/>
      </w:tabs>
    </w:pPr>
  </w:style>
  <w:style w:type="paragraph" w:styleId="700">
    <w:name w:val="toc 1"/>
    <w:basedOn w:val="668"/>
    <w:next w:val="668"/>
    <w:uiPriority w:val="39"/>
    <w:unhideWhenUsed/>
    <w:qFormat/>
    <w:pPr>
      <w:spacing w:after="57"/>
    </w:pPr>
  </w:style>
  <w:style w:type="paragraph" w:styleId="701">
    <w:name w:val="toc 4"/>
    <w:basedOn w:val="668"/>
    <w:next w:val="668"/>
    <w:uiPriority w:val="39"/>
    <w:unhideWhenUsed/>
    <w:qFormat/>
    <w:pPr>
      <w:ind w:left="850"/>
      <w:spacing w:after="57"/>
    </w:pPr>
  </w:style>
  <w:style w:type="paragraph" w:styleId="702">
    <w:name w:val="Subtitle"/>
    <w:basedOn w:val="668"/>
    <w:next w:val="668"/>
    <w:link w:val="767"/>
    <w:uiPriority w:val="11"/>
    <w:qFormat/>
    <w:pPr>
      <w:spacing w:before="200" w:after="200"/>
    </w:pPr>
    <w:rPr>
      <w:rFonts w:ascii="等线" w:hAnsi="等线"/>
      <w:sz w:val="24"/>
      <w:szCs w:val="24"/>
    </w:rPr>
  </w:style>
  <w:style w:type="paragraph" w:styleId="703">
    <w:name w:val="List"/>
    <w:basedOn w:val="668"/>
    <w:uiPriority w:val="0"/>
    <w:qFormat/>
    <w:pPr>
      <w:ind w:left="200" w:hanging="200"/>
    </w:pPr>
  </w:style>
  <w:style w:type="paragraph" w:styleId="704">
    <w:name w:val="footnote text"/>
    <w:basedOn w:val="668"/>
    <w:link w:val="768"/>
    <w:uiPriority w:val="99"/>
    <w:unhideWhenUsed/>
    <w:qFormat/>
    <w:pPr>
      <w:spacing w:after="40"/>
    </w:pPr>
    <w:rPr>
      <w:rFonts w:ascii="等线" w:hAnsi="等线"/>
      <w:sz w:val="18"/>
      <w:szCs w:val="22"/>
    </w:rPr>
  </w:style>
  <w:style w:type="paragraph" w:styleId="705">
    <w:name w:val="toc 6"/>
    <w:basedOn w:val="668"/>
    <w:next w:val="668"/>
    <w:uiPriority w:val="39"/>
    <w:unhideWhenUsed/>
    <w:qFormat/>
    <w:pPr>
      <w:ind w:left="1417"/>
      <w:spacing w:after="57"/>
    </w:pPr>
  </w:style>
  <w:style w:type="paragraph" w:styleId="706">
    <w:name w:val="Body Text Indent 3"/>
    <w:basedOn w:val="668"/>
    <w:link w:val="769"/>
    <w:uiPriority w:val="0"/>
    <w:qFormat/>
    <w:pPr>
      <w:ind w:left="645" w:firstLine="645"/>
    </w:pPr>
    <w:rPr>
      <w:rFonts w:ascii="Arial" w:hAnsi="Arial" w:eastAsia="仿宋_GB2312" w:cs="Arial"/>
      <w:color w:val="ffff00"/>
      <w:sz w:val="32"/>
      <w:szCs w:val="32"/>
    </w:rPr>
  </w:style>
  <w:style w:type="paragraph" w:styleId="707">
    <w:name w:val="table of figures"/>
    <w:basedOn w:val="668"/>
    <w:next w:val="668"/>
    <w:uiPriority w:val="99"/>
    <w:qFormat/>
    <w:pPr>
      <w:ind w:left="840" w:hanging="420"/>
    </w:pPr>
  </w:style>
  <w:style w:type="paragraph" w:styleId="708">
    <w:name w:val="toc 2"/>
    <w:basedOn w:val="668"/>
    <w:next w:val="668"/>
    <w:uiPriority w:val="39"/>
    <w:unhideWhenUsed/>
    <w:qFormat/>
    <w:pPr>
      <w:ind w:left="283"/>
      <w:spacing w:after="57"/>
    </w:pPr>
  </w:style>
  <w:style w:type="paragraph" w:styleId="709">
    <w:name w:val="toc 9"/>
    <w:basedOn w:val="668"/>
    <w:next w:val="668"/>
    <w:uiPriority w:val="39"/>
    <w:unhideWhenUsed/>
    <w:qFormat/>
    <w:pPr>
      <w:ind w:left="2268"/>
      <w:spacing w:after="57"/>
    </w:pPr>
  </w:style>
  <w:style w:type="paragraph" w:styleId="710">
    <w:name w:val="Body Text 2"/>
    <w:basedOn w:val="668"/>
    <w:link w:val="770"/>
    <w:uiPriority w:val="0"/>
    <w:qFormat/>
    <w:pPr>
      <w:jc w:val="center"/>
      <w:widowControl/>
    </w:pPr>
    <w:rPr>
      <w:rFonts w:ascii="楷体_GB2312" w:eastAsia="楷体_GB2312"/>
      <w:sz w:val="28"/>
      <w:szCs w:val="28"/>
    </w:rPr>
  </w:style>
  <w:style w:type="paragraph" w:styleId="711">
    <w:name w:val="Normal (Web)"/>
    <w:basedOn w:val="668"/>
    <w:uiPriority w:val="0"/>
    <w:qFormat/>
    <w:pPr>
      <w:jc w:val="left"/>
      <w:spacing w:before="100" w:beforeAutospacing="1" w:after="100" w:afterAutospacing="1"/>
      <w:widowControl/>
    </w:pPr>
    <w:rPr>
      <w:rFonts w:ascii="宋体" w:hAnsi="宋体" w:cs="宋体"/>
      <w:sz w:val="24"/>
      <w:szCs w:val="24"/>
    </w:rPr>
  </w:style>
  <w:style w:type="paragraph" w:styleId="712">
    <w:name w:val="index 1"/>
    <w:basedOn w:val="668"/>
    <w:next w:val="668"/>
    <w:uiPriority w:val="0"/>
    <w:semiHidden/>
    <w:qFormat/>
    <w:pPr>
      <w:spacing w:line="240" w:lineRule="atLeast"/>
    </w:pPr>
    <w:rPr>
      <w:b/>
      <w:bCs/>
    </w:rPr>
  </w:style>
  <w:style w:type="paragraph" w:styleId="713">
    <w:name w:val="Title"/>
    <w:basedOn w:val="668"/>
    <w:next w:val="668"/>
    <w:link w:val="771"/>
    <w:uiPriority w:val="10"/>
    <w:qFormat/>
    <w:pPr>
      <w:contextualSpacing/>
      <w:spacing w:before="300" w:after="200"/>
    </w:pPr>
    <w:rPr>
      <w:rFonts w:ascii="等线" w:hAnsi="等线"/>
      <w:sz w:val="48"/>
      <w:szCs w:val="48"/>
    </w:rPr>
  </w:style>
  <w:style w:type="paragraph" w:styleId="714">
    <w:name w:val="annotation subject"/>
    <w:basedOn w:val="685"/>
    <w:next w:val="685"/>
    <w:link w:val="772"/>
    <w:uiPriority w:val="99"/>
    <w:semiHidden/>
    <w:qFormat/>
    <w:rPr>
      <w:b/>
      <w:bCs/>
    </w:rPr>
  </w:style>
  <w:style w:type="table" w:styleId="715">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uiPriority w:val="0"/>
    <w:qFormat/>
    <w:rPr>
      <w:b/>
      <w:bCs/>
    </w:rPr>
  </w:style>
  <w:style w:type="character" w:styleId="717">
    <w:name w:val="endnote reference"/>
    <w:uiPriority w:val="99"/>
    <w:unhideWhenUsed/>
    <w:qFormat/>
    <w:rPr>
      <w:vertAlign w:val="superscript"/>
    </w:rPr>
  </w:style>
  <w:style w:type="character" w:styleId="718">
    <w:name w:val="page number"/>
    <w:uiPriority w:val="0"/>
    <w:qFormat/>
  </w:style>
  <w:style w:type="character" w:styleId="719">
    <w:name w:val="FollowedHyperlink"/>
    <w:uiPriority w:val="99"/>
    <w:qFormat/>
    <w:rPr>
      <w:color w:val="800080"/>
      <w:u w:val="single"/>
    </w:rPr>
  </w:style>
  <w:style w:type="character" w:styleId="720">
    <w:name w:val="Emphasis"/>
    <w:uiPriority w:val="0"/>
    <w:qFormat/>
    <w:rPr>
      <w:i/>
    </w:rPr>
  </w:style>
  <w:style w:type="character" w:styleId="721">
    <w:name w:val="Hyperlink"/>
    <w:uiPriority w:val="99"/>
    <w:qFormat/>
    <w:rPr>
      <w:color w:val="0000ff"/>
      <w:u w:val="single"/>
    </w:rPr>
  </w:style>
  <w:style w:type="character" w:styleId="722">
    <w:name w:val="annotation reference"/>
    <w:uiPriority w:val="99"/>
    <w:semiHidden/>
    <w:qFormat/>
    <w:rPr>
      <w:sz w:val="21"/>
      <w:szCs w:val="21"/>
    </w:rPr>
  </w:style>
  <w:style w:type="character" w:styleId="723">
    <w:name w:val="footnote reference"/>
    <w:uiPriority w:val="99"/>
    <w:unhideWhenUsed/>
    <w:qFormat/>
    <w:rPr>
      <w:vertAlign w:val="superscript"/>
    </w:rPr>
  </w:style>
  <w:style w:type="paragraph" w:styleId="724">
    <w:name w:val="List Paragraph"/>
    <w:basedOn w:val="668"/>
    <w:uiPriority w:val="34"/>
    <w:qFormat/>
    <w:pPr>
      <w:contextualSpacing/>
      <w:ind w:left="720"/>
    </w:pPr>
  </w:style>
  <w:style w:type="paragraph" w:styleId="725">
    <w:name w:val="No Spacing"/>
    <w:uiPriority w:val="1"/>
    <w:qFormat/>
    <w:pPr>
      <w:jc w:val="both"/>
      <w:widowControl w:val="off"/>
    </w:pPr>
    <w:rPr>
      <w:rFonts w:ascii="Times New Roman" w:hAnsi="Times New Roman" w:eastAsia="宋体" w:cs="Calibri"/>
      <w:sz w:val="21"/>
      <w:szCs w:val="21"/>
      <w:lang w:val="en-US" w:eastAsia="zh-CN" w:bidi="ar-SA"/>
    </w:rPr>
  </w:style>
  <w:style w:type="paragraph" w:styleId="726">
    <w:name w:val="Quote"/>
    <w:basedOn w:val="668"/>
    <w:next w:val="668"/>
    <w:link w:val="791"/>
    <w:uiPriority w:val="29"/>
    <w:qFormat/>
    <w:pPr>
      <w:ind w:left="720" w:right="720"/>
    </w:pPr>
    <w:rPr>
      <w:rFonts w:ascii="等线" w:hAnsi="等线"/>
      <w:i/>
      <w:szCs w:val="22"/>
    </w:rPr>
  </w:style>
  <w:style w:type="paragraph" w:styleId="727">
    <w:name w:val="Intense Quote"/>
    <w:basedOn w:val="668"/>
    <w:next w:val="668"/>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28" w:customStyle="1">
    <w:name w:val="无格式表格 11"/>
    <w:basedOn w:val="679"/>
    <w:uiPriority w:val="59"/>
    <w:qFormat/>
    <w:tblPr/>
  </w:style>
  <w:style w:type="table" w:styleId="729" w:customStyle="1">
    <w:name w:val="无格式表格 21"/>
    <w:basedOn w:val="679"/>
    <w:uiPriority w:val="59"/>
    <w:qFormat/>
    <w:tblPr/>
  </w:style>
  <w:style w:type="table" w:styleId="730" w:customStyle="1">
    <w:name w:val="无格式表格 31"/>
    <w:basedOn w:val="679"/>
    <w:uiPriority w:val="99"/>
    <w:qFormat/>
    <w:tblPr/>
  </w:style>
  <w:style w:type="table" w:styleId="731" w:customStyle="1">
    <w:name w:val="无格式表格 41"/>
    <w:basedOn w:val="679"/>
    <w:uiPriority w:val="99"/>
    <w:qFormat/>
    <w:tblPr/>
  </w:style>
  <w:style w:type="table" w:styleId="732" w:customStyle="1">
    <w:name w:val="无格式表格 51"/>
    <w:basedOn w:val="679"/>
    <w:uiPriority w:val="99"/>
    <w:qFormat/>
    <w:tblPr/>
  </w:style>
  <w:style w:type="table" w:styleId="733" w:customStyle="1">
    <w:name w:val="网格表 1 浅色1"/>
    <w:basedOn w:val="679"/>
    <w:uiPriority w:val="99"/>
    <w:qFormat/>
    <w:tblPr/>
  </w:style>
  <w:style w:type="table" w:styleId="734" w:customStyle="1">
    <w:name w:val="网格表 21"/>
    <w:basedOn w:val="679"/>
    <w:uiPriority w:val="99"/>
    <w:qFormat/>
    <w:tblPr/>
  </w:style>
  <w:style w:type="table" w:styleId="735" w:customStyle="1">
    <w:name w:val="网格表 31"/>
    <w:basedOn w:val="679"/>
    <w:uiPriority w:val="99"/>
    <w:qFormat/>
    <w:tblPr/>
  </w:style>
  <w:style w:type="table" w:styleId="736" w:customStyle="1">
    <w:name w:val="网格表 41"/>
    <w:basedOn w:val="679"/>
    <w:uiPriority w:val="59"/>
    <w:qFormat/>
    <w:tblPr/>
  </w:style>
  <w:style w:type="table" w:styleId="737" w:customStyle="1">
    <w:name w:val="网格表 5 深色1"/>
    <w:basedOn w:val="679"/>
    <w:uiPriority w:val="99"/>
    <w:qFormat/>
    <w:tblPr/>
  </w:style>
  <w:style w:type="table" w:styleId="738" w:customStyle="1">
    <w:name w:val="网格表 6 彩色1"/>
    <w:basedOn w:val="679"/>
    <w:uiPriority w:val="99"/>
    <w:qFormat/>
    <w:tblPr/>
  </w:style>
  <w:style w:type="table" w:styleId="739" w:customStyle="1">
    <w:name w:val="网格表 7 彩色1"/>
    <w:basedOn w:val="679"/>
    <w:uiPriority w:val="99"/>
    <w:qFormat/>
    <w:tblPr/>
  </w:style>
  <w:style w:type="table" w:styleId="740" w:customStyle="1">
    <w:name w:val="清单表 1 浅色1"/>
    <w:basedOn w:val="679"/>
    <w:uiPriority w:val="99"/>
    <w:qFormat/>
    <w:tblPr/>
  </w:style>
  <w:style w:type="table" w:styleId="741" w:customStyle="1">
    <w:name w:val="清单表 21"/>
    <w:basedOn w:val="679"/>
    <w:uiPriority w:val="99"/>
    <w:qFormat/>
    <w:tblPr/>
  </w:style>
  <w:style w:type="table" w:styleId="742" w:customStyle="1">
    <w:name w:val="清单表 31"/>
    <w:basedOn w:val="679"/>
    <w:uiPriority w:val="99"/>
    <w:qFormat/>
    <w:tblPr/>
  </w:style>
  <w:style w:type="table" w:styleId="743" w:customStyle="1">
    <w:name w:val="清单表 41"/>
    <w:basedOn w:val="679"/>
    <w:uiPriority w:val="99"/>
    <w:qFormat/>
    <w:tblPr/>
  </w:style>
  <w:style w:type="table" w:styleId="744" w:customStyle="1">
    <w:name w:val="清单表 5 深色1"/>
    <w:basedOn w:val="679"/>
    <w:uiPriority w:val="99"/>
    <w:qFormat/>
    <w:tblPr/>
  </w:style>
  <w:style w:type="table" w:styleId="745" w:customStyle="1">
    <w:name w:val="清单表 6 彩色1"/>
    <w:basedOn w:val="679"/>
    <w:uiPriority w:val="99"/>
    <w:qFormat/>
    <w:tblPr/>
  </w:style>
  <w:style w:type="table" w:styleId="746" w:customStyle="1">
    <w:name w:val="清单表 7 彩色1"/>
    <w:basedOn w:val="679"/>
    <w:uiPriority w:val="99"/>
    <w:qFormat/>
    <w:tblPr/>
  </w:style>
  <w:style w:type="paragraph" w:styleId="747" w:customStyle="1">
    <w:name w:val="TOC 标题1"/>
    <w:uiPriority w:val="39"/>
    <w:unhideWhenUsed/>
    <w:qFormat/>
    <w:rPr>
      <w:rFonts w:ascii="Calibri" w:hAnsi="Calibri" w:eastAsia="宋体" w:cs="Calibri"/>
      <w:lang w:val="en-US" w:eastAsia="zh-CN" w:bidi="ar-SA"/>
    </w:rPr>
  </w:style>
  <w:style w:type="paragraph" w:styleId="748" w:customStyle="1">
    <w:name w:val="Caption1"/>
    <w:basedOn w:val="668"/>
    <w:next w:val="668"/>
    <w:uiPriority w:val="35"/>
    <w:semiHidden/>
    <w:unhideWhenUsed/>
    <w:qFormat/>
    <w:pPr>
      <w:spacing w:line="276" w:lineRule="auto"/>
    </w:pPr>
    <w:rPr>
      <w:b/>
      <w:bCs/>
      <w:color w:val="4f81bd"/>
      <w:sz w:val="18"/>
      <w:szCs w:val="18"/>
    </w:rPr>
  </w:style>
  <w:style w:type="paragraph" w:styleId="749" w:customStyle="1">
    <w:name w:val="Footer1"/>
    <w:basedOn w:val="668"/>
    <w:link w:val="801"/>
    <w:uiPriority w:val="99"/>
    <w:unhideWhenUsed/>
    <w:qFormat/>
    <w:pPr>
      <w:tabs>
        <w:tab w:val="center" w:pos="7143" w:leader="none"/>
        <w:tab w:val="right" w:pos="14287" w:leader="none"/>
      </w:tabs>
    </w:pPr>
  </w:style>
  <w:style w:type="paragraph" w:styleId="750" w:customStyle="1">
    <w:name w:val="Header1"/>
    <w:basedOn w:val="668"/>
    <w:link w:val="76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1" w:customStyle="1">
    <w:name w:val="样式1"/>
    <w:basedOn w:val="668"/>
    <w:uiPriority w:val="0"/>
    <w:qFormat/>
    <w:pPr>
      <w:numPr>
        <w:ilvl w:val="0"/>
        <w:numId w:val="2"/>
      </w:numPr>
    </w:pPr>
    <w:rPr>
      <w:rFonts w:ascii="宋体" w:hAnsi="宋体"/>
    </w:rPr>
  </w:style>
  <w:style w:type="character" w:styleId="752" w:customStyle="1">
    <w:name w:val="页脚 字符2"/>
    <w:link w:val="698"/>
    <w:uiPriority w:val="99"/>
    <w:qFormat/>
  </w:style>
  <w:style w:type="paragraph" w:styleId="753" w:customStyle="1">
    <w:name w:val="TOC 标题111"/>
    <w:uiPriority w:val="39"/>
    <w:unhideWhenUsed/>
    <w:qFormat/>
    <w:rPr>
      <w:rFonts w:ascii="Calibri" w:hAnsi="Calibri" w:eastAsia="宋体" w:cs="Calibri"/>
      <w:lang w:val="en-US" w:eastAsia="zh-CN" w:bidi="ar-SA"/>
    </w:rPr>
  </w:style>
  <w:style w:type="paragraph" w:styleId="754" w:customStyle="1">
    <w:name w:val="TOC 标题11"/>
    <w:uiPriority w:val="39"/>
    <w:qFormat/>
    <w:rPr>
      <w:rFonts w:ascii="Times New Roman" w:hAnsi="Times New Roman" w:eastAsia="宋体" w:cs="Calibri"/>
      <w:lang w:val="en-US" w:eastAsia="zh-CN" w:bidi="ar-SA"/>
    </w:rPr>
  </w:style>
  <w:style w:type="character" w:styleId="755" w:customStyle="1">
    <w:name w:val="正文缩进 字符"/>
    <w:link w:val="680"/>
    <w:uiPriority w:val="0"/>
    <w:qFormat/>
    <w:rPr>
      <w:rFonts w:ascii="Times New Roman" w:hAnsi="Times New Roman" w:eastAsia="宋体" w:cs="Times New Roman"/>
      <w:szCs w:val="21"/>
    </w:rPr>
  </w:style>
  <w:style w:type="character" w:styleId="756" w:customStyle="1">
    <w:name w:val="文档结构图 字符"/>
    <w:link w:val="684"/>
    <w:uiPriority w:val="0"/>
    <w:semiHidden/>
    <w:qFormat/>
    <w:rPr>
      <w:rFonts w:ascii="Times New Roman" w:hAnsi="Times New Roman" w:eastAsia="宋体" w:cs="Times New Roman"/>
      <w:szCs w:val="21"/>
      <w:shd w:val="clear" w:color="auto" w:fill="000080"/>
    </w:rPr>
  </w:style>
  <w:style w:type="character" w:styleId="757" w:customStyle="1">
    <w:name w:val="批注文字 字符"/>
    <w:link w:val="685"/>
    <w:uiPriority w:val="0"/>
    <w:qFormat/>
    <w:rPr>
      <w:rFonts w:ascii="Times New Roman" w:hAnsi="Times New Roman" w:eastAsia="宋体" w:cs="Times New Roman"/>
      <w:szCs w:val="21"/>
    </w:rPr>
  </w:style>
  <w:style w:type="character" w:styleId="758" w:customStyle="1">
    <w:name w:val="正文文本 3 字符"/>
    <w:link w:val="686"/>
    <w:uiPriority w:val="0"/>
    <w:qFormat/>
    <w:rPr>
      <w:rFonts w:ascii="仿宋_GB2312" w:hAnsi="Arial" w:eastAsia="仿宋_GB2312" w:cs="Times New Roman"/>
      <w:sz w:val="32"/>
      <w:szCs w:val="32"/>
    </w:rPr>
  </w:style>
  <w:style w:type="character" w:styleId="759" w:customStyle="1">
    <w:name w:val="正文文本 字符"/>
    <w:link w:val="687"/>
    <w:uiPriority w:val="0"/>
    <w:qFormat/>
    <w:rPr>
      <w:rFonts w:ascii="楷体_GB2312" w:hAnsi="Arial" w:eastAsia="楷体_GB2312" w:cs="Times New Roman"/>
      <w:sz w:val="28"/>
      <w:szCs w:val="28"/>
    </w:rPr>
  </w:style>
  <w:style w:type="character" w:styleId="760" w:customStyle="1">
    <w:name w:val="正文文本缩进 字符"/>
    <w:link w:val="688"/>
    <w:uiPriority w:val="0"/>
    <w:qFormat/>
    <w:rPr>
      <w:rFonts w:ascii="楷体_GB2312" w:hAnsi="Times New Roman" w:eastAsia="楷体_GB2312" w:cs="Times New Roman"/>
      <w:sz w:val="32"/>
      <w:szCs w:val="32"/>
    </w:rPr>
  </w:style>
  <w:style w:type="character" w:styleId="761" w:customStyle="1">
    <w:name w:val="纯文本 字符1"/>
    <w:link w:val="692"/>
    <w:uiPriority w:val="0"/>
    <w:qFormat/>
    <w:rPr>
      <w:rFonts w:ascii="宋体" w:hAnsi="Courier New" w:eastAsia="宋体" w:cs="Courier New"/>
      <w:szCs w:val="21"/>
    </w:rPr>
  </w:style>
  <w:style w:type="character" w:styleId="762" w:customStyle="1">
    <w:name w:val="日期 字符"/>
    <w:link w:val="694"/>
    <w:uiPriority w:val="0"/>
    <w:qFormat/>
    <w:rPr>
      <w:rFonts w:ascii="Times New Roman" w:hAnsi="Times New Roman" w:eastAsia="宋体" w:cs="Times New Roman"/>
      <w:sz w:val="24"/>
      <w:szCs w:val="24"/>
    </w:rPr>
  </w:style>
  <w:style w:type="character" w:styleId="763" w:customStyle="1">
    <w:name w:val="正文文本缩进 2 字符"/>
    <w:link w:val="695"/>
    <w:uiPriority w:val="0"/>
    <w:qFormat/>
    <w:rPr>
      <w:rFonts w:ascii="Arial" w:hAnsi="Arial" w:eastAsia="仿宋_GB2312" w:cs="Arial"/>
      <w:sz w:val="32"/>
      <w:szCs w:val="32"/>
    </w:rPr>
  </w:style>
  <w:style w:type="character" w:styleId="764" w:customStyle="1">
    <w:name w:val="尾注文本 字符"/>
    <w:link w:val="696"/>
    <w:uiPriority w:val="99"/>
    <w:qFormat/>
    <w:rPr>
      <w:rFonts w:ascii="等线" w:hAnsi="等线"/>
      <w:szCs w:val="22"/>
    </w:rPr>
  </w:style>
  <w:style w:type="character" w:styleId="765" w:customStyle="1">
    <w:name w:val="批注框文本 字符"/>
    <w:link w:val="697"/>
    <w:uiPriority w:val="99"/>
    <w:semiHidden/>
    <w:qFormat/>
    <w:rPr>
      <w:rFonts w:ascii="Times New Roman" w:hAnsi="Times New Roman" w:eastAsia="宋体" w:cs="Times New Roman"/>
      <w:sz w:val="18"/>
      <w:szCs w:val="18"/>
    </w:rPr>
  </w:style>
  <w:style w:type="character" w:styleId="766" w:customStyle="1">
    <w:name w:val="页眉 字符1"/>
    <w:link w:val="750"/>
    <w:uiPriority w:val="99"/>
    <w:qFormat/>
    <w:rPr>
      <w:rFonts w:ascii="Times New Roman" w:hAnsi="Times New Roman"/>
      <w:sz w:val="18"/>
      <w:szCs w:val="18"/>
    </w:rPr>
  </w:style>
  <w:style w:type="character" w:styleId="767" w:customStyle="1">
    <w:name w:val="副标题 字符"/>
    <w:link w:val="702"/>
    <w:uiPriority w:val="11"/>
    <w:qFormat/>
    <w:rPr>
      <w:rFonts w:ascii="等线" w:hAnsi="等线"/>
      <w:sz w:val="24"/>
      <w:szCs w:val="24"/>
    </w:rPr>
  </w:style>
  <w:style w:type="character" w:styleId="768" w:customStyle="1">
    <w:name w:val="脚注文本 字符"/>
    <w:link w:val="704"/>
    <w:uiPriority w:val="99"/>
    <w:qFormat/>
    <w:rPr>
      <w:rFonts w:ascii="等线" w:hAnsi="等线"/>
      <w:sz w:val="18"/>
      <w:szCs w:val="22"/>
    </w:rPr>
  </w:style>
  <w:style w:type="character" w:styleId="769" w:customStyle="1">
    <w:name w:val="正文文本缩进 3 字符"/>
    <w:link w:val="706"/>
    <w:uiPriority w:val="0"/>
    <w:qFormat/>
    <w:rPr>
      <w:rFonts w:ascii="Arial" w:hAnsi="Arial" w:eastAsia="仿宋_GB2312" w:cs="Arial"/>
      <w:color w:val="ffff00"/>
      <w:sz w:val="32"/>
      <w:szCs w:val="32"/>
    </w:rPr>
  </w:style>
  <w:style w:type="character" w:styleId="770" w:customStyle="1">
    <w:name w:val="正文文本 2 字符"/>
    <w:link w:val="710"/>
    <w:uiPriority w:val="0"/>
    <w:qFormat/>
    <w:rPr>
      <w:rFonts w:ascii="楷体_GB2312" w:hAnsi="Times New Roman" w:eastAsia="楷体_GB2312" w:cs="Times New Roman"/>
      <w:sz w:val="28"/>
      <w:szCs w:val="28"/>
    </w:rPr>
  </w:style>
  <w:style w:type="character" w:styleId="771" w:customStyle="1">
    <w:name w:val="标题 字符"/>
    <w:link w:val="713"/>
    <w:uiPriority w:val="10"/>
    <w:qFormat/>
    <w:rPr>
      <w:rFonts w:ascii="等线" w:hAnsi="等线"/>
      <w:sz w:val="48"/>
      <w:szCs w:val="48"/>
    </w:rPr>
  </w:style>
  <w:style w:type="character" w:styleId="772" w:customStyle="1">
    <w:name w:val="批注主题 字符"/>
    <w:link w:val="714"/>
    <w:uiPriority w:val="99"/>
    <w:semiHidden/>
    <w:qFormat/>
    <w:rPr>
      <w:rFonts w:ascii="Times New Roman" w:hAnsi="Times New Roman" w:eastAsia="宋体" w:cs="Times New Roman"/>
      <w:b/>
      <w:bCs/>
      <w:szCs w:val="21"/>
    </w:rPr>
  </w:style>
  <w:style w:type="character" w:styleId="773" w:customStyle="1">
    <w:name w:val="标题 1 字符"/>
    <w:link w:val="669"/>
    <w:uiPriority w:val="9"/>
    <w:qFormat/>
    <w:rPr>
      <w:rFonts w:ascii="楷体_GB2312" w:hAnsi="Times New Roman" w:eastAsia="楷体_GB2312" w:cs="Times New Roman"/>
      <w:sz w:val="28"/>
      <w:szCs w:val="28"/>
    </w:rPr>
  </w:style>
  <w:style w:type="character" w:styleId="774" w:customStyle="1">
    <w:name w:val="标题 2 字符"/>
    <w:link w:val="670"/>
    <w:uiPriority w:val="9"/>
    <w:qFormat/>
    <w:rPr>
      <w:rFonts w:ascii="Arial" w:hAnsi="Arial" w:eastAsia="幼圆" w:cs="Arial"/>
      <w:b/>
      <w:bCs/>
      <w:sz w:val="44"/>
      <w:szCs w:val="44"/>
    </w:rPr>
  </w:style>
  <w:style w:type="character" w:styleId="775" w:customStyle="1">
    <w:name w:val="标题 3 字符"/>
    <w:link w:val="671"/>
    <w:uiPriority w:val="9"/>
    <w:qFormat/>
    <w:rPr>
      <w:rFonts w:ascii="Times New Roman" w:hAnsi="Times New Roman" w:eastAsia="宋体" w:cs="Times New Roman"/>
      <w:b/>
      <w:bCs/>
      <w:sz w:val="32"/>
      <w:szCs w:val="32"/>
    </w:rPr>
  </w:style>
  <w:style w:type="character" w:styleId="776" w:customStyle="1">
    <w:name w:val="标题 4 字符"/>
    <w:link w:val="672"/>
    <w:uiPriority w:val="9"/>
    <w:qFormat/>
    <w:rPr>
      <w:rFonts w:ascii="Arial" w:hAnsi="Arial" w:eastAsia="黑体" w:cs="Arial"/>
      <w:b/>
      <w:bCs/>
      <w:sz w:val="28"/>
      <w:szCs w:val="28"/>
    </w:rPr>
  </w:style>
  <w:style w:type="character" w:styleId="777" w:customStyle="1">
    <w:name w:val="标题 5 字符"/>
    <w:link w:val="673"/>
    <w:uiPriority w:val="9"/>
    <w:qFormat/>
    <w:rPr>
      <w:rFonts w:ascii="宋体" w:hAnsi="Times New Roman" w:eastAsia="宋体" w:cs="Times New Roman"/>
      <w:color w:val="000000"/>
      <w:sz w:val="28"/>
      <w:szCs w:val="28"/>
    </w:rPr>
  </w:style>
  <w:style w:type="character" w:styleId="778" w:customStyle="1">
    <w:name w:val="标题 6 字符"/>
    <w:link w:val="674"/>
    <w:uiPriority w:val="9"/>
    <w:qFormat/>
    <w:rPr>
      <w:rFonts w:ascii="Arial" w:hAnsi="Arial" w:eastAsia="黑体"/>
      <w:b/>
      <w:bCs/>
      <w:sz w:val="24"/>
      <w:szCs w:val="24"/>
    </w:rPr>
  </w:style>
  <w:style w:type="character" w:styleId="779" w:customStyle="1">
    <w:name w:val="标题 7 字符"/>
    <w:link w:val="675"/>
    <w:uiPriority w:val="9"/>
    <w:qFormat/>
    <w:rPr>
      <w:rFonts w:ascii="Times New Roman" w:hAnsi="Times New Roman"/>
      <w:b/>
      <w:bCs/>
      <w:sz w:val="24"/>
      <w:szCs w:val="24"/>
    </w:rPr>
  </w:style>
  <w:style w:type="character" w:styleId="780" w:customStyle="1">
    <w:name w:val="标题 8 字符"/>
    <w:link w:val="676"/>
    <w:uiPriority w:val="9"/>
    <w:qFormat/>
    <w:rPr>
      <w:rFonts w:ascii="Arial" w:hAnsi="Arial" w:eastAsia="黑体"/>
      <w:sz w:val="24"/>
      <w:szCs w:val="24"/>
    </w:rPr>
  </w:style>
  <w:style w:type="character" w:styleId="781" w:customStyle="1">
    <w:name w:val="标题 9 字符"/>
    <w:link w:val="677"/>
    <w:uiPriority w:val="9"/>
    <w:qFormat/>
    <w:rPr>
      <w:rFonts w:ascii="Arial" w:hAnsi="Arial" w:eastAsia="黑体"/>
      <w:sz w:val="21"/>
      <w:szCs w:val="21"/>
    </w:rPr>
  </w:style>
  <w:style w:type="character" w:styleId="782" w:customStyle="1">
    <w:name w:val="Heading 1 Char"/>
    <w:uiPriority w:val="9"/>
    <w:qFormat/>
    <w:rPr>
      <w:rFonts w:ascii="Arial" w:hAnsi="Arial" w:eastAsia="Arial" w:cs="Arial"/>
      <w:sz w:val="40"/>
      <w:szCs w:val="40"/>
    </w:rPr>
  </w:style>
  <w:style w:type="character" w:styleId="783" w:customStyle="1">
    <w:name w:val="Heading 4 Char"/>
    <w:uiPriority w:val="9"/>
    <w:qFormat/>
    <w:rPr>
      <w:rFonts w:ascii="Arial" w:hAnsi="Arial" w:eastAsia="Arial" w:cs="Arial"/>
      <w:b/>
      <w:bCs/>
      <w:sz w:val="26"/>
      <w:szCs w:val="26"/>
    </w:rPr>
  </w:style>
  <w:style w:type="character" w:styleId="784" w:customStyle="1">
    <w:name w:val="Heading 5 Char"/>
    <w:uiPriority w:val="9"/>
    <w:qFormat/>
    <w:rPr>
      <w:rFonts w:ascii="Arial" w:hAnsi="Arial" w:eastAsia="Arial" w:cs="Arial"/>
      <w:b/>
      <w:bCs/>
      <w:sz w:val="24"/>
      <w:szCs w:val="24"/>
    </w:rPr>
  </w:style>
  <w:style w:type="character" w:styleId="785" w:customStyle="1">
    <w:name w:val="Heading 6 Char"/>
    <w:uiPriority w:val="9"/>
    <w:qFormat/>
    <w:rPr>
      <w:rFonts w:ascii="Arial" w:hAnsi="Arial" w:eastAsia="Arial" w:cs="Arial"/>
      <w:b/>
      <w:bCs/>
      <w:sz w:val="22"/>
      <w:szCs w:val="22"/>
    </w:rPr>
  </w:style>
  <w:style w:type="character" w:styleId="786" w:customStyle="1">
    <w:name w:val="Heading 7 Char"/>
    <w:uiPriority w:val="9"/>
    <w:qFormat/>
    <w:rPr>
      <w:rFonts w:ascii="Arial" w:hAnsi="Arial" w:eastAsia="Arial" w:cs="Arial"/>
      <w:b/>
      <w:bCs/>
      <w:i/>
      <w:iCs/>
      <w:sz w:val="22"/>
      <w:szCs w:val="22"/>
    </w:rPr>
  </w:style>
  <w:style w:type="character" w:styleId="787" w:customStyle="1">
    <w:name w:val="Heading 8 Char"/>
    <w:uiPriority w:val="9"/>
    <w:qFormat/>
    <w:rPr>
      <w:rFonts w:ascii="Arial" w:hAnsi="Arial" w:eastAsia="Arial" w:cs="Arial"/>
      <w:i/>
      <w:iCs/>
      <w:sz w:val="22"/>
      <w:szCs w:val="22"/>
    </w:rPr>
  </w:style>
  <w:style w:type="character" w:styleId="788" w:customStyle="1">
    <w:name w:val="Heading 9 Char"/>
    <w:uiPriority w:val="9"/>
    <w:qFormat/>
    <w:rPr>
      <w:rFonts w:ascii="Arial" w:hAnsi="Arial" w:eastAsia="Arial" w:cs="Arial"/>
      <w:i/>
      <w:iCs/>
      <w:sz w:val="21"/>
      <w:szCs w:val="21"/>
    </w:rPr>
  </w:style>
  <w:style w:type="character" w:styleId="789" w:customStyle="1">
    <w:name w:val="Title Char"/>
    <w:uiPriority w:val="10"/>
    <w:qFormat/>
    <w:rPr>
      <w:sz w:val="48"/>
      <w:szCs w:val="48"/>
    </w:rPr>
  </w:style>
  <w:style w:type="character" w:styleId="790" w:customStyle="1">
    <w:name w:val="Subtitle Char"/>
    <w:uiPriority w:val="11"/>
    <w:qFormat/>
    <w:rPr>
      <w:sz w:val="24"/>
      <w:szCs w:val="24"/>
    </w:rPr>
  </w:style>
  <w:style w:type="character" w:styleId="791" w:customStyle="1">
    <w:name w:val="引用 字符"/>
    <w:link w:val="726"/>
    <w:uiPriority w:val="29"/>
    <w:qFormat/>
    <w:rPr>
      <w:rFonts w:ascii="等线" w:hAnsi="等线"/>
      <w:i/>
      <w:sz w:val="21"/>
      <w:szCs w:val="22"/>
    </w:rPr>
  </w:style>
  <w:style w:type="character" w:styleId="792" w:customStyle="1">
    <w:name w:val="Quote Char"/>
    <w:uiPriority w:val="29"/>
    <w:qFormat/>
    <w:rPr>
      <w:i/>
    </w:rPr>
  </w:style>
  <w:style w:type="character" w:styleId="793" w:customStyle="1">
    <w:name w:val="明显引用 字符"/>
    <w:link w:val="727"/>
    <w:uiPriority w:val="30"/>
    <w:qFormat/>
    <w:rPr>
      <w:rFonts w:ascii="等线" w:hAnsi="等线"/>
      <w:i/>
      <w:sz w:val="21"/>
      <w:szCs w:val="22"/>
      <w:shd w:val="clear" w:color="auto" w:fill="f2f2f2"/>
    </w:rPr>
  </w:style>
  <w:style w:type="character" w:styleId="794" w:customStyle="1">
    <w:name w:val="Intense Quote Char"/>
    <w:uiPriority w:val="30"/>
    <w:qFormat/>
    <w:rPr>
      <w:i/>
    </w:rPr>
  </w:style>
  <w:style w:type="paragraph" w:styleId="795" w:customStyle="1">
    <w:name w:val="Header11"/>
    <w:basedOn w:val="668"/>
    <w:link w:val="796"/>
    <w:uiPriority w:val="99"/>
    <w:qFormat/>
    <w:pPr>
      <w:jc w:val="center"/>
      <w:tabs>
        <w:tab w:val="center" w:pos="4153" w:leader="none"/>
        <w:tab w:val="right" w:pos="8306" w:leader="none"/>
      </w:tabs>
      <w:pBdr>
        <w:bottom w:val="single" w:color="000000" w:sz="6" w:space="1"/>
      </w:pBdr>
    </w:pPr>
    <w:rPr>
      <w:sz w:val="18"/>
      <w:szCs w:val="18"/>
    </w:rPr>
  </w:style>
  <w:style w:type="character" w:styleId="796" w:customStyle="1">
    <w:name w:val="页眉 字符"/>
    <w:link w:val="795"/>
    <w:uiPriority w:val="99"/>
    <w:qFormat/>
    <w:rPr>
      <w:rFonts w:ascii="Times New Roman" w:hAnsi="Times New Roman" w:eastAsia="宋体" w:cs="Times New Roman"/>
      <w:sz w:val="18"/>
      <w:szCs w:val="18"/>
    </w:rPr>
  </w:style>
  <w:style w:type="character" w:styleId="797" w:customStyle="1">
    <w:name w:val="页眉 字符2"/>
    <w:link w:val="699"/>
    <w:uiPriority w:val="99"/>
    <w:qFormat/>
  </w:style>
  <w:style w:type="paragraph" w:styleId="798" w:customStyle="1">
    <w:name w:val="Footer11"/>
    <w:basedOn w:val="668"/>
    <w:link w:val="799"/>
    <w:uiPriority w:val="99"/>
    <w:qFormat/>
    <w:pPr>
      <w:jc w:val="left"/>
      <w:tabs>
        <w:tab w:val="center" w:pos="4153" w:leader="none"/>
        <w:tab w:val="right" w:pos="8306" w:leader="none"/>
      </w:tabs>
    </w:pPr>
    <w:rPr>
      <w:sz w:val="18"/>
      <w:szCs w:val="18"/>
    </w:rPr>
  </w:style>
  <w:style w:type="character" w:styleId="799" w:customStyle="1">
    <w:name w:val="页脚 字符"/>
    <w:link w:val="798"/>
    <w:uiPriority w:val="99"/>
    <w:qFormat/>
    <w:rPr>
      <w:rFonts w:ascii="Times New Roman" w:hAnsi="Times New Roman" w:eastAsia="宋体" w:cs="Times New Roman"/>
      <w:sz w:val="18"/>
      <w:szCs w:val="18"/>
    </w:rPr>
  </w:style>
  <w:style w:type="paragraph" w:styleId="800" w:customStyle="1">
    <w:name w:val="Caption11"/>
    <w:basedOn w:val="668"/>
    <w:next w:val="668"/>
    <w:uiPriority w:val="35"/>
    <w:unhideWhenUsed/>
    <w:qFormat/>
    <w:pPr>
      <w:spacing w:line="276" w:lineRule="auto"/>
    </w:pPr>
    <w:rPr>
      <w:b/>
      <w:bCs/>
      <w:color w:val="4f81bd"/>
      <w:sz w:val="18"/>
      <w:szCs w:val="18"/>
    </w:rPr>
  </w:style>
  <w:style w:type="character" w:styleId="801" w:customStyle="1">
    <w:name w:val="页脚 字符1"/>
    <w:link w:val="749"/>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character" w:styleId="804" w:customStyle="1">
    <w:name w:val="Footer Char"/>
    <w:uiPriority w:val="99"/>
    <w:qFormat/>
  </w:style>
  <w:style w:type="character" w:styleId="805" w:customStyle="1">
    <w:name w:val="Heading 2 Char"/>
    <w:uiPriority w:val="9"/>
    <w:qFormat/>
    <w:rPr>
      <w:rFonts w:ascii="Arial" w:hAnsi="Arial" w:eastAsia="Arial" w:cs="Arial"/>
      <w:sz w:val="34"/>
    </w:rPr>
  </w:style>
  <w:style w:type="character" w:styleId="806" w:customStyle="1">
    <w:name w:val="正文首行缩进 Char"/>
    <w:link w:val="807"/>
    <w:uiPriority w:val="0"/>
    <w:qFormat/>
    <w:rPr>
      <w:rFonts w:ascii="仿宋_GB2312" w:hAnsi="Times New Roman" w:eastAsia="仿宋_GB2312" w:cs="Times New Roman"/>
      <w:sz w:val="30"/>
      <w:szCs w:val="30"/>
    </w:rPr>
  </w:style>
  <w:style w:type="paragraph" w:styleId="807" w:customStyle="1">
    <w:name w:val="正文首行缩进1"/>
    <w:basedOn w:val="668"/>
    <w:link w:val="806"/>
    <w:uiPriority w:val="0"/>
    <w:qFormat/>
    <w:pPr>
      <w:ind w:firstLine="200"/>
      <w:spacing w:line="360" w:lineRule="auto"/>
    </w:pPr>
    <w:rPr>
      <w:rFonts w:ascii="仿宋_GB2312" w:eastAsia="仿宋_GB2312"/>
      <w:sz w:val="30"/>
      <w:szCs w:val="30"/>
    </w:rPr>
  </w:style>
  <w:style w:type="character" w:styleId="808" w:customStyle="1">
    <w:name w:val="二级目录 Char"/>
    <w:link w:val="809"/>
    <w:uiPriority w:val="0"/>
    <w:qFormat/>
    <w:rPr>
      <w:b/>
      <w:sz w:val="30"/>
      <w:szCs w:val="28"/>
    </w:rPr>
  </w:style>
  <w:style w:type="paragraph" w:styleId="809" w:customStyle="1">
    <w:name w:val="二级目录"/>
    <w:next w:val="668"/>
    <w:link w:val="808"/>
    <w:uiPriority w:val="0"/>
    <w:qFormat/>
    <w:pPr>
      <w:numPr>
        <w:ilvl w:val="0"/>
        <w:numId w:val="3"/>
      </w:numPr>
      <w:tabs>
        <w:tab w:val="left" w:pos="1145" w:leader="none"/>
      </w:tabs>
      <w:outlineLvl w:val="1"/>
    </w:pPr>
    <w:rPr>
      <w:rFonts w:ascii="Calibri" w:hAnsi="Calibri" w:eastAsia="宋体" w:cs="Calibri"/>
      <w:b/>
      <w:sz w:val="30"/>
      <w:szCs w:val="28"/>
      <w:lang w:val="en-US" w:eastAsia="zh-CN" w:bidi="ar-SA"/>
    </w:rPr>
  </w:style>
  <w:style w:type="character" w:styleId="810" w:customStyle="1">
    <w:name w:val="Heading 3 Char"/>
    <w:uiPriority w:val="9"/>
    <w:qFormat/>
    <w:rPr>
      <w:rFonts w:ascii="Arial" w:hAnsi="Arial" w:eastAsia="Arial" w:cs="Arial"/>
      <w:sz w:val="30"/>
      <w:szCs w:val="30"/>
    </w:rPr>
  </w:style>
  <w:style w:type="character" w:styleId="811" w:customStyle="1">
    <w:name w:val="正文首行缩进 2 Char"/>
    <w:link w:val="812"/>
    <w:uiPriority w:val="0"/>
    <w:qFormat/>
    <w:rPr>
      <w:rFonts w:ascii="宋体" w:hAnsi="宋体" w:eastAsia="宋体" w:cs="Times New Roman"/>
      <w:sz w:val="32"/>
      <w:szCs w:val="20"/>
    </w:rPr>
  </w:style>
  <w:style w:type="paragraph" w:styleId="812" w:customStyle="1">
    <w:name w:val="正文首行缩进 21"/>
    <w:basedOn w:val="688"/>
    <w:link w:val="811"/>
    <w:uiPriority w:val="0"/>
    <w:qFormat/>
    <w:pPr>
      <w:ind w:firstLine="420"/>
      <w:spacing w:line="360" w:lineRule="auto"/>
    </w:pPr>
    <w:rPr>
      <w:rFonts w:ascii="宋体" w:hAnsi="宋体" w:eastAsia="宋体"/>
      <w:sz w:val="21"/>
      <w:szCs w:val="20"/>
    </w:rPr>
  </w:style>
  <w:style w:type="character" w:styleId="813" w:customStyle="1">
    <w:name w:val="font5 Char"/>
    <w:uiPriority w:val="0"/>
    <w:qFormat/>
    <w:rPr>
      <w:rFonts w:ascii="宋体" w:hAnsi="宋体" w:eastAsia="宋体"/>
      <w:sz w:val="28"/>
      <w:szCs w:val="28"/>
      <w:lang w:val="en-US" w:eastAsia="zh-CN" w:bidi="ar-SA"/>
    </w:rPr>
  </w:style>
  <w:style w:type="character" w:styleId="814" w:customStyle="1">
    <w:name w:val="列出段落 Char"/>
    <w:link w:val="815"/>
    <w:uiPriority w:val="0"/>
    <w:qFormat/>
    <w:rPr>
      <w:rFonts w:ascii="Calibri" w:hAnsi="Calibri"/>
      <w:sz w:val="24"/>
      <w:szCs w:val="24"/>
      <w:lang w:eastAsia="en-US" w:bidi="en-US"/>
    </w:rPr>
  </w:style>
  <w:style w:type="paragraph" w:styleId="815" w:customStyle="1">
    <w:name w:val="列出段落1"/>
    <w:basedOn w:val="668"/>
    <w:link w:val="814"/>
    <w:uiPriority w:val="0"/>
    <w:qFormat/>
    <w:pPr>
      <w:contextualSpacing/>
      <w:ind w:left="720"/>
      <w:jc w:val="left"/>
      <w:widowControl/>
    </w:pPr>
    <w:rPr>
      <w:rFonts w:ascii="Calibri" w:hAnsi="Calibri"/>
      <w:sz w:val="24"/>
      <w:szCs w:val="24"/>
      <w:lang w:eastAsia="en-US" w:bidi="en-US"/>
    </w:rPr>
  </w:style>
  <w:style w:type="character" w:styleId="816" w:customStyle="1">
    <w:name w:val="标题5 Char"/>
    <w:link w:val="817"/>
    <w:uiPriority w:val="0"/>
    <w:qFormat/>
    <w:rPr>
      <w:szCs w:val="24"/>
    </w:rPr>
  </w:style>
  <w:style w:type="paragraph" w:styleId="817" w:customStyle="1">
    <w:name w:val="标题5"/>
    <w:basedOn w:val="668"/>
    <w:link w:val="816"/>
    <w:uiPriority w:val="0"/>
    <w:qFormat/>
    <w:pPr>
      <w:ind w:left="990" w:hanging="990"/>
      <w:spacing w:before="100" w:beforeAutospacing="1" w:after="100" w:afterAutospacing="1"/>
      <w:outlineLvl w:val="4"/>
    </w:pPr>
    <w:rPr>
      <w:rFonts w:ascii="Calibri" w:hAnsi="Calibri"/>
      <w:sz w:val="20"/>
      <w:szCs w:val="24"/>
    </w:rPr>
  </w:style>
  <w:style w:type="character" w:styleId="818" w:customStyle="1">
    <w:name w:val="纯文本 字符"/>
    <w:uiPriority w:val="0"/>
    <w:qFormat/>
    <w:rPr>
      <w:rFonts w:ascii="宋体" w:hAnsi="Courier New" w:eastAsia="宋体" w:cs="Courier New"/>
      <w:szCs w:val="21"/>
    </w:rPr>
  </w:style>
  <w:style w:type="paragraph" w:styleId="819" w:customStyle="1">
    <w:name w:val="目录 31"/>
    <w:basedOn w:val="668"/>
    <w:next w:val="668"/>
    <w:uiPriority w:val="0"/>
    <w:semiHidden/>
    <w:qFormat/>
    <w:pPr>
      <w:ind w:left="420"/>
      <w:jc w:val="left"/>
    </w:pPr>
    <w:rPr>
      <w:i/>
      <w:iCs/>
      <w:szCs w:val="24"/>
    </w:rPr>
  </w:style>
  <w:style w:type="paragraph" w:styleId="820" w:customStyle="1">
    <w:name w:val="目录 21"/>
    <w:basedOn w:val="668"/>
    <w:next w:val="668"/>
    <w:uiPriority w:val="0"/>
    <w:semiHidden/>
    <w:qFormat/>
    <w:pPr>
      <w:ind w:left="210"/>
      <w:jc w:val="left"/>
    </w:pPr>
    <w:rPr>
      <w:smallCaps/>
      <w:szCs w:val="24"/>
    </w:rPr>
  </w:style>
  <w:style w:type="paragraph" w:styleId="821" w:customStyle="1">
    <w:name w:val="目录 81"/>
    <w:basedOn w:val="668"/>
    <w:next w:val="668"/>
    <w:uiPriority w:val="0"/>
    <w:semiHidden/>
    <w:qFormat/>
    <w:pPr>
      <w:ind w:left="1470"/>
      <w:jc w:val="left"/>
    </w:pPr>
  </w:style>
  <w:style w:type="paragraph" w:styleId="822" w:customStyle="1">
    <w:name w:val="目录 91"/>
    <w:basedOn w:val="668"/>
    <w:next w:val="668"/>
    <w:uiPriority w:val="0"/>
    <w:semiHidden/>
    <w:qFormat/>
    <w:pPr>
      <w:ind w:left="1680"/>
      <w:jc w:val="left"/>
    </w:pPr>
  </w:style>
  <w:style w:type="paragraph" w:styleId="823" w:customStyle="1">
    <w:name w:val="目录 71"/>
    <w:basedOn w:val="668"/>
    <w:next w:val="668"/>
    <w:uiPriority w:val="0"/>
    <w:semiHidden/>
    <w:qFormat/>
    <w:pPr>
      <w:ind w:left="1260"/>
      <w:jc w:val="left"/>
    </w:pPr>
  </w:style>
  <w:style w:type="paragraph" w:styleId="824"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825"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26"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827" w:customStyle="1">
    <w:name w:val="目录 41"/>
    <w:basedOn w:val="668"/>
    <w:next w:val="668"/>
    <w:uiPriority w:val="0"/>
    <w:semiHidden/>
    <w:qFormat/>
    <w:pPr>
      <w:ind w:left="630"/>
      <w:jc w:val="left"/>
    </w:pPr>
  </w:style>
  <w:style w:type="paragraph" w:styleId="828" w:customStyle="1">
    <w:name w:val="目录 61"/>
    <w:basedOn w:val="668"/>
    <w:next w:val="668"/>
    <w:uiPriority w:val="0"/>
    <w:semiHidden/>
    <w:qFormat/>
    <w:pPr>
      <w:ind w:left="1050"/>
      <w:jc w:val="left"/>
    </w:pPr>
  </w:style>
  <w:style w:type="paragraph" w:styleId="829" w:customStyle="1">
    <w:name w:val="目录 51"/>
    <w:basedOn w:val="668"/>
    <w:next w:val="668"/>
    <w:uiPriority w:val="0"/>
    <w:semiHidden/>
    <w:qFormat/>
    <w:pPr>
      <w:ind w:left="840"/>
      <w:jc w:val="left"/>
    </w:pPr>
  </w:style>
  <w:style w:type="paragraph" w:styleId="830" w:customStyle="1">
    <w:name w:val="Char"/>
    <w:basedOn w:val="668"/>
    <w:uiPriority w:val="0"/>
    <w:qFormat/>
    <w:pPr>
      <w:ind w:firstLine="200"/>
      <w:tabs>
        <w:tab w:val="left" w:pos="360" w:leader="none"/>
      </w:tabs>
    </w:pPr>
    <w:rPr>
      <w:sz w:val="28"/>
      <w:szCs w:val="30"/>
    </w:rPr>
  </w:style>
  <w:style w:type="paragraph" w:styleId="831"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832" w:customStyle="1">
    <w:name w:val="Body Text(ch)"/>
    <w:basedOn w:val="668"/>
    <w:next w:val="687"/>
    <w:uiPriority w:val="0"/>
    <w:qFormat/>
    <w:pPr>
      <w:spacing w:after="120"/>
    </w:pPr>
    <w:rPr>
      <w:rFonts w:ascii="宋体" w:hAnsi="Arial"/>
      <w:bCs/>
      <w:iCs/>
      <w:szCs w:val="24"/>
    </w:rPr>
  </w:style>
  <w:style w:type="paragraph" w:styleId="833"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4"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5"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6" w:customStyle="1">
    <w:name w:val="Char_0"/>
    <w:basedOn w:val="684"/>
    <w:uiPriority w:val="0"/>
    <w:qFormat/>
    <w:rPr>
      <w:rFonts w:ascii="Tahoma" w:hAnsi="Tahoma"/>
      <w:sz w:val="24"/>
      <w:szCs w:val="24"/>
    </w:rPr>
  </w:style>
  <w:style w:type="paragraph" w:styleId="83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838" w:customStyle="1">
    <w:name w:val="table_lines"/>
    <w:basedOn w:val="668"/>
    <w:uiPriority w:val="0"/>
    <w:qFormat/>
    <w:pPr>
      <w:jc w:val="left"/>
      <w:widowControl/>
    </w:pPr>
    <w:rPr>
      <w:sz w:val="20"/>
      <w:szCs w:val="20"/>
      <w:lang w:val="de-DE" w:eastAsia="de-DE"/>
    </w:rPr>
  </w:style>
  <w:style w:type="paragraph" w:styleId="839" w:customStyle="1">
    <w:name w:val="附录1"/>
    <w:uiPriority w:val="0"/>
    <w:qFormat/>
    <w:pPr>
      <w:ind w:left="907" w:hanging="907"/>
      <w:spacing w:before="240" w:line="600" w:lineRule="atLeast"/>
      <w:tabs>
        <w:tab w:val="left" w:pos="907" w:leader="none"/>
      </w:tabs>
    </w:pPr>
    <w:rPr>
      <w:rFonts w:ascii="Times New Roman" w:hAnsi="Times New Roman" w:eastAsia="宋体" w:cs="Calibri"/>
      <w:b/>
      <w:i/>
      <w:sz w:val="28"/>
      <w:lang w:val="en-US" w:eastAsia="zh-CN" w:bidi="ar-SA"/>
    </w:rPr>
  </w:style>
  <w:style w:type="paragraph" w:styleId="840"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841" w:customStyle="1">
    <w:name w:val="Char Char Char Char"/>
    <w:basedOn w:val="684"/>
    <w:uiPriority w:val="0"/>
    <w:qFormat/>
    <w:pPr>
      <w:spacing w:line="360" w:lineRule="auto"/>
    </w:pPr>
    <w:rPr>
      <w:rFonts w:ascii="Tahoma" w:hAnsi="Tahoma"/>
      <w:sz w:val="24"/>
      <w:szCs w:val="24"/>
    </w:rPr>
  </w:style>
  <w:style w:type="paragraph" w:styleId="842" w:customStyle="1">
    <w:name w:val="列出段落2"/>
    <w:basedOn w:val="668"/>
    <w:uiPriority w:val="0"/>
    <w:qFormat/>
    <w:pPr>
      <w:contextualSpacing/>
      <w:ind w:left="720"/>
      <w:jc w:val="left"/>
      <w:widowControl/>
    </w:pPr>
    <w:rPr>
      <w:rFonts w:ascii="Calibri" w:hAnsi="Calibri"/>
      <w:sz w:val="24"/>
      <w:szCs w:val="24"/>
      <w:lang w:eastAsia="en-US" w:bidi="en-US"/>
    </w:rPr>
  </w:style>
  <w:style w:type="paragraph" w:styleId="843" w:customStyle="1">
    <w:name w:val="4"/>
    <w:basedOn w:val="668"/>
    <w:next w:val="706"/>
    <w:uiPriority w:val="0"/>
    <w:qFormat/>
    <w:pPr>
      <w:ind w:firstLine="420"/>
      <w:spacing w:line="360" w:lineRule="auto"/>
    </w:pPr>
    <w:rPr>
      <w:color w:val="ff0000"/>
      <w:sz w:val="24"/>
      <w:szCs w:val="24"/>
    </w:rPr>
  </w:style>
  <w:style w:type="paragraph" w:styleId="844"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845" w:customStyle="1">
    <w:name w:val="Char Char Char Char Char Char Char Char Char Char"/>
    <w:basedOn w:val="668"/>
    <w:uiPriority w:val="0"/>
    <w:qFormat/>
    <w:pPr>
      <w:spacing w:line="360" w:lineRule="auto"/>
    </w:pPr>
    <w:rPr>
      <w:sz w:val="24"/>
      <w:szCs w:val="20"/>
    </w:rPr>
  </w:style>
  <w:style w:type="paragraph" w:styleId="846"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847"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9"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0"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1"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852" w:customStyle="1">
    <w:name w:val="Char Char Char Char Char Char Char Char_0"/>
    <w:basedOn w:val="668"/>
    <w:uiPriority w:val="0"/>
    <w:qFormat/>
    <w:pPr>
      <w:jc w:val="left"/>
      <w:spacing w:after="160" w:line="240" w:lineRule="exact"/>
      <w:widowControl/>
    </w:pPr>
    <w:rPr>
      <w:rFonts w:ascii="Verdana" w:hAnsi="Verdana"/>
      <w:sz w:val="20"/>
      <w:szCs w:val="20"/>
      <w:lang w:eastAsia="en-US"/>
    </w:rPr>
  </w:style>
  <w:style w:type="paragraph" w:styleId="853" w:customStyle="1">
    <w:name w:val="Char Char Char Char_0"/>
    <w:basedOn w:val="684"/>
    <w:uiPriority w:val="0"/>
    <w:qFormat/>
    <w:pPr>
      <w:spacing w:line="360" w:lineRule="auto"/>
    </w:pPr>
    <w:rPr>
      <w:rFonts w:ascii="Tahoma" w:hAnsi="Tahoma"/>
      <w:sz w:val="24"/>
      <w:szCs w:val="24"/>
    </w:rPr>
  </w:style>
  <w:style w:type="paragraph" w:styleId="854" w:customStyle="1">
    <w:name w:val="table_1stline"/>
    <w:basedOn w:val="668"/>
    <w:uiPriority w:val="0"/>
    <w:qFormat/>
    <w:pPr>
      <w:jc w:val="left"/>
      <w:spacing w:before="120"/>
      <w:widowControl/>
    </w:pPr>
    <w:rPr>
      <w:bCs/>
      <w:sz w:val="20"/>
      <w:szCs w:val="20"/>
      <w:lang w:val="de-DE" w:eastAsia="de-DE"/>
    </w:rPr>
  </w:style>
  <w:style w:type="paragraph" w:styleId="855"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856" w:customStyle="1">
    <w:name w:val="修订1"/>
    <w:uiPriority w:val="99"/>
    <w:semiHidden/>
    <w:qFormat/>
    <w:rPr>
      <w:rFonts w:ascii="Times New Roman" w:hAnsi="Times New Roman" w:eastAsia="宋体" w:cs="Calibri"/>
      <w:sz w:val="21"/>
      <w:szCs w:val="21"/>
      <w:lang w:val="en-US" w:eastAsia="zh-CN" w:bidi="ar-SA"/>
    </w:rPr>
  </w:style>
  <w:style w:type="paragraph" w:styleId="857" w:customStyle="1">
    <w:name w:val="题注1"/>
    <w:basedOn w:val="668"/>
    <w:next w:val="668"/>
    <w:uiPriority w:val="35"/>
    <w:unhideWhenUsed/>
    <w:qFormat/>
    <w:pPr>
      <w:spacing w:line="276" w:lineRule="auto"/>
    </w:pPr>
    <w:rPr>
      <w:rFonts w:ascii="等线" w:hAnsi="等线"/>
      <w:b/>
      <w:bCs/>
      <w:color w:val="4472c4"/>
      <w:sz w:val="18"/>
      <w:szCs w:val="18"/>
    </w:rPr>
  </w:style>
  <w:style w:type="paragraph" w:styleId="858" w:customStyle="1">
    <w:name w:val="列表段落1"/>
    <w:basedOn w:val="668"/>
    <w:uiPriority w:val="34"/>
    <w:qFormat/>
    <w:pPr>
      <w:ind w:firstLine="420"/>
    </w:pPr>
    <w:rPr>
      <w:rFonts w:ascii="等线" w:hAnsi="等线"/>
      <w:szCs w:val="22"/>
    </w:rPr>
  </w:style>
  <w:style w:type="table" w:styleId="859" w:customStyle="1">
    <w:name w:val="Bordered - Accent 3"/>
    <w:basedOn w:val="679"/>
    <w:uiPriority w:val="99"/>
    <w:qFormat/>
    <w:tblPr/>
  </w:style>
  <w:style w:type="table" w:styleId="860" w:customStyle="1">
    <w:name w:val="清单表 5 深色1_0"/>
    <w:basedOn w:val="679"/>
    <w:uiPriority w:val="99"/>
    <w:qFormat/>
    <w:tblPr/>
  </w:style>
  <w:style w:type="table" w:styleId="861" w:customStyle="1">
    <w:name w:val="清单表 1 浅色1_0"/>
    <w:basedOn w:val="679"/>
    <w:uiPriority w:val="99"/>
    <w:qFormat/>
    <w:tblPr/>
  </w:style>
  <w:style w:type="table" w:styleId="862" w:customStyle="1">
    <w:name w:val="Grid Table 2 - Accent 6"/>
    <w:basedOn w:val="679"/>
    <w:uiPriority w:val="99"/>
    <w:qFormat/>
    <w:tblPr/>
  </w:style>
  <w:style w:type="table" w:styleId="863" w:customStyle="1">
    <w:name w:val="网格型1"/>
    <w:basedOn w:val="679"/>
    <w:uiPriority w:val="0"/>
    <w:qFormat/>
    <w:tblPr/>
  </w:style>
  <w:style w:type="table" w:styleId="864" w:customStyle="1">
    <w:name w:val="Bordered &amp; Lined - Accent 1"/>
    <w:basedOn w:val="679"/>
    <w:uiPriority w:val="99"/>
    <w:qFormat/>
    <w:rPr>
      <w:color w:val="404040"/>
    </w:rPr>
    <w:tblPr/>
  </w:style>
  <w:style w:type="table" w:styleId="865" w:customStyle="1">
    <w:name w:val="List Table 4 - Accent 2"/>
    <w:basedOn w:val="679"/>
    <w:uiPriority w:val="99"/>
    <w:qFormat/>
    <w:tblPr/>
  </w:style>
  <w:style w:type="table" w:styleId="866" w:customStyle="1">
    <w:name w:val="网格表 7 彩色1_0"/>
    <w:basedOn w:val="679"/>
    <w:uiPriority w:val="99"/>
    <w:qFormat/>
    <w:tblPr/>
  </w:style>
  <w:style w:type="table" w:styleId="867" w:customStyle="1">
    <w:name w:val="Grid Table 4 - Accent 3"/>
    <w:basedOn w:val="679"/>
    <w:uiPriority w:val="59"/>
    <w:qFormat/>
    <w:tblPr/>
  </w:style>
  <w:style w:type="table" w:styleId="868" w:customStyle="1">
    <w:name w:val="Table Grid Light"/>
    <w:basedOn w:val="679"/>
    <w:uiPriority w:val="59"/>
    <w:qFormat/>
    <w:tblPr/>
  </w:style>
  <w:style w:type="table" w:styleId="869" w:customStyle="1">
    <w:name w:val="Lined - Accent"/>
    <w:basedOn w:val="679"/>
    <w:uiPriority w:val="99"/>
    <w:qFormat/>
    <w:rPr>
      <w:color w:val="404040"/>
    </w:rPr>
    <w:tblPr/>
  </w:style>
  <w:style w:type="table" w:styleId="870" w:customStyle="1">
    <w:name w:val="Grid Table 7 Colorful - Accent 5"/>
    <w:basedOn w:val="679"/>
    <w:uiPriority w:val="99"/>
    <w:qFormat/>
    <w:tblPr/>
  </w:style>
  <w:style w:type="table" w:styleId="871" w:customStyle="1">
    <w:name w:val="Grid Table 5 Dark - Accent 3"/>
    <w:basedOn w:val="679"/>
    <w:uiPriority w:val="99"/>
    <w:qFormat/>
    <w:tblPr/>
  </w:style>
  <w:style w:type="table" w:styleId="872" w:customStyle="1">
    <w:name w:val="无格式表格 11_0"/>
    <w:basedOn w:val="679"/>
    <w:uiPriority w:val="59"/>
    <w:qFormat/>
    <w:tblPr/>
  </w:style>
  <w:style w:type="table" w:styleId="873" w:customStyle="1">
    <w:name w:val="Bordered - Accent 4"/>
    <w:basedOn w:val="679"/>
    <w:uiPriority w:val="99"/>
    <w:qFormat/>
    <w:tblPr/>
  </w:style>
  <w:style w:type="table" w:styleId="874" w:customStyle="1">
    <w:name w:val="List Table 5 Dark - Accent 2"/>
    <w:basedOn w:val="679"/>
    <w:uiPriority w:val="99"/>
    <w:qFormat/>
    <w:tblPr/>
  </w:style>
  <w:style w:type="table" w:styleId="875" w:customStyle="1">
    <w:name w:val="Grid Table 7 Colorful - Accent 1"/>
    <w:basedOn w:val="679"/>
    <w:uiPriority w:val="99"/>
    <w:qFormat/>
    <w:tblPr/>
  </w:style>
  <w:style w:type="table" w:styleId="876" w:customStyle="1">
    <w:name w:val="Grid Table 2 - Accent 3"/>
    <w:basedOn w:val="679"/>
    <w:uiPriority w:val="99"/>
    <w:qFormat/>
    <w:tblPr/>
  </w:style>
  <w:style w:type="table" w:styleId="877" w:customStyle="1">
    <w:name w:val="无格式表格 21_0"/>
    <w:basedOn w:val="679"/>
    <w:uiPriority w:val="59"/>
    <w:qFormat/>
    <w:tblPr/>
  </w:style>
  <w:style w:type="table" w:styleId="878" w:customStyle="1">
    <w:name w:val="List Table 5 Dark - Accent 5"/>
    <w:basedOn w:val="679"/>
    <w:uiPriority w:val="99"/>
    <w:qFormat/>
    <w:tblPr/>
  </w:style>
  <w:style w:type="table" w:styleId="879" w:customStyle="1">
    <w:name w:val="List Table 1 Light - Accent 1"/>
    <w:basedOn w:val="679"/>
    <w:uiPriority w:val="99"/>
    <w:qFormat/>
    <w:tblPr/>
  </w:style>
  <w:style w:type="table" w:styleId="880" w:customStyle="1">
    <w:name w:val="Grid Table 5 Dark - Accent 2"/>
    <w:basedOn w:val="679"/>
    <w:uiPriority w:val="99"/>
    <w:qFormat/>
    <w:tblPr/>
  </w:style>
  <w:style w:type="table" w:styleId="881" w:customStyle="1">
    <w:name w:val="无格式表格 31_0"/>
    <w:basedOn w:val="679"/>
    <w:uiPriority w:val="99"/>
    <w:qFormat/>
    <w:tblPr/>
  </w:style>
  <w:style w:type="table" w:styleId="882" w:customStyle="1">
    <w:name w:val="清单表 41_0"/>
    <w:basedOn w:val="679"/>
    <w:uiPriority w:val="99"/>
    <w:qFormat/>
    <w:tblPr/>
  </w:style>
  <w:style w:type="table" w:styleId="883" w:customStyle="1">
    <w:name w:val="List Table 2 - Accent 2"/>
    <w:basedOn w:val="679"/>
    <w:uiPriority w:val="99"/>
    <w:qFormat/>
    <w:tblPr/>
  </w:style>
  <w:style w:type="table" w:styleId="884" w:customStyle="1">
    <w:name w:val="网格表 5 深色1_0"/>
    <w:basedOn w:val="679"/>
    <w:uiPriority w:val="99"/>
    <w:qFormat/>
    <w:tblPr/>
  </w:style>
  <w:style w:type="table" w:styleId="885" w:customStyle="1">
    <w:name w:val="无格式表格 41_0"/>
    <w:basedOn w:val="679"/>
    <w:uiPriority w:val="99"/>
    <w:qFormat/>
    <w:tblPr/>
  </w:style>
  <w:style w:type="table" w:styleId="886" w:customStyle="1">
    <w:name w:val="Bordered - Accent 6"/>
    <w:basedOn w:val="679"/>
    <w:uiPriority w:val="99"/>
    <w:qFormat/>
    <w:tblPr/>
  </w:style>
  <w:style w:type="table" w:styleId="887" w:customStyle="1">
    <w:name w:val="List Table 7 Colorful - Accent 3"/>
    <w:basedOn w:val="679"/>
    <w:uiPriority w:val="99"/>
    <w:qFormat/>
    <w:tblPr/>
  </w:style>
  <w:style w:type="table" w:styleId="888" w:customStyle="1">
    <w:name w:val="List Table 1 Light - Accent 2"/>
    <w:basedOn w:val="679"/>
    <w:uiPriority w:val="99"/>
    <w:qFormat/>
    <w:tblPr/>
  </w:style>
  <w:style w:type="table" w:styleId="889" w:customStyle="1">
    <w:name w:val="Grid Table 5 Dark - Accent 5"/>
    <w:basedOn w:val="679"/>
    <w:uiPriority w:val="99"/>
    <w:qFormat/>
    <w:tblPr/>
  </w:style>
  <w:style w:type="table" w:styleId="890" w:customStyle="1">
    <w:name w:val="无格式表格 51_0"/>
    <w:basedOn w:val="679"/>
    <w:uiPriority w:val="99"/>
    <w:qFormat/>
    <w:tblPr/>
  </w:style>
  <w:style w:type="table" w:styleId="891" w:customStyle="1">
    <w:name w:val="List Table 7 Colorful - Accent 4"/>
    <w:basedOn w:val="679"/>
    <w:uiPriority w:val="99"/>
    <w:qFormat/>
    <w:tblPr/>
  </w:style>
  <w:style w:type="table" w:styleId="892" w:customStyle="1">
    <w:name w:val="List Table 2 - Accent 1"/>
    <w:basedOn w:val="679"/>
    <w:uiPriority w:val="99"/>
    <w:qFormat/>
    <w:tblPr/>
  </w:style>
  <w:style w:type="table" w:styleId="893" w:customStyle="1">
    <w:name w:val="Grid Table 5 Dark- Accent 1"/>
    <w:basedOn w:val="679"/>
    <w:uiPriority w:val="99"/>
    <w:qFormat/>
    <w:tblPr/>
  </w:style>
  <w:style w:type="table" w:styleId="894" w:customStyle="1">
    <w:name w:val="网格表 1 浅色1_0"/>
    <w:basedOn w:val="679"/>
    <w:uiPriority w:val="99"/>
    <w:qFormat/>
    <w:tblPr/>
  </w:style>
  <w:style w:type="table" w:styleId="895" w:customStyle="1">
    <w:name w:val="Bordered - Accent 1"/>
    <w:basedOn w:val="679"/>
    <w:uiPriority w:val="99"/>
    <w:qFormat/>
    <w:tblPr/>
  </w:style>
  <w:style w:type="table" w:styleId="896" w:customStyle="1">
    <w:name w:val="List Table 6 Colorful - Accent 1"/>
    <w:basedOn w:val="679"/>
    <w:uiPriority w:val="99"/>
    <w:qFormat/>
    <w:tblPr/>
  </w:style>
  <w:style w:type="table" w:styleId="897" w:customStyle="1">
    <w:name w:val="List Table 1 Light - Accent 6"/>
    <w:basedOn w:val="679"/>
    <w:uiPriority w:val="99"/>
    <w:qFormat/>
    <w:tblPr/>
  </w:style>
  <w:style w:type="table" w:styleId="898" w:customStyle="1">
    <w:name w:val="Grid Table 2 - Accent 1"/>
    <w:basedOn w:val="679"/>
    <w:uiPriority w:val="99"/>
    <w:qFormat/>
    <w:tblPr/>
  </w:style>
  <w:style w:type="table" w:styleId="899" w:customStyle="1">
    <w:name w:val="Grid Table 1 Light - Accent 1"/>
    <w:basedOn w:val="679"/>
    <w:uiPriority w:val="99"/>
    <w:qFormat/>
    <w:tblPr/>
  </w:style>
  <w:style w:type="table" w:styleId="900" w:customStyle="1">
    <w:name w:val="List Table 7 Colorful - Accent 1"/>
    <w:basedOn w:val="679"/>
    <w:uiPriority w:val="99"/>
    <w:qFormat/>
    <w:tblPr/>
  </w:style>
  <w:style w:type="table" w:styleId="901" w:customStyle="1">
    <w:name w:val="List Table 2 - Accent 5"/>
    <w:basedOn w:val="679"/>
    <w:uiPriority w:val="99"/>
    <w:qFormat/>
    <w:tblPr/>
  </w:style>
  <w:style w:type="table" w:styleId="902" w:customStyle="1">
    <w:name w:val="Grid Table 5 Dark- Accent 4"/>
    <w:basedOn w:val="679"/>
    <w:uiPriority w:val="99"/>
    <w:qFormat/>
    <w:tblPr/>
  </w:style>
  <w:style w:type="table" w:styleId="903" w:customStyle="1">
    <w:name w:val="Grid Table 1 Light - Accent 2"/>
    <w:basedOn w:val="679"/>
    <w:uiPriority w:val="99"/>
    <w:qFormat/>
    <w:tblPr/>
  </w:style>
  <w:style w:type="table" w:styleId="904" w:customStyle="1">
    <w:name w:val="Bordered - Accent 5"/>
    <w:basedOn w:val="679"/>
    <w:uiPriority w:val="99"/>
    <w:qFormat/>
    <w:tblPr/>
  </w:style>
  <w:style w:type="table" w:styleId="905" w:customStyle="1">
    <w:name w:val="List Table 7 Colorful - Accent 2"/>
    <w:basedOn w:val="679"/>
    <w:uiPriority w:val="99"/>
    <w:qFormat/>
    <w:tblPr/>
  </w:style>
  <w:style w:type="table" w:styleId="906" w:customStyle="1">
    <w:name w:val="List Table 3 - Accent 1"/>
    <w:basedOn w:val="679"/>
    <w:uiPriority w:val="99"/>
    <w:qFormat/>
    <w:tblPr/>
  </w:style>
  <w:style w:type="table" w:styleId="907" w:customStyle="1">
    <w:name w:val="Grid Table 1 Light - Accent 6"/>
    <w:basedOn w:val="679"/>
    <w:uiPriority w:val="99"/>
    <w:qFormat/>
    <w:tblPr/>
  </w:style>
  <w:style w:type="table" w:styleId="908" w:customStyle="1">
    <w:name w:val="Grid Table 1 Light - Accent 3"/>
    <w:basedOn w:val="679"/>
    <w:uiPriority w:val="99"/>
    <w:qFormat/>
    <w:tblPr/>
  </w:style>
  <w:style w:type="table" w:styleId="909" w:customStyle="1">
    <w:name w:val="Bordered &amp; Lined - Accent 2"/>
    <w:basedOn w:val="679"/>
    <w:uiPriority w:val="99"/>
    <w:qFormat/>
    <w:rPr>
      <w:color w:val="404040"/>
    </w:rPr>
    <w:tblPr/>
  </w:style>
  <w:style w:type="table" w:styleId="910" w:customStyle="1">
    <w:name w:val="List Table 6 Colorful - Accent 6"/>
    <w:basedOn w:val="679"/>
    <w:uiPriority w:val="99"/>
    <w:qFormat/>
    <w:tblPr/>
  </w:style>
  <w:style w:type="table" w:styleId="911" w:customStyle="1">
    <w:name w:val="List Table 3 - Accent 4"/>
    <w:basedOn w:val="679"/>
    <w:uiPriority w:val="99"/>
    <w:qFormat/>
    <w:tblPr/>
  </w:style>
  <w:style w:type="table" w:styleId="912" w:customStyle="1">
    <w:name w:val="Grid Table 1 Light - Accent 4"/>
    <w:basedOn w:val="679"/>
    <w:uiPriority w:val="99"/>
    <w:qFormat/>
    <w:tblPr/>
  </w:style>
  <w:style w:type="table" w:styleId="913" w:customStyle="1">
    <w:name w:val="Lined - Accent 2"/>
    <w:basedOn w:val="679"/>
    <w:uiPriority w:val="99"/>
    <w:qFormat/>
    <w:rPr>
      <w:color w:val="404040"/>
    </w:rPr>
    <w:tblPr/>
  </w:style>
  <w:style w:type="table" w:styleId="914" w:customStyle="1">
    <w:name w:val="List Table 5 Dark - Accent 1"/>
    <w:basedOn w:val="679"/>
    <w:uiPriority w:val="99"/>
    <w:qFormat/>
    <w:tblPr/>
  </w:style>
  <w:style w:type="table" w:styleId="915" w:customStyle="1">
    <w:name w:val="Grid Table 7 Colorful - Accent 3"/>
    <w:basedOn w:val="679"/>
    <w:uiPriority w:val="99"/>
    <w:qFormat/>
    <w:tblPr/>
  </w:style>
  <w:style w:type="table" w:styleId="916" w:customStyle="1">
    <w:name w:val="Grid Table 1 Light - Accent 5"/>
    <w:basedOn w:val="679"/>
    <w:uiPriority w:val="99"/>
    <w:qFormat/>
    <w:tblPr/>
  </w:style>
  <w:style w:type="table" w:styleId="917" w:customStyle="1">
    <w:name w:val="Lined - Accent 5"/>
    <w:basedOn w:val="679"/>
    <w:uiPriority w:val="99"/>
    <w:qFormat/>
    <w:rPr>
      <w:color w:val="404040"/>
    </w:rPr>
    <w:tblPr/>
  </w:style>
  <w:style w:type="table" w:styleId="918" w:customStyle="1">
    <w:name w:val="List Table 4 - Accent 3"/>
    <w:basedOn w:val="679"/>
    <w:uiPriority w:val="99"/>
    <w:qFormat/>
    <w:tblPr/>
  </w:style>
  <w:style w:type="table" w:styleId="919" w:customStyle="1">
    <w:name w:val="Grid Table 7 Colorful - Accent 4"/>
    <w:basedOn w:val="679"/>
    <w:uiPriority w:val="99"/>
    <w:qFormat/>
    <w:tblPr/>
  </w:style>
  <w:style w:type="table" w:styleId="920" w:customStyle="1">
    <w:name w:val="网格表 21_0"/>
    <w:basedOn w:val="679"/>
    <w:uiPriority w:val="99"/>
    <w:qFormat/>
    <w:tblPr/>
  </w:style>
  <w:style w:type="table" w:styleId="921" w:customStyle="1">
    <w:name w:val="清单表 7 彩色1_0"/>
    <w:basedOn w:val="679"/>
    <w:uiPriority w:val="99"/>
    <w:qFormat/>
    <w:tblPr/>
  </w:style>
  <w:style w:type="table" w:styleId="922" w:customStyle="1">
    <w:name w:val="Grid Table 6 Colorful - Accent 3"/>
    <w:basedOn w:val="679"/>
    <w:uiPriority w:val="99"/>
    <w:qFormat/>
    <w:tblPr/>
  </w:style>
  <w:style w:type="table" w:styleId="923" w:customStyle="1">
    <w:name w:val="Grid Table 2 - Accent 2"/>
    <w:basedOn w:val="679"/>
    <w:uiPriority w:val="99"/>
    <w:qFormat/>
    <w:tblPr/>
  </w:style>
  <w:style w:type="table" w:styleId="924" w:customStyle="1">
    <w:name w:val="List Table 4 - Accent 1"/>
    <w:basedOn w:val="679"/>
    <w:uiPriority w:val="99"/>
    <w:qFormat/>
    <w:tblPr/>
  </w:style>
  <w:style w:type="table" w:styleId="925" w:customStyle="1">
    <w:name w:val="Grid Table 6 Colorful - Accent 6"/>
    <w:basedOn w:val="679"/>
    <w:uiPriority w:val="99"/>
    <w:qFormat/>
    <w:tblPr/>
  </w:style>
  <w:style w:type="table" w:styleId="926" w:customStyle="1">
    <w:name w:val="Grid Table 2 - Accent 4"/>
    <w:basedOn w:val="679"/>
    <w:uiPriority w:val="99"/>
    <w:qFormat/>
    <w:tblPr/>
  </w:style>
  <w:style w:type="table" w:styleId="927" w:customStyle="1">
    <w:name w:val="Bordered &amp; Lined - Accent 5"/>
    <w:basedOn w:val="679"/>
    <w:uiPriority w:val="99"/>
    <w:qFormat/>
    <w:rPr>
      <w:color w:val="404040"/>
    </w:rPr>
    <w:tblPr/>
  </w:style>
  <w:style w:type="table" w:styleId="928" w:customStyle="1">
    <w:name w:val="List Table 7 Colorful - Accent 6"/>
    <w:basedOn w:val="679"/>
    <w:uiPriority w:val="99"/>
    <w:qFormat/>
    <w:tblPr/>
  </w:style>
  <w:style w:type="table" w:styleId="929" w:customStyle="1">
    <w:name w:val="Grid Table 6 Colorful - Accent 5"/>
    <w:basedOn w:val="679"/>
    <w:uiPriority w:val="99"/>
    <w:qFormat/>
    <w:tblPr/>
  </w:style>
  <w:style w:type="table" w:styleId="930" w:customStyle="1">
    <w:name w:val="Grid Table 2 - Accent 5"/>
    <w:basedOn w:val="679"/>
    <w:uiPriority w:val="99"/>
    <w:qFormat/>
    <w:tblPr/>
  </w:style>
  <w:style w:type="table" w:styleId="931" w:customStyle="1">
    <w:name w:val="Lined - Accent 4"/>
    <w:basedOn w:val="679"/>
    <w:uiPriority w:val="99"/>
    <w:qFormat/>
    <w:rPr>
      <w:color w:val="404040"/>
    </w:rPr>
    <w:tblPr/>
  </w:style>
  <w:style w:type="table" w:styleId="932" w:customStyle="1">
    <w:name w:val="List Table 4 - Accent 5"/>
    <w:basedOn w:val="679"/>
    <w:uiPriority w:val="99"/>
    <w:qFormat/>
    <w:tblPr/>
  </w:style>
  <w:style w:type="table" w:styleId="933" w:customStyle="1">
    <w:name w:val="Grid Table 6 Colorful - Accent 1"/>
    <w:basedOn w:val="679"/>
    <w:uiPriority w:val="99"/>
    <w:qFormat/>
    <w:tblPr/>
  </w:style>
  <w:style w:type="table" w:styleId="934" w:customStyle="1">
    <w:name w:val="网格表 31_0"/>
    <w:basedOn w:val="679"/>
    <w:uiPriority w:val="99"/>
    <w:qFormat/>
    <w:tblPr/>
  </w:style>
  <w:style w:type="table" w:styleId="935" w:customStyle="1">
    <w:name w:val="List Table 5 Dark - Accent 6"/>
    <w:basedOn w:val="679"/>
    <w:uiPriority w:val="99"/>
    <w:qFormat/>
    <w:tblPr/>
  </w:style>
  <w:style w:type="table" w:styleId="936" w:customStyle="1">
    <w:name w:val="List Table 2 - Accent 6"/>
    <w:basedOn w:val="679"/>
    <w:uiPriority w:val="99"/>
    <w:qFormat/>
    <w:tblPr/>
  </w:style>
  <w:style w:type="table" w:styleId="937" w:customStyle="1">
    <w:name w:val="Grid Table 3 - Accent 1"/>
    <w:basedOn w:val="679"/>
    <w:uiPriority w:val="99"/>
    <w:qFormat/>
    <w:tblPr/>
  </w:style>
  <w:style w:type="table" w:styleId="938" w:customStyle="1">
    <w:name w:val="List Table 3 - Accent 6"/>
    <w:basedOn w:val="679"/>
    <w:uiPriority w:val="99"/>
    <w:qFormat/>
    <w:tblPr/>
  </w:style>
  <w:style w:type="table" w:styleId="939" w:customStyle="1">
    <w:name w:val="清单表 21_0"/>
    <w:basedOn w:val="679"/>
    <w:uiPriority w:val="99"/>
    <w:qFormat/>
    <w:tblPr/>
  </w:style>
  <w:style w:type="table" w:styleId="940" w:customStyle="1">
    <w:name w:val="Grid Table 3 - Accent 2"/>
    <w:basedOn w:val="679"/>
    <w:uiPriority w:val="99"/>
    <w:qFormat/>
    <w:tblPr/>
  </w:style>
  <w:style w:type="table" w:styleId="941" w:customStyle="1">
    <w:name w:val="Bordered &amp; Lined - Accent 6"/>
    <w:basedOn w:val="679"/>
    <w:uiPriority w:val="99"/>
    <w:qFormat/>
    <w:rPr>
      <w:color w:val="404040"/>
    </w:rPr>
    <w:tblPr/>
  </w:style>
  <w:style w:type="table" w:styleId="942" w:customStyle="1">
    <w:name w:val="List Table 5 Dark - Accent 3"/>
    <w:basedOn w:val="679"/>
    <w:uiPriority w:val="99"/>
    <w:qFormat/>
    <w:tblPr/>
  </w:style>
  <w:style w:type="table" w:styleId="943" w:customStyle="1">
    <w:name w:val="List Table 1 Light - Accent 5"/>
    <w:basedOn w:val="679"/>
    <w:uiPriority w:val="99"/>
    <w:qFormat/>
    <w:tblPr/>
  </w:style>
  <w:style w:type="table" w:styleId="944" w:customStyle="1">
    <w:name w:val="Grid Table 3 - Accent 3"/>
    <w:basedOn w:val="679"/>
    <w:uiPriority w:val="99"/>
    <w:qFormat/>
    <w:tblPr/>
  </w:style>
  <w:style w:type="table" w:styleId="945" w:customStyle="1">
    <w:name w:val="Bordered &amp; Lined - Accent"/>
    <w:basedOn w:val="679"/>
    <w:uiPriority w:val="99"/>
    <w:qFormat/>
    <w:rPr>
      <w:color w:val="404040"/>
    </w:rPr>
    <w:tblPr/>
  </w:style>
  <w:style w:type="table" w:styleId="946" w:customStyle="1">
    <w:name w:val="List Table 4 - Accent 6"/>
    <w:basedOn w:val="679"/>
    <w:uiPriority w:val="99"/>
    <w:qFormat/>
    <w:tblPr/>
  </w:style>
  <w:style w:type="table" w:styleId="947" w:customStyle="1">
    <w:name w:val="List Table 3 - Accent 2"/>
    <w:basedOn w:val="679"/>
    <w:uiPriority w:val="99"/>
    <w:qFormat/>
    <w:tblPr/>
  </w:style>
  <w:style w:type="table" w:styleId="948" w:customStyle="1">
    <w:name w:val="Grid Table 3 - Accent 4"/>
    <w:basedOn w:val="679"/>
    <w:uiPriority w:val="99"/>
    <w:qFormat/>
    <w:tblPr/>
  </w:style>
  <w:style w:type="table" w:styleId="949" w:customStyle="1">
    <w:name w:val="Bordered - Accent 2"/>
    <w:basedOn w:val="679"/>
    <w:uiPriority w:val="99"/>
    <w:qFormat/>
    <w:tblPr/>
  </w:style>
  <w:style w:type="table" w:styleId="950" w:customStyle="1">
    <w:name w:val="Lined - Accent 1"/>
    <w:basedOn w:val="679"/>
    <w:uiPriority w:val="99"/>
    <w:qFormat/>
    <w:rPr>
      <w:color w:val="404040"/>
    </w:rPr>
    <w:tblPr/>
  </w:style>
  <w:style w:type="table" w:styleId="951" w:customStyle="1">
    <w:name w:val="List Table 2 - Accent 4"/>
    <w:basedOn w:val="679"/>
    <w:uiPriority w:val="99"/>
    <w:qFormat/>
    <w:tblPr/>
  </w:style>
  <w:style w:type="table" w:styleId="952" w:customStyle="1">
    <w:name w:val="Grid Table 3 - Accent 5"/>
    <w:basedOn w:val="679"/>
    <w:uiPriority w:val="99"/>
    <w:qFormat/>
    <w:tblPr/>
  </w:style>
  <w:style w:type="table" w:styleId="953" w:customStyle="1">
    <w:name w:val="List Table 6 Colorful - Accent 3"/>
    <w:basedOn w:val="679"/>
    <w:uiPriority w:val="99"/>
    <w:qFormat/>
    <w:tblPr/>
  </w:style>
  <w:style w:type="table" w:styleId="954" w:customStyle="1">
    <w:name w:val="Grid Table 6 Colorful - Accent 4"/>
    <w:basedOn w:val="679"/>
    <w:uiPriority w:val="99"/>
    <w:qFormat/>
    <w:tblPr/>
  </w:style>
  <w:style w:type="table" w:styleId="955" w:customStyle="1">
    <w:name w:val="Grid Table 3 - Accent 6"/>
    <w:basedOn w:val="679"/>
    <w:uiPriority w:val="99"/>
    <w:qFormat/>
    <w:tblPr/>
  </w:style>
  <w:style w:type="table" w:styleId="956" w:customStyle="1">
    <w:name w:val="Bordered &amp; Lined - Accent 4"/>
    <w:basedOn w:val="679"/>
    <w:uiPriority w:val="99"/>
    <w:qFormat/>
    <w:rPr>
      <w:color w:val="404040"/>
    </w:rPr>
    <w:tblPr/>
  </w:style>
  <w:style w:type="table" w:styleId="957" w:customStyle="1">
    <w:name w:val="List Table 3 - Accent 5"/>
    <w:basedOn w:val="679"/>
    <w:uiPriority w:val="99"/>
    <w:qFormat/>
    <w:tblPr/>
  </w:style>
  <w:style w:type="table" w:styleId="958" w:customStyle="1">
    <w:name w:val="List Table 1 Light - Accent 4"/>
    <w:basedOn w:val="679"/>
    <w:uiPriority w:val="99"/>
    <w:qFormat/>
    <w:tblPr/>
  </w:style>
  <w:style w:type="table" w:styleId="959" w:customStyle="1">
    <w:name w:val="网格表 41_0"/>
    <w:basedOn w:val="679"/>
    <w:uiPriority w:val="59"/>
    <w:qFormat/>
    <w:tblPr/>
  </w:style>
  <w:style w:type="table" w:styleId="960" w:customStyle="1">
    <w:name w:val="Lined - Accent 6"/>
    <w:basedOn w:val="679"/>
    <w:uiPriority w:val="99"/>
    <w:qFormat/>
    <w:rPr>
      <w:color w:val="404040"/>
    </w:rPr>
    <w:tblPr/>
  </w:style>
  <w:style w:type="table" w:styleId="961" w:customStyle="1">
    <w:name w:val="List Table 6 Colorful - Accent 2"/>
    <w:basedOn w:val="679"/>
    <w:uiPriority w:val="99"/>
    <w:qFormat/>
    <w:tblPr/>
  </w:style>
  <w:style w:type="table" w:styleId="962" w:customStyle="1">
    <w:name w:val="Grid Table 7 Colorful - Accent 6"/>
    <w:basedOn w:val="679"/>
    <w:uiPriority w:val="99"/>
    <w:qFormat/>
    <w:tblPr/>
  </w:style>
  <w:style w:type="table" w:styleId="963" w:customStyle="1">
    <w:name w:val="Grid Table 4 - Accent 1"/>
    <w:basedOn w:val="679"/>
    <w:uiPriority w:val="59"/>
    <w:qFormat/>
    <w:tblPr/>
  </w:style>
  <w:style w:type="table" w:styleId="964" w:customStyle="1">
    <w:name w:val="Lined - Accent 3"/>
    <w:basedOn w:val="679"/>
    <w:uiPriority w:val="99"/>
    <w:qFormat/>
    <w:rPr>
      <w:color w:val="404040"/>
    </w:rPr>
    <w:tblPr/>
  </w:style>
  <w:style w:type="table" w:styleId="965" w:customStyle="1">
    <w:name w:val="List Table 4 - Accent 4"/>
    <w:basedOn w:val="679"/>
    <w:uiPriority w:val="99"/>
    <w:qFormat/>
    <w:tblPr/>
  </w:style>
  <w:style w:type="table" w:styleId="966" w:customStyle="1">
    <w:name w:val="清单表 31_0"/>
    <w:basedOn w:val="679"/>
    <w:uiPriority w:val="99"/>
    <w:qFormat/>
    <w:tblPr/>
  </w:style>
  <w:style w:type="table" w:styleId="967" w:customStyle="1">
    <w:name w:val="Grid Table 4 - Accent 2"/>
    <w:basedOn w:val="679"/>
    <w:uiPriority w:val="59"/>
    <w:qFormat/>
    <w:tblPr/>
  </w:style>
  <w:style w:type="table" w:styleId="968" w:customStyle="1">
    <w:name w:val="Bordered"/>
    <w:basedOn w:val="679"/>
    <w:uiPriority w:val="99"/>
    <w:qFormat/>
    <w:tblPr/>
  </w:style>
  <w:style w:type="table" w:styleId="969" w:customStyle="1">
    <w:name w:val="List Table 5 Dark - Accent 4"/>
    <w:basedOn w:val="679"/>
    <w:uiPriority w:val="99"/>
    <w:qFormat/>
    <w:tblPr/>
  </w:style>
  <w:style w:type="table" w:styleId="970" w:customStyle="1">
    <w:name w:val="List Table 3 - Accent 3"/>
    <w:basedOn w:val="679"/>
    <w:uiPriority w:val="99"/>
    <w:qFormat/>
    <w:tblPr/>
  </w:style>
  <w:style w:type="table" w:styleId="971" w:customStyle="1">
    <w:name w:val="Grid Table 4 - Accent 4"/>
    <w:basedOn w:val="679"/>
    <w:uiPriority w:val="59"/>
    <w:qFormat/>
    <w:tblPr/>
  </w:style>
  <w:style w:type="table" w:styleId="972" w:customStyle="1">
    <w:name w:val="List Table 6 Colorful - Accent 4"/>
    <w:basedOn w:val="679"/>
    <w:uiPriority w:val="99"/>
    <w:qFormat/>
    <w:tblPr/>
  </w:style>
  <w:style w:type="table" w:styleId="973" w:customStyle="1">
    <w:name w:val="Grid Table 7 Colorful - Accent 2"/>
    <w:basedOn w:val="679"/>
    <w:uiPriority w:val="99"/>
    <w:qFormat/>
    <w:tblPr/>
  </w:style>
  <w:style w:type="table" w:styleId="974" w:customStyle="1">
    <w:name w:val="Grid Table 4 - Accent 5"/>
    <w:basedOn w:val="679"/>
    <w:uiPriority w:val="59"/>
    <w:qFormat/>
    <w:tblPr/>
  </w:style>
  <w:style w:type="table" w:styleId="975" w:customStyle="1">
    <w:name w:val="List Table 6 Colorful - Accent 5"/>
    <w:basedOn w:val="679"/>
    <w:uiPriority w:val="99"/>
    <w:qFormat/>
    <w:tblPr/>
  </w:style>
  <w:style w:type="table" w:styleId="976" w:customStyle="1">
    <w:name w:val="List Table 1 Light - Accent 3"/>
    <w:basedOn w:val="679"/>
    <w:uiPriority w:val="99"/>
    <w:qFormat/>
    <w:tblPr/>
  </w:style>
  <w:style w:type="table" w:styleId="977" w:customStyle="1">
    <w:name w:val="Grid Table 4 - Accent 6"/>
    <w:basedOn w:val="679"/>
    <w:uiPriority w:val="59"/>
    <w:qFormat/>
    <w:tblPr/>
  </w:style>
  <w:style w:type="table" w:styleId="978" w:customStyle="1">
    <w:name w:val="List Table 7 Colorful - Accent 5"/>
    <w:basedOn w:val="679"/>
    <w:uiPriority w:val="99"/>
    <w:qFormat/>
    <w:tblPr/>
  </w:style>
  <w:style w:type="table" w:styleId="979" w:customStyle="1">
    <w:name w:val="List Table 2 - Accent 3"/>
    <w:basedOn w:val="679"/>
    <w:uiPriority w:val="99"/>
    <w:qFormat/>
    <w:tblPr/>
  </w:style>
  <w:style w:type="table" w:styleId="980" w:customStyle="1">
    <w:name w:val="Grid Table 5 Dark - Accent 6"/>
    <w:basedOn w:val="679"/>
    <w:uiPriority w:val="99"/>
    <w:qFormat/>
    <w:tblPr/>
  </w:style>
  <w:style w:type="table" w:styleId="981" w:customStyle="1">
    <w:name w:val="Bordered &amp; Lined - Accent 3"/>
    <w:basedOn w:val="679"/>
    <w:uiPriority w:val="99"/>
    <w:qFormat/>
    <w:rPr>
      <w:color w:val="404040"/>
    </w:rPr>
    <w:tblPr/>
  </w:style>
  <w:style w:type="table" w:styleId="982" w:customStyle="1">
    <w:name w:val="清单表 6 彩色1_0"/>
    <w:basedOn w:val="679"/>
    <w:uiPriority w:val="99"/>
    <w:qFormat/>
    <w:tblPr/>
  </w:style>
  <w:style w:type="table" w:styleId="983" w:customStyle="1">
    <w:name w:val="Grid Table 6 Colorful - Accent 2"/>
    <w:basedOn w:val="679"/>
    <w:uiPriority w:val="99"/>
    <w:qFormat/>
    <w:tblPr/>
  </w:style>
  <w:style w:type="table" w:styleId="984" w:customStyle="1">
    <w:name w:val="网格表 6 彩色1_0"/>
    <w:basedOn w:val="679"/>
    <w:uiPriority w:val="99"/>
    <w:qFormat/>
    <w:tblPr/>
  </w:style>
  <w:style w:type="paragraph" w:styleId="985" w:customStyle="1">
    <w:name w:val="标题 11"/>
    <w:basedOn w:val="668"/>
    <w:link w:val="986"/>
    <w:uiPriority w:val="0"/>
    <w:qFormat/>
    <w:pPr>
      <w:ind w:firstLine="640"/>
      <w:jc w:val="center"/>
      <w:keepNext/>
      <w:spacing w:before="60" w:after="60" w:line="360" w:lineRule="auto"/>
      <w:outlineLvl w:val="0"/>
    </w:pPr>
    <w:rPr>
      <w:rFonts w:ascii="楷体_GB2312" w:eastAsia="楷体_GB2312"/>
      <w:color w:val="333333"/>
      <w:sz w:val="28"/>
      <w:szCs w:val="28"/>
    </w:rPr>
  </w:style>
  <w:style w:type="character" w:styleId="986" w:customStyle="1">
    <w:name w:val="标题 1 Char"/>
    <w:link w:val="985"/>
    <w:uiPriority w:val="0"/>
    <w:qFormat/>
    <w:rPr>
      <w:rFonts w:ascii="楷体_GB2312" w:hAnsi="Times New Roman" w:eastAsia="楷体_GB2312"/>
      <w:color w:val="333333"/>
      <w:sz w:val="28"/>
      <w:szCs w:val="28"/>
    </w:rPr>
  </w:style>
  <w:style w:type="paragraph" w:styleId="987" w:customStyle="1">
    <w:name w:val="首行缩进"/>
    <w:basedOn w:val="668"/>
    <w:uiPriority w:val="99"/>
    <w:qFormat/>
    <w:pPr>
      <w:ind w:firstLine="480"/>
      <w:spacing w:line="360" w:lineRule="auto"/>
    </w:pPr>
    <w:rPr>
      <w:rFonts w:ascii="Calibri" w:hAnsi="Calibri" w:eastAsia="微软雅黑"/>
      <w:sz w:val="24"/>
      <w:szCs w:val="22"/>
      <w:lang w:val="zh-CN"/>
    </w:rPr>
  </w:style>
  <w:style w:type="paragraph" w:styleId="988" w:customStyle="1">
    <w:name w:val="索引 411"/>
    <w:basedOn w:val="668"/>
    <w:next w:val="668"/>
    <w:uiPriority w:val="99"/>
    <w:semiHidden/>
    <w:qFormat/>
    <w:pPr>
      <w:ind w:left="1260"/>
    </w:pPr>
    <w:rPr>
      <w:szCs w:val="22"/>
    </w:rPr>
  </w:style>
  <w:style w:type="paragraph" w:styleId="989" w:customStyle="1">
    <w:name w:val="标题 31"/>
    <w:basedOn w:val="668"/>
    <w:next w:val="668"/>
    <w:link w:val="1012"/>
    <w:uiPriority w:val="0"/>
    <w:qFormat/>
    <w:pPr>
      <w:keepLines/>
      <w:keepNext/>
      <w:spacing w:before="260" w:after="260" w:line="416" w:lineRule="auto"/>
      <w:outlineLvl w:val="2"/>
    </w:pPr>
    <w:rPr>
      <w:b/>
      <w:bCs/>
      <w:sz w:val="32"/>
      <w:szCs w:val="32"/>
    </w:rPr>
  </w:style>
  <w:style w:type="paragraph" w:styleId="990" w:customStyle="1">
    <w:name w:val="标题 5（有编号）（绿盟科技）"/>
    <w:basedOn w:val="668"/>
    <w:next w:val="668"/>
    <w:uiPriority w:val="0"/>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991" w:customStyle="1">
    <w:name w:val="正文缩进1"/>
    <w:basedOn w:val="668"/>
    <w:link w:val="1011"/>
    <w:uiPriority w:val="0"/>
    <w:qFormat/>
    <w:pPr>
      <w:ind w:firstLine="420"/>
    </w:pPr>
  </w:style>
  <w:style w:type="paragraph" w:styleId="992" w:customStyle="1">
    <w:name w:val="正文文本1"/>
    <w:basedOn w:val="668"/>
    <w:link w:val="1026"/>
    <w:uiPriority w:val="0"/>
    <w:qFormat/>
    <w:rPr>
      <w:rFonts w:ascii="楷体_GB2312" w:hAnsi="Arial" w:eastAsia="楷体_GB2312"/>
      <w:sz w:val="28"/>
      <w:szCs w:val="28"/>
    </w:rPr>
  </w:style>
  <w:style w:type="paragraph" w:styleId="993" w:customStyle="1">
    <w:name w:val="4.1标准文件_字母编号列项（一级）"/>
    <w:next w:val="668"/>
    <w:uiPriority w:val="0"/>
    <w:qFormat/>
    <w:pPr>
      <w:jc w:val="both"/>
      <w:spacing w:line="360" w:lineRule="exact"/>
      <w:tabs>
        <w:tab w:val="left" w:pos="568" w:leader="none"/>
      </w:tabs>
    </w:pPr>
    <w:rPr>
      <w:rFonts w:ascii="Times New Roman" w:hAnsi="Times New Roman" w:eastAsia="宋体" w:cs="Times New Roman"/>
      <w:sz w:val="24"/>
      <w:szCs w:val="21"/>
      <w:lang w:val="en-US" w:eastAsia="zh-CN" w:bidi="ar-SA"/>
    </w:rPr>
  </w:style>
  <w:style w:type="paragraph" w:styleId="994" w:customStyle="1">
    <w:name w:val="修订2"/>
    <w:hidden/>
    <w:uiPriority w:val="99"/>
    <w:unhideWhenUsed/>
    <w:qFormat/>
    <w:rPr>
      <w:rFonts w:ascii="Times New Roman" w:hAnsi="Times New Roman" w:eastAsia="宋体" w:cs="Calibri"/>
      <w:sz w:val="21"/>
      <w:szCs w:val="21"/>
      <w:lang w:val="en-US" w:eastAsia="zh-CN" w:bidi="ar-SA"/>
    </w:rPr>
  </w:style>
  <w:style w:type="paragraph" w:styleId="995" w:customStyle="1">
    <w:name w:val="修订3"/>
    <w:hidden/>
    <w:uiPriority w:val="99"/>
    <w:unhideWhenUsed/>
    <w:qFormat/>
    <w:rPr>
      <w:rFonts w:ascii="Times New Roman" w:hAnsi="Times New Roman" w:eastAsia="宋体" w:cs="Calibri"/>
      <w:sz w:val="21"/>
      <w:szCs w:val="21"/>
      <w:lang w:val="en-US" w:eastAsia="zh-CN" w:bidi="ar-SA"/>
    </w:rPr>
  </w:style>
  <w:style w:type="paragraph" w:styleId="996" w:customStyle="1">
    <w:name w:val="纯文本1"/>
    <w:basedOn w:val="668"/>
    <w:link w:val="997"/>
    <w:uiPriority w:val="0"/>
    <w:qFormat/>
    <w:rPr>
      <w:rFonts w:ascii="宋体" w:hAnsi="Courier New" w:cs="Courier New"/>
    </w:rPr>
  </w:style>
  <w:style w:type="character" w:styleId="997" w:customStyle="1">
    <w:name w:val="纯文本 Char"/>
    <w:link w:val="996"/>
    <w:uiPriority w:val="0"/>
    <w:qFormat/>
    <w:rPr>
      <w:rFonts w:ascii="宋体" w:hAnsi="Courier New" w:cs="Courier New"/>
      <w:sz w:val="21"/>
      <w:szCs w:val="21"/>
    </w:rPr>
  </w:style>
  <w:style w:type="paragraph" w:styleId="998" w:customStyle="1">
    <w:name w:val="正文首行缩进 211"/>
    <w:basedOn w:val="999"/>
    <w:next w:val="668"/>
    <w:uiPriority w:val="0"/>
    <w:qFormat/>
    <w:pPr>
      <w:ind w:left="0" w:firstLine="420"/>
      <w:spacing w:after="0" w:line="360" w:lineRule="auto"/>
    </w:pPr>
    <w:rPr>
      <w:rFonts w:ascii="宋体" w:hAnsi="宋体"/>
      <w:szCs w:val="20"/>
    </w:rPr>
  </w:style>
  <w:style w:type="paragraph" w:styleId="999" w:customStyle="1">
    <w:name w:val="正文文本缩进11"/>
    <w:basedOn w:val="668"/>
    <w:next w:val="1000"/>
    <w:uiPriority w:val="0"/>
    <w:unhideWhenUsed/>
    <w:qFormat/>
    <w:pPr>
      <w:ind w:left="420"/>
      <w:spacing w:after="120"/>
    </w:pPr>
    <w:rPr>
      <w:rFonts w:cs="Times New Roman"/>
    </w:rPr>
  </w:style>
  <w:style w:type="paragraph" w:styleId="1000" w:customStyle="1">
    <w:name w:val="寄信人地址1"/>
    <w:basedOn w:val="668"/>
    <w:uiPriority w:val="0"/>
    <w:qFormat/>
    <w:rPr>
      <w:rFonts w:ascii="Arial" w:hAnsi="Arial" w:cs="宋体"/>
    </w:rPr>
  </w:style>
  <w:style w:type="paragraph" w:styleId="1001" w:customStyle="1">
    <w:name w:val="标题 21"/>
    <w:basedOn w:val="668"/>
    <w:next w:val="991"/>
    <w:link w:val="10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标题 41"/>
    <w:basedOn w:val="668"/>
    <w:next w:val="991"/>
    <w:link w:val="1013"/>
    <w:uiPriority w:val="0"/>
    <w:qFormat/>
    <w:pPr>
      <w:keepLines/>
      <w:keepNext/>
      <w:spacing w:before="280" w:after="290" w:line="376" w:lineRule="auto"/>
      <w:outlineLvl w:val="3"/>
    </w:pPr>
    <w:rPr>
      <w:rFonts w:ascii="Arial" w:hAnsi="Arial" w:eastAsia="黑体" w:cs="Arial"/>
      <w:b/>
      <w:bCs/>
      <w:sz w:val="28"/>
      <w:szCs w:val="28"/>
    </w:rPr>
  </w:style>
  <w:style w:type="paragraph" w:styleId="1003" w:customStyle="1">
    <w:name w:val="标题 51"/>
    <w:basedOn w:val="668"/>
    <w:next w:val="991"/>
    <w:link w:val="1014"/>
    <w:uiPriority w:val="0"/>
    <w:qFormat/>
    <w:pPr>
      <w:keepNext/>
      <w:outlineLvl w:val="4"/>
    </w:pPr>
    <w:rPr>
      <w:rFonts w:ascii="宋体" w:cs="Times New Roman"/>
      <w:color w:val="000000"/>
      <w:sz w:val="28"/>
      <w:szCs w:val="28"/>
    </w:rPr>
  </w:style>
  <w:style w:type="paragraph" w:styleId="1004" w:customStyle="1">
    <w:name w:val="标题 61"/>
    <w:basedOn w:val="668"/>
    <w:next w:val="668"/>
    <w:link w:val="1015"/>
    <w:uiPriority w:val="0"/>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05" w:customStyle="1">
    <w:name w:val="标题 71"/>
    <w:basedOn w:val="668"/>
    <w:next w:val="668"/>
    <w:link w:val="1016"/>
    <w:uiPriority w:val="0"/>
    <w:qFormat/>
    <w:pPr>
      <w:numPr>
        <w:ilvl w:val="6"/>
        <w:numId w:val="5"/>
      </w:numPr>
      <w:keepLines/>
      <w:keepNext/>
      <w:spacing w:before="240" w:after="64" w:line="320" w:lineRule="auto"/>
      <w:outlineLvl w:val="6"/>
    </w:pPr>
    <w:rPr>
      <w:rFonts w:cs="Times New Roman"/>
      <w:b/>
      <w:bCs/>
      <w:sz w:val="24"/>
      <w:szCs w:val="24"/>
    </w:rPr>
  </w:style>
  <w:style w:type="paragraph" w:styleId="1006" w:customStyle="1">
    <w:name w:val="标题 81"/>
    <w:basedOn w:val="668"/>
    <w:next w:val="668"/>
    <w:link w:val="1017"/>
    <w:uiPriority w:val="0"/>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07" w:customStyle="1">
    <w:name w:val="标题 91"/>
    <w:basedOn w:val="668"/>
    <w:next w:val="668"/>
    <w:link w:val="1018"/>
    <w:uiPriority w:val="0"/>
    <w:qFormat/>
    <w:pPr>
      <w:numPr>
        <w:ilvl w:val="8"/>
        <w:numId w:val="5"/>
      </w:numPr>
      <w:keepLines/>
      <w:keepNext/>
      <w:spacing w:before="240" w:after="64" w:line="320" w:lineRule="auto"/>
      <w:outlineLvl w:val="8"/>
    </w:pPr>
    <w:rPr>
      <w:rFonts w:ascii="Arial" w:hAnsi="Arial" w:eastAsia="黑体" w:cs="Times New Roman"/>
    </w:rPr>
  </w:style>
  <w:style w:type="character" w:styleId="1008" w:customStyle="1">
    <w:name w:val="默认段落字体1"/>
    <w:uiPriority w:val="1"/>
    <w:unhideWhenUsed/>
    <w:qFormat/>
  </w:style>
  <w:style w:type="table" w:styleId="1009" w:customStyle="1">
    <w:name w:val="普通表格1"/>
    <w:uiPriority w:val="99"/>
    <w:unhideWhenUsed/>
    <w:qFormat/>
    <w:tblPr>
      <w:tblCellMar>
        <w:left w:w="0" w:type="dxa"/>
        <w:top w:w="0" w:type="dxa"/>
        <w:right w:w="0" w:type="dxa"/>
        <w:bottom w:w="0" w:type="dxa"/>
      </w:tblCellMar>
    </w:tblPr>
  </w:style>
  <w:style w:type="character" w:styleId="1010" w:customStyle="1">
    <w:name w:val="标题 2 Char"/>
    <w:link w:val="1001"/>
    <w:uiPriority w:val="0"/>
    <w:qFormat/>
    <w:rPr>
      <w:rFonts w:ascii="Arial" w:hAnsi="Arial" w:eastAsia="幼圆" w:cs="Arial"/>
      <w:b/>
      <w:bCs/>
      <w:sz w:val="44"/>
      <w:szCs w:val="44"/>
    </w:rPr>
  </w:style>
  <w:style w:type="character" w:styleId="1011" w:customStyle="1">
    <w:name w:val="正文缩进 Char"/>
    <w:link w:val="991"/>
    <w:uiPriority w:val="0"/>
    <w:qFormat/>
    <w:rPr>
      <w:rFonts w:ascii="Times New Roman" w:hAnsi="Times New Roman"/>
      <w:sz w:val="21"/>
      <w:szCs w:val="21"/>
    </w:rPr>
  </w:style>
  <w:style w:type="character" w:styleId="1012" w:customStyle="1">
    <w:name w:val="标题 3 Char"/>
    <w:link w:val="989"/>
    <w:uiPriority w:val="0"/>
    <w:qFormat/>
    <w:rPr>
      <w:rFonts w:ascii="Times New Roman" w:hAnsi="Times New Roman"/>
      <w:b/>
      <w:bCs/>
      <w:sz w:val="32"/>
      <w:szCs w:val="32"/>
    </w:rPr>
  </w:style>
  <w:style w:type="character" w:styleId="1013" w:customStyle="1">
    <w:name w:val="标题 4 Char"/>
    <w:link w:val="1002"/>
    <w:uiPriority w:val="0"/>
    <w:qFormat/>
    <w:rPr>
      <w:rFonts w:ascii="Arial" w:hAnsi="Arial" w:eastAsia="黑体" w:cs="Arial"/>
      <w:b/>
      <w:bCs/>
      <w:sz w:val="28"/>
      <w:szCs w:val="28"/>
    </w:rPr>
  </w:style>
  <w:style w:type="character" w:styleId="1014" w:customStyle="1">
    <w:name w:val="标题 5 Char"/>
    <w:link w:val="1003"/>
    <w:uiPriority w:val="0"/>
    <w:qFormat/>
    <w:rPr>
      <w:rFonts w:ascii="宋体" w:hAnsi="Times New Roman" w:cs="Times New Roman"/>
      <w:color w:val="000000"/>
      <w:sz w:val="28"/>
      <w:szCs w:val="28"/>
    </w:rPr>
  </w:style>
  <w:style w:type="character" w:styleId="1015" w:customStyle="1">
    <w:name w:val="标题 6 Char"/>
    <w:link w:val="1004"/>
    <w:uiPriority w:val="0"/>
    <w:qFormat/>
    <w:rPr>
      <w:rFonts w:ascii="Arial" w:hAnsi="Arial" w:eastAsia="黑体" w:cs="Times New Roman"/>
      <w:b/>
      <w:bCs/>
      <w:sz w:val="24"/>
      <w:szCs w:val="24"/>
    </w:rPr>
  </w:style>
  <w:style w:type="character" w:styleId="1016" w:customStyle="1">
    <w:name w:val="标题 7 Char"/>
    <w:link w:val="1005"/>
    <w:uiPriority w:val="0"/>
    <w:qFormat/>
    <w:rPr>
      <w:rFonts w:ascii="Times New Roman" w:hAnsi="Times New Roman" w:cs="Times New Roman"/>
      <w:b/>
      <w:bCs/>
      <w:sz w:val="24"/>
      <w:szCs w:val="24"/>
    </w:rPr>
  </w:style>
  <w:style w:type="character" w:styleId="1017" w:customStyle="1">
    <w:name w:val="标题 8 Char"/>
    <w:link w:val="1006"/>
    <w:uiPriority w:val="0"/>
    <w:qFormat/>
    <w:rPr>
      <w:rFonts w:ascii="Arial" w:hAnsi="Arial" w:eastAsia="黑体" w:cs="Times New Roman"/>
      <w:sz w:val="24"/>
      <w:szCs w:val="24"/>
    </w:rPr>
  </w:style>
  <w:style w:type="character" w:styleId="1018" w:customStyle="1">
    <w:name w:val="标题 9 Char"/>
    <w:link w:val="1007"/>
    <w:uiPriority w:val="0"/>
    <w:qFormat/>
    <w:rPr>
      <w:rFonts w:ascii="Arial" w:hAnsi="Arial" w:eastAsia="黑体" w:cs="Times New Roman"/>
      <w:sz w:val="21"/>
      <w:szCs w:val="21"/>
    </w:rPr>
  </w:style>
  <w:style w:type="paragraph" w:styleId="1019" w:customStyle="1">
    <w:name w:val="列表 31"/>
    <w:basedOn w:val="668"/>
    <w:uiPriority w:val="0"/>
    <w:qFormat/>
    <w:pPr>
      <w:ind w:left="100" w:hanging="200"/>
    </w:pPr>
    <w:rPr>
      <w:rFonts w:cs="Times New Roman"/>
    </w:rPr>
  </w:style>
  <w:style w:type="paragraph" w:styleId="1020" w:customStyle="1">
    <w:name w:val="文档结构图1"/>
    <w:basedOn w:val="668"/>
    <w:link w:val="1021"/>
    <w:uiPriority w:val="0"/>
    <w:semiHidden/>
    <w:qFormat/>
    <w:pPr>
      <w:shd w:val="clear" w:color="auto" w:fill="000080"/>
    </w:pPr>
    <w:rPr>
      <w:rFonts w:cs="Times New Roman"/>
    </w:rPr>
  </w:style>
  <w:style w:type="character" w:styleId="1021" w:customStyle="1">
    <w:name w:val="文档结构图 Char"/>
    <w:link w:val="1020"/>
    <w:uiPriority w:val="0"/>
    <w:semiHidden/>
    <w:qFormat/>
    <w:rPr>
      <w:rFonts w:ascii="Times New Roman" w:hAnsi="Times New Roman" w:cs="Times New Roman"/>
      <w:sz w:val="21"/>
      <w:szCs w:val="21"/>
      <w:shd w:val="clear" w:color="auto" w:fill="000080"/>
    </w:rPr>
  </w:style>
  <w:style w:type="paragraph" w:styleId="1022" w:customStyle="1">
    <w:name w:val="批注文字1"/>
    <w:basedOn w:val="668"/>
    <w:link w:val="1023"/>
    <w:uiPriority w:val="0"/>
    <w:semiHidden/>
    <w:qFormat/>
    <w:pPr>
      <w:jc w:val="left"/>
    </w:pPr>
    <w:rPr>
      <w:rFonts w:cs="Times New Roman"/>
    </w:rPr>
  </w:style>
  <w:style w:type="character" w:styleId="1023" w:customStyle="1">
    <w:name w:val="批注文字 Char"/>
    <w:link w:val="1022"/>
    <w:uiPriority w:val="0"/>
    <w:semiHidden/>
    <w:qFormat/>
    <w:rPr>
      <w:rFonts w:ascii="Times New Roman" w:hAnsi="Times New Roman" w:cs="Times New Roman"/>
      <w:sz w:val="21"/>
      <w:szCs w:val="21"/>
    </w:rPr>
  </w:style>
  <w:style w:type="paragraph" w:styleId="1024" w:customStyle="1">
    <w:name w:val="正文文本 31"/>
    <w:basedOn w:val="668"/>
    <w:link w:val="1025"/>
    <w:uiPriority w:val="0"/>
    <w:qFormat/>
    <w:rPr>
      <w:rFonts w:ascii="仿宋_GB2312" w:hAnsi="Arial" w:eastAsia="仿宋_GB2312" w:cs="Times New Roman"/>
      <w:sz w:val="32"/>
      <w:szCs w:val="32"/>
    </w:rPr>
  </w:style>
  <w:style w:type="character" w:styleId="1025" w:customStyle="1">
    <w:name w:val="正文文本 3 Char"/>
    <w:link w:val="1024"/>
    <w:uiPriority w:val="0"/>
    <w:qFormat/>
    <w:rPr>
      <w:rFonts w:ascii="仿宋_GB2312" w:hAnsi="Arial" w:eastAsia="仿宋_GB2312" w:cs="Times New Roman"/>
      <w:sz w:val="32"/>
      <w:szCs w:val="32"/>
    </w:rPr>
  </w:style>
  <w:style w:type="character" w:styleId="1026" w:customStyle="1">
    <w:name w:val="正文文本 Char"/>
    <w:link w:val="992"/>
    <w:uiPriority w:val="0"/>
    <w:qFormat/>
    <w:rPr>
      <w:rFonts w:ascii="楷体_GB2312" w:hAnsi="Arial" w:eastAsia="楷体_GB2312"/>
      <w:sz w:val="28"/>
      <w:szCs w:val="28"/>
    </w:rPr>
  </w:style>
  <w:style w:type="paragraph" w:styleId="1027" w:customStyle="1">
    <w:name w:val="正文文本缩进1"/>
    <w:basedOn w:val="668"/>
    <w:link w:val="1028"/>
    <w:uiPriority w:val="0"/>
    <w:qFormat/>
    <w:pPr>
      <w:ind w:firstLine="645"/>
    </w:pPr>
    <w:rPr>
      <w:rFonts w:ascii="楷体_GB2312" w:eastAsia="楷体_GB2312" w:cs="Times New Roman"/>
      <w:sz w:val="32"/>
      <w:szCs w:val="32"/>
    </w:rPr>
  </w:style>
  <w:style w:type="character" w:styleId="1028" w:customStyle="1">
    <w:name w:val="正文文本缩进 Char"/>
    <w:link w:val="1027"/>
    <w:uiPriority w:val="0"/>
    <w:qFormat/>
    <w:rPr>
      <w:rFonts w:ascii="楷体_GB2312" w:hAnsi="Times New Roman" w:eastAsia="楷体_GB2312" w:cs="Times New Roman"/>
      <w:sz w:val="32"/>
      <w:szCs w:val="32"/>
    </w:rPr>
  </w:style>
  <w:style w:type="paragraph" w:styleId="1029" w:customStyle="1">
    <w:name w:val="列表 21"/>
    <w:basedOn w:val="668"/>
    <w:uiPriority w:val="0"/>
    <w:qFormat/>
    <w:pPr>
      <w:ind w:left="100" w:hanging="200"/>
    </w:pPr>
    <w:rPr>
      <w:rFonts w:cs="Times New Roman"/>
    </w:rPr>
  </w:style>
  <w:style w:type="paragraph" w:styleId="1030" w:customStyle="1">
    <w:name w:val="日期1"/>
    <w:basedOn w:val="668"/>
    <w:next w:val="668"/>
    <w:link w:val="1031"/>
    <w:uiPriority w:val="0"/>
    <w:qFormat/>
    <w:rPr>
      <w:rFonts w:cs="Times New Roman"/>
      <w:sz w:val="24"/>
      <w:szCs w:val="24"/>
    </w:rPr>
  </w:style>
  <w:style w:type="character" w:styleId="1031" w:customStyle="1">
    <w:name w:val="日期 Char"/>
    <w:link w:val="1030"/>
    <w:uiPriority w:val="0"/>
    <w:qFormat/>
    <w:rPr>
      <w:rFonts w:ascii="Times New Roman" w:hAnsi="Times New Roman" w:cs="Times New Roman"/>
      <w:sz w:val="24"/>
      <w:szCs w:val="24"/>
    </w:rPr>
  </w:style>
  <w:style w:type="paragraph" w:styleId="1032" w:customStyle="1">
    <w:name w:val="正文文本缩进 21"/>
    <w:basedOn w:val="668"/>
    <w:link w:val="1033"/>
    <w:uiPriority w:val="0"/>
    <w:qFormat/>
    <w:pPr>
      <w:ind w:left="630" w:firstLine="645"/>
    </w:pPr>
    <w:rPr>
      <w:rFonts w:ascii="Arial" w:hAnsi="Arial" w:eastAsia="仿宋_GB2312" w:cs="Arial"/>
      <w:sz w:val="32"/>
      <w:szCs w:val="32"/>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668"/>
    <w:link w:val="1035"/>
    <w:uiPriority w:val="0"/>
    <w:semiHidden/>
    <w:qFormat/>
    <w:rPr>
      <w:rFonts w:cs="Times New Roman"/>
      <w:sz w:val="18"/>
      <w:szCs w:val="18"/>
    </w:rPr>
  </w:style>
  <w:style w:type="character" w:styleId="1035" w:customStyle="1">
    <w:name w:val="批注框文本 Char"/>
    <w:link w:val="1034"/>
    <w:uiPriority w:val="0"/>
    <w:semiHidden/>
    <w:qFormat/>
    <w:rPr>
      <w:rFonts w:ascii="Times New Roman" w:hAnsi="Times New Roman" w:cs="Times New Roman"/>
      <w:sz w:val="18"/>
      <w:szCs w:val="18"/>
    </w:rPr>
  </w:style>
  <w:style w:type="paragraph" w:styleId="1036" w:customStyle="1">
    <w:name w:val="页脚1"/>
    <w:basedOn w:val="668"/>
    <w:link w:val="1037"/>
    <w:uiPriority w:val="99"/>
    <w:qFormat/>
    <w:pPr>
      <w:jc w:val="left"/>
      <w:tabs>
        <w:tab w:val="center" w:pos="4153" w:leader="none"/>
        <w:tab w:val="right" w:pos="8306" w:leader="none"/>
      </w:tabs>
    </w:pPr>
    <w:rPr>
      <w:rFonts w:cs="Times New Roman"/>
      <w:sz w:val="18"/>
      <w:szCs w:val="18"/>
    </w:rPr>
  </w:style>
  <w:style w:type="character" w:styleId="1037" w:customStyle="1">
    <w:name w:val="页脚 Char"/>
    <w:link w:val="1036"/>
    <w:uiPriority w:val="99"/>
    <w:qFormat/>
    <w:rPr>
      <w:rFonts w:ascii="Times New Roman" w:hAnsi="Times New Roman" w:cs="Times New Roman"/>
      <w:sz w:val="18"/>
      <w:szCs w:val="18"/>
    </w:rPr>
  </w:style>
  <w:style w:type="paragraph" w:styleId="1038" w:customStyle="1">
    <w:name w:val="页眉1"/>
    <w:basedOn w:val="668"/>
    <w:link w:val="1039"/>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1039" w:customStyle="1">
    <w:name w:val="页眉 Char"/>
    <w:link w:val="1038"/>
    <w:uiPriority w:val="0"/>
    <w:qFormat/>
    <w:rPr>
      <w:rFonts w:ascii="Times New Roman" w:hAnsi="Times New Roman" w:cs="Times New Roman"/>
      <w:sz w:val="18"/>
      <w:szCs w:val="18"/>
    </w:rPr>
  </w:style>
  <w:style w:type="paragraph" w:styleId="1040" w:customStyle="1">
    <w:name w:val="列表1"/>
    <w:basedOn w:val="668"/>
    <w:uiPriority w:val="0"/>
    <w:qFormat/>
    <w:pPr>
      <w:ind w:left="200" w:hanging="200"/>
    </w:pPr>
    <w:rPr>
      <w:rFonts w:cs="Times New Roman"/>
    </w:rPr>
  </w:style>
  <w:style w:type="paragraph" w:styleId="1041" w:customStyle="1">
    <w:name w:val="正文文本缩进 31"/>
    <w:basedOn w:val="668"/>
    <w:link w:val="1042"/>
    <w:uiPriority w:val="0"/>
    <w:qFormat/>
    <w:pPr>
      <w:ind w:left="645" w:firstLine="645"/>
    </w:pPr>
    <w:rPr>
      <w:rFonts w:ascii="Arial" w:hAnsi="Arial" w:eastAsia="仿宋_GB2312" w:cs="Arial"/>
      <w:color w:val="ffff00"/>
      <w:sz w:val="32"/>
      <w:szCs w:val="32"/>
    </w:rPr>
  </w:style>
  <w:style w:type="character" w:styleId="1042" w:customStyle="1">
    <w:name w:val="正文文本缩进 3 Char"/>
    <w:link w:val="1041"/>
    <w:uiPriority w:val="0"/>
    <w:qFormat/>
    <w:rPr>
      <w:rFonts w:ascii="Arial" w:hAnsi="Arial" w:eastAsia="仿宋_GB2312" w:cs="Arial"/>
      <w:color w:val="ffff00"/>
      <w:sz w:val="32"/>
      <w:szCs w:val="32"/>
    </w:rPr>
  </w:style>
  <w:style w:type="paragraph" w:styleId="1043" w:customStyle="1">
    <w:name w:val="图表目录1"/>
    <w:basedOn w:val="668"/>
    <w:next w:val="668"/>
    <w:uiPriority w:val="0"/>
    <w:semiHidden/>
    <w:qFormat/>
    <w:pPr>
      <w:ind w:left="840" w:hanging="420"/>
    </w:pPr>
    <w:rPr>
      <w:rFonts w:cs="Times New Roman"/>
    </w:rPr>
  </w:style>
  <w:style w:type="paragraph" w:styleId="1044" w:customStyle="1">
    <w:name w:val="正文文本 21"/>
    <w:basedOn w:val="668"/>
    <w:link w:val="1045"/>
    <w:uiPriority w:val="0"/>
    <w:qFormat/>
    <w:pPr>
      <w:jc w:val="center"/>
      <w:widowControl/>
    </w:pPr>
    <w:rPr>
      <w:rFonts w:ascii="楷体_GB2312" w:eastAsia="楷体_GB2312" w:cs="Times New Roman"/>
      <w:sz w:val="28"/>
      <w:szCs w:val="28"/>
    </w:rPr>
  </w:style>
  <w:style w:type="character" w:styleId="1045" w:customStyle="1">
    <w:name w:val="正文文本 2 Char"/>
    <w:link w:val="1044"/>
    <w:uiPriority w:val="0"/>
    <w:qFormat/>
    <w:rPr>
      <w:rFonts w:ascii="楷体_GB2312" w:hAnsi="Times New Roman" w:eastAsia="楷体_GB2312" w:cs="Times New Roman"/>
      <w:sz w:val="28"/>
      <w:szCs w:val="28"/>
    </w:rPr>
  </w:style>
  <w:style w:type="paragraph" w:styleId="1046"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1047" w:customStyle="1">
    <w:name w:val="索引 11"/>
    <w:basedOn w:val="668"/>
    <w:next w:val="668"/>
    <w:uiPriority w:val="0"/>
    <w:semiHidden/>
    <w:qFormat/>
    <w:pPr>
      <w:spacing w:line="240" w:lineRule="atLeast"/>
    </w:pPr>
    <w:rPr>
      <w:rFonts w:cs="Times New Roman"/>
      <w:b/>
      <w:bCs/>
    </w:rPr>
  </w:style>
  <w:style w:type="paragraph" w:styleId="1048" w:customStyle="1">
    <w:name w:val="批注主题1"/>
    <w:basedOn w:val="1022"/>
    <w:next w:val="1022"/>
    <w:link w:val="1049"/>
    <w:uiPriority w:val="0"/>
    <w:semiHidden/>
    <w:qFormat/>
    <w:rPr>
      <w:b/>
      <w:bCs/>
    </w:rPr>
  </w:style>
  <w:style w:type="character" w:styleId="1049" w:customStyle="1">
    <w:name w:val="批注主题 Char"/>
    <w:link w:val="1048"/>
    <w:uiPriority w:val="0"/>
    <w:semiHidden/>
    <w:qFormat/>
    <w:rPr>
      <w:rFonts w:ascii="Times New Roman" w:hAnsi="Times New Roman" w:cs="Times New Roman"/>
      <w:b/>
      <w:bCs/>
      <w:sz w:val="21"/>
      <w:szCs w:val="21"/>
    </w:rPr>
  </w:style>
  <w:style w:type="character" w:styleId="1050" w:customStyle="1">
    <w:name w:val="要点1"/>
    <w:uiPriority w:val="0"/>
    <w:qFormat/>
    <w:rPr>
      <w:b/>
      <w:bCs/>
    </w:rPr>
  </w:style>
  <w:style w:type="character" w:styleId="1051" w:customStyle="1">
    <w:name w:val="页码1"/>
    <w:uiPriority w:val="0"/>
    <w:qFormat/>
  </w:style>
  <w:style w:type="character" w:styleId="1052" w:customStyle="1">
    <w:name w:val="已访问的超链接1"/>
    <w:uiPriority w:val="0"/>
    <w:qFormat/>
    <w:rPr>
      <w:color w:val="800080"/>
      <w:u w:val="single"/>
    </w:rPr>
  </w:style>
  <w:style w:type="character" w:styleId="1053" w:customStyle="1">
    <w:name w:val="超链接1"/>
    <w:uiPriority w:val="0"/>
    <w:qFormat/>
    <w:rPr>
      <w:color w:val="0000ff"/>
      <w:u w:val="single"/>
    </w:rPr>
  </w:style>
  <w:style w:type="character" w:styleId="1054" w:customStyle="1">
    <w:name w:val="批注引用1"/>
    <w:uiPriority w:val="0"/>
    <w:semiHidden/>
    <w:qFormat/>
    <w:rPr>
      <w:sz w:val="21"/>
      <w:szCs w:val="21"/>
    </w:rPr>
  </w:style>
  <w:style w:type="paragraph" w:styleId="1055" w:customStyle="1">
    <w:name w:val="Char1"/>
    <w:basedOn w:val="1020"/>
    <w:uiPriority w:val="0"/>
    <w:qFormat/>
    <w:rPr>
      <w:rFonts w:ascii="Tahoma" w:hAnsi="Tahoma"/>
      <w:sz w:val="24"/>
      <w:szCs w:val="24"/>
    </w:rPr>
  </w:style>
  <w:style w:type="paragraph" w:styleId="1056" w:customStyle="1">
    <w:name w:val="Char Char Char Char Char Char Char Char1"/>
    <w:basedOn w:val="668"/>
    <w:uiPriority w:val="0"/>
    <w:qFormat/>
    <w:pPr>
      <w:jc w:val="left"/>
      <w:spacing w:after="160" w:line="240" w:lineRule="exact"/>
      <w:widowControl/>
    </w:pPr>
    <w:rPr>
      <w:rFonts w:ascii="Verdana" w:hAnsi="Verdana" w:cs="Times New Roman"/>
      <w:sz w:val="20"/>
      <w:szCs w:val="20"/>
      <w:lang w:eastAsia="en-US"/>
    </w:rPr>
  </w:style>
  <w:style w:type="paragraph" w:styleId="1057" w:customStyle="1">
    <w:name w:val="Char Char Char Char1"/>
    <w:basedOn w:val="1020"/>
    <w:uiPriority w:val="0"/>
    <w:qFormat/>
    <w:pPr>
      <w:spacing w:line="360" w:lineRule="auto"/>
    </w:pPr>
    <w:rPr>
      <w:rFonts w:ascii="Tahoma" w:hAnsi="Tahoma"/>
      <w:sz w:val="24"/>
      <w:szCs w:val="24"/>
    </w:rPr>
  </w:style>
  <w:style w:type="paragraph" w:styleId="105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59" w:customStyle="1">
    <w:name w:val="font31"/>
    <w:uiPriority w:val="0"/>
    <w:qFormat/>
    <w:rPr>
      <w:rFonts w:ascii="Times New Roman" w:hAnsi="Times New Roman" w:cs="Times New Roman"/>
      <w:color w:val="000000"/>
      <w:sz w:val="21"/>
      <w:szCs w:val="21"/>
      <w:u w:val="none"/>
    </w:rPr>
  </w:style>
  <w:style w:type="paragraph" w:styleId="1060" w:customStyle="1">
    <w:name w:val="xl71"/>
    <w:basedOn w:val="668"/>
    <w:uiPriority w:val="0"/>
    <w:qFormat/>
    <w:pPr>
      <w:jc w:val="center"/>
      <w:spacing w:before="100" w:beforeAutospacing="1" w:after="100" w:afterAutospacing="1"/>
      <w:widowControl/>
    </w:pPr>
    <w:rPr>
      <w:rFonts w:ascii="宋体" w:hAnsi="宋体" w:cs="宋体"/>
      <w:sz w:val="24"/>
      <w:szCs w:val="24"/>
    </w:rPr>
  </w:style>
  <w:style w:type="paragraph" w:styleId="1061" w:customStyle="1">
    <w:name w:val="xl72"/>
    <w:basedOn w:val="668"/>
    <w:uiPriority w:val="0"/>
    <w:qFormat/>
    <w:pPr>
      <w:jc w:val="left"/>
      <w:spacing w:before="100" w:beforeAutospacing="1" w:after="100" w:afterAutospacing="1"/>
      <w:widowControl/>
    </w:pPr>
    <w:rPr>
      <w:rFonts w:ascii="宋体" w:hAnsi="宋体" w:cs="宋体"/>
      <w:sz w:val="24"/>
      <w:szCs w:val="24"/>
    </w:rPr>
  </w:style>
  <w:style w:type="paragraph" w:styleId="1062" w:customStyle="1">
    <w:name w:val="xl73"/>
    <w:basedOn w:val="668"/>
    <w:uiPriority w:val="0"/>
    <w:qFormat/>
    <w:pPr>
      <w:jc w:val="center"/>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3" w:customStyle="1">
    <w:name w:val="xl7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customStyle="1">
    <w:name w:val="xl7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5" w:customStyle="1">
    <w:name w:val="xl7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6" w:customStyle="1">
    <w:name w:val="xl7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7" w:customStyle="1">
    <w:name w:val="xl78"/>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8" w:customStyle="1">
    <w:name w:val="xl79"/>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69"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0" w:customStyle="1">
    <w:name w:val="xl8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1"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2" w:customStyle="1">
    <w:name w:val="xl8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3" w:customStyle="1">
    <w:name w:val="xl8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4" w:customStyle="1">
    <w:name w:val="修订4"/>
    <w:hidden/>
    <w:uiPriority w:val="99"/>
    <w:unhideWhenUsed/>
    <w:qFormat/>
    <w:rPr>
      <w:rFonts w:ascii="Times New Roman" w:hAnsi="Times New Roman" w:eastAsia="宋体" w:cs="Calibri"/>
      <w:sz w:val="21"/>
      <w:szCs w:val="21"/>
      <w:lang w:val="en-US" w:eastAsia="zh-CN" w:bidi="ar-SA"/>
    </w:rPr>
  </w:style>
  <w:style w:type="paragraph" w:styleId="1075" w:customStyle="1">
    <w:name w:val="修订5"/>
    <w:hidden/>
    <w:uiPriority w:val="99"/>
    <w:unhideWhenUsed/>
    <w:qFormat/>
    <w:rPr>
      <w:rFonts w:ascii="Times New Roman" w:hAnsi="Times New Roman" w:eastAsia="宋体" w:cs="Calibri"/>
      <w:sz w:val="21"/>
      <w:szCs w:val="21"/>
      <w:lang w:val="en-US" w:eastAsia="zh-CN" w:bidi="ar-SA"/>
    </w:rPr>
  </w:style>
  <w:style w:type="table" w:styleId="1076" w:customStyle="1">
    <w:name w:val="Table Normal_0"/>
    <w:uiPriority w:val="0"/>
    <w:semiHidden/>
    <w:unhideWhenUsed/>
    <w:qFormat/>
    <w:tblPr>
      <w:tblCellMar>
        <w:left w:w="0" w:type="dxa"/>
        <w:top w:w="0" w:type="dxa"/>
        <w:right w:w="0" w:type="dxa"/>
        <w:bottom w:w="0" w:type="dxa"/>
      </w:tblCellMar>
    </w:tblPr>
  </w:style>
  <w:style w:type="character" w:styleId="1077" w:customStyle="1">
    <w:name w:val="标题 3 字符1"/>
    <w:uiPriority w:val="9"/>
    <w:qFormat/>
    <w:rPr>
      <w:rFonts w:ascii="Times New Roman" w:hAnsi="Times New Roman" w:eastAsia="方正楷体_GBK" w:cs="Arial"/>
      <w:szCs w:val="24"/>
    </w:rPr>
  </w:style>
  <w:style w:type="paragraph" w:styleId="1078" w:customStyle="1">
    <w:name w:val="修订6"/>
    <w:hidden/>
    <w:uiPriority w:val="99"/>
    <w:unhideWhenUsed/>
    <w:qFormat/>
    <w:rPr>
      <w:rFonts w:ascii="Times New Roman" w:hAnsi="Times New Roman" w:eastAsia="宋体" w:cs="Calibri"/>
      <w:sz w:val="21"/>
      <w:szCs w:val="21"/>
      <w:lang w:val="en-US" w:eastAsia="zh-CN" w:bidi="ar-SA"/>
    </w:rPr>
  </w:style>
  <w:style w:type="paragraph" w:styleId="1079" w:customStyle="1">
    <w:name w:val="修订7"/>
    <w:hidden/>
    <w:uiPriority w:val="99"/>
    <w:semiHidden/>
    <w:qFormat/>
    <w:rPr>
      <w:rFonts w:ascii="Times New Roman" w:hAnsi="Times New Roman" w:eastAsia="宋体" w:cs="Calibri"/>
      <w:sz w:val="21"/>
      <w:szCs w:val="21"/>
      <w:lang w:val="en-US" w:eastAsia="zh-CN" w:bidi="ar-SA"/>
    </w:rPr>
  </w:style>
  <w:style w:type="paragraph" w:styleId="1080" w:customStyle="1">
    <w:name w:val="Revision"/>
    <w:hidden/>
    <w:uiPriority w:val="99"/>
    <w:unhideWhenUsed/>
    <w:rPr>
      <w:rFonts w:ascii="Times New Roman" w:hAnsi="Times New Roman" w:eastAsia="宋体" w:cs="Calibri"/>
      <w:sz w:val="21"/>
      <w:szCs w:val="21"/>
      <w:lang w:val="en-US" w:eastAsia="zh-CN" w:bidi="ar-SA"/>
    </w:rPr>
  </w:style>
  <w:style w:type="numbering" w:styleId="9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72</cp:revision>
  <dcterms:created xsi:type="dcterms:W3CDTF">2026-06-08T09:12:00Z</dcterms:created>
  <dcterms:modified xsi:type="dcterms:W3CDTF">2026-10-16T06:56:56Z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eyJoZGlkIjoiMmI2M2ZkODQwM2Q0OTQ0NTA2MTVjM2VlZDQwMmFiM2EiLCJ1c2VySWQiOiIxMjkwOTY3MjMwIn0=</vt:lpwstr>
  </property>
  <property fmtid="{D5CDD505-2E9C-101B-9397-08002B2CF9AE}" pid="3" name="KSOProductBuildVer">
    <vt:lpwstr>2052-12.1.0.29161</vt:lpwstr>
  </property>
  <property fmtid="{D5CDD505-2E9C-101B-9397-08002B2CF9AE}" pid="4" name="ICV">
    <vt:lpwstr>8817399C89B949C69DF5D07892657394_13</vt:lpwstr>
  </property>
</Properties>
</file>