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pStyle w:val="1026"/>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b/>
          <w:bCs/>
          <w:color w:val="000000"/>
          <w:sz w:val="60"/>
          <w:szCs w:val="60"/>
          <w:lang w:eastAsia="zh-CN"/>
        </w:rPr>
        <w:t xml:space="preserve">常</w:t>
      </w:r>
      <w:r>
        <w:rPr>
          <w:rFonts w:hint="eastAsia" w:ascii="Times New Roman" w:hAnsi="Times New Roman" w:cs="Times New Roman"/>
          <w:b/>
          <w:bCs/>
          <w:color w:val="000000"/>
          <w:sz w:val="60"/>
          <w:szCs w:val="60"/>
          <w:lang w:val="en-US" w:eastAsia="zh-CN"/>
        </w:rPr>
        <w:t xml:space="preserve"> </w:t>
      </w:r>
      <w:r>
        <w:rPr>
          <w:rFonts w:hint="eastAsia" w:ascii="Times New Roman" w:hAnsi="Times New Roman" w:cs="Times New Roman"/>
          <w:b/>
          <w:bCs/>
          <w:color w:val="000000"/>
          <w:sz w:val="60"/>
          <w:szCs w:val="60"/>
          <w:lang w:eastAsia="zh-CN"/>
        </w:rPr>
        <w:t xml:space="preserve">州</w:t>
      </w:r>
      <w:r>
        <w:rPr>
          <w:rFonts w:hint="eastAsia" w:ascii="Times New Roman" w:hAnsi="Times New Roman" w:cs="Times New Roman"/>
          <w:b/>
          <w:bCs/>
          <w:color w:val="000000"/>
          <w:sz w:val="60"/>
          <w:szCs w:val="60"/>
          <w:lang w:val="en-US" w:eastAsia="zh-CN"/>
        </w:rPr>
        <w:t xml:space="preserve"> </w:t>
      </w:r>
      <w:r>
        <w:rPr>
          <w:rFonts w:hint="eastAsia" w:ascii="Times New Roman" w:hAnsi="Times New Roman" w:cs="Times New Roman"/>
          <w:b/>
          <w:bCs/>
          <w:color w:val="000000"/>
          <w:sz w:val="60"/>
          <w:szCs w:val="60"/>
          <w:lang w:eastAsia="zh-CN"/>
        </w:rPr>
        <w:t xml:space="preserve">市</w:t>
      </w:r>
      <w:r>
        <w:rPr>
          <w:rFonts w:hint="eastAsia" w:ascii="Times New Roman" w:hAnsi="Times New Roman" w:cs="Times New Roman"/>
          <w:b/>
          <w:bCs/>
          <w:color w:val="000000"/>
          <w:sz w:val="60"/>
          <w:szCs w:val="60"/>
          <w:lang w:val="en-US" w:eastAsia="zh-CN"/>
        </w:rPr>
        <w:t xml:space="preserve"> </w:t>
      </w:r>
      <w:r>
        <w:rPr>
          <w:rFonts w:hint="default" w:ascii="Times New Roman" w:hAnsi="Times New Roman" w:cs="Times New Roman"/>
          <w:b/>
          <w:bCs/>
          <w:color w:val="000000"/>
          <w:sz w:val="60"/>
          <w:szCs w:val="60"/>
        </w:rPr>
        <w:t xml:space="preserve">政 府 采 购 项 目</w:t>
      </w:r>
      <w:r/>
    </w:p>
    <w:p>
      <w:pPr>
        <w:jc w:val="center"/>
        <w:rPr>
          <w:rFonts w:hint="eastAsia"/>
          <w:b/>
          <w:bCs/>
          <w:sz w:val="60"/>
          <w:szCs w:val="60"/>
          <w:lang w:eastAsia="zh-CN"/>
        </w:rPr>
      </w:pPr>
      <w:r>
        <w:rPr>
          <w:rFonts w:hint="eastAsia"/>
          <w:b/>
          <w:bCs/>
          <w:sz w:val="60"/>
          <w:szCs w:val="60"/>
          <w:lang w:eastAsia="zh-CN"/>
        </w:rPr>
      </w:r>
      <w:r/>
    </w:p>
    <w:p>
      <w:pPr>
        <w:jc w:val="center"/>
        <w:rPr>
          <w:rFonts w:hint="eastAsia"/>
          <w:b/>
          <w:bCs/>
          <w:sz w:val="60"/>
          <w:szCs w:val="60"/>
          <w:lang w:eastAsia="zh-CN"/>
        </w:rPr>
      </w:pPr>
      <w:r>
        <w:rPr>
          <w:rFonts w:hint="eastAsia"/>
          <w:b/>
          <w:bCs/>
          <w:sz w:val="60"/>
          <w:szCs w:val="60"/>
          <w:lang w:eastAsia="zh-CN"/>
        </w:rPr>
      </w:r>
      <w:r/>
    </w:p>
    <w:p>
      <w:pPr>
        <w:jc w:val="center"/>
        <w:rPr>
          <w:rFonts w:ascii="宋体" w:hAnsi="宋体"/>
          <w:b/>
          <w:bCs/>
          <w:sz w:val="60"/>
          <w:szCs w:val="60"/>
        </w:rPr>
      </w:pPr>
      <w:r>
        <w:rPr>
          <w:b/>
          <w:bCs/>
          <w:sz w:val="60"/>
          <w:szCs w:val="60"/>
        </w:rPr>
        <w:t xml:space="preserve">竞争性磋商文件</w:t>
      </w:r>
      <w:r/>
    </w:p>
    <w:p>
      <w:pPr>
        <w:jc w:val="center"/>
        <w:spacing w:line="360" w:lineRule="auto"/>
        <w:rPr>
          <w:rFonts w:ascii="宋体" w:hAnsi="宋体"/>
          <w:b/>
          <w:bCs/>
          <w:sz w:val="60"/>
          <w:szCs w:val="60"/>
        </w:rPr>
      </w:pPr>
      <w:r>
        <w:rPr>
          <w:rFonts w:ascii="宋体" w:hAnsi="宋体"/>
          <w:b/>
          <w:bCs/>
          <w:sz w:val="60"/>
          <w:szCs w:val="60"/>
        </w:rPr>
      </w:r>
      <w:r/>
    </w:p>
    <w:p>
      <w:pPr>
        <w:pStyle w:val="1032"/>
        <w:rPr>
          <w:rFonts w:ascii="宋体" w:hAnsi="宋体"/>
          <w:b/>
          <w:bCs/>
          <w:sz w:val="60"/>
          <w:szCs w:val="60"/>
        </w:rPr>
      </w:pPr>
      <w:r>
        <w:rPr>
          <w:rFonts w:ascii="宋体" w:hAnsi="宋体"/>
          <w:b/>
          <w:bCs/>
          <w:sz w:val="60"/>
          <w:szCs w:val="60"/>
        </w:rPr>
      </w:r>
      <w:r/>
    </w:p>
    <w:p>
      <w:r/>
      <w:r/>
    </w:p>
    <w:p>
      <w:pPr>
        <w:jc w:val="left"/>
        <w:spacing w:line="360" w:lineRule="auto"/>
        <w:tabs>
          <w:tab w:val="left" w:pos="5609"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南夏墅集镇区市容环境综合整治提升</w:t>
      </w:r>
      <w:r/>
    </w:p>
    <w:p>
      <w:pPr>
        <w:jc w:val="left"/>
        <w:spacing w:line="360" w:lineRule="auto"/>
        <w:tabs>
          <w:tab w:val="left" w:pos="3240" w:leader="none"/>
          <w:tab w:val="left" w:pos="3420" w:leader="none"/>
        </w:tabs>
        <w:rPr>
          <w:rFonts w:hint="default" w:eastAsia="宋体"/>
          <w:bCs/>
          <w:sz w:val="36"/>
          <w:szCs w:val="36"/>
          <w:lang w:val="en-US" w:eastAsia="zh-CN"/>
        </w:rPr>
      </w:pPr>
      <w:r>
        <w:rPr>
          <w:bCs/>
          <w:sz w:val="36"/>
          <w:szCs w:val="36"/>
        </w:rPr>
        <w:t xml:space="preserve">项目编号/包号</w:t>
      </w:r>
      <w:r>
        <w:rPr>
          <w:rFonts w:hint="eastAsia"/>
          <w:bCs/>
          <w:sz w:val="36"/>
          <w:szCs w:val="36"/>
          <w:lang w:eastAsia="zh-CN"/>
        </w:rPr>
        <w:t xml:space="preserve">：</w:t>
      </w:r>
      <w:r>
        <w:rPr>
          <w:rFonts w:hint="eastAsia"/>
          <w:bCs/>
          <w:sz w:val="36"/>
          <w:szCs w:val="36"/>
          <w:lang w:val="en-US" w:eastAsia="zh-CN"/>
        </w:rPr>
        <w:t xml:space="preserve">JSZC-320412-CZBR-C2026-0001</w:t>
      </w:r>
      <w:r/>
    </w:p>
    <w:p>
      <w:pPr>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ascii="宋体" w:hAnsi="宋体"/>
          <w:bCs/>
          <w:color w:val="000000"/>
          <w:sz w:val="36"/>
          <w:szCs w:val="36"/>
          <w:highlight w:val="none"/>
          <w:lang w:eastAsia="zh-CN"/>
        </w:rPr>
        <w:t xml:space="preserve">常州市武进区南夏墅街道办事处</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ascii="宋体" w:hAnsi="宋体"/>
          <w:bCs/>
          <w:color w:val="000000"/>
          <w:sz w:val="36"/>
          <w:szCs w:val="36"/>
          <w:highlight w:val="none"/>
          <w:lang w:eastAsia="zh-CN"/>
        </w:rPr>
        <w:t xml:space="preserve">常州博睿工程咨询有限公司</w:t>
      </w:r>
      <w:r>
        <w:rPr>
          <w:bCs/>
          <w:sz w:val="36"/>
          <w:szCs w:val="36"/>
        </w:rPr>
        <w:t xml:space="preserve"> </w:t>
      </w:r>
      <w:r/>
    </w:p>
    <w:p>
      <w:pPr>
        <w:pStyle w:val="1363"/>
        <w:spacing w:line="360" w:lineRule="auto"/>
        <w:rPr>
          <w:rFonts w:ascii="Times New Roman" w:hAnsi="Times New Roman" w:cs="Times New Roman"/>
        </w:rPr>
        <w:sectPr>
          <w:footerReference w:type="default" r:id="rId11"/>
          <w:footerReference w:type="even" r:id="rId12"/>
          <w:footerReference w:type="first" r:id="rId13"/>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ascii="Times New Roman" w:hAnsi="Times New Roman" w:cs="Times New Roman"/>
        </w:rPr>
      </w:r>
      <w:r/>
    </w:p>
    <w:p>
      <w:pPr>
        <w:pStyle w:val="1363"/>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rPr>
          <w:rFonts w:hint="eastAsia"/>
          <w:b w:val="0"/>
          <w:bCs/>
          <w:sz w:val="36"/>
          <w:szCs w:val="36"/>
        </w:rPr>
        <w:t xml:space="preserve">目</w:t>
      </w:r>
      <w:r>
        <w:rPr>
          <w:b w:val="0"/>
          <w:bCs/>
          <w:sz w:val="36"/>
          <w:szCs w:val="36"/>
        </w:rPr>
        <w:t xml:space="preserve">      </w:t>
      </w:r>
      <w:r>
        <w:rPr>
          <w:rFonts w:hint="eastAsia"/>
          <w:b w:val="0"/>
          <w:bCs/>
          <w:sz w:val="36"/>
          <w:szCs w:val="36"/>
        </w:rPr>
        <w:t xml:space="preserve">录</w:t>
      </w:r>
      <w:bookmarkEnd w:id="0"/>
      <w:r/>
      <w:r/>
    </w:p>
    <w:p>
      <w:r/>
      <w:r/>
    </w:p>
    <w:p>
      <w:pPr>
        <w:pStyle w:val="1233"/>
        <w:rPr>
          <w:rFonts w:hint="eastAsia" w:ascii="宋体" w:hAnsi="宋体" w:eastAsia="宋体" w:cs="宋体"/>
          <w:b w:val="0"/>
          <w:bCs w:val="0"/>
          <w:sz w:val="36"/>
          <w:szCs w:val="36"/>
        </w:rPr>
      </w:pPr>
      <w:r>
        <w:rPr>
          <w:rFonts w:hint="eastAsia" w:ascii="宋体" w:hAnsi="宋体" w:eastAsia="宋体" w:cs="宋体"/>
          <w:b w:val="0"/>
          <w:bCs w:val="0"/>
          <w:sz w:val="36"/>
          <w:szCs w:val="36"/>
        </w:rPr>
        <w:fldChar w:fldCharType="begin"/>
      </w:r>
      <w:r>
        <w:rPr>
          <w:rFonts w:hint="eastAsia" w:ascii="宋体" w:hAnsi="宋体" w:eastAsia="宋体" w:cs="宋体"/>
          <w:b w:val="0"/>
          <w:bCs w:val="0"/>
          <w:sz w:val="36"/>
          <w:szCs w:val="36"/>
        </w:rPr>
        <w:instrText xml:space="preserve"> TOC \o "1-1" \h \z \u </w:instrText>
      </w:r>
      <w:r>
        <w:rPr>
          <w:rFonts w:hint="eastAsia" w:ascii="宋体" w:hAnsi="宋体" w:eastAsia="宋体" w:cs="宋体"/>
          <w:b w:val="0"/>
          <w:bCs w:val="0"/>
          <w:sz w:val="36"/>
          <w:szCs w:val="36"/>
        </w:rPr>
        <w:fldChar w:fldCharType="separate"/>
      </w:r>
      <w:r/>
    </w:p>
    <w:p>
      <w:pPr>
        <w:pStyle w:val="1233"/>
        <w:rPr>
          <w:rFonts w:hint="eastAsia" w:ascii="宋体" w:hAnsi="宋体" w:eastAsia="宋体" w:cs="宋体"/>
          <w:b w:val="0"/>
          <w:bCs w:val="0"/>
          <w:color w:val="000000" w:themeColor="text1"/>
          <w:sz w:val="36"/>
          <w:szCs w:val="36"/>
        </w:rPr>
      </w:pPr>
      <w:r>
        <w:rPr>
          <w:rStyle w:val="1257"/>
          <w:rFonts w:hint="eastAsia" w:ascii="宋体" w:hAnsi="宋体" w:eastAsia="宋体" w:cs="宋体"/>
          <w:b w:val="0"/>
          <w:bCs w:val="0"/>
          <w:color w:val="000000" w:themeColor="text1"/>
          <w:sz w:val="36"/>
          <w:szCs w:val="36"/>
        </w:rPr>
        <w:fldChar w:fldCharType="begin"/>
      </w:r>
      <w:r>
        <w:rPr>
          <w:rStyle w:val="1257"/>
          <w:rFonts w:hint="eastAsia" w:ascii="宋体" w:hAnsi="宋体" w:eastAsia="宋体" w:cs="宋体"/>
          <w:b w:val="0"/>
          <w:bCs w:val="0"/>
          <w:color w:val="000000" w:themeColor="text1"/>
          <w:sz w:val="36"/>
          <w:szCs w:val="36"/>
        </w:rPr>
        <w:instrText xml:space="preserve"> </w:instrText>
      </w:r>
      <w:r>
        <w:rPr>
          <w:rFonts w:hint="eastAsia" w:ascii="宋体" w:hAnsi="宋体" w:eastAsia="宋体" w:cs="宋体"/>
          <w:b w:val="0"/>
          <w:bCs w:val="0"/>
          <w:color w:val="000000" w:themeColor="text1"/>
          <w:sz w:val="36"/>
          <w:szCs w:val="36"/>
        </w:rPr>
        <w:instrText xml:space="preserve">HYPERLINK \l "_Toc104818925"</w:instrText>
      </w:r>
      <w:r>
        <w:rPr>
          <w:rStyle w:val="1257"/>
          <w:rFonts w:hint="eastAsia" w:ascii="宋体" w:hAnsi="宋体" w:eastAsia="宋体" w:cs="宋体"/>
          <w:b w:val="0"/>
          <w:bCs w:val="0"/>
          <w:color w:val="000000" w:themeColor="text1"/>
          <w:sz w:val="36"/>
          <w:szCs w:val="36"/>
        </w:rPr>
        <w:instrText xml:space="preserve"> </w:instrText>
      </w:r>
      <w:r>
        <w:rPr>
          <w:rStyle w:val="1257"/>
          <w:rFonts w:hint="eastAsia" w:ascii="宋体" w:hAnsi="宋体" w:eastAsia="宋体" w:cs="宋体"/>
          <w:b w:val="0"/>
          <w:bCs w:val="0"/>
          <w:color w:val="000000" w:themeColor="text1"/>
          <w:sz w:val="36"/>
          <w:szCs w:val="36"/>
        </w:rPr>
        <w:fldChar w:fldCharType="separate"/>
      </w:r>
      <w:r>
        <w:rPr>
          <w:rStyle w:val="1257"/>
          <w:rFonts w:hint="eastAsia" w:ascii="宋体" w:hAnsi="宋体" w:eastAsia="宋体" w:cs="宋体"/>
          <w:b w:val="0"/>
          <w:bCs w:val="0"/>
          <w:color w:val="000000" w:themeColor="text1"/>
          <w:sz w:val="36"/>
          <w:szCs w:val="36"/>
        </w:rPr>
        <w:t xml:space="preserve">第一章   采购邀请</w:t>
      </w:r>
      <w:r>
        <w:rPr>
          <w:rFonts w:hint="eastAsia" w:ascii="宋体" w:hAnsi="宋体" w:eastAsia="宋体" w:cs="宋体"/>
          <w:b w:val="0"/>
          <w:bCs w:val="0"/>
          <w:color w:val="000000" w:themeColor="text1"/>
          <w:sz w:val="36"/>
          <w:szCs w:val="36"/>
        </w:rPr>
        <w:tab/>
      </w:r>
      <w:r>
        <w:rPr>
          <w:rFonts w:hint="eastAsia" w:ascii="宋体" w:hAnsi="宋体" w:eastAsia="宋体" w:cs="宋体"/>
          <w:b w:val="0"/>
          <w:bCs w:val="0"/>
          <w:color w:val="000000" w:themeColor="text1"/>
          <w:sz w:val="36"/>
          <w:szCs w:val="36"/>
        </w:rPr>
        <w:fldChar w:fldCharType="begin"/>
      </w:r>
      <w:r>
        <w:rPr>
          <w:rFonts w:hint="eastAsia" w:ascii="宋体" w:hAnsi="宋体" w:eastAsia="宋体" w:cs="宋体"/>
          <w:b w:val="0"/>
          <w:bCs w:val="0"/>
          <w:color w:val="000000" w:themeColor="text1"/>
          <w:sz w:val="36"/>
          <w:szCs w:val="36"/>
        </w:rPr>
        <w:instrText xml:space="preserve"> PAGEREF _Toc104818925 \h </w:instrText>
      </w:r>
      <w:r>
        <w:rPr>
          <w:rFonts w:hint="eastAsia" w:ascii="宋体" w:hAnsi="宋体" w:eastAsia="宋体" w:cs="宋体"/>
          <w:b w:val="0"/>
          <w:bCs w:val="0"/>
          <w:color w:val="000000" w:themeColor="text1"/>
          <w:sz w:val="36"/>
          <w:szCs w:val="36"/>
        </w:rPr>
        <w:fldChar w:fldCharType="separate"/>
      </w:r>
      <w:r>
        <w:rPr>
          <w:rFonts w:hint="eastAsia" w:ascii="宋体" w:hAnsi="宋体" w:eastAsia="宋体" w:cs="宋体"/>
          <w:b w:val="0"/>
          <w:bCs w:val="0"/>
          <w:color w:val="000000" w:themeColor="text1"/>
          <w:sz w:val="36"/>
          <w:szCs w:val="36"/>
        </w:rPr>
        <w:t xml:space="preserve">1</w:t>
      </w:r>
      <w:r>
        <w:rPr>
          <w:rFonts w:hint="eastAsia" w:ascii="宋体" w:hAnsi="宋体" w:eastAsia="宋体" w:cs="宋体"/>
          <w:b w:val="0"/>
          <w:bCs w:val="0"/>
          <w:color w:val="000000" w:themeColor="text1"/>
          <w:sz w:val="36"/>
          <w:szCs w:val="36"/>
        </w:rPr>
        <w:fldChar w:fldCharType="end"/>
      </w:r>
      <w:r>
        <w:rPr>
          <w:rStyle w:val="1257"/>
          <w:rFonts w:hint="eastAsia" w:ascii="宋体" w:hAnsi="宋体" w:eastAsia="宋体" w:cs="宋体"/>
          <w:b w:val="0"/>
          <w:bCs w:val="0"/>
          <w:color w:val="000000" w:themeColor="text1"/>
          <w:sz w:val="36"/>
          <w:szCs w:val="36"/>
        </w:rPr>
        <w:fldChar w:fldCharType="end"/>
      </w:r>
      <w:r>
        <w:rPr>
          <w:color w:val="000000" w:themeColor="text1"/>
        </w:rPr>
      </w:r>
    </w:p>
    <w:p>
      <w:pPr>
        <w:pStyle w:val="1233"/>
        <w:rPr>
          <w:rFonts w:hint="eastAsia" w:ascii="宋体" w:hAnsi="宋体" w:eastAsia="宋体" w:cs="宋体"/>
          <w:b w:val="0"/>
          <w:bCs w:val="0"/>
          <w:color w:val="000000" w:themeColor="text1"/>
          <w:sz w:val="36"/>
          <w:szCs w:val="36"/>
        </w:rPr>
      </w:pPr>
      <w:r>
        <w:rPr>
          <w:rStyle w:val="1257"/>
          <w:rFonts w:hint="eastAsia" w:ascii="宋体" w:hAnsi="宋体" w:eastAsia="宋体" w:cs="宋体"/>
          <w:b w:val="0"/>
          <w:bCs w:val="0"/>
          <w:color w:val="000000" w:themeColor="text1"/>
          <w:sz w:val="36"/>
          <w:szCs w:val="36"/>
        </w:rPr>
        <w:fldChar w:fldCharType="begin"/>
      </w:r>
      <w:r>
        <w:rPr>
          <w:rStyle w:val="1257"/>
          <w:rFonts w:hint="eastAsia" w:ascii="宋体" w:hAnsi="宋体" w:eastAsia="宋体" w:cs="宋体"/>
          <w:b w:val="0"/>
          <w:bCs w:val="0"/>
          <w:color w:val="000000" w:themeColor="text1"/>
          <w:sz w:val="36"/>
          <w:szCs w:val="36"/>
        </w:rPr>
        <w:instrText xml:space="preserve"> </w:instrText>
      </w:r>
      <w:r>
        <w:rPr>
          <w:rFonts w:hint="eastAsia" w:ascii="宋体" w:hAnsi="宋体" w:eastAsia="宋体" w:cs="宋体"/>
          <w:b w:val="0"/>
          <w:bCs w:val="0"/>
          <w:color w:val="000000" w:themeColor="text1"/>
          <w:sz w:val="36"/>
          <w:szCs w:val="36"/>
        </w:rPr>
        <w:instrText xml:space="preserve">HYPERLINK \l "_Toc104818926"</w:instrText>
      </w:r>
      <w:r>
        <w:rPr>
          <w:rStyle w:val="1257"/>
          <w:rFonts w:hint="eastAsia" w:ascii="宋体" w:hAnsi="宋体" w:eastAsia="宋体" w:cs="宋体"/>
          <w:b w:val="0"/>
          <w:bCs w:val="0"/>
          <w:color w:val="000000" w:themeColor="text1"/>
          <w:sz w:val="36"/>
          <w:szCs w:val="36"/>
        </w:rPr>
        <w:instrText xml:space="preserve"> </w:instrText>
      </w:r>
      <w:r>
        <w:rPr>
          <w:rStyle w:val="1257"/>
          <w:rFonts w:hint="eastAsia" w:ascii="宋体" w:hAnsi="宋体" w:eastAsia="宋体" w:cs="宋体"/>
          <w:b w:val="0"/>
          <w:bCs w:val="0"/>
          <w:color w:val="000000" w:themeColor="text1"/>
          <w:sz w:val="36"/>
          <w:szCs w:val="36"/>
        </w:rPr>
        <w:fldChar w:fldCharType="separate"/>
      </w:r>
      <w:r>
        <w:rPr>
          <w:rStyle w:val="1257"/>
          <w:rFonts w:hint="eastAsia" w:ascii="宋体" w:hAnsi="宋体" w:eastAsia="宋体" w:cs="宋体"/>
          <w:b w:val="0"/>
          <w:bCs w:val="0"/>
          <w:color w:val="000000" w:themeColor="text1"/>
          <w:sz w:val="36"/>
          <w:szCs w:val="36"/>
        </w:rPr>
        <w:t xml:space="preserve">第二章   供应商须知</w:t>
      </w:r>
      <w:r>
        <w:rPr>
          <w:rFonts w:hint="eastAsia" w:ascii="宋体" w:hAnsi="宋体" w:eastAsia="宋体" w:cs="宋体"/>
          <w:b w:val="0"/>
          <w:bCs w:val="0"/>
          <w:color w:val="000000" w:themeColor="text1"/>
          <w:sz w:val="36"/>
          <w:szCs w:val="36"/>
        </w:rPr>
        <w:tab/>
      </w:r>
      <w:r>
        <w:rPr>
          <w:rFonts w:hint="eastAsia" w:ascii="宋体" w:hAnsi="宋体" w:eastAsia="宋体" w:cs="宋体"/>
          <w:b w:val="0"/>
          <w:bCs w:val="0"/>
          <w:color w:val="000000" w:themeColor="text1"/>
          <w:sz w:val="36"/>
          <w:szCs w:val="36"/>
        </w:rPr>
        <w:fldChar w:fldCharType="begin"/>
      </w:r>
      <w:r>
        <w:rPr>
          <w:rFonts w:hint="eastAsia" w:ascii="宋体" w:hAnsi="宋体" w:eastAsia="宋体" w:cs="宋体"/>
          <w:b w:val="0"/>
          <w:bCs w:val="0"/>
          <w:color w:val="000000" w:themeColor="text1"/>
          <w:sz w:val="36"/>
          <w:szCs w:val="36"/>
        </w:rPr>
        <w:instrText xml:space="preserve"> PAGEREF _Toc104818926 \h </w:instrText>
      </w:r>
      <w:r>
        <w:rPr>
          <w:rFonts w:hint="eastAsia" w:ascii="宋体" w:hAnsi="宋体" w:eastAsia="宋体" w:cs="宋体"/>
          <w:b w:val="0"/>
          <w:bCs w:val="0"/>
          <w:color w:val="000000" w:themeColor="text1"/>
          <w:sz w:val="36"/>
          <w:szCs w:val="36"/>
        </w:rPr>
        <w:fldChar w:fldCharType="separate"/>
      </w:r>
      <w:r>
        <w:rPr>
          <w:rFonts w:hint="eastAsia" w:ascii="宋体" w:hAnsi="宋体" w:eastAsia="宋体" w:cs="宋体"/>
          <w:b w:val="0"/>
          <w:bCs w:val="0"/>
          <w:color w:val="000000" w:themeColor="text1"/>
          <w:sz w:val="36"/>
          <w:szCs w:val="36"/>
        </w:rPr>
        <w:t xml:space="preserve">5</w:t>
      </w:r>
      <w:r>
        <w:rPr>
          <w:rFonts w:hint="eastAsia" w:ascii="宋体" w:hAnsi="宋体" w:eastAsia="宋体" w:cs="宋体"/>
          <w:b w:val="0"/>
          <w:bCs w:val="0"/>
          <w:color w:val="000000" w:themeColor="text1"/>
          <w:sz w:val="36"/>
          <w:szCs w:val="36"/>
        </w:rPr>
        <w:fldChar w:fldCharType="end"/>
      </w:r>
      <w:r>
        <w:rPr>
          <w:rStyle w:val="1257"/>
          <w:rFonts w:hint="eastAsia" w:ascii="宋体" w:hAnsi="宋体" w:eastAsia="宋体" w:cs="宋体"/>
          <w:b w:val="0"/>
          <w:bCs w:val="0"/>
          <w:color w:val="000000" w:themeColor="text1"/>
          <w:sz w:val="36"/>
          <w:szCs w:val="36"/>
        </w:rPr>
        <w:fldChar w:fldCharType="end"/>
      </w:r>
      <w:r>
        <w:rPr>
          <w:color w:val="000000" w:themeColor="text1"/>
        </w:rPr>
      </w:r>
    </w:p>
    <w:p>
      <w:pPr>
        <w:pStyle w:val="1233"/>
        <w:rPr>
          <w:rFonts w:hint="eastAsia" w:ascii="宋体" w:hAnsi="宋体" w:eastAsia="宋体" w:cs="宋体"/>
          <w:b w:val="0"/>
          <w:bCs w:val="0"/>
          <w:color w:val="000000" w:themeColor="text1"/>
          <w:sz w:val="36"/>
          <w:szCs w:val="36"/>
        </w:rPr>
      </w:pPr>
      <w:r>
        <w:rPr>
          <w:rStyle w:val="1257"/>
          <w:rFonts w:hint="eastAsia" w:ascii="宋体" w:hAnsi="宋体" w:eastAsia="宋体" w:cs="宋体"/>
          <w:b w:val="0"/>
          <w:bCs w:val="0"/>
          <w:color w:val="000000" w:themeColor="text1"/>
          <w:sz w:val="36"/>
          <w:szCs w:val="36"/>
        </w:rPr>
        <w:fldChar w:fldCharType="begin"/>
      </w:r>
      <w:r>
        <w:rPr>
          <w:rStyle w:val="1257"/>
          <w:rFonts w:hint="eastAsia" w:ascii="宋体" w:hAnsi="宋体" w:eastAsia="宋体" w:cs="宋体"/>
          <w:b w:val="0"/>
          <w:bCs w:val="0"/>
          <w:color w:val="000000" w:themeColor="text1"/>
          <w:sz w:val="36"/>
          <w:szCs w:val="36"/>
        </w:rPr>
        <w:instrText xml:space="preserve"> </w:instrText>
      </w:r>
      <w:r>
        <w:rPr>
          <w:rFonts w:hint="eastAsia" w:ascii="宋体" w:hAnsi="宋体" w:eastAsia="宋体" w:cs="宋体"/>
          <w:b w:val="0"/>
          <w:bCs w:val="0"/>
          <w:color w:val="000000" w:themeColor="text1"/>
          <w:sz w:val="36"/>
          <w:szCs w:val="36"/>
        </w:rPr>
        <w:instrText xml:space="preserve">HYPERLINK \l "_Toc104818927"</w:instrText>
      </w:r>
      <w:r>
        <w:rPr>
          <w:rStyle w:val="1257"/>
          <w:rFonts w:hint="eastAsia" w:ascii="宋体" w:hAnsi="宋体" w:eastAsia="宋体" w:cs="宋体"/>
          <w:b w:val="0"/>
          <w:bCs w:val="0"/>
          <w:color w:val="000000" w:themeColor="text1"/>
          <w:sz w:val="36"/>
          <w:szCs w:val="36"/>
        </w:rPr>
        <w:instrText xml:space="preserve"> </w:instrText>
      </w:r>
      <w:r>
        <w:rPr>
          <w:rStyle w:val="1257"/>
          <w:rFonts w:hint="eastAsia" w:ascii="宋体" w:hAnsi="宋体" w:eastAsia="宋体" w:cs="宋体"/>
          <w:b w:val="0"/>
          <w:bCs w:val="0"/>
          <w:color w:val="000000" w:themeColor="text1"/>
          <w:sz w:val="36"/>
          <w:szCs w:val="36"/>
        </w:rPr>
        <w:fldChar w:fldCharType="separate"/>
      </w:r>
      <w:r>
        <w:rPr>
          <w:rStyle w:val="1257"/>
          <w:rFonts w:hint="eastAsia" w:ascii="宋体" w:hAnsi="宋体" w:eastAsia="宋体" w:cs="宋体"/>
          <w:b w:val="0"/>
          <w:bCs w:val="0"/>
          <w:color w:val="000000" w:themeColor="text1"/>
          <w:sz w:val="36"/>
          <w:szCs w:val="36"/>
        </w:rPr>
        <w:t xml:space="preserve">第三章   评审程序、评审方法和评审标准</w:t>
      </w:r>
      <w:r>
        <w:rPr>
          <w:rFonts w:hint="eastAsia" w:ascii="宋体" w:hAnsi="宋体" w:eastAsia="宋体" w:cs="宋体"/>
          <w:b w:val="0"/>
          <w:bCs w:val="0"/>
          <w:color w:val="000000" w:themeColor="text1"/>
          <w:sz w:val="36"/>
          <w:szCs w:val="36"/>
        </w:rPr>
        <w:tab/>
      </w:r>
      <w:r>
        <w:rPr>
          <w:rFonts w:hint="eastAsia" w:ascii="宋体" w:hAnsi="宋体" w:eastAsia="宋体" w:cs="宋体"/>
          <w:b w:val="0"/>
          <w:bCs w:val="0"/>
          <w:color w:val="000000" w:themeColor="text1"/>
          <w:sz w:val="36"/>
          <w:szCs w:val="36"/>
          <w:lang w:val="en-US" w:eastAsia="zh-CN"/>
        </w:rPr>
        <w:t xml:space="preserve">2</w:t>
      </w:r>
      <w:r>
        <w:rPr>
          <w:rStyle w:val="1257"/>
          <w:rFonts w:hint="eastAsia" w:ascii="宋体" w:hAnsi="宋体" w:eastAsia="宋体" w:cs="宋体"/>
          <w:b w:val="0"/>
          <w:bCs w:val="0"/>
          <w:color w:val="000000" w:themeColor="text1"/>
          <w:sz w:val="36"/>
          <w:szCs w:val="36"/>
        </w:rPr>
        <w:fldChar w:fldCharType="end"/>
      </w:r>
      <w:r>
        <w:rPr>
          <w:rStyle w:val="1257"/>
          <w:rFonts w:hint="eastAsia" w:ascii="宋体" w:hAnsi="宋体" w:eastAsia="宋体" w:cs="宋体"/>
          <w:b w:val="0"/>
          <w:bCs w:val="0"/>
          <w:color w:val="000000" w:themeColor="text1"/>
          <w:sz w:val="36"/>
          <w:szCs w:val="36"/>
          <w:lang w:val="en-US" w:eastAsia="zh-CN"/>
        </w:rPr>
        <w:t xml:space="preserve">0</w:t>
      </w:r>
      <w:r>
        <w:rPr>
          <w:color w:val="000000" w:themeColor="text1"/>
        </w:rPr>
      </w:r>
    </w:p>
    <w:p>
      <w:pPr>
        <w:pStyle w:val="1233"/>
        <w:rPr>
          <w:rFonts w:hint="eastAsia" w:ascii="宋体" w:hAnsi="宋体" w:eastAsia="宋体" w:cs="宋体"/>
          <w:b w:val="0"/>
          <w:bCs w:val="0"/>
          <w:color w:val="000000" w:themeColor="text1"/>
          <w:sz w:val="36"/>
          <w:szCs w:val="36"/>
        </w:rPr>
      </w:pPr>
      <w:r>
        <w:rPr>
          <w:rStyle w:val="1257"/>
          <w:rFonts w:hint="eastAsia" w:ascii="宋体" w:hAnsi="宋体" w:eastAsia="宋体" w:cs="宋体"/>
          <w:b w:val="0"/>
          <w:bCs w:val="0"/>
          <w:color w:val="000000" w:themeColor="text1"/>
          <w:sz w:val="36"/>
          <w:szCs w:val="36"/>
        </w:rPr>
        <w:fldChar w:fldCharType="begin"/>
      </w:r>
      <w:r>
        <w:rPr>
          <w:rStyle w:val="1257"/>
          <w:rFonts w:hint="eastAsia" w:ascii="宋体" w:hAnsi="宋体" w:eastAsia="宋体" w:cs="宋体"/>
          <w:b w:val="0"/>
          <w:bCs w:val="0"/>
          <w:color w:val="000000" w:themeColor="text1"/>
          <w:sz w:val="36"/>
          <w:szCs w:val="36"/>
        </w:rPr>
        <w:instrText xml:space="preserve"> </w:instrText>
      </w:r>
      <w:r>
        <w:rPr>
          <w:rFonts w:hint="eastAsia" w:ascii="宋体" w:hAnsi="宋体" w:eastAsia="宋体" w:cs="宋体"/>
          <w:b w:val="0"/>
          <w:bCs w:val="0"/>
          <w:color w:val="000000" w:themeColor="text1"/>
          <w:sz w:val="36"/>
          <w:szCs w:val="36"/>
        </w:rPr>
        <w:instrText xml:space="preserve">HYPERLINK \l "_Toc104818928"</w:instrText>
      </w:r>
      <w:r>
        <w:rPr>
          <w:rStyle w:val="1257"/>
          <w:rFonts w:hint="eastAsia" w:ascii="宋体" w:hAnsi="宋体" w:eastAsia="宋体" w:cs="宋体"/>
          <w:b w:val="0"/>
          <w:bCs w:val="0"/>
          <w:color w:val="000000" w:themeColor="text1"/>
          <w:sz w:val="36"/>
          <w:szCs w:val="36"/>
        </w:rPr>
        <w:instrText xml:space="preserve"> </w:instrText>
      </w:r>
      <w:r>
        <w:rPr>
          <w:rStyle w:val="1257"/>
          <w:rFonts w:hint="eastAsia" w:ascii="宋体" w:hAnsi="宋体" w:eastAsia="宋体" w:cs="宋体"/>
          <w:b w:val="0"/>
          <w:bCs w:val="0"/>
          <w:color w:val="000000" w:themeColor="text1"/>
          <w:sz w:val="36"/>
          <w:szCs w:val="36"/>
        </w:rPr>
        <w:fldChar w:fldCharType="separate"/>
      </w:r>
      <w:r>
        <w:rPr>
          <w:rStyle w:val="1257"/>
          <w:rFonts w:hint="eastAsia" w:ascii="宋体" w:hAnsi="宋体" w:eastAsia="宋体" w:cs="宋体"/>
          <w:b w:val="0"/>
          <w:bCs w:val="0"/>
          <w:color w:val="000000" w:themeColor="text1"/>
          <w:sz w:val="36"/>
          <w:szCs w:val="36"/>
        </w:rPr>
        <w:t xml:space="preserve">第四章   采购需求</w:t>
      </w:r>
      <w:r>
        <w:rPr>
          <w:rFonts w:hint="eastAsia" w:ascii="宋体" w:hAnsi="宋体" w:eastAsia="宋体" w:cs="宋体"/>
          <w:b w:val="0"/>
          <w:bCs w:val="0"/>
          <w:color w:val="000000" w:themeColor="text1"/>
          <w:sz w:val="36"/>
          <w:szCs w:val="36"/>
        </w:rPr>
        <w:tab/>
      </w:r>
      <w:r>
        <w:rPr>
          <w:rFonts w:hint="eastAsia" w:ascii="宋体" w:hAnsi="宋体" w:eastAsia="宋体" w:cs="宋体"/>
          <w:b w:val="0"/>
          <w:bCs w:val="0"/>
          <w:color w:val="000000" w:themeColor="text1"/>
          <w:sz w:val="36"/>
          <w:szCs w:val="36"/>
        </w:rPr>
        <w:fldChar w:fldCharType="begin"/>
      </w:r>
      <w:r>
        <w:rPr>
          <w:rFonts w:hint="eastAsia" w:ascii="宋体" w:hAnsi="宋体" w:eastAsia="宋体" w:cs="宋体"/>
          <w:b w:val="0"/>
          <w:bCs w:val="0"/>
          <w:color w:val="000000" w:themeColor="text1"/>
          <w:sz w:val="36"/>
          <w:szCs w:val="36"/>
        </w:rPr>
        <w:instrText xml:space="preserve"> PAGEREF _Toc104818928 \h </w:instrText>
      </w:r>
      <w:r>
        <w:rPr>
          <w:rFonts w:hint="eastAsia" w:ascii="宋体" w:hAnsi="宋体" w:eastAsia="宋体" w:cs="宋体"/>
          <w:b w:val="0"/>
          <w:bCs w:val="0"/>
          <w:color w:val="000000" w:themeColor="text1"/>
          <w:sz w:val="36"/>
          <w:szCs w:val="36"/>
        </w:rPr>
        <w:fldChar w:fldCharType="separate"/>
      </w:r>
      <w:r>
        <w:rPr>
          <w:rFonts w:hint="eastAsia" w:ascii="宋体" w:hAnsi="宋体" w:eastAsia="宋体" w:cs="宋体"/>
          <w:b w:val="0"/>
          <w:bCs w:val="0"/>
          <w:color w:val="000000" w:themeColor="text1"/>
          <w:sz w:val="36"/>
          <w:szCs w:val="36"/>
        </w:rPr>
        <w:t xml:space="preserve">29</w:t>
      </w:r>
      <w:r>
        <w:rPr>
          <w:rFonts w:hint="eastAsia" w:ascii="宋体" w:hAnsi="宋体" w:eastAsia="宋体" w:cs="宋体"/>
          <w:b w:val="0"/>
          <w:bCs w:val="0"/>
          <w:color w:val="000000" w:themeColor="text1"/>
          <w:sz w:val="36"/>
          <w:szCs w:val="36"/>
        </w:rPr>
        <w:fldChar w:fldCharType="end"/>
      </w:r>
      <w:r>
        <w:rPr>
          <w:rStyle w:val="1257"/>
          <w:rFonts w:hint="eastAsia" w:ascii="宋体" w:hAnsi="宋体" w:eastAsia="宋体" w:cs="宋体"/>
          <w:b w:val="0"/>
          <w:bCs w:val="0"/>
          <w:color w:val="000000" w:themeColor="text1"/>
          <w:sz w:val="36"/>
          <w:szCs w:val="36"/>
        </w:rPr>
        <w:fldChar w:fldCharType="end"/>
      </w:r>
      <w:r>
        <w:rPr>
          <w:color w:val="000000" w:themeColor="text1"/>
        </w:rPr>
      </w:r>
    </w:p>
    <w:p>
      <w:pPr>
        <w:pStyle w:val="1233"/>
        <w:rPr>
          <w:rFonts w:hint="eastAsia" w:ascii="宋体" w:hAnsi="宋体" w:eastAsia="宋体" w:cs="宋体"/>
          <w:b w:val="0"/>
          <w:bCs w:val="0"/>
          <w:color w:val="000000" w:themeColor="text1"/>
          <w:sz w:val="36"/>
          <w:szCs w:val="36"/>
        </w:rPr>
      </w:pPr>
      <w:r>
        <w:rPr>
          <w:rStyle w:val="1257"/>
          <w:rFonts w:hint="eastAsia" w:ascii="宋体" w:hAnsi="宋体" w:eastAsia="宋体" w:cs="宋体"/>
          <w:b w:val="0"/>
          <w:bCs w:val="0"/>
          <w:color w:val="000000" w:themeColor="text1"/>
          <w:sz w:val="36"/>
          <w:szCs w:val="36"/>
        </w:rPr>
        <w:fldChar w:fldCharType="begin"/>
      </w:r>
      <w:r>
        <w:rPr>
          <w:rStyle w:val="1257"/>
          <w:rFonts w:hint="eastAsia" w:ascii="宋体" w:hAnsi="宋体" w:eastAsia="宋体" w:cs="宋体"/>
          <w:b w:val="0"/>
          <w:bCs w:val="0"/>
          <w:color w:val="000000" w:themeColor="text1"/>
          <w:sz w:val="36"/>
          <w:szCs w:val="36"/>
        </w:rPr>
        <w:instrText xml:space="preserve"> </w:instrText>
      </w:r>
      <w:r>
        <w:rPr>
          <w:rFonts w:hint="eastAsia" w:ascii="宋体" w:hAnsi="宋体" w:eastAsia="宋体" w:cs="宋体"/>
          <w:b w:val="0"/>
          <w:bCs w:val="0"/>
          <w:color w:val="000000" w:themeColor="text1"/>
          <w:sz w:val="36"/>
          <w:szCs w:val="36"/>
        </w:rPr>
        <w:instrText xml:space="preserve">HYPERLINK \l "_Toc104818929"</w:instrText>
      </w:r>
      <w:r>
        <w:rPr>
          <w:rStyle w:val="1257"/>
          <w:rFonts w:hint="eastAsia" w:ascii="宋体" w:hAnsi="宋体" w:eastAsia="宋体" w:cs="宋体"/>
          <w:b w:val="0"/>
          <w:bCs w:val="0"/>
          <w:color w:val="000000" w:themeColor="text1"/>
          <w:sz w:val="36"/>
          <w:szCs w:val="36"/>
        </w:rPr>
        <w:instrText xml:space="preserve"> </w:instrText>
      </w:r>
      <w:r>
        <w:rPr>
          <w:rStyle w:val="1257"/>
          <w:rFonts w:hint="eastAsia" w:ascii="宋体" w:hAnsi="宋体" w:eastAsia="宋体" w:cs="宋体"/>
          <w:b w:val="0"/>
          <w:bCs w:val="0"/>
          <w:color w:val="000000" w:themeColor="text1"/>
          <w:sz w:val="36"/>
          <w:szCs w:val="36"/>
        </w:rPr>
        <w:fldChar w:fldCharType="separate"/>
      </w:r>
      <w:r>
        <w:rPr>
          <w:rStyle w:val="1257"/>
          <w:rFonts w:hint="eastAsia" w:ascii="宋体" w:hAnsi="宋体" w:eastAsia="宋体" w:cs="宋体"/>
          <w:b w:val="0"/>
          <w:bCs w:val="0"/>
          <w:color w:val="000000" w:themeColor="text1"/>
          <w:sz w:val="36"/>
          <w:szCs w:val="36"/>
        </w:rPr>
        <w:t xml:space="preserve">第五章   合同草案条款</w:t>
      </w:r>
      <w:r>
        <w:rPr>
          <w:rFonts w:hint="eastAsia" w:ascii="宋体" w:hAnsi="宋体" w:eastAsia="宋体" w:cs="宋体"/>
          <w:b w:val="0"/>
          <w:bCs w:val="0"/>
          <w:color w:val="000000" w:themeColor="text1"/>
          <w:sz w:val="36"/>
          <w:szCs w:val="36"/>
        </w:rPr>
        <w:tab/>
      </w:r>
      <w:r>
        <w:rPr>
          <w:rFonts w:hint="eastAsia" w:ascii="宋体" w:hAnsi="宋体" w:eastAsia="宋体" w:cs="宋体"/>
          <w:b w:val="0"/>
          <w:bCs w:val="0"/>
          <w:color w:val="000000" w:themeColor="text1"/>
          <w:sz w:val="36"/>
          <w:szCs w:val="36"/>
        </w:rPr>
        <w:fldChar w:fldCharType="begin"/>
      </w:r>
      <w:r>
        <w:rPr>
          <w:rFonts w:hint="eastAsia" w:ascii="宋体" w:hAnsi="宋体" w:eastAsia="宋体" w:cs="宋体"/>
          <w:b w:val="0"/>
          <w:bCs w:val="0"/>
          <w:color w:val="000000" w:themeColor="text1"/>
          <w:sz w:val="36"/>
          <w:szCs w:val="36"/>
        </w:rPr>
        <w:instrText xml:space="preserve"> PAGEREF _Toc104818929 \h </w:instrText>
      </w:r>
      <w:r>
        <w:rPr>
          <w:rFonts w:hint="eastAsia" w:ascii="宋体" w:hAnsi="宋体" w:eastAsia="宋体" w:cs="宋体"/>
          <w:b w:val="0"/>
          <w:bCs w:val="0"/>
          <w:color w:val="000000" w:themeColor="text1"/>
          <w:sz w:val="36"/>
          <w:szCs w:val="36"/>
        </w:rPr>
        <w:fldChar w:fldCharType="separate"/>
      </w:r>
      <w:r>
        <w:rPr>
          <w:rFonts w:hint="eastAsia" w:ascii="宋体" w:hAnsi="宋体" w:eastAsia="宋体" w:cs="宋体"/>
          <w:b w:val="0"/>
          <w:bCs w:val="0"/>
          <w:color w:val="000000" w:themeColor="text1"/>
          <w:sz w:val="36"/>
          <w:szCs w:val="36"/>
        </w:rPr>
        <w:t xml:space="preserve">33</w:t>
      </w:r>
      <w:r>
        <w:rPr>
          <w:rFonts w:hint="eastAsia" w:ascii="宋体" w:hAnsi="宋体" w:eastAsia="宋体" w:cs="宋体"/>
          <w:b w:val="0"/>
          <w:bCs w:val="0"/>
          <w:color w:val="000000" w:themeColor="text1"/>
          <w:sz w:val="36"/>
          <w:szCs w:val="36"/>
        </w:rPr>
        <w:fldChar w:fldCharType="end"/>
      </w:r>
      <w:r>
        <w:rPr>
          <w:rStyle w:val="1257"/>
          <w:rFonts w:hint="eastAsia" w:ascii="宋体" w:hAnsi="宋体" w:eastAsia="宋体" w:cs="宋体"/>
          <w:b w:val="0"/>
          <w:bCs w:val="0"/>
          <w:color w:val="000000" w:themeColor="text1"/>
          <w:sz w:val="36"/>
          <w:szCs w:val="36"/>
        </w:rPr>
        <w:fldChar w:fldCharType="end"/>
      </w:r>
      <w:r>
        <w:rPr>
          <w:color w:val="000000" w:themeColor="text1"/>
        </w:rPr>
      </w:r>
    </w:p>
    <w:p>
      <w:pPr>
        <w:pStyle w:val="1233"/>
        <w:rPr>
          <w:rFonts w:hint="eastAsia" w:ascii="宋体" w:hAnsi="宋体" w:eastAsia="宋体" w:cs="宋体"/>
          <w:b w:val="0"/>
          <w:bCs w:val="0"/>
          <w:sz w:val="36"/>
          <w:szCs w:val="36"/>
          <w:lang w:val="en-US" w:eastAsia="zh-CN"/>
        </w:rPr>
      </w:pPr>
      <w:r>
        <w:rPr>
          <w:rStyle w:val="1257"/>
          <w:rFonts w:hint="eastAsia" w:ascii="宋体" w:hAnsi="宋体" w:eastAsia="宋体" w:cs="宋体"/>
          <w:b w:val="0"/>
          <w:bCs w:val="0"/>
          <w:color w:val="000000" w:themeColor="text1"/>
          <w:sz w:val="36"/>
          <w:szCs w:val="36"/>
        </w:rPr>
        <w:fldChar w:fldCharType="begin"/>
      </w:r>
      <w:r>
        <w:rPr>
          <w:rStyle w:val="1257"/>
          <w:rFonts w:hint="eastAsia" w:ascii="宋体" w:hAnsi="宋体" w:eastAsia="宋体" w:cs="宋体"/>
          <w:b w:val="0"/>
          <w:bCs w:val="0"/>
          <w:color w:val="000000" w:themeColor="text1"/>
          <w:sz w:val="36"/>
          <w:szCs w:val="36"/>
        </w:rPr>
        <w:instrText xml:space="preserve"> </w:instrText>
      </w:r>
      <w:r>
        <w:rPr>
          <w:rFonts w:hint="eastAsia" w:ascii="宋体" w:hAnsi="宋体" w:eastAsia="宋体" w:cs="宋体"/>
          <w:b w:val="0"/>
          <w:bCs w:val="0"/>
          <w:color w:val="000000" w:themeColor="text1"/>
          <w:sz w:val="36"/>
          <w:szCs w:val="36"/>
        </w:rPr>
        <w:instrText xml:space="preserve">HYPERLINK \l "_Toc104818930"</w:instrText>
      </w:r>
      <w:r>
        <w:rPr>
          <w:rStyle w:val="1257"/>
          <w:rFonts w:hint="eastAsia" w:ascii="宋体" w:hAnsi="宋体" w:eastAsia="宋体" w:cs="宋体"/>
          <w:b w:val="0"/>
          <w:bCs w:val="0"/>
          <w:color w:val="000000" w:themeColor="text1"/>
          <w:sz w:val="36"/>
          <w:szCs w:val="36"/>
        </w:rPr>
        <w:instrText xml:space="preserve"> </w:instrText>
      </w:r>
      <w:r>
        <w:rPr>
          <w:rStyle w:val="1257"/>
          <w:rFonts w:hint="eastAsia" w:ascii="宋体" w:hAnsi="宋体" w:eastAsia="宋体" w:cs="宋体"/>
          <w:b w:val="0"/>
          <w:bCs w:val="0"/>
          <w:color w:val="000000" w:themeColor="text1"/>
          <w:sz w:val="36"/>
          <w:szCs w:val="36"/>
        </w:rPr>
        <w:fldChar w:fldCharType="separate"/>
      </w:r>
      <w:r>
        <w:rPr>
          <w:rStyle w:val="1257"/>
          <w:rFonts w:hint="eastAsia" w:ascii="宋体" w:hAnsi="宋体" w:eastAsia="宋体" w:cs="宋体"/>
          <w:b w:val="0"/>
          <w:bCs w:val="0"/>
          <w:color w:val="000000" w:themeColor="text1"/>
          <w:sz w:val="36"/>
          <w:szCs w:val="36"/>
        </w:rPr>
        <w:t xml:space="preserve">第六章   响应文件格式</w:t>
      </w:r>
      <w:r>
        <w:rPr>
          <w:rFonts w:hint="eastAsia" w:ascii="宋体" w:hAnsi="宋体" w:eastAsia="宋体" w:cs="宋体"/>
          <w:b w:val="0"/>
          <w:bCs w:val="0"/>
          <w:color w:val="000000" w:themeColor="text1"/>
          <w:sz w:val="36"/>
          <w:szCs w:val="36"/>
        </w:rPr>
        <w:tab/>
      </w:r>
      <w:r>
        <w:rPr>
          <w:rFonts w:hint="eastAsia" w:ascii="宋体" w:hAnsi="宋体" w:eastAsia="宋体" w:cs="宋体"/>
          <w:b w:val="0"/>
          <w:bCs w:val="0"/>
          <w:color w:val="000000" w:themeColor="text1"/>
          <w:sz w:val="36"/>
          <w:szCs w:val="36"/>
          <w:lang w:val="en-US" w:eastAsia="zh-CN"/>
        </w:rPr>
        <w:t xml:space="preserve">6</w:t>
      </w:r>
      <w:r>
        <w:rPr>
          <w:rStyle w:val="1257"/>
          <w:rFonts w:hint="eastAsia" w:ascii="宋体" w:hAnsi="宋体" w:eastAsia="宋体" w:cs="宋体"/>
          <w:b w:val="0"/>
          <w:bCs w:val="0"/>
          <w:color w:val="000000" w:themeColor="text1"/>
          <w:sz w:val="36"/>
          <w:szCs w:val="36"/>
        </w:rPr>
        <w:fldChar w:fldCharType="end"/>
      </w:r>
      <w:r>
        <w:rPr>
          <w:rStyle w:val="1257"/>
          <w:rFonts w:hint="eastAsia" w:ascii="宋体" w:hAnsi="宋体" w:eastAsia="宋体" w:cs="宋体"/>
          <w:b w:val="0"/>
          <w:bCs w:val="0"/>
          <w:sz w:val="36"/>
          <w:szCs w:val="36"/>
          <w:lang w:val="en-US" w:eastAsia="zh-CN"/>
        </w:rPr>
        <w:t xml:space="preserve">3</w:t>
      </w:r>
      <w:r/>
    </w:p>
    <w:p>
      <w:pPr>
        <w:pStyle w:val="1233"/>
        <w:spacing w:line="360" w:lineRule="auto"/>
        <w:rPr>
          <w:rFonts w:ascii="Times New Roman" w:hAnsi="Times New Roman"/>
          <w:b w:val="0"/>
        </w:rPr>
      </w:pPr>
      <w:r>
        <w:rPr>
          <w:rFonts w:hint="eastAsia" w:ascii="宋体" w:hAnsi="宋体" w:eastAsia="宋体" w:cs="宋体"/>
          <w:b w:val="0"/>
          <w:bCs w:val="0"/>
          <w:sz w:val="36"/>
          <w:szCs w:val="36"/>
        </w:rPr>
        <w:fldChar w:fldCharType="end"/>
      </w:r>
      <w:r/>
    </w:p>
    <w:p>
      <w:pPr>
        <w:pStyle w:val="1233"/>
        <w:spacing w:line="360" w:lineRule="auto"/>
        <w:rPr>
          <w:b w:val="0"/>
          <w:sz w:val="36"/>
          <w:szCs w:val="36"/>
        </w:rPr>
      </w:pPr>
      <w:r>
        <w:rPr>
          <w:b w:val="0"/>
          <w:sz w:val="36"/>
          <w:szCs w:val="36"/>
        </w:rPr>
      </w:r>
      <w:r/>
    </w:p>
    <w:p>
      <w:pPr>
        <w:jc w:val="center"/>
        <w:spacing w:line="360" w:lineRule="auto"/>
        <w:rPr>
          <w:b/>
          <w:sz w:val="36"/>
          <w:szCs w:val="36"/>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sz w:val="36"/>
          <w:szCs w:val="36"/>
        </w:rPr>
        <w:br w:type="page" w:clear="all"/>
      </w:r>
      <w:r/>
    </w:p>
    <w:p>
      <w:pPr>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Toc28359002"/>
      <w:r/>
      <w:bookmarkStart w:id="4" w:name="_Toc35393621"/>
      <w:r/>
      <w:bookmarkStart w:id="5" w:name="_Toc28359079"/>
      <w:r/>
      <w:bookmarkStart w:id="6" w:name="_Hlk24379207"/>
      <w:r/>
      <w:r/>
    </w:p>
    <w:p>
      <w:pPr>
        <w:ind w:firstLine="480"/>
        <w:spacing w:line="360" w:lineRule="auto"/>
        <w:rPr>
          <w:sz w:val="24"/>
        </w:rPr>
      </w:pPr>
      <w:r>
        <w:rPr>
          <w:sz w:val="24"/>
        </w:rPr>
      </w:r>
      <w:r/>
    </w:p>
    <w:p>
      <w:pPr>
        <w:pStyle w:val="1181"/>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rFonts w:hint="eastAsia" w:eastAsia="宋体"/>
          <w:sz w:val="24"/>
          <w:lang w:eastAsia="zh-CN"/>
        </w:rPr>
      </w:pPr>
      <w:r>
        <w:rPr>
          <w:sz w:val="24"/>
        </w:rPr>
        <w:t xml:space="preserve">1.项目编号/</w:t>
      </w:r>
      <w:r>
        <w:rPr>
          <w:rFonts w:hint="eastAsia" w:ascii="Times New Roman" w:hAnsi="Times New Roman" w:eastAsia="宋体" w:cs="Times New Roman"/>
          <w:sz w:val="24"/>
          <w:lang w:eastAsia="zh-CN"/>
        </w:rPr>
        <w:t xml:space="preserve">包号：</w:t>
      </w:r>
      <w:r>
        <w:rPr>
          <w:rFonts w:hint="eastAsia"/>
          <w:sz w:val="24"/>
          <w:lang w:val="en-US" w:eastAsia="zh-CN"/>
        </w:rPr>
        <w:t xml:space="preserve">JSZC-320412-CZBR-C2026-0001</w:t>
      </w:r>
      <w:r/>
    </w:p>
    <w:p>
      <w:pPr>
        <w:ind w:firstLine="480"/>
        <w:spacing w:line="360" w:lineRule="auto"/>
        <w:rPr>
          <w:rFonts w:hint="eastAsia" w:eastAsia="宋体"/>
          <w:sz w:val="24"/>
          <w:lang w:eastAsia="zh-CN"/>
        </w:rPr>
      </w:pPr>
      <w:r>
        <w:rPr>
          <w:sz w:val="24"/>
        </w:rPr>
        <w:t xml:space="preserve">2.项目名称：</w:t>
      </w:r>
      <w:r>
        <w:rPr>
          <w:rFonts w:hint="eastAsia"/>
          <w:sz w:val="24"/>
          <w:lang w:eastAsia="zh-CN"/>
        </w:rPr>
        <w:t xml:space="preserve">南夏墅集镇区市容环境综合整治提升</w:t>
      </w:r>
      <w:r/>
    </w:p>
    <w:p>
      <w:pPr>
        <w:ind w:firstLine="480"/>
        <w:spacing w:line="360" w:lineRule="auto"/>
        <w:rPr>
          <w:color w:val="auto"/>
          <w:sz w:val="24"/>
        </w:rPr>
      </w:pPr>
      <w:r>
        <w:rPr>
          <w:sz w:val="24"/>
        </w:rPr>
        <w:t xml:space="preserve">3.采购方式：竞争性磋商</w:t>
      </w:r>
      <w:bookmarkEnd w:id="6"/>
      <w:r/>
    </w:p>
    <w:p>
      <w:pPr>
        <w:ind w:firstLine="480"/>
        <w:spacing w:line="360" w:lineRule="auto"/>
        <w:rPr>
          <w:rFonts w:hint="eastAsia"/>
          <w:lang w:eastAsia="zh-CN"/>
        </w:rPr>
      </w:pPr>
      <w:r>
        <w:rPr>
          <w:color w:val="auto"/>
          <w:sz w:val="24"/>
        </w:rPr>
        <w:t xml:space="preserve">4.项目预算金额：</w:t>
      </w:r>
      <w:r>
        <w:rPr>
          <w:rFonts w:hint="eastAsia"/>
          <w:color w:val="auto"/>
          <w:sz w:val="24"/>
          <w:lang w:val="en-US" w:eastAsia="zh-CN"/>
        </w:rPr>
        <w:t xml:space="preserve">152</w:t>
      </w:r>
      <w:r>
        <w:rPr>
          <w:rFonts w:hint="eastAsia"/>
          <w:color w:val="auto"/>
          <w:sz w:val="24"/>
        </w:rPr>
        <w:t xml:space="preserve">万元</w:t>
      </w:r>
      <w:r>
        <w:rPr>
          <w:rFonts w:hint="eastAsia"/>
          <w:color w:val="auto"/>
          <w:sz w:val="24"/>
          <w:lang w:eastAsia="zh-CN"/>
        </w:rPr>
        <w:t xml:space="preserve">。</w:t>
      </w:r>
      <w:r>
        <w:rPr>
          <w:rFonts w:hint="eastAsia"/>
          <w:color w:val="auto"/>
          <w:sz w:val="24"/>
        </w:rPr>
        <w:t xml:space="preserve">项目最高限价：</w:t>
      </w:r>
      <w:r>
        <w:rPr>
          <w:rFonts w:hint="eastAsia"/>
          <w:color w:val="auto"/>
          <w:sz w:val="24"/>
          <w:lang w:val="en-US" w:eastAsia="zh-CN"/>
        </w:rPr>
        <w:t xml:space="preserve">151.017382万</w:t>
      </w:r>
      <w:r>
        <w:rPr>
          <w:rFonts w:hint="eastAsia"/>
          <w:color w:val="auto"/>
          <w:sz w:val="24"/>
        </w:rPr>
        <w:t xml:space="preserve">元</w:t>
      </w:r>
      <w:r>
        <w:rPr>
          <w:rFonts w:hint="eastAsia"/>
          <w:color w:val="auto"/>
          <w:sz w:val="24"/>
          <w:lang w:eastAsia="zh-CN"/>
        </w:rPr>
        <w:t xml:space="preserve">。</w:t>
      </w:r>
      <w:r/>
    </w:p>
    <w:p>
      <w:pPr>
        <w:ind w:firstLine="480"/>
        <w:spacing w:line="360" w:lineRule="auto"/>
        <w:rPr>
          <w:rFonts w:hint="eastAsia"/>
          <w:sz w:val="24"/>
          <w:lang w:eastAsia="zh-CN"/>
        </w:rPr>
      </w:pPr>
      <w:r>
        <w:rPr>
          <w:rFonts w:hint="eastAsia"/>
          <w:sz w:val="24"/>
          <w:lang w:eastAsia="zh-CN"/>
        </w:rPr>
        <w:t xml:space="preserve">5.采购需求：</w:t>
      </w:r>
      <w:r>
        <w:rPr>
          <w:rFonts w:hint="eastAsia" w:ascii="宋体" w:hAnsi="宋体"/>
          <w:sz w:val="24"/>
        </w:rPr>
        <w:t xml:space="preserve">本项目为</w:t>
      </w:r>
      <w:r>
        <w:rPr>
          <w:rFonts w:hint="eastAsia"/>
          <w:sz w:val="24"/>
          <w:lang w:eastAsia="zh-CN"/>
        </w:rPr>
        <w:t xml:space="preserve">南夏墅集镇区市容环境综合整治提升</w:t>
      </w:r>
      <w:r>
        <w:rPr>
          <w:rFonts w:hint="eastAsia" w:ascii="宋体" w:hAnsi="宋体"/>
          <w:sz w:val="24"/>
        </w:rPr>
        <w:t xml:space="preserve">，</w:t>
      </w:r>
      <w:r>
        <w:rPr>
          <w:rFonts w:hint="eastAsia" w:ascii="宋体" w:hAnsi="宋体"/>
          <w:sz w:val="24"/>
          <w:lang w:eastAsia="zh-CN"/>
        </w:rPr>
        <w:t xml:space="preserve">主要是对南夏墅集镇区沿街建筑物墙面、屋面及配套设施进行整修。</w:t>
      </w:r>
      <w:r>
        <w:rPr>
          <w:rFonts w:hint="eastAsia" w:ascii="宋体" w:hAnsi="宋体"/>
          <w:sz w:val="24"/>
        </w:rPr>
        <w:t xml:space="preserve">具体内容包括但不限于完成采购文件中清单范围内所有工程的施工、验收、保修等内容。</w:t>
      </w:r>
      <w:r/>
    </w:p>
    <w:p>
      <w:pPr>
        <w:ind w:firstLine="480"/>
        <w:spacing w:line="360" w:lineRule="auto"/>
        <w:rPr>
          <w:color w:val="000000"/>
          <w:sz w:val="24"/>
          <w:u w:val="single"/>
        </w:rPr>
      </w:pPr>
      <w:r>
        <w:rPr>
          <w:color w:val="auto"/>
          <w:sz w:val="24"/>
        </w:rPr>
        <w:t xml:space="preserve">6.合同履行期限：</w:t>
      </w:r>
      <w:r>
        <w:rPr>
          <w:rFonts w:hint="eastAsia"/>
          <w:color w:val="auto"/>
          <w:sz w:val="24"/>
        </w:rPr>
        <w:t xml:space="preserve">合同签订后</w:t>
      </w:r>
      <w:r>
        <w:rPr>
          <w:rFonts w:hint="eastAsia"/>
          <w:color w:val="auto"/>
          <w:sz w:val="24"/>
          <w:lang w:val="en-US" w:eastAsia="zh-CN"/>
        </w:rPr>
        <w:t xml:space="preserve">90</w:t>
      </w:r>
      <w:r>
        <w:rPr>
          <w:rFonts w:hint="eastAsia"/>
          <w:color w:val="auto"/>
          <w:sz w:val="24"/>
        </w:rPr>
        <w:t xml:space="preserve">日历天内完成清</w:t>
      </w:r>
      <w:r>
        <w:rPr>
          <w:rFonts w:hint="eastAsia"/>
          <w:color w:val="000000"/>
          <w:sz w:val="24"/>
        </w:rPr>
        <w:t xml:space="preserve">单范围内的全部工程，并经采购人验收合格。</w:t>
      </w:r>
      <w:r>
        <w:rPr>
          <w:color w:val="000000"/>
          <w:sz w:val="24"/>
        </w:rPr>
        <w:t xml:space="preserve"> </w:t>
      </w:r>
      <w:r/>
    </w:p>
    <w:p>
      <w:pPr>
        <w:ind w:firstLine="480"/>
        <w:spacing w:line="360" w:lineRule="auto"/>
        <w:rPr>
          <w:sz w:val="24"/>
        </w:rPr>
      </w:pPr>
      <w:r>
        <w:rPr>
          <w:sz w:val="24"/>
        </w:rPr>
        <w:t xml:space="preserve">7.本项目是否接受联合体：</w:t>
      </w:r>
      <w:r>
        <w:t xml:space="preserve">□</w:t>
      </w:r>
      <w:r>
        <w:rPr>
          <w:sz w:val="24"/>
        </w:rPr>
        <w:t xml:space="preserve">是  </w:t>
      </w:r>
      <w:r>
        <w:rPr>
          <w:rFonts w:hint="eastAsia" w:ascii="宋体" w:hAnsi="宋体"/>
        </w:rPr>
        <w:t xml:space="preserve">■</w:t>
      </w:r>
      <w:r>
        <w:rPr>
          <w:sz w:val="24"/>
        </w:rPr>
        <w:t xml:space="preserve">否。</w:t>
      </w:r>
      <w:r/>
    </w:p>
    <w:p>
      <w:pPr>
        <w:ind w:firstLine="480"/>
        <w:spacing w:line="360" w:lineRule="auto"/>
        <w:rPr>
          <w:sz w:val="24"/>
        </w:rPr>
      </w:pPr>
      <w:r/>
      <w:bookmarkStart w:id="7" w:name="_Toc35393622"/>
      <w:r/>
      <w:bookmarkStart w:id="8" w:name="_Toc28359080"/>
      <w:r/>
      <w:bookmarkStart w:id="9" w:name="_Toc35393791"/>
      <w:r/>
      <w:bookmarkStart w:id="10" w:name="_Toc28359003"/>
      <w:r>
        <w:rPr>
          <w:rFonts w:hint="eastAsia"/>
          <w:sz w:val="24"/>
        </w:rPr>
        <w:t xml:space="preserve">8.</w:t>
      </w:r>
      <w:r>
        <w:rPr>
          <w:sz w:val="24"/>
        </w:rPr>
        <w:t xml:space="preserve">本项目是否接受</w:t>
      </w:r>
      <w:r>
        <w:rPr>
          <w:rFonts w:hint="eastAsia"/>
          <w:sz w:val="24"/>
        </w:rPr>
        <w:t xml:space="preserve">进口产品响应</w:t>
      </w:r>
      <w:r>
        <w:rPr>
          <w:sz w:val="24"/>
        </w:rPr>
        <w:t xml:space="preserve">：□是  </w:t>
      </w:r>
      <w:r>
        <w:rPr>
          <w:rFonts w:hint="eastAsia" w:ascii="宋体" w:hAnsi="宋体"/>
        </w:rPr>
        <w:t xml:space="preserve">■</w:t>
      </w:r>
      <w:r>
        <w:rPr>
          <w:sz w:val="24"/>
        </w:rPr>
        <w:t xml:space="preserve">否。</w:t>
      </w:r>
      <w:r/>
    </w:p>
    <w:p>
      <w:pPr>
        <w:pStyle w:val="1181"/>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360" w:lineRule="auto"/>
        <w:rPr>
          <w:rFonts w:hint="eastAsia"/>
          <w:sz w:val="24"/>
        </w:rPr>
      </w:pPr>
      <w:r/>
      <w:bookmarkStart w:id="11" w:name="_Toc28359081"/>
      <w:r/>
      <w:bookmarkStart w:id="12" w:name="_Toc28359004"/>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本项目不专门面向中小企业预留采购份额。</w:t>
      </w:r>
      <w:r/>
    </w:p>
    <w:p>
      <w:pPr>
        <w:ind w:firstLine="420"/>
        <w:spacing w:line="360" w:lineRule="auto"/>
        <w:rPr>
          <w:sz w:val="24"/>
        </w:rPr>
      </w:pPr>
      <w:r>
        <w:rPr>
          <w:rFonts w:hint="eastAsia" w:ascii="宋体" w:hAnsi="宋体"/>
        </w:rPr>
        <w:t xml:space="preserve">■</w:t>
      </w:r>
      <w:r>
        <w:rPr>
          <w:rFonts w:ascii="Times New Roman" w:hAnsi="Times New Roman" w:eastAsia="宋体" w:cs="Times New Roman"/>
          <w:sz w:val="24"/>
        </w:rPr>
        <w:t xml:space="preserve">本项目专门面向  </w:t>
      </w:r>
      <w:r>
        <w:rPr>
          <w:rFonts w:hint="eastAsia" w:ascii="宋体" w:hAnsi="宋体"/>
        </w:rPr>
        <w:t xml:space="preserve">■</w:t>
      </w:r>
      <w:r>
        <w:rPr>
          <w:rFonts w:ascii="Times New Roman" w:hAnsi="Times New Roman" w:eastAsia="宋体" w:cs="Times New Roman"/>
          <w:sz w:val="24"/>
        </w:rPr>
        <w:t xml:space="preserve">中小 </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小微企业  采购。即：提供的货物全部由符合政策要求的中小企业制造、服</w:t>
      </w:r>
      <w:r>
        <w:rPr>
          <w:sz w:val="24"/>
        </w:rPr>
        <w:t xml:space="preserve">务全部由符合政策要求的中小企业承接。</w:t>
      </w:r>
      <w:r/>
    </w:p>
    <w:p>
      <w:pPr>
        <w:ind w:firstLine="420"/>
        <w:spacing w:line="360" w:lineRule="auto"/>
        <w:rPr>
          <w:sz w:val="24"/>
        </w:rPr>
      </w:pPr>
      <w:r>
        <w:rPr>
          <w:rFonts w:ascii="仿宋" w:hAnsi="仿宋" w:eastAsia="仿宋"/>
          <w:color w:val="000000" w:themeColor="text1"/>
          <w:sz w:val="32"/>
          <w:szCs w:val="32"/>
          <w:highlight w:val="none"/>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w:t>
      </w:r>
      <w:r>
        <w:rPr>
          <w:rFonts w:hint="eastAsia"/>
          <w:sz w:val="24"/>
        </w:rPr>
        <w:t xml:space="preserve">。</w:t>
      </w:r>
      <w:r/>
    </w:p>
    <w:p>
      <w:pPr>
        <w:ind w:firstLine="480"/>
        <w:spacing w:line="360" w:lineRule="auto"/>
        <w:rPr>
          <w:sz w:val="24"/>
        </w:rPr>
      </w:pPr>
      <w:r>
        <w:rPr>
          <w:sz w:val="24"/>
        </w:rPr>
        <w:t xml:space="preserve">2.2 其它落实政府采购政策的资格要求（如有）：</w:t>
      </w:r>
      <w:r>
        <w:rPr>
          <w:rFonts w:hint="eastAsia"/>
          <w:sz w:val="24"/>
          <w:u w:val="single"/>
        </w:rPr>
        <w:t xml:space="preserve">/</w:t>
      </w:r>
      <w:r>
        <w:rPr>
          <w:rFonts w:hint="eastAsia"/>
          <w:sz w:val="24"/>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rPr>
          <w:rFonts w:ascii="仿宋" w:hAnsi="仿宋" w:eastAsia="仿宋"/>
          <w:color w:val="000000" w:themeColor="text1"/>
          <w:sz w:val="32"/>
          <w:szCs w:val="32"/>
          <w:highlight w:val="none"/>
        </w:rPr>
        <w:t xml:space="preserve">□</w:t>
      </w:r>
      <w:r>
        <w:rPr>
          <w:sz w:val="24"/>
        </w:rPr>
        <w:t xml:space="preserve">是   </w:t>
      </w:r>
      <w:r>
        <w:rPr>
          <w:rFonts w:hint="eastAsia" w:ascii="宋体" w:hAnsi="宋体"/>
        </w:rPr>
        <w:t xml:space="preserve">■</w:t>
      </w:r>
      <w:r>
        <w:rPr>
          <w:sz w:val="24"/>
        </w:rPr>
        <w:t xml:space="preserve">否；（仅当项目涉及银行、保险、石油石化、电力、电信等行业有特殊情况的，可以接受分支机构参与）</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sz w:val="24"/>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val="0"/>
          <w:bCs w:val="0"/>
          <w:color w:val="auto"/>
          <w:sz w:val="24"/>
          <w:szCs w:val="24"/>
          <w:highlight w:val="none"/>
          <w:lang w:eastAsia="zh-CN"/>
        </w:rPr>
      </w:pPr>
      <w:r>
        <w:rPr>
          <w:rFonts w:hint="eastAsia" w:ascii="Times New Roman" w:hAnsi="Times New Roman" w:eastAsia="宋体" w:cs="Times New Roman"/>
          <w:b w:val="0"/>
          <w:bCs w:val="0"/>
          <w:color w:val="auto"/>
          <w:sz w:val="24"/>
          <w:szCs w:val="24"/>
          <w:highlight w:val="none"/>
        </w:rPr>
        <w:t xml:space="preserve">（</w:t>
      </w:r>
      <w:r>
        <w:rPr>
          <w:rFonts w:hint="eastAsia" w:ascii="Times New Roman" w:hAnsi="Times New Roman" w:eastAsia="宋体" w:cs="Times New Roman"/>
          <w:b w:val="0"/>
          <w:bCs w:val="0"/>
          <w:color w:val="auto"/>
          <w:sz w:val="24"/>
          <w:szCs w:val="24"/>
          <w:highlight w:val="none"/>
          <w:lang w:val="en-US" w:eastAsia="zh-CN"/>
        </w:rPr>
        <w:t xml:space="preserve">1</w:t>
      </w:r>
      <w:r>
        <w:rPr>
          <w:rFonts w:hint="eastAsia" w:ascii="Times New Roman" w:hAnsi="Times New Roman" w:eastAsia="宋体" w:cs="Times New Roman"/>
          <w:b w:val="0"/>
          <w:bCs w:val="0"/>
          <w:color w:val="auto"/>
          <w:sz w:val="24"/>
          <w:szCs w:val="24"/>
          <w:highlight w:val="none"/>
        </w:rPr>
        <w:t xml:space="preserve">）供应商须</w:t>
      </w:r>
      <w:r>
        <w:rPr>
          <w:rFonts w:hint="eastAsia" w:ascii="宋体" w:hAnsi="宋体"/>
          <w:color w:val="auto"/>
          <w:sz w:val="24"/>
          <w:highlight w:val="none"/>
        </w:rPr>
        <w:t xml:space="preserve">具备</w:t>
      </w:r>
      <w:r>
        <w:rPr>
          <w:rFonts w:hint="eastAsia" w:ascii="Times New Roman" w:hAnsi="Times New Roman" w:eastAsia="宋体" w:cs="Times New Roman"/>
          <w:b w:val="0"/>
          <w:bCs w:val="0"/>
          <w:color w:val="auto"/>
          <w:sz w:val="24"/>
          <w:szCs w:val="24"/>
          <w:highlight w:val="none"/>
        </w:rPr>
        <w:t xml:space="preserve">有效的</w:t>
      </w:r>
      <w:r>
        <w:rPr>
          <w:rFonts w:hint="eastAsia" w:ascii="宋体" w:hAnsi="宋体"/>
          <w:color w:val="auto"/>
          <w:sz w:val="24"/>
          <w:highlight w:val="none"/>
        </w:rPr>
        <w:t xml:space="preserve">建筑工程施工总承包三级及以上资质</w:t>
      </w:r>
      <w:r>
        <w:rPr>
          <w:rFonts w:hint="eastAsia" w:ascii="Times New Roman" w:hAnsi="Times New Roman" w:eastAsia="宋体" w:cs="Times New Roman"/>
          <w:b w:val="0"/>
          <w:bCs w:val="0"/>
          <w:color w:val="auto"/>
          <w:sz w:val="24"/>
          <w:szCs w:val="24"/>
          <w:highlight w:val="none"/>
        </w:rPr>
        <w:t xml:space="preserve">；同时具备有效的安全生产许可证；</w:t>
      </w:r>
      <w:r/>
    </w:p>
    <w:p>
      <w:pPr>
        <w:ind w:firstLine="480"/>
        <w:spacing w:line="360" w:lineRule="auto"/>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w:t>
      </w:r>
      <w:r>
        <w:rPr>
          <w:rFonts w:hint="eastAsia" w:cs="Times New Roman"/>
          <w:b w:val="0"/>
          <w:bCs w:val="0"/>
          <w:color w:val="auto"/>
          <w:sz w:val="24"/>
          <w:szCs w:val="24"/>
          <w:highlight w:val="none"/>
          <w:lang w:val="en-US" w:eastAsia="zh-CN"/>
        </w:rPr>
        <w:t xml:space="preserve">2</w:t>
      </w:r>
      <w:r>
        <w:rPr>
          <w:rFonts w:hint="eastAsia" w:ascii="Times New Roman" w:hAnsi="Times New Roman" w:eastAsia="宋体" w:cs="Times New Roman"/>
          <w:b w:val="0"/>
          <w:bCs w:val="0"/>
          <w:color w:val="auto"/>
          <w:sz w:val="24"/>
          <w:szCs w:val="24"/>
          <w:highlight w:val="none"/>
        </w:rPr>
        <w:t xml:space="preserve">）</w:t>
      </w:r>
      <w:r>
        <w:rPr>
          <w:rFonts w:hint="eastAsia" w:ascii="宋体" w:hAnsi="宋体"/>
          <w:bCs/>
          <w:color w:val="auto"/>
          <w:sz w:val="24"/>
          <w:highlight w:val="none"/>
          <w:lang w:val="en"/>
        </w:rPr>
        <w:t xml:space="preserve">拟派项目负责人具有</w:t>
      </w:r>
      <w:r>
        <w:rPr>
          <w:rFonts w:hint="eastAsia" w:ascii="宋体" w:hAnsi="宋体"/>
          <w:color w:val="auto"/>
          <w:sz w:val="24"/>
          <w:highlight w:val="none"/>
        </w:rPr>
        <w:t xml:space="preserve">建筑工程专业二级及以上注册建造师资格</w:t>
      </w:r>
      <w:r>
        <w:rPr>
          <w:rFonts w:hint="eastAsia" w:ascii="宋体" w:hAnsi="宋体"/>
          <w:color w:val="auto"/>
          <w:sz w:val="24"/>
          <w:highlight w:val="none"/>
          <w:lang w:val="en"/>
        </w:rPr>
        <w:t xml:space="preserve">，</w:t>
      </w:r>
      <w:r>
        <w:rPr>
          <w:rFonts w:hint="eastAsia" w:ascii="宋体" w:hAnsi="宋体"/>
          <w:bCs/>
          <w:color w:val="auto"/>
          <w:sz w:val="24"/>
          <w:highlight w:val="none"/>
          <w:lang w:val="en"/>
        </w:rPr>
        <w:t xml:space="preserve">同时具有建设行政主管部门颁发的安全生产考核合格证（</w:t>
      </w:r>
      <w:r>
        <w:rPr>
          <w:rFonts w:ascii="宋体" w:hAnsi="宋体"/>
          <w:bCs/>
          <w:color w:val="auto"/>
          <w:sz w:val="24"/>
          <w:highlight w:val="none"/>
          <w:lang w:val="en"/>
        </w:rPr>
        <w:t xml:space="preserve">B</w:t>
      </w:r>
      <w:r>
        <w:rPr>
          <w:rFonts w:hint="eastAsia" w:ascii="宋体" w:hAnsi="宋体"/>
          <w:bCs/>
          <w:color w:val="auto"/>
          <w:sz w:val="24"/>
          <w:highlight w:val="none"/>
          <w:lang w:val="en"/>
        </w:rPr>
        <w:t xml:space="preserve">证）。并提供供应商为项目负责人缴纳202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lang w:val="en"/>
        </w:rPr>
        <w:t xml:space="preserve">年</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lang w:val="en"/>
        </w:rPr>
        <w:t xml:space="preserve">月至202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lang w:val="en"/>
        </w:rPr>
        <w:t xml:space="preserve">年</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
        </w:rPr>
        <w:t xml:space="preserve">月社会基本养老保险的参保缴费证明（加盖社保部门签章或电子签章）</w:t>
      </w:r>
      <w:r>
        <w:rPr>
          <w:color w:val="auto"/>
          <w:sz w:val="24"/>
        </w:rPr>
        <w:t xml:space="preserve">。</w:t>
      </w:r>
      <w:bookmarkEnd w:id="11"/>
      <w:bookmarkEnd w:id="12"/>
      <w:r/>
    </w:p>
    <w:p>
      <w:pPr>
        <w:pStyle w:val="1181"/>
        <w:jc w:val="left"/>
        <w:spacing w:before="0" w:line="360" w:lineRule="auto"/>
        <w:widowControl/>
        <w:rPr>
          <w:rFonts w:ascii="Times New Roman" w:hAnsi="Times New Roman" w:eastAsia="宋体"/>
          <w:sz w:val="24"/>
          <w:szCs w:val="24"/>
        </w:rPr>
      </w:pPr>
      <w:r/>
      <w:bookmarkStart w:id="13" w:name="_Toc35393792"/>
      <w:r/>
      <w:bookmarkStart w:id="14" w:name="_Toc35393623"/>
      <w:r>
        <w:rPr>
          <w:rFonts w:ascii="Times New Roman" w:hAnsi="Times New Roman" w:eastAsia="宋体"/>
          <w:sz w:val="24"/>
          <w:szCs w:val="24"/>
        </w:rPr>
        <w:t xml:space="preserve">三、获取采购文件</w:t>
      </w:r>
      <w:bookmarkEnd w:id="13"/>
      <w:r/>
      <w:bookmarkEnd w:id="14"/>
      <w:r/>
      <w:r/>
    </w:p>
    <w:p>
      <w:pPr>
        <w:ind w:firstLine="480"/>
        <w:spacing w:line="360" w:lineRule="auto"/>
        <w:rPr>
          <w:sz w:val="24"/>
          <w:lang w:bidi="ar"/>
        </w:rPr>
      </w:pPr>
      <w:r>
        <w:rPr>
          <w:sz w:val="24"/>
          <w:lang w:bidi="ar"/>
        </w:rPr>
        <w:t xml:space="preserve">1.时间：自磋商文件公告发布之日起5个工作日</w:t>
      </w:r>
      <w:r/>
    </w:p>
    <w:p>
      <w:pPr>
        <w:ind w:firstLine="480"/>
        <w:spacing w:line="360" w:lineRule="auto"/>
        <w:rPr>
          <w:sz w:val="24"/>
        </w:rPr>
      </w:pPr>
      <w:r>
        <w:rPr>
          <w:sz w:val="24"/>
          <w:lang w:bidi="ar"/>
        </w:rPr>
        <w:t xml:space="preserve">2.地点：</w:t>
      </w:r>
      <w:r>
        <w:rPr>
          <w:rFonts w:hint="eastAsia"/>
          <w:sz w:val="24"/>
          <w:lang w:bidi="ar"/>
        </w:rPr>
        <w:t xml:space="preserve">政府采购一体化平台“苏采云”。</w:t>
      </w:r>
      <w:r/>
    </w:p>
    <w:p>
      <w:pPr>
        <w:ind w:firstLine="480"/>
        <w:jc w:val="left"/>
        <w:spacing w:line="360" w:lineRule="auto"/>
        <w:widowControl/>
        <w:rPr>
          <w:rFonts w:hint="eastAsia"/>
          <w:sz w:val="24"/>
          <w:lang w:bidi="ar"/>
        </w:rPr>
      </w:pPr>
      <w:r>
        <w:rPr>
          <w:sz w:val="24"/>
          <w:lang w:bidi="ar"/>
        </w:rPr>
        <w:t xml:space="preserve">3.方式：</w:t>
      </w:r>
      <w:r>
        <w:rPr>
          <w:rFonts w:hint="eastAsia"/>
          <w:sz w:val="24"/>
          <w:lang w:bidi="ar"/>
        </w:rPr>
        <w:t xml:space="preserve">供应商持CA数字认证证书登录政府采购一体化平台“苏采云”获取电子版招标文件。</w:t>
      </w:r>
      <w:r/>
    </w:p>
    <w:p>
      <w:pPr>
        <w:ind w:firstLine="480"/>
        <w:jc w:val="left"/>
        <w:spacing w:line="360" w:lineRule="auto"/>
        <w:widowControl/>
        <w:rPr>
          <w:sz w:val="24"/>
        </w:rPr>
      </w:pPr>
      <w:r>
        <w:rPr>
          <w:sz w:val="24"/>
          <w:lang w:bidi="ar"/>
        </w:rPr>
        <w:t xml:space="preserve">4.售价：0元。</w:t>
      </w:r>
      <w:r/>
    </w:p>
    <w:p>
      <w:pPr>
        <w:pStyle w:val="1181"/>
        <w:jc w:val="left"/>
        <w:spacing w:before="0" w:line="360" w:lineRule="auto"/>
        <w:widowControl/>
        <w:rPr>
          <w:rFonts w:ascii="Times New Roman" w:hAnsi="Times New Roman" w:eastAsia="宋体"/>
          <w:sz w:val="24"/>
          <w:szCs w:val="24"/>
        </w:rPr>
      </w:pPr>
      <w:r/>
      <w:bookmarkStart w:id="15" w:name="_Toc35393793"/>
      <w:r/>
      <w:bookmarkStart w:id="16" w:name="_Toc28359005"/>
      <w:r/>
      <w:bookmarkStart w:id="17" w:name="_Toc35393624"/>
      <w:r/>
      <w:bookmarkStart w:id="18" w:name="_Toc28359082"/>
      <w:r>
        <w:rPr>
          <w:rFonts w:ascii="Times New Roman" w:hAnsi="Times New Roman" w:eastAsia="宋体"/>
          <w:sz w:val="24"/>
          <w:szCs w:val="24"/>
        </w:rPr>
        <w:t xml:space="preserve">四、</w:t>
      </w:r>
      <w:bookmarkEnd w:id="15"/>
      <w:r/>
      <w:bookmarkEnd w:id="16"/>
      <w:r/>
      <w:bookmarkEnd w:id="17"/>
      <w:r/>
      <w:bookmarkEnd w:id="18"/>
      <w:r>
        <w:rPr>
          <w:rFonts w:ascii="Times New Roman" w:hAnsi="Times New Roman" w:eastAsia="宋体"/>
          <w:sz w:val="24"/>
          <w:szCs w:val="24"/>
        </w:rPr>
        <w:t xml:space="preserve">响应文件提交</w:t>
      </w:r>
      <w:r/>
    </w:p>
    <w:p>
      <w:pPr>
        <w:pStyle w:val="1181"/>
        <w:ind w:firstLine="480"/>
        <w:jc w:val="left"/>
        <w:spacing w:before="0" w:line="360" w:lineRule="auto"/>
        <w:rPr>
          <w:rFonts w:ascii="Times New Roman" w:hAnsi="Times New Roman" w:eastAsia="宋体"/>
          <w:b w:val="0"/>
          <w:bCs/>
          <w:color w:val="auto"/>
          <w:sz w:val="24"/>
          <w:szCs w:val="24"/>
        </w:rPr>
      </w:pPr>
      <w:r>
        <w:rPr>
          <w:rFonts w:ascii="Times New Roman" w:hAnsi="Times New Roman" w:eastAsia="宋体"/>
          <w:b w:val="0"/>
          <w:bCs/>
          <w:sz w:val="24"/>
          <w:szCs w:val="24"/>
        </w:rPr>
        <w:t xml:space="preserve">截止时间</w:t>
      </w:r>
      <w:r>
        <w:rPr>
          <w:rFonts w:ascii="Times New Roman" w:hAnsi="Times New Roman" w:eastAsia="宋体"/>
          <w:b w:val="0"/>
          <w:bCs/>
          <w:color w:val="auto"/>
          <w:sz w:val="24"/>
          <w:szCs w:val="24"/>
        </w:rPr>
        <w:t xml:space="preserve">：</w:t>
      </w:r>
      <w:r>
        <w:rPr>
          <w:rFonts w:hint="eastAsia" w:ascii="Times New Roman" w:hAnsi="Times New Roman" w:eastAsia="宋体"/>
          <w:b w:val="0"/>
          <w:bCs/>
          <w:color w:val="auto"/>
          <w:sz w:val="24"/>
          <w:szCs w:val="24"/>
          <w:lang w:val="en-US" w:eastAsia="zh-CN"/>
        </w:rPr>
        <w:t xml:space="preserve">2026</w:t>
      </w:r>
      <w:r>
        <w:rPr>
          <w:rFonts w:hint="eastAsia" w:ascii="Times New Roman" w:hAnsi="Times New Roman" w:eastAsia="宋体"/>
          <w:b w:val="0"/>
          <w:bCs/>
          <w:color w:val="auto"/>
          <w:sz w:val="24"/>
          <w:szCs w:val="24"/>
        </w:rPr>
        <w:t xml:space="preserve">年</w:t>
      </w:r>
      <w:r>
        <w:rPr>
          <w:rFonts w:hint="eastAsia" w:ascii="Times New Roman" w:hAnsi="Times New Roman" w:eastAsia="宋体"/>
          <w:b w:val="0"/>
          <w:bCs/>
          <w:color w:val="auto"/>
          <w:sz w:val="24"/>
          <w:szCs w:val="24"/>
          <w:lang w:val="en-US" w:eastAsia="zh-CN"/>
        </w:rPr>
        <w:t xml:space="preserve">10</w:t>
      </w:r>
      <w:r>
        <w:rPr>
          <w:rFonts w:hint="eastAsia" w:ascii="Times New Roman" w:hAnsi="Times New Roman" w:eastAsia="宋体"/>
          <w:b w:val="0"/>
          <w:bCs/>
          <w:color w:val="auto"/>
          <w:sz w:val="24"/>
          <w:szCs w:val="24"/>
        </w:rPr>
        <w:t xml:space="preserve">月</w:t>
      </w:r>
      <w:r>
        <w:rPr>
          <w:rFonts w:hint="eastAsia" w:ascii="Times New Roman" w:hAnsi="Times New Roman" w:eastAsia="宋体"/>
          <w:b w:val="0"/>
          <w:bCs/>
          <w:color w:val="auto"/>
          <w:sz w:val="24"/>
          <w:szCs w:val="24"/>
          <w:lang w:val="en-US" w:eastAsia="zh-CN"/>
        </w:rPr>
        <w:t xml:space="preserve">19</w:t>
      </w:r>
      <w:r>
        <w:rPr>
          <w:rFonts w:hint="eastAsia" w:ascii="Times New Roman" w:hAnsi="Times New Roman" w:eastAsia="宋体"/>
          <w:b w:val="0"/>
          <w:bCs/>
          <w:color w:val="auto"/>
          <w:sz w:val="24"/>
          <w:szCs w:val="24"/>
        </w:rPr>
        <w:t xml:space="preserve">日</w:t>
      </w:r>
      <w:r>
        <w:rPr>
          <w:rFonts w:hint="eastAsia" w:ascii="Times New Roman" w:hAnsi="Times New Roman" w:eastAsia="宋体"/>
          <w:b w:val="0"/>
          <w:bCs/>
          <w:color w:val="auto"/>
          <w:sz w:val="24"/>
          <w:szCs w:val="24"/>
          <w:lang w:val="en-US" w:eastAsia="zh-CN"/>
        </w:rPr>
        <w:t xml:space="preserve">14</w:t>
      </w:r>
      <w:r>
        <w:rPr>
          <w:rFonts w:hint="eastAsia" w:ascii="Times New Roman" w:hAnsi="Times New Roman" w:eastAsia="宋体"/>
          <w:b w:val="0"/>
          <w:bCs/>
          <w:color w:val="auto"/>
          <w:sz w:val="24"/>
          <w:szCs w:val="24"/>
        </w:rPr>
        <w:t xml:space="preserve">点</w:t>
      </w:r>
      <w:r>
        <w:rPr>
          <w:rFonts w:hint="eastAsia" w:ascii="Times New Roman" w:hAnsi="Times New Roman" w:eastAsia="宋体"/>
          <w:b w:val="0"/>
          <w:bCs/>
          <w:color w:val="auto"/>
          <w:sz w:val="24"/>
          <w:szCs w:val="24"/>
          <w:lang w:val="en-US" w:eastAsia="zh-CN"/>
        </w:rPr>
        <w:t xml:space="preserve">00</w:t>
      </w:r>
      <w:r>
        <w:rPr>
          <w:rFonts w:hint="eastAsia" w:ascii="Times New Roman" w:hAnsi="Times New Roman" w:eastAsia="宋体"/>
          <w:b w:val="0"/>
          <w:bCs/>
          <w:color w:val="auto"/>
          <w:sz w:val="24"/>
          <w:szCs w:val="24"/>
        </w:rPr>
        <w:t xml:space="preserve">分</w:t>
      </w:r>
      <w:r>
        <w:rPr>
          <w:rFonts w:ascii="Times New Roman" w:hAnsi="Times New Roman" w:eastAsia="宋体"/>
          <w:b w:val="0"/>
          <w:bCs/>
          <w:color w:val="auto"/>
          <w:sz w:val="24"/>
          <w:szCs w:val="24"/>
        </w:rPr>
        <w:t xml:space="preserve">（北京时间）。</w:t>
      </w:r>
      <w:r/>
    </w:p>
    <w:p>
      <w:pPr>
        <w:pStyle w:val="1181"/>
        <w:ind w:firstLine="480"/>
        <w:jc w:val="left"/>
        <w:spacing w:before="0" w:line="360" w:lineRule="auto"/>
        <w:rPr>
          <w:rFonts w:ascii="Times New Roman" w:hAnsi="Times New Roman" w:eastAsia="宋体"/>
          <w:b w:val="0"/>
          <w:bCs/>
          <w:color w:val="auto"/>
          <w:sz w:val="24"/>
          <w:szCs w:val="24"/>
          <w:lang w:val="zh-TW"/>
        </w:rPr>
      </w:pPr>
      <w:r>
        <w:rPr>
          <w:rFonts w:ascii="Times New Roman" w:hAnsi="Times New Roman" w:eastAsia="宋体"/>
          <w:b w:val="0"/>
          <w:bCs/>
          <w:color w:val="auto"/>
          <w:sz w:val="24"/>
          <w:szCs w:val="24"/>
        </w:rPr>
        <w:t xml:space="preserve">地点：</w:t>
      </w:r>
      <w:r>
        <w:rPr>
          <w:rFonts w:hint="eastAsia" w:ascii="Times New Roman" w:hAnsi="Times New Roman" w:eastAsia="宋体"/>
          <w:b w:val="0"/>
          <w:bCs/>
          <w:color w:val="auto"/>
          <w:sz w:val="24"/>
          <w:szCs w:val="24"/>
        </w:rPr>
        <w:t xml:space="preserve">本项目采用不见面交易方式，无需到现场提交，投标人登录政府采购一体化平台“苏采云”供应商端，通过系统在线提交电子投标文件。</w:t>
      </w:r>
      <w:r/>
    </w:p>
    <w:p>
      <w:pPr>
        <w:pStyle w:val="1181"/>
        <w:jc w:val="left"/>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五、开启</w:t>
      </w:r>
      <w:r/>
    </w:p>
    <w:p>
      <w:pPr>
        <w:ind w:firstLine="480"/>
        <w:spacing w:line="360" w:lineRule="auto"/>
        <w:rPr>
          <w:bCs/>
          <w:sz w:val="24"/>
          <w:u w:val="single"/>
        </w:rPr>
      </w:pPr>
      <w:r>
        <w:rPr>
          <w:color w:val="auto"/>
          <w:sz w:val="24"/>
          <w:lang w:bidi="ar"/>
        </w:rPr>
        <w:t xml:space="preserve">时间：</w:t>
      </w:r>
      <w:r>
        <w:rPr>
          <w:rFonts w:hint="eastAsia" w:ascii="Times New Roman" w:hAnsi="Times New Roman" w:eastAsia="宋体"/>
          <w:b w:val="0"/>
          <w:bCs/>
          <w:color w:val="auto"/>
          <w:sz w:val="24"/>
          <w:szCs w:val="24"/>
          <w:lang w:val="en-US" w:eastAsia="zh-CN"/>
        </w:rPr>
        <w:t xml:space="preserve">20</w:t>
      </w:r>
      <w:r>
        <w:rPr>
          <w:rFonts w:hint="eastAsia"/>
          <w:b w:val="0"/>
          <w:bCs/>
          <w:color w:val="auto"/>
          <w:sz w:val="24"/>
          <w:szCs w:val="24"/>
          <w:lang w:val="en-US" w:eastAsia="zh-CN"/>
        </w:rPr>
        <w:t xml:space="preserve">26</w:t>
      </w:r>
      <w:r>
        <w:rPr>
          <w:rFonts w:hint="eastAsia" w:ascii="Times New Roman" w:hAnsi="Times New Roman" w:eastAsia="宋体"/>
          <w:b w:val="0"/>
          <w:bCs/>
          <w:color w:val="auto"/>
          <w:sz w:val="24"/>
          <w:szCs w:val="24"/>
        </w:rPr>
        <w:t xml:space="preserve">年</w:t>
      </w:r>
      <w:r>
        <w:rPr>
          <w:rFonts w:hint="eastAsia"/>
          <w:b w:val="0"/>
          <w:bCs/>
          <w:color w:val="auto"/>
          <w:sz w:val="24"/>
          <w:szCs w:val="24"/>
          <w:lang w:val="en-US" w:eastAsia="zh-CN"/>
        </w:rPr>
        <w:t xml:space="preserve">10</w:t>
      </w:r>
      <w:r>
        <w:rPr>
          <w:rFonts w:hint="eastAsia" w:ascii="Times New Roman" w:hAnsi="Times New Roman" w:eastAsia="宋体"/>
          <w:b w:val="0"/>
          <w:bCs/>
          <w:color w:val="auto"/>
          <w:sz w:val="24"/>
          <w:szCs w:val="24"/>
        </w:rPr>
        <w:t xml:space="preserve">月</w:t>
      </w:r>
      <w:r>
        <w:rPr>
          <w:rFonts w:hint="eastAsia"/>
          <w:b w:val="0"/>
          <w:bCs/>
          <w:color w:val="auto"/>
          <w:sz w:val="24"/>
          <w:szCs w:val="24"/>
          <w:lang w:val="en-US" w:eastAsia="zh-CN"/>
        </w:rPr>
        <w:t xml:space="preserve">19</w:t>
      </w:r>
      <w:r>
        <w:rPr>
          <w:rFonts w:hint="eastAsia" w:ascii="Times New Roman" w:hAnsi="Times New Roman" w:eastAsia="宋体"/>
          <w:b w:val="0"/>
          <w:bCs/>
          <w:color w:val="auto"/>
          <w:sz w:val="24"/>
          <w:szCs w:val="24"/>
        </w:rPr>
        <w:t xml:space="preserve">日</w:t>
      </w:r>
      <w:r>
        <w:rPr>
          <w:rFonts w:hint="eastAsia" w:ascii="Times New Roman" w:hAnsi="Times New Roman" w:eastAsia="宋体"/>
          <w:b w:val="0"/>
          <w:bCs/>
          <w:color w:val="auto"/>
          <w:sz w:val="24"/>
          <w:szCs w:val="24"/>
          <w:lang w:val="en-US" w:eastAsia="zh-CN"/>
        </w:rPr>
        <w:t xml:space="preserve">14</w:t>
      </w:r>
      <w:r>
        <w:rPr>
          <w:rFonts w:hint="eastAsia" w:ascii="Times New Roman" w:hAnsi="Times New Roman" w:eastAsia="宋体"/>
          <w:b w:val="0"/>
          <w:bCs/>
          <w:color w:val="auto"/>
          <w:sz w:val="24"/>
          <w:szCs w:val="24"/>
        </w:rPr>
        <w:t xml:space="preserve">点</w:t>
      </w:r>
      <w:r>
        <w:rPr>
          <w:rFonts w:hint="eastAsia" w:ascii="Times New Roman" w:hAnsi="Times New Roman" w:eastAsia="宋体"/>
          <w:b w:val="0"/>
          <w:bCs/>
          <w:sz w:val="24"/>
          <w:szCs w:val="24"/>
          <w:lang w:val="en-US" w:eastAsia="zh-CN"/>
        </w:rPr>
        <w:t xml:space="preserve">00</w:t>
      </w:r>
      <w:r>
        <w:rPr>
          <w:rFonts w:hint="eastAsia" w:ascii="Times New Roman" w:hAnsi="Times New Roman" w:eastAsia="宋体"/>
          <w:b w:val="0"/>
          <w:bCs/>
          <w:sz w:val="24"/>
          <w:szCs w:val="24"/>
        </w:rPr>
        <w:t xml:space="preserve">分</w:t>
      </w:r>
      <w:r>
        <w:rPr>
          <w:bCs/>
          <w:sz w:val="24"/>
          <w:lang w:bidi="ar"/>
        </w:rPr>
        <w:t xml:space="preserve">（北京时间）</w:t>
      </w:r>
      <w:r>
        <w:rPr>
          <w:iCs/>
          <w:sz w:val="24"/>
          <w:lang w:bidi="ar"/>
        </w:rPr>
        <w:t xml:space="preserve">。</w:t>
      </w:r>
      <w:r/>
    </w:p>
    <w:p>
      <w:pPr>
        <w:ind w:firstLine="480"/>
        <w:spacing w:line="360" w:lineRule="auto"/>
        <w:rPr>
          <w:sz w:val="24"/>
          <w:lang w:val="zh-TW" w:bidi="ar"/>
        </w:rPr>
      </w:pPr>
      <w:r>
        <w:rPr>
          <w:sz w:val="24"/>
          <w:lang w:bidi="ar"/>
        </w:rPr>
        <w:t xml:space="preserve">地点：</w:t>
      </w:r>
      <w:r>
        <w:rPr>
          <w:rFonts w:hint="eastAsia"/>
          <w:bCs/>
          <w:sz w:val="24"/>
        </w:rPr>
        <w:t xml:space="preserve">本项目采用不见面交易方式，无需到现场提交，投标人登录政府采购一体化平台“苏采云”供应商端，通过系统在线提交电子投标文件。</w:t>
      </w:r>
      <w:r/>
    </w:p>
    <w:p>
      <w:pPr>
        <w:pStyle w:val="1181"/>
        <w:jc w:val="left"/>
        <w:spacing w:before="0" w:line="360" w:lineRule="auto"/>
        <w:rPr>
          <w:rFonts w:ascii="Times New Roman" w:hAnsi="Times New Roman" w:eastAsia="宋体"/>
          <w:sz w:val="24"/>
          <w:szCs w:val="24"/>
        </w:rPr>
      </w:pPr>
      <w:r/>
      <w:bookmarkStart w:id="19" w:name="_Toc28359084"/>
      <w:r/>
      <w:bookmarkStart w:id="20" w:name="_Toc35393794"/>
      <w:r/>
      <w:bookmarkStart w:id="21" w:name="_Toc35393625"/>
      <w:r/>
      <w:bookmarkStart w:id="22" w:name="_Toc28359007"/>
      <w:r>
        <w:rPr>
          <w:rFonts w:ascii="Times New Roman" w:hAnsi="Times New Roman" w:eastAsia="宋体"/>
          <w:sz w:val="24"/>
          <w:szCs w:val="24"/>
        </w:rPr>
        <w:t xml:space="preserve">六、公告期限</w:t>
      </w:r>
      <w:bookmarkEnd w:id="19"/>
      <w:r/>
      <w:bookmarkEnd w:id="20"/>
      <w:r/>
      <w:bookmarkEnd w:id="21"/>
      <w:r/>
      <w:bookmarkEnd w:id="22"/>
      <w:r/>
      <w:r/>
    </w:p>
    <w:p>
      <w:pPr>
        <w:ind w:firstLine="480"/>
        <w:spacing w:line="360" w:lineRule="auto"/>
        <w:rPr>
          <w:sz w:val="24"/>
        </w:rPr>
      </w:pPr>
      <w:r>
        <w:rPr>
          <w:sz w:val="24"/>
        </w:rPr>
        <w:t xml:space="preserve">自本公告发布之日起3个工作日。</w:t>
      </w:r>
      <w:r/>
    </w:p>
    <w:p>
      <w:pPr>
        <w:pStyle w:val="1181"/>
        <w:jc w:val="left"/>
        <w:spacing w:before="0" w:line="360" w:lineRule="auto"/>
        <w:rPr>
          <w:rFonts w:ascii="Times New Roman" w:hAnsi="Times New Roman" w:eastAsia="宋体"/>
          <w:sz w:val="24"/>
          <w:szCs w:val="24"/>
        </w:rPr>
      </w:pPr>
      <w:r/>
      <w:bookmarkStart w:id="23" w:name="_Toc35393795"/>
      <w:r/>
      <w:bookmarkStart w:id="24" w:name="_Toc35393626"/>
      <w:r>
        <w:rPr>
          <w:rFonts w:ascii="Times New Roman" w:hAnsi="Times New Roman" w:eastAsia="宋体"/>
          <w:sz w:val="24"/>
          <w:szCs w:val="24"/>
        </w:rPr>
        <w:t xml:space="preserve">七、其他补充事宜</w:t>
      </w:r>
      <w:bookmarkEnd w:id="23"/>
      <w:r/>
      <w:bookmarkEnd w:id="24"/>
      <w:r/>
      <w:r/>
    </w:p>
    <w:p>
      <w:pPr>
        <w:ind w:firstLine="480"/>
        <w:spacing w:line="360" w:lineRule="auto"/>
        <w:rPr>
          <w:sz w:val="24"/>
        </w:rPr>
      </w:pPr>
      <w:r>
        <w:rPr>
          <w:sz w:val="24"/>
        </w:rPr>
        <w:t xml:space="preserve">1.本项目需要落实的政府采购政策：</w:t>
      </w:r>
      <w:r>
        <w:rPr>
          <w:rFonts w:hint="eastAsia"/>
          <w:sz w:val="24"/>
          <w:u w:val="single"/>
        </w:rPr>
        <w:t xml:space="preserve">/</w:t>
      </w:r>
      <w:r>
        <w:rPr>
          <w:sz w:val="24"/>
          <w:lang w:bidi="ar"/>
        </w:rPr>
        <w:t xml:space="preserve">。</w:t>
      </w:r>
      <w:r/>
    </w:p>
    <w:p>
      <w:pPr>
        <w:ind w:firstLine="480"/>
        <w:jc w:val="left"/>
        <w:spacing w:line="360" w:lineRule="auto"/>
        <w:widowControl/>
        <w:rPr>
          <w:bCs/>
          <w:sz w:val="24"/>
          <w:lang w:bidi="ar"/>
        </w:rPr>
      </w:pPr>
      <w:r>
        <w:rPr>
          <w:rFonts w:hint="eastAsia"/>
          <w:sz w:val="24"/>
          <w:lang w:bidi="ar"/>
        </w:rPr>
        <w:t xml:space="preserve">2</w:t>
      </w:r>
      <w:r>
        <w:rPr>
          <w:sz w:val="24"/>
          <w:lang w:bidi="ar"/>
        </w:rPr>
        <w:t xml:space="preserve">.本项目采用</w:t>
      </w:r>
      <w:r>
        <w:rPr>
          <w:rFonts w:hint="eastAsia"/>
          <w:sz w:val="24"/>
          <w:lang w:bidi="ar"/>
        </w:rPr>
        <w:t xml:space="preserve">不见面交易</w:t>
      </w:r>
      <w:r>
        <w:rPr>
          <w:sz w:val="24"/>
          <w:lang w:bidi="ar"/>
        </w:rPr>
        <w:t xml:space="preserve">方式，请供应商认真学习政府采购一体化平台“苏采云”的相关操作手册，办理CA认证证书、进行政府采购一体化平台“苏采云”注册绑定，并认真核实</w:t>
      </w:r>
      <w:r>
        <w:rPr>
          <w:bCs/>
          <w:sz w:val="24"/>
          <w:lang w:bidi="ar"/>
        </w:rPr>
        <w:t xml:space="preserve">数字认证证书情况确认是否符合本项目电子化采购流程要求。</w:t>
      </w:r>
      <w:r/>
    </w:p>
    <w:p>
      <w:pPr>
        <w:ind w:firstLine="480"/>
        <w:spacing w:line="360" w:lineRule="auto"/>
        <w:rPr>
          <w:sz w:val="24"/>
        </w:rPr>
      </w:pPr>
      <w:r>
        <w:rPr>
          <w:sz w:val="24"/>
          <w:lang w:bidi="ar"/>
        </w:rPr>
        <w:t xml:space="preserve">技术支持服务热线    </w:t>
      </w:r>
      <w:r>
        <w:rPr>
          <w:rFonts w:hint="eastAsia"/>
          <w:sz w:val="24"/>
          <w:lang w:bidi="ar"/>
        </w:rPr>
        <w:t xml:space="preserve">0519-85588210</w:t>
      </w:r>
      <w:r/>
    </w:p>
    <w:p>
      <w:pPr>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0519  85588120</w:t>
      </w:r>
      <w:r/>
    </w:p>
    <w:p>
      <w:pPr>
        <w:ind w:firstLine="480"/>
        <w:jc w:val="left"/>
        <w:spacing w:line="360" w:lineRule="auto"/>
        <w:widowControl/>
        <w:rPr>
          <w:sz w:val="24"/>
          <w:lang w:bidi="ar"/>
        </w:rPr>
      </w:pPr>
      <w:r>
        <w:rPr>
          <w:sz w:val="24"/>
          <w:lang w:bidi="ar"/>
        </w:rPr>
        <w:t xml:space="preserve">3.1办理CA认证证书</w:t>
      </w:r>
      <w:r/>
    </w:p>
    <w:p>
      <w:pPr>
        <w:ind w:firstLine="480"/>
        <w:jc w:val="left"/>
        <w:spacing w:line="360" w:lineRule="auto"/>
        <w:widowControl/>
        <w:rPr>
          <w:sz w:val="24"/>
        </w:rPr>
      </w:pPr>
      <w:r>
        <w:rPr>
          <w:sz w:val="24"/>
        </w:rPr>
        <w:t xml:space="preserve">投标人登录政府采购一体化平台“苏采云”“新CA办理指南”，按照程序要求办理。</w:t>
      </w:r>
      <w:r/>
    </w:p>
    <w:p>
      <w:pPr>
        <w:ind w:firstLine="480"/>
        <w:spacing w:line="360" w:lineRule="auto"/>
        <w:rPr>
          <w:sz w:val="24"/>
          <w:lang w:bidi="ar"/>
        </w:rPr>
      </w:pPr>
      <w:r>
        <w:rPr>
          <w:sz w:val="24"/>
          <w:lang w:bidi="ar"/>
        </w:rPr>
        <w:t xml:space="preserve">3.2注册</w:t>
      </w:r>
      <w:r/>
    </w:p>
    <w:p>
      <w:pPr>
        <w:ind w:firstLine="480"/>
        <w:spacing w:line="360" w:lineRule="auto"/>
        <w:rPr>
          <w:sz w:val="24"/>
        </w:rPr>
      </w:pPr>
      <w:r>
        <w:rPr>
          <w:sz w:val="24"/>
        </w:rPr>
        <w:t xml:space="preserve">投标人登录政府采购一体化平台“苏采云” 下载“用户注册”查阅后进行自助注册。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spacing w:line="360" w:lineRule="auto"/>
        <w:rPr>
          <w:sz w:val="24"/>
          <w:lang w:bidi="ar"/>
        </w:rPr>
      </w:pPr>
      <w:r>
        <w:rPr>
          <w:sz w:val="24"/>
          <w:lang w:bidi="ar"/>
        </w:rPr>
        <w:t xml:space="preserve">投标人登录政府采购一体化平台“苏采云” 下载“驱动下载”，安装驱动。 </w:t>
      </w:r>
      <w:r/>
    </w:p>
    <w:p>
      <w:pPr>
        <w:ind w:firstLine="480"/>
        <w:spacing w:line="360" w:lineRule="auto"/>
        <w:rPr>
          <w:sz w:val="24"/>
          <w:lang w:bidi="ar"/>
        </w:rPr>
      </w:pPr>
      <w:r>
        <w:rPr>
          <w:sz w:val="24"/>
          <w:lang w:bidi="ar"/>
        </w:rPr>
        <w:t xml:space="preserve">3.4 获取电子招标文件</w:t>
      </w:r>
      <w:r/>
    </w:p>
    <w:p>
      <w:pPr>
        <w:ind w:firstLine="480"/>
        <w:spacing w:line="360" w:lineRule="auto"/>
        <w:rPr>
          <w:sz w:val="24"/>
          <w:lang w:bidi="ar"/>
        </w:rPr>
      </w:pPr>
      <w:r>
        <w:rPr>
          <w:sz w:val="24"/>
          <w:lang w:bidi="ar"/>
        </w:rPr>
        <w:t xml:space="preserve">投标人持CA数字认证证书登录政府采购一体化平台“苏采云”获取电子招标文件。未在规定期限内通过投标人持CA数字认证证书登录政府采购一体化平台“苏采云”获取招标文件的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3.5编制电子投标文件</w:t>
      </w:r>
      <w:r/>
    </w:p>
    <w:p>
      <w:pPr>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p>
    <w:p>
      <w:pPr>
        <w:ind w:firstLine="480"/>
        <w:jc w:val="left"/>
        <w:spacing w:line="360" w:lineRule="auto"/>
        <w:widowControl/>
        <w:rPr>
          <w:sz w:val="24"/>
          <w:lang w:val="zh-TW" w:bidi="ar"/>
        </w:rPr>
      </w:pPr>
      <w:r>
        <w:rPr>
          <w:sz w:val="24"/>
          <w:lang w:val="zh-TW" w:eastAsia="zh-TW" w:bidi="ar"/>
        </w:rPr>
        <w:t xml:space="preserve">3.6</w:t>
      </w:r>
      <w:r>
        <w:rPr>
          <w:sz w:val="24"/>
          <w:lang w:val="zh-TW" w:bidi="ar"/>
        </w:rPr>
        <w:t xml:space="preserve">提交电子投标文件</w:t>
      </w:r>
      <w:r/>
    </w:p>
    <w:p>
      <w:pPr>
        <w:ind w:firstLine="480"/>
        <w:jc w:val="left"/>
        <w:spacing w:line="360" w:lineRule="auto"/>
        <w:widowControl/>
        <w:rPr>
          <w:sz w:val="24"/>
          <w:lang w:bidi="ar"/>
        </w:rPr>
      </w:pPr>
      <w:r>
        <w:rPr>
          <w:sz w:val="24"/>
          <w:lang w:bidi="ar"/>
        </w:rPr>
        <w:t xml:space="preserve">供应商应于投标截止时间前在投标人持CA数字认证证书登录政府采购一体化平台“苏采云”提交电子投标文件，上传电子投标文件过程中请保持与互联网的连接畅通。</w:t>
      </w:r>
      <w:r/>
    </w:p>
    <w:p>
      <w:pPr>
        <w:ind w:firstLine="480"/>
        <w:jc w:val="left"/>
        <w:spacing w:line="360" w:lineRule="auto"/>
        <w:widowControl/>
        <w:rPr>
          <w:sz w:val="24"/>
          <w:lang w:eastAsia="zh-TW" w:bidi="ar"/>
        </w:rPr>
      </w:pPr>
      <w:r>
        <w:rPr>
          <w:sz w:val="24"/>
          <w:lang w:val="zh-TW" w:bidi="ar"/>
        </w:rPr>
        <w:t xml:space="preserve">3.</w:t>
      </w:r>
      <w:r>
        <w:rPr>
          <w:sz w:val="24"/>
          <w:lang w:val="zh-TW" w:eastAsia="zh-TW" w:bidi="ar"/>
        </w:rPr>
        <w:t xml:space="preserve">7</w:t>
      </w:r>
      <w:r>
        <w:rPr>
          <w:sz w:val="24"/>
          <w:lang w:val="zh-TW" w:bidi="ar"/>
        </w:rPr>
        <w:t xml:space="preserve">电子开标</w:t>
      </w:r>
      <w:r/>
    </w:p>
    <w:p>
      <w:pPr>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登录投标人持CA数字认证证书登录政府采购一体化平台“苏采云”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p>
    <w:p>
      <w:pPr>
        <w:ind w:firstLine="480"/>
        <w:spacing w:line="360" w:lineRule="auto"/>
        <w:rPr>
          <w:rFonts w:hint="eastAsia"/>
          <w:sz w:val="24"/>
          <w:lang w:val="zh-TW" w:bidi="ar"/>
        </w:rPr>
      </w:pPr>
      <w:r>
        <w:rPr>
          <w:rFonts w:hint="eastAsia"/>
          <w:sz w:val="24"/>
          <w:lang w:val="zh-TW" w:bidi="ar"/>
        </w:rPr>
        <w:t xml:space="preserve">3.8注意事项</w:t>
      </w:r>
      <w:r/>
    </w:p>
    <w:p>
      <w:pPr>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rFonts w:hint="eastAsia"/>
          <w:sz w:val="24"/>
          <w:lang w:val="zh-TW" w:bidi="ar"/>
        </w:rPr>
        <w:t xml:space="preserve">4.关于常州市中小企业政府采购信用融资：</w:t>
      </w:r>
      <w:r/>
    </w:p>
    <w:p>
      <w:pPr>
        <w:ind w:firstLine="480"/>
        <w:jc w:val="left"/>
        <w:spacing w:line="360" w:lineRule="auto"/>
        <w:widowControl/>
        <w:rPr>
          <w:sz w:val="24"/>
          <w:lang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sz w:val="24"/>
        </w:rPr>
      </w:pPr>
      <w:r>
        <w:rPr>
          <w:sz w:val="24"/>
        </w:rPr>
      </w:r>
      <w:r/>
    </w:p>
    <w:p>
      <w:pPr>
        <w:pStyle w:val="1181"/>
        <w:jc w:val="left"/>
        <w:spacing w:before="0" w:line="360" w:lineRule="auto"/>
        <w:rPr>
          <w:rFonts w:ascii="Times New Roman" w:hAnsi="Times New Roman" w:eastAsia="宋体"/>
          <w:sz w:val="24"/>
          <w:szCs w:val="24"/>
        </w:rPr>
      </w:pPr>
      <w:r/>
      <w:bookmarkStart w:id="25" w:name="_Toc35393796"/>
      <w:r/>
      <w:bookmarkStart w:id="26" w:name="_Toc35393627"/>
      <w:r/>
      <w:bookmarkStart w:id="27" w:name="_Toc28359008"/>
      <w:r/>
      <w:bookmarkStart w:id="28" w:name="_Toc28359085"/>
      <w:r>
        <w:rPr>
          <w:rFonts w:ascii="Times New Roman" w:hAnsi="Times New Roman" w:eastAsia="宋体"/>
          <w:sz w:val="24"/>
          <w:szCs w:val="24"/>
        </w:rPr>
        <w:t xml:space="preserve">八、对本项目提出询问，请按以下方式联系。</w:t>
      </w:r>
      <w:bookmarkEnd w:id="25"/>
      <w:r/>
      <w:bookmarkEnd w:id="26"/>
      <w:r/>
      <w:bookmarkEnd w:id="27"/>
      <w:r/>
      <w:bookmarkEnd w:id="28"/>
      <w:r/>
      <w:r/>
    </w:p>
    <w:p>
      <w:pPr>
        <w:jc w:val="left"/>
        <w:spacing w:line="360" w:lineRule="auto"/>
        <w:widowControl/>
        <w:rPr>
          <w:b/>
          <w:sz w:val="24"/>
        </w:rPr>
      </w:pPr>
      <w:r>
        <w:rPr>
          <w:sz w:val="24"/>
        </w:rPr>
        <w:t xml:space="preserve">　　　</w:t>
      </w:r>
      <w:r>
        <w:rPr>
          <w:b/>
          <w:sz w:val="24"/>
        </w:rPr>
        <w:t xml:space="preserve">1.采购人信息</w:t>
      </w:r>
      <w:r/>
    </w:p>
    <w:p>
      <w:pPr>
        <w:ind w:left="1079" w:hanging="300"/>
        <w:jc w:val="left"/>
        <w:spacing w:line="360" w:lineRule="auto"/>
        <w:rPr>
          <w:rFonts w:hint="eastAsia" w:eastAsia="宋体"/>
          <w:sz w:val="24"/>
          <w:lang w:eastAsia="zh-CN"/>
        </w:rPr>
      </w:pPr>
      <w:r/>
      <w:bookmarkStart w:id="29" w:name="_Toc28359009"/>
      <w:r/>
      <w:bookmarkStart w:id="30" w:name="_Toc28359086"/>
      <w:r>
        <w:rPr>
          <w:sz w:val="24"/>
        </w:rPr>
        <w:t xml:space="preserve">名    称：</w:t>
      </w:r>
      <w:r>
        <w:rPr>
          <w:rFonts w:hint="eastAsia" w:ascii="宋体" w:hAnsi="宋体"/>
          <w:b w:val="0"/>
          <w:bCs/>
          <w:color w:val="000000"/>
          <w:sz w:val="24"/>
          <w:highlight w:val="none"/>
          <w:lang w:eastAsia="zh-CN"/>
        </w:rPr>
        <w:t xml:space="preserve">常州市武进区南夏墅街道办事处</w:t>
      </w:r>
      <w:r/>
    </w:p>
    <w:p>
      <w:pPr>
        <w:ind w:left="1079" w:hanging="300"/>
        <w:jc w:val="left"/>
        <w:spacing w:line="360" w:lineRule="auto"/>
        <w:rPr>
          <w:rFonts w:hint="eastAsia" w:ascii="宋体" w:hAnsi="宋体" w:eastAsia="宋体" w:cs="Times New Roman"/>
          <w:b w:val="0"/>
          <w:bCs/>
          <w:color w:val="000000"/>
          <w:sz w:val="24"/>
          <w:highlight w:val="none"/>
          <w:lang w:eastAsia="zh-CN"/>
        </w:rPr>
      </w:pPr>
      <w:r>
        <w:rPr>
          <w:rFonts w:hint="eastAsia" w:ascii="宋体" w:hAnsi="宋体" w:eastAsia="宋体" w:cs="Times New Roman"/>
          <w:b w:val="0"/>
          <w:bCs/>
          <w:color w:val="000000"/>
          <w:sz w:val="24"/>
          <w:highlight w:val="none"/>
          <w:lang w:eastAsia="zh-CN"/>
        </w:rPr>
        <w:t xml:space="preserve">地    址：常州市武进区南塘路108号</w:t>
      </w:r>
      <w:r/>
    </w:p>
    <w:p>
      <w:pPr>
        <w:ind w:left="1079" w:hanging="300"/>
        <w:jc w:val="left"/>
        <w:spacing w:line="360" w:lineRule="auto"/>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eastAsia="zh-CN"/>
        </w:rPr>
        <w:t xml:space="preserve">联系人：</w:t>
      </w:r>
      <w:r>
        <w:rPr>
          <w:rFonts w:hint="eastAsia" w:ascii="宋体" w:hAnsi="宋体" w:eastAsia="宋体" w:cs="Times New Roman"/>
          <w:b w:val="0"/>
          <w:bCs/>
          <w:color w:val="000000"/>
          <w:sz w:val="24"/>
          <w:highlight w:val="none"/>
          <w:lang w:val="en-US" w:eastAsia="zh-CN"/>
        </w:rPr>
        <w:t xml:space="preserve">徐工</w:t>
      </w:r>
      <w:r>
        <w:rPr>
          <w:rFonts w:hint="eastAsia" w:ascii="宋体" w:hAnsi="宋体" w:eastAsia="宋体" w:cs="Times New Roman"/>
          <w:b w:val="0"/>
          <w:bCs/>
          <w:color w:val="000000"/>
          <w:sz w:val="24"/>
          <w:highlight w:val="none"/>
          <w:lang w:eastAsia="zh-CN"/>
        </w:rPr>
        <w:t xml:space="preserve"> </w:t>
      </w:r>
      <w:r>
        <w:rPr>
          <w:rFonts w:hint="eastAsia" w:ascii="宋体" w:hAnsi="宋体" w:eastAsia="宋体" w:cs="Times New Roman"/>
          <w:b w:val="0"/>
          <w:bCs/>
          <w:color w:val="000000"/>
          <w:sz w:val="24"/>
          <w:highlight w:val="none"/>
          <w:lang w:val="en-US" w:eastAsia="zh-CN"/>
        </w:rPr>
        <w:t xml:space="preserve"> </w:t>
      </w:r>
      <w:r/>
    </w:p>
    <w:p>
      <w:pPr>
        <w:ind w:left="1079" w:hanging="300"/>
        <w:jc w:val="left"/>
        <w:spacing w:line="360" w:lineRule="auto"/>
        <w:rPr>
          <w:color w:val="000000"/>
          <w:sz w:val="24"/>
        </w:rPr>
      </w:pPr>
      <w:r>
        <w:rPr>
          <w:rFonts w:hint="eastAsia" w:ascii="宋体" w:hAnsi="宋体" w:eastAsia="宋体" w:cs="Times New Roman"/>
          <w:b w:val="0"/>
          <w:bCs/>
          <w:color w:val="000000"/>
          <w:sz w:val="24"/>
          <w:highlight w:val="none"/>
          <w:lang w:val="en-US" w:eastAsia="zh-CN"/>
        </w:rPr>
        <w:t xml:space="preserve">联系方式：0519-86480662  </w:t>
      </w:r>
      <w:r>
        <w:rPr>
          <w:rFonts w:hint="eastAsia"/>
          <w:color w:val="000000"/>
          <w:sz w:val="24"/>
          <w:lang w:val="en-US" w:eastAsia="zh-CN"/>
        </w:rPr>
        <w:t xml:space="preserve"> </w:t>
      </w:r>
      <w:r>
        <w:rPr>
          <w:rFonts w:hint="eastAsia"/>
          <w:color w:val="000000"/>
          <w:sz w:val="24"/>
        </w:rPr>
        <w:t xml:space="preserve">  </w:t>
      </w:r>
      <w:r/>
    </w:p>
    <w:p>
      <w:pPr>
        <w:ind w:left="1080" w:hanging="301"/>
        <w:jc w:val="left"/>
        <w:spacing w:line="360" w:lineRule="auto"/>
        <w:rPr>
          <w:b/>
          <w:sz w:val="24"/>
        </w:rPr>
      </w:pPr>
      <w:r>
        <w:rPr>
          <w:b/>
          <w:sz w:val="24"/>
        </w:rPr>
        <w:t xml:space="preserve">2.采购代理机构信息</w:t>
      </w:r>
      <w:bookmarkEnd w:id="29"/>
      <w:r/>
      <w:bookmarkEnd w:id="30"/>
      <w:r/>
      <w:r/>
    </w:p>
    <w:p>
      <w:pPr>
        <w:ind w:left="1079" w:hanging="300"/>
        <w:jc w:val="left"/>
        <w:spacing w:line="360" w:lineRule="auto"/>
        <w:rPr>
          <w:rFonts w:hint="eastAsia"/>
          <w:sz w:val="24"/>
        </w:rPr>
      </w:pPr>
      <w:r/>
      <w:bookmarkStart w:id="31" w:name="_Toc28359010"/>
      <w:r/>
      <w:bookmarkStart w:id="32" w:name="_Toc28359087"/>
      <w:r>
        <w:rPr>
          <w:sz w:val="24"/>
        </w:rPr>
        <w:t xml:space="preserve">名    称：</w:t>
      </w:r>
      <w:r>
        <w:rPr>
          <w:rFonts w:hint="eastAsia" w:ascii="宋体" w:hAnsi="宋体"/>
          <w:color w:val="000000"/>
          <w:sz w:val="24"/>
          <w:highlight w:val="none"/>
          <w:lang w:eastAsia="zh-CN"/>
        </w:rPr>
        <w:t xml:space="preserve">常州博睿工程咨询有限公司</w:t>
      </w:r>
      <w:r/>
    </w:p>
    <w:p>
      <w:pPr>
        <w:ind w:left="1079" w:hanging="300"/>
        <w:jc w:val="left"/>
        <w:spacing w:line="360" w:lineRule="auto"/>
        <w:rPr>
          <w:sz w:val="24"/>
        </w:rPr>
      </w:pPr>
      <w:r>
        <w:rPr>
          <w:sz w:val="24"/>
        </w:rPr>
        <w:t xml:space="preserve">地    址：</w:t>
      </w:r>
      <w:r>
        <w:rPr>
          <w:rFonts w:hint="eastAsia" w:ascii="宋体" w:hAnsi="宋体"/>
          <w:color w:val="000000"/>
          <w:sz w:val="24"/>
          <w:highlight w:val="none"/>
        </w:rPr>
        <w:t xml:space="preserve">常州市</w:t>
      </w:r>
      <w:r>
        <w:rPr>
          <w:rFonts w:hint="eastAsia" w:ascii="宋体" w:hAnsi="宋体"/>
          <w:color w:val="000000"/>
          <w:sz w:val="24"/>
          <w:highlight w:val="none"/>
          <w:lang w:val="en-US" w:eastAsia="zh-CN"/>
        </w:rPr>
        <w:t xml:space="preserve">武进区湖塘镇武进万达广场B2幢415室</w:t>
      </w:r>
      <w:r/>
    </w:p>
    <w:p>
      <w:pPr>
        <w:ind w:left="1079" w:hanging="300"/>
        <w:jc w:val="left"/>
        <w:spacing w:line="360" w:lineRule="auto"/>
        <w:rPr>
          <w:rFonts w:hint="default" w:eastAsia="宋体"/>
          <w:sz w:val="24"/>
          <w:lang w:val="en-US" w:eastAsia="zh-CN"/>
        </w:rPr>
      </w:pPr>
      <w:r>
        <w:rPr>
          <w:sz w:val="24"/>
        </w:rPr>
        <w:t xml:space="preserve">联系方式：</w:t>
      </w:r>
      <w:r>
        <w:rPr>
          <w:rFonts w:hint="eastAsia"/>
          <w:sz w:val="24"/>
          <w:lang w:val="en-US" w:eastAsia="zh-CN"/>
        </w:rPr>
        <w:t xml:space="preserve">13651503665</w:t>
      </w:r>
      <w:r/>
    </w:p>
    <w:p>
      <w:pPr>
        <w:ind w:firstLine="723"/>
        <w:spacing w:line="360" w:lineRule="auto"/>
        <w:rPr>
          <w:b/>
          <w:sz w:val="24"/>
          <w:u w:val="single"/>
        </w:rPr>
      </w:pPr>
      <w:r>
        <w:rPr>
          <w:b/>
          <w:sz w:val="24"/>
        </w:rPr>
        <w:t xml:space="preserve">3.项目联系方式</w:t>
      </w:r>
      <w:bookmarkEnd w:id="31"/>
      <w:r/>
      <w:bookmarkEnd w:id="32"/>
      <w:r/>
      <w:r/>
    </w:p>
    <w:p>
      <w:pPr>
        <w:pStyle w:val="1219"/>
        <w:ind w:firstLine="720"/>
        <w:spacing w:line="360" w:lineRule="auto"/>
        <w:rPr>
          <w:rFonts w:hint="eastAsia" w:ascii="Times New Roman" w:hAnsi="Times New Roman" w:eastAsia="宋体"/>
          <w:sz w:val="24"/>
          <w:szCs w:val="24"/>
          <w:lang w:eastAsia="zh-CN"/>
        </w:rPr>
      </w:pPr>
      <w:r>
        <w:rPr>
          <w:rFonts w:ascii="Times New Roman" w:hAnsi="Times New Roman"/>
          <w:sz w:val="24"/>
          <w:szCs w:val="24"/>
        </w:rPr>
        <w:t xml:space="preserve">项目联系人：</w:t>
      </w:r>
      <w:r>
        <w:rPr>
          <w:rFonts w:hint="eastAsia" w:ascii="Times New Roman" w:hAnsi="Times New Roman"/>
          <w:sz w:val="24"/>
          <w:szCs w:val="24"/>
          <w:lang w:eastAsia="zh-CN"/>
        </w:rPr>
        <w:t xml:space="preserve">孙工</w:t>
      </w:r>
      <w:r/>
    </w:p>
    <w:p>
      <w:pPr>
        <w:pStyle w:val="1219"/>
        <w:ind w:firstLine="720"/>
        <w:spacing w:line="360" w:lineRule="auto"/>
        <w:rPr>
          <w:rFonts w:hint="default" w:ascii="Times New Roman" w:hAnsi="Times New Roman" w:eastAsia="宋体"/>
          <w:sz w:val="24"/>
          <w:lang w:val="en-US" w:eastAsia="zh-CN"/>
        </w:rPr>
      </w:pPr>
      <w:r>
        <w:rPr>
          <w:rFonts w:ascii="Times New Roman" w:hAnsi="Times New Roman"/>
          <w:sz w:val="24"/>
        </w:rPr>
        <w:t xml:space="preserve">电      话：</w:t>
      </w:r>
      <w:r>
        <w:rPr>
          <w:rFonts w:hint="eastAsia" w:ascii="Times New Roman" w:hAnsi="Times New Roman"/>
          <w:sz w:val="24"/>
          <w:lang w:val="en-US" w:eastAsia="zh-CN"/>
        </w:rPr>
        <w:t xml:space="preserve">13651503665</w:t>
      </w:r>
      <w:r/>
    </w:p>
    <w:p>
      <w:pPr>
        <w:pStyle w:val="1219"/>
        <w:ind w:firstLine="720"/>
        <w:spacing w:line="360" w:lineRule="auto"/>
        <w:rPr>
          <w:rFonts w:ascii="Times New Roman" w:hAnsi="Times New Roman"/>
          <w:sz w:val="24"/>
          <w:szCs w:val="24"/>
        </w:rPr>
      </w:pPr>
      <w:r>
        <w:rPr>
          <w:rFonts w:ascii="Times New Roman" w:hAnsi="Times New Roman"/>
          <w:b/>
          <w:bCs/>
          <w:sz w:val="24"/>
          <w:szCs w:val="24"/>
        </w:rPr>
        <w:t xml:space="preserve">注：上述个人信息由于工作需要经机构或本人同意对外公布。</w:t>
      </w:r>
      <w:r/>
    </w:p>
    <w:p>
      <w:pPr>
        <w:pStyle w:val="1219"/>
        <w:ind w:left="1076" w:hanging="297"/>
        <w:spacing w:line="360" w:lineRule="auto"/>
        <w:rPr>
          <w:rFonts w:ascii="Times New Roman" w:hAnsi="Times New Roman"/>
          <w:sz w:val="24"/>
          <w:szCs w:val="24"/>
        </w:rPr>
      </w:pPr>
      <w:r>
        <w:rPr>
          <w:rFonts w:ascii="Times New Roman" w:hAnsi="Times New Roman"/>
          <w:sz w:val="24"/>
          <w:szCs w:val="24"/>
        </w:rPr>
      </w:r>
      <w:r/>
    </w:p>
    <w:p>
      <w:pPr>
        <w:ind w:firstLine="5880"/>
        <w:jc w:val="right"/>
        <w:spacing w:line="360" w:lineRule="auto"/>
        <w:rPr>
          <w:sz w:val="24"/>
        </w:rPr>
      </w:pPr>
      <w:r>
        <w:rPr>
          <w:sz w:val="24"/>
        </w:rPr>
      </w:r>
      <w:r/>
    </w:p>
    <w:p>
      <w:pPr>
        <w:jc w:val="center"/>
        <w:spacing w:line="360" w:lineRule="auto"/>
        <w:rPr>
          <w:b/>
          <w:sz w:val="32"/>
          <w:szCs w:val="32"/>
        </w:rPr>
        <w:outlineLvl w:val="0"/>
      </w:pPr>
      <w:r>
        <w:rPr>
          <w:sz w:val="24"/>
        </w:rPr>
        <w:br w:type="page" w:clear="all"/>
      </w:r>
      <w:bookmarkStart w:id="33" w:name="_Toc305158854"/>
      <w:r/>
      <w:bookmarkStart w:id="34" w:name="_Toc226965856"/>
      <w:r/>
      <w:bookmarkStart w:id="35" w:name="_Toc150774783"/>
      <w:r/>
      <w:bookmarkStart w:id="36" w:name="_Toc127151777"/>
      <w:r/>
      <w:bookmarkStart w:id="37" w:name="_Toc265228423"/>
      <w:r/>
      <w:bookmarkStart w:id="38" w:name="_Toc353873938"/>
      <w:r/>
      <w:bookmarkStart w:id="39" w:name="_Toc264969275"/>
      <w:r/>
      <w:bookmarkStart w:id="40" w:name="_Toc353825548"/>
      <w:r/>
      <w:bookmarkStart w:id="41" w:name="_Toc305158928"/>
      <w:r/>
      <w:bookmarkStart w:id="42" w:name="_Toc512937850"/>
      <w:r/>
      <w:bookmarkStart w:id="43" w:name="_Toc195842950"/>
      <w:r/>
      <w:bookmarkStart w:id="44" w:name="_Toc127161488"/>
      <w:r/>
      <w:bookmarkStart w:id="45" w:name="_Toc104818926"/>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181"/>
        <w:spacing w:before="0" w:line="360" w:lineRule="auto"/>
        <w:tabs>
          <w:tab w:val="center" w:pos="4592" w:leader="none"/>
          <w:tab w:val="left" w:pos="7860" w:leader="none"/>
        </w:tabs>
        <w:rPr>
          <w:rFonts w:ascii="Times New Roman" w:hAnsi="Times New Roman" w:eastAsia="宋体"/>
          <w:b w:val="0"/>
          <w:sz w:val="28"/>
        </w:rPr>
      </w:pPr>
      <w:r/>
      <w:bookmarkStart w:id="46" w:name="_Toc150774724"/>
      <w:r/>
      <w:bookmarkStart w:id="47" w:name="_Toc151193907"/>
      <w:r/>
      <w:bookmarkStart w:id="48" w:name="_Toc150480757"/>
      <w:r/>
      <w:bookmarkStart w:id="49" w:name="_Toc151193833"/>
      <w:r/>
      <w:bookmarkStart w:id="50" w:name="_Toc150774619"/>
      <w:r/>
      <w:bookmarkStart w:id="51" w:name="_Toc150509270"/>
      <w:r/>
      <w:bookmarkStart w:id="52" w:name="_Toc151193761"/>
      <w:r/>
      <w:bookmarkStart w:id="53" w:name="_Toc151190146"/>
      <w:r/>
      <w:bookmarkStart w:id="54" w:name="_Toc149720812"/>
      <w:r/>
      <w:bookmarkStart w:id="55" w:name="_Toc195842884"/>
      <w:r/>
      <w:bookmarkStart w:id="56" w:name="_Toc151193689"/>
      <w:r/>
      <w:bookmarkStart w:id="57" w:name="_Toc226965792"/>
      <w:r/>
      <w:bookmarkStart w:id="58" w:name="_Toc164351613"/>
      <w:r/>
      <w:bookmarkStart w:id="59" w:name="_Toc127151519"/>
      <w:r/>
      <w:bookmarkStart w:id="60" w:name="_Toc520356144"/>
      <w:r/>
      <w:bookmarkStart w:id="61" w:name="_Toc151193617"/>
      <w:r/>
      <w:bookmarkStart w:id="62" w:name="_Toc164608633"/>
      <w:r/>
      <w:bookmarkStart w:id="63" w:name="_Toc226309763"/>
      <w:r/>
      <w:bookmarkStart w:id="64" w:name="_Toc164608788"/>
      <w:r/>
      <w:bookmarkStart w:id="65" w:name="_Toc226337215"/>
      <w:r/>
      <w:bookmarkStart w:id="66" w:name="_Toc226965709"/>
      <w:r/>
      <w:bookmarkStart w:id="67" w:name="_Toc164229360"/>
      <w:r/>
      <w:bookmarkStart w:id="68" w:name="_Toc164229214"/>
      <w:r/>
      <w:bookmarkStart w:id="69" w:name="_Toc127161433"/>
      <w:r/>
      <w:bookmarkStart w:id="70" w:name="_Toc142311021"/>
      <w:r/>
      <w:bookmarkStart w:id="71" w:name="_Toc127151720"/>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p>
    <w:tbl>
      <w:tblPr>
        <w:tblStyle w:val="1007"/>
        <w:tblW w:w="96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1799"/>
        <w:gridCol w:w="6997"/>
      </w:tblGrid>
      <w:tr>
        <w:trPr>
          <w:jc w:val="center"/>
          <w:trHeight w:val="594"/>
          <w:tblHeader/>
        </w:trPr>
        <w:tc>
          <w:tcPr>
            <w:tcW w:w="890" w:type="dxa"/>
            <w:vAlign w:val="center"/>
            <w:textDirection w:val="lrTb"/>
            <w:noWrap w:val="false"/>
          </w:tcPr>
          <w:p>
            <w:pPr>
              <w:jc w:val="center"/>
              <w:rPr>
                <w:b/>
                <w:bCs/>
                <w:sz w:val="24"/>
              </w:rPr>
            </w:pPr>
            <w:r>
              <w:rPr>
                <w:b/>
                <w:sz w:val="24"/>
              </w:rPr>
              <w:t xml:space="preserve">条款号</w:t>
            </w:r>
            <w:r/>
          </w:p>
        </w:tc>
        <w:tc>
          <w:tcPr>
            <w:tcW w:w="1799" w:type="dxa"/>
            <w:vAlign w:val="center"/>
            <w:textDirection w:val="lrTb"/>
            <w:noWrap w:val="false"/>
          </w:tcPr>
          <w:p>
            <w:pPr>
              <w:jc w:val="center"/>
              <w:rPr>
                <w:b/>
                <w:bCs/>
                <w:sz w:val="24"/>
              </w:rPr>
            </w:pPr>
            <w:r>
              <w:rPr>
                <w:b/>
                <w:bCs/>
                <w:sz w:val="24"/>
              </w:rPr>
              <w:t xml:space="preserve">条目</w:t>
            </w:r>
            <w:r/>
          </w:p>
        </w:tc>
        <w:tc>
          <w:tcPr>
            <w:tcW w:w="6997" w:type="dxa"/>
            <w:vAlign w:val="center"/>
            <w:textDirection w:val="lrTb"/>
            <w:noWrap w:val="false"/>
          </w:tcPr>
          <w:p>
            <w:pPr>
              <w:jc w:val="center"/>
              <w:rPr>
                <w:b/>
                <w:bCs/>
                <w:sz w:val="24"/>
              </w:rPr>
            </w:pPr>
            <w:r>
              <w:rPr>
                <w:b/>
                <w:bCs/>
                <w:sz w:val="24"/>
              </w:rPr>
              <w:t xml:space="preserve">内容</w:t>
            </w:r>
            <w:r/>
          </w:p>
        </w:tc>
      </w:tr>
      <w:tr>
        <w:trPr>
          <w:jc w:val="center"/>
          <w:trHeight w:val="20"/>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2.2</w:t>
            </w:r>
            <w:r/>
          </w:p>
        </w:tc>
        <w:tc>
          <w:tcPr>
            <w:tcW w:w="1799" w:type="dxa"/>
            <w:vAlign w:val="center"/>
            <w:textDirection w:val="lrTb"/>
            <w:noWrap w:val="false"/>
          </w:tcPr>
          <w:p>
            <w:pPr>
              <w:jc w:val="center"/>
              <w:rPr>
                <w:sz w:val="24"/>
              </w:rPr>
            </w:pPr>
            <w:r>
              <w:rPr>
                <w:sz w:val="24"/>
              </w:rPr>
              <w:t xml:space="preserve">项目属性</w:t>
            </w:r>
            <w:r/>
          </w:p>
        </w:tc>
        <w:tc>
          <w:tcPr>
            <w:tcW w:w="6997" w:type="dxa"/>
            <w:vAlign w:val="center"/>
            <w:textDirection w:val="lrTb"/>
            <w:noWrap w:val="false"/>
          </w:tcPr>
          <w:p>
            <w:pPr>
              <w:jc w:val="left"/>
              <w:rPr>
                <w:sz w:val="24"/>
              </w:rPr>
            </w:pPr>
            <w:r>
              <w:rPr>
                <w:sz w:val="24"/>
              </w:rPr>
              <w:t xml:space="preserve">项目属性：</w:t>
            </w:r>
            <w:r/>
          </w:p>
          <w:p>
            <w:pPr>
              <w:jc w:val="left"/>
              <w:rPr>
                <w:sz w:val="24"/>
              </w:rPr>
            </w:pPr>
            <w:r>
              <w:rPr>
                <w:sz w:val="24"/>
              </w:rPr>
              <w:t xml:space="preserve">□服务</w:t>
            </w:r>
            <w:r/>
          </w:p>
          <w:p>
            <w:pPr>
              <w:jc w:val="left"/>
              <w:rPr>
                <w:sz w:val="24"/>
              </w:rPr>
            </w:pPr>
            <w:r>
              <w:rPr>
                <w:sz w:val="24"/>
              </w:rPr>
              <w:t xml:space="preserve">□货物</w:t>
            </w:r>
            <w:r/>
          </w:p>
          <w:p>
            <w:pPr>
              <w:jc w:val="left"/>
              <w:rPr>
                <w:sz w:val="24"/>
                <w:u w:val="single"/>
              </w:rPr>
            </w:pPr>
            <w:r>
              <w:rPr>
                <w:b/>
                <w:color w:val="000000"/>
                <w:sz w:val="24"/>
              </w:rPr>
              <w:t xml:space="preserve">■</w:t>
            </w:r>
            <w:r>
              <w:rPr>
                <w:rFonts w:hint="eastAsia"/>
                <w:sz w:val="24"/>
              </w:rPr>
              <w:t xml:space="preserve">工程</w:t>
            </w:r>
            <w:r/>
          </w:p>
        </w:tc>
      </w:tr>
      <w:tr>
        <w:trPr>
          <w:jc w:val="center"/>
          <w:trHeight w:val="20"/>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2.3</w:t>
            </w:r>
            <w:r/>
          </w:p>
        </w:tc>
        <w:tc>
          <w:tcPr>
            <w:tcW w:w="1799" w:type="dxa"/>
            <w:vAlign w:val="center"/>
            <w:textDirection w:val="lrTb"/>
            <w:noWrap w:val="false"/>
          </w:tcPr>
          <w:p>
            <w:pPr>
              <w:jc w:val="center"/>
              <w:rPr>
                <w:sz w:val="24"/>
              </w:rPr>
            </w:pPr>
            <w:r>
              <w:rPr>
                <w:sz w:val="24"/>
              </w:rPr>
              <w:t xml:space="preserve">科研仪器设备</w:t>
            </w:r>
            <w:r/>
          </w:p>
        </w:tc>
        <w:tc>
          <w:tcPr>
            <w:tcW w:w="6997" w:type="dxa"/>
            <w:vAlign w:val="center"/>
            <w:textDirection w:val="lrTb"/>
            <w:noWrap w:val="false"/>
          </w:tcPr>
          <w:p>
            <w:pPr>
              <w:jc w:val="left"/>
              <w:rPr>
                <w:sz w:val="24"/>
              </w:rPr>
            </w:pPr>
            <w:r>
              <w:rPr>
                <w:sz w:val="24"/>
              </w:rPr>
              <w:t xml:space="preserve">是否属于科研仪器设备采购项目：</w:t>
            </w:r>
            <w:r/>
          </w:p>
          <w:p>
            <w:pPr>
              <w:jc w:val="left"/>
              <w:rPr>
                <w:sz w:val="24"/>
              </w:rPr>
            </w:pPr>
            <w:r>
              <w:t xml:space="preserve">□</w:t>
            </w:r>
            <w:r>
              <w:rPr>
                <w:sz w:val="24"/>
              </w:rPr>
              <w:t xml:space="preserve">是</w:t>
            </w:r>
            <w:r/>
          </w:p>
          <w:p>
            <w:pPr>
              <w:jc w:val="left"/>
              <w:rPr>
                <w:sz w:val="24"/>
              </w:rPr>
            </w:pPr>
            <w:r>
              <w:rPr>
                <w:b/>
                <w:color w:val="000000"/>
                <w:sz w:val="24"/>
              </w:rPr>
              <w:t xml:space="preserve">■</w:t>
            </w:r>
            <w:r>
              <w:rPr>
                <w:sz w:val="24"/>
              </w:rPr>
              <w:t xml:space="preserve">否</w:t>
            </w:r>
            <w:r/>
          </w:p>
        </w:tc>
      </w:tr>
      <w:tr>
        <w:trPr>
          <w:jc w:val="center"/>
          <w:trHeight w:val="20"/>
        </w:trPr>
        <w:tc>
          <w:tcPr>
            <w:tcW w:w="890" w:type="dxa"/>
            <w:vAlign w:val="center"/>
            <w:vMerge w:val="restart"/>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3.1</w:t>
            </w:r>
            <w:r/>
          </w:p>
        </w:tc>
        <w:tc>
          <w:tcPr>
            <w:tcW w:w="1799" w:type="dxa"/>
            <w:vAlign w:val="center"/>
            <w:textDirection w:val="lrTb"/>
            <w:noWrap w:val="false"/>
          </w:tcPr>
          <w:p>
            <w:pPr>
              <w:jc w:val="center"/>
              <w:rPr>
                <w:sz w:val="24"/>
              </w:rPr>
            </w:pPr>
            <w:r>
              <w:rPr>
                <w:sz w:val="24"/>
              </w:rPr>
              <w:t xml:space="preserve">现场考察</w:t>
            </w:r>
            <w:r/>
          </w:p>
        </w:tc>
        <w:tc>
          <w:tcPr>
            <w:tcW w:w="6997" w:type="dxa"/>
            <w:vAlign w:val="center"/>
            <w:textDirection w:val="lrTb"/>
            <w:noWrap w:val="false"/>
          </w:tcPr>
          <w:p>
            <w:pPr>
              <w:jc w:val="left"/>
              <w:rPr>
                <w:sz w:val="24"/>
              </w:rPr>
            </w:pPr>
            <w:r>
              <w:rPr>
                <w:b/>
                <w:color w:val="000000"/>
                <w:sz w:val="24"/>
              </w:rPr>
              <w:t xml:space="preserve">■</w:t>
            </w:r>
            <w:r>
              <w:rPr>
                <w:sz w:val="24"/>
              </w:rPr>
              <w:t xml:space="preserve">不组织</w:t>
            </w:r>
            <w:r/>
          </w:p>
          <w:p>
            <w:pPr>
              <w:jc w:val="left"/>
              <w:rPr>
                <w:bCs/>
                <w:sz w:val="24"/>
              </w:rPr>
            </w:pPr>
            <w: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p>
          <w:p>
            <w:pPr>
              <w:pStyle w:val="1219"/>
              <w:rPr>
                <w:rFonts w:ascii="Times New Roman" w:hAnsi="Times New Roman"/>
                <w:sz w:val="24"/>
                <w:szCs w:val="24"/>
              </w:rPr>
            </w:pPr>
            <w:r>
              <w:rPr>
                <w:rFonts w:ascii="Times New Roman" w:hAnsi="Times New Roman"/>
                <w:sz w:val="24"/>
              </w:rPr>
              <w:t xml:space="preserve">考察地点：___________。</w:t>
            </w:r>
            <w:r/>
          </w:p>
        </w:tc>
      </w:tr>
      <w:tr>
        <w:trPr>
          <w:jc w:val="center"/>
          <w:trHeight w:val="20"/>
        </w:trPr>
        <w:tc>
          <w:tcPr>
            <w:tcW w:w="890" w:type="dxa"/>
            <w:vAlign w:val="center"/>
            <w:vMerge w:val="continue"/>
            <w:textDirection w:val="lrTb"/>
            <w:noWrap w:val="false"/>
          </w:tcPr>
          <w:p>
            <w:pPr>
              <w:pStyle w:val="1219"/>
              <w:jc w:val="center"/>
              <w:rPr>
                <w:rFonts w:ascii="Times New Roman" w:hAnsi="Times New Roman"/>
                <w:sz w:val="24"/>
                <w:szCs w:val="24"/>
              </w:rPr>
            </w:pPr>
            <w:r>
              <w:rPr>
                <w:rFonts w:ascii="Times New Roman" w:hAnsi="Times New Roman"/>
                <w:sz w:val="24"/>
                <w:szCs w:val="24"/>
              </w:rPr>
            </w:r>
            <w:r/>
          </w:p>
        </w:tc>
        <w:tc>
          <w:tcPr>
            <w:tcW w:w="1799" w:type="dxa"/>
            <w:vAlign w:val="center"/>
            <w:textDirection w:val="lrTb"/>
            <w:noWrap w:val="false"/>
          </w:tcPr>
          <w:p>
            <w:pPr>
              <w:jc w:val="center"/>
              <w:rPr>
                <w:sz w:val="24"/>
              </w:rPr>
            </w:pPr>
            <w:r>
              <w:rPr>
                <w:sz w:val="24"/>
              </w:rPr>
              <w:t xml:space="preserve">磋商前答疑会</w:t>
            </w:r>
            <w:r/>
          </w:p>
        </w:tc>
        <w:tc>
          <w:tcPr>
            <w:tcW w:w="6997" w:type="dxa"/>
            <w:vAlign w:val="center"/>
            <w:textDirection w:val="lrTb"/>
            <w:noWrap w:val="false"/>
          </w:tcPr>
          <w:p>
            <w:pPr>
              <w:jc w:val="left"/>
              <w:rPr>
                <w:sz w:val="24"/>
              </w:rPr>
            </w:pPr>
            <w:r>
              <w:rPr>
                <w:b/>
                <w:color w:val="000000"/>
                <w:sz w:val="24"/>
              </w:rPr>
              <w:t xml:space="preserve">■</w:t>
            </w:r>
            <w:r>
              <w:rPr>
                <w:sz w:val="24"/>
              </w:rPr>
              <w:t xml:space="preserve">不召开</w:t>
            </w:r>
            <w:r/>
          </w:p>
          <w:p>
            <w:pPr>
              <w:jc w:val="left"/>
              <w:rPr>
                <w:sz w:val="24"/>
              </w:rPr>
            </w:pPr>
            <w: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p>
          <w:p>
            <w:pPr>
              <w:jc w:val="left"/>
              <w:rPr>
                <w:sz w:val="24"/>
              </w:rPr>
            </w:pPr>
            <w:r>
              <w:rPr>
                <w:sz w:val="24"/>
              </w:rPr>
              <w:t xml:space="preserve">召开地点：___________</w:t>
            </w:r>
            <w:r>
              <w:rPr>
                <w:rFonts w:hint="eastAsia"/>
                <w:sz w:val="24"/>
              </w:rPr>
              <w:t xml:space="preserve">。</w:t>
            </w:r>
            <w:r/>
          </w:p>
        </w:tc>
      </w:tr>
      <w:tr>
        <w:trPr>
          <w:jc w:val="center"/>
          <w:trHeight w:val="835"/>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4.2.5</w:t>
            </w:r>
            <w:r/>
          </w:p>
        </w:tc>
        <w:tc>
          <w:tcPr>
            <w:tcW w:w="1799" w:type="dxa"/>
            <w:vAlign w:val="center"/>
            <w:textDirection w:val="lrTb"/>
            <w:noWrap w:val="false"/>
          </w:tcPr>
          <w:p>
            <w:pPr>
              <w:jc w:val="center"/>
              <w:rPr>
                <w:sz w:val="24"/>
              </w:rPr>
            </w:pPr>
            <w:r>
              <w:rPr>
                <w:sz w:val="24"/>
              </w:rPr>
              <w:t xml:space="preserve">标的所属行业</w:t>
            </w:r>
            <w:r/>
          </w:p>
        </w:tc>
        <w:tc>
          <w:tcPr>
            <w:tcW w:w="6997" w:type="dxa"/>
            <w:vAlign w:val="center"/>
            <w:textDirection w:val="lrTb"/>
            <w:noWrap w:val="false"/>
          </w:tcPr>
          <w:p>
            <w:pPr>
              <w:pStyle w:val="1026"/>
              <w:ind w:left="0" w:right="0"/>
              <w:keepLines w:val="0"/>
              <w:keepNext w:val="0"/>
              <w:spacing w:before="0" w:beforeAutospacing="0" w:after="0" w:afterAutospacing="0"/>
              <w:widowControl w:val="off"/>
              <w:rPr>
                <w:rFonts w:hint="eastAsia" w:eastAsia="宋体"/>
                <w:sz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本项目采购标的对应的中小企业划分标准所属行业：建筑业。</w:t>
            </w:r>
            <w:r/>
          </w:p>
        </w:tc>
      </w:tr>
      <w:tr>
        <w:trPr>
          <w:jc w:val="center"/>
          <w:trHeight w:val="890"/>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10.2</w:t>
            </w:r>
            <w:r/>
          </w:p>
        </w:tc>
        <w:tc>
          <w:tcPr>
            <w:tcW w:w="1799" w:type="dxa"/>
            <w:vAlign w:val="center"/>
            <w:textDirection w:val="lrTb"/>
            <w:noWrap w:val="false"/>
          </w:tcPr>
          <w:p>
            <w:pPr>
              <w:jc w:val="center"/>
              <w:rPr>
                <w:rFonts w:hint="eastAsia"/>
                <w:sz w:val="24"/>
              </w:rPr>
            </w:pPr>
            <w:r>
              <w:rPr>
                <w:rFonts w:hint="eastAsia"/>
                <w:sz w:val="24"/>
              </w:rPr>
              <w:t xml:space="preserve">报价</w:t>
            </w:r>
            <w:r/>
          </w:p>
        </w:tc>
        <w:tc>
          <w:tcPr>
            <w:tcW w:w="6997" w:type="dxa"/>
            <w:vAlign w:val="center"/>
            <w:textDirection w:val="lrTb"/>
            <w:noWrap w:val="false"/>
          </w:tcPr>
          <w:p>
            <w:pPr>
              <w:jc w:val="left"/>
              <w:rPr>
                <w:rFonts w:hint="eastAsia"/>
                <w:color w:val="auto"/>
                <w:sz w:val="24"/>
              </w:rPr>
            </w:pPr>
            <w:r>
              <w:rPr>
                <w:rFonts w:hint="eastAsia"/>
                <w:color w:val="auto"/>
                <w:sz w:val="24"/>
              </w:rPr>
              <w:t xml:space="preserve">报价的特殊规定：</w:t>
            </w:r>
            <w:r/>
          </w:p>
          <w:p>
            <w:pPr>
              <w:jc w:val="left"/>
              <w:rPr>
                <w:rFonts w:hint="eastAsia"/>
                <w:color w:val="auto"/>
                <w:sz w:val="24"/>
              </w:rPr>
            </w:pPr>
            <w:r>
              <w:rPr>
                <w:rFonts w:hint="eastAsia"/>
                <w:color w:val="auto"/>
                <w:sz w:val="24"/>
              </w:rPr>
              <w:t xml:space="preserve">□无</w:t>
            </w:r>
            <w:r/>
          </w:p>
          <w:p>
            <w:pPr>
              <w:spacing w:line="360" w:lineRule="exact"/>
              <w:rPr>
                <w:rFonts w:hint="eastAsia" w:ascii="宋体" w:hAnsi="宋体" w:cs="宋体"/>
                <w:color w:val="000000" w:themeColor="text1"/>
                <w:sz w:val="24"/>
                <w:highlight w:val="none"/>
              </w:rPr>
            </w:pPr>
            <w:r>
              <w:rPr>
                <w:rFonts w:hint="eastAsia"/>
                <w:color w:val="auto"/>
                <w:sz w:val="24"/>
              </w:rPr>
              <w:t xml:space="preserve">■有，</w:t>
            </w:r>
            <w:r>
              <w:rPr>
                <w:rFonts w:hint="eastAsia" w:ascii="宋体" w:hAnsi="宋体" w:cs="宋体"/>
                <w:color w:val="000000" w:themeColor="text1"/>
                <w:sz w:val="24"/>
                <w:highlight w:val="none"/>
              </w:rPr>
              <w:t xml:space="preserve">具体情形：</w:t>
            </w:r>
            <w:r>
              <w:rPr>
                <w:rFonts w:hint="eastAsia" w:ascii="宋体" w:hAnsi="宋体" w:cs="宋体"/>
                <w:b/>
                <w:color w:val="000000" w:themeColor="text1"/>
                <w:sz w:val="24"/>
                <w:highlight w:val="none"/>
              </w:rPr>
              <w:t xml:space="preserve">本项目采用二次报价，</w:t>
            </w:r>
            <w:r>
              <w:rPr>
                <w:rFonts w:hint="eastAsia" w:ascii="宋体" w:hAnsi="宋体"/>
                <w:sz w:val="24"/>
                <w:highlight w:val="none"/>
              </w:rPr>
              <w:t xml:space="preserve">电子</w:t>
            </w:r>
            <w:r>
              <w:rPr>
                <w:rFonts w:ascii="宋体" w:hAnsi="宋体"/>
                <w:sz w:val="24"/>
                <w:highlight w:val="none"/>
              </w:rPr>
              <w:t xml:space="preserve">响应文件中</w:t>
            </w:r>
            <w:r>
              <w:rPr>
                <w:rFonts w:hint="eastAsia" w:ascii="宋体" w:hAnsi="宋体"/>
                <w:sz w:val="24"/>
                <w:highlight w:val="none"/>
              </w:rPr>
              <w:t xml:space="preserve">的</w:t>
            </w:r>
            <w:r>
              <w:rPr>
                <w:rFonts w:ascii="宋体" w:hAnsi="宋体"/>
                <w:sz w:val="24"/>
                <w:highlight w:val="none"/>
              </w:rPr>
              <w:t xml:space="preserve">书面报价为首轮报价，第二轮报价为最</w:t>
            </w:r>
            <w:r>
              <w:rPr>
                <w:rFonts w:hint="eastAsia" w:ascii="宋体" w:hAnsi="宋体"/>
                <w:sz w:val="24"/>
                <w:highlight w:val="none"/>
              </w:rPr>
              <w:t xml:space="preserve">后</w:t>
            </w:r>
            <w:r>
              <w:rPr>
                <w:rFonts w:ascii="宋体" w:hAnsi="宋体"/>
                <w:sz w:val="24"/>
                <w:highlight w:val="none"/>
              </w:rPr>
              <w:t xml:space="preserve">报价</w:t>
            </w:r>
            <w:r>
              <w:rPr>
                <w:rFonts w:hint="eastAsia" w:ascii="宋体" w:hAnsi="宋体"/>
                <w:sz w:val="24"/>
                <w:highlight w:val="none"/>
              </w:rPr>
              <w:t xml:space="preserve">(通过系统在线报价)。最后</w:t>
            </w:r>
            <w:r>
              <w:rPr>
                <w:rFonts w:ascii="宋体" w:hAnsi="宋体"/>
                <w:sz w:val="24"/>
                <w:highlight w:val="none"/>
              </w:rPr>
              <w:t xml:space="preserve">报价不得超过</w:t>
            </w:r>
            <w:r>
              <w:rPr>
                <w:rFonts w:hint="eastAsia" w:ascii="宋体" w:hAnsi="宋体"/>
                <w:sz w:val="24"/>
                <w:highlight w:val="none"/>
              </w:rPr>
              <w:t xml:space="preserve">预算、最高限价及</w:t>
            </w:r>
            <w:r>
              <w:rPr>
                <w:rFonts w:ascii="宋体" w:hAnsi="宋体"/>
                <w:sz w:val="24"/>
                <w:highlight w:val="none"/>
              </w:rPr>
              <w:t xml:space="preserve">首轮报价，否则作无效报价文件处理</w:t>
            </w:r>
            <w:r>
              <w:rPr>
                <w:rFonts w:hint="eastAsia" w:ascii="宋体" w:hAnsi="宋体"/>
                <w:sz w:val="24"/>
                <w:highlight w:val="none"/>
              </w:rPr>
              <w:t xml:space="preserve">。</w:t>
            </w:r>
            <w:r/>
          </w:p>
          <w:p>
            <w:pPr>
              <w:spacing w:line="360" w:lineRule="exact"/>
              <w:rPr>
                <w:rFonts w:hint="eastAsia"/>
                <w:color w:val="auto"/>
                <w:sz w:val="24"/>
              </w:rPr>
            </w:pPr>
            <w:r>
              <w:rPr>
                <w:rFonts w:hint="eastAsia" w:ascii="宋体" w:hAnsi="宋体" w:cs="宋体"/>
                <w:color w:val="000000" w:themeColor="text1"/>
                <w:sz w:val="24"/>
                <w:highlight w:val="none"/>
                <w:lang w:val="en-US" w:eastAsia="zh-CN"/>
              </w:rPr>
              <w:t xml:space="preserve">2、</w:t>
            </w:r>
            <w:r>
              <w:rPr>
                <w:rFonts w:hint="eastAsia"/>
                <w:color w:val="auto"/>
                <w:sz w:val="24"/>
              </w:rPr>
              <w:t xml:space="preserve">最后报价中的单价按总价同比例下调。</w:t>
            </w:r>
            <w:r/>
          </w:p>
        </w:tc>
      </w:tr>
      <w:tr>
        <w:trPr>
          <w:jc w:val="center"/>
          <w:trHeight w:val="394"/>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11.1</w:t>
            </w:r>
            <w:r/>
          </w:p>
        </w:tc>
        <w:tc>
          <w:tcPr>
            <w:tcW w:w="1799" w:type="dxa"/>
            <w:vAlign w:val="center"/>
            <w:textDirection w:val="lrTb"/>
            <w:noWrap w:val="false"/>
          </w:tcPr>
          <w:p>
            <w:pPr>
              <w:jc w:val="center"/>
              <w:rPr>
                <w:sz w:val="24"/>
              </w:rPr>
            </w:pPr>
            <w:r>
              <w:rPr>
                <w:sz w:val="24"/>
              </w:rPr>
              <w:t xml:space="preserve">磋商保证金</w:t>
            </w:r>
            <w:r/>
          </w:p>
        </w:tc>
        <w:tc>
          <w:tcPr>
            <w:tcW w:w="6997" w:type="dxa"/>
            <w:vAlign w:val="center"/>
            <w:textDirection w:val="lrTb"/>
            <w:noWrap w:val="false"/>
          </w:tcPr>
          <w:p>
            <w:pPr>
              <w:jc w:val="left"/>
              <w:rPr>
                <w:color w:val="auto"/>
                <w:sz w:val="24"/>
              </w:rPr>
            </w:pPr>
            <w:r>
              <w:rPr>
                <w:rFonts w:hint="eastAsia"/>
                <w:color w:val="auto"/>
                <w:sz w:val="24"/>
              </w:rPr>
              <w:t xml:space="preserve">免收</w:t>
            </w:r>
            <w:r/>
          </w:p>
        </w:tc>
      </w:tr>
      <w:tr>
        <w:trPr>
          <w:jc w:val="center"/>
          <w:trHeight w:val="428"/>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12.1</w:t>
            </w:r>
            <w:r/>
          </w:p>
        </w:tc>
        <w:tc>
          <w:tcPr>
            <w:tcW w:w="1799" w:type="dxa"/>
            <w:vAlign w:val="center"/>
            <w:textDirection w:val="lrTb"/>
            <w:noWrap w:val="false"/>
          </w:tcPr>
          <w:p>
            <w:pPr>
              <w:jc w:val="center"/>
              <w:rPr>
                <w:sz w:val="24"/>
              </w:rPr>
            </w:pPr>
            <w:r>
              <w:rPr>
                <w:sz w:val="24"/>
              </w:rPr>
              <w:t xml:space="preserve">响应有效期</w:t>
            </w:r>
            <w:r/>
          </w:p>
        </w:tc>
        <w:tc>
          <w:tcPr>
            <w:tcW w:w="6997" w:type="dxa"/>
            <w:vAlign w:val="center"/>
            <w:textDirection w:val="lrTb"/>
            <w:noWrap w:val="false"/>
          </w:tcPr>
          <w:p>
            <w:pPr>
              <w:jc w:val="left"/>
              <w:rPr>
                <w:sz w:val="24"/>
              </w:rPr>
            </w:pPr>
            <w:r>
              <w:rPr>
                <w:sz w:val="24"/>
              </w:rPr>
              <w:t xml:space="preserve">自提交响应文件的截止之日起算</w:t>
            </w:r>
            <w:r>
              <w:rPr>
                <w:rFonts w:hint="eastAsia"/>
                <w:sz w:val="24"/>
              </w:rPr>
              <w:t xml:space="preserve">60</w:t>
            </w:r>
            <w:r>
              <w:rPr>
                <w:sz w:val="24"/>
              </w:rPr>
              <w:t xml:space="preserve">日历天。</w:t>
            </w:r>
            <w:r/>
          </w:p>
        </w:tc>
      </w:tr>
      <w:tr>
        <w:trPr>
          <w:jc w:val="center"/>
          <w:trHeight w:val="1973"/>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23.5</w:t>
            </w:r>
            <w:r/>
          </w:p>
        </w:tc>
        <w:tc>
          <w:tcPr>
            <w:tcW w:w="1799" w:type="dxa"/>
            <w:vAlign w:val="center"/>
            <w:textDirection w:val="lrTb"/>
            <w:noWrap w:val="false"/>
          </w:tcPr>
          <w:p>
            <w:pPr>
              <w:jc w:val="center"/>
              <w:rPr>
                <w:sz w:val="24"/>
              </w:rPr>
            </w:pPr>
            <w:r>
              <w:rPr>
                <w:sz w:val="24"/>
              </w:rPr>
              <w:t xml:space="preserve">分包</w:t>
            </w:r>
            <w:r/>
          </w:p>
        </w:tc>
        <w:tc>
          <w:tcPr>
            <w:tcW w:w="6997" w:type="dxa"/>
            <w:vAlign w:val="center"/>
            <w:textDirection w:val="lrTb"/>
            <w:noWrap w:val="false"/>
          </w:tcPr>
          <w:p>
            <w:pPr>
              <w:jc w:val="left"/>
              <w:rPr>
                <w:sz w:val="24"/>
              </w:rPr>
            </w:pPr>
            <w:r>
              <w:rPr>
                <w:sz w:val="24"/>
              </w:rPr>
              <w:t xml:space="preserve">本项目是否允许分包： </w:t>
            </w:r>
            <w:r/>
          </w:p>
          <w:p>
            <w:pPr>
              <w:jc w:val="left"/>
              <w:rPr>
                <w:sz w:val="24"/>
              </w:rPr>
            </w:pPr>
            <w:r>
              <w:rPr>
                <w:b/>
                <w:color w:val="000000"/>
                <w:sz w:val="24"/>
              </w:rPr>
              <w:t xml:space="preserve">■</w:t>
            </w:r>
            <w:r>
              <w:rPr>
                <w:sz w:val="24"/>
              </w:rPr>
              <w:t xml:space="preserve">不允许</w:t>
            </w:r>
            <w:r/>
          </w:p>
          <w:p>
            <w:pPr>
              <w:jc w:val="left"/>
              <w:rPr>
                <w:sz w:val="24"/>
              </w:rPr>
            </w:pPr>
            <w:r>
              <w:t xml:space="preserve">□</w:t>
            </w:r>
            <w:r>
              <w:rPr>
                <w:sz w:val="24"/>
              </w:rPr>
              <w:t xml:space="preserve">允许，具体要求：_______。</w:t>
            </w:r>
            <w:r/>
          </w:p>
          <w:p>
            <w:pPr>
              <w:jc w:val="left"/>
              <w:rPr>
                <w:sz w:val="24"/>
              </w:rPr>
            </w:pPr>
            <w:r>
              <w:rPr>
                <w:sz w:val="24"/>
              </w:rPr>
              <w:t xml:space="preserve">（1）可以分包履行的具体内容：_______；</w:t>
            </w:r>
            <w:r/>
          </w:p>
          <w:p>
            <w:pPr>
              <w:jc w:val="left"/>
              <w:rPr>
                <w:sz w:val="24"/>
              </w:rPr>
            </w:pPr>
            <w:r>
              <w:rPr>
                <w:sz w:val="24"/>
              </w:rPr>
              <w:t xml:space="preserve">（2）允许分包的金额或者比例：_______；</w:t>
            </w:r>
            <w:r/>
          </w:p>
          <w:p>
            <w:pPr>
              <w:jc w:val="left"/>
              <w:rPr>
                <w:sz w:val="24"/>
                <w:u w:val="single"/>
              </w:rPr>
            </w:pPr>
            <w:r>
              <w:rPr>
                <w:sz w:val="24"/>
              </w:rPr>
              <w:t xml:space="preserve">（3）其他要求：_______。</w:t>
            </w:r>
            <w:r/>
          </w:p>
        </w:tc>
      </w:tr>
      <w:tr>
        <w:trPr>
          <w:jc w:val="center"/>
          <w:trHeight w:val="1374"/>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24.1.1</w:t>
            </w:r>
            <w:r/>
          </w:p>
        </w:tc>
        <w:tc>
          <w:tcPr>
            <w:tcW w:w="1799" w:type="dxa"/>
            <w:vAlign w:val="center"/>
            <w:textDirection w:val="lrTb"/>
            <w:noWrap w:val="false"/>
          </w:tcPr>
          <w:p>
            <w:pPr>
              <w:jc w:val="center"/>
              <w:rPr>
                <w:sz w:val="24"/>
              </w:rPr>
            </w:pPr>
            <w:r>
              <w:rPr>
                <w:sz w:val="24"/>
              </w:rPr>
              <w:t xml:space="preserve">询问</w:t>
            </w:r>
            <w:r/>
          </w:p>
        </w:tc>
        <w:tc>
          <w:tcPr>
            <w:tcW w:w="6997" w:type="dxa"/>
            <w:vAlign w:val="center"/>
            <w:textDirection w:val="lrTb"/>
            <w:noWrap w:val="false"/>
          </w:tcPr>
          <w:p>
            <w:pPr>
              <w:pStyle w:val="1026"/>
              <w:ind w:left="0" w:right="0"/>
              <w:keepLines w:val="0"/>
              <w:keepNext w:val="0"/>
              <w:spacing w:before="0" w:beforeAutospacing="0" w:after="0" w:afterAutospacing="0" w:line="0" w:lineRule="atLeast"/>
              <w:widowControl w:val="off"/>
              <w:rPr>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已登记参加本项目的供应商对磋商文件如有疑问，</w:t>
            </w:r>
            <w:r>
              <w:rPr>
                <w:rFonts w:hint="default" w:ascii="Times New Roman" w:hAnsi="Times New Roman" w:cs="Times New Roman"/>
                <w:color w:val="auto"/>
                <w:sz w:val="24"/>
                <w:szCs w:val="24"/>
              </w:rPr>
              <w:t xml:space="preserve">可于2026年</w:t>
            </w:r>
            <w:r>
              <w:rPr>
                <w:rFonts w:hint="eastAsia" w:cs="Times New Roman"/>
                <w:color w:val="auto"/>
                <w:sz w:val="24"/>
                <w:szCs w:val="24"/>
                <w:lang w:val="en-US" w:eastAsia="zh-CN"/>
              </w:rPr>
              <w:t xml:space="preserve">10</w:t>
            </w:r>
            <w:r>
              <w:rPr>
                <w:rFonts w:hint="default" w:ascii="Times New Roman" w:hAnsi="Times New Roman" w:cs="Times New Roman"/>
                <w:color w:val="auto"/>
                <w:sz w:val="24"/>
                <w:szCs w:val="24"/>
              </w:rPr>
              <w:t xml:space="preserve">月</w:t>
            </w:r>
            <w:r>
              <w:rPr>
                <w:rFonts w:hint="eastAsia" w:cs="Times New Roman"/>
                <w:color w:val="auto"/>
                <w:sz w:val="24"/>
                <w:szCs w:val="24"/>
                <w:lang w:val="en-US" w:eastAsia="zh-CN"/>
              </w:rPr>
              <w:t xml:space="preserve">13</w:t>
            </w:r>
            <w:r>
              <w:rPr>
                <w:rFonts w:hint="default" w:ascii="Times New Roman" w:hAnsi="Times New Roman" w:cs="Times New Roman"/>
                <w:color w:val="auto"/>
                <w:sz w:val="24"/>
                <w:szCs w:val="24"/>
              </w:rPr>
              <w:t xml:space="preserve">日17时00分前将相关疑问（格式详见磋商文件中“关于磋商文件的询问内容”）发送至邮箱（</w:t>
            </w:r>
            <w:r>
              <w:rPr>
                <w:rFonts w:hint="eastAsia" w:cs="Times New Roman"/>
                <w:color w:val="auto"/>
                <w:sz w:val="24"/>
                <w:szCs w:val="24"/>
                <w:lang w:val="en-US" w:eastAsia="zh-CN"/>
              </w:rPr>
              <w:t xml:space="preserve">690439375</w:t>
            </w:r>
            <w:r>
              <w:rPr>
                <w:rFonts w:hint="default" w:ascii="Times New Roman" w:hAnsi="Times New Roman" w:cs="Times New Roman"/>
                <w:color w:val="auto"/>
                <w:sz w:val="24"/>
                <w:szCs w:val="24"/>
              </w:rPr>
              <w:t xml:space="preserve">@qq.co</w:t>
            </w:r>
            <w:r>
              <w:rPr>
                <w:rFonts w:hint="default" w:ascii="Times New Roman" w:hAnsi="Times New Roman" w:cs="Times New Roman"/>
                <w:color w:val="000000"/>
                <w:sz w:val="24"/>
                <w:szCs w:val="24"/>
              </w:rPr>
              <w:t xml:space="preserve">m）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754"/>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24.3</w:t>
            </w:r>
            <w:r/>
          </w:p>
        </w:tc>
        <w:tc>
          <w:tcPr>
            <w:tcW w:w="1799" w:type="dxa"/>
            <w:vAlign w:val="center"/>
            <w:textDirection w:val="lrTb"/>
            <w:noWrap w:val="false"/>
          </w:tcPr>
          <w:p>
            <w:pPr>
              <w:jc w:val="center"/>
              <w:rPr>
                <w:sz w:val="24"/>
              </w:rPr>
            </w:pPr>
            <w:r>
              <w:rPr>
                <w:sz w:val="24"/>
              </w:rPr>
              <w:t xml:space="preserve">联系方式</w:t>
            </w:r>
            <w:r/>
          </w:p>
        </w:tc>
        <w:tc>
          <w:tcPr>
            <w:tcW w:w="6997" w:type="dxa"/>
            <w:vAlign w:val="center"/>
            <w:textDirection w:val="lrTb"/>
            <w:noWrap w:val="false"/>
          </w:tcPr>
          <w:p>
            <w:pPr>
              <w:jc w:val="left"/>
              <w:rPr>
                <w:sz w:val="24"/>
              </w:rPr>
            </w:pPr>
            <w:r>
              <w:rPr>
                <w:sz w:val="24"/>
              </w:rPr>
              <w:t xml:space="preserve">接收询问和质疑的联系方式</w:t>
            </w:r>
            <w:r/>
          </w:p>
          <w:p>
            <w:pPr>
              <w:jc w:val="left"/>
              <w:rPr>
                <w:sz w:val="24"/>
              </w:rPr>
            </w:pPr>
            <w:r>
              <w:rPr>
                <w:rFonts w:hint="eastAsia"/>
                <w:sz w:val="24"/>
                <w:u w:val="single"/>
                <w:lang w:eastAsia="zh-CN"/>
              </w:rPr>
              <w:t xml:space="preserve">常州博睿工程咨询有限公司代理部</w:t>
            </w:r>
            <w:r>
              <w:rPr>
                <w:sz w:val="24"/>
              </w:rPr>
              <w:t xml:space="preserve">；</w:t>
            </w:r>
            <w:r/>
          </w:p>
          <w:p>
            <w:pPr>
              <w:jc w:val="left"/>
              <w:rPr>
                <w:sz w:val="24"/>
              </w:rPr>
            </w:pPr>
            <w:r>
              <w:rPr>
                <w:sz w:val="24"/>
              </w:rPr>
              <w:t xml:space="preserve">联系电话：</w:t>
            </w:r>
            <w:r>
              <w:rPr>
                <w:rFonts w:hint="eastAsia"/>
                <w:sz w:val="24"/>
                <w:u w:val="single"/>
                <w:lang w:val="en-US" w:eastAsia="zh-CN"/>
              </w:rPr>
              <w:t xml:space="preserve">13651503665</w:t>
            </w:r>
            <w:r>
              <w:rPr>
                <w:sz w:val="24"/>
              </w:rPr>
              <w:t xml:space="preserve">；</w:t>
            </w:r>
            <w:r/>
          </w:p>
          <w:p>
            <w:pPr>
              <w:jc w:val="left"/>
              <w:rPr>
                <w:sz w:val="24"/>
              </w:rPr>
            </w:pPr>
            <w:r>
              <w:rPr>
                <w:sz w:val="24"/>
              </w:rPr>
              <w:t xml:space="preserve">通讯地址：</w:t>
            </w:r>
            <w:r>
              <w:rPr>
                <w:rFonts w:hint="eastAsia"/>
                <w:sz w:val="24"/>
                <w:u w:val="single"/>
                <w:lang w:eastAsia="zh-CN"/>
              </w:rPr>
              <w:t xml:space="preserve">常州博睿工程咨询有限公司（常州市武进区湖塘镇武进万达广场</w:t>
            </w:r>
            <w:r>
              <w:rPr>
                <w:rFonts w:hint="eastAsia"/>
                <w:sz w:val="24"/>
                <w:u w:val="single"/>
                <w:lang w:val="en-US" w:eastAsia="zh-CN"/>
              </w:rPr>
              <w:t xml:space="preserve">B2-415室）</w:t>
            </w:r>
            <w:r>
              <w:rPr>
                <w:sz w:val="24"/>
                <w:u w:val="single"/>
              </w:rPr>
              <w:t xml:space="preserve">。</w:t>
            </w:r>
            <w:r/>
          </w:p>
        </w:tc>
      </w:tr>
      <w:tr>
        <w:trPr>
          <w:jc w:val="center"/>
          <w:trHeight w:val="20"/>
        </w:trPr>
        <w:tc>
          <w:tcPr>
            <w:tcW w:w="890" w:type="dxa"/>
            <w:vAlign w:val="center"/>
            <w:textDirection w:val="lrTb"/>
            <w:noWrap w:val="false"/>
          </w:tcPr>
          <w:p>
            <w:pPr>
              <w:pStyle w:val="1219"/>
              <w:jc w:val="center"/>
              <w:rPr>
                <w:rFonts w:ascii="Times New Roman" w:hAnsi="Times New Roman"/>
                <w:sz w:val="24"/>
                <w:szCs w:val="24"/>
              </w:rPr>
            </w:pPr>
            <w:r>
              <w:rPr>
                <w:rFonts w:ascii="Times New Roman" w:hAnsi="Times New Roman"/>
                <w:sz w:val="24"/>
                <w:szCs w:val="24"/>
              </w:rPr>
              <w:t xml:space="preserve">25</w:t>
            </w:r>
            <w:r/>
          </w:p>
        </w:tc>
        <w:tc>
          <w:tcPr>
            <w:tcW w:w="1799" w:type="dxa"/>
            <w:vAlign w:val="center"/>
            <w:textDirection w:val="lrTb"/>
            <w:noWrap w:val="false"/>
          </w:tcPr>
          <w:p>
            <w:pPr>
              <w:jc w:val="center"/>
              <w:rPr>
                <w:sz w:val="24"/>
              </w:rPr>
            </w:pPr>
            <w:r>
              <w:rPr>
                <w:sz w:val="24"/>
              </w:rPr>
              <w:t xml:space="preserve">代理费</w:t>
            </w:r>
            <w:r/>
          </w:p>
        </w:tc>
        <w:tc>
          <w:tcPr>
            <w:tcW w:w="6997" w:type="dxa"/>
            <w:vAlign w:val="center"/>
            <w:textDirection w:val="lrTb"/>
            <w:noWrap w:val="false"/>
          </w:tcPr>
          <w:p>
            <w:pPr>
              <w:jc w:val="left"/>
              <w:rPr>
                <w:sz w:val="24"/>
              </w:rPr>
            </w:pPr>
            <w:r>
              <w:rPr>
                <w:sz w:val="24"/>
              </w:rPr>
              <w:t xml:space="preserve">收费对象：</w:t>
            </w:r>
            <w:r/>
          </w:p>
          <w:p>
            <w:pPr>
              <w:jc w:val="left"/>
              <w:rPr>
                <w:sz w:val="24"/>
              </w:rPr>
            </w:pPr>
            <w:r>
              <w:t xml:space="preserve">□</w:t>
            </w:r>
            <w:r>
              <w:rPr>
                <w:sz w:val="24"/>
              </w:rPr>
              <w:t xml:space="preserve">采购人</w:t>
            </w:r>
            <w:r/>
          </w:p>
          <w:p>
            <w:pPr>
              <w:jc w:val="left"/>
              <w:rPr>
                <w:sz w:val="24"/>
              </w:rPr>
            </w:pPr>
            <w:r>
              <w:rPr>
                <w:rFonts w:hint="eastAsia" w:ascii="宋体" w:hAnsi="宋体"/>
              </w:rPr>
              <w:t xml:space="preserve">■</w:t>
            </w:r>
            <w:r>
              <w:rPr>
                <w:sz w:val="24"/>
              </w:rPr>
              <w:t xml:space="preserve">成交供应商</w:t>
            </w:r>
            <w:r/>
          </w:p>
          <w:p>
            <w:pPr>
              <w:jc w:val="left"/>
              <w:rPr>
                <w:sz w:val="24"/>
                <w:u w:val="single"/>
              </w:rPr>
            </w:pPr>
            <w:r>
              <w:rPr>
                <w:rFonts w:hint="eastAsia"/>
                <w:b/>
                <w:bCs/>
                <w:sz w:val="24"/>
                <w:lang w:eastAsia="zh-CN"/>
              </w:rPr>
              <w:t xml:space="preserve">（</w:t>
            </w:r>
            <w:r>
              <w:rPr>
                <w:rFonts w:hint="eastAsia"/>
                <w:b/>
                <w:bCs/>
                <w:sz w:val="24"/>
                <w:lang w:val="en-US" w:eastAsia="zh-CN"/>
              </w:rPr>
              <w:t xml:space="preserve">1</w:t>
            </w:r>
            <w:r>
              <w:rPr>
                <w:rFonts w:hint="eastAsia"/>
                <w:b/>
                <w:bCs/>
                <w:sz w:val="24"/>
                <w:lang w:eastAsia="zh-CN"/>
              </w:rPr>
              <w:t xml:space="preserve">）</w:t>
            </w:r>
            <w:r>
              <w:rPr>
                <w:b/>
                <w:bCs/>
                <w:sz w:val="24"/>
              </w:rPr>
              <w:t xml:space="preserve">收费标准</w:t>
            </w:r>
            <w:r>
              <w:rPr>
                <w:sz w:val="24"/>
              </w:rPr>
              <w:t xml:space="preserve">：</w:t>
            </w:r>
            <w:r>
              <w:rPr>
                <w:rFonts w:hint="eastAsia" w:ascii="宋体" w:hAnsi="宋体" w:cs="宋体"/>
                <w:color w:val="000000" w:themeColor="text1"/>
                <w:sz w:val="24"/>
                <w:lang w:val="en-US" w:eastAsia="zh-CN"/>
              </w:rPr>
              <w:t xml:space="preserve">代理服务费</w:t>
            </w:r>
            <w:r>
              <w:rPr>
                <w:rFonts w:hint="eastAsia" w:ascii="宋体" w:hAnsi="宋体" w:cs="宋体"/>
                <w:color w:val="000000" w:themeColor="text1"/>
                <w:sz w:val="24"/>
                <w:lang w:eastAsia="zh-CN"/>
              </w:rPr>
              <w:t xml:space="preserve">按发改价格[2011]534号标准</w:t>
            </w:r>
            <w:r>
              <w:rPr>
                <w:rFonts w:hint="eastAsia" w:ascii="宋体" w:hAnsi="宋体" w:cs="宋体"/>
                <w:color w:val="000000" w:themeColor="text1"/>
                <w:sz w:val="24"/>
                <w:lang w:val="en-US" w:eastAsia="zh-CN"/>
              </w:rPr>
              <w:t xml:space="preserve">*80%计取</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val="en-US" w:eastAsia="zh-CN"/>
              </w:rPr>
              <w:t xml:space="preserve">不足三千按三千收取。</w:t>
            </w:r>
            <w:r/>
          </w:p>
          <w:p>
            <w:pPr>
              <w:jc w:val="left"/>
              <w:rPr>
                <w:sz w:val="24"/>
              </w:rPr>
            </w:pPr>
            <w:r>
              <w:rPr>
                <w:rFonts w:hint="eastAsia"/>
                <w:b/>
                <w:bCs/>
                <w:sz w:val="24"/>
                <w:lang w:eastAsia="zh-CN"/>
              </w:rPr>
              <w:t xml:space="preserve">（</w:t>
            </w:r>
            <w:r>
              <w:rPr>
                <w:rFonts w:hint="eastAsia"/>
                <w:b/>
                <w:bCs/>
                <w:sz w:val="24"/>
                <w:lang w:val="en-US" w:eastAsia="zh-CN"/>
              </w:rPr>
              <w:t xml:space="preserve">2</w:t>
            </w:r>
            <w:r>
              <w:rPr>
                <w:rFonts w:hint="eastAsia"/>
                <w:b/>
                <w:bCs/>
                <w:sz w:val="24"/>
                <w:lang w:eastAsia="zh-CN"/>
              </w:rPr>
              <w:t xml:space="preserve">）</w:t>
            </w:r>
            <w:r>
              <w:rPr>
                <w:b/>
                <w:bCs/>
                <w:sz w:val="24"/>
              </w:rPr>
              <w:t xml:space="preserve">缴纳时间：</w:t>
            </w:r>
            <w:r>
              <w:rPr>
                <w:rFonts w:hint="eastAsia" w:ascii="宋体" w:hAnsi="宋体" w:cs="宋体"/>
                <w:color w:val="000000" w:themeColor="text1"/>
                <w:sz w:val="24"/>
              </w:rPr>
              <w:t xml:space="preserve">中标人应在领取中标通知书时将代理</w:t>
            </w:r>
            <w:r>
              <w:rPr>
                <w:rFonts w:hint="eastAsia" w:ascii="宋体" w:hAnsi="宋体" w:cs="宋体"/>
                <w:color w:val="000000" w:themeColor="text1"/>
                <w:sz w:val="24"/>
                <w:lang w:eastAsia="zh-CN"/>
              </w:rPr>
              <w:t xml:space="preserve">服务</w:t>
            </w:r>
            <w:r>
              <w:rPr>
                <w:rFonts w:hint="eastAsia" w:ascii="宋体" w:hAnsi="宋体" w:cs="宋体"/>
                <w:color w:val="000000" w:themeColor="text1"/>
                <w:sz w:val="24"/>
              </w:rPr>
              <w:t xml:space="preserve">费支付至</w:t>
            </w:r>
            <w:r>
              <w:rPr>
                <w:rFonts w:hint="eastAsia" w:ascii="宋体" w:hAnsi="宋体" w:cs="宋体"/>
                <w:color w:val="000000" w:themeColor="text1"/>
                <w:sz w:val="24"/>
                <w:lang w:eastAsia="zh-CN"/>
              </w:rPr>
              <w:t xml:space="preserve">常州博睿工程咨询有限公司</w:t>
            </w:r>
            <w:r>
              <w:rPr>
                <w:rFonts w:hint="eastAsia" w:ascii="宋体" w:hAnsi="宋体" w:cs="宋体"/>
                <w:color w:val="000000" w:themeColor="text1"/>
                <w:sz w:val="24"/>
              </w:rPr>
              <w:t xml:space="preserve">账户</w:t>
            </w:r>
            <w:r>
              <w:rPr>
                <w:sz w:val="24"/>
              </w:rPr>
              <w:t xml:space="preserve">。</w:t>
            </w:r>
            <w:r/>
          </w:p>
          <w:p>
            <w:pPr>
              <w:ind w:firstLine="473"/>
              <w:jc w:val="left"/>
              <w:rPr>
                <w:rFonts w:hint="eastAsia" w:ascii="宋体" w:hAnsi="宋体" w:eastAsia="宋体" w:cs="宋体"/>
                <w:color w:val="000000" w:themeColor="text1"/>
                <w:sz w:val="24"/>
                <w:highlight w:val="none"/>
                <w:lang w:eastAsia="zh-CN"/>
              </w:rPr>
            </w:pPr>
            <w:r>
              <w:rPr>
                <w:rFonts w:hint="eastAsia" w:ascii="宋体" w:hAnsi="宋体" w:cs="宋体"/>
                <w:color w:val="000000" w:themeColor="text1"/>
                <w:sz w:val="24"/>
                <w:highlight w:val="none"/>
              </w:rPr>
              <w:t xml:space="preserve">收款单位：</w:t>
            </w:r>
            <w:r>
              <w:rPr>
                <w:rFonts w:hint="eastAsia" w:ascii="宋体" w:hAnsi="宋体" w:cs="宋体"/>
                <w:color w:val="000000" w:themeColor="text1"/>
                <w:sz w:val="24"/>
                <w:lang w:eastAsia="zh-CN"/>
              </w:rPr>
              <w:t xml:space="preserve">常州博睿工程咨询有限公司</w:t>
            </w:r>
            <w:r/>
          </w:p>
          <w:p>
            <w:pPr>
              <w:ind w:firstLine="473"/>
              <w:jc w:val="left"/>
              <w:rPr>
                <w:rFonts w:hint="eastAsia" w:ascii="宋体" w:hAnsi="宋体" w:eastAsia="宋体" w:cs="宋体"/>
                <w:color w:val="000000" w:themeColor="text1"/>
                <w:sz w:val="24"/>
                <w:highlight w:val="none"/>
                <w:lang w:eastAsia="zh-CN"/>
              </w:rPr>
            </w:pPr>
            <w:r>
              <w:rPr>
                <w:rFonts w:hint="eastAsia" w:ascii="宋体" w:hAnsi="宋体" w:cs="宋体"/>
                <w:color w:val="000000" w:themeColor="text1"/>
                <w:sz w:val="24"/>
                <w:highlight w:val="none"/>
              </w:rPr>
              <w:t xml:space="preserve">开户银行：</w:t>
            </w:r>
            <w:r>
              <w:rPr>
                <w:rFonts w:hint="eastAsia" w:ascii="宋体" w:hAnsi="宋体" w:cs="宋体"/>
                <w:color w:val="000000" w:themeColor="text1"/>
                <w:sz w:val="24"/>
                <w:highlight w:val="none"/>
                <w:lang w:eastAsia="zh-CN"/>
              </w:rPr>
              <w:t xml:space="preserve">农行武进支行</w:t>
            </w:r>
            <w:r/>
          </w:p>
          <w:p>
            <w:pPr>
              <w:ind w:firstLine="480"/>
              <w:jc w:val="left"/>
            </w:pPr>
            <w:r>
              <w:rPr>
                <w:rFonts w:hint="eastAsia" w:ascii="宋体" w:hAnsi="宋体" w:cs="宋体"/>
                <w:color w:val="000000" w:themeColor="text1"/>
                <w:sz w:val="24"/>
                <w:highlight w:val="none"/>
              </w:rPr>
              <w:t xml:space="preserve">银行账号：</w:t>
            </w:r>
            <w:r>
              <w:rPr>
                <w:rFonts w:hint="eastAsia" w:ascii="宋体" w:hAnsi="宋体" w:cs="宋体"/>
                <w:color w:val="000000" w:themeColor="text1"/>
                <w:sz w:val="24"/>
                <w:highlight w:val="none"/>
                <w:lang w:val="en-US" w:eastAsia="zh-CN"/>
              </w:rPr>
              <w:t xml:space="preserve">10600401040215075</w:t>
            </w:r>
            <w:r/>
          </w:p>
        </w:tc>
      </w:tr>
      <w:tr>
        <w:trPr>
          <w:jc w:val="center"/>
          <w:trHeight w:val="1419"/>
        </w:trPr>
        <w:tc>
          <w:tcPr>
            <w:tcW w:w="890" w:type="dxa"/>
            <w:vAlign w:val="center"/>
            <w:textDirection w:val="lrTb"/>
            <w:noWrap w:val="false"/>
          </w:tcPr>
          <w:p>
            <w:pPr>
              <w:pStyle w:val="1219"/>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26</w:t>
            </w:r>
            <w:r/>
          </w:p>
        </w:tc>
        <w:tc>
          <w:tcPr>
            <w:tcW w:w="1799" w:type="dxa"/>
            <w:vAlign w:val="center"/>
            <w:textDirection w:val="lrTb"/>
            <w:noWrap w:val="false"/>
          </w:tcPr>
          <w:p>
            <w:pPr>
              <w:jc w:val="center"/>
              <w:rPr>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6997" w:type="dxa"/>
            <w:vAlign w:val="center"/>
            <w:textDirection w:val="lrTb"/>
            <w:noWrap w:val="false"/>
          </w:tcPr>
          <w:p>
            <w:pPr>
              <w:jc w:val="left"/>
              <w:rPr>
                <w:rFonts w:hint="eastAsia" w:ascii="Times New Roman" w:hAnsi="Times New Roman" w:eastAsia="宋体" w:cs="Times New Roman"/>
                <w:sz w:val="24"/>
                <w:lang w:val="en-US" w:eastAsia="zh-CN"/>
              </w:rPr>
            </w:pPr>
            <w:r>
              <w:rPr>
                <w:rFonts w:hint="eastAsia"/>
                <w:color w:val="000000" w:themeColor="text1"/>
                <w:sz w:val="24"/>
              </w:rPr>
              <w:t xml:space="preserve">成交供应商在签订合同前需递交与电子响应文件内容一致的纸质响应文件叁份（需打印清晰，标注目录及页码），作为项目归档使用。（递交方式可采用邮寄或现场送达,</w:t>
            </w:r>
            <w:r>
              <w:rPr>
                <w:rFonts w:hint="eastAsia"/>
                <w:color w:val="000000" w:themeColor="text1"/>
                <w:sz w:val="24"/>
                <w:lang w:eastAsia="zh-CN"/>
              </w:rPr>
              <w:t xml:space="preserve">常州博睿工程咨询有限公司</w:t>
            </w:r>
            <w:r>
              <w:rPr>
                <w:rFonts w:hint="eastAsia"/>
                <w:color w:val="000000" w:themeColor="text1"/>
                <w:sz w:val="24"/>
              </w:rPr>
              <w:t xml:space="preserve">，联系方式见《第一章 投标邀请》）</w:t>
            </w:r>
            <w:r/>
          </w:p>
        </w:tc>
      </w:tr>
    </w:tbl>
    <w:p>
      <w:pPr>
        <w:jc w:val="both"/>
        <w:spacing w:line="360" w:lineRule="auto"/>
        <w:tabs>
          <w:tab w:val="left" w:pos="5580" w:leader="none"/>
        </w:tabs>
        <w:rPr>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jc w:val="center"/>
        <w:spacing w:before="240" w:after="240"/>
        <w:rPr>
          <w:b/>
          <w:sz w:val="28"/>
          <w:szCs w:val="28"/>
        </w:rPr>
      </w:pPr>
      <w:r>
        <w:rPr>
          <w:b/>
          <w:sz w:val="28"/>
          <w:szCs w:val="28"/>
        </w:rPr>
        <w:t xml:space="preserve">供应商须知</w:t>
      </w:r>
      <w:r/>
    </w:p>
    <w:p>
      <w:pPr>
        <w:pStyle w:val="1181"/>
        <w:jc w:val="left"/>
        <w:spacing w:before="0" w:line="360" w:lineRule="auto"/>
        <w:tabs>
          <w:tab w:val="center" w:pos="4592" w:leader="none"/>
          <w:tab w:val="left" w:pos="7860" w:leader="none"/>
        </w:tabs>
        <w:rPr>
          <w:rFonts w:ascii="Times New Roman" w:hAnsi="Times New Roman" w:eastAsia="宋体"/>
          <w:sz w:val="28"/>
        </w:rPr>
      </w:pPr>
      <w:r/>
      <w:bookmarkStart w:id="72" w:name="_Toc127151518"/>
      <w:r/>
      <w:bookmarkStart w:id="73" w:name="_Toc520356143"/>
      <w:r>
        <w:rPr>
          <w:rFonts w:ascii="Times New Roman" w:hAnsi="Times New Roman" w:eastAsia="宋体"/>
          <w:sz w:val="28"/>
        </w:rPr>
        <w:tab/>
      </w:r>
      <w:bookmarkStart w:id="74" w:name="_Toc305158786"/>
      <w:r/>
      <w:bookmarkStart w:id="75" w:name="_Toc151193832"/>
      <w:r/>
      <w:bookmarkStart w:id="76" w:name="_Toc151190145"/>
      <w:r/>
      <w:bookmarkStart w:id="77" w:name="_Toc142311020"/>
      <w:r/>
      <w:bookmarkStart w:id="78" w:name="_Toc151193906"/>
      <w:r/>
      <w:bookmarkStart w:id="79" w:name="_Toc226337214"/>
      <w:r/>
      <w:bookmarkStart w:id="80" w:name="_Toc151193616"/>
      <w:r/>
      <w:bookmarkStart w:id="81" w:name="_Toc151193760"/>
      <w:r/>
      <w:bookmarkStart w:id="82" w:name="_Toc226309762"/>
      <w:r/>
      <w:bookmarkStart w:id="83" w:name="_Toc265228356"/>
      <w:r/>
      <w:bookmarkStart w:id="84" w:name="_Toc264969208"/>
      <w:r/>
      <w:bookmarkStart w:id="85" w:name="_Toc150774618"/>
      <w:r/>
      <w:bookmarkStart w:id="86" w:name="_Toc150774723"/>
      <w:r/>
      <w:bookmarkStart w:id="87" w:name="_Toc150480756"/>
      <w:r/>
      <w:bookmarkStart w:id="88" w:name="_Toc226965791"/>
      <w:r/>
      <w:bookmarkStart w:id="89" w:name="_Toc226965708"/>
      <w:r/>
      <w:bookmarkStart w:id="90" w:name="_Toc150509269"/>
      <w:r/>
      <w:bookmarkStart w:id="91" w:name="_Toc151193688"/>
      <w:r/>
      <w:bookmarkStart w:id="92" w:name="_Toc195842883"/>
      <w:r/>
      <w:bookmarkStart w:id="93" w:name="_Toc305158860"/>
      <w:r>
        <w:rPr>
          <w:rFonts w:ascii="Times New Roman" w:hAnsi="Times New Roman" w:eastAsia="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p>
    <w:p>
      <w:pPr>
        <w:numPr>
          <w:ilvl w:val="0"/>
          <w:numId w:val="9"/>
        </w:numPr>
        <w:ind w:left="357" w:hanging="357"/>
        <w:spacing w:line="360" w:lineRule="auto"/>
        <w:tabs>
          <w:tab w:val="left" w:pos="360" w:leader="none"/>
        </w:tabs>
        <w:rPr>
          <w:sz w:val="24"/>
        </w:rPr>
        <w:outlineLvl w:val="1"/>
      </w:pPr>
      <w:r/>
      <w:bookmarkStart w:id="94" w:name="_Toc305158861"/>
      <w:r/>
      <w:bookmarkStart w:id="95" w:name="_Toc305158787"/>
      <w:r/>
      <w:bookmarkStart w:id="96" w:name="_Toc264969209"/>
      <w:r/>
      <w:bookmarkStart w:id="97" w:name="_Toc265228357"/>
      <w:r>
        <w:rPr>
          <w:sz w:val="24"/>
        </w:rPr>
        <w:t xml:space="preserve">采购人、采购代理机构、供应商</w:t>
      </w:r>
      <w:bookmarkEnd w:id="94"/>
      <w:r/>
      <w:bookmarkEnd w:id="95"/>
      <w:r/>
      <w:bookmarkEnd w:id="96"/>
      <w:r/>
      <w:bookmarkEnd w:id="97"/>
      <w:r>
        <w:rPr>
          <w:sz w:val="24"/>
        </w:rPr>
        <w:t xml:space="preserve">、联合体</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s>
        <w:rPr>
          <w:sz w:val="24"/>
        </w:rPr>
        <w:outlineLvl w:val="1"/>
      </w:pPr>
      <w:r/>
      <w:bookmarkStart w:id="98" w:name="_Toc151193690"/>
      <w:r/>
      <w:bookmarkStart w:id="99" w:name="_Toc150509271"/>
      <w:r/>
      <w:bookmarkStart w:id="100" w:name="_Toc127161434"/>
      <w:r/>
      <w:bookmarkStart w:id="101" w:name="_Toc150480758"/>
      <w:r/>
      <w:bookmarkStart w:id="102" w:name="_Toc151193618"/>
      <w:r/>
      <w:bookmarkStart w:id="103" w:name="_Toc164351614"/>
      <w:r/>
      <w:bookmarkStart w:id="104" w:name="_Toc226337216"/>
      <w:r/>
      <w:bookmarkStart w:id="105" w:name="_Toc150774725"/>
      <w:r/>
      <w:bookmarkStart w:id="106" w:name="_Toc264969210"/>
      <w:r/>
      <w:bookmarkStart w:id="107" w:name="_Toc127151520"/>
      <w:r/>
      <w:bookmarkStart w:id="108" w:name="_Toc151190147"/>
      <w:r/>
      <w:bookmarkStart w:id="109" w:name="_Toc142311022"/>
      <w:r/>
      <w:bookmarkStart w:id="110" w:name="_Toc164229361"/>
      <w:r/>
      <w:bookmarkStart w:id="111" w:name="_Toc164229215"/>
      <w:r/>
      <w:bookmarkStart w:id="112" w:name="_Toc164608634"/>
      <w:r/>
      <w:bookmarkStart w:id="113" w:name="_Toc151193908"/>
      <w:r/>
      <w:bookmarkStart w:id="114" w:name="_Toc149720813"/>
      <w:r/>
      <w:bookmarkStart w:id="115" w:name="_Toc127151721"/>
      <w:r/>
      <w:bookmarkStart w:id="116" w:name="_Toc151193762"/>
      <w:r/>
      <w:bookmarkStart w:id="117" w:name="_Toc305158862"/>
      <w:r/>
      <w:bookmarkStart w:id="118" w:name="_Toc150774620"/>
      <w:r/>
      <w:bookmarkStart w:id="119" w:name="_Toc226965793"/>
      <w:r/>
      <w:bookmarkStart w:id="120" w:name="_Toc226309764"/>
      <w:r/>
      <w:bookmarkStart w:id="121" w:name="_Toc305158788"/>
      <w:r/>
      <w:bookmarkStart w:id="122" w:name="_Toc195842885"/>
      <w:r/>
      <w:bookmarkStart w:id="123" w:name="_Toc151193834"/>
      <w:r/>
      <w:bookmarkStart w:id="124" w:name="_Toc226965710"/>
      <w:r/>
      <w:bookmarkStart w:id="125" w:name="_Toc164608789"/>
      <w:r/>
      <w:bookmarkStart w:id="126" w:name="_Toc265228358"/>
      <w:r>
        <w:rPr>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sz w:val="24"/>
        </w:rPr>
        <w:t xml:space="preserve">、项目属性、科研仪器设备采购</w:t>
      </w:r>
      <w:r/>
    </w:p>
    <w:p>
      <w:pPr>
        <w:numPr>
          <w:ilvl w:val="1"/>
          <w:numId w:val="9"/>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sz w:val="24"/>
        </w:rPr>
      </w:pPr>
      <w:r>
        <w:rPr>
          <w:sz w:val="24"/>
        </w:rPr>
        <w:t xml:space="preserve">项目属性见《供应商须知资料表》。</w:t>
      </w:r>
      <w:r/>
    </w:p>
    <w:p>
      <w:pPr>
        <w:numPr>
          <w:ilvl w:val="1"/>
          <w:numId w:val="9"/>
        </w:numPr>
        <w:ind w:left="1080" w:hanging="720"/>
        <w:spacing w:line="360" w:lineRule="auto"/>
        <w:tabs>
          <w:tab w:val="left" w:pos="1080" w:leader="none"/>
          <w:tab w:val="left" w:pos="2014" w:leader="none"/>
        </w:tabs>
        <w:rPr>
          <w:sz w:val="24"/>
        </w:rPr>
      </w:pPr>
      <w:r>
        <w:rPr>
          <w:sz w:val="24"/>
        </w:rPr>
        <w:t xml:space="preserve">是否属于科研仪器设备采购见《供应商须知资料表》。</w:t>
      </w:r>
      <w:r/>
    </w:p>
    <w:p>
      <w:pPr>
        <w:numPr>
          <w:ilvl w:val="0"/>
          <w:numId w:val="9"/>
        </w:numPr>
        <w:ind w:left="357" w:hanging="357"/>
        <w:spacing w:line="360" w:lineRule="auto"/>
        <w:tabs>
          <w:tab w:val="left" w:pos="360" w:leader="none"/>
        </w:tabs>
        <w:rPr>
          <w:sz w:val="24"/>
        </w:rPr>
        <w:outlineLvl w:val="1"/>
      </w:pPr>
      <w:r>
        <w:rPr>
          <w:sz w:val="24"/>
        </w:rPr>
        <w:t xml:space="preserve">现场考察、磋商前答疑会</w:t>
      </w:r>
      <w:r/>
    </w:p>
    <w:p>
      <w:pPr>
        <w:numPr>
          <w:ilvl w:val="1"/>
          <w:numId w:val="9"/>
        </w:numPr>
        <w:ind w:left="1080" w:hanging="720"/>
        <w:spacing w:line="360" w:lineRule="auto"/>
        <w:tabs>
          <w:tab w:val="left" w:pos="1080"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7" w:name="_Toc151193910"/>
      <w:r/>
      <w:bookmarkStart w:id="128" w:name="_Toc151193620"/>
      <w:r/>
      <w:bookmarkStart w:id="129" w:name="_Toc150774727"/>
      <w:r/>
      <w:bookmarkStart w:id="130" w:name="_Toc151193836"/>
      <w:r/>
      <w:bookmarkStart w:id="131" w:name="_Toc150509273"/>
      <w:r/>
      <w:bookmarkStart w:id="132" w:name="_Toc150774622"/>
      <w:r/>
      <w:bookmarkStart w:id="133" w:name="_Toc195842887"/>
      <w:r/>
      <w:bookmarkStart w:id="134" w:name="_Toc226337218"/>
      <w:r/>
      <w:bookmarkStart w:id="135" w:name="_Toc226965795"/>
      <w:r/>
      <w:bookmarkStart w:id="136" w:name="_Toc150480760"/>
      <w:r/>
      <w:bookmarkStart w:id="137" w:name="_Toc151190149"/>
      <w:r/>
      <w:bookmarkStart w:id="138" w:name="_Toc226965712"/>
      <w:r/>
      <w:bookmarkStart w:id="139" w:name="_Toc127151522"/>
      <w:r/>
      <w:bookmarkStart w:id="140" w:name="_Toc151193764"/>
      <w:r/>
      <w:bookmarkStart w:id="141" w:name="_Toc226309766"/>
      <w:r/>
      <w:bookmarkStart w:id="142" w:name="_Toc305158790"/>
      <w:r/>
      <w:bookmarkStart w:id="143" w:name="_Toc305158864"/>
      <w:r/>
      <w:bookmarkStart w:id="144" w:name="_Toc265228360"/>
      <w:r/>
      <w:bookmarkStart w:id="145" w:name="_Toc142311024"/>
      <w:r/>
      <w:bookmarkStart w:id="146" w:name="_Toc151193692"/>
      <w:r/>
      <w:bookmarkStart w:id="147" w:name="_Toc520356146"/>
      <w:r/>
      <w:bookmarkStart w:id="148" w:name="_Toc264969212"/>
      <w:r/>
      <w:r/>
    </w:p>
    <w:p>
      <w:pPr>
        <w:numPr>
          <w:ilvl w:val="1"/>
          <w:numId w:val="9"/>
        </w:numPr>
        <w:ind w:left="1080" w:hanging="720"/>
        <w:spacing w:line="360" w:lineRule="auto"/>
        <w:tabs>
          <w:tab w:val="left" w:pos="1080"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9"/>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9"/>
        </w:numPr>
        <w:spacing w:line="360" w:lineRule="auto"/>
        <w:rPr>
          <w:sz w:val="24"/>
        </w:rPr>
      </w:pPr>
      <w:r>
        <w:rPr>
          <w:sz w:val="24"/>
        </w:rPr>
        <w:t xml:space="preserve">中小企业定义：</w:t>
      </w:r>
      <w:r/>
    </w:p>
    <w:p>
      <w:pPr>
        <w:pStyle w:val="1280"/>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80"/>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80"/>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80"/>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80"/>
        <w:numPr>
          <w:ilvl w:val="1"/>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80"/>
        <w:numPr>
          <w:ilvl w:val="1"/>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80"/>
        <w:numPr>
          <w:ilvl w:val="2"/>
          <w:numId w:val="10"/>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p>
    <w:p>
      <w:pPr>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0"/>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sz w:val="24"/>
        </w:rPr>
      </w:pPr>
      <w:r>
        <w:rPr>
          <w:sz w:val="24"/>
        </w:rPr>
        <w:t xml:space="preserve">残疾人福利单位定义：享受政府采购支持政策的残疾人福利性单位应当同时满足以下条件：</w:t>
      </w:r>
      <w:r/>
    </w:p>
    <w:p>
      <w:pPr>
        <w:pStyle w:val="1280"/>
        <w:numPr>
          <w:ilvl w:val="2"/>
          <w:numId w:val="10"/>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80"/>
        <w:numPr>
          <w:ilvl w:val="2"/>
          <w:numId w:val="10"/>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sz w:val="24"/>
        </w:rPr>
      </w:pPr>
      <w:r>
        <w:rPr>
          <w:sz w:val="24"/>
        </w:rPr>
        <w:t xml:space="preserve">本项目是否专门面向中小企业预留采购份额见第一章《采购邀请》。</w:t>
      </w:r>
      <w:r/>
    </w:p>
    <w:p>
      <w:pPr>
        <w:numPr>
          <w:ilvl w:val="2"/>
          <w:numId w:val="9"/>
        </w:numPr>
        <w:spacing w:line="360" w:lineRule="auto"/>
        <w:rPr>
          <w:sz w:val="24"/>
        </w:rPr>
      </w:pPr>
      <w:r>
        <w:rPr>
          <w:sz w:val="24"/>
        </w:rPr>
        <w:t xml:space="preserve">采购标的对应的中小企业划分标准所属行业见《供应商须知资料表》。</w:t>
      </w:r>
      <w:r/>
    </w:p>
    <w:p>
      <w:pPr>
        <w:numPr>
          <w:ilvl w:val="2"/>
          <w:numId w:val="9"/>
        </w:numPr>
        <w:spacing w:line="360" w:lineRule="auto"/>
        <w:rPr>
          <w:sz w:val="24"/>
        </w:rPr>
      </w:pPr>
      <w:r>
        <w:rPr>
          <w:sz w:val="24"/>
        </w:rPr>
        <w:t xml:space="preserve">小微企业价格评审优惠的政策调整：见第三章《评审方法和评审标准》。</w:t>
      </w:r>
      <w:r/>
    </w:p>
    <w:p>
      <w:pPr>
        <w:numPr>
          <w:ilvl w:val="1"/>
          <w:numId w:val="9"/>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9"/>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p>
    <w:p>
      <w:pPr>
        <w:numPr>
          <w:ilvl w:val="2"/>
          <w:numId w:val="9"/>
        </w:numPr>
        <w:spacing w:line="360" w:lineRule="auto"/>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p>
    <w:p>
      <w:pPr>
        <w:numPr>
          <w:ilvl w:val="2"/>
          <w:numId w:val="9"/>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9"/>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9"/>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2"/>
          <w:numId w:val="9"/>
        </w:numPr>
        <w:spacing w:line="360" w:lineRule="auto"/>
        <w:rPr>
          <w:sz w:val="24"/>
        </w:rPr>
      </w:pPr>
      <w:r>
        <w:rPr>
          <w:rFonts w:hint="eastAsia" w:ascii="Times New Roman" w:hAnsi="Times New Roman" w:eastAsia="宋体" w:cs="Times New Roman"/>
          <w:color w:val="000000"/>
          <w:sz w:val="24"/>
        </w:rPr>
        <w:t xml:space="preserve">信息安全产品：具</w:t>
      </w:r>
      <w:r>
        <w:rPr>
          <w:rFonts w:hint="eastAsia"/>
          <w:color w:val="000000"/>
          <w:sz w:val="24"/>
        </w:rPr>
        <w:t xml:space="preserve">体详见国家互联网信息办公室、工业和信息化部、公安部、财政部和国家认证认可监督管理委员会关于调整网络安全专用产品安全管理有关事项的公告 （2023年第1号）</w:t>
      </w:r>
      <w:r>
        <w:rPr>
          <w:rFonts w:hint="eastAsia"/>
          <w:color w:val="000000"/>
          <w:sz w:val="24"/>
          <w:lang w:eastAsia="zh-CN"/>
        </w:rPr>
        <w:t xml:space="preserve">。</w:t>
      </w:r>
      <w:r/>
    </w:p>
    <w:p>
      <w:pPr>
        <w:numPr>
          <w:ilvl w:val="1"/>
          <w:numId w:val="9"/>
        </w:numPr>
        <w:ind w:left="1080" w:hanging="720"/>
        <w:spacing w:line="360" w:lineRule="auto"/>
        <w:tabs>
          <w:tab w:val="left" w:pos="1080" w:leader="none"/>
          <w:tab w:val="left" w:pos="2014" w:leader="none"/>
        </w:tabs>
        <w:rPr>
          <w:rFonts w:hint="eastAsia"/>
          <w:sz w:val="24"/>
        </w:rPr>
      </w:pPr>
      <w:r>
        <w:rPr>
          <w:rFonts w:hint="eastAsia"/>
          <w:sz w:val="24"/>
        </w:rPr>
        <w:t xml:space="preserve">政府采购创新产品政策</w:t>
      </w:r>
      <w:r/>
    </w:p>
    <w:p>
      <w:pPr>
        <w:numPr>
          <w:ilvl w:val="2"/>
          <w:numId w:val="9"/>
        </w:numPr>
        <w:spacing w:line="360" w:lineRule="auto"/>
        <w:tabs>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sz w:val="24"/>
        </w:rPr>
      </w:pPr>
      <w:r>
        <w:rPr>
          <w:rFonts w:hint="eastAsia"/>
          <w:sz w:val="24"/>
        </w:rPr>
        <w:t xml:space="preserve">4.7 绿色采购政策</w:t>
      </w:r>
      <w:r/>
    </w:p>
    <w:p>
      <w:pPr>
        <w:ind w:left="900"/>
        <w:spacing w:line="480" w:lineRule="exact"/>
        <w:rPr>
          <w:rFonts w:ascii="宋体" w:hAnsi="宋体"/>
          <w:b/>
          <w:sz w:val="24"/>
        </w:rPr>
      </w:pPr>
      <w:r>
        <w:rPr>
          <w:rFonts w:hint="eastAsia"/>
          <w:sz w:val="24"/>
        </w:rPr>
        <w:t xml:space="preserve">4.7.1  </w:t>
      </w:r>
      <w:r>
        <w:rPr>
          <w:rFonts w:hint="eastAsia" w:ascii="宋体" w:hAnsi="宋体"/>
          <w:b/>
          <w:sz w:val="24"/>
        </w:rPr>
        <w:t xml:space="preserve">绿色数据中心政策 </w:t>
      </w:r>
      <w:r/>
    </w:p>
    <w:p>
      <w:pPr>
        <w:ind w:left="1856" w:firstLine="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4.7.2 推广应用绿色建材</w:t>
      </w:r>
      <w:r/>
    </w:p>
    <w:p>
      <w:pPr>
        <w:ind w:left="1856" w:firstLine="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hint="eastAsia" w:ascii="宋体" w:hAnsi="宋体" w:eastAsia="宋体" w:cs="Times New Roman"/>
          <w:sz w:val="24"/>
        </w:rPr>
      </w:pPr>
      <w:r>
        <w:rPr>
          <w:rFonts w:hint="eastAsia" w:ascii="宋体" w:hAnsi="宋体" w:eastAsia="宋体" w:cs="Times New Roman"/>
          <w:sz w:val="24"/>
        </w:rPr>
        <w:t xml:space="preserve">4.7.3 优先使用低挥发性有机化合物产品</w:t>
      </w:r>
      <w:r/>
    </w:p>
    <w:p>
      <w:pPr>
        <w:ind w:left="1856" w:firstLine="0"/>
        <w:spacing w:line="480" w:lineRule="exact"/>
        <w:rPr>
          <w:rFonts w:hint="eastAsia" w:ascii="宋体" w:hAnsi="宋体"/>
          <w:sz w:val="24"/>
        </w:rPr>
      </w:pPr>
      <w:r>
        <w:rPr>
          <w:rFonts w:hint="eastAsia" w:ascii="宋体" w:hAnsi="宋体" w:eastAsia="宋体" w:cs="Times New Roman"/>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w:t>
      </w:r>
      <w:r>
        <w:rPr>
          <w:rFonts w:hint="eastAsia" w:ascii="宋体" w:hAnsi="宋体"/>
          <w:sz w:val="24"/>
        </w:rPr>
        <w:t xml:space="preserve">准等，以体现优先采购。</w:t>
      </w:r>
      <w:r/>
    </w:p>
    <w:p>
      <w:pPr>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4.8</w:t>
      </w:r>
      <w:r>
        <w:rPr>
          <w:rFonts w:hint="eastAsia" w:ascii="宋体" w:hAnsi="宋体" w:eastAsia="宋体" w:cs="Times New Roman"/>
          <w:sz w:val="24"/>
        </w:rPr>
        <w:t xml:space="preserve">电子履约保函政策</w:t>
      </w:r>
      <w:r/>
    </w:p>
    <w:p>
      <w:pPr>
        <w:ind w:left="1856" w:firstLine="0"/>
        <w:spacing w:line="480" w:lineRule="exact"/>
        <w:rPr>
          <w:color w:val="000000"/>
          <w:sz w:val="24"/>
        </w:rPr>
      </w:pPr>
      <w:r>
        <w:rPr>
          <w:rFonts w:hint="eastAsia" w:ascii="宋体" w:hAnsi="宋体" w:eastAsia="宋体" w:cs="Times New Roman"/>
          <w:sz w:val="24"/>
        </w:rPr>
        <w:t xml:space="preserve">为进一步优化政府采购营商环境，规范我省政府采购履约保证金管理，持续降低供应商参与政府采购成本，根</w:t>
      </w:r>
      <w:r>
        <w:rPr>
          <w:rFonts w:hint="eastAsia"/>
          <w:color w:val="000000"/>
          <w:sz w:val="24"/>
        </w:rPr>
        <w:t xml:space="preserve">据</w:t>
      </w:r>
      <w:r>
        <w:rPr>
          <w:rFonts w:hint="eastAsia"/>
          <w:color w:val="000000"/>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numPr>
          <w:ilvl w:val="0"/>
          <w:numId w:val="9"/>
        </w:numPr>
        <w:ind w:left="357" w:hanging="357"/>
        <w:spacing w:line="360" w:lineRule="auto"/>
        <w:tabs>
          <w:tab w:val="left" w:pos="360" w:leader="none"/>
        </w:tabs>
        <w:rPr>
          <w:sz w:val="24"/>
        </w:rPr>
        <w:outlineLvl w:val="1"/>
      </w:pPr>
      <w:r>
        <w:rPr>
          <w:sz w:val="24"/>
        </w:rPr>
        <w:t xml:space="preserve">响应费用</w:t>
      </w:r>
      <w:r/>
    </w:p>
    <w:p>
      <w:pPr>
        <w:numPr>
          <w:ilvl w:val="1"/>
          <w:numId w:val="9"/>
        </w:numPr>
        <w:ind w:left="1080" w:hanging="720"/>
        <w:spacing w:line="360" w:lineRule="auto"/>
        <w:tabs>
          <w:tab w:val="left" w:pos="1080"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rPr>
      </w:pPr>
      <w:r/>
      <w:bookmarkStart w:id="149" w:name="_1.8_计量单位"/>
      <w:r/>
      <w:bookmarkEnd w:id="149"/>
      <w:r/>
      <w:r/>
    </w:p>
    <w:p>
      <w:pPr>
        <w:pStyle w:val="1181"/>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9"/>
        </w:numPr>
        <w:ind w:left="357" w:hanging="357"/>
        <w:spacing w:line="360" w:lineRule="auto"/>
        <w:tabs>
          <w:tab w:val="left" w:pos="360" w:leader="none"/>
        </w:tabs>
        <w:rPr>
          <w:sz w:val="24"/>
        </w:rPr>
        <w:outlineLvl w:val="1"/>
      </w:pPr>
      <w:r/>
      <w:bookmarkStart w:id="150" w:name="_Toc127151523"/>
      <w:r/>
      <w:bookmarkStart w:id="151" w:name="_Toc195842888"/>
      <w:r/>
      <w:bookmarkStart w:id="152" w:name="_Toc150480761"/>
      <w:r/>
      <w:bookmarkStart w:id="153" w:name="_Toc164229218"/>
      <w:r/>
      <w:bookmarkStart w:id="154" w:name="_Toc151193693"/>
      <w:r/>
      <w:bookmarkStart w:id="155" w:name="_Toc127151724"/>
      <w:r/>
      <w:bookmarkStart w:id="156" w:name="_Toc151190150"/>
      <w:r/>
      <w:bookmarkStart w:id="157" w:name="_Toc150509274"/>
      <w:r/>
      <w:bookmarkStart w:id="158" w:name="_Toc127161437"/>
      <w:r/>
      <w:bookmarkStart w:id="159" w:name="_Toc142311025"/>
      <w:r/>
      <w:bookmarkStart w:id="160" w:name="_Toc164229364"/>
      <w:r/>
      <w:bookmarkStart w:id="161" w:name="_Toc164608792"/>
      <w:r/>
      <w:bookmarkStart w:id="162" w:name="_Toc151193621"/>
      <w:r/>
      <w:bookmarkStart w:id="163" w:name="_Toc150774623"/>
      <w:r/>
      <w:bookmarkStart w:id="164" w:name="_Toc151193837"/>
      <w:r/>
      <w:bookmarkStart w:id="165" w:name="_Toc264969213"/>
      <w:r/>
      <w:bookmarkStart w:id="166" w:name="_Toc149720816"/>
      <w:r/>
      <w:bookmarkStart w:id="167" w:name="_Toc265228361"/>
      <w:r/>
      <w:bookmarkStart w:id="168" w:name="_Toc226965796"/>
      <w:r/>
      <w:bookmarkStart w:id="169" w:name="_Toc305158791"/>
      <w:r/>
      <w:bookmarkStart w:id="170" w:name="_Toc164608637"/>
      <w:r/>
      <w:bookmarkStart w:id="171" w:name="_Toc226965713"/>
      <w:r/>
      <w:bookmarkStart w:id="172" w:name="_Toc226309767"/>
      <w:r/>
      <w:bookmarkStart w:id="173" w:name="_Toc164351617"/>
      <w:r/>
      <w:bookmarkStart w:id="174" w:name="_Toc305158865"/>
      <w:r/>
      <w:bookmarkStart w:id="175" w:name="_Toc151193911"/>
      <w:r/>
      <w:bookmarkStart w:id="176" w:name="_Toc520356147"/>
      <w:r/>
      <w:bookmarkStart w:id="177" w:name="_Toc150774728"/>
      <w:r/>
      <w:bookmarkStart w:id="178" w:name="_Toc226337219"/>
      <w:r/>
      <w:bookmarkStart w:id="179" w:name="_Toc151193765"/>
      <w:r>
        <w:rPr>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sz w:val="24"/>
        </w:rPr>
        <w:t xml:space="preserve">成</w:t>
      </w:r>
      <w:r/>
    </w:p>
    <w:p>
      <w:pPr>
        <w:numPr>
          <w:ilvl w:val="1"/>
          <w:numId w:val="9"/>
        </w:numPr>
        <w:ind w:left="1080" w:hanging="720"/>
        <w:spacing w:line="360" w:lineRule="auto"/>
        <w:tabs>
          <w:tab w:val="left" w:pos="1080" w:leader="none"/>
          <w:tab w:val="left" w:pos="2014" w:leader="none"/>
        </w:tabs>
        <w:rPr>
          <w:sz w:val="24"/>
        </w:rPr>
      </w:pPr>
      <w:r>
        <w:rPr>
          <w:sz w:val="24"/>
        </w:rPr>
        <w:t xml:space="preserve">竞争性磋商文件包括以下部分：</w:t>
      </w:r>
      <w:r/>
    </w:p>
    <w:p>
      <w:pPr>
        <w:numPr>
          <w:ilvl w:val="0"/>
          <w:numId w:val="11"/>
        </w:numPr>
        <w:ind w:left="1440" w:firstLine="5"/>
        <w:spacing w:line="360" w:lineRule="auto"/>
        <w:tabs>
          <w:tab w:val="left" w:pos="1980" w:leader="none"/>
          <w:tab w:val="left" w:pos="2520" w:leader="none"/>
        </w:tabs>
        <w:rPr>
          <w:sz w:val="24"/>
        </w:rPr>
      </w:pPr>
      <w:r>
        <w:rPr>
          <w:sz w:val="24"/>
        </w:rPr>
        <w:t xml:space="preserve">采购邀请</w:t>
      </w:r>
      <w:r/>
    </w:p>
    <w:p>
      <w:pPr>
        <w:numPr>
          <w:ilvl w:val="0"/>
          <w:numId w:val="11"/>
        </w:numPr>
        <w:ind w:left="1440" w:firstLine="5"/>
        <w:spacing w:line="360" w:lineRule="auto"/>
        <w:tabs>
          <w:tab w:val="left" w:pos="1980" w:leader="none"/>
          <w:tab w:val="left" w:pos="2520" w:leader="none"/>
        </w:tabs>
        <w:rPr>
          <w:sz w:val="24"/>
        </w:rPr>
      </w:pPr>
      <w:r>
        <w:rPr>
          <w:sz w:val="24"/>
        </w:rPr>
        <w:t xml:space="preserve">供应商须知</w:t>
      </w:r>
      <w:r/>
    </w:p>
    <w:p>
      <w:pPr>
        <w:numPr>
          <w:ilvl w:val="0"/>
          <w:numId w:val="11"/>
        </w:numPr>
        <w:ind w:left="1440" w:firstLine="5"/>
        <w:spacing w:line="360" w:lineRule="auto"/>
        <w:tabs>
          <w:tab w:val="left" w:pos="1980" w:leader="none"/>
          <w:tab w:val="left" w:pos="2520" w:leader="none"/>
        </w:tabs>
        <w:rPr>
          <w:sz w:val="24"/>
        </w:rPr>
      </w:pPr>
      <w:r>
        <w:rPr>
          <w:sz w:val="24"/>
        </w:rPr>
        <w:t xml:space="preserve">评审</w:t>
      </w:r>
      <w:r>
        <w:rPr>
          <w:rFonts w:hint="eastAsia"/>
          <w:sz w:val="24"/>
        </w:rPr>
        <w:t xml:space="preserve">程序、评审</w:t>
      </w:r>
      <w:r>
        <w:rPr>
          <w:sz w:val="24"/>
        </w:rPr>
        <w:t xml:space="preserve">方法和评审标准</w:t>
      </w:r>
      <w:r/>
    </w:p>
    <w:p>
      <w:pPr>
        <w:numPr>
          <w:ilvl w:val="0"/>
          <w:numId w:val="11"/>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1"/>
        </w:numPr>
        <w:ind w:left="1440" w:firstLine="5"/>
        <w:spacing w:line="360" w:lineRule="auto"/>
        <w:tabs>
          <w:tab w:val="left" w:pos="1980" w:leader="none"/>
          <w:tab w:val="left" w:pos="2520" w:leader="none"/>
        </w:tabs>
        <w:rPr>
          <w:sz w:val="24"/>
        </w:rPr>
      </w:pPr>
      <w:r>
        <w:rPr>
          <w:sz w:val="24"/>
        </w:rPr>
        <w:t xml:space="preserve">合同草案条款</w:t>
      </w:r>
      <w:r/>
    </w:p>
    <w:p>
      <w:pPr>
        <w:numPr>
          <w:ilvl w:val="0"/>
          <w:numId w:val="11"/>
        </w:numPr>
        <w:ind w:left="1440" w:firstLine="5"/>
        <w:spacing w:line="360" w:lineRule="auto"/>
        <w:tabs>
          <w:tab w:val="left" w:pos="1980" w:leader="none"/>
          <w:tab w:val="left" w:pos="2520" w:leader="none"/>
        </w:tabs>
        <w:rPr>
          <w:sz w:val="24"/>
        </w:rPr>
      </w:pPr>
      <w:r>
        <w:rPr>
          <w:sz w:val="24"/>
        </w:rPr>
        <w:t xml:space="preserve">响应文件格式</w:t>
      </w:r>
      <w:r/>
    </w:p>
    <w:p>
      <w:pPr>
        <w:numPr>
          <w:ilvl w:val="1"/>
          <w:numId w:val="9"/>
        </w:numPr>
        <w:ind w:left="1080" w:hanging="720"/>
        <w:spacing w:line="360" w:lineRule="auto"/>
        <w:tabs>
          <w:tab w:val="left" w:pos="1080"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numPr>
          <w:ilvl w:val="0"/>
          <w:numId w:val="9"/>
        </w:numPr>
        <w:ind w:left="357" w:hanging="357"/>
        <w:spacing w:line="360" w:lineRule="auto"/>
        <w:tabs>
          <w:tab w:val="left" w:pos="1080" w:leader="none"/>
          <w:tab w:val="left" w:pos="2014" w:leader="none"/>
        </w:tabs>
        <w:rPr>
          <w:sz w:val="24"/>
        </w:rPr>
        <w:outlineLvl w:val="1"/>
      </w:pPr>
      <w:r>
        <w:rPr>
          <w:sz w:val="24"/>
        </w:rPr>
        <w:t xml:space="preserve">对竞争性磋商文件的澄清或修改</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采购人或采购代理机构对已发出的竞争性磋商文件进行必要澄清或者修改的，将在</w:t>
      </w:r>
      <w:r>
        <w:rPr>
          <w:rFonts w:hint="eastAsia" w:ascii="宋体" w:hAnsi="宋体"/>
          <w:color w:val="000000"/>
          <w:sz w:val="24"/>
          <w:szCs w:val="21"/>
        </w:rPr>
        <w:t xml:space="preserve">在“江苏省政府采购网”、“常州市政府采购网”</w:t>
      </w:r>
      <w:r>
        <w:rPr>
          <w:sz w:val="24"/>
        </w:rPr>
        <w:t xml:space="preserve">上</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80" w:name="_Toc516367020"/>
      <w:r/>
      <w:bookmarkStart w:id="181" w:name="_Toc150774626"/>
      <w:r/>
      <w:bookmarkStart w:id="182" w:name="_Toc151193768"/>
      <w:r/>
      <w:bookmarkStart w:id="183" w:name="_Toc305158794"/>
      <w:r/>
      <w:bookmarkStart w:id="184" w:name="_Toc265228364"/>
      <w:r/>
      <w:bookmarkStart w:id="185" w:name="_Toc305158868"/>
      <w:r/>
      <w:bookmarkStart w:id="186" w:name="_Toc520356150"/>
      <w:r/>
      <w:bookmarkStart w:id="187" w:name="_Toc150774731"/>
      <w:r/>
      <w:bookmarkStart w:id="188" w:name="_Toc226965799"/>
      <w:r/>
      <w:bookmarkStart w:id="189" w:name="_Toc195842891"/>
      <w:r/>
      <w:bookmarkStart w:id="190" w:name="_Toc142311028"/>
      <w:r/>
      <w:bookmarkStart w:id="191" w:name="_Toc226309770"/>
      <w:r/>
      <w:bookmarkStart w:id="192" w:name="_Toc127151526"/>
      <w:r/>
      <w:bookmarkStart w:id="193" w:name="_Toc151193696"/>
      <w:r/>
      <w:bookmarkStart w:id="194" w:name="_Toc150509277"/>
      <w:r/>
      <w:bookmarkStart w:id="195" w:name="_Toc226337222"/>
      <w:r/>
      <w:bookmarkStart w:id="196" w:name="_Toc151190153"/>
      <w:r/>
      <w:bookmarkStart w:id="197" w:name="_Toc151193840"/>
      <w:r/>
      <w:bookmarkStart w:id="198" w:name="_Toc264969216"/>
      <w:r/>
      <w:bookmarkStart w:id="199" w:name="_Toc151193624"/>
      <w:r/>
      <w:bookmarkStart w:id="200" w:name="_Toc150480764"/>
      <w:r/>
      <w:bookmarkStart w:id="201" w:name="_Toc226965716"/>
      <w:r/>
      <w:bookmarkStart w:id="202" w:name="_Toc151193914"/>
      <w:r/>
      <w:r/>
    </w:p>
    <w:p>
      <w:pPr>
        <w:pStyle w:val="1181"/>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80"/>
      <w:r>
        <w:rPr>
          <w:rFonts w:ascii="Times New Roman" w:hAnsi="Times New Roman" w:eastAsia="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9"/>
        </w:numPr>
        <w:ind w:left="357" w:hanging="357"/>
        <w:spacing w:line="360" w:lineRule="auto"/>
        <w:tabs>
          <w:tab w:val="left" w:pos="360" w:leader="none"/>
        </w:tabs>
        <w:rPr>
          <w:sz w:val="24"/>
        </w:rPr>
        <w:outlineLvl w:val="1"/>
      </w:pPr>
      <w:r/>
      <w:bookmarkStart w:id="203" w:name="_Toc164351621"/>
      <w:r/>
      <w:bookmarkStart w:id="204" w:name="_Toc127151728"/>
      <w:r/>
      <w:bookmarkStart w:id="205" w:name="_Toc226965717"/>
      <w:r/>
      <w:bookmarkStart w:id="206" w:name="_Toc150774732"/>
      <w:r/>
      <w:bookmarkStart w:id="207" w:name="_Toc516367021"/>
      <w:r/>
      <w:bookmarkStart w:id="208" w:name="_Toc226337223"/>
      <w:r/>
      <w:bookmarkStart w:id="209" w:name="_Toc264969217"/>
      <w:r/>
      <w:bookmarkStart w:id="210" w:name="_Toc151193697"/>
      <w:r/>
      <w:bookmarkStart w:id="211" w:name="_Toc164608641"/>
      <w:r/>
      <w:bookmarkStart w:id="212" w:name="_Toc151193841"/>
      <w:r/>
      <w:bookmarkStart w:id="213" w:name="_Toc127151527"/>
      <w:r/>
      <w:bookmarkStart w:id="214" w:name="_Toc150774627"/>
      <w:r/>
      <w:bookmarkStart w:id="215" w:name="_Toc226309771"/>
      <w:r/>
      <w:bookmarkStart w:id="216" w:name="_Toc142311029"/>
      <w:r/>
      <w:bookmarkStart w:id="217" w:name="_Toc520356151"/>
      <w:r/>
      <w:bookmarkStart w:id="218" w:name="_Toc305158795"/>
      <w:r/>
      <w:bookmarkStart w:id="219" w:name="_Toc150480765"/>
      <w:r/>
      <w:bookmarkStart w:id="220" w:name="_Toc149720820"/>
      <w:r/>
      <w:bookmarkStart w:id="221" w:name="_Toc226965800"/>
      <w:r/>
      <w:bookmarkStart w:id="222" w:name="_Toc265228365"/>
      <w:r/>
      <w:bookmarkStart w:id="223" w:name="_Toc164608796"/>
      <w:r/>
      <w:bookmarkStart w:id="224" w:name="_Toc195842892"/>
      <w:r/>
      <w:bookmarkStart w:id="225" w:name="_Toc151193769"/>
      <w:r/>
      <w:bookmarkStart w:id="226" w:name="_Toc127161441"/>
      <w:r/>
      <w:bookmarkStart w:id="227" w:name="_Toc164229222"/>
      <w:r/>
      <w:bookmarkStart w:id="228" w:name="_Toc151190154"/>
      <w:r/>
      <w:bookmarkStart w:id="229" w:name="_Toc150509278"/>
      <w:r/>
      <w:bookmarkStart w:id="230" w:name="_Toc151193915"/>
      <w:r/>
      <w:bookmarkStart w:id="231" w:name="_Toc151193625"/>
      <w:r/>
      <w:bookmarkStart w:id="232" w:name="_Toc305158869"/>
      <w:r/>
      <w:bookmarkStart w:id="233" w:name="_Toc164229368"/>
      <w:r>
        <w:rPr>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sz w:val="24"/>
        </w:rPr>
        <w:t xml:space="preserve">及磋商语言</w:t>
      </w:r>
      <w:r/>
    </w:p>
    <w:p>
      <w:pPr>
        <w:numPr>
          <w:ilvl w:val="1"/>
          <w:numId w:val="9"/>
        </w:numPr>
        <w:ind w:left="1080" w:hanging="720"/>
        <w:spacing w:line="360" w:lineRule="auto"/>
        <w:tabs>
          <w:tab w:val="left" w:pos="1080"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numPr>
          <w:ilvl w:val="1"/>
          <w:numId w:val="9"/>
        </w:numPr>
        <w:ind w:left="1080" w:hanging="720"/>
        <w:spacing w:line="360" w:lineRule="auto"/>
        <w:tabs>
          <w:tab w:val="left" w:pos="1080" w:leader="none"/>
          <w:tab w:val="left" w:pos="2014" w:leader="none"/>
        </w:tabs>
        <w:rPr>
          <w:sz w:val="24"/>
        </w:rPr>
      </w:pPr>
      <w:r>
        <w:rPr>
          <w:sz w:val="24"/>
        </w:rPr>
        <w:t xml:space="preserve">除竞争性磋商文件有特殊要求外，本项目磋商所使用的计量单位，应采用中华人民共和国法定计量单位。</w:t>
      </w:r>
      <w:r/>
    </w:p>
    <w:p>
      <w:pPr>
        <w:numPr>
          <w:ilvl w:val="1"/>
          <w:numId w:val="9"/>
        </w:numPr>
        <w:ind w:left="1080" w:hanging="720"/>
        <w:spacing w:line="360" w:lineRule="auto"/>
        <w:tabs>
          <w:tab w:val="left" w:pos="1080"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60" w:lineRule="auto"/>
        <w:tabs>
          <w:tab w:val="left" w:pos="360" w:leader="none"/>
        </w:tabs>
        <w:rPr>
          <w:sz w:val="24"/>
        </w:rPr>
        <w:outlineLvl w:val="1"/>
      </w:pPr>
      <w:r/>
      <w:bookmarkStart w:id="234" w:name="_Toc516367022"/>
      <w:r/>
      <w:bookmarkStart w:id="235" w:name="_Ref467306195"/>
      <w:r/>
      <w:bookmarkStart w:id="236" w:name="_Ref467306676"/>
      <w:r/>
      <w:bookmarkStart w:id="237" w:name="_Toc127151729"/>
      <w:r/>
      <w:bookmarkStart w:id="238" w:name="_Toc142311030"/>
      <w:r/>
      <w:bookmarkStart w:id="239" w:name="_Toc151190155"/>
      <w:r/>
      <w:bookmarkStart w:id="240" w:name="_Toc164351622"/>
      <w:r/>
      <w:bookmarkStart w:id="241" w:name="_Toc127151528"/>
      <w:r/>
      <w:bookmarkStart w:id="242" w:name="_Toc150774628"/>
      <w:r/>
      <w:bookmarkStart w:id="243" w:name="_Toc164229369"/>
      <w:r/>
      <w:bookmarkStart w:id="244" w:name="_Toc164229223"/>
      <w:r/>
      <w:bookmarkStart w:id="245" w:name="_Toc265228366"/>
      <w:r/>
      <w:bookmarkStart w:id="246" w:name="_Toc149720821"/>
      <w:r/>
      <w:bookmarkStart w:id="247" w:name="_Toc151193770"/>
      <w:r/>
      <w:bookmarkStart w:id="248" w:name="_Toc195842893"/>
      <w:r/>
      <w:bookmarkStart w:id="249" w:name="_Toc305158796"/>
      <w:r/>
      <w:bookmarkStart w:id="250" w:name="_Toc226965718"/>
      <w:r/>
      <w:bookmarkStart w:id="251" w:name="_Toc305158870"/>
      <w:r/>
      <w:bookmarkStart w:id="252" w:name="_Toc226337224"/>
      <w:r/>
      <w:bookmarkStart w:id="253" w:name="_Toc226965801"/>
      <w:r/>
      <w:bookmarkStart w:id="254" w:name="_Toc151193626"/>
      <w:r/>
      <w:bookmarkStart w:id="255" w:name="_Toc151193842"/>
      <w:r/>
      <w:bookmarkStart w:id="256" w:name="_Toc264969218"/>
      <w:r/>
      <w:bookmarkStart w:id="257" w:name="_Toc164608797"/>
      <w:r/>
      <w:bookmarkStart w:id="258" w:name="_Toc150509279"/>
      <w:r/>
      <w:bookmarkStart w:id="259" w:name="_Toc226309772"/>
      <w:r/>
      <w:bookmarkStart w:id="260" w:name="_Toc164608642"/>
      <w:r/>
      <w:bookmarkStart w:id="261" w:name="_Toc151193916"/>
      <w:r/>
      <w:bookmarkStart w:id="262" w:name="_Toc150774733"/>
      <w:r/>
      <w:bookmarkStart w:id="263" w:name="_Toc150480766"/>
      <w:r/>
      <w:bookmarkStart w:id="264" w:name="_Toc520356152"/>
      <w:r/>
      <w:bookmarkStart w:id="265" w:name="_Toc127161442"/>
      <w:r/>
      <w:bookmarkStart w:id="266" w:name="_Toc151193698"/>
      <w:r>
        <w:rPr>
          <w:sz w:val="24"/>
        </w:rPr>
        <w:t xml:space="preserve">响应文件</w:t>
      </w:r>
      <w:bookmarkEnd w:id="234"/>
      <w:r/>
      <w:bookmarkEnd w:id="235"/>
      <w:r/>
      <w:bookmarkEnd w:id="236"/>
      <w:r>
        <w:rPr>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9"/>
        </w:numPr>
        <w:ind w:left="1077" w:hanging="720"/>
        <w:spacing w:line="360" w:lineRule="auto"/>
        <w:tabs>
          <w:tab w:val="left" w:pos="1080" w:leader="none"/>
          <w:tab w:val="left" w:pos="2014" w:leader="none"/>
        </w:tabs>
        <w:rPr>
          <w:sz w:val="24"/>
        </w:rPr>
      </w:pPr>
      <w:r/>
      <w:bookmarkStart w:id="267" w:name="_Ref467052588"/>
      <w:r>
        <w:rPr>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9"/>
        </w:numPr>
        <w:ind w:left="1077" w:hanging="720"/>
        <w:spacing w:line="360" w:lineRule="auto"/>
        <w:tabs>
          <w:tab w:val="left" w:pos="1080" w:leader="none"/>
          <w:tab w:val="left" w:pos="2014" w:leader="none"/>
        </w:tabs>
        <w:rPr>
          <w:sz w:val="24"/>
        </w:rPr>
      </w:pPr>
      <w:r>
        <w:rPr>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numPr>
          <w:ilvl w:val="1"/>
          <w:numId w:val="9"/>
        </w:numPr>
        <w:ind w:left="1077" w:hanging="720"/>
        <w:spacing w:line="360" w:lineRule="auto"/>
        <w:tabs>
          <w:tab w:val="left" w:pos="1080" w:leader="none"/>
          <w:tab w:val="left" w:pos="2014" w:leader="none"/>
        </w:tabs>
        <w:rPr>
          <w:sz w:val="24"/>
        </w:rPr>
      </w:pPr>
      <w:r>
        <w:rPr>
          <w:sz w:val="24"/>
        </w:rPr>
        <w:t xml:space="preserve">第三章《评审方法和评审标准》中涉及的证明文件。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供应商认为应附的其他材料。</w:t>
      </w:r>
      <w:bookmarkEnd w:id="267"/>
      <w:r/>
      <w:r/>
    </w:p>
    <w:p>
      <w:pPr>
        <w:numPr>
          <w:ilvl w:val="0"/>
          <w:numId w:val="9"/>
        </w:numPr>
        <w:ind w:left="357" w:hanging="357"/>
        <w:spacing w:line="360" w:lineRule="auto"/>
        <w:tabs>
          <w:tab w:val="left" w:pos="360" w:leader="none"/>
        </w:tabs>
        <w:rPr>
          <w:sz w:val="24"/>
        </w:rPr>
        <w:outlineLvl w:val="1"/>
      </w:pPr>
      <w:r/>
      <w:bookmarkStart w:id="268" w:name="_Toc164608644"/>
      <w:r/>
      <w:bookmarkStart w:id="269" w:name="_Toc520356155"/>
      <w:r/>
      <w:bookmarkStart w:id="270" w:name="_Toc127151731"/>
      <w:r/>
      <w:bookmarkStart w:id="271" w:name="_Toc151193628"/>
      <w:r/>
      <w:bookmarkStart w:id="272" w:name="_Toc150774735"/>
      <w:r/>
      <w:bookmarkStart w:id="273" w:name="_Toc150509281"/>
      <w:r/>
      <w:bookmarkStart w:id="274" w:name="_Toc164229225"/>
      <w:r/>
      <w:bookmarkStart w:id="275" w:name="_Toc164608799"/>
      <w:r/>
      <w:bookmarkStart w:id="276" w:name="_Toc151193844"/>
      <w:r/>
      <w:bookmarkStart w:id="277" w:name="_Toc127151530"/>
      <w:r/>
      <w:bookmarkStart w:id="278" w:name="_Toc151193700"/>
      <w:r/>
      <w:bookmarkStart w:id="279" w:name="_Toc164229371"/>
      <w:r/>
      <w:bookmarkStart w:id="280" w:name="_Toc195842895"/>
      <w:r/>
      <w:bookmarkStart w:id="281" w:name="_Toc150480768"/>
      <w:r/>
      <w:bookmarkStart w:id="282" w:name="_Toc142311032"/>
      <w:r/>
      <w:bookmarkStart w:id="283" w:name="_Toc164351624"/>
      <w:r/>
      <w:bookmarkStart w:id="284" w:name="_Toc150774630"/>
      <w:r/>
      <w:bookmarkStart w:id="285" w:name="_Toc151193772"/>
      <w:r/>
      <w:bookmarkStart w:id="286" w:name="_Toc151193918"/>
      <w:r/>
      <w:bookmarkStart w:id="287" w:name="_Toc127161444"/>
      <w:r/>
      <w:bookmarkStart w:id="288" w:name="_Toc149720823"/>
      <w:r/>
      <w:bookmarkStart w:id="289" w:name="_Toc151190157"/>
      <w:r>
        <w:rPr>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9"/>
        </w:numPr>
        <w:ind w:left="1077" w:hanging="720"/>
        <w:spacing w:line="360" w:lineRule="auto"/>
        <w:tabs>
          <w:tab w:val="left" w:pos="1080" w:leader="none"/>
          <w:tab w:val="left" w:pos="2014" w:leader="none"/>
        </w:tabs>
        <w:rPr>
          <w:sz w:val="24"/>
        </w:rPr>
      </w:pPr>
      <w:r>
        <w:rPr>
          <w:sz w:val="24"/>
        </w:rPr>
        <w:t xml:space="preserve">所有响应均以人民币报价。</w:t>
      </w:r>
      <w:r/>
    </w:p>
    <w:p>
      <w:pPr>
        <w:numPr>
          <w:ilvl w:val="1"/>
          <w:numId w:val="9"/>
        </w:numPr>
        <w:spacing w:line="360" w:lineRule="auto"/>
        <w:tabs>
          <w:tab w:val="left" w:pos="1080"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p>
    <w:p>
      <w:pPr>
        <w:numPr>
          <w:ilvl w:val="2"/>
          <w:numId w:val="9"/>
        </w:numPr>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9"/>
        </w:numPr>
        <w:spacing w:line="360" w:lineRule="auto"/>
        <w:rPr>
          <w:sz w:val="24"/>
        </w:rPr>
      </w:pPr>
      <w:r>
        <w:rPr>
          <w:sz w:val="24"/>
        </w:rPr>
        <w:t xml:space="preserve">按照竞争性磋商文件要求完成本项</w:t>
      </w:r>
      <w:r>
        <w:rPr>
          <w:rFonts w:hint="eastAsia"/>
          <w:sz w:val="24"/>
        </w:rPr>
        <w:t xml:space="preserve">目的全部相关工程或服务费用。</w:t>
      </w:r>
      <w:r/>
    </w:p>
    <w:p>
      <w:pPr>
        <w:numPr>
          <w:ilvl w:val="1"/>
          <w:numId w:val="9"/>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p>
    <w:p>
      <w:pPr>
        <w:numPr>
          <w:ilvl w:val="0"/>
          <w:numId w:val="9"/>
        </w:numPr>
        <w:ind w:left="357" w:hanging="357"/>
        <w:spacing w:line="360" w:lineRule="auto"/>
        <w:tabs>
          <w:tab w:val="left" w:pos="360" w:leader="none"/>
        </w:tabs>
        <w:rPr>
          <w:sz w:val="24"/>
        </w:rPr>
        <w:outlineLvl w:val="1"/>
      </w:pPr>
      <w:r>
        <w:rPr>
          <w:sz w:val="24"/>
        </w:rPr>
        <w:t xml:space="preserve">磋商保证金</w:t>
      </w:r>
      <w:r/>
    </w:p>
    <w:p>
      <w:pPr>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p>
    <w:p>
      <w:pPr>
        <w:numPr>
          <w:ilvl w:val="0"/>
          <w:numId w:val="9"/>
        </w:numPr>
        <w:ind w:left="357" w:hanging="357"/>
        <w:spacing w:line="360" w:lineRule="auto"/>
        <w:tabs>
          <w:tab w:val="left" w:pos="360" w:leader="none"/>
        </w:tabs>
        <w:rPr>
          <w:sz w:val="24"/>
        </w:rPr>
        <w:outlineLvl w:val="1"/>
      </w:pPr>
      <w:r>
        <w:rPr>
          <w:sz w:val="24"/>
        </w:rPr>
        <w:t xml:space="preserve">响应有效期</w:t>
      </w:r>
      <w:r/>
    </w:p>
    <w:p>
      <w:pPr>
        <w:numPr>
          <w:ilvl w:val="1"/>
          <w:numId w:val="9"/>
        </w:numPr>
        <w:ind w:left="1077" w:hanging="720"/>
        <w:spacing w:line="360" w:lineRule="auto"/>
        <w:tabs>
          <w:tab w:val="left" w:pos="1080"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numPr>
          <w:ilvl w:val="0"/>
          <w:numId w:val="9"/>
        </w:numPr>
        <w:ind w:left="357" w:hanging="357"/>
        <w:spacing w:line="360" w:lineRule="auto"/>
        <w:tabs>
          <w:tab w:val="left" w:pos="360" w:leader="none"/>
        </w:tabs>
        <w:rPr>
          <w:sz w:val="24"/>
        </w:rPr>
        <w:outlineLvl w:val="1"/>
      </w:pPr>
      <w:r/>
      <w:bookmarkStart w:id="290" w:name="_Toc226965723"/>
      <w:r/>
      <w:bookmarkStart w:id="291" w:name="_Toc164229374"/>
      <w:r/>
      <w:bookmarkStart w:id="292" w:name="_Toc150774633"/>
      <w:r/>
      <w:bookmarkStart w:id="293" w:name="_Toc150480771"/>
      <w:r/>
      <w:bookmarkStart w:id="294" w:name="_Toc164351627"/>
      <w:r/>
      <w:bookmarkStart w:id="295" w:name="_Toc127151734"/>
      <w:r/>
      <w:bookmarkStart w:id="296" w:name="_Toc164229228"/>
      <w:r/>
      <w:bookmarkStart w:id="297" w:name="_Toc265228371"/>
      <w:r/>
      <w:bookmarkStart w:id="298" w:name="_Toc264969223"/>
      <w:r/>
      <w:bookmarkStart w:id="299" w:name="_Toc151190160"/>
      <w:r/>
      <w:bookmarkStart w:id="300" w:name="_Toc142311035"/>
      <w:r/>
      <w:bookmarkStart w:id="301" w:name="_Toc150774738"/>
      <w:r/>
      <w:bookmarkStart w:id="302" w:name="_Toc226965806"/>
      <w:r/>
      <w:bookmarkStart w:id="303" w:name="_Toc151193775"/>
      <w:r/>
      <w:bookmarkStart w:id="304" w:name="_Toc150509284"/>
      <w:r/>
      <w:bookmarkStart w:id="305" w:name="_Toc164608647"/>
      <w:r/>
      <w:bookmarkStart w:id="306" w:name="_Toc520356158"/>
      <w:r/>
      <w:bookmarkStart w:id="307" w:name="_Toc151193921"/>
      <w:r/>
      <w:bookmarkStart w:id="308" w:name="_Toc164608802"/>
      <w:r/>
      <w:bookmarkStart w:id="309" w:name="_Toc195842898"/>
      <w:r/>
      <w:bookmarkStart w:id="310" w:name="_Toc127161447"/>
      <w:r/>
      <w:bookmarkStart w:id="311" w:name="_Toc305158875"/>
      <w:r/>
      <w:bookmarkStart w:id="312" w:name="_Toc151193847"/>
      <w:r/>
      <w:bookmarkStart w:id="313" w:name="_Toc226337229"/>
      <w:r/>
      <w:bookmarkStart w:id="314" w:name="_Toc127151533"/>
      <w:r/>
      <w:bookmarkStart w:id="315" w:name="_Toc226309777"/>
      <w:r/>
      <w:bookmarkStart w:id="316" w:name="_Toc305158801"/>
      <w:r/>
      <w:bookmarkStart w:id="317" w:name="_Toc149720826"/>
      <w:r/>
      <w:bookmarkStart w:id="318" w:name="_Toc151193703"/>
      <w:r/>
      <w:bookmarkStart w:id="319" w:name="_Toc151193631"/>
      <w:r>
        <w:rPr>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sz w:val="24"/>
        </w:rPr>
        <w:t xml:space="preserve">、盖章</w:t>
      </w:r>
      <w:r/>
    </w:p>
    <w:p>
      <w:pPr>
        <w:numPr>
          <w:ilvl w:val="1"/>
          <w:numId w:val="9"/>
        </w:numPr>
        <w:spacing w:line="360" w:lineRule="auto"/>
        <w:tabs>
          <w:tab w:val="left" w:pos="1080" w:leader="none"/>
        </w:tabs>
        <w:rPr>
          <w:sz w:val="24"/>
        </w:rPr>
      </w:pPr>
      <w:r/>
      <w:bookmarkStart w:id="320" w:name="_Toc151193922"/>
      <w:r/>
      <w:bookmarkStart w:id="321" w:name="_Toc127151534"/>
      <w:r/>
      <w:bookmarkStart w:id="322" w:name="_Toc150774634"/>
      <w:r/>
      <w:bookmarkStart w:id="323" w:name="_Toc150774739"/>
      <w:r/>
      <w:bookmarkStart w:id="324" w:name="_Toc520356159"/>
      <w:r/>
      <w:bookmarkStart w:id="325" w:name="_Toc150509285"/>
      <w:r/>
      <w:bookmarkStart w:id="326" w:name="_Toc226309778"/>
      <w:r/>
      <w:bookmarkStart w:id="327" w:name="_Toc151193632"/>
      <w:r/>
      <w:bookmarkStart w:id="328" w:name="_Toc226337230"/>
      <w:r/>
      <w:bookmarkStart w:id="329" w:name="_Toc195842899"/>
      <w:r/>
      <w:bookmarkStart w:id="330" w:name="_Toc265228372"/>
      <w:r/>
      <w:bookmarkStart w:id="331" w:name="_Toc264969224"/>
      <w:r/>
      <w:bookmarkStart w:id="332" w:name="_Toc151190161"/>
      <w:r/>
      <w:bookmarkStart w:id="333" w:name="_Toc305158802"/>
      <w:r/>
      <w:bookmarkStart w:id="334" w:name="_Toc142311036"/>
      <w:r/>
      <w:bookmarkStart w:id="335" w:name="_Toc151193776"/>
      <w:r/>
      <w:bookmarkStart w:id="336" w:name="_Toc151193848"/>
      <w:r/>
      <w:bookmarkStart w:id="337" w:name="_Toc226965807"/>
      <w:r/>
      <w:bookmarkStart w:id="338" w:name="_Toc151193704"/>
      <w:r/>
      <w:bookmarkStart w:id="339" w:name="_Toc305158876"/>
      <w:r/>
      <w:bookmarkStart w:id="340" w:name="_Toc150480772"/>
      <w:r/>
      <w:bookmarkStart w:id="341" w:name="_Toc226965724"/>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p>
    <w:p>
      <w:pPr>
        <w:numPr>
          <w:ilvl w:val="1"/>
          <w:numId w:val="9"/>
        </w:numPr>
        <w:ind w:left="1077" w:hanging="720"/>
        <w:spacing w:line="360" w:lineRule="auto"/>
        <w:tabs>
          <w:tab w:val="left" w:pos="1080"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181"/>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9"/>
        </w:numPr>
        <w:ind w:left="357" w:hanging="357"/>
        <w:spacing w:line="360" w:lineRule="auto"/>
        <w:tabs>
          <w:tab w:val="left" w:pos="360" w:leader="none"/>
        </w:tabs>
        <w:rPr>
          <w:sz w:val="24"/>
        </w:rPr>
        <w:outlineLvl w:val="1"/>
      </w:pPr>
      <w:r/>
      <w:bookmarkStart w:id="342" w:name="_Toc265228373"/>
      <w:r/>
      <w:bookmarkStart w:id="343" w:name="_Toc305158803"/>
      <w:r/>
      <w:bookmarkStart w:id="344" w:name="_Toc127151535"/>
      <w:r/>
      <w:bookmarkStart w:id="345" w:name="_Toc164351629"/>
      <w:r/>
      <w:bookmarkStart w:id="346" w:name="_Toc151193777"/>
      <w:r/>
      <w:bookmarkStart w:id="347" w:name="_Toc127161449"/>
      <w:r/>
      <w:bookmarkStart w:id="348" w:name="_Toc127151736"/>
      <w:r/>
      <w:bookmarkStart w:id="349" w:name="_Toc305158877"/>
      <w:r/>
      <w:bookmarkStart w:id="350" w:name="_Toc226965725"/>
      <w:r/>
      <w:bookmarkStart w:id="351" w:name="_Toc150774740"/>
      <w:r/>
      <w:bookmarkStart w:id="352" w:name="_Toc520356160"/>
      <w:r/>
      <w:bookmarkStart w:id="353" w:name="_Toc151190162"/>
      <w:r/>
      <w:bookmarkStart w:id="354" w:name="_Toc164229376"/>
      <w:r/>
      <w:bookmarkStart w:id="355" w:name="_Toc151193849"/>
      <w:r/>
      <w:bookmarkStart w:id="356" w:name="_Toc164608649"/>
      <w:r/>
      <w:bookmarkStart w:id="357" w:name="_Toc151193633"/>
      <w:r/>
      <w:bookmarkStart w:id="358" w:name="_Toc142311037"/>
      <w:r/>
      <w:bookmarkStart w:id="359" w:name="_Toc164608804"/>
      <w:r/>
      <w:bookmarkStart w:id="360" w:name="_Toc150774635"/>
      <w:r/>
      <w:bookmarkStart w:id="361" w:name="_Toc226337231"/>
      <w:r/>
      <w:bookmarkStart w:id="362" w:name="_Toc149720828"/>
      <w:r/>
      <w:bookmarkStart w:id="363" w:name="_Toc226965808"/>
      <w:r/>
      <w:bookmarkStart w:id="364" w:name="_Toc164229230"/>
      <w:r/>
      <w:bookmarkStart w:id="365" w:name="_Toc150480773"/>
      <w:r/>
      <w:bookmarkStart w:id="366" w:name="_Toc151193923"/>
      <w:r/>
      <w:bookmarkStart w:id="367" w:name="_Toc226309779"/>
      <w:r/>
      <w:bookmarkStart w:id="368" w:name="_Toc195842900"/>
      <w:r/>
      <w:bookmarkStart w:id="369" w:name="_Toc151193705"/>
      <w:r/>
      <w:bookmarkStart w:id="370" w:name="_Toc150509286"/>
      <w:r/>
      <w:bookmarkStart w:id="371" w:name="_Toc264969225"/>
      <w:r>
        <w:rPr>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sz w:val="24"/>
        </w:rPr>
        <w:t xml:space="preserve">提交</w:t>
      </w:r>
      <w:r/>
    </w:p>
    <w:p>
      <w:pPr>
        <w:numPr>
          <w:ilvl w:val="1"/>
          <w:numId w:val="9"/>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ascii="宋体" w:hAnsi="宋体" w:cs="宋体"/>
          <w:sz w:val="24"/>
          <w:lang w:bidi="ar"/>
        </w:rPr>
        <w:t xml:space="preserve">政府采购一体化平台“苏采云”</w:t>
      </w:r>
      <w:r>
        <w:rPr>
          <w:sz w:val="24"/>
        </w:rPr>
        <w:t xml:space="preserve">供应商操作手册要求编制、生成并提交电子投标文件。</w:t>
      </w:r>
      <w:r/>
    </w:p>
    <w:p>
      <w:pPr>
        <w:numPr>
          <w:ilvl w:val="1"/>
          <w:numId w:val="9"/>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ascii="宋体" w:hAnsi="宋体" w:cs="宋体"/>
          <w:sz w:val="24"/>
          <w:lang w:bidi="ar"/>
        </w:rPr>
        <w:t xml:space="preserve">政府采购一体化平台“苏采云”</w:t>
      </w:r>
      <w:r>
        <w:rPr>
          <w:sz w:val="24"/>
        </w:rPr>
        <w:t xml:space="preserve">以外任何形式提交的投标文件。</w:t>
      </w:r>
      <w:r/>
    </w:p>
    <w:p>
      <w:pPr>
        <w:numPr>
          <w:ilvl w:val="0"/>
          <w:numId w:val="9"/>
        </w:numPr>
        <w:ind w:left="357" w:hanging="357"/>
        <w:spacing w:line="360" w:lineRule="auto"/>
        <w:tabs>
          <w:tab w:val="left" w:pos="360" w:leader="none"/>
        </w:tabs>
        <w:rPr>
          <w:sz w:val="24"/>
        </w:rPr>
        <w:outlineLvl w:val="1"/>
      </w:pPr>
      <w:r/>
      <w:bookmarkStart w:id="372" w:name="_Toc164229231"/>
      <w:r/>
      <w:bookmarkStart w:id="373" w:name="_Toc151193850"/>
      <w:r/>
      <w:bookmarkStart w:id="374" w:name="_Toc226309780"/>
      <w:r/>
      <w:bookmarkStart w:id="375" w:name="_Toc164608650"/>
      <w:r/>
      <w:bookmarkStart w:id="376" w:name="_Toc164351630"/>
      <w:r/>
      <w:bookmarkStart w:id="377" w:name="_Toc151193778"/>
      <w:r/>
      <w:bookmarkStart w:id="378" w:name="_Toc164608805"/>
      <w:r/>
      <w:bookmarkStart w:id="379" w:name="_Toc127161450"/>
      <w:r/>
      <w:bookmarkStart w:id="380" w:name="_Toc150480774"/>
      <w:r/>
      <w:bookmarkStart w:id="381" w:name="_Toc226965726"/>
      <w:r/>
      <w:bookmarkStart w:id="382" w:name="_Toc151193706"/>
      <w:r/>
      <w:bookmarkStart w:id="383" w:name="_Toc127151737"/>
      <w:r/>
      <w:bookmarkStart w:id="384" w:name="_Toc195842901"/>
      <w:r/>
      <w:bookmarkStart w:id="385" w:name="_Toc264969226"/>
      <w:r/>
      <w:bookmarkStart w:id="386" w:name="_Toc150774741"/>
      <w:r/>
      <w:bookmarkStart w:id="387" w:name="_Toc151193634"/>
      <w:r/>
      <w:bookmarkStart w:id="388" w:name="_Toc265228374"/>
      <w:r/>
      <w:bookmarkStart w:id="389" w:name="_Toc151190163"/>
      <w:r/>
      <w:bookmarkStart w:id="390" w:name="_Toc226965809"/>
      <w:r/>
      <w:bookmarkStart w:id="391" w:name="_Toc151193924"/>
      <w:r/>
      <w:bookmarkStart w:id="392" w:name="_Toc305158804"/>
      <w:r/>
      <w:bookmarkStart w:id="393" w:name="_Toc150774636"/>
      <w:r/>
      <w:bookmarkStart w:id="394" w:name="_Toc150509287"/>
      <w:r/>
      <w:bookmarkStart w:id="395" w:name="_Toc127151536"/>
      <w:r/>
      <w:bookmarkStart w:id="396" w:name="_Toc164229377"/>
      <w:r/>
      <w:bookmarkStart w:id="397" w:name="_Toc226337232"/>
      <w:r/>
      <w:bookmarkStart w:id="398" w:name="_Toc305158878"/>
      <w:r/>
      <w:bookmarkStart w:id="399" w:name="_Toc142311038"/>
      <w:r/>
      <w:bookmarkStart w:id="400" w:name="_Toc149720829"/>
      <w:r/>
      <w:bookmarkStart w:id="401" w:name="_Toc520356161"/>
      <w:r>
        <w:rPr>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rPr>
        <w:t xml:space="preserve">时间</w:t>
      </w:r>
      <w:r/>
    </w:p>
    <w:p>
      <w:pPr>
        <w:numPr>
          <w:ilvl w:val="1"/>
          <w:numId w:val="9"/>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p>
    <w:p>
      <w:pPr>
        <w:numPr>
          <w:ilvl w:val="0"/>
          <w:numId w:val="9"/>
        </w:numPr>
        <w:ind w:left="357" w:hanging="357"/>
        <w:spacing w:line="360" w:lineRule="auto"/>
        <w:tabs>
          <w:tab w:val="left" w:pos="360" w:leader="none"/>
        </w:tabs>
        <w:rPr>
          <w:sz w:val="24"/>
        </w:rPr>
        <w:outlineLvl w:val="1"/>
      </w:pPr>
      <w:r/>
      <w:bookmarkStart w:id="402" w:name="_Toc226965810"/>
      <w:r/>
      <w:bookmarkStart w:id="403" w:name="_Toc151193851"/>
      <w:r/>
      <w:bookmarkStart w:id="404" w:name="_Toc151193779"/>
      <w:r/>
      <w:bookmarkStart w:id="405" w:name="_Toc149720830"/>
      <w:r/>
      <w:bookmarkStart w:id="406" w:name="_Toc264969227"/>
      <w:r/>
      <w:bookmarkStart w:id="407" w:name="_Toc195842902"/>
      <w:r/>
      <w:bookmarkStart w:id="408" w:name="_Toc151193707"/>
      <w:r/>
      <w:bookmarkStart w:id="409" w:name="_Toc164229378"/>
      <w:r/>
      <w:bookmarkStart w:id="410" w:name="_Toc226965727"/>
      <w:r/>
      <w:bookmarkStart w:id="411" w:name="_Toc127161451"/>
      <w:r/>
      <w:bookmarkStart w:id="412" w:name="_Toc305158805"/>
      <w:r/>
      <w:bookmarkStart w:id="413" w:name="_Toc164608651"/>
      <w:r/>
      <w:bookmarkStart w:id="414" w:name="_Toc226309781"/>
      <w:r/>
      <w:bookmarkStart w:id="415" w:name="_Toc265228375"/>
      <w:r/>
      <w:bookmarkStart w:id="416" w:name="_Toc150774742"/>
      <w:r/>
      <w:bookmarkStart w:id="417" w:name="_Toc164229232"/>
      <w:r/>
      <w:bookmarkStart w:id="418" w:name="_Toc305158879"/>
      <w:r/>
      <w:bookmarkStart w:id="419" w:name="_Toc150774637"/>
      <w:r/>
      <w:bookmarkStart w:id="420" w:name="_Toc520356162"/>
      <w:r/>
      <w:bookmarkStart w:id="421" w:name="_Toc127151738"/>
      <w:r/>
      <w:bookmarkStart w:id="422" w:name="_Toc142311039"/>
      <w:r/>
      <w:bookmarkStart w:id="423" w:name="_Toc151193635"/>
      <w:r/>
      <w:bookmarkStart w:id="424" w:name="_Toc226337233"/>
      <w:r/>
      <w:bookmarkStart w:id="425" w:name="_Toc127151537"/>
      <w:r/>
      <w:bookmarkStart w:id="426" w:name="_Toc150480775"/>
      <w:r/>
      <w:bookmarkStart w:id="427" w:name="_Toc164608806"/>
      <w:r/>
      <w:bookmarkStart w:id="428" w:name="_Toc164351631"/>
      <w:r/>
      <w:bookmarkStart w:id="429" w:name="_Toc150509288"/>
      <w:r/>
      <w:bookmarkStart w:id="430" w:name="_Toc151190164"/>
      <w:r/>
      <w:bookmarkStart w:id="431" w:name="_Toc151193925"/>
      <w:r>
        <w:rPr>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9"/>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ascii="宋体" w:hAnsi="宋体" w:cs="宋体"/>
          <w:sz w:val="24"/>
          <w:lang w:bidi="ar"/>
        </w:rPr>
        <w:t xml:space="preserve">政府采购一体化平台“苏采云”</w:t>
      </w:r>
      <w:r>
        <w:rPr>
          <w:sz w:val="24"/>
        </w:rPr>
        <w:t xml:space="preserve">对所提交的投标文件进行补充、修改或者撤回。</w:t>
      </w:r>
      <w:r/>
    </w:p>
    <w:p>
      <w:pPr>
        <w:numPr>
          <w:ilvl w:val="1"/>
          <w:numId w:val="9"/>
        </w:numPr>
        <w:ind w:left="1077" w:hanging="720"/>
        <w:spacing w:line="360" w:lineRule="auto"/>
        <w:tabs>
          <w:tab w:val="left" w:pos="1080" w:leader="none"/>
          <w:tab w:val="left" w:pos="2014" w:leader="none"/>
        </w:tabs>
        <w:rPr>
          <w:sz w:val="24"/>
        </w:rPr>
      </w:pPr>
      <w:r>
        <w:rPr>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sz w:val="24"/>
        </w:rPr>
      </w:pPr>
      <w:r>
        <w:rPr>
          <w:sz w:val="24"/>
        </w:rPr>
      </w:r>
      <w:r/>
    </w:p>
    <w:p>
      <w:pPr>
        <w:pStyle w:val="1181"/>
        <w:spacing w:before="0" w:line="360" w:lineRule="auto"/>
        <w:rPr>
          <w:rFonts w:ascii="Times New Roman" w:hAnsi="Times New Roman" w:eastAsia="宋体"/>
          <w:sz w:val="28"/>
        </w:rPr>
      </w:pPr>
      <w:r/>
      <w:bookmarkStart w:id="432" w:name="_Toc226965728"/>
      <w:r/>
      <w:bookmarkStart w:id="433" w:name="_Toc142311040"/>
      <w:r/>
      <w:bookmarkStart w:id="434" w:name="_Toc150774638"/>
      <w:r/>
      <w:bookmarkStart w:id="435" w:name="_Toc151193852"/>
      <w:r/>
      <w:bookmarkStart w:id="436" w:name="_Toc151193926"/>
      <w:r/>
      <w:bookmarkStart w:id="437" w:name="_Toc151193708"/>
      <w:r/>
      <w:bookmarkStart w:id="438" w:name="_Toc226309782"/>
      <w:r/>
      <w:bookmarkStart w:id="439" w:name="_Toc226337234"/>
      <w:r/>
      <w:bookmarkStart w:id="440" w:name="_Toc264969228"/>
      <w:r/>
      <w:bookmarkStart w:id="441" w:name="_Toc305158880"/>
      <w:r/>
      <w:bookmarkStart w:id="442" w:name="_Toc151193780"/>
      <w:r/>
      <w:bookmarkStart w:id="443" w:name="_Toc150480776"/>
      <w:r/>
      <w:bookmarkStart w:id="444" w:name="_Toc150774743"/>
      <w:r/>
      <w:bookmarkStart w:id="445" w:name="_Toc151193636"/>
      <w:r/>
      <w:bookmarkStart w:id="446" w:name="_Toc195842903"/>
      <w:r/>
      <w:bookmarkStart w:id="447" w:name="_Toc226965811"/>
      <w:r/>
      <w:bookmarkStart w:id="448" w:name="_Toc305158806"/>
      <w:r/>
      <w:bookmarkStart w:id="449" w:name="_Toc265228376"/>
      <w:r/>
      <w:bookmarkStart w:id="450" w:name="_Toc150509289"/>
      <w:r/>
      <w:bookmarkStart w:id="451" w:name="_Toc520356163"/>
      <w:r/>
      <w:bookmarkStart w:id="452" w:name="_Toc151190165"/>
      <w:r/>
      <w:bookmarkStart w:id="453" w:name="_Toc127151538"/>
      <w:r>
        <w:rPr>
          <w:rFonts w:ascii="Times New Roman" w:hAnsi="Times New Roman" w:eastAsia="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rPr>
        <w:t xml:space="preserve">评审</w:t>
      </w:r>
      <w:r/>
    </w:p>
    <w:p>
      <w:pPr>
        <w:numPr>
          <w:ilvl w:val="0"/>
          <w:numId w:val="9"/>
        </w:numPr>
        <w:ind w:left="357" w:hanging="357"/>
        <w:spacing w:line="360" w:lineRule="auto"/>
        <w:tabs>
          <w:tab w:val="left" w:pos="360" w:leader="none"/>
        </w:tabs>
        <w:rPr>
          <w:sz w:val="24"/>
        </w:rPr>
        <w:outlineLvl w:val="1"/>
      </w:pPr>
      <w:r>
        <w:rPr>
          <w:sz w:val="24"/>
        </w:rPr>
        <w:t xml:space="preserve">响应文件的</w:t>
      </w:r>
      <w:r>
        <w:rPr>
          <w:rFonts w:hint="eastAsia"/>
          <w:sz w:val="24"/>
        </w:rPr>
        <w:t xml:space="preserve">解密与</w:t>
      </w:r>
      <w:r>
        <w:rPr>
          <w:sz w:val="24"/>
        </w:rPr>
        <w:t xml:space="preserve">开启</w:t>
      </w:r>
      <w:r/>
    </w:p>
    <w:p>
      <w:pPr>
        <w:numPr>
          <w:ilvl w:val="1"/>
          <w:numId w:val="9"/>
        </w:numPr>
        <w:ind w:left="1077" w:hanging="720"/>
        <w:spacing w:line="360" w:lineRule="auto"/>
        <w:tabs>
          <w:tab w:val="left" w:pos="1080"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9"/>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ascii="宋体" w:hAnsi="宋体" w:cs="宋体"/>
          <w:sz w:val="24"/>
          <w:lang w:bidi="ar"/>
        </w:rPr>
        <w:t xml:space="preserve">政府采购一体化平台“苏采云”</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sz w:val="24"/>
        </w:rPr>
        <w:t xml:space="preserve">供应商不足3家的，不予解密。</w:t>
      </w:r>
      <w:r/>
    </w:p>
    <w:p>
      <w:pPr>
        <w:numPr>
          <w:ilvl w:val="1"/>
          <w:numId w:val="9"/>
        </w:numPr>
        <w:ind w:left="1077" w:hanging="720"/>
        <w:spacing w:line="360" w:lineRule="auto"/>
        <w:tabs>
          <w:tab w:val="left" w:pos="1080" w:leader="none"/>
          <w:tab w:val="left" w:pos="2014" w:leader="none"/>
        </w:tabs>
        <w:rPr>
          <w:rFonts w:hint="eastAsia"/>
          <w:sz w:val="24"/>
        </w:rPr>
      </w:pPr>
      <w:r/>
      <w:bookmarkStart w:id="454" w:name="_Toc520356165"/>
      <w:r>
        <w:rPr>
          <w:sz w:val="24"/>
        </w:rPr>
        <w:t xml:space="preserve">本项目不公开报价。</w:t>
      </w:r>
      <w:r/>
    </w:p>
    <w:p>
      <w:pPr>
        <w:numPr>
          <w:ilvl w:val="1"/>
          <w:numId w:val="9"/>
        </w:numPr>
        <w:ind w:left="1077" w:hanging="720"/>
        <w:spacing w:line="360" w:lineRule="auto"/>
        <w:tabs>
          <w:tab w:val="left" w:pos="1080"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ascii="宋体" w:hAnsi="宋体" w:cs="宋体"/>
          <w:sz w:val="24"/>
          <w:lang w:bidi="ar"/>
        </w:rPr>
        <w:t xml:space="preserve">政府采购一体化平台</w:t>
      </w:r>
      <w:r>
        <w:rPr>
          <w:rFonts w:hint="eastAsia"/>
          <w:sz w:val="24"/>
        </w:rPr>
        <w:t xml:space="preserve">”</w:t>
      </w:r>
      <w:r>
        <w:rPr>
          <w:rFonts w:hint="eastAsia" w:ascii="宋体" w:hAnsi="宋体" w:cs="宋体"/>
          <w:sz w:val="24"/>
          <w:lang w:bidi="ar"/>
        </w:rPr>
        <w:t xml:space="preserve">“苏采云”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bookmarkEnd w:id="454"/>
      <w:r/>
    </w:p>
    <w:p>
      <w:pPr>
        <w:numPr>
          <w:ilvl w:val="0"/>
          <w:numId w:val="9"/>
        </w:numPr>
        <w:ind w:left="357" w:hanging="357"/>
        <w:spacing w:line="360" w:lineRule="auto"/>
        <w:tabs>
          <w:tab w:val="left" w:pos="360" w:leader="none"/>
        </w:tabs>
        <w:rPr>
          <w:sz w:val="24"/>
        </w:rPr>
        <w:outlineLvl w:val="1"/>
      </w:pPr>
      <w:r>
        <w:rPr>
          <w:sz w:val="24"/>
        </w:rPr>
        <w:t xml:space="preserve">磋商小组</w:t>
      </w:r>
      <w:r/>
    </w:p>
    <w:p>
      <w:pPr>
        <w:numPr>
          <w:ilvl w:val="1"/>
          <w:numId w:val="9"/>
        </w:numPr>
        <w:ind w:left="1077" w:hanging="720"/>
        <w:spacing w:line="360" w:lineRule="auto"/>
        <w:tabs>
          <w:tab w:val="left" w:pos="1080" w:leader="none"/>
          <w:tab w:val="left" w:pos="2014" w:leader="none"/>
        </w:tabs>
        <w:rPr>
          <w:sz w:val="24"/>
        </w:rPr>
      </w:pPr>
      <w:r>
        <w:rPr>
          <w:sz w:val="24"/>
        </w:rPr>
        <w:t xml:space="preserve">磋商小组根据政府采购有关规定和本次采购项目的特点进行组建，并负责具体评审事务，独立履行职责。</w:t>
      </w:r>
      <w:bookmarkStart w:id="455" w:name="_Toc520356166"/>
      <w:r/>
      <w:r/>
    </w:p>
    <w:p>
      <w:pPr>
        <w:numPr>
          <w:ilvl w:val="1"/>
          <w:numId w:val="9"/>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9"/>
        </w:numPr>
        <w:spacing w:line="360" w:lineRule="auto"/>
        <w:tabs>
          <w:tab w:val="left" w:pos="360" w:leader="none"/>
        </w:tabs>
        <w:rPr>
          <w:sz w:val="24"/>
        </w:rPr>
        <w:outlineLvl w:val="1"/>
      </w:pPr>
      <w:r>
        <w:rPr>
          <w:sz w:val="24"/>
        </w:rPr>
        <w:t xml:space="preserve">评审方法和评审标准</w:t>
      </w:r>
      <w:r/>
    </w:p>
    <w:p>
      <w:pPr>
        <w:numPr>
          <w:ilvl w:val="1"/>
          <w:numId w:val="9"/>
        </w:numPr>
        <w:ind w:left="1077" w:hanging="720"/>
        <w:spacing w:line="360" w:lineRule="auto"/>
        <w:tabs>
          <w:tab w:val="left" w:pos="1080" w:leader="none"/>
          <w:tab w:val="left" w:pos="2014" w:leader="none"/>
        </w:tabs>
        <w:rPr>
          <w:sz w:val="24"/>
        </w:rPr>
      </w:pPr>
      <w:r>
        <w:rPr>
          <w:sz w:val="24"/>
        </w:rPr>
        <w:t xml:space="preserve">见第三章《评审方法和评审标准》。</w:t>
      </w:r>
      <w:r/>
    </w:p>
    <w:p>
      <w:pPr>
        <w:pStyle w:val="1181"/>
        <w:spacing w:before="0" w:line="360" w:lineRule="auto"/>
        <w:rPr>
          <w:rFonts w:ascii="Times New Roman" w:hAnsi="Times New Roman" w:eastAsia="宋体"/>
          <w:sz w:val="28"/>
        </w:rPr>
      </w:pPr>
      <w:r/>
      <w:bookmarkStart w:id="457" w:name="_Toc151193933"/>
      <w:r/>
      <w:bookmarkStart w:id="458" w:name="_Toc150774645"/>
      <w:r/>
      <w:bookmarkStart w:id="459" w:name="_Toc142311047"/>
      <w:r/>
      <w:bookmarkStart w:id="460" w:name="_Toc226965735"/>
      <w:r/>
      <w:bookmarkStart w:id="461" w:name="_Toc150480783"/>
      <w:r/>
      <w:bookmarkStart w:id="462" w:name="_Toc226337241"/>
      <w:r/>
      <w:bookmarkStart w:id="463" w:name="_Toc264969235"/>
      <w:r/>
      <w:bookmarkStart w:id="464" w:name="_Toc195842910"/>
      <w:r/>
      <w:bookmarkStart w:id="465" w:name="_Toc150509296"/>
      <w:r/>
      <w:bookmarkStart w:id="466" w:name="_Toc127151545"/>
      <w:r/>
      <w:bookmarkStart w:id="467" w:name="_Toc305158813"/>
      <w:r/>
      <w:bookmarkStart w:id="468" w:name="_Toc150774750"/>
      <w:r/>
      <w:bookmarkStart w:id="469" w:name="_Toc226309789"/>
      <w:r/>
      <w:bookmarkStart w:id="470" w:name="_Toc226965818"/>
      <w:r/>
      <w:bookmarkStart w:id="471" w:name="_Toc151193715"/>
      <w:r/>
      <w:bookmarkStart w:id="472" w:name="_Toc151190172"/>
      <w:r/>
      <w:bookmarkStart w:id="473" w:name="_Toc151193787"/>
      <w:r/>
      <w:bookmarkStart w:id="474" w:name="_Toc305158887"/>
      <w:r/>
      <w:bookmarkStart w:id="475" w:name="_Toc151193859"/>
      <w:r/>
      <w:bookmarkStart w:id="476" w:name="_Toc151193643"/>
      <w:r/>
      <w:bookmarkStart w:id="477" w:name="_Toc265228383"/>
      <w:r>
        <w:rPr>
          <w:rFonts w:ascii="Times New Roman" w:hAnsi="Times New Roman" w:eastAsia="宋体"/>
          <w:sz w:val="28"/>
        </w:rPr>
        <w:t xml:space="preserve">六   </w:t>
      </w:r>
      <w:bookmarkEnd w:id="456"/>
      <w:r>
        <w:rPr>
          <w:rFonts w:ascii="Times New Roman" w:hAnsi="Times New Roman" w:eastAsia="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rPr>
        <w:t xml:space="preserve">成交</w:t>
      </w:r>
      <w:r/>
    </w:p>
    <w:p>
      <w:pPr>
        <w:numPr>
          <w:ilvl w:val="0"/>
          <w:numId w:val="9"/>
        </w:numPr>
        <w:ind w:left="357" w:hanging="357"/>
        <w:spacing w:line="360" w:lineRule="auto"/>
        <w:tabs>
          <w:tab w:val="left" w:pos="360" w:leader="none"/>
        </w:tabs>
        <w:rPr>
          <w:sz w:val="24"/>
        </w:rPr>
        <w:outlineLvl w:val="1"/>
      </w:pPr>
      <w:r/>
      <w:bookmarkStart w:id="478" w:name="_Toc127161461"/>
      <w:r/>
      <w:bookmarkStart w:id="479" w:name="_Toc150509298"/>
      <w:r/>
      <w:bookmarkStart w:id="480" w:name="_Toc151190174"/>
      <w:r/>
      <w:bookmarkStart w:id="481" w:name="_Toc265228385"/>
      <w:r/>
      <w:bookmarkStart w:id="482" w:name="_Toc151193861"/>
      <w:r/>
      <w:bookmarkStart w:id="483" w:name="_Toc226965820"/>
      <w:r/>
      <w:bookmarkStart w:id="484" w:name="_Toc264969237"/>
      <w:r/>
      <w:bookmarkStart w:id="485" w:name="_Toc226965737"/>
      <w:r/>
      <w:bookmarkStart w:id="486" w:name="_Toc149720840"/>
      <w:r/>
      <w:bookmarkStart w:id="487" w:name="_Toc226337243"/>
      <w:r/>
      <w:bookmarkStart w:id="488" w:name="_Toc150480785"/>
      <w:r/>
      <w:bookmarkStart w:id="489" w:name="_Toc142311049"/>
      <w:r/>
      <w:bookmarkStart w:id="490" w:name="_Toc305158815"/>
      <w:r/>
      <w:bookmarkStart w:id="491" w:name="_Toc305158889"/>
      <w:r/>
      <w:bookmarkStart w:id="492" w:name="_Toc151193935"/>
      <w:r/>
      <w:bookmarkStart w:id="493" w:name="_Toc164351641"/>
      <w:r/>
      <w:bookmarkStart w:id="494" w:name="_Toc164608816"/>
      <w:r/>
      <w:bookmarkStart w:id="495" w:name="_Toc127151547"/>
      <w:r/>
      <w:bookmarkStart w:id="496" w:name="_Toc151193717"/>
      <w:r/>
      <w:bookmarkStart w:id="497" w:name="_Toc226309791"/>
      <w:r/>
      <w:bookmarkStart w:id="498" w:name="_Toc195842912"/>
      <w:r/>
      <w:bookmarkStart w:id="499" w:name="_Toc151193789"/>
      <w:r/>
      <w:bookmarkStart w:id="500" w:name="_Toc127151748"/>
      <w:r/>
      <w:bookmarkStart w:id="501" w:name="_Toc164608661"/>
      <w:r/>
      <w:bookmarkStart w:id="502" w:name="_Toc151193645"/>
      <w:r/>
      <w:bookmarkStart w:id="503" w:name="_Toc164229388"/>
      <w:r/>
      <w:bookmarkStart w:id="504" w:name="_Toc150774647"/>
      <w:r/>
      <w:bookmarkStart w:id="505" w:name="_Toc164229242"/>
      <w:r/>
      <w:bookmarkStart w:id="506" w:name="_Toc150774752"/>
      <w:r>
        <w:rPr>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9"/>
        </w:numPr>
        <w:ind w:left="1077" w:hanging="720"/>
        <w:spacing w:line="360" w:lineRule="auto"/>
        <w:tabs>
          <w:tab w:val="left" w:pos="1080"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p>
    <w:p>
      <w:pPr>
        <w:numPr>
          <w:ilvl w:val="0"/>
          <w:numId w:val="9"/>
        </w:numPr>
        <w:ind w:left="357" w:hanging="357"/>
        <w:spacing w:line="360" w:lineRule="auto"/>
        <w:tabs>
          <w:tab w:val="left" w:pos="360" w:leader="none"/>
        </w:tabs>
        <w:rPr>
          <w:sz w:val="24"/>
        </w:rPr>
        <w:outlineLvl w:val="1"/>
      </w:pPr>
      <w:r/>
      <w:bookmarkStart w:id="507" w:name="_Toc305158817"/>
      <w:r/>
      <w:bookmarkStart w:id="508" w:name="_Toc305158891"/>
      <w:r/>
      <w:bookmarkStart w:id="509" w:name="_Toc142311051"/>
      <w:r/>
      <w:bookmarkStart w:id="510" w:name="_Toc164608663"/>
      <w:r/>
      <w:bookmarkStart w:id="511" w:name="_Toc226337245"/>
      <w:r/>
      <w:bookmarkStart w:id="512" w:name="_Toc264969239"/>
      <w:r/>
      <w:bookmarkStart w:id="513" w:name="_Toc151190176"/>
      <w:r/>
      <w:bookmarkStart w:id="514" w:name="_Toc127151549"/>
      <w:r/>
      <w:bookmarkStart w:id="515" w:name="_Toc150509300"/>
      <w:r/>
      <w:bookmarkStart w:id="516" w:name="_Toc164351643"/>
      <w:r/>
      <w:bookmarkStart w:id="517" w:name="_Toc151193791"/>
      <w:r/>
      <w:bookmarkStart w:id="518" w:name="_Toc149720842"/>
      <w:r/>
      <w:bookmarkStart w:id="519" w:name="_Toc151193647"/>
      <w:r/>
      <w:bookmarkStart w:id="520" w:name="_Toc151193937"/>
      <w:r/>
      <w:bookmarkStart w:id="521" w:name="_Toc127151750"/>
      <w:r/>
      <w:bookmarkStart w:id="522" w:name="_Toc226965822"/>
      <w:r/>
      <w:bookmarkStart w:id="523" w:name="_Toc127161463"/>
      <w:r/>
      <w:bookmarkStart w:id="524" w:name="_Toc150480787"/>
      <w:r/>
      <w:bookmarkStart w:id="525" w:name="_Toc150774649"/>
      <w:r/>
      <w:bookmarkStart w:id="526" w:name="_Toc164229390"/>
      <w:r/>
      <w:bookmarkStart w:id="527" w:name="_Toc164608818"/>
      <w:r/>
      <w:bookmarkStart w:id="528" w:name="_Toc265228387"/>
      <w:r/>
      <w:bookmarkStart w:id="529" w:name="_Toc164229244"/>
      <w:r/>
      <w:bookmarkStart w:id="530" w:name="_Toc151193863"/>
      <w:r/>
      <w:bookmarkStart w:id="531" w:name="_Toc195842914"/>
      <w:r/>
      <w:bookmarkStart w:id="532" w:name="_Toc226309793"/>
      <w:r/>
      <w:bookmarkStart w:id="533" w:name="_Toc226965739"/>
      <w:r/>
      <w:bookmarkStart w:id="534" w:name="_Toc151193719"/>
      <w:r/>
      <w:bookmarkStart w:id="535" w:name="_Toc150774754"/>
      <w:r/>
      <w:bookmarkStart w:id="536" w:name="_Ref467307090"/>
      <w:r/>
      <w:bookmarkStart w:id="537" w:name="_Ref467306425"/>
      <w:r/>
      <w:bookmarkStart w:id="538" w:name="_Toc520356176"/>
      <w:r>
        <w:rPr>
          <w:sz w:val="24"/>
        </w:rPr>
        <w:t xml:space="preserve">成交公告与成交通知书</w:t>
      </w:r>
      <w:bookmarkEnd w:id="507"/>
      <w:r/>
      <w:bookmarkEnd w:id="508"/>
      <w:r/>
      <w:r/>
    </w:p>
    <w:p>
      <w:pPr>
        <w:numPr>
          <w:ilvl w:val="1"/>
          <w:numId w:val="9"/>
        </w:numPr>
        <w:ind w:left="1077" w:hanging="720"/>
        <w:spacing w:line="360" w:lineRule="auto"/>
        <w:tabs>
          <w:tab w:val="left" w:pos="1080" w:leader="none"/>
          <w:tab w:val="left" w:pos="2014" w:leader="none"/>
        </w:tabs>
        <w:rPr>
          <w:sz w:val="24"/>
        </w:rPr>
      </w:pPr>
      <w:r>
        <w:rPr>
          <w:sz w:val="24"/>
        </w:rPr>
        <w:t xml:space="preserve">采购人或采购代理机构将在成交供应商确定后2个工作日内，在</w:t>
      </w:r>
      <w:r>
        <w:rPr>
          <w:rFonts w:hint="eastAsia" w:ascii="宋体" w:hAnsi="宋体"/>
          <w:color w:val="000000"/>
          <w:sz w:val="24"/>
          <w:szCs w:val="21"/>
        </w:rPr>
        <w:t xml:space="preserve">“江苏省政府采购网”、“常州市政府采购网”发布成交结果公告</w:t>
      </w:r>
      <w:r>
        <w:rPr>
          <w:sz w:val="24"/>
        </w:rPr>
        <w:t xml:space="preserve">，同时向成交供应商发出成交通知书，成交公告期限为1个工作日。</w:t>
      </w:r>
      <w:r/>
    </w:p>
    <w:p>
      <w:pPr>
        <w:numPr>
          <w:ilvl w:val="1"/>
          <w:numId w:val="9"/>
        </w:numPr>
        <w:ind w:left="1080" w:hanging="720"/>
        <w:spacing w:line="360" w:lineRule="auto"/>
        <w:tabs>
          <w:tab w:val="left" w:pos="1080"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rPr>
          <w:sz w:val="24"/>
        </w:rPr>
        <w:t xml:space="preserve">终止</w:t>
      </w:r>
      <w:r/>
    </w:p>
    <w:p>
      <w:pPr>
        <w:numPr>
          <w:ilvl w:val="1"/>
          <w:numId w:val="9"/>
        </w:numPr>
        <w:ind w:left="1077" w:hanging="720"/>
        <w:spacing w:line="360" w:lineRule="auto"/>
        <w:tabs>
          <w:tab w:val="left" w:pos="1080"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numPr>
          <w:ilvl w:val="2"/>
          <w:numId w:val="9"/>
        </w:numPr>
        <w:spacing w:line="360" w:lineRule="auto"/>
        <w:rPr>
          <w:sz w:val="24"/>
        </w:rPr>
      </w:pPr>
      <w:r>
        <w:rPr>
          <w:sz w:val="24"/>
        </w:rPr>
        <w:t xml:space="preserve">因情况变化，不再符合规定的竞争性磋商采购方式适用情形的；</w:t>
      </w:r>
      <w:r/>
    </w:p>
    <w:p>
      <w:pPr>
        <w:numPr>
          <w:ilvl w:val="2"/>
          <w:numId w:val="9"/>
        </w:numPr>
        <w:spacing w:line="360" w:lineRule="auto"/>
        <w:rPr>
          <w:sz w:val="24"/>
        </w:rPr>
      </w:pPr>
      <w:r>
        <w:rPr>
          <w:sz w:val="24"/>
        </w:rPr>
        <w:t xml:space="preserve">出现影响采购公正的违法、违规行为的；</w:t>
      </w:r>
      <w:r/>
    </w:p>
    <w:p>
      <w:pPr>
        <w:numPr>
          <w:ilvl w:val="2"/>
          <w:numId w:val="9"/>
        </w:numPr>
        <w:spacing w:line="360" w:lineRule="auto"/>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p>
    <w:p>
      <w:pPr>
        <w:numPr>
          <w:ilvl w:val="0"/>
          <w:numId w:val="9"/>
        </w:numPr>
        <w:ind w:left="357" w:hanging="357"/>
        <w:spacing w:line="360" w:lineRule="auto"/>
        <w:tabs>
          <w:tab w:val="left" w:pos="360" w:leader="none"/>
        </w:tabs>
        <w:rPr>
          <w:sz w:val="24"/>
        </w:rPr>
        <w:outlineLvl w:val="1"/>
      </w:pPr>
      <w:r/>
      <w:bookmarkStart w:id="539" w:name="_Toc151193648"/>
      <w:r/>
      <w:bookmarkStart w:id="540" w:name="_Ref467307204"/>
      <w:r/>
      <w:bookmarkStart w:id="541" w:name="_Toc150509301"/>
      <w:r/>
      <w:bookmarkStart w:id="542" w:name="_Toc164608664"/>
      <w:r/>
      <w:bookmarkStart w:id="543" w:name="_Toc195842915"/>
      <w:r/>
      <w:bookmarkStart w:id="544" w:name="_Toc305158818"/>
      <w:r/>
      <w:bookmarkStart w:id="545" w:name="_Toc151190177"/>
      <w:r/>
      <w:bookmarkStart w:id="546" w:name="_Toc226337246"/>
      <w:r/>
      <w:bookmarkStart w:id="547" w:name="_Ref467306377"/>
      <w:r/>
      <w:bookmarkStart w:id="548" w:name="_Toc127161464"/>
      <w:r/>
      <w:bookmarkStart w:id="549" w:name="_Toc150774650"/>
      <w:r/>
      <w:bookmarkStart w:id="550" w:name="_Toc164229245"/>
      <w:r/>
      <w:bookmarkStart w:id="551" w:name="_Toc127151550"/>
      <w:r/>
      <w:bookmarkStart w:id="552" w:name="_Ref467307062"/>
      <w:r/>
      <w:bookmarkStart w:id="553" w:name="_Toc151193864"/>
      <w:r/>
      <w:bookmarkStart w:id="554" w:name="_Toc164229391"/>
      <w:r/>
      <w:bookmarkStart w:id="555" w:name="_Toc265228388"/>
      <w:r/>
      <w:bookmarkStart w:id="556" w:name="_Toc226309794"/>
      <w:r/>
      <w:bookmarkStart w:id="557" w:name="_Toc142311052"/>
      <w:r/>
      <w:bookmarkStart w:id="558" w:name="_Toc226965823"/>
      <w:r/>
      <w:bookmarkStart w:id="559" w:name="_Ref467306978"/>
      <w:r/>
      <w:bookmarkStart w:id="560" w:name="_Toc164608819"/>
      <w:r/>
      <w:bookmarkStart w:id="561" w:name="_Toc151193720"/>
      <w:r/>
      <w:bookmarkStart w:id="562" w:name="_Toc151193792"/>
      <w:r/>
      <w:bookmarkStart w:id="563" w:name="_Toc150774755"/>
      <w:r/>
      <w:bookmarkStart w:id="564" w:name="_Toc151193938"/>
      <w:r/>
      <w:bookmarkStart w:id="565" w:name="_Toc226965740"/>
      <w:r/>
      <w:bookmarkStart w:id="566" w:name="_Toc127151751"/>
      <w:r/>
      <w:bookmarkStart w:id="567" w:name="_Toc150480788"/>
      <w:r/>
      <w:bookmarkStart w:id="568" w:name="_Toc264969240"/>
      <w:r/>
      <w:bookmarkStart w:id="569" w:name="_Toc164351644"/>
      <w:r/>
      <w:bookmarkStart w:id="570" w:name="_Toc305158892"/>
      <w:r/>
      <w:bookmarkStart w:id="571" w:name="_Toc520356175"/>
      <w:r/>
      <w:bookmarkStart w:id="572" w:name="_Toc149720843"/>
      <w:r>
        <w:rPr>
          <w:sz w:val="24"/>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9"/>
        </w:numPr>
        <w:ind w:left="1077" w:hanging="720"/>
        <w:spacing w:line="360" w:lineRule="auto"/>
        <w:tabs>
          <w:tab w:val="left" w:pos="1080"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60" w:lineRule="auto"/>
        <w:tabs>
          <w:tab w:val="left" w:pos="1080"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60" w:lineRule="auto"/>
        <w:tabs>
          <w:tab w:val="left" w:pos="1080" w:leader="none"/>
          <w:tab w:val="left" w:pos="2014" w:leader="none"/>
        </w:tabs>
        <w:rPr>
          <w:sz w:val="24"/>
        </w:rPr>
      </w:pPr>
      <w:r>
        <w:rPr>
          <w:sz w:val="24"/>
        </w:rPr>
        <w:t xml:space="preserve">联合体获得成交资格的，联合体各方应当共同与采购人签订合同，就成交项目向采购人承担连带责任。</w:t>
      </w:r>
      <w:r/>
    </w:p>
    <w:p>
      <w:pPr>
        <w:numPr>
          <w:ilvl w:val="1"/>
          <w:numId w:val="9"/>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9"/>
        </w:numPr>
        <w:ind w:left="1077" w:hanging="720"/>
        <w:spacing w:line="360" w:lineRule="auto"/>
        <w:tabs>
          <w:tab w:val="left" w:pos="1080"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bookmarkEnd w:id="536"/>
      <w:bookmarkEnd w:id="537"/>
      <w:bookmarkEnd w:id="538"/>
      <w:r/>
    </w:p>
    <w:p>
      <w:pPr>
        <w:numPr>
          <w:ilvl w:val="0"/>
          <w:numId w:val="9"/>
        </w:numPr>
        <w:ind w:left="357" w:hanging="357"/>
        <w:spacing w:line="360" w:lineRule="auto"/>
        <w:tabs>
          <w:tab w:val="left" w:pos="360" w:leader="none"/>
        </w:tabs>
        <w:rPr>
          <w:sz w:val="24"/>
        </w:rPr>
        <w:outlineLvl w:val="1"/>
      </w:pPr>
      <w:r>
        <w:rPr>
          <w:sz w:val="24"/>
        </w:rPr>
        <w:t xml:space="preserve">询问与质疑</w:t>
      </w:r>
      <w:r/>
    </w:p>
    <w:p>
      <w:pPr>
        <w:numPr>
          <w:ilvl w:val="1"/>
          <w:numId w:val="9"/>
        </w:numPr>
        <w:ind w:left="1077" w:hanging="720"/>
        <w:spacing w:line="360" w:lineRule="auto"/>
        <w:tabs>
          <w:tab w:val="left" w:pos="1080" w:leader="none"/>
          <w:tab w:val="left" w:pos="2014" w:leader="none"/>
        </w:tabs>
        <w:rPr>
          <w:sz w:val="24"/>
        </w:rPr>
      </w:pPr>
      <w:r>
        <w:rPr>
          <w:sz w:val="24"/>
        </w:rPr>
        <w:t xml:space="preserve">询问</w:t>
      </w:r>
      <w:r/>
    </w:p>
    <w:p>
      <w:pPr>
        <w:numPr>
          <w:ilvl w:val="2"/>
          <w:numId w:val="9"/>
        </w:numPr>
        <w:spacing w:line="360" w:lineRule="auto"/>
        <w:rPr>
          <w:sz w:val="24"/>
        </w:rPr>
      </w:pPr>
      <w:r>
        <w:rPr>
          <w:sz w:val="24"/>
        </w:rPr>
        <w:t xml:space="preserve">供应商对政府采购活动事项有疑问的，可依法提出询问，并按《供应商须知资料表》载明的形式送达采购人或采购代理机构。</w:t>
      </w:r>
      <w:r/>
    </w:p>
    <w:p>
      <w:pPr>
        <w:numPr>
          <w:ilvl w:val="2"/>
          <w:numId w:val="9"/>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sz w:val="24"/>
        </w:rPr>
      </w:pPr>
      <w:r>
        <w:rPr>
          <w:sz w:val="24"/>
        </w:rPr>
        <w:t xml:space="preserve">质疑</w:t>
      </w:r>
      <w:r/>
    </w:p>
    <w:p>
      <w:pPr>
        <w:numPr>
          <w:ilvl w:val="2"/>
          <w:numId w:val="9"/>
        </w:numPr>
        <w:spacing w:line="360" w:lineRule="auto"/>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60" w:lineRule="auto"/>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257"/>
        </w:rPr>
        <w:t xml:space="preserve">http://gk</w:t>
      </w:r>
      <w:bookmarkStart w:id="573" w:name="_Hlt100654014"/>
      <w:r>
        <w:rPr>
          <w:rStyle w:val="1257"/>
        </w:rPr>
        <w:t xml:space="preserve">s</w:t>
      </w:r>
      <w:bookmarkEnd w:id="573"/>
      <w:r>
        <w:rPr>
          <w:rStyle w:val="1257"/>
        </w:rPr>
        <w:t xml:space="preserve">.m</w:t>
      </w:r>
      <w:bookmarkStart w:id="574" w:name="_Hlt100653993"/>
      <w:r/>
      <w:bookmarkStart w:id="575" w:name="_Hlt100653994"/>
      <w:r>
        <w:rPr>
          <w:rStyle w:val="1257"/>
        </w:rPr>
        <w:t xml:space="preserve">o</w:t>
      </w:r>
      <w:bookmarkEnd w:id="574"/>
      <w:r/>
      <w:bookmarkEnd w:id="575"/>
      <w:r/>
      <w:bookmarkStart w:id="576" w:name="_Hlt101169156"/>
      <w:r>
        <w:rPr>
          <w:rStyle w:val="1257"/>
        </w:rPr>
        <w:t xml:space="preserve">f</w:t>
      </w:r>
      <w:bookmarkEnd w:id="576"/>
      <w:r>
        <w:rPr>
          <w:rStyle w:val="1257"/>
        </w:rPr>
        <w:t xml:space="preserve">.gov.cn/ztztz/zhengfucaigouguanli/201802/t20180201_2804589.htm</w:t>
      </w:r>
      <w:r>
        <w:fldChar w:fldCharType="end"/>
      </w:r>
      <w:r>
        <w:rPr>
          <w:rFonts w:hint="eastAsia"/>
        </w:rPr>
        <w:t xml:space="preserve">）</w:t>
      </w:r>
      <w:r/>
    </w:p>
    <w:p>
      <w:pPr>
        <w:numPr>
          <w:ilvl w:val="2"/>
          <w:numId w:val="9"/>
        </w:numPr>
        <w:spacing w:line="360" w:lineRule="auto"/>
        <w:rPr>
          <w:sz w:val="24"/>
        </w:rPr>
      </w:pPr>
      <w:r>
        <w:rPr>
          <w:sz w:val="24"/>
        </w:rPr>
        <w:t xml:space="preserve">供应商为自然人的，应当由本人签字；供应商为法人或者其他组织的，应当由法定代表人、主要负责人，或者其授权代表签字或者盖章，并加盖公章。</w:t>
      </w:r>
      <w:r/>
    </w:p>
    <w:p>
      <w:pPr>
        <w:numPr>
          <w:ilvl w:val="2"/>
          <w:numId w:val="9"/>
        </w:numPr>
        <w:spacing w:line="360" w:lineRule="auto"/>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p>
    <w:p>
      <w:pPr>
        <w:numPr>
          <w:ilvl w:val="0"/>
          <w:numId w:val="9"/>
        </w:numPr>
        <w:ind w:left="357" w:hanging="357"/>
        <w:spacing w:line="360" w:lineRule="auto"/>
        <w:tabs>
          <w:tab w:val="left" w:pos="360" w:leader="none"/>
        </w:tabs>
        <w:rPr>
          <w:sz w:val="24"/>
        </w:rPr>
        <w:outlineLvl w:val="1"/>
      </w:pPr>
      <w:r>
        <w:rPr>
          <w:sz w:val="24"/>
        </w:rPr>
        <w:t xml:space="preserve">代理费</w:t>
      </w:r>
      <w:r/>
    </w:p>
    <w:p>
      <w:pPr>
        <w:numPr>
          <w:ilvl w:val="1"/>
          <w:numId w:val="9"/>
        </w:numPr>
        <w:ind w:left="1077" w:hanging="720"/>
        <w:spacing w:line="360" w:lineRule="auto"/>
        <w:tabs>
          <w:tab w:val="left" w:pos="1080"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numPr>
          <w:ilvl w:val="0"/>
          <w:numId w:val="0"/>
        </w:numPr>
        <w:ind w:left="964" w:hanging="960"/>
        <w:spacing w:line="360" w:lineRule="auto"/>
        <w:tabs>
          <w:tab w:val="left" w:pos="1080" w:leader="none"/>
          <w:tab w:val="left" w:pos="2014" w:leader="none"/>
        </w:tabs>
        <w:rPr>
          <w:sz w:val="24"/>
        </w:rPr>
      </w:pPr>
      <w:r/>
      <w:bookmarkStart w:id="577" w:name="_Toc353825544"/>
      <w:r/>
      <w:bookmarkStart w:id="578" w:name="_Toc353873664"/>
      <w:r/>
      <w:bookmarkStart w:id="579" w:name="_Toc353873934"/>
      <w:r/>
      <w:bookmarkStart w:id="580" w:name="_Toc127151554"/>
      <w:r/>
      <w:bookmarkStart w:id="581" w:name="_Toc226965827"/>
      <w:r/>
      <w:bookmarkStart w:id="582" w:name="_Toc265228392"/>
      <w:r/>
      <w:bookmarkStart w:id="583" w:name="_Toc226337250"/>
      <w:r/>
      <w:bookmarkStart w:id="584" w:name="_Toc264969244"/>
      <w:r/>
      <w:bookmarkStart w:id="585" w:name="_Toc150774759"/>
      <w:r/>
      <w:bookmarkStart w:id="586" w:name="_Toc150480792"/>
      <w:r/>
      <w:bookmarkStart w:id="587" w:name="_Toc305158896"/>
      <w:r/>
      <w:bookmarkStart w:id="588" w:name="_Toc305158822"/>
      <w:r/>
      <w:bookmarkStart w:id="589" w:name="_Toc142311056"/>
      <w:r/>
      <w:r/>
    </w:p>
    <w:p>
      <w:pPr>
        <w:pStyle w:val="1262"/>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
    </w:p>
    <w:p>
      <w:pPr>
        <w:jc w:val="center"/>
        <w:spacing w:line="360" w:lineRule="auto"/>
        <w:rPr>
          <w:b/>
          <w:sz w:val="36"/>
          <w:szCs w:val="36"/>
        </w:rPr>
        <w:outlineLvl w:val="0"/>
      </w:pPr>
      <w:r/>
      <w:bookmarkStart w:id="590" w:name="_Toc104818927"/>
      <w:r>
        <w:rPr>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sz w:val="36"/>
          <w:szCs w:val="36"/>
        </w:rPr>
        <w:t xml:space="preserve">评审</w:t>
      </w:r>
      <w:r>
        <w:rPr>
          <w:rFonts w:hint="eastAsia"/>
          <w:b/>
          <w:sz w:val="36"/>
          <w:szCs w:val="36"/>
        </w:rPr>
        <w:t xml:space="preserve">程序、评审</w:t>
      </w:r>
      <w:r>
        <w:rPr>
          <w:b/>
          <w:sz w:val="36"/>
          <w:szCs w:val="36"/>
        </w:rPr>
        <w:t xml:space="preserve">方法和评审标准</w:t>
      </w:r>
      <w:bookmarkEnd w:id="590"/>
      <w:r/>
      <w:bookmarkStart w:id="591" w:name="_Toc487900382"/>
      <w:r/>
      <w:r/>
    </w:p>
    <w:p>
      <w:pPr>
        <w:pStyle w:val="1181"/>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91"/>
      <w:r/>
    </w:p>
    <w:p>
      <w:pPr>
        <w:numPr>
          <w:ilvl w:val="0"/>
          <w:numId w:val="12"/>
        </w:numPr>
        <w:spacing w:line="360" w:lineRule="auto"/>
        <w:tabs>
          <w:tab w:val="left" w:pos="360" w:leader="none"/>
        </w:tabs>
        <w:rPr>
          <w:sz w:val="24"/>
        </w:rPr>
        <w:outlineLvl w:val="1"/>
      </w:pPr>
      <w:r/>
      <w:bookmarkStart w:id="592" w:name="_Toc195842906"/>
      <w:r/>
      <w:bookmarkStart w:id="593" w:name="_Toc142311043"/>
      <w:r/>
      <w:bookmarkStart w:id="594" w:name="_Toc226309785"/>
      <w:r/>
      <w:bookmarkStart w:id="595" w:name="_Toc127151541"/>
      <w:r/>
      <w:bookmarkStart w:id="596" w:name="_Toc226965731"/>
      <w:r/>
      <w:bookmarkStart w:id="597" w:name="_Toc150509292"/>
      <w:r/>
      <w:bookmarkStart w:id="598" w:name="_Toc265228379"/>
      <w:r/>
      <w:bookmarkStart w:id="599" w:name="_Toc151193929"/>
      <w:r/>
      <w:bookmarkStart w:id="600" w:name="_Toc150774641"/>
      <w:r/>
      <w:bookmarkStart w:id="601" w:name="_Toc164351635"/>
      <w:r/>
      <w:bookmarkStart w:id="602" w:name="_Toc149720834"/>
      <w:r/>
      <w:bookmarkStart w:id="603" w:name="_Toc164608655"/>
      <w:r/>
      <w:bookmarkStart w:id="604" w:name="_Toc151190168"/>
      <w:r/>
      <w:bookmarkStart w:id="605" w:name="_Toc151193783"/>
      <w:r/>
      <w:bookmarkStart w:id="606" w:name="_Toc150480779"/>
      <w:r/>
      <w:bookmarkStart w:id="607" w:name="_Toc264969231"/>
      <w:r/>
      <w:bookmarkStart w:id="608" w:name="_Toc151193855"/>
      <w:r/>
      <w:bookmarkStart w:id="609" w:name="_Toc127151742"/>
      <w:r/>
      <w:bookmarkStart w:id="610" w:name="_Toc226337237"/>
      <w:r/>
      <w:bookmarkStart w:id="611" w:name="_Toc127161455"/>
      <w:r/>
      <w:bookmarkStart w:id="612" w:name="_Toc305158883"/>
      <w:r/>
      <w:bookmarkStart w:id="613" w:name="_Toc150774746"/>
      <w:r/>
      <w:bookmarkStart w:id="614" w:name="_Toc305158809"/>
      <w:r/>
      <w:bookmarkStart w:id="615" w:name="_Toc151193711"/>
      <w:r/>
      <w:bookmarkStart w:id="616" w:name="_Toc226965814"/>
      <w:r/>
      <w:bookmarkStart w:id="617" w:name="_Toc164608810"/>
      <w:r/>
      <w:bookmarkStart w:id="618" w:name="_Toc164229382"/>
      <w:r/>
      <w:bookmarkStart w:id="619" w:name="_Toc151193639"/>
      <w:r/>
      <w:bookmarkStart w:id="620" w:name="_Toc164229236"/>
      <w:r/>
      <w:bookmarkStart w:id="621" w:name="_Toc353825551"/>
      <w:r/>
      <w:bookmarkStart w:id="622" w:name="_Toc353873941"/>
      <w:r/>
      <w:bookmarkStart w:id="623" w:name="_Toc142311057"/>
      <w:r/>
      <w:bookmarkStart w:id="624" w:name="_Toc127151555"/>
      <w:r/>
      <w:bookmarkStart w:id="625" w:name="_Toc305158897"/>
      <w:r/>
      <w:bookmarkStart w:id="626" w:name="_Toc353873665"/>
      <w:r/>
      <w:bookmarkStart w:id="627" w:name="_Toc264969245"/>
      <w:r/>
      <w:bookmarkStart w:id="628" w:name="_Toc226965828"/>
      <w:r/>
      <w:bookmarkStart w:id="629" w:name="_Toc305158823"/>
      <w:r/>
      <w:bookmarkStart w:id="630" w:name="_Toc226337251"/>
      <w:r/>
      <w:bookmarkStart w:id="631" w:name="_Toc150480793"/>
      <w:r/>
      <w:bookmarkStart w:id="632" w:name="_Toc353825545"/>
      <w:r/>
      <w:bookmarkStart w:id="633" w:name="_Toc353873935"/>
      <w:r/>
      <w:bookmarkStart w:id="634" w:name="_Toc150774760"/>
      <w:r/>
      <w:bookmarkStart w:id="635" w:name="_Toc195842920"/>
      <w:r/>
      <w:bookmarkStart w:id="636" w:name="_Toc265228393"/>
      <w:r>
        <w:rPr>
          <w:sz w:val="24"/>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rPr>
        <w:t xml:space="preserve">资格性检查和符合性审查</w:t>
      </w:r>
      <w:r/>
    </w:p>
    <w:p>
      <w:pPr>
        <w:numPr>
          <w:ilvl w:val="1"/>
          <w:numId w:val="12"/>
        </w:numPr>
        <w:ind w:left="1077" w:hanging="720"/>
        <w:spacing w:line="360" w:lineRule="auto"/>
        <w:tabs>
          <w:tab w:val="left" w:pos="1080"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12"/>
        </w:numPr>
        <w:ind w:left="1077" w:hanging="720"/>
        <w:spacing w:line="360" w:lineRule="auto"/>
        <w:tabs>
          <w:tab w:val="left" w:pos="1080" w:leader="none"/>
        </w:tabs>
        <w:rPr>
          <w:sz w:val="24"/>
        </w:rPr>
      </w:pPr>
      <w:r>
        <w:rPr>
          <w:sz w:val="24"/>
        </w:rPr>
        <w:t xml:space="preserve">《资格性检查要求》中对格式有要求的，除竞争性磋商文件另有规定外，均为“实质性格式”文件。</w:t>
      </w:r>
      <w:r/>
    </w:p>
    <w:p>
      <w:pPr>
        <w:numPr>
          <w:ilvl w:val="1"/>
          <w:numId w:val="12"/>
        </w:numPr>
        <w:ind w:left="1077" w:hanging="720"/>
        <w:spacing w:line="360" w:lineRule="auto"/>
        <w:tabs>
          <w:tab w:val="left" w:pos="1080" w:leader="none"/>
        </w:tabs>
        <w:rPr>
          <w:sz w:val="24"/>
        </w:rPr>
      </w:pPr>
      <w:r>
        <w:rPr>
          <w:sz w:val="24"/>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100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918"/>
        <w:gridCol w:w="4987"/>
        <w:gridCol w:w="1840"/>
      </w:tblGrid>
      <w:tr>
        <w:trPr>
          <w:cantSplit/>
          <w:trHeight w:val="20"/>
          <w:tblHeader/>
        </w:trPr>
        <w:tc>
          <w:tcPr>
            <w:tcW w:w="375" w:type="dxa"/>
            <w:vAlign w:val="center"/>
            <w:textDirection w:val="lrTb"/>
            <w:noWrap w:val="false"/>
          </w:tcPr>
          <w:p>
            <w:pPr>
              <w:jc w:val="center"/>
              <w:tabs>
                <w:tab w:val="left" w:pos="1080" w:leader="none"/>
              </w:tabs>
              <w:rPr>
                <w:b/>
                <w:sz w:val="24"/>
              </w:rPr>
            </w:pPr>
            <w:r/>
            <w:bookmarkStart w:id="637" w:name="_Hlt487972895"/>
            <w:r/>
            <w:bookmarkEnd w:id="637"/>
            <w:r>
              <w:rPr>
                <w:b/>
                <w:sz w:val="24"/>
              </w:rPr>
              <w:t xml:space="preserve">序号</w:t>
            </w:r>
            <w:r/>
          </w:p>
        </w:tc>
        <w:tc>
          <w:tcPr>
            <w:tcW w:w="1014" w:type="dxa"/>
            <w:vAlign w:val="center"/>
            <w:textDirection w:val="lrTb"/>
            <w:noWrap w:val="false"/>
          </w:tcPr>
          <w:p>
            <w:pPr>
              <w:jc w:val="center"/>
              <w:tabs>
                <w:tab w:val="left" w:pos="1080" w:leader="none"/>
              </w:tabs>
              <w:rPr>
                <w:b/>
                <w:sz w:val="24"/>
              </w:rPr>
            </w:pPr>
            <w:r>
              <w:rPr>
                <w:b/>
                <w:sz w:val="24"/>
              </w:rPr>
              <w:t xml:space="preserve">审查因素</w:t>
            </w:r>
            <w:r/>
          </w:p>
        </w:tc>
        <w:tc>
          <w:tcPr>
            <w:tcW w:w="2636" w:type="dxa"/>
            <w:vAlign w:val="center"/>
            <w:textDirection w:val="lrTb"/>
            <w:noWrap w:val="false"/>
          </w:tcPr>
          <w:p>
            <w:pPr>
              <w:jc w:val="center"/>
              <w:tabs>
                <w:tab w:val="left" w:pos="1080" w:leader="none"/>
              </w:tabs>
              <w:rPr>
                <w:b/>
                <w:sz w:val="24"/>
              </w:rPr>
            </w:pPr>
            <w:r>
              <w:rPr>
                <w:b/>
                <w:sz w:val="24"/>
              </w:rPr>
              <w:t xml:space="preserve">审查内容</w:t>
            </w:r>
            <w:r/>
          </w:p>
        </w:tc>
        <w:tc>
          <w:tcPr>
            <w:tcW w:w="972"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2071"/>
        </w:trPr>
        <w:tc>
          <w:tcPr>
            <w:tcW w:w="375" w:type="dxa"/>
            <w:vAlign w:val="center"/>
            <w:textDirection w:val="lrTb"/>
            <w:noWrap w:val="false"/>
          </w:tcPr>
          <w:p>
            <w:pPr>
              <w:jc w:val="center"/>
              <w:tabs>
                <w:tab w:val="left" w:pos="1080" w:leader="none"/>
              </w:tabs>
              <w:rPr>
                <w:sz w:val="24"/>
              </w:rPr>
            </w:pPr>
            <w:r>
              <w:rPr>
                <w:sz w:val="24"/>
              </w:rPr>
              <w:t xml:space="preserve">1</w:t>
            </w:r>
            <w:r/>
          </w:p>
        </w:tc>
        <w:tc>
          <w:tcPr>
            <w:tcW w:w="1014"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636" w:type="dxa"/>
            <w:vAlign w:val="center"/>
            <w:textDirection w:val="lrTb"/>
            <w:noWrap w:val="false"/>
          </w:tcPr>
          <w:p>
            <w:pPr>
              <w:tabs>
                <w:tab w:val="left" w:pos="1080" w:leader="none"/>
              </w:tabs>
              <w:rPr>
                <w:sz w:val="24"/>
              </w:rPr>
            </w:pPr>
            <w:r>
              <w:rPr>
                <w:sz w:val="24"/>
              </w:rPr>
              <w:t xml:space="preserve">具体规定见第一章《采购邀请》</w:t>
            </w:r>
            <w:r/>
          </w:p>
        </w:tc>
        <w:tc>
          <w:tcPr>
            <w:tcW w:w="972" w:type="dxa"/>
            <w:vAlign w:val="center"/>
            <w:textDirection w:val="lrTb"/>
            <w:noWrap w:val="false"/>
          </w:tcPr>
          <w:p>
            <w:pPr>
              <w:tabs>
                <w:tab w:val="left" w:pos="1080" w:leader="none"/>
              </w:tabs>
              <w:rPr>
                <w:sz w:val="24"/>
              </w:rPr>
            </w:pPr>
            <w:r>
              <w:rPr>
                <w:sz w:val="24"/>
              </w:rPr>
            </w:r>
            <w:r/>
          </w:p>
        </w:tc>
      </w:tr>
      <w:tr>
        <w:trPr>
          <w:cantSplit/>
          <w:trHeight w:val="1286"/>
        </w:trPr>
        <w:tc>
          <w:tcPr>
            <w:tcW w:w="375" w:type="dxa"/>
            <w:vAlign w:val="center"/>
            <w:textDirection w:val="lrTb"/>
            <w:noWrap w:val="false"/>
          </w:tcPr>
          <w:p>
            <w:pPr>
              <w:jc w:val="center"/>
              <w:tabs>
                <w:tab w:val="left" w:pos="1080" w:leader="none"/>
              </w:tabs>
              <w:rPr>
                <w:sz w:val="24"/>
              </w:rPr>
            </w:pPr>
            <w:r>
              <w:rPr>
                <w:sz w:val="24"/>
              </w:rPr>
              <w:t xml:space="preserve">1-1</w:t>
            </w:r>
            <w:r/>
          </w:p>
        </w:tc>
        <w:tc>
          <w:tcPr>
            <w:tcW w:w="1014" w:type="dxa"/>
            <w:vAlign w:val="center"/>
            <w:textDirection w:val="lrTb"/>
            <w:noWrap w:val="false"/>
          </w:tcPr>
          <w:p>
            <w:pPr>
              <w:tabs>
                <w:tab w:val="left" w:pos="1080" w:leader="none"/>
              </w:tabs>
              <w:rPr>
                <w:sz w:val="24"/>
              </w:rPr>
            </w:pPr>
            <w:r>
              <w:rPr>
                <w:rFonts w:hint="eastAsia"/>
                <w:sz w:val="24"/>
              </w:rPr>
              <w:t xml:space="preserve">供应商资格声明函</w:t>
            </w:r>
            <w:r/>
          </w:p>
        </w:tc>
        <w:tc>
          <w:tcPr>
            <w:tcW w:w="2636" w:type="dxa"/>
            <w:vAlign w:val="center"/>
            <w:textDirection w:val="lrTb"/>
            <w:noWrap w:val="false"/>
          </w:tcPr>
          <w:p>
            <w:pPr>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p>
        </w:tc>
        <w:tc>
          <w:tcPr>
            <w:tcW w:w="972"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1883"/>
        </w:trPr>
        <w:tc>
          <w:tcPr>
            <w:tcW w:w="375" w:type="dxa"/>
            <w:vAlign w:val="center"/>
            <w:textDirection w:val="lrTb"/>
            <w:noWrap w:val="false"/>
          </w:tcPr>
          <w:p>
            <w:pPr>
              <w:jc w:val="center"/>
              <w:tabs>
                <w:tab w:val="left" w:pos="1080" w:leader="none"/>
              </w:tabs>
              <w:rPr>
                <w:sz w:val="24"/>
              </w:rPr>
            </w:pPr>
            <w:r>
              <w:rPr>
                <w:rFonts w:hint="eastAsia"/>
                <w:sz w:val="24"/>
              </w:rPr>
              <w:t xml:space="preserve">1-2</w:t>
            </w:r>
            <w:r/>
          </w:p>
        </w:tc>
        <w:tc>
          <w:tcPr>
            <w:tcW w:w="1014" w:type="dxa"/>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636" w:type="dxa"/>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72"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rFonts w:hint="eastAsia" w:eastAsia="宋体"/>
                <w:sz w:val="24"/>
                <w:lang w:eastAsia="zh-CN"/>
              </w:rPr>
            </w:pPr>
            <w:r>
              <w:rPr>
                <w:rFonts w:hint="eastAsia"/>
                <w:sz w:val="24"/>
              </w:rPr>
              <w:t xml:space="preserve">1</w:t>
            </w:r>
            <w:r>
              <w:rPr>
                <w:sz w:val="24"/>
              </w:rPr>
              <w:t xml:space="preserve">-</w:t>
            </w:r>
            <w:r>
              <w:rPr>
                <w:rFonts w:hint="eastAsia"/>
                <w:sz w:val="24"/>
                <w:lang w:val="en-US" w:eastAsia="zh-CN"/>
              </w:rPr>
              <w:t xml:space="preserve">3</w:t>
            </w:r>
            <w:r/>
          </w:p>
        </w:tc>
        <w:tc>
          <w:tcPr>
            <w:tcW w:w="1014" w:type="dxa"/>
            <w:vAlign w:val="center"/>
            <w:textDirection w:val="lrTb"/>
            <w:noWrap w:val="false"/>
          </w:tcPr>
          <w:p>
            <w:pPr>
              <w:tabs>
                <w:tab w:val="left" w:pos="1080" w:leader="none"/>
              </w:tabs>
              <w:rPr>
                <w:sz w:val="24"/>
              </w:rPr>
            </w:pPr>
            <w:r>
              <w:rPr>
                <w:sz w:val="24"/>
              </w:rPr>
              <w:t xml:space="preserve">供应商信用记录</w:t>
            </w:r>
            <w:r/>
          </w:p>
        </w:tc>
        <w:tc>
          <w:tcPr>
            <w:tcW w:w="2636" w:type="dxa"/>
            <w:vAlign w:val="center"/>
            <w:textDirection w:val="lrTb"/>
            <w:noWrap w:val="false"/>
          </w:tcPr>
          <w:p>
            <w:pPr>
              <w:tabs>
                <w:tab w:val="left" w:pos="900" w:leader="none"/>
                <w:tab w:val="left" w:pos="1980" w:leader="none"/>
              </w:tabs>
              <w:rPr>
                <w:sz w:val="24"/>
              </w:rPr>
            </w:pPr>
            <w:r>
              <w:rPr>
                <w:sz w:val="24"/>
              </w:rPr>
              <w:t xml:space="preserve">查询渠道：信用中国网站和中国政府采购网（www.creditchina.gov.cn、www.ccgp.gov.cn）；</w:t>
            </w:r>
            <w:r/>
          </w:p>
          <w:p>
            <w:pPr>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p>
        </w:tc>
        <w:tc>
          <w:tcPr>
            <w:tcW w:w="972" w:type="dxa"/>
            <w:vAlign w:val="center"/>
            <w:textDirection w:val="lrTb"/>
            <w:noWrap w:val="false"/>
          </w:tcPr>
          <w:p>
            <w:pPr>
              <w:tabs>
                <w:tab w:val="left" w:pos="1080" w:leader="none"/>
              </w:tabs>
              <w:rPr>
                <w:sz w:val="24"/>
              </w:rPr>
            </w:pPr>
            <w:r>
              <w:rPr>
                <w:sz w:val="24"/>
              </w:rPr>
              <w:t xml:space="preserve">无须供应商提供，由采购人查询。</w:t>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w:t>
            </w:r>
            <w:r/>
          </w:p>
        </w:tc>
        <w:tc>
          <w:tcPr>
            <w:tcW w:w="1014"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2636" w:type="dxa"/>
            <w:vAlign w:val="center"/>
            <w:textDirection w:val="lrTb"/>
            <w:noWrap w:val="false"/>
          </w:tcPr>
          <w:p>
            <w:pPr>
              <w:tabs>
                <w:tab w:val="left" w:pos="1080" w:leader="none"/>
              </w:tabs>
              <w:rPr>
                <w:sz w:val="24"/>
              </w:rPr>
            </w:pPr>
            <w:r>
              <w:rPr>
                <w:sz w:val="24"/>
              </w:rPr>
              <w:t xml:space="preserve">具体要求见第一章《采购邀请》</w:t>
            </w:r>
            <w:r/>
          </w:p>
        </w:tc>
        <w:tc>
          <w:tcPr>
            <w:tcW w:w="972"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sz w:val="24"/>
              </w:rPr>
            </w:pPr>
            <w:r>
              <w:rPr>
                <w:sz w:val="24"/>
              </w:rPr>
              <w:t xml:space="preserve">2-1</w:t>
            </w:r>
            <w:r/>
          </w:p>
        </w:tc>
        <w:tc>
          <w:tcPr>
            <w:tcW w:w="1014" w:type="dxa"/>
            <w:vAlign w:val="center"/>
            <w:textDirection w:val="lrTb"/>
            <w:noWrap w:val="false"/>
          </w:tcPr>
          <w:p>
            <w:pPr>
              <w:tabs>
                <w:tab w:val="left" w:pos="1080" w:leader="none"/>
              </w:tabs>
              <w:rPr>
                <w:sz w:val="24"/>
              </w:rPr>
            </w:pPr>
            <w:r>
              <w:rPr>
                <w:sz w:val="24"/>
              </w:rPr>
              <w:t xml:space="preserve">中小企业声明函</w:t>
            </w:r>
            <w:r/>
          </w:p>
        </w:tc>
        <w:tc>
          <w:tcPr>
            <w:tcW w:w="2636" w:type="dxa"/>
            <w:vAlign w:val="center"/>
            <w:textDirection w:val="lrTb"/>
            <w:noWrap w:val="false"/>
          </w:tcPr>
          <w:p>
            <w:pPr>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b/>
                <w:sz w:val="24"/>
              </w:rPr>
            </w:pPr>
            <w:r>
              <w:rPr>
                <w:rFonts w:hint="eastAsia"/>
                <w:bCs/>
                <w:sz w:val="24"/>
              </w:rPr>
              <w:t xml:space="preserve">注2：残疾人福利性单位须按磋商文件要求提供《残疾人福利性单位声明函》。</w:t>
            </w:r>
            <w:r/>
          </w:p>
        </w:tc>
        <w:tc>
          <w:tcPr>
            <w:tcW w:w="972" w:type="dxa"/>
            <w:vAlign w:val="center"/>
            <w:textDirection w:val="lrTb"/>
            <w:noWrap w:val="false"/>
          </w:tcPr>
          <w:p>
            <w:pPr>
              <w:tabs>
                <w:tab w:val="left" w:pos="1080" w:leader="none"/>
              </w:tabs>
              <w:rPr>
                <w:sz w:val="24"/>
              </w:rPr>
            </w:pPr>
            <w:r>
              <w:rPr>
                <w:sz w:val="24"/>
              </w:rPr>
              <w:t xml:space="preserve">格式见《响应文件格式》</w:t>
            </w:r>
            <w:r/>
          </w:p>
        </w:tc>
      </w:tr>
      <w:tr>
        <w:trPr>
          <w:cantSplit/>
          <w:trHeight w:val="1122"/>
        </w:trPr>
        <w:tc>
          <w:tcPr>
            <w:tcW w:w="375" w:type="dxa"/>
            <w:vAlign w:val="center"/>
            <w:textDirection w:val="lrTb"/>
            <w:noWrap w:val="false"/>
          </w:tcPr>
          <w:p>
            <w:pPr>
              <w:jc w:val="center"/>
              <w:tabs>
                <w:tab w:val="left" w:pos="1080" w:leader="none"/>
              </w:tabs>
              <w:rPr>
                <w:sz w:val="24"/>
              </w:rPr>
            </w:pPr>
            <w:r>
              <w:rPr>
                <w:sz w:val="24"/>
              </w:rPr>
              <w:t xml:space="preserve">3</w:t>
            </w:r>
            <w:r/>
          </w:p>
        </w:tc>
        <w:tc>
          <w:tcPr>
            <w:tcW w:w="1014" w:type="dxa"/>
            <w:vAlign w:val="center"/>
            <w:textDirection w:val="lrTb"/>
            <w:noWrap w:val="false"/>
          </w:tcPr>
          <w:p>
            <w:pPr>
              <w:tabs>
                <w:tab w:val="left" w:pos="1080" w:leader="none"/>
              </w:tabs>
              <w:rPr>
                <w:sz w:val="24"/>
              </w:rPr>
            </w:pPr>
            <w:r>
              <w:rPr>
                <w:sz w:val="24"/>
              </w:rPr>
              <w:t xml:space="preserve">本项目的特定资格要求</w:t>
            </w:r>
            <w:r/>
          </w:p>
        </w:tc>
        <w:tc>
          <w:tcPr>
            <w:tcW w:w="2636" w:type="dxa"/>
            <w:vAlign w:val="center"/>
            <w:textDirection w:val="lrTb"/>
            <w:noWrap w:val="false"/>
          </w:tcPr>
          <w:p>
            <w:pPr>
              <w:tabs>
                <w:tab w:val="left" w:pos="1080" w:leader="none"/>
              </w:tabs>
              <w:rPr>
                <w:sz w:val="24"/>
              </w:rPr>
            </w:pPr>
            <w:r>
              <w:rPr>
                <w:sz w:val="24"/>
              </w:rPr>
              <w:t xml:space="preserve">如有，见第一章《采购邀请》</w:t>
            </w:r>
            <w:r/>
          </w:p>
        </w:tc>
        <w:tc>
          <w:tcPr>
            <w:tcW w:w="972" w:type="dxa"/>
            <w:vAlign w:val="center"/>
            <w:textDirection w:val="lrTb"/>
            <w:noWrap w:val="false"/>
          </w:tcPr>
          <w:p>
            <w:pPr>
              <w:tabs>
                <w:tab w:val="left" w:pos="1080" w:leader="none"/>
              </w:tabs>
              <w:rPr>
                <w:sz w:val="24"/>
              </w:rPr>
            </w:pPr>
            <w:r>
              <w:rPr>
                <w:sz w:val="24"/>
              </w:rPr>
            </w:r>
            <w:r/>
          </w:p>
        </w:tc>
      </w:tr>
      <w:tr>
        <w:trPr>
          <w:cantSplit/>
          <w:trHeight w:val="20"/>
        </w:trPr>
        <w:tc>
          <w:tcPr>
            <w:tcW w:w="375" w:type="dxa"/>
            <w:vAlign w:val="center"/>
            <w:textDirection w:val="lrTb"/>
            <w:noWrap w:val="false"/>
          </w:tcPr>
          <w:p>
            <w:pPr>
              <w:jc w:val="center"/>
              <w:tabs>
                <w:tab w:val="left" w:pos="1080" w:leader="none"/>
              </w:tabs>
              <w:rPr>
                <w:rFonts w:hint="eastAsia" w:eastAsia="宋体"/>
                <w:sz w:val="24"/>
                <w:lang w:val="en-US" w:eastAsia="zh-CN"/>
              </w:rPr>
            </w:pPr>
            <w:r>
              <w:rPr>
                <w:sz w:val="24"/>
              </w:rPr>
              <w:t xml:space="preserve">3-</w:t>
            </w:r>
            <w:r>
              <w:rPr>
                <w:rFonts w:hint="eastAsia"/>
                <w:sz w:val="24"/>
                <w:lang w:val="en-US" w:eastAsia="zh-CN"/>
              </w:rPr>
              <w:t xml:space="preserve">1</w:t>
            </w:r>
            <w:r/>
          </w:p>
        </w:tc>
        <w:tc>
          <w:tcPr>
            <w:tcW w:w="1014" w:type="dxa"/>
            <w:vAlign w:val="center"/>
            <w:textDirection w:val="lrTb"/>
            <w:noWrap w:val="false"/>
          </w:tcPr>
          <w:p>
            <w:pPr>
              <w:tabs>
                <w:tab w:val="left" w:pos="1080" w:leader="none"/>
              </w:tabs>
              <w:rPr>
                <w:sz w:val="24"/>
              </w:rPr>
            </w:pPr>
            <w:r>
              <w:rPr>
                <w:sz w:val="24"/>
              </w:rPr>
              <w:t xml:space="preserve">其他特定资格要求</w:t>
            </w:r>
            <w:r/>
          </w:p>
        </w:tc>
        <w:tc>
          <w:tcPr>
            <w:tcW w:w="2636" w:type="dxa"/>
            <w:vAlign w:val="center"/>
            <w:textDirection w:val="lrTb"/>
            <w:noWrap w:val="false"/>
          </w:tcPr>
          <w:p>
            <w:pPr>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val="0"/>
                <w:bCs w:val="0"/>
                <w:color w:val="auto"/>
                <w:sz w:val="24"/>
                <w:szCs w:val="24"/>
                <w:highlight w:val="none"/>
                <w:lang w:eastAsia="zh-CN"/>
              </w:rPr>
            </w:pPr>
            <w:r>
              <w:rPr>
                <w:rFonts w:hint="eastAsia" w:ascii="Times New Roman" w:hAnsi="Times New Roman" w:eastAsia="宋体" w:cs="Times New Roman"/>
                <w:b w:val="0"/>
                <w:bCs w:val="0"/>
                <w:color w:val="auto"/>
                <w:sz w:val="24"/>
                <w:szCs w:val="24"/>
                <w:highlight w:val="none"/>
              </w:rPr>
              <w:t xml:space="preserve">（</w:t>
            </w:r>
            <w:r>
              <w:rPr>
                <w:rFonts w:hint="eastAsia" w:ascii="Times New Roman" w:hAnsi="Times New Roman" w:eastAsia="宋体" w:cs="Times New Roman"/>
                <w:b w:val="0"/>
                <w:bCs w:val="0"/>
                <w:color w:val="auto"/>
                <w:sz w:val="24"/>
                <w:szCs w:val="24"/>
                <w:highlight w:val="none"/>
                <w:lang w:val="en-US" w:eastAsia="zh-CN"/>
              </w:rPr>
              <w:t xml:space="preserve">1</w:t>
            </w:r>
            <w:r>
              <w:rPr>
                <w:rFonts w:hint="eastAsia" w:ascii="Times New Roman" w:hAnsi="Times New Roman" w:eastAsia="宋体" w:cs="Times New Roman"/>
                <w:b w:val="0"/>
                <w:bCs w:val="0"/>
                <w:color w:val="auto"/>
                <w:sz w:val="24"/>
                <w:szCs w:val="24"/>
                <w:highlight w:val="none"/>
              </w:rPr>
              <w:t xml:space="preserve">）供应商须</w:t>
            </w:r>
            <w:r>
              <w:rPr>
                <w:rFonts w:hint="eastAsia" w:ascii="宋体" w:hAnsi="宋体"/>
                <w:color w:val="auto"/>
                <w:sz w:val="24"/>
                <w:highlight w:val="none"/>
              </w:rPr>
              <w:t xml:space="preserve">具备</w:t>
            </w:r>
            <w:r>
              <w:rPr>
                <w:rFonts w:hint="eastAsia" w:ascii="Times New Roman" w:hAnsi="Times New Roman" w:eastAsia="宋体" w:cs="Times New Roman"/>
                <w:b w:val="0"/>
                <w:bCs w:val="0"/>
                <w:color w:val="auto"/>
                <w:sz w:val="24"/>
                <w:szCs w:val="24"/>
                <w:highlight w:val="none"/>
              </w:rPr>
              <w:t xml:space="preserve">有效的</w:t>
            </w:r>
            <w:r>
              <w:rPr>
                <w:rFonts w:hint="eastAsia" w:ascii="宋体" w:hAnsi="宋体"/>
                <w:color w:val="auto"/>
                <w:sz w:val="24"/>
                <w:highlight w:val="none"/>
              </w:rPr>
              <w:t xml:space="preserve">建筑工程施工总承包三级及以上资质</w:t>
            </w:r>
            <w:r>
              <w:rPr>
                <w:rFonts w:hint="eastAsia" w:ascii="Times New Roman" w:hAnsi="Times New Roman" w:eastAsia="宋体" w:cs="Times New Roman"/>
                <w:b w:val="0"/>
                <w:bCs w:val="0"/>
                <w:color w:val="auto"/>
                <w:sz w:val="24"/>
                <w:szCs w:val="24"/>
                <w:highlight w:val="none"/>
              </w:rPr>
              <w:t xml:space="preserve">；同时具备有效的安全生产许可证；</w:t>
            </w:r>
            <w:r/>
          </w:p>
          <w:p>
            <w:pPr>
              <w:tabs>
                <w:tab w:val="left" w:pos="1080" w:leader="none"/>
              </w:tabs>
              <w:rPr>
                <w:sz w:val="24"/>
              </w:rPr>
            </w:pPr>
            <w:r>
              <w:rPr>
                <w:rFonts w:hint="eastAsia" w:ascii="Times New Roman" w:hAnsi="Times New Roman" w:eastAsia="宋体" w:cs="Times New Roman"/>
                <w:b w:val="0"/>
                <w:bCs w:val="0"/>
                <w:color w:val="auto"/>
                <w:sz w:val="24"/>
                <w:szCs w:val="24"/>
                <w:highlight w:val="none"/>
              </w:rPr>
              <w:t xml:space="preserve">（</w:t>
            </w:r>
            <w:r>
              <w:rPr>
                <w:rFonts w:hint="eastAsia" w:cs="Times New Roman"/>
                <w:b w:val="0"/>
                <w:bCs w:val="0"/>
                <w:color w:val="auto"/>
                <w:sz w:val="24"/>
                <w:szCs w:val="24"/>
                <w:highlight w:val="none"/>
                <w:lang w:val="en-US" w:eastAsia="zh-CN"/>
              </w:rPr>
              <w:t xml:space="preserve">2</w:t>
            </w:r>
            <w:r>
              <w:rPr>
                <w:rFonts w:hint="eastAsia" w:ascii="Times New Roman" w:hAnsi="Times New Roman" w:eastAsia="宋体" w:cs="Times New Roman"/>
                <w:b w:val="0"/>
                <w:bCs w:val="0"/>
                <w:color w:val="auto"/>
                <w:sz w:val="24"/>
                <w:szCs w:val="24"/>
                <w:highlight w:val="none"/>
              </w:rPr>
              <w:t xml:space="preserve">）</w:t>
            </w:r>
            <w:r>
              <w:rPr>
                <w:rFonts w:hint="eastAsia" w:ascii="宋体" w:hAnsi="宋体"/>
                <w:bCs/>
                <w:color w:val="auto"/>
                <w:sz w:val="24"/>
                <w:highlight w:val="none"/>
                <w:lang w:val="en"/>
              </w:rPr>
              <w:t xml:space="preserve">拟派项目负责人具有</w:t>
            </w:r>
            <w:r>
              <w:rPr>
                <w:rFonts w:hint="eastAsia" w:ascii="宋体" w:hAnsi="宋体"/>
                <w:color w:val="auto"/>
                <w:sz w:val="24"/>
                <w:highlight w:val="none"/>
              </w:rPr>
              <w:t xml:space="preserve">建筑工程专业二级及以上注册建造师资格</w:t>
            </w:r>
            <w:r>
              <w:rPr>
                <w:rFonts w:hint="eastAsia" w:ascii="宋体" w:hAnsi="宋体"/>
                <w:color w:val="auto"/>
                <w:sz w:val="24"/>
                <w:highlight w:val="none"/>
                <w:lang w:val="en"/>
              </w:rPr>
              <w:t xml:space="preserve">，</w:t>
            </w:r>
            <w:r>
              <w:rPr>
                <w:rFonts w:hint="eastAsia" w:ascii="宋体" w:hAnsi="宋体"/>
                <w:bCs/>
                <w:color w:val="auto"/>
                <w:sz w:val="24"/>
                <w:highlight w:val="none"/>
                <w:lang w:val="en"/>
              </w:rPr>
              <w:t xml:space="preserve">同时具有建设行政主管部门颁发的安全生产考核合格证（</w:t>
            </w:r>
            <w:r>
              <w:rPr>
                <w:rFonts w:ascii="宋体" w:hAnsi="宋体"/>
                <w:bCs/>
                <w:color w:val="auto"/>
                <w:sz w:val="24"/>
                <w:highlight w:val="none"/>
                <w:lang w:val="en"/>
              </w:rPr>
              <w:t xml:space="preserve">B</w:t>
            </w:r>
            <w:r>
              <w:rPr>
                <w:rFonts w:hint="eastAsia" w:ascii="宋体" w:hAnsi="宋体"/>
                <w:bCs/>
                <w:color w:val="auto"/>
                <w:sz w:val="24"/>
                <w:highlight w:val="none"/>
                <w:lang w:val="en"/>
              </w:rPr>
              <w:t xml:space="preserve">证）。并提供供应商为项目负责人缴纳202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lang w:val="en"/>
              </w:rPr>
              <w:t xml:space="preserve">年</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lang w:val="en"/>
              </w:rPr>
              <w:t xml:space="preserve">月至202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lang w:val="en"/>
              </w:rPr>
              <w:t xml:space="preserve">年</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
              </w:rPr>
              <w:t xml:space="preserve">月社会基本养老保险的参保缴费证明（加盖社保部门签章或电子签章）</w:t>
            </w:r>
            <w:r>
              <w:rPr>
                <w:color w:val="auto"/>
                <w:sz w:val="24"/>
              </w:rPr>
              <w:t xml:space="preserve">。</w:t>
            </w:r>
            <w:r/>
          </w:p>
        </w:tc>
        <w:tc>
          <w:tcPr>
            <w:tcW w:w="972" w:type="dxa"/>
            <w:vAlign w:val="center"/>
            <w:textDirection w:val="lrTb"/>
            <w:noWrap w:val="false"/>
          </w:tcPr>
          <w:p>
            <w:pPr>
              <w:tabs>
                <w:tab w:val="left" w:pos="1080" w:leader="none"/>
              </w:tabs>
              <w:rPr>
                <w:sz w:val="24"/>
              </w:rPr>
            </w:pPr>
            <w:r>
              <w:rPr>
                <w:sz w:val="24"/>
              </w:rPr>
              <w:t xml:space="preserve">提供</w:t>
            </w:r>
            <w:r>
              <w:rPr>
                <w:rFonts w:hint="eastAsia"/>
                <w:sz w:val="24"/>
                <w:highlight w:val="none"/>
              </w:rPr>
              <w:t xml:space="preserve">相应证书、社保证明材料，并加盖供应商公章</w:t>
            </w:r>
            <w:r/>
          </w:p>
        </w:tc>
      </w:tr>
    </w:tbl>
    <w:p>
      <w:pPr>
        <w:jc w:val="left"/>
        <w:widowControl/>
        <w:rPr>
          <w:sz w:val="24"/>
        </w:rPr>
      </w:pPr>
      <w:r>
        <w:rPr>
          <w:sz w:val="24"/>
        </w:rPr>
        <w:br w:type="page" w:clear="all"/>
      </w:r>
      <w:r/>
    </w:p>
    <w:p>
      <w:pPr>
        <w:numPr>
          <w:ilvl w:val="1"/>
          <w:numId w:val="12"/>
        </w:numPr>
        <w:ind w:left="1077" w:hanging="720"/>
        <w:spacing w:line="360" w:lineRule="auto"/>
        <w:tabs>
          <w:tab w:val="left" w:pos="1080" w:leader="none"/>
        </w:tabs>
        <w:rPr>
          <w:sz w:val="24"/>
        </w:rPr>
      </w:pPr>
      <w:r>
        <w:rPr>
          <w:sz w:val="24"/>
        </w:rPr>
        <w:t xml:space="preserve">《符合性审查要求》见下表：</w:t>
      </w:r>
      <w:r/>
    </w:p>
    <w:p>
      <w:pPr>
        <w:jc w:val="center"/>
        <w:spacing w:line="360" w:lineRule="auto"/>
        <w:widowControl/>
        <w:rPr>
          <w:b/>
          <w:color w:val="000000"/>
          <w:sz w:val="24"/>
        </w:rPr>
      </w:pPr>
      <w:r>
        <w:rPr>
          <w:b/>
          <w:color w:val="000000"/>
          <w:sz w:val="24"/>
        </w:rPr>
        <w:t xml:space="preserve">符合性审查要求</w:t>
      </w:r>
      <w:r/>
    </w:p>
    <w:tbl>
      <w:tblPr>
        <w:tblStyle w:val="100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825"/>
        <w:gridCol w:w="6776"/>
      </w:tblGrid>
      <w:tr>
        <w:trPr>
          <w:jc w:val="center"/>
          <w:trHeight w:val="300"/>
        </w:trPr>
        <w:tc>
          <w:tcPr>
            <w:tcW w:w="403" w:type="dxa"/>
            <w:vAlign w:val="center"/>
            <w:textDirection w:val="lrTb"/>
            <w:noWrap w:val="false"/>
          </w:tcPr>
          <w:p>
            <w:pPr>
              <w:jc w:val="center"/>
              <w:widowControl/>
              <w:rPr>
                <w:b/>
                <w:color w:val="000000"/>
                <w:sz w:val="24"/>
              </w:rPr>
            </w:pPr>
            <w:r>
              <w:rPr>
                <w:b/>
                <w:color w:val="000000"/>
                <w:sz w:val="24"/>
              </w:rPr>
              <w:t xml:space="preserve">序号</w:t>
            </w:r>
            <w:r/>
          </w:p>
        </w:tc>
        <w:tc>
          <w:tcPr>
            <w:tcW w:w="975" w:type="dxa"/>
            <w:vAlign w:val="center"/>
            <w:textDirection w:val="lrTb"/>
            <w:noWrap w:val="false"/>
          </w:tcPr>
          <w:p>
            <w:pPr>
              <w:jc w:val="center"/>
              <w:widowControl/>
              <w:rPr>
                <w:b/>
                <w:color w:val="000000"/>
                <w:sz w:val="24"/>
              </w:rPr>
            </w:pPr>
            <w:r>
              <w:rPr>
                <w:b/>
                <w:color w:val="000000"/>
                <w:sz w:val="24"/>
              </w:rPr>
              <w:t xml:space="preserve">审查因素</w:t>
            </w:r>
            <w:r/>
          </w:p>
        </w:tc>
        <w:tc>
          <w:tcPr>
            <w:tcW w:w="3620" w:type="dxa"/>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1</w:t>
            </w:r>
            <w:r/>
          </w:p>
        </w:tc>
        <w:tc>
          <w:tcPr>
            <w:tcW w:w="975" w:type="dxa"/>
            <w:vAlign w:val="center"/>
            <w:textDirection w:val="lrTb"/>
            <w:noWrap w:val="false"/>
          </w:tcPr>
          <w:p>
            <w:pPr>
              <w:jc w:val="left"/>
              <w:widowControl/>
              <w:rPr>
                <w:color w:val="000000"/>
                <w:sz w:val="24"/>
              </w:rPr>
            </w:pPr>
            <w:r>
              <w:rPr>
                <w:rFonts w:hint="eastAsia"/>
                <w:color w:val="000000"/>
                <w:sz w:val="24"/>
              </w:rPr>
              <w:t xml:space="preserve">响应函、法定代表人资格证明书或授权委托书和政府采购供应商信用承诺书</w:t>
            </w:r>
            <w:r/>
          </w:p>
        </w:tc>
        <w:tc>
          <w:tcPr>
            <w:tcW w:w="3620" w:type="dxa"/>
            <w:vAlign w:val="center"/>
            <w:textDirection w:val="lrTb"/>
            <w:noWrap w:val="false"/>
          </w:tcPr>
          <w:p>
            <w:pPr>
              <w:jc w:val="left"/>
              <w:widowControl/>
              <w:rPr>
                <w:color w:val="000000"/>
                <w:sz w:val="24"/>
              </w:rPr>
            </w:pPr>
            <w:r>
              <w:rPr>
                <w:color w:val="000000"/>
                <w:sz w:val="24"/>
              </w:rPr>
              <w:t xml:space="preserve">按磋商文件要求提供</w:t>
            </w:r>
            <w:r>
              <w:rPr>
                <w:rFonts w:hint="eastAsia"/>
                <w:color w:val="000000"/>
                <w:sz w:val="24"/>
              </w:rPr>
              <w:t xml:space="preserve">响应函、法定代表人资格证明书或授权委托书和政府采购供应商信用承诺书</w:t>
            </w:r>
            <w:r>
              <w:rPr>
                <w:color w:val="000000"/>
                <w:sz w:val="24"/>
              </w:rPr>
              <w:t xml:space="preserve">；</w:t>
            </w:r>
            <w:r/>
          </w:p>
        </w:tc>
      </w:tr>
      <w:tr>
        <w:trPr>
          <w:jc w:val="center"/>
          <w:trHeight w:val="667"/>
        </w:trPr>
        <w:tc>
          <w:tcPr>
            <w:tcW w:w="403" w:type="dxa"/>
            <w:vAlign w:val="center"/>
            <w:textDirection w:val="lrTb"/>
            <w:noWrap w:val="false"/>
          </w:tcPr>
          <w:p>
            <w:pPr>
              <w:jc w:val="center"/>
              <w:widowControl/>
              <w:rPr>
                <w:color w:val="000000"/>
                <w:sz w:val="24"/>
              </w:rPr>
            </w:pPr>
            <w:r>
              <w:rPr>
                <w:color w:val="000000"/>
                <w:sz w:val="24"/>
              </w:rPr>
              <w:t xml:space="preserve">2</w:t>
            </w:r>
            <w:r/>
          </w:p>
        </w:tc>
        <w:tc>
          <w:tcPr>
            <w:tcW w:w="975" w:type="dxa"/>
            <w:vAlign w:val="center"/>
            <w:textDirection w:val="lrTb"/>
            <w:noWrap w:val="false"/>
          </w:tcPr>
          <w:p>
            <w:pPr>
              <w:jc w:val="left"/>
              <w:widowControl/>
              <w:rPr>
                <w:color w:val="000000"/>
                <w:sz w:val="24"/>
              </w:rPr>
            </w:pPr>
            <w:r>
              <w:rPr>
                <w:color w:val="000000"/>
                <w:sz w:val="24"/>
              </w:rPr>
              <w:t xml:space="preserve">响应完整性</w:t>
            </w:r>
            <w:r/>
          </w:p>
        </w:tc>
        <w:tc>
          <w:tcPr>
            <w:tcW w:w="3620" w:type="dxa"/>
            <w:vAlign w:val="center"/>
            <w:textDirection w:val="lrTb"/>
            <w:noWrap w:val="false"/>
          </w:tcPr>
          <w:p>
            <w:pPr>
              <w:jc w:val="left"/>
              <w:widowControl/>
              <w:rPr>
                <w:color w:val="auto"/>
                <w:sz w:val="24"/>
              </w:rPr>
            </w:pPr>
            <w:r>
              <w:rPr>
                <w:rFonts w:hint="eastAsia"/>
                <w:color w:val="auto"/>
                <w:sz w:val="24"/>
              </w:rPr>
              <w:t xml:space="preserve">未</w:t>
            </w:r>
            <w:r>
              <w:rPr>
                <w:color w:val="auto"/>
                <w:sz w:val="24"/>
              </w:rPr>
              <w:t xml:space="preserve">将一个采购包中的内容拆开响应；</w:t>
            </w:r>
            <w:r/>
          </w:p>
        </w:tc>
      </w:tr>
      <w:tr>
        <w:trPr>
          <w:jc w:val="center"/>
          <w:trHeight w:val="775"/>
        </w:trPr>
        <w:tc>
          <w:tcPr>
            <w:tcW w:w="403" w:type="dxa"/>
            <w:vAlign w:val="center"/>
            <w:textDirection w:val="lrTb"/>
            <w:noWrap w:val="false"/>
          </w:tcPr>
          <w:p>
            <w:pPr>
              <w:jc w:val="center"/>
              <w:widowControl/>
              <w:rPr>
                <w:color w:val="000000"/>
                <w:sz w:val="24"/>
              </w:rPr>
            </w:pPr>
            <w:r>
              <w:rPr>
                <w:color w:val="000000"/>
                <w:sz w:val="24"/>
              </w:rPr>
              <w:t xml:space="preserve">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响应报价</w:t>
            </w:r>
            <w:r/>
          </w:p>
        </w:tc>
        <w:tc>
          <w:tcPr>
            <w:tcW w:w="3620" w:type="dxa"/>
            <w:vAlign w:val="center"/>
            <w:textDirection w:val="lrTb"/>
            <w:noWrap w:val="false"/>
          </w:tcPr>
          <w:p>
            <w:pPr>
              <w:numPr>
                <w:ilvl w:val="0"/>
                <w:numId w:val="13"/>
              </w:numPr>
              <w:jc w:val="left"/>
              <w:widowControl/>
              <w:rPr>
                <w:rFonts w:hint="eastAsia"/>
                <w:b/>
                <w:bCs/>
                <w:color w:val="000000"/>
                <w:sz w:val="24"/>
                <w:lang w:val="en-US" w:eastAsia="zh-CN"/>
              </w:rPr>
            </w:pPr>
            <w:r>
              <w:rPr>
                <w:rFonts w:hint="eastAsia"/>
                <w:b/>
                <w:bCs/>
                <w:color w:val="000000"/>
                <w:sz w:val="24"/>
                <w:lang w:val="en-US" w:eastAsia="zh-CN"/>
              </w:rPr>
              <w:t xml:space="preserve">响应报价未超过磋商文件中规定的项目/采购包预算金额或者项目/采购包最高限价；</w:t>
            </w:r>
            <w:r/>
          </w:p>
          <w:p>
            <w:pPr>
              <w:numPr>
                <w:ilvl w:val="0"/>
                <w:numId w:val="13"/>
              </w:numPr>
              <w:ind w:left="0" w:firstLine="0"/>
              <w:jc w:val="left"/>
              <w:widowControl/>
              <w:rPr>
                <w:rFonts w:hint="eastAsia"/>
                <w:b/>
                <w:bCs/>
                <w:color w:val="000000"/>
                <w:sz w:val="24"/>
                <w:lang w:val="en-US" w:eastAsia="zh-CN"/>
              </w:rPr>
            </w:pPr>
            <w:r>
              <w:rPr>
                <w:rFonts w:hint="eastAsia"/>
                <w:b/>
                <w:bCs/>
                <w:color w:val="000000"/>
                <w:sz w:val="24"/>
                <w:lang w:val="en-US" w:eastAsia="zh-CN"/>
              </w:rPr>
              <w:t xml:space="preserve">响应报价中分部分项综合单价未超过招标人设定的最高投标限价中的分部分项综合单价的；</w:t>
            </w:r>
            <w:r/>
          </w:p>
          <w:p>
            <w:pPr>
              <w:numPr>
                <w:ilvl w:val="0"/>
                <w:numId w:val="13"/>
              </w:numPr>
              <w:ind w:left="0" w:firstLine="0"/>
              <w:jc w:val="left"/>
              <w:widowControl/>
              <w:rPr>
                <w:rFonts w:hint="eastAsia"/>
                <w:b/>
                <w:bCs/>
                <w:color w:val="000000"/>
                <w:sz w:val="24"/>
                <w:lang w:val="en-US" w:eastAsia="zh-CN"/>
              </w:rPr>
            </w:pPr>
            <w:r>
              <w:rPr>
                <w:rFonts w:hint="eastAsia"/>
                <w:b/>
                <w:bCs/>
                <w:color w:val="000000"/>
                <w:sz w:val="24"/>
                <w:lang w:val="en-US" w:eastAsia="zh-CN"/>
              </w:rPr>
              <w:t xml:space="preserve">响应文件中已标价工程量清单与磋商文件规定的暂估价、暂列金额及甲供材料价格一致；</w:t>
            </w:r>
            <w:r/>
          </w:p>
          <w:p>
            <w:pPr>
              <w:numPr>
                <w:ilvl w:val="0"/>
                <w:numId w:val="13"/>
              </w:numPr>
              <w:ind w:left="0" w:firstLine="0"/>
              <w:jc w:val="left"/>
              <w:widowControl/>
              <w:rPr>
                <w:rFonts w:hint="eastAsia"/>
                <w:b/>
                <w:bCs/>
                <w:color w:val="000000"/>
                <w:sz w:val="24"/>
                <w:lang w:val="en-US" w:eastAsia="zh-CN"/>
              </w:rPr>
            </w:pPr>
            <w:r>
              <w:rPr>
                <w:rFonts w:hint="eastAsia"/>
                <w:b/>
                <w:bCs/>
                <w:color w:val="000000"/>
                <w:sz w:val="24"/>
                <w:lang w:val="en-US" w:eastAsia="zh-CN"/>
              </w:rPr>
              <w:t xml:space="preserve">响应文件中已标价工程量清单与磋商文件明确列出的不可竞争费用项目或费率或计算基础一致；</w:t>
            </w:r>
            <w:r/>
          </w:p>
          <w:p>
            <w:pPr>
              <w:numPr>
                <w:numId w:val="0"/>
              </w:numPr>
              <w:jc w:val="left"/>
              <w:widowControl/>
              <w:rPr>
                <w:rFonts w:hint="default"/>
                <w:color w:val="auto"/>
                <w:sz w:val="24"/>
                <w:lang w:val="en-US" w:eastAsia="zh-CN"/>
              </w:rPr>
            </w:pPr>
            <w:r>
              <w:rPr>
                <w:rFonts w:hint="eastAsia"/>
                <w:b/>
                <w:bCs/>
                <w:color w:val="000000"/>
                <w:sz w:val="24"/>
                <w:lang w:val="en-US" w:eastAsia="zh-CN"/>
              </w:rPr>
              <w:t xml:space="preserve">5.响应文件的已标价工程量清单与磋商文件提供的工程量清单中的项目编码、项目名称、项目特征、计量单位、工程量一致。</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4</w:t>
            </w:r>
            <w:r/>
          </w:p>
        </w:tc>
        <w:tc>
          <w:tcPr>
            <w:tcW w:w="975" w:type="dxa"/>
            <w:vAlign w:val="center"/>
            <w:textDirection w:val="lrTb"/>
            <w:noWrap w:val="false"/>
          </w:tcPr>
          <w:p>
            <w:pPr>
              <w:jc w:val="left"/>
              <w:widowControl/>
              <w:rPr>
                <w:color w:val="000000"/>
                <w:sz w:val="24"/>
              </w:rPr>
            </w:pPr>
            <w:r>
              <w:rPr>
                <w:color w:val="000000"/>
                <w:sz w:val="24"/>
              </w:rPr>
              <w:t xml:space="preserve">报价唯一性</w:t>
            </w:r>
            <w:r/>
          </w:p>
        </w:tc>
        <w:tc>
          <w:tcPr>
            <w:tcW w:w="3620" w:type="dxa"/>
            <w:vAlign w:val="center"/>
            <w:textDirection w:val="lrTb"/>
            <w:noWrap w:val="false"/>
          </w:tcPr>
          <w:p>
            <w:pPr>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5</w:t>
            </w:r>
            <w:r/>
          </w:p>
        </w:tc>
        <w:tc>
          <w:tcPr>
            <w:tcW w:w="975" w:type="dxa"/>
            <w:vAlign w:val="center"/>
            <w:textDirection w:val="lrTb"/>
            <w:noWrap w:val="false"/>
          </w:tcPr>
          <w:p>
            <w:pPr>
              <w:jc w:val="left"/>
              <w:widowControl/>
              <w:rPr>
                <w:color w:val="000000"/>
                <w:sz w:val="24"/>
              </w:rPr>
            </w:pPr>
            <w:r>
              <w:rPr>
                <w:color w:val="000000"/>
                <w:sz w:val="24"/>
              </w:rPr>
              <w:t xml:space="preserve">响应有效期</w:t>
            </w:r>
            <w:r/>
          </w:p>
        </w:tc>
        <w:tc>
          <w:tcPr>
            <w:tcW w:w="3620" w:type="dxa"/>
            <w:vAlign w:val="center"/>
            <w:textDirection w:val="lrTb"/>
            <w:noWrap w:val="false"/>
          </w:tcPr>
          <w:p>
            <w:pPr>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6</w:t>
            </w:r>
            <w:r/>
          </w:p>
        </w:tc>
        <w:tc>
          <w:tcPr>
            <w:tcW w:w="975" w:type="dxa"/>
            <w:vAlign w:val="center"/>
            <w:textDirection w:val="lrTb"/>
            <w:noWrap w:val="false"/>
          </w:tcPr>
          <w:p>
            <w:pPr>
              <w:jc w:val="left"/>
              <w:widowControl/>
              <w:rPr>
                <w:color w:val="000000"/>
                <w:sz w:val="24"/>
              </w:rPr>
            </w:pPr>
            <w:r>
              <w:rPr>
                <w:color w:val="000000"/>
                <w:sz w:val="24"/>
              </w:rPr>
              <w:t xml:space="preserve">签署、加盖公章</w:t>
            </w:r>
            <w:r/>
          </w:p>
        </w:tc>
        <w:tc>
          <w:tcPr>
            <w:tcW w:w="3620" w:type="dxa"/>
            <w:vAlign w:val="center"/>
            <w:textDirection w:val="lrTb"/>
            <w:noWrap w:val="false"/>
          </w:tcPr>
          <w:p>
            <w:pPr>
              <w:jc w:val="left"/>
              <w:widowControl/>
              <w:rPr>
                <w:color w:val="000000"/>
                <w:sz w:val="24"/>
              </w:rPr>
            </w:pPr>
            <w:r>
              <w:rPr>
                <w:color w:val="000000"/>
                <w:sz w:val="24"/>
              </w:rPr>
              <w:t xml:space="preserve">按照磋商文件要求签署、加盖公章的；</w:t>
            </w:r>
            <w:r/>
          </w:p>
        </w:tc>
      </w:tr>
      <w:tr>
        <w:trPr>
          <w:jc w:val="center"/>
          <w:trHeight w:val="685"/>
        </w:trPr>
        <w:tc>
          <w:tcPr>
            <w:tcW w:w="403" w:type="dxa"/>
            <w:vAlign w:val="center"/>
            <w:textDirection w:val="lrTb"/>
            <w:noWrap w:val="false"/>
          </w:tcPr>
          <w:p>
            <w:pPr>
              <w:jc w:val="center"/>
              <w:widowControl/>
              <w:rPr>
                <w:color w:val="000000"/>
                <w:sz w:val="24"/>
              </w:rPr>
            </w:pPr>
            <w:r>
              <w:rPr>
                <w:rFonts w:hint="eastAsia"/>
                <w:color w:val="000000"/>
                <w:sz w:val="24"/>
              </w:rPr>
              <w:t xml:space="preserve">7</w:t>
            </w:r>
            <w:r/>
          </w:p>
        </w:tc>
        <w:tc>
          <w:tcPr>
            <w:tcW w:w="975" w:type="dxa"/>
            <w:vAlign w:val="center"/>
            <w:textDirection w:val="lrTb"/>
            <w:noWrap w:val="false"/>
          </w:tcPr>
          <w:p>
            <w:pPr>
              <w:jc w:val="left"/>
              <w:widowControl/>
              <w:rPr>
                <w:color w:val="000000"/>
                <w:sz w:val="24"/>
              </w:rPr>
            </w:pPr>
            <w:r>
              <w:rPr>
                <w:rFonts w:hint="eastAsia"/>
                <w:color w:val="000000"/>
                <w:sz w:val="24"/>
              </w:rPr>
              <w:t xml:space="preserve">实质性格式</w:t>
            </w:r>
            <w:r/>
          </w:p>
        </w:tc>
        <w:tc>
          <w:tcPr>
            <w:tcW w:w="3620" w:type="dxa"/>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8</w:t>
            </w:r>
            <w:r/>
          </w:p>
        </w:tc>
        <w:tc>
          <w:tcPr>
            <w:tcW w:w="975" w:type="dxa"/>
            <w:vAlign w:val="center"/>
            <w:textDirection w:val="lrTb"/>
            <w:noWrap w:val="false"/>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3620" w:type="dxa"/>
            <w:vAlign w:val="center"/>
            <w:textDirection w:val="lrTb"/>
            <w:noWrap w:val="false"/>
          </w:tcPr>
          <w:p>
            <w:pPr>
              <w:jc w:val="left"/>
              <w:widowControl/>
              <w:rPr>
                <w:color w:val="000000"/>
                <w:sz w:val="24"/>
              </w:rPr>
            </w:pPr>
            <w:r>
              <w:rPr>
                <w:color w:val="000000"/>
                <w:sz w:val="24"/>
              </w:rPr>
              <w:t xml:space="preserve">响应文件满足磋商文件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9</w:t>
            </w:r>
            <w:r/>
          </w:p>
        </w:tc>
        <w:tc>
          <w:tcPr>
            <w:tcW w:w="975" w:type="dxa"/>
            <w:vAlign w:val="center"/>
            <w:textDirection w:val="lrTb"/>
            <w:noWrap w:val="false"/>
          </w:tcPr>
          <w:p>
            <w:pPr>
              <w:jc w:val="left"/>
              <w:widowControl/>
              <w:rPr>
                <w:color w:val="000000"/>
                <w:sz w:val="24"/>
              </w:rPr>
            </w:pPr>
            <w:r>
              <w:rPr>
                <w:color w:val="000000"/>
                <w:sz w:val="24"/>
              </w:rPr>
              <w:t xml:space="preserve">分包承担主体资质（</w:t>
            </w:r>
            <w:r>
              <w:rPr>
                <w:rFonts w:hint="eastAsia"/>
                <w:color w:val="000000"/>
                <w:sz w:val="24"/>
              </w:rPr>
              <w:t xml:space="preserve">本项目不涉及</w:t>
            </w:r>
            <w:r>
              <w:rPr>
                <w:color w:val="000000"/>
                <w:sz w:val="24"/>
              </w:rPr>
              <w:t xml:space="preserve">）</w:t>
            </w:r>
            <w:r/>
          </w:p>
        </w:tc>
        <w:tc>
          <w:tcPr>
            <w:tcW w:w="3620" w:type="dxa"/>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10</w:t>
            </w:r>
            <w:r/>
          </w:p>
        </w:tc>
        <w:tc>
          <w:tcPr>
            <w:tcW w:w="975" w:type="dxa"/>
            <w:vAlign w:val="center"/>
            <w:textDirection w:val="lrTb"/>
            <w:noWrap w:val="false"/>
          </w:tcPr>
          <w:p>
            <w:pPr>
              <w:jc w:val="left"/>
              <w:widowControl/>
              <w:rPr>
                <w:color w:val="000000"/>
                <w:sz w:val="24"/>
              </w:rPr>
            </w:pPr>
            <w:r>
              <w:rPr>
                <w:color w:val="000000"/>
                <w:sz w:val="24"/>
              </w:rPr>
              <w:t xml:space="preserve">分包意向协议</w:t>
            </w:r>
            <w:r/>
          </w:p>
          <w:p>
            <w:pPr>
              <w:jc w:val="left"/>
              <w:widowControl/>
              <w:rPr>
                <w:color w:val="000000"/>
                <w:sz w:val="24"/>
              </w:rPr>
            </w:pPr>
            <w:r>
              <w:rPr>
                <w:color w:val="000000"/>
                <w:sz w:val="24"/>
              </w:rPr>
              <w:t xml:space="preserve">（</w:t>
            </w:r>
            <w:r>
              <w:rPr>
                <w:rFonts w:hint="eastAsia"/>
                <w:color w:val="000000"/>
                <w:sz w:val="24"/>
              </w:rPr>
              <w:t xml:space="preserve">本项目不涉及</w:t>
            </w:r>
            <w:r>
              <w:rPr>
                <w:color w:val="000000"/>
                <w:sz w:val="24"/>
              </w:rPr>
              <w:t xml:space="preserve">）</w:t>
            </w:r>
            <w:r/>
          </w:p>
        </w:tc>
        <w:tc>
          <w:tcPr>
            <w:tcW w:w="3620" w:type="dxa"/>
            <w:vAlign w:val="center"/>
            <w:textDirection w:val="lrTb"/>
            <w:noWrap w:val="false"/>
          </w:tcPr>
          <w:p>
            <w:pPr>
              <w:jc w:val="left"/>
              <w:widowControl/>
              <w:rPr>
                <w:color w:val="000000"/>
                <w:sz w:val="24"/>
              </w:rPr>
            </w:pPr>
            <w:r>
              <w:rPr>
                <w:color w:val="000000"/>
                <w:sz w:val="24"/>
              </w:rPr>
              <w:t xml:space="preserve">按磋商文件规定签订并提供分包意向协议原件的电子件的；</w:t>
            </w:r>
            <w:r>
              <w:rPr>
                <w:rFonts w:hint="eastAsia"/>
                <w:sz w:val="24"/>
              </w:rPr>
              <w:t xml:space="preserve">（如有）</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11</w:t>
            </w:r>
            <w:r/>
          </w:p>
        </w:tc>
        <w:tc>
          <w:tcPr>
            <w:tcW w:w="975" w:type="dxa"/>
            <w:vAlign w:val="center"/>
            <w:textDirection w:val="lrTb"/>
            <w:noWrap w:val="false"/>
          </w:tcPr>
          <w:p>
            <w:pPr>
              <w:jc w:val="left"/>
              <w:widowControl/>
              <w:rPr>
                <w:color w:val="000000"/>
                <w:sz w:val="24"/>
              </w:rPr>
            </w:pPr>
            <w:r>
              <w:rPr>
                <w:color w:val="000000"/>
                <w:sz w:val="24"/>
              </w:rPr>
              <w:t xml:space="preserve">报价的修正（如有）</w:t>
            </w:r>
            <w:r/>
          </w:p>
        </w:tc>
        <w:tc>
          <w:tcPr>
            <w:tcW w:w="3620" w:type="dxa"/>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p>
        </w:tc>
      </w:tr>
      <w:tr>
        <w:trPr>
          <w:jc w:val="center"/>
          <w:trHeight w:val="914"/>
        </w:trPr>
        <w:tc>
          <w:tcPr>
            <w:tcW w:w="403" w:type="dxa"/>
            <w:vAlign w:val="center"/>
            <w:textDirection w:val="lrTb"/>
            <w:noWrap w:val="false"/>
          </w:tcPr>
          <w:p>
            <w:pPr>
              <w:jc w:val="center"/>
              <w:widowControl/>
              <w:rPr>
                <w:color w:val="000000"/>
                <w:sz w:val="24"/>
              </w:rPr>
            </w:pPr>
            <w:r>
              <w:rPr>
                <w:color w:val="000000"/>
                <w:sz w:val="24"/>
              </w:rPr>
              <w:t xml:space="preserve">1</w:t>
            </w:r>
            <w:r>
              <w:rPr>
                <w:rFonts w:hint="eastAsia"/>
                <w:color w:val="000000"/>
                <w:sz w:val="24"/>
              </w:rPr>
              <w:t xml:space="preserve">2</w:t>
            </w:r>
            <w:r/>
          </w:p>
        </w:tc>
        <w:tc>
          <w:tcPr>
            <w:tcW w:w="975" w:type="dxa"/>
            <w:vAlign w:val="center"/>
            <w:textDirection w:val="lrTb"/>
            <w:noWrap w:val="false"/>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w:t>
            </w:r>
            <w:r>
              <w:rPr>
                <w:rFonts w:hint="eastAsia"/>
                <w:color w:val="000000"/>
                <w:sz w:val="24"/>
              </w:rPr>
              <w:t xml:space="preserve">本项目不涉及</w:t>
            </w:r>
            <w:r>
              <w:rPr>
                <w:color w:val="000000"/>
                <w:sz w:val="24"/>
              </w:rPr>
              <w:t xml:space="preserve">）</w:t>
            </w:r>
            <w:r/>
          </w:p>
        </w:tc>
        <w:tc>
          <w:tcPr>
            <w:tcW w:w="3620" w:type="dxa"/>
            <w:vAlign w:val="center"/>
            <w:textDirection w:val="lrTb"/>
            <w:noWrap w:val="false"/>
          </w:tcPr>
          <w:p>
            <w:pPr>
              <w:jc w:val="left"/>
              <w:widowControl/>
              <w:rPr>
                <w:color w:val="000000"/>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1</w:t>
            </w:r>
            <w:r>
              <w:rPr>
                <w:rFonts w:hint="eastAsia"/>
                <w:color w:val="000000"/>
                <w:sz w:val="24"/>
              </w:rPr>
              <w:t xml:space="preserve">3</w:t>
            </w:r>
            <w:r/>
          </w:p>
        </w:tc>
        <w:tc>
          <w:tcPr>
            <w:tcW w:w="975" w:type="dxa"/>
            <w:vAlign w:val="center"/>
            <w:textDirection w:val="lrTb"/>
            <w:noWrap w:val="false"/>
          </w:tcPr>
          <w:p>
            <w:pPr>
              <w:jc w:val="left"/>
              <w:widowControl/>
              <w:rPr>
                <w:color w:val="000000"/>
                <w:sz w:val="24"/>
              </w:rPr>
            </w:pPr>
            <w:r>
              <w:rPr>
                <w:color w:val="000000"/>
                <w:sz w:val="24"/>
              </w:rPr>
              <w:t xml:space="preserve">国家有关部门对供应商的响应产品有强制性规定或要求的（</w:t>
            </w:r>
            <w:r>
              <w:rPr>
                <w:rFonts w:hint="eastAsia"/>
                <w:color w:val="000000"/>
                <w:sz w:val="24"/>
              </w:rPr>
              <w:t xml:space="preserve">本项目不涉及</w:t>
            </w:r>
            <w:r>
              <w:rPr>
                <w:color w:val="000000"/>
                <w:sz w:val="24"/>
              </w:rPr>
              <w:t xml:space="preserve">）</w:t>
            </w:r>
            <w:r/>
          </w:p>
        </w:tc>
        <w:tc>
          <w:tcPr>
            <w:tcW w:w="3620" w:type="dxa"/>
            <w:vAlign w:val="center"/>
            <w:textDirection w:val="lrTb"/>
            <w:noWrap w:val="false"/>
          </w:tcPr>
          <w:p>
            <w:pPr>
              <w:jc w:val="left"/>
              <w:widowControl/>
              <w:rPr>
                <w:color w:val="000000"/>
                <w:sz w:val="24"/>
              </w:rPr>
            </w:pPr>
            <w:r>
              <w:rPr>
                <w:color w:val="000000"/>
                <w:sz w:val="24"/>
              </w:rPr>
              <w:t xml:space="preserve">国家有关部门对供应商的响应产品有强制性规定或要求的（如相应技术、安全、节能和环保等），供应商的响应产品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p>
          <w:p>
            <w:pPr>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p>
          <w:p>
            <w:pPr>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15</w:t>
            </w:r>
            <w:r/>
          </w:p>
        </w:tc>
        <w:tc>
          <w:tcPr>
            <w:tcW w:w="975" w:type="dxa"/>
            <w:vAlign w:val="center"/>
            <w:textDirection w:val="lrTb"/>
            <w:noWrap w:val="false"/>
          </w:tcPr>
          <w:p>
            <w:pPr>
              <w:jc w:val="left"/>
              <w:widowControl/>
              <w:rPr>
                <w:color w:val="000000"/>
                <w:sz w:val="24"/>
              </w:rPr>
            </w:pPr>
            <w:r>
              <w:rPr>
                <w:color w:val="000000"/>
                <w:sz w:val="24"/>
              </w:rPr>
              <w:t xml:space="preserve">公平竞争</w:t>
            </w:r>
            <w:r/>
          </w:p>
        </w:tc>
        <w:tc>
          <w:tcPr>
            <w:tcW w:w="3620" w:type="dxa"/>
            <w:vAlign w:val="center"/>
            <w:textDirection w:val="lrTb"/>
            <w:noWrap w:val="false"/>
          </w:tcPr>
          <w:p>
            <w:pPr>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16</w:t>
            </w:r>
            <w:r/>
          </w:p>
        </w:tc>
        <w:tc>
          <w:tcPr>
            <w:tcW w:w="975" w:type="dxa"/>
            <w:vAlign w:val="center"/>
            <w:textDirection w:val="lrTb"/>
            <w:noWrap w:val="false"/>
          </w:tcPr>
          <w:p>
            <w:pPr>
              <w:jc w:val="left"/>
              <w:widowControl/>
              <w:rPr>
                <w:color w:val="000000"/>
                <w:sz w:val="24"/>
              </w:rPr>
            </w:pPr>
            <w:r>
              <w:rPr>
                <w:color w:val="000000"/>
                <w:sz w:val="24"/>
              </w:rPr>
              <w:t xml:space="preserve">串通响应</w:t>
            </w:r>
            <w:r/>
          </w:p>
        </w:tc>
        <w:tc>
          <w:tcPr>
            <w:tcW w:w="3620" w:type="dxa"/>
            <w:vAlign w:val="center"/>
            <w:textDirection w:val="lrTb"/>
            <w:noWrap w:val="false"/>
          </w:tcPr>
          <w:p>
            <w:pPr>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p>
        </w:tc>
      </w:tr>
      <w:tr>
        <w:trPr>
          <w:jc w:val="center"/>
          <w:trHeight w:val="685"/>
        </w:trPr>
        <w:tc>
          <w:tcPr>
            <w:tcW w:w="403" w:type="dxa"/>
            <w:vAlign w:val="center"/>
            <w:textDirection w:val="lrTb"/>
            <w:noWrap w:val="false"/>
          </w:tcPr>
          <w:p>
            <w:pPr>
              <w:jc w:val="center"/>
              <w:widowControl/>
              <w:rPr>
                <w:color w:val="000000"/>
                <w:sz w:val="24"/>
              </w:rPr>
            </w:pPr>
            <w:r>
              <w:rPr>
                <w:color w:val="000000"/>
                <w:sz w:val="24"/>
              </w:rPr>
              <w:t xml:space="preserve">17</w:t>
            </w:r>
            <w:r/>
          </w:p>
        </w:tc>
        <w:tc>
          <w:tcPr>
            <w:tcW w:w="975" w:type="dxa"/>
            <w:vAlign w:val="center"/>
            <w:textDirection w:val="lrTb"/>
            <w:noWrap w:val="false"/>
          </w:tcPr>
          <w:p>
            <w:pPr>
              <w:jc w:val="left"/>
              <w:widowControl/>
              <w:rPr>
                <w:color w:val="000000"/>
                <w:sz w:val="24"/>
              </w:rPr>
            </w:pPr>
            <w:r>
              <w:rPr>
                <w:color w:val="000000"/>
                <w:sz w:val="24"/>
              </w:rPr>
              <w:t xml:space="preserve">附加条件</w:t>
            </w:r>
            <w:r/>
          </w:p>
        </w:tc>
        <w:tc>
          <w:tcPr>
            <w:tcW w:w="3620" w:type="dxa"/>
            <w:vAlign w:val="center"/>
            <w:textDirection w:val="lrTb"/>
            <w:noWrap w:val="false"/>
          </w:tcPr>
          <w:p>
            <w:pPr>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403" w:type="dxa"/>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dxa"/>
            <w:vAlign w:val="center"/>
            <w:textDirection w:val="lrTb"/>
            <w:noWrap w:val="false"/>
          </w:tcPr>
          <w:p>
            <w:pPr>
              <w:jc w:val="left"/>
              <w:widowControl/>
              <w:rPr>
                <w:color w:val="000000"/>
                <w:sz w:val="24"/>
              </w:rPr>
            </w:pPr>
            <w:r>
              <w:rPr>
                <w:color w:val="000000"/>
                <w:sz w:val="24"/>
              </w:rPr>
              <w:t xml:space="preserve">其他无效情形</w:t>
            </w:r>
            <w:r/>
          </w:p>
        </w:tc>
        <w:tc>
          <w:tcPr>
            <w:tcW w:w="3620" w:type="dxa"/>
            <w:vAlign w:val="center"/>
            <w:textDirection w:val="lrTb"/>
            <w:noWrap w:val="false"/>
          </w:tcPr>
          <w:p>
            <w:pPr>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p>
        </w:tc>
      </w:tr>
    </w:tbl>
    <w:p>
      <w:pPr>
        <w:jc w:val="both"/>
        <w:spacing w:line="360" w:lineRule="auto"/>
        <w:widowControl/>
        <w:rPr>
          <w:b/>
          <w:color w:val="000000"/>
          <w:sz w:val="24"/>
        </w:rPr>
      </w:pPr>
      <w:r>
        <w:rPr>
          <w:b/>
          <w:color w:val="000000"/>
          <w:sz w:val="24"/>
        </w:rPr>
      </w:r>
      <w:r/>
    </w:p>
    <w:p>
      <w:pPr>
        <w:numPr>
          <w:ilvl w:val="0"/>
          <w:numId w:val="12"/>
        </w:numPr>
        <w:spacing w:line="360" w:lineRule="auto"/>
        <w:tabs>
          <w:tab w:val="left" w:pos="360" w:leader="none"/>
        </w:tabs>
        <w:rPr>
          <w:sz w:val="24"/>
        </w:rPr>
        <w:outlineLvl w:val="1"/>
      </w:pPr>
      <w:r>
        <w:rPr>
          <w:sz w:val="24"/>
        </w:rPr>
        <w:t xml:space="preserve">磋商、响应文件有关事项的澄清、说明或者更正和最终报价</w:t>
      </w:r>
      <w:r/>
    </w:p>
    <w:p>
      <w:pPr>
        <w:numPr>
          <w:ilvl w:val="1"/>
          <w:numId w:val="12"/>
        </w:numPr>
        <w:ind w:left="1077" w:hanging="720"/>
        <w:spacing w:line="360" w:lineRule="auto"/>
        <w:tabs>
          <w:tab w:val="left" w:pos="1080" w:leader="none"/>
        </w:tabs>
        <w:rPr>
          <w:sz w:val="24"/>
        </w:rPr>
      </w:pPr>
      <w:r>
        <w:rPr>
          <w:sz w:val="24"/>
        </w:rPr>
        <w:t xml:space="preserve">磋商小组所有成员应当集中与单一供应商分别进行磋商，并给予所有参加磋商的供应商平等的磋商机会。</w:t>
      </w:r>
      <w:r/>
    </w:p>
    <w:p>
      <w:pPr>
        <w:numPr>
          <w:ilvl w:val="0"/>
          <w:numId w:val="0"/>
        </w:numPr>
        <w:ind w:left="357"/>
        <w:spacing w:line="360" w:lineRule="auto"/>
        <w:tabs>
          <w:tab w:val="left" w:pos="1080" w:leader="none"/>
          <w:tab w:val="left" w:pos="1872" w:leader="none"/>
        </w:tabs>
        <w:rPr>
          <w:rFonts w:hint="eastAsia"/>
          <w:color w:val="auto"/>
          <w:sz w:val="24"/>
          <w:highlight w:val="none"/>
        </w:rPr>
      </w:pPr>
      <w:r>
        <w:rPr>
          <w:rFonts w:hint="eastAsia"/>
          <w:color w:val="auto"/>
          <w:sz w:val="24"/>
          <w:highlight w:val="none"/>
          <w:lang w:val="en-US" w:eastAsia="zh-CN"/>
        </w:rPr>
        <w:t xml:space="preserve">2.2   </w:t>
      </w:r>
      <w:r>
        <w:rPr>
          <w:rFonts w:hint="eastAsia"/>
          <w:color w:val="auto"/>
          <w:sz w:val="24"/>
          <w:highlight w:val="none"/>
        </w:rPr>
        <w:t xml:space="preserve">评审过程中出现下列情形之一的，</w:t>
      </w:r>
      <w:r>
        <w:rPr>
          <w:color w:val="auto"/>
          <w:sz w:val="24"/>
          <w:highlight w:val="none"/>
        </w:rPr>
        <w:t xml:space="preserve">磋商小组</w:t>
      </w:r>
      <w:r>
        <w:rPr>
          <w:rFonts w:hint="eastAsia"/>
          <w:color w:val="auto"/>
          <w:sz w:val="24"/>
          <w:highlight w:val="none"/>
        </w:rPr>
        <w:t xml:space="preserve">应当启动异常低价投标（ 响应）审查程序：</w:t>
      </w:r>
      <w:r/>
    </w:p>
    <w:p>
      <w:pPr>
        <w:ind w:firstLine="1134"/>
        <w:keepLines w:val="0"/>
        <w:keepNext w:val="0"/>
        <w:pageBreakBefore w:val="0"/>
        <w:spacing w:line="360" w:lineRule="auto"/>
        <w:widowControl w:val="off"/>
        <w:tabs>
          <w:tab w:val="left" w:pos="1080" w:leader="none"/>
          <w:tab w:val="left" w:pos="1589" w:leader="none"/>
        </w:tabs>
        <w:rPr>
          <w:rFonts w:hint="eastAsia" w:eastAsia="宋体"/>
          <w:color w:val="auto"/>
          <w:sz w:val="24"/>
          <w:lang w:eastAsia="zh-CN"/>
        </w:rPr>
      </w:pPr>
      <w:r>
        <w:rPr>
          <w:rFonts w:hint="eastAsia"/>
          <w:color w:val="auto"/>
          <w:sz w:val="24"/>
        </w:rPr>
        <w:t xml:space="preserve">① 响应报价低于全部通过符合性审查供应商响应报价平均值50%的，即响应报价≤全部通过符合性审查供应商响应报价平均值X50%</w:t>
      </w:r>
      <w:r>
        <w:rPr>
          <w:rFonts w:hint="eastAsia"/>
          <w:color w:val="auto"/>
          <w:sz w:val="24"/>
          <w:lang w:eastAsia="zh-CN"/>
        </w:rPr>
        <w:t xml:space="preserve">；</w:t>
      </w:r>
      <w:r/>
    </w:p>
    <w:p>
      <w:pPr>
        <w:ind w:firstLine="1134"/>
        <w:keepLines w:val="0"/>
        <w:keepNext w:val="0"/>
        <w:pageBreakBefore w:val="0"/>
        <w:spacing w:line="360" w:lineRule="auto"/>
        <w:widowControl w:val="off"/>
        <w:tabs>
          <w:tab w:val="left" w:pos="1080" w:leader="none"/>
          <w:tab w:val="left" w:pos="1589" w:leader="none"/>
        </w:tabs>
        <w:rPr>
          <w:rFonts w:hint="eastAsia" w:eastAsia="宋体"/>
          <w:color w:val="auto"/>
          <w:sz w:val="24"/>
          <w:lang w:eastAsia="zh-CN"/>
        </w:rPr>
      </w:pPr>
      <w:r>
        <w:rPr>
          <w:rFonts w:hint="eastAsia"/>
          <w:color w:val="auto"/>
          <w:sz w:val="24"/>
        </w:rPr>
        <w:t xml:space="preserve">② 响应报价低于通过符合性审查的次低报价供应商响应报价50%的，即响应报价≤通过符合性审查的次低报价供应商响应报价X50%</w:t>
      </w:r>
      <w:r>
        <w:rPr>
          <w:rFonts w:hint="eastAsia"/>
          <w:color w:val="auto"/>
          <w:sz w:val="24"/>
          <w:lang w:eastAsia="zh-CN"/>
        </w:rPr>
        <w:t xml:space="preserve">；</w:t>
      </w:r>
      <w:r/>
    </w:p>
    <w:p>
      <w:pPr>
        <w:ind w:firstLine="1134"/>
        <w:keepLines w:val="0"/>
        <w:keepNext w:val="0"/>
        <w:pageBreakBefore w:val="0"/>
        <w:spacing w:line="360" w:lineRule="auto"/>
        <w:widowControl w:val="off"/>
        <w:tabs>
          <w:tab w:val="left" w:pos="1080" w:leader="none"/>
          <w:tab w:val="left" w:pos="1589" w:leader="none"/>
        </w:tabs>
        <w:rPr>
          <w:rFonts w:hint="eastAsia" w:eastAsia="宋体"/>
          <w:color w:val="auto"/>
          <w:sz w:val="24"/>
          <w:lang w:eastAsia="zh-CN"/>
        </w:rPr>
      </w:pPr>
      <w:r>
        <w:rPr>
          <w:rFonts w:hint="eastAsia"/>
          <w:color w:val="auto"/>
          <w:sz w:val="24"/>
          <w:lang w:eastAsia="zh-CN"/>
        </w:rPr>
        <w:t xml:space="preserve">③响应报价低于采购项目最高限价45%的，即响应报价≤采购项目最高限价X45%；</w:t>
      </w:r>
      <w:r/>
    </w:p>
    <w:p>
      <w:pPr>
        <w:ind w:firstLine="1134"/>
        <w:keepLines w:val="0"/>
        <w:keepNext w:val="0"/>
        <w:pageBreakBefore w:val="0"/>
        <w:spacing w:line="360" w:lineRule="auto"/>
        <w:widowControl w:val="off"/>
        <w:tabs>
          <w:tab w:val="left" w:pos="1080" w:leader="none"/>
          <w:tab w:val="left" w:pos="1589" w:leader="none"/>
        </w:tabs>
        <w:rPr>
          <w:rFonts w:hint="eastAsia"/>
          <w:color w:val="auto"/>
          <w:sz w:val="24"/>
        </w:rPr>
      </w:pPr>
      <w:r>
        <w:rPr>
          <w:rFonts w:hint="eastAsia"/>
          <w:color w:val="auto"/>
          <w:sz w:val="24"/>
          <w:lang w:eastAsia="zh-CN"/>
        </w:rPr>
        <w:t xml:space="preserve">④</w:t>
      </w:r>
      <w:r>
        <w:rPr>
          <w:rFonts w:hint="eastAsia"/>
          <w:color w:val="auto"/>
          <w:sz w:val="24"/>
        </w:rPr>
        <w:t xml:space="preserve"> </w:t>
      </w:r>
      <w:r>
        <w:rPr>
          <w:color w:val="auto"/>
          <w:sz w:val="24"/>
          <w:highlight w:val="none"/>
        </w:rPr>
        <w:t xml:space="preserve">磋商小组</w:t>
      </w:r>
      <w:r>
        <w:rPr>
          <w:rFonts w:hint="eastAsia"/>
          <w:color w:val="auto"/>
          <w:sz w:val="24"/>
          <w:highlight w:val="none"/>
        </w:rPr>
        <w:t xml:space="preserve">基于专业判断</w:t>
      </w:r>
      <w:r>
        <w:rPr>
          <w:rFonts w:hint="eastAsia"/>
          <w:color w:val="auto"/>
          <w:sz w:val="24"/>
          <w:highlight w:val="none"/>
          <w:lang w:eastAsia="zh-CN"/>
        </w:rPr>
        <w:t xml:space="preserve">，</w:t>
      </w:r>
      <w:r>
        <w:rPr>
          <w:rFonts w:hint="eastAsia"/>
          <w:color w:val="auto"/>
          <w:sz w:val="24"/>
        </w:rPr>
        <w:t xml:space="preserve">认</w:t>
      </w:r>
      <w:r>
        <w:rPr>
          <w:rFonts w:hint="eastAsia"/>
          <w:color w:val="auto"/>
          <w:sz w:val="24"/>
          <w:lang w:eastAsia="zh-CN"/>
        </w:rPr>
        <w:t xml:space="preserve">为</w:t>
      </w:r>
      <w:r>
        <w:rPr>
          <w:rFonts w:hint="eastAsia"/>
          <w:color w:val="auto"/>
          <w:sz w:val="24"/>
        </w:rPr>
        <w:t xml:space="preserve">供应商报价过低、有可能影响产品质量或者不能诚信履约的其他情形。</w:t>
      </w:r>
      <w:r/>
    </w:p>
    <w:p>
      <w:pPr>
        <w:numPr>
          <w:ilvl w:val="0"/>
          <w:numId w:val="0"/>
        </w:numPr>
        <w:ind w:left="357" w:firstLine="720"/>
        <w:spacing w:line="360" w:lineRule="auto"/>
        <w:tabs>
          <w:tab w:val="left" w:pos="1080" w:leader="none"/>
        </w:tabs>
        <w:rPr>
          <w:sz w:val="24"/>
        </w:rPr>
      </w:pPr>
      <w:r>
        <w:rPr>
          <w:rFonts w:hint="eastAsia"/>
          <w:color w:val="auto"/>
          <w:sz w:val="24"/>
        </w:rPr>
        <w:t xml:space="preserve">启动异常低价投标（响应）审查后，</w:t>
      </w:r>
      <w:r>
        <w:rPr>
          <w:color w:val="auto"/>
          <w:sz w:val="24"/>
          <w:highlight w:val="none"/>
        </w:rPr>
        <w:t xml:space="preserve">磋商小组</w:t>
      </w:r>
      <w:r>
        <w:rPr>
          <w:rFonts w:hint="eastAsia"/>
          <w:color w:val="auto"/>
          <w:sz w:val="24"/>
        </w:rPr>
        <w:t xml:space="preserve">应当要求相关供应商在评标现场合理的时间内，提供项目具体成本测算等与报价合理性相关的书面说明及相关证明材料，对投标（响应）价格作出解释，由</w:t>
      </w:r>
      <w:r>
        <w:rPr>
          <w:color w:val="auto"/>
          <w:sz w:val="24"/>
          <w:highlight w:val="none"/>
        </w:rPr>
        <w:t xml:space="preserve">磋商小组</w:t>
      </w:r>
      <w:r>
        <w:rPr>
          <w:rFonts w:hint="eastAsia"/>
          <w:color w:val="auto"/>
          <w:sz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color w:val="auto"/>
          <w:sz w:val="24"/>
          <w:highlight w:val="none"/>
        </w:rPr>
        <w:t xml:space="preserve">磋商小组</w:t>
      </w:r>
      <w:r>
        <w:rPr>
          <w:rFonts w:hint="eastAsia"/>
          <w:color w:val="auto"/>
          <w:sz w:val="24"/>
        </w:rPr>
        <w:t xml:space="preserve">应当将其作为无效投标（响应）处理。审查相关情况应当在评审报告中进行记录。</w:t>
      </w:r>
      <w:r/>
    </w:p>
    <w:p>
      <w:pPr>
        <w:numPr>
          <w:ilvl w:val="0"/>
          <w:numId w:val="0"/>
        </w:numPr>
        <w:ind w:left="1077" w:hanging="720"/>
        <w:spacing w:line="360" w:lineRule="auto"/>
        <w:tabs>
          <w:tab w:val="left" w:pos="1080" w:leader="none"/>
          <w:tab w:val="left" w:pos="1872" w:leader="none"/>
        </w:tabs>
        <w:rPr>
          <w:sz w:val="24"/>
        </w:rPr>
      </w:pPr>
      <w:r>
        <w:rPr>
          <w:rFonts w:hint="eastAsia"/>
          <w:sz w:val="24"/>
          <w:lang w:val="en-US" w:eastAsia="zh-CN"/>
        </w:rPr>
        <w:t xml:space="preserve">2.3   </w:t>
      </w: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0"/>
          <w:numId w:val="0"/>
        </w:numPr>
        <w:ind w:left="1077" w:hanging="720"/>
        <w:spacing w:line="360" w:lineRule="auto"/>
        <w:tabs>
          <w:tab w:val="left" w:pos="1080" w:leader="none"/>
          <w:tab w:val="left" w:pos="1872" w:leader="none"/>
        </w:tabs>
        <w:rPr>
          <w:sz w:val="24"/>
        </w:rPr>
      </w:pPr>
      <w:r>
        <w:rPr>
          <w:rFonts w:hint="eastAsia"/>
          <w:sz w:val="24"/>
          <w:lang w:val="en-US" w:eastAsia="zh-CN"/>
        </w:rPr>
        <w:t xml:space="preserve">2.4   </w:t>
      </w:r>
      <w:r>
        <w:rPr>
          <w:sz w:val="24"/>
        </w:rPr>
        <w:t xml:space="preserve">对磋商文件作出的实质性变动是磋商文件的有效组成部分，磋商小组应当及时</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以书面形式同时通知所有参加磋商的供应商。</w:t>
      </w:r>
      <w:r/>
    </w:p>
    <w:p>
      <w:pPr>
        <w:numPr>
          <w:ilvl w:val="0"/>
          <w:numId w:val="0"/>
        </w:numPr>
        <w:ind w:left="1077" w:hanging="720"/>
        <w:spacing w:line="360" w:lineRule="auto"/>
        <w:tabs>
          <w:tab w:val="left" w:pos="1080" w:leader="none"/>
          <w:tab w:val="left" w:pos="1872" w:leader="none"/>
        </w:tabs>
        <w:rPr>
          <w:sz w:val="24"/>
        </w:rPr>
      </w:pPr>
      <w:r>
        <w:rPr>
          <w:rFonts w:hint="eastAsia"/>
          <w:sz w:val="24"/>
          <w:lang w:val="en-US" w:eastAsia="zh-CN"/>
        </w:rPr>
        <w:t xml:space="preserve">2.5   </w:t>
      </w: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0"/>
          <w:numId w:val="0"/>
        </w:numPr>
        <w:ind w:left="357"/>
        <w:spacing w:line="360" w:lineRule="auto"/>
        <w:tabs>
          <w:tab w:val="left" w:pos="1080" w:leader="none"/>
          <w:tab w:val="left" w:pos="1872" w:leader="none"/>
        </w:tabs>
        <w:rPr>
          <w:sz w:val="24"/>
        </w:rPr>
      </w:pPr>
      <w:r>
        <w:rPr>
          <w:rFonts w:hint="eastAsia"/>
          <w:sz w:val="24"/>
          <w:lang w:val="en-US" w:eastAsia="zh-CN"/>
        </w:rPr>
        <w:t xml:space="preserve">2.6   </w:t>
      </w:r>
      <w:r>
        <w:rPr>
          <w:sz w:val="24"/>
        </w:rPr>
        <w:t xml:space="preserve">响应文件的澄清、说明或者更正</w:t>
      </w:r>
      <w:r>
        <w:rPr>
          <w:rFonts w:hint="eastAsia"/>
          <w:sz w:val="24"/>
        </w:rPr>
        <w:t xml:space="preserve">：</w:t>
      </w:r>
      <w:r/>
    </w:p>
    <w:p>
      <w:pPr>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numPr>
          <w:ilvl w:val="0"/>
          <w:numId w:val="0"/>
        </w:numPr>
        <w:ind w:left="1080" w:hanging="723"/>
        <w:spacing w:line="360" w:lineRule="auto"/>
        <w:tabs>
          <w:tab w:val="left" w:pos="1080" w:leader="none"/>
          <w:tab w:val="left" w:pos="1872" w:leader="none"/>
        </w:tabs>
        <w:rPr>
          <w:b/>
          <w:sz w:val="24"/>
        </w:rPr>
      </w:pPr>
      <w:r>
        <w:rPr>
          <w:rFonts w:hint="eastAsia"/>
          <w:b/>
          <w:sz w:val="24"/>
          <w:lang w:val="en-US" w:eastAsia="zh-CN"/>
        </w:rPr>
        <w:t xml:space="preserve">2.7   </w:t>
      </w:r>
      <w:r>
        <w:rPr>
          <w:b/>
          <w:sz w:val="24"/>
        </w:rPr>
        <w:t xml:space="preserve">磋商结束后，磋商小组将要求所有实质性响应的供应商在规定时间内</w:t>
      </w:r>
      <w:r>
        <w:rPr>
          <w:rFonts w:hint="eastAsia"/>
          <w:b/>
          <w:sz w:val="24"/>
        </w:rPr>
        <w:t xml:space="preserve">通过</w:t>
      </w:r>
      <w:r>
        <w:rPr>
          <w:b/>
          <w:sz w:val="24"/>
        </w:rPr>
        <w:t xml:space="preserve">常州市政府采购业务管理平台</w:t>
      </w:r>
      <w:r>
        <w:rPr>
          <w:rFonts w:hint="eastAsia"/>
          <w:b/>
          <w:sz w:val="24"/>
        </w:rPr>
        <w:t xml:space="preserve">系统</w:t>
      </w:r>
      <w:r>
        <w:rPr>
          <w:b/>
          <w:sz w:val="24"/>
        </w:rPr>
        <w:t xml:space="preserve">提交最</w:t>
      </w:r>
      <w:r>
        <w:rPr>
          <w:rFonts w:hint="eastAsia"/>
          <w:b/>
          <w:sz w:val="24"/>
        </w:rPr>
        <w:t xml:space="preserve">终</w:t>
      </w:r>
      <w:r>
        <w:rPr>
          <w:b/>
          <w:sz w:val="24"/>
        </w:rPr>
        <w:t xml:space="preserve">报价</w:t>
      </w:r>
      <w:r/>
    </w:p>
    <w:p>
      <w:pPr>
        <w:numPr>
          <w:ilvl w:val="0"/>
          <w:numId w:val="0"/>
        </w:numPr>
        <w:ind w:left="1077" w:hanging="720"/>
        <w:spacing w:line="360" w:lineRule="auto"/>
        <w:tabs>
          <w:tab w:val="left" w:pos="1080" w:leader="none"/>
          <w:tab w:val="left" w:pos="1872" w:leader="none"/>
        </w:tabs>
        <w:rPr>
          <w:sz w:val="24"/>
        </w:rPr>
      </w:pPr>
      <w:r>
        <w:rPr>
          <w:rFonts w:hint="eastAsia"/>
          <w:sz w:val="24"/>
          <w:lang w:val="en-US" w:eastAsia="zh-CN"/>
        </w:rPr>
        <w:t xml:space="preserve">2.8   </w:t>
      </w:r>
      <w:r>
        <w:rPr>
          <w:sz w:val="24"/>
        </w:rPr>
        <w:t xml:space="preserve">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0"/>
          <w:numId w:val="0"/>
        </w:numPr>
        <w:ind w:left="357"/>
        <w:spacing w:line="360" w:lineRule="auto"/>
        <w:tabs>
          <w:tab w:val="left" w:pos="1080" w:leader="none"/>
          <w:tab w:val="left" w:pos="1872" w:leader="none"/>
        </w:tabs>
        <w:rPr>
          <w:sz w:val="24"/>
        </w:rPr>
      </w:pPr>
      <w:r>
        <w:rPr>
          <w:rFonts w:hint="eastAsia"/>
          <w:sz w:val="24"/>
          <w:lang w:val="en-US" w:eastAsia="zh-CN"/>
        </w:rPr>
        <w:t xml:space="preserve">2.9   </w:t>
      </w:r>
      <w:r>
        <w:rPr>
          <w:sz w:val="24"/>
        </w:rPr>
        <w:t xml:space="preserve">最终报价是供应商响应文件的有效组成部分。</w:t>
      </w:r>
      <w:r/>
    </w:p>
    <w:p>
      <w:pPr>
        <w:numPr>
          <w:ilvl w:val="0"/>
          <w:numId w:val="0"/>
        </w:numPr>
        <w:ind w:left="357"/>
        <w:spacing w:line="360" w:lineRule="auto"/>
        <w:tabs>
          <w:tab w:val="left" w:pos="1080" w:leader="none"/>
          <w:tab w:val="left" w:pos="1872" w:leader="none"/>
        </w:tabs>
        <w:rPr>
          <w:sz w:val="24"/>
        </w:rPr>
      </w:pPr>
      <w:r>
        <w:rPr>
          <w:rFonts w:hint="eastAsia"/>
          <w:sz w:val="24"/>
          <w:lang w:val="en-US" w:eastAsia="zh-CN"/>
        </w:rPr>
        <w:t xml:space="preserve">2.10  </w:t>
      </w:r>
      <w:r>
        <w:rPr>
          <w:sz w:val="24"/>
        </w:rPr>
        <w:t xml:space="preserve">已提交响应文件的供应商，在提交最终报价之前，可以根据磋商情况退出磋商。</w:t>
      </w:r>
      <w:r/>
    </w:p>
    <w:p>
      <w:pPr>
        <w:numPr>
          <w:ilvl w:val="0"/>
          <w:numId w:val="0"/>
        </w:numPr>
        <w:ind w:left="1077" w:hanging="720"/>
        <w:spacing w:line="360" w:lineRule="auto"/>
        <w:tabs>
          <w:tab w:val="left" w:pos="1080" w:leader="none"/>
          <w:tab w:val="left" w:pos="1872" w:leader="none"/>
        </w:tabs>
        <w:rPr>
          <w:sz w:val="24"/>
        </w:rPr>
      </w:pPr>
      <w:r>
        <w:rPr>
          <w:rFonts w:hint="eastAsia"/>
          <w:sz w:val="24"/>
          <w:lang w:val="en-US" w:eastAsia="zh-CN"/>
        </w:rPr>
        <w:t xml:space="preserve">2.11  </w:t>
      </w:r>
      <w:r>
        <w:rPr>
          <w:rFonts w:hint="eastAsia"/>
          <w:sz w:val="24"/>
        </w:rPr>
        <w:t xml:space="preserve">磋商报价次数：按《供应商须知资料表》规定，如有多轮报价，合同</w:t>
      </w:r>
      <w:r>
        <w:rPr>
          <w:rFonts w:hint="eastAsia"/>
          <w:sz w:val="24"/>
          <w:lang w:val="en-US" w:eastAsia="zh-CN"/>
        </w:rPr>
        <w:t xml:space="preserve">单价</w:t>
      </w:r>
      <w:r>
        <w:rPr>
          <w:rFonts w:hint="eastAsia"/>
          <w:sz w:val="24"/>
        </w:rPr>
        <w:t xml:space="preserve">按照最终报价同比例</w:t>
      </w:r>
      <w:r>
        <w:rPr>
          <w:rFonts w:hint="eastAsia"/>
          <w:sz w:val="24"/>
          <w:lang w:val="en-US" w:eastAsia="zh-CN"/>
        </w:rPr>
        <w:t xml:space="preserve">下浮</w:t>
      </w:r>
      <w:r>
        <w:rPr>
          <w:rFonts w:hint="eastAsia"/>
          <w:sz w:val="24"/>
        </w:rPr>
        <w:t xml:space="preserve">。</w:t>
      </w:r>
      <w:r/>
    </w:p>
    <w:p>
      <w:pPr>
        <w:numPr>
          <w:ilvl w:val="0"/>
          <w:numId w:val="12"/>
        </w:numPr>
        <w:spacing w:line="360" w:lineRule="auto"/>
        <w:tabs>
          <w:tab w:val="left" w:pos="360" w:leader="none"/>
        </w:tabs>
        <w:rPr>
          <w:sz w:val="24"/>
        </w:rPr>
        <w:outlineLvl w:val="1"/>
      </w:pPr>
      <w:r>
        <w:rPr>
          <w:sz w:val="24"/>
        </w:rPr>
        <w:t xml:space="preserve">最终报价的算术修正及政策调整</w:t>
      </w:r>
      <w:r/>
    </w:p>
    <w:p>
      <w:pPr>
        <w:numPr>
          <w:ilvl w:val="1"/>
          <w:numId w:val="12"/>
        </w:numPr>
        <w:ind w:left="1077" w:hanging="720"/>
        <w:spacing w:line="360" w:lineRule="auto"/>
        <w:tabs>
          <w:tab w:val="left" w:pos="1080"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12"/>
        </w:numPr>
        <w:ind w:left="1077" w:hanging="720"/>
        <w:spacing w:line="360" w:lineRule="auto"/>
        <w:tabs>
          <w:tab w:val="left" w:pos="1080" w:leader="none"/>
          <w:tab w:val="left" w:pos="1872" w:leader="none"/>
        </w:tabs>
        <w:rPr>
          <w:sz w:val="24"/>
        </w:rPr>
      </w:pPr>
      <w:r>
        <w:rPr>
          <w:sz w:val="24"/>
        </w:rPr>
        <w:t xml:space="preserve">最终报价出现前后不一致的，按照下列规定修正：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sz w:val="24"/>
        </w:rPr>
        <w:t xml:space="preserve">■</w:t>
      </w:r>
      <w:r>
        <w:rPr>
          <w:sz w:val="24"/>
        </w:rPr>
        <w:t xml:space="preserve">无，按下述3.2.2-3.2.5项规定修正。</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12"/>
        </w:numPr>
        <w:ind w:left="1077" w:hanging="720"/>
        <w:spacing w:line="360" w:lineRule="auto"/>
        <w:tabs>
          <w:tab w:val="left" w:pos="1080"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2"/>
        </w:numPr>
        <w:spacing w:line="360" w:lineRule="auto"/>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p>
    <w:p>
      <w:pPr>
        <w:numPr>
          <w:ilvl w:val="2"/>
          <w:numId w:val="12"/>
        </w:numPr>
        <w:spacing w:line="360" w:lineRule="auto"/>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lang w:val="en-US" w:eastAsia="zh-CN"/>
        </w:rPr>
        <w:t xml:space="preserve">3</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残疾人福利性单位按竞争性磋商文件要求提供了《残疾人福利性单位声明函》（见附件）的，视同小微企业。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p>
    <w:p>
      <w:pPr>
        <w:numPr>
          <w:ilvl w:val="2"/>
          <w:numId w:val="12"/>
        </w:numPr>
        <w:ind w:left="2035"/>
        <w:spacing w:line="360" w:lineRule="auto"/>
        <w:tabs>
          <w:tab w:val="left" w:pos="1080" w:leader="none"/>
          <w:tab w:val="left" w:pos="1589" w:leader="none"/>
          <w:tab w:val="left" w:pos="2014" w:leader="none"/>
        </w:tabs>
        <w:rPr>
          <w:sz w:val="24"/>
        </w:rPr>
      </w:pPr>
      <w:r>
        <w:rPr>
          <w:sz w:val="24"/>
        </w:rPr>
        <w:t xml:space="preserve">其他为落实政府采购政策实施的优先采购：</w:t>
      </w:r>
      <w:r>
        <w:rPr>
          <w:rFonts w:hint="eastAsia" w:ascii="宋体" w:hAnsi="宋体"/>
          <w:sz w:val="24"/>
          <w:u w:val="single"/>
        </w:rPr>
        <w:t xml:space="preserve">/</w:t>
      </w:r>
      <w:r>
        <w:rPr>
          <w:sz w:val="24"/>
        </w:rPr>
        <w:t xml:space="preserve">。</w:t>
      </w:r>
      <w:r/>
    </w:p>
    <w:p>
      <w:pPr>
        <w:numPr>
          <w:ilvl w:val="0"/>
          <w:numId w:val="12"/>
        </w:numPr>
        <w:spacing w:line="360" w:lineRule="auto"/>
        <w:tabs>
          <w:tab w:val="left" w:pos="36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供应商对实质性变动不予确认的；</w:t>
      </w:r>
      <w:r/>
    </w:p>
    <w:p>
      <w:pPr>
        <w:numPr>
          <w:ilvl w:val="1"/>
          <w:numId w:val="12"/>
        </w:numPr>
        <w:ind w:left="1077" w:hanging="720"/>
        <w:spacing w:line="360" w:lineRule="auto"/>
        <w:tabs>
          <w:tab w:val="left" w:pos="1080"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12"/>
        </w:numPr>
        <w:ind w:left="1077" w:hanging="720"/>
        <w:spacing w:line="360" w:lineRule="auto"/>
        <w:tabs>
          <w:tab w:val="left" w:pos="1080" w:leader="none"/>
        </w:tabs>
        <w:rPr>
          <w:sz w:val="24"/>
        </w:rPr>
      </w:pPr>
      <w:r>
        <w:rPr>
          <w:sz w:val="24"/>
        </w:rPr>
        <w:t xml:space="preserve">未按照磋商小组规定的时间、逾期提交最终报价的；</w:t>
      </w:r>
      <w:r/>
    </w:p>
    <w:p>
      <w:pPr>
        <w:numPr>
          <w:ilvl w:val="1"/>
          <w:numId w:val="12"/>
        </w:numPr>
        <w:ind w:left="1077" w:hanging="720"/>
        <w:spacing w:line="360" w:lineRule="auto"/>
        <w:tabs>
          <w:tab w:val="left" w:pos="1080" w:leader="none"/>
        </w:tabs>
        <w:rPr>
          <w:sz w:val="24"/>
        </w:rPr>
      </w:pPr>
      <w:r>
        <w:rPr>
          <w:sz w:val="24"/>
        </w:rPr>
        <w:t xml:space="preserve">如供应商的最终报价超过竞争性磋商文件中规定的项目/采购包预算金额或者项目/采购包最高限价的；</w:t>
      </w:r>
      <w:r/>
    </w:p>
    <w:p>
      <w:pPr>
        <w:numPr>
          <w:ilvl w:val="1"/>
          <w:numId w:val="12"/>
        </w:numPr>
        <w:ind w:left="1077" w:hanging="720"/>
        <w:spacing w:line="360" w:lineRule="auto"/>
        <w:tabs>
          <w:tab w:val="left" w:pos="1080" w:leader="none"/>
        </w:tabs>
        <w:rPr>
          <w:sz w:val="24"/>
        </w:rPr>
      </w:pPr>
      <w:r>
        <w:rPr>
          <w:sz w:val="24"/>
        </w:rPr>
        <w:t xml:space="preserve">响应文件中出现可选择性或可调整的报价的（竞争性磋商文件另有规定的除外）；</w:t>
      </w:r>
      <w:r/>
    </w:p>
    <w:p>
      <w:pPr>
        <w:numPr>
          <w:ilvl w:val="1"/>
          <w:numId w:val="12"/>
        </w:numPr>
        <w:ind w:left="1077" w:hanging="720"/>
        <w:spacing w:line="360" w:lineRule="auto"/>
        <w:tabs>
          <w:tab w:val="left" w:pos="1080" w:leader="none"/>
        </w:tabs>
        <w:rPr>
          <w:sz w:val="24"/>
        </w:rPr>
      </w:pPr>
      <w:r>
        <w:rPr>
          <w:sz w:val="24"/>
        </w:rPr>
        <w:t xml:space="preserve">最终报价出现前后不一致，供应商对修正后的报价不予确认的；</w:t>
      </w:r>
      <w:r/>
    </w:p>
    <w:p>
      <w:pPr>
        <w:numPr>
          <w:ilvl w:val="1"/>
          <w:numId w:val="12"/>
        </w:numPr>
        <w:ind w:left="1077" w:hanging="720"/>
        <w:spacing w:line="360" w:lineRule="auto"/>
        <w:tabs>
          <w:tab w:val="left" w:pos="1080" w:leader="none"/>
        </w:tabs>
        <w:rPr>
          <w:sz w:val="24"/>
        </w:rPr>
      </w:pPr>
      <w:r>
        <w:rPr>
          <w:sz w:val="24"/>
        </w:rPr>
        <w:t xml:space="preserve">其他：</w:t>
      </w:r>
      <w:r>
        <w:rPr>
          <w:rFonts w:hint="eastAsia" w:ascii="宋体" w:hAnsi="宋体"/>
          <w:sz w:val="24"/>
          <w:u w:val="single"/>
        </w:rPr>
        <w:t xml:space="preserve">/</w:t>
      </w:r>
      <w:r>
        <w:rPr>
          <w:sz w:val="24"/>
        </w:rPr>
        <w:t xml:space="preserve">。</w:t>
      </w:r>
      <w:bookmarkEnd w:id="621"/>
      <w:bookmarkEnd w:id="622"/>
      <w:r/>
    </w:p>
    <w:p>
      <w:pPr>
        <w:numPr>
          <w:ilvl w:val="0"/>
          <w:numId w:val="12"/>
        </w:numPr>
        <w:spacing w:line="360" w:lineRule="auto"/>
        <w:tabs>
          <w:tab w:val="left" w:pos="360" w:leader="none"/>
        </w:tabs>
        <w:rPr>
          <w:sz w:val="24"/>
        </w:rPr>
        <w:outlineLvl w:val="1"/>
      </w:pPr>
      <w:r>
        <w:rPr>
          <w:sz w:val="24"/>
        </w:rPr>
        <w:t xml:space="preserve">评审方法和评审标准</w:t>
      </w:r>
      <w:r/>
    </w:p>
    <w:p>
      <w:pPr>
        <w:numPr>
          <w:ilvl w:val="1"/>
          <w:numId w:val="12"/>
        </w:numPr>
        <w:ind w:left="1077" w:hanging="720"/>
        <w:spacing w:line="360" w:lineRule="auto"/>
        <w:tabs>
          <w:tab w:val="left" w:pos="1080"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2"/>
        </w:numPr>
        <w:ind w:left="1077" w:hanging="720"/>
        <w:spacing w:line="360" w:lineRule="auto"/>
        <w:tabs>
          <w:tab w:val="left" w:pos="1080" w:leader="none"/>
          <w:tab w:val="left" w:pos="1872" w:leader="none"/>
        </w:tabs>
        <w:rPr>
          <w:sz w:val="24"/>
        </w:rPr>
      </w:pPr>
      <w:r>
        <w:rPr>
          <w:sz w:val="24"/>
        </w:rPr>
        <w:t xml:space="preserve">竞争性磋商文件中没有规定的评审标准不得作为评审依据。</w:t>
      </w:r>
      <w:r/>
    </w:p>
    <w:p>
      <w:pPr>
        <w:numPr>
          <w:ilvl w:val="1"/>
          <w:numId w:val="12"/>
        </w:numPr>
        <w:ind w:left="1077" w:hanging="720"/>
        <w:spacing w:line="360" w:lineRule="auto"/>
        <w:tabs>
          <w:tab w:val="left" w:pos="1080"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rFonts w:hint="eastAsia" w:ascii="宋体" w:hAnsi="宋体"/>
          <w:sz w:val="24"/>
          <w:u w:val="single"/>
        </w:rPr>
        <w:t xml:space="preserve">/</w:t>
      </w:r>
      <w:r>
        <w:rPr>
          <w:sz w:val="24"/>
        </w:rPr>
        <w:t xml:space="preserve">。</w:t>
      </w:r>
      <w:r/>
    </w:p>
    <w:p>
      <w:pPr>
        <w:numPr>
          <w:ilvl w:val="1"/>
          <w:numId w:val="12"/>
        </w:numPr>
        <w:ind w:left="1077" w:hanging="720"/>
        <w:spacing w:line="360" w:lineRule="auto"/>
        <w:tabs>
          <w:tab w:val="left" w:pos="1080" w:leader="none"/>
          <w:tab w:val="left" w:pos="1872" w:leader="none"/>
        </w:tabs>
        <w:rPr>
          <w:sz w:val="24"/>
        </w:rPr>
      </w:pPr>
      <w:r>
        <w:rPr>
          <w:sz w:val="24"/>
        </w:rPr>
        <w:t xml:space="preserve">关于无线局域网认证产品政府采购清单中的产品，优先采购的具体规定（如涉及）</w:t>
      </w:r>
      <w:r>
        <w:rPr>
          <w:rFonts w:hint="eastAsia" w:ascii="宋体" w:hAnsi="宋体"/>
          <w:sz w:val="24"/>
          <w:u w:val="single"/>
        </w:rPr>
        <w:t xml:space="preserve">/</w:t>
      </w:r>
      <w:r>
        <w:rPr>
          <w:sz w:val="24"/>
        </w:rPr>
        <w:t xml:space="preserve">。</w:t>
      </w:r>
      <w:r/>
    </w:p>
    <w:p>
      <w:pPr>
        <w:numPr>
          <w:ilvl w:val="0"/>
          <w:numId w:val="12"/>
        </w:numPr>
        <w:spacing w:line="360" w:lineRule="auto"/>
        <w:tabs>
          <w:tab w:val="left" w:pos="360" w:leader="none"/>
        </w:tabs>
        <w:rPr>
          <w:sz w:val="24"/>
        </w:rPr>
        <w:outlineLvl w:val="1"/>
      </w:pPr>
      <w:r>
        <w:rPr>
          <w:sz w:val="24"/>
        </w:rPr>
        <w:t xml:space="preserve">确定</w:t>
      </w:r>
      <w:bookmarkStart w:id="638" w:name="_Toc150480784"/>
      <w:r/>
      <w:bookmarkStart w:id="639" w:name="_Toc226965819"/>
      <w:r/>
      <w:bookmarkStart w:id="640" w:name="_Toc151193788"/>
      <w:r/>
      <w:bookmarkStart w:id="641" w:name="_Toc226309790"/>
      <w:r/>
      <w:bookmarkStart w:id="642" w:name="_Toc265228384"/>
      <w:r/>
      <w:bookmarkStart w:id="643" w:name="_Toc151193860"/>
      <w:r/>
      <w:bookmarkStart w:id="644" w:name="_Ref467307010"/>
      <w:r/>
      <w:bookmarkStart w:id="645" w:name="_Toc151190173"/>
      <w:r/>
      <w:bookmarkStart w:id="646" w:name="_Toc151193644"/>
      <w:r/>
      <w:bookmarkStart w:id="647" w:name="_Toc149720839"/>
      <w:r/>
      <w:bookmarkStart w:id="648" w:name="_Toc150774751"/>
      <w:r/>
      <w:bookmarkStart w:id="649" w:name="_Toc151193934"/>
      <w:r/>
      <w:bookmarkStart w:id="650" w:name="_Toc226965736"/>
      <w:r/>
      <w:bookmarkStart w:id="651" w:name="_Toc164608815"/>
      <w:r/>
      <w:bookmarkStart w:id="652" w:name="_Toc264969236"/>
      <w:r/>
      <w:bookmarkStart w:id="653" w:name="_Toc305158888"/>
      <w:r/>
      <w:bookmarkStart w:id="654" w:name="_Toc142311048"/>
      <w:r/>
      <w:bookmarkStart w:id="655" w:name="_Toc127151747"/>
      <w:r/>
      <w:bookmarkStart w:id="656" w:name="_Toc226337242"/>
      <w:r/>
      <w:bookmarkStart w:id="657" w:name="_Toc150509297"/>
      <w:r/>
      <w:bookmarkStart w:id="658" w:name="_Toc151193716"/>
      <w:r/>
      <w:bookmarkStart w:id="659" w:name="_Toc164608660"/>
      <w:r/>
      <w:bookmarkStart w:id="660" w:name="_Toc164229387"/>
      <w:r/>
      <w:bookmarkStart w:id="661" w:name="_Toc127151546"/>
      <w:r/>
      <w:bookmarkStart w:id="662" w:name="_Toc164229241"/>
      <w:r/>
      <w:bookmarkStart w:id="663" w:name="_Toc520356170"/>
      <w:r/>
      <w:bookmarkStart w:id="664" w:name="_Toc305158814"/>
      <w:r/>
      <w:bookmarkStart w:id="665" w:name="_Toc164351640"/>
      <w:r/>
      <w:bookmarkStart w:id="666" w:name="_Toc150774646"/>
      <w:r/>
      <w:bookmarkStart w:id="667" w:name="_Toc127161460"/>
      <w:r/>
      <w:bookmarkStart w:id="668" w:name="_Toc195842911"/>
      <w:r>
        <w:rPr>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2"/>
        </w:numPr>
        <w:ind w:left="1077" w:hanging="720"/>
        <w:spacing w:line="360" w:lineRule="auto"/>
        <w:tabs>
          <w:tab w:val="left" w:pos="1080"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2"/>
        </w:numPr>
        <w:ind w:left="1077" w:hanging="720"/>
        <w:spacing w:line="360" w:lineRule="auto"/>
        <w:tabs>
          <w:tab w:val="left" w:pos="1080"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12"/>
        </w:numPr>
        <w:ind w:left="1077" w:hanging="720"/>
        <w:spacing w:line="360" w:lineRule="auto"/>
        <w:tabs>
          <w:tab w:val="left" w:pos="1080"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numPr>
          <w:ilvl w:val="0"/>
          <w:numId w:val="12"/>
        </w:numPr>
        <w:spacing w:line="360" w:lineRule="auto"/>
        <w:tabs>
          <w:tab w:val="left" w:pos="360" w:leader="none"/>
        </w:tabs>
        <w:rPr>
          <w:sz w:val="24"/>
        </w:rPr>
        <w:outlineLvl w:val="1"/>
      </w:pPr>
      <w:r>
        <w:rPr>
          <w:sz w:val="24"/>
        </w:rPr>
        <w:t xml:space="preserve">报告违法行为</w:t>
      </w:r>
      <w:r/>
    </w:p>
    <w:p>
      <w:pPr>
        <w:numPr>
          <w:ilvl w:val="1"/>
          <w:numId w:val="12"/>
        </w:numPr>
        <w:ind w:left="1077" w:hanging="720"/>
        <w:jc w:val="left"/>
        <w:spacing w:line="360" w:lineRule="auto"/>
        <w:widowControl/>
        <w:tabs>
          <w:tab w:val="left" w:pos="1080"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p>
    <w:p>
      <w:pPr>
        <w:pStyle w:val="1181"/>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spacing w:line="360" w:lineRule="auto"/>
        <w:tabs>
          <w:tab w:val="left" w:pos="360" w:leader="none"/>
          <w:tab w:val="left" w:pos="900" w:leader="none"/>
          <w:tab w:val="left" w:pos="1080" w:leader="none"/>
          <w:tab w:val="left" w:pos="2014" w:leader="none"/>
        </w:tabs>
        <w:rPr>
          <w:sz w:val="24"/>
        </w:rPr>
      </w:pPr>
      <w:r>
        <w:rPr>
          <w:sz w:val="24"/>
        </w:rPr>
      </w:r>
      <w:r/>
    </w:p>
    <w:tbl>
      <w:tblPr>
        <w:tblStyle w:val="1007"/>
        <w:tblW w:w="502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7"/>
        <w:gridCol w:w="1280"/>
        <w:gridCol w:w="640"/>
        <w:gridCol w:w="6619"/>
      </w:tblGrid>
      <w:tr>
        <w:trPr>
          <w:trHeight w:val="17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exact"/>
              <w:rPr>
                <w:rStyle w:val="1447"/>
                <w:rFonts w:hint="eastAsia" w:ascii="宋体" w:hAnsi="宋体" w:cs="仿宋"/>
                <w:b/>
                <w:bCs/>
                <w:color w:val="000000"/>
                <w:sz w:val="24"/>
                <w:highlight w:val="none"/>
              </w:rPr>
            </w:pPr>
            <w:r/>
            <w:bookmarkStart w:id="669" w:name="_Toc104818928"/>
            <w:r>
              <w:rPr>
                <w:rStyle w:val="1447"/>
                <w:rFonts w:hint="eastAsia" w:ascii="宋体" w:hAnsi="宋体" w:cs="仿宋"/>
                <w:b/>
                <w:bCs/>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line="360" w:lineRule="exact"/>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jc w:val="center"/>
              <w:spacing w:line="360" w:lineRule="exact"/>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评分要素</w:t>
            </w:r>
            <w:r/>
          </w:p>
        </w:tc>
      </w:tr>
      <w:tr>
        <w:trPr>
          <w:trHeight w:val="17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exact"/>
              <w:rPr>
                <w:rStyle w:val="1447"/>
                <w:rFonts w:hint="eastAsia" w:ascii="宋体" w:hAnsi="宋体" w:cs="仿宋"/>
                <w:b/>
                <w:bCs/>
                <w:color w:val="000000"/>
                <w:sz w:val="24"/>
                <w:highlight w:val="none"/>
              </w:rPr>
            </w:pPr>
            <w:r>
              <w:rPr>
                <w:rStyle w:val="1447"/>
                <w:rFonts w:hint="eastAsia" w:ascii="宋体" w:hAnsi="宋体" w:cs="仿宋"/>
                <w:b/>
                <w:bCs/>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line="360" w:lineRule="exact"/>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default" w:ascii="宋体" w:hAnsi="宋体" w:eastAsia="宋体" w:cs="仿宋"/>
                <w:b/>
                <w:bCs/>
                <w:color w:val="000000"/>
                <w:sz w:val="24"/>
                <w:highlight w:val="none"/>
                <w:lang w:val="en-US" w:eastAsia="zh-CN"/>
              </w:rPr>
            </w:pPr>
            <w:r>
              <w:rPr>
                <w:rStyle w:val="1447"/>
                <w:rFonts w:hint="eastAsia" w:ascii="宋体" w:hAnsi="宋体" w:cs="仿宋"/>
                <w:b/>
                <w:bCs/>
                <w:color w:val="000000"/>
                <w:sz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rPr>
            </w:pPr>
            <w:r>
              <w:rPr>
                <w:rStyle w:val="1447"/>
                <w:rFonts w:hint="eastAsia" w:ascii="宋体" w:hAnsi="宋体" w:cs="仿宋"/>
                <w:bCs/>
                <w:color w:val="000000"/>
                <w:sz w:val="24"/>
                <w:highlight w:val="none"/>
              </w:rPr>
              <w:t xml:space="preserve">满足磋商文件要求且最终报价最低的报价为评标基准价，其价格分为满分。其他供应商的价格分统一按照下列公式计算：</w:t>
            </w:r>
            <w:r/>
          </w:p>
          <w:p>
            <w:pPr>
              <w:ind w:firstLine="480"/>
              <w:jc w:val="left"/>
              <w:spacing w:line="360" w:lineRule="exact"/>
              <w:rPr>
                <w:rStyle w:val="1447"/>
                <w:rFonts w:ascii="宋体" w:hAnsi="宋体" w:cs="仿宋"/>
                <w:bCs/>
                <w:color w:val="000000"/>
                <w:sz w:val="24"/>
                <w:highlight w:val="none"/>
              </w:rPr>
            </w:pPr>
            <w:r>
              <w:rPr>
                <w:rStyle w:val="1447"/>
                <w:rFonts w:hint="eastAsia" w:ascii="宋体" w:hAnsi="宋体" w:cs="仿宋"/>
                <w:bCs/>
                <w:color w:val="000000"/>
                <w:sz w:val="24"/>
                <w:highlight w:val="none"/>
              </w:rPr>
              <w:t xml:space="preserve">价格分得分＝（评标基准价/最终报价）×分值。所得分保留小数点后面2位。</w:t>
            </w:r>
            <w:r/>
          </w:p>
          <w:p>
            <w:pPr>
              <w:ind w:firstLine="480"/>
              <w:jc w:val="left"/>
              <w:spacing w:line="360" w:lineRule="exact"/>
              <w:rPr>
                <w:rStyle w:val="1447"/>
                <w:rFonts w:ascii="宋体" w:hAnsi="宋体" w:cs="仿宋"/>
                <w:bCs/>
                <w:color w:val="000000"/>
                <w:sz w:val="24"/>
                <w:highlight w:val="none"/>
              </w:rPr>
            </w:pPr>
            <w:r>
              <w:rPr>
                <w:rStyle w:val="1447"/>
                <w:rFonts w:hint="eastAsia" w:ascii="宋体" w:hAnsi="宋体" w:cs="仿宋"/>
                <w:bCs/>
                <w:color w:val="000000"/>
                <w:sz w:val="24"/>
                <w:highlight w:val="none"/>
              </w:rPr>
              <w:t xml:space="preserve">此处最终报价指经过报价修正，及因落实政府采购政策进行价格调整后的最终报价，详见第三章《评标方法和评标标准》。</w:t>
            </w:r>
            <w:r/>
          </w:p>
        </w:tc>
      </w:tr>
      <w:tr>
        <w:trPr>
          <w:trHeight w:val="17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exact"/>
              <w:rPr>
                <w:rStyle w:val="1447"/>
                <w:rFonts w:hint="eastAsia" w:ascii="宋体" w:hAnsi="宋体" w:cs="仿宋"/>
                <w:b/>
                <w:bCs/>
                <w:color w:val="000000"/>
                <w:sz w:val="24"/>
                <w:highlight w:val="none"/>
              </w:rPr>
            </w:pPr>
            <w:r>
              <w:rPr>
                <w:rStyle w:val="1447"/>
                <w:rFonts w:ascii="宋体" w:hAnsi="宋体" w:cs="仿宋"/>
                <w:b/>
                <w:bCs/>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line="360" w:lineRule="exact"/>
              <w:rPr>
                <w:rStyle w:val="1447"/>
                <w:rFonts w:hint="eastAsia" w:ascii="宋体" w:hAnsi="宋体" w:cs="仿宋"/>
                <w:b/>
                <w:bCs/>
                <w:color w:val="000000"/>
                <w:sz w:val="24"/>
                <w:highlight w:val="none"/>
              </w:rPr>
            </w:pPr>
            <w:r>
              <w:rPr>
                <w:rStyle w:val="1447"/>
                <w:rFonts w:hint="eastAsia" w:ascii="宋体" w:hAnsi="宋体" w:cs="仿宋"/>
                <w:b/>
                <w:bCs/>
                <w:color w:val="000000"/>
                <w:sz w:val="24"/>
                <w:highlight w:val="none"/>
              </w:rPr>
              <w:t xml:space="preserve">主观分</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default" w:ascii="宋体" w:hAnsi="宋体" w:eastAsia="宋体" w:cs="仿宋"/>
                <w:b/>
                <w:bCs/>
                <w:color w:val="000000"/>
                <w:sz w:val="24"/>
                <w:highlight w:val="none"/>
                <w:lang w:val="en-US" w:eastAsia="zh-CN"/>
              </w:rPr>
            </w:pPr>
            <w:r>
              <w:rPr>
                <w:rStyle w:val="1447"/>
                <w:rFonts w:hint="eastAsia" w:ascii="宋体" w:hAnsi="宋体" w:cs="仿宋"/>
                <w:b/>
                <w:bCs/>
                <w:color w:val="000000"/>
                <w:sz w:val="24"/>
                <w:highlight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rPr>
            </w:pPr>
            <w:r>
              <w:rPr>
                <w:rFonts w:hint="eastAsia" w:ascii="宋体" w:hAnsi="宋体" w:cs="仿宋"/>
                <w:bCs/>
                <w:color w:val="000000"/>
                <w:sz w:val="24"/>
                <w:highlight w:val="none"/>
              </w:rPr>
            </w:r>
            <w:r/>
          </w:p>
        </w:tc>
      </w:tr>
      <w:tr>
        <w:trPr>
          <w:trHeight w:val="2045"/>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exact"/>
              <w:rPr>
                <w:rStyle w:val="1447"/>
                <w:rFonts w:hint="eastAsia" w:ascii="宋体" w:hAnsi="宋体" w:cs="仿宋"/>
                <w:b/>
                <w:bCs/>
                <w:color w:val="000000"/>
                <w:sz w:val="24"/>
                <w:highlight w:val="none"/>
              </w:rPr>
            </w:pPr>
            <w:r>
              <w:rPr>
                <w:rStyle w:val="1447"/>
                <w:rFonts w:hint="eastAsia" w:ascii="宋体" w:hAnsi="宋体" w:cs="仿宋"/>
                <w:b/>
                <w:bCs/>
                <w:color w:val="000000"/>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line="360" w:lineRule="exact"/>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总体概述</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default" w:ascii="宋体" w:hAnsi="宋体" w:eastAsia="宋体" w:cs="仿宋"/>
                <w:b/>
                <w:bCs/>
                <w:color w:val="000000"/>
                <w:sz w:val="24"/>
                <w:highlight w:val="none"/>
                <w:lang w:val="en-US" w:eastAsia="zh-CN"/>
              </w:rPr>
            </w:pPr>
            <w:r>
              <w:rPr>
                <w:rFonts w:hint="eastAsia" w:ascii="宋体" w:hAnsi="宋体" w:cs="宋体"/>
                <w:b/>
                <w:bCs/>
                <w:color w:val="000000"/>
                <w:sz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rPr>
            </w:pPr>
            <w:r>
              <w:rPr>
                <w:rStyle w:val="1447"/>
                <w:rFonts w:hint="eastAsia" w:ascii="宋体" w:hAnsi="宋体" w:cs="仿宋"/>
                <w:bCs/>
                <w:color w:val="000000"/>
                <w:sz w:val="24"/>
                <w:highlight w:val="none"/>
              </w:rPr>
              <w:t xml:space="preserve">总体概述:包括工程概况，施工组织总体设想、方案的针对性及施工段的划分。</w:t>
            </w:r>
            <w:r/>
          </w:p>
          <w:p>
            <w:pPr>
              <w:ind w:firstLine="480"/>
              <w:jc w:val="left"/>
              <w:spacing w:line="360" w:lineRule="exact"/>
              <w:rPr>
                <w:rStyle w:val="1447"/>
                <w:rFonts w:ascii="宋体" w:hAnsi="宋体" w:cs="仿宋"/>
                <w:bCs/>
                <w:color w:val="000000"/>
                <w:sz w:val="24"/>
                <w:highlight w:val="none"/>
              </w:rPr>
            </w:pPr>
            <w:r>
              <w:rPr>
                <w:rStyle w:val="1447"/>
                <w:rFonts w:hint="eastAsia" w:ascii="宋体" w:hAnsi="宋体" w:cs="仿宋"/>
                <w:bCs/>
                <w:color w:val="000000"/>
                <w:sz w:val="24"/>
                <w:highlight w:val="none"/>
                <w:lang w:val="en-US" w:eastAsia="zh-CN"/>
              </w:rPr>
              <w:t xml:space="preserve">内容完整全面、可行性高的得8</w:t>
            </w:r>
            <w:r>
              <w:rPr>
                <w:rStyle w:val="1447"/>
                <w:rFonts w:hint="eastAsia" w:ascii="宋体" w:hAnsi="宋体" w:cs="仿宋"/>
                <w:bCs/>
                <w:color w:val="000000"/>
                <w:sz w:val="24"/>
                <w:highlight w:val="none"/>
              </w:rPr>
              <w:t xml:space="preserve">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lang w:val="en-US" w:eastAsia="zh-CN"/>
              </w:rPr>
              <w:t xml:space="preserve">内容较为完整全面，基本可行的得6分；内容简单片面，可行性欠缺的</w:t>
            </w:r>
            <w:r>
              <w:rPr>
                <w:rStyle w:val="1447"/>
                <w:rFonts w:hint="eastAsia" w:ascii="宋体" w:hAnsi="宋体" w:cs="仿宋"/>
                <w:bCs/>
                <w:color w:val="000000"/>
                <w:sz w:val="24"/>
                <w:highlight w:val="none"/>
              </w:rPr>
              <w:t xml:space="preserve">得</w:t>
            </w:r>
            <w:r>
              <w:rPr>
                <w:rStyle w:val="1447"/>
                <w:rFonts w:hint="eastAsia" w:ascii="宋体" w:hAnsi="宋体" w:cs="仿宋"/>
                <w:bCs/>
                <w:color w:val="000000"/>
                <w:sz w:val="24"/>
                <w:highlight w:val="none"/>
                <w:lang w:val="en-US" w:eastAsia="zh-CN"/>
              </w:rPr>
              <w:t xml:space="preserve">4</w:t>
            </w:r>
            <w:r>
              <w:rPr>
                <w:rStyle w:val="1447"/>
                <w:rFonts w:hint="eastAsia" w:ascii="宋体" w:hAnsi="宋体" w:cs="仿宋"/>
                <w:bCs/>
                <w:color w:val="000000"/>
                <w:sz w:val="24"/>
                <w:highlight w:val="none"/>
              </w:rPr>
              <w:t xml:space="preserve">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内容简单且不全，可行性较欠缺的得</w:t>
            </w:r>
            <w:r>
              <w:rPr>
                <w:rStyle w:val="1447"/>
                <w:rFonts w:hint="eastAsia" w:ascii="宋体" w:hAnsi="宋体" w:cs="仿宋"/>
                <w:bCs/>
                <w:color w:val="000000"/>
                <w:sz w:val="24"/>
                <w:highlight w:val="none"/>
                <w:lang w:val="en-US" w:eastAsia="zh-CN"/>
              </w:rPr>
              <w:t xml:space="preserve">2</w:t>
            </w:r>
            <w:r>
              <w:rPr>
                <w:rStyle w:val="1447"/>
                <w:rFonts w:hint="eastAsia" w:ascii="宋体" w:hAnsi="宋体" w:cs="仿宋"/>
                <w:bCs/>
                <w:color w:val="000000"/>
                <w:sz w:val="24"/>
                <w:highlight w:val="none"/>
              </w:rPr>
              <w:t xml:space="preserve">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未提供不得分。</w:t>
            </w:r>
            <w:r/>
          </w:p>
        </w:tc>
      </w:tr>
      <w:tr>
        <w:trPr>
          <w:trHeight w:val="2165"/>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widowControl/>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施工进度计划和各阶段进度的保证措施</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eastAsia" w:ascii="宋体" w:hAnsi="宋体" w:eastAsia="宋体" w:cs="仿宋"/>
                <w:b/>
                <w:bCs/>
                <w:color w:val="000000"/>
                <w:sz w:val="24"/>
                <w:highlight w:val="none"/>
                <w:lang w:eastAsia="zh-CN"/>
              </w:rPr>
            </w:pPr>
            <w:r>
              <w:rPr>
                <w:rFonts w:hint="eastAsia" w:ascii="宋体" w:hAnsi="宋体" w:cs="宋体"/>
                <w:b/>
                <w:bCs/>
                <w:color w:val="000000"/>
                <w:sz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lang w:eastAsia="zh-CN"/>
              </w:rPr>
            </w:pPr>
            <w:r>
              <w:rPr>
                <w:rStyle w:val="1447"/>
                <w:rFonts w:hint="eastAsia" w:ascii="宋体" w:hAnsi="宋体" w:cs="仿宋"/>
                <w:bCs/>
                <w:color w:val="000000"/>
                <w:sz w:val="24"/>
                <w:highlight w:val="none"/>
              </w:rPr>
              <w:t xml:space="preserve">施工进度计划和各阶段进度的保证措施:包括各阶段的进度计划表、以及保证进度的技术措施</w:t>
            </w:r>
            <w:r>
              <w:rPr>
                <w:rStyle w:val="1447"/>
                <w:rFonts w:hint="eastAsia" w:ascii="宋体" w:hAnsi="宋体" w:cs="仿宋"/>
                <w:bCs/>
                <w:color w:val="000000"/>
                <w:sz w:val="24"/>
                <w:highlight w:val="none"/>
                <w:lang w:eastAsia="zh-CN"/>
              </w:rPr>
              <w:t xml:space="preserve">。</w:t>
            </w:r>
            <w:r/>
          </w:p>
          <w:p>
            <w:pPr>
              <w:ind w:firstLine="480"/>
              <w:jc w:val="left"/>
              <w:spacing w:line="360" w:lineRule="exact"/>
              <w:rPr>
                <w:rStyle w:val="1447"/>
                <w:rFonts w:hint="eastAsia" w:ascii="宋体" w:hAnsi="宋体" w:eastAsia="宋体" w:cs="仿宋"/>
                <w:bCs/>
                <w:color w:val="000000"/>
                <w:sz w:val="24"/>
                <w:highlight w:val="none"/>
                <w:lang w:eastAsia="zh-CN"/>
              </w:rPr>
            </w:pPr>
            <w:r>
              <w:rPr>
                <w:rStyle w:val="1447"/>
                <w:rFonts w:hint="eastAsia" w:ascii="宋体" w:hAnsi="宋体" w:cs="仿宋"/>
                <w:bCs/>
                <w:color w:val="000000"/>
                <w:sz w:val="24"/>
                <w:highlight w:val="none"/>
              </w:rPr>
              <w:t xml:space="preserve">方案专业、详细、可行</w:t>
            </w:r>
            <w:r>
              <w:rPr>
                <w:rStyle w:val="1447"/>
                <w:rFonts w:hint="eastAsia" w:ascii="宋体" w:hAnsi="宋体" w:cs="仿宋"/>
                <w:bCs/>
                <w:color w:val="000000"/>
                <w:sz w:val="24"/>
                <w:highlight w:val="none"/>
                <w:lang w:val="en-US"/>
              </w:rPr>
              <w:t xml:space="preserve">的</w:t>
            </w:r>
            <w:r>
              <w:rPr>
                <w:rStyle w:val="1447"/>
                <w:rFonts w:hint="eastAsia" w:ascii="宋体" w:hAnsi="宋体" w:cs="仿宋"/>
                <w:bCs/>
                <w:color w:val="000000"/>
                <w:sz w:val="24"/>
                <w:highlight w:val="none"/>
              </w:rPr>
              <w:t xml:space="preserve">得8分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方案较为专业、详细、可行</w:t>
            </w:r>
            <w:r>
              <w:rPr>
                <w:rStyle w:val="1447"/>
                <w:rFonts w:hint="eastAsia" w:ascii="宋体" w:hAnsi="宋体" w:cs="仿宋"/>
                <w:bCs/>
                <w:color w:val="000000"/>
                <w:sz w:val="24"/>
                <w:highlight w:val="none"/>
                <w:lang w:val="en-US"/>
              </w:rPr>
              <w:t xml:space="preserve">的得</w:t>
            </w:r>
            <w:r>
              <w:rPr>
                <w:rStyle w:val="1447"/>
                <w:rFonts w:hint="eastAsia" w:ascii="宋体" w:hAnsi="宋体" w:cs="仿宋"/>
                <w:bCs/>
                <w:color w:val="000000"/>
                <w:sz w:val="24"/>
                <w:highlight w:val="none"/>
              </w:rPr>
              <w:t xml:space="preserve">6分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方案一般的得4分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方案较差的得2分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未提供不得分</w:t>
            </w:r>
            <w:r>
              <w:rPr>
                <w:rStyle w:val="1447"/>
                <w:rFonts w:hint="eastAsia" w:ascii="宋体" w:hAnsi="宋体" w:cs="仿宋"/>
                <w:bCs/>
                <w:color w:val="000000"/>
                <w:sz w:val="24"/>
                <w:highlight w:val="none"/>
                <w:lang w:eastAsia="zh-CN"/>
              </w:rPr>
              <w:t xml:space="preserve">。</w:t>
            </w:r>
            <w:r/>
          </w:p>
        </w:tc>
      </w:tr>
      <w:tr>
        <w:trPr>
          <w:trHeight w:val="2605"/>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widowControl/>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施工方案及质量保证措施</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eastAsia" w:ascii="宋体" w:hAnsi="宋体" w:eastAsia="宋体" w:cs="仿宋"/>
                <w:b/>
                <w:bCs/>
                <w:color w:val="000000"/>
                <w:sz w:val="24"/>
                <w:highlight w:val="none"/>
                <w:lang w:eastAsia="zh-CN"/>
              </w:rPr>
            </w:pPr>
            <w:r>
              <w:rPr>
                <w:rFonts w:hint="eastAsia" w:ascii="宋体" w:hAnsi="宋体" w:cs="宋体"/>
                <w:b/>
                <w:bCs/>
                <w:color w:val="000000"/>
                <w:sz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rPr>
            </w:pPr>
            <w:r>
              <w:rPr>
                <w:rStyle w:val="1447"/>
                <w:rFonts w:hint="eastAsia" w:ascii="宋体" w:hAnsi="宋体" w:cs="仿宋"/>
                <w:bCs/>
                <w:color w:val="000000"/>
                <w:sz w:val="24"/>
                <w:highlight w:val="none"/>
              </w:rPr>
              <w:t xml:space="preserve">施工方案及质量保证措施:①要根据工程的规模、结构、施工现场等情况制定各分部分项工程切实可行的施工方案。②质量保证措施齐全得力，要具</w:t>
            </w:r>
            <w:r>
              <w:rPr>
                <w:rStyle w:val="1447"/>
                <w:rFonts w:hint="eastAsia" w:ascii="宋体" w:hAnsi="宋体" w:cs="仿宋"/>
                <w:bCs/>
                <w:color w:val="000000"/>
                <w:sz w:val="24"/>
                <w:highlight w:val="none"/>
                <w:lang w:eastAsia="zh-CN"/>
              </w:rPr>
              <w:t xml:space="preserve">有</w:t>
            </w:r>
            <w:r>
              <w:rPr>
                <w:rStyle w:val="1447"/>
                <w:rFonts w:hint="eastAsia" w:ascii="宋体" w:hAnsi="宋体" w:cs="仿宋"/>
                <w:bCs/>
                <w:color w:val="000000"/>
                <w:sz w:val="24"/>
                <w:highlight w:val="none"/>
              </w:rPr>
              <w:t xml:space="preserve">质保体系、技术保证措施、材料保证措施等内容。</w:t>
            </w:r>
            <w:r/>
          </w:p>
          <w:p>
            <w:pPr>
              <w:ind w:firstLine="480"/>
              <w:jc w:val="left"/>
              <w:spacing w:line="360" w:lineRule="exact"/>
              <w:rPr>
                <w:rStyle w:val="1447"/>
                <w:rFonts w:ascii="宋体" w:hAnsi="宋体" w:cs="仿宋"/>
                <w:bCs/>
                <w:color w:val="000000"/>
                <w:sz w:val="24"/>
                <w:highlight w:val="none"/>
              </w:rPr>
            </w:pPr>
            <w:r>
              <w:rPr>
                <w:rStyle w:val="1447"/>
                <w:rFonts w:hint="eastAsia" w:ascii="宋体" w:hAnsi="宋体" w:cs="仿宋"/>
                <w:bCs/>
                <w:color w:val="000000"/>
                <w:sz w:val="24"/>
                <w:highlight w:val="none"/>
              </w:rPr>
              <w:t xml:space="preserve">方案专业、详细、可行</w:t>
            </w:r>
            <w:r>
              <w:rPr>
                <w:rStyle w:val="1447"/>
                <w:rFonts w:hint="eastAsia" w:ascii="宋体" w:hAnsi="宋体" w:cs="仿宋"/>
                <w:bCs/>
                <w:color w:val="000000"/>
                <w:sz w:val="24"/>
                <w:highlight w:val="none"/>
                <w:lang w:val="en-US"/>
              </w:rPr>
              <w:t xml:space="preserve">的</w:t>
            </w:r>
            <w:r>
              <w:rPr>
                <w:rStyle w:val="1447"/>
                <w:rFonts w:hint="eastAsia" w:ascii="宋体" w:hAnsi="宋体" w:cs="仿宋"/>
                <w:bCs/>
                <w:color w:val="000000"/>
                <w:sz w:val="24"/>
                <w:highlight w:val="none"/>
              </w:rPr>
              <w:t xml:space="preserve">得8分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方案较为专业、详细、可行</w:t>
            </w:r>
            <w:r>
              <w:rPr>
                <w:rStyle w:val="1447"/>
                <w:rFonts w:hint="eastAsia" w:ascii="宋体" w:hAnsi="宋体" w:cs="仿宋"/>
                <w:bCs/>
                <w:color w:val="000000"/>
                <w:sz w:val="24"/>
                <w:highlight w:val="none"/>
                <w:lang w:val="en-US"/>
              </w:rPr>
              <w:t xml:space="preserve">的</w:t>
            </w:r>
            <w:r>
              <w:rPr>
                <w:rStyle w:val="1447"/>
                <w:rFonts w:hint="eastAsia" w:ascii="宋体" w:hAnsi="宋体" w:cs="仿宋"/>
                <w:bCs/>
                <w:color w:val="000000"/>
                <w:sz w:val="24"/>
                <w:highlight w:val="none"/>
              </w:rPr>
              <w:t xml:space="preserve">得6分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方案一般的得4分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方案较差的得</w:t>
            </w:r>
            <w:r>
              <w:rPr>
                <w:rStyle w:val="1447"/>
                <w:rFonts w:hint="eastAsia" w:ascii="宋体" w:hAnsi="宋体" w:cs="仿宋"/>
                <w:bCs/>
                <w:color w:val="000000"/>
                <w:sz w:val="24"/>
                <w:highlight w:val="none"/>
                <w:lang w:val="en-US" w:eastAsia="zh-CN"/>
              </w:rPr>
              <w:t xml:space="preserve">2</w:t>
            </w:r>
            <w:r>
              <w:rPr>
                <w:rStyle w:val="1447"/>
                <w:rFonts w:hint="eastAsia" w:ascii="宋体" w:hAnsi="宋体" w:cs="仿宋"/>
                <w:bCs/>
                <w:color w:val="000000"/>
                <w:sz w:val="24"/>
                <w:highlight w:val="none"/>
              </w:rPr>
              <w:t xml:space="preserve">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未提供不得分。</w:t>
            </w:r>
            <w:r/>
          </w:p>
        </w:tc>
      </w:tr>
      <w:tr>
        <w:trPr>
          <w:trHeight w:val="17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widowControl/>
              <w:rPr>
                <w:rStyle w:val="1447"/>
                <w:rFonts w:hint="default" w:ascii="宋体" w:hAnsi="宋体" w:eastAsia="宋体" w:cs="仿宋"/>
                <w:b/>
                <w:bCs/>
                <w:color w:val="000000"/>
                <w:sz w:val="24"/>
                <w:highlight w:val="none"/>
                <w:lang w:val="en-US" w:eastAsia="zh-CN"/>
              </w:rPr>
            </w:pPr>
            <w:r>
              <w:rPr>
                <w:rStyle w:val="1447"/>
                <w:rFonts w:hint="eastAsia" w:ascii="宋体" w:hAnsi="宋体" w:cs="仿宋"/>
                <w:b/>
                <w:bCs/>
                <w:color w:val="000000"/>
                <w:sz w:val="24"/>
                <w:highlight w:val="none"/>
                <w:lang w:val="en-US" w:eastAsia="zh-CN"/>
              </w:rPr>
              <w:t xml:space="preserve">安全文明施工、环境保护和消防措施</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eastAsia" w:ascii="宋体" w:hAnsi="宋体" w:eastAsia="宋体" w:cs="仿宋"/>
                <w:b/>
                <w:bCs/>
                <w:color w:val="000000"/>
                <w:sz w:val="24"/>
                <w:highlight w:val="none"/>
                <w:lang w:eastAsia="zh-CN"/>
              </w:rPr>
            </w:pPr>
            <w:r>
              <w:rPr>
                <w:rFonts w:hint="eastAsia" w:ascii="宋体" w:hAnsi="宋体" w:cs="宋体"/>
                <w:b/>
                <w:bCs/>
                <w:color w:val="000000"/>
                <w:sz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lang w:val="en-US" w:eastAsia="zh-CN"/>
              </w:rPr>
            </w:pPr>
            <w:r>
              <w:rPr>
                <w:rStyle w:val="1447"/>
                <w:rFonts w:hint="eastAsia" w:ascii="宋体" w:hAnsi="宋体" w:cs="仿宋"/>
                <w:bCs/>
                <w:color w:val="000000"/>
                <w:sz w:val="24"/>
                <w:highlight w:val="none"/>
              </w:rPr>
              <w:t xml:space="preserve">安全文明施工、环境保护和消防措施:要做到有项目部安全生产目标、安全组织结构和安全生产责任</w:t>
            </w:r>
            <w:r>
              <w:rPr>
                <w:rStyle w:val="1447"/>
                <w:rFonts w:hint="eastAsia" w:ascii="宋体" w:hAnsi="宋体" w:cs="仿宋"/>
                <w:bCs/>
                <w:color w:val="000000"/>
                <w:sz w:val="24"/>
                <w:highlight w:val="none"/>
                <w:lang w:val="en-US" w:eastAsia="zh-CN"/>
              </w:rPr>
              <w:t xml:space="preserve">制，安全教育和持证上岗。施工现场临时用电、机械设备和施工机具等方案符合安全、文明要求。有环境保护措施、消防保证措施。</w:t>
            </w:r>
            <w:r/>
          </w:p>
          <w:p>
            <w:pPr>
              <w:ind w:firstLine="480"/>
              <w:jc w:val="left"/>
              <w:spacing w:line="360" w:lineRule="exact"/>
              <w:rPr>
                <w:rStyle w:val="1447"/>
                <w:rFonts w:hint="default" w:ascii="宋体" w:hAnsi="宋体" w:cs="仿宋"/>
                <w:bCs/>
                <w:color w:val="000000"/>
                <w:sz w:val="24"/>
                <w:highlight w:val="none"/>
                <w:lang w:val="en-US" w:eastAsia="zh-CN"/>
              </w:rPr>
            </w:pPr>
            <w:r>
              <w:rPr>
                <w:rStyle w:val="1447"/>
                <w:rFonts w:hint="eastAsia" w:ascii="宋体" w:hAnsi="宋体" w:cs="仿宋"/>
                <w:bCs/>
                <w:color w:val="000000"/>
                <w:sz w:val="24"/>
                <w:highlight w:val="none"/>
              </w:rPr>
              <w:t xml:space="preserve">方案专业、详细、可行</w:t>
            </w:r>
            <w:r>
              <w:rPr>
                <w:rStyle w:val="1447"/>
                <w:rFonts w:hint="eastAsia" w:ascii="宋体" w:hAnsi="宋体" w:cs="仿宋"/>
                <w:bCs/>
                <w:color w:val="000000"/>
                <w:sz w:val="24"/>
                <w:highlight w:val="none"/>
                <w:lang w:val="en-US"/>
              </w:rPr>
              <w:t xml:space="preserve">的</w:t>
            </w:r>
            <w:r>
              <w:rPr>
                <w:rStyle w:val="1447"/>
                <w:rFonts w:hint="eastAsia" w:ascii="宋体" w:hAnsi="宋体" w:cs="仿宋"/>
                <w:bCs/>
                <w:color w:val="000000"/>
                <w:sz w:val="24"/>
                <w:highlight w:val="none"/>
              </w:rPr>
              <w:t xml:space="preserve">得8分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方案较为专业、详细、可行</w:t>
            </w:r>
            <w:r>
              <w:rPr>
                <w:rStyle w:val="1447"/>
                <w:rFonts w:hint="eastAsia" w:ascii="宋体" w:hAnsi="宋体" w:cs="仿宋"/>
                <w:bCs/>
                <w:color w:val="000000"/>
                <w:sz w:val="24"/>
                <w:highlight w:val="none"/>
                <w:lang w:val="en-US"/>
              </w:rPr>
              <w:t xml:space="preserve">的</w:t>
            </w:r>
            <w:r>
              <w:rPr>
                <w:rStyle w:val="1447"/>
                <w:rFonts w:hint="eastAsia" w:ascii="宋体" w:hAnsi="宋体" w:cs="仿宋"/>
                <w:bCs/>
                <w:color w:val="000000"/>
                <w:sz w:val="24"/>
                <w:highlight w:val="none"/>
              </w:rPr>
              <w:t xml:space="preserve">得6分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方案一般的得4分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方案较差的得</w:t>
            </w:r>
            <w:r>
              <w:rPr>
                <w:rStyle w:val="1447"/>
                <w:rFonts w:hint="eastAsia" w:ascii="宋体" w:hAnsi="宋体" w:cs="仿宋"/>
                <w:bCs/>
                <w:color w:val="000000"/>
                <w:sz w:val="24"/>
                <w:highlight w:val="none"/>
                <w:lang w:val="en-US" w:eastAsia="zh-CN"/>
              </w:rPr>
              <w:t xml:space="preserve">2</w:t>
            </w:r>
            <w:r>
              <w:rPr>
                <w:rStyle w:val="1447"/>
                <w:rFonts w:hint="eastAsia" w:ascii="宋体" w:hAnsi="宋体" w:cs="仿宋"/>
                <w:bCs/>
                <w:color w:val="000000"/>
                <w:sz w:val="24"/>
                <w:highlight w:val="none"/>
              </w:rPr>
              <w:t xml:space="preserve">分</w:t>
            </w:r>
            <w:r>
              <w:rPr>
                <w:rStyle w:val="1447"/>
                <w:rFonts w:hint="eastAsia" w:ascii="宋体" w:hAnsi="宋体" w:cs="仿宋"/>
                <w:bCs/>
                <w:color w:val="000000"/>
                <w:sz w:val="24"/>
                <w:highlight w:val="none"/>
                <w:lang w:eastAsia="zh-CN"/>
              </w:rPr>
              <w:t xml:space="preserve">；</w:t>
            </w:r>
            <w:r>
              <w:rPr>
                <w:rStyle w:val="1447"/>
                <w:rFonts w:hint="eastAsia" w:ascii="宋体" w:hAnsi="宋体" w:cs="仿宋"/>
                <w:bCs/>
                <w:color w:val="000000"/>
                <w:sz w:val="24"/>
                <w:highlight w:val="none"/>
              </w:rPr>
              <w:t xml:space="preserve">未提供不得分。</w:t>
            </w:r>
            <w:r/>
          </w:p>
        </w:tc>
      </w:tr>
      <w:tr>
        <w:trPr>
          <w:trHeight w:val="17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Style w:val="1447"/>
                <w:rFonts w:ascii="宋体" w:hAnsi="宋体" w:cs="仿宋"/>
                <w:b/>
                <w:bCs/>
                <w:color w:val="000000"/>
                <w:sz w:val="24"/>
                <w:highlight w:val="none"/>
              </w:rPr>
            </w:pPr>
            <w:r>
              <w:rPr>
                <w:rStyle w:val="1447"/>
                <w:rFonts w:hint="eastAsia" w:ascii="宋体" w:hAnsi="宋体" w:cs="仿宋"/>
                <w:b/>
                <w:bCs/>
                <w:color w:val="000000"/>
                <w:sz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widowControl/>
              <w:rPr>
                <w:rStyle w:val="1447"/>
                <w:rFonts w:hint="default" w:ascii="宋体" w:hAnsi="宋体" w:eastAsia="宋体" w:cs="仿宋"/>
                <w:b/>
                <w:bCs/>
                <w:color w:val="000000"/>
                <w:sz w:val="24"/>
                <w:highlight w:val="none"/>
                <w:lang w:val="en-US" w:eastAsia="zh-CN"/>
              </w:rPr>
            </w:pPr>
            <w:r>
              <w:rPr>
                <w:rStyle w:val="1447"/>
                <w:rFonts w:hint="eastAsia" w:ascii="宋体" w:hAnsi="宋体" w:cs="仿宋"/>
                <w:b/>
                <w:bCs/>
                <w:color w:val="000000"/>
                <w:sz w:val="24"/>
                <w:highlight w:val="none"/>
              </w:rPr>
              <w:t xml:space="preserve">项目现场管理班</w:t>
            </w:r>
            <w:r>
              <w:rPr>
                <w:rStyle w:val="1447"/>
                <w:rFonts w:hint="eastAsia" w:ascii="宋体" w:hAnsi="宋体" w:cs="仿宋"/>
                <w:b/>
                <w:bCs/>
                <w:color w:val="000000"/>
                <w:sz w:val="24"/>
                <w:highlight w:val="none"/>
                <w:lang w:val="en-US" w:eastAsia="zh-CN"/>
              </w:rPr>
              <w:t xml:space="preserve">子的人员配备、素质及管理经验</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eastAsia" w:ascii="宋体" w:hAnsi="宋体" w:eastAsia="宋体" w:cs="仿宋"/>
                <w:b/>
                <w:bCs/>
                <w:color w:val="000000"/>
                <w:sz w:val="24"/>
                <w:highlight w:val="none"/>
                <w:lang w:eastAsia="zh-CN"/>
              </w:rPr>
            </w:pPr>
            <w:r>
              <w:rPr>
                <w:rFonts w:hint="eastAsia" w:ascii="宋体" w:hAnsi="宋体" w:cs="宋体"/>
                <w:b/>
                <w:bCs/>
                <w:color w:val="000000"/>
                <w:sz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lang w:val="en-US" w:eastAsia="zh-CN"/>
              </w:rPr>
            </w:pPr>
            <w:r>
              <w:rPr>
                <w:rStyle w:val="1447"/>
                <w:rFonts w:hint="eastAsia" w:ascii="宋体" w:hAnsi="宋体" w:cs="仿宋"/>
                <w:bCs/>
                <w:color w:val="000000"/>
                <w:sz w:val="24"/>
                <w:highlight w:val="none"/>
              </w:rPr>
              <w:t xml:space="preserve">项目现场管理班</w:t>
            </w:r>
            <w:r>
              <w:rPr>
                <w:rStyle w:val="1447"/>
                <w:rFonts w:hint="eastAsia" w:ascii="宋体" w:hAnsi="宋体" w:cs="仿宋"/>
                <w:bCs/>
                <w:color w:val="000000"/>
                <w:sz w:val="24"/>
                <w:highlight w:val="none"/>
                <w:lang w:val="en-US" w:eastAsia="zh-CN"/>
              </w:rPr>
              <w:t xml:space="preserve">子的人员配备、素质及管理经验：包括项目负责人、工程师、安全员、质量员、施工员、材料员、劳务员。</w:t>
            </w:r>
            <w:r/>
          </w:p>
          <w:p>
            <w:pPr>
              <w:ind w:firstLine="480"/>
              <w:jc w:val="left"/>
              <w:spacing w:line="360" w:lineRule="exact"/>
              <w:rPr>
                <w:rStyle w:val="1447"/>
                <w:rFonts w:hint="default" w:ascii="宋体" w:hAnsi="宋体" w:cs="仿宋"/>
                <w:bCs/>
                <w:color w:val="000000"/>
                <w:sz w:val="24"/>
                <w:highlight w:val="none"/>
                <w:lang w:val="en-US" w:eastAsia="zh-CN"/>
              </w:rPr>
            </w:pPr>
            <w:r>
              <w:rPr>
                <w:rStyle w:val="1447"/>
                <w:rFonts w:hint="eastAsia" w:ascii="宋体" w:hAnsi="宋体" w:cs="仿宋"/>
                <w:bCs/>
                <w:color w:val="000000"/>
                <w:sz w:val="24"/>
                <w:highlight w:val="none"/>
                <w:lang w:val="en-US" w:eastAsia="zh-CN"/>
              </w:rPr>
              <w:t xml:space="preserve">人员配备齐全、管理经验丰富的得7分；人员配备齐全、管理经验较为丰富的得5分；人员不配备齐全、管理经验一般的得3分；人员不配备齐全、管理经验差的得1分；</w:t>
            </w:r>
            <w:r>
              <w:rPr>
                <w:rStyle w:val="1447"/>
                <w:rFonts w:hint="eastAsia" w:ascii="宋体" w:hAnsi="宋体" w:cs="仿宋"/>
                <w:bCs/>
                <w:color w:val="000000"/>
                <w:sz w:val="24"/>
                <w:highlight w:val="none"/>
              </w:rPr>
              <w:t xml:space="preserve">未提供不得分。</w:t>
            </w:r>
            <w:r/>
          </w:p>
        </w:tc>
      </w:tr>
      <w:tr>
        <w:trPr>
          <w:trHeight w:val="17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exact"/>
              <w:rPr>
                <w:rStyle w:val="1447"/>
                <w:rFonts w:hint="eastAsia" w:ascii="宋体" w:hAnsi="宋体" w:cs="仿宋"/>
                <w:b/>
                <w:bCs/>
                <w:color w:val="000000"/>
                <w:sz w:val="24"/>
                <w:highlight w:val="none"/>
              </w:rPr>
            </w:pPr>
            <w:r>
              <w:rPr>
                <w:rStyle w:val="1447"/>
                <w:rFonts w:hint="eastAsia" w:ascii="宋体" w:hAnsi="宋体" w:cs="仿宋"/>
                <w:b/>
                <w:bCs/>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line="360" w:lineRule="exact"/>
              <w:rPr>
                <w:rStyle w:val="1447"/>
                <w:rFonts w:hint="eastAsia" w:ascii="宋体" w:hAnsi="宋体" w:cs="仿宋"/>
                <w:b/>
                <w:bCs/>
                <w:color w:val="000000"/>
                <w:sz w:val="24"/>
                <w:highlight w:val="none"/>
              </w:rPr>
            </w:pPr>
            <w:r>
              <w:rPr>
                <w:rStyle w:val="1447"/>
                <w:rFonts w:hint="eastAsia" w:ascii="宋体" w:hAnsi="宋体" w:cs="仿宋"/>
                <w:b/>
                <w:bCs/>
                <w:color w:val="000000"/>
                <w:sz w:val="24"/>
                <w:highlight w:val="none"/>
              </w:rPr>
              <w:t xml:space="preserve">客观分</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Style w:val="1447"/>
                <w:rFonts w:hint="default" w:ascii="宋体" w:hAnsi="宋体" w:eastAsia="宋体" w:cs="仿宋"/>
                <w:b/>
                <w:bCs/>
                <w:color w:val="000000"/>
                <w:sz w:val="24"/>
                <w:highlight w:val="none"/>
                <w:lang w:val="en-US" w:eastAsia="zh-CN"/>
              </w:rPr>
            </w:pPr>
            <w:r>
              <w:rPr>
                <w:rStyle w:val="1447"/>
                <w:rFonts w:hint="eastAsia" w:ascii="宋体" w:hAnsi="宋体" w:cs="仿宋"/>
                <w:b/>
                <w:bCs/>
                <w:color w:val="000000"/>
                <w:sz w:val="24"/>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jc w:val="left"/>
              <w:spacing w:line="360" w:lineRule="exact"/>
              <w:rPr>
                <w:rStyle w:val="1447"/>
                <w:rFonts w:hint="eastAsia" w:ascii="宋体" w:hAnsi="宋体" w:cs="仿宋"/>
                <w:bCs/>
                <w:color w:val="000000"/>
                <w:sz w:val="24"/>
                <w:highlight w:val="none"/>
              </w:rPr>
            </w:pPr>
            <w:r>
              <w:rPr>
                <w:rFonts w:hint="eastAsia" w:ascii="宋体" w:hAnsi="宋体" w:cs="仿宋"/>
                <w:bCs/>
                <w:color w:val="000000"/>
                <w:sz w:val="24"/>
                <w:highlight w:val="none"/>
              </w:rPr>
            </w:r>
            <w:r/>
          </w:p>
        </w:tc>
      </w:tr>
      <w:tr>
        <w:trPr>
          <w:trHeight w:val="4565"/>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exact"/>
              <w:rPr>
                <w:rFonts w:hint="eastAsia" w:ascii="宋体" w:hAnsi="宋体" w:eastAsia="宋体" w:cs="仿宋"/>
                <w:b/>
                <w:bCs/>
                <w:color w:val="000000"/>
                <w:sz w:val="24"/>
                <w:szCs w:val="24"/>
                <w:highlight w:val="none"/>
                <w:lang w:val="en-US" w:eastAsia="zh-CN" w:bidi="ar-SA"/>
              </w:rPr>
            </w:pPr>
            <w:r>
              <w:rPr>
                <w:rStyle w:val="1447"/>
                <w:rFonts w:hint="eastAsia" w:ascii="宋体" w:hAnsi="宋体" w:cs="仿宋"/>
                <w:b/>
                <w:bCs/>
                <w:color w:val="000000"/>
                <w:sz w:val="24"/>
                <w:highlight w:val="none"/>
              </w:rPr>
              <w:t xml:space="preserve">3.</w:t>
            </w:r>
            <w:r>
              <w:rPr>
                <w:rStyle w:val="1447"/>
                <w:rFonts w:hint="eastAsia" w:ascii="宋体" w:hAnsi="宋体" w:cs="仿宋"/>
                <w:b/>
                <w:bCs/>
                <w:color w:val="000000"/>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line="360" w:lineRule="exact"/>
              <w:rPr>
                <w:rFonts w:hint="default" w:ascii="宋体" w:hAnsi="宋体" w:eastAsia="宋体" w:cs="仿宋"/>
                <w:b/>
                <w:bCs/>
                <w:color w:val="000000"/>
                <w:sz w:val="24"/>
                <w:szCs w:val="24"/>
                <w:highlight w:val="none"/>
                <w:lang w:val="en-US" w:eastAsia="zh-CN" w:bidi="ar-SA"/>
              </w:rPr>
            </w:pPr>
            <w:r>
              <w:rPr>
                <w:rFonts w:hint="eastAsia" w:ascii="宋体" w:hAnsi="宋体" w:cs="宋体"/>
                <w:b/>
                <w:bCs/>
                <w:color w:val="000000"/>
                <w:sz w:val="24"/>
                <w:highlight w:val="none"/>
              </w:rPr>
              <w:t xml:space="preserve">拟投入本项目人员</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Fonts w:hint="default" w:ascii="宋体" w:hAnsi="宋体" w:eastAsia="宋体" w:cs="仿宋"/>
                <w:b/>
                <w:bCs/>
                <w:color w:val="000000"/>
                <w:sz w:val="24"/>
                <w:szCs w:val="24"/>
                <w:highlight w:val="none"/>
                <w:lang w:val="en-US" w:eastAsia="zh-CN" w:bidi="ar-SA"/>
              </w:rPr>
            </w:pPr>
            <w:r>
              <w:rPr>
                <w:rFonts w:hint="eastAsia" w:ascii="宋体" w:hAnsi="宋体" w:cs="宋体"/>
                <w:b/>
                <w:bCs/>
                <w:color w:val="000000"/>
                <w:sz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拟派项目组成员（不含项目负责人），具有专职安全员C证的，有1人得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分，本项最高得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（2）拟派项目组成员（不含项目负责人），具有</w:t>
            </w:r>
            <w:r>
              <w:rPr>
                <w:rFonts w:hint="eastAsia" w:ascii="宋体" w:hAnsi="宋体"/>
                <w:color w:val="auto"/>
                <w:sz w:val="24"/>
                <w:highlight w:val="none"/>
              </w:rPr>
              <w:t xml:space="preserve">建筑工程</w:t>
            </w:r>
            <w:r>
              <w:rPr>
                <w:rFonts w:hint="eastAsia" w:ascii="宋体" w:hAnsi="宋体" w:cs="宋体"/>
                <w:color w:val="000000"/>
                <w:sz w:val="24"/>
                <w:highlight w:val="none"/>
                <w:lang w:val="zh-CN"/>
              </w:rPr>
              <w:t xml:space="preserve">专业二级及以上注册建造师证书的，每有1人得3分，本项最高得3分。</w:t>
            </w:r>
            <w:r/>
          </w:p>
          <w:p>
            <w:pPr>
              <w:ind w:firstLine="48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（3）拟派项目组成员（含项目负责人）具备中级及以上职称证书的，每有1人得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zh-CN"/>
              </w:rPr>
              <w:t xml:space="preserve">分，本项最高得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zh-CN"/>
              </w:rPr>
              <w:t xml:space="preserve">分。</w:t>
            </w:r>
            <w:r/>
          </w:p>
          <w:p>
            <w:pPr>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注：同一人满足（1）（2）（3）要求，按最高得分项计分，不得同时得分。</w:t>
            </w:r>
            <w:r/>
          </w:p>
          <w:p>
            <w:pPr>
              <w:ind w:firstLine="482"/>
              <w:jc w:val="left"/>
              <w:spacing w:line="360" w:lineRule="exact"/>
              <w:rPr>
                <w:rFonts w:hint="eastAsia" w:ascii="宋体" w:hAnsi="宋体" w:eastAsia="宋体" w:cs="仿宋"/>
                <w:b/>
                <w:bCs/>
                <w:color w:val="000000"/>
                <w:sz w:val="24"/>
                <w:szCs w:val="24"/>
                <w:highlight w:val="none"/>
                <w:lang w:val="en-US" w:eastAsia="zh-CN" w:bidi="ar-SA"/>
              </w:rPr>
            </w:pPr>
            <w:r>
              <w:rPr>
                <w:rFonts w:hint="eastAsia" w:ascii="宋体" w:hAnsi="宋体" w:cs="宋体"/>
                <w:b/>
                <w:bCs/>
                <w:color w:val="000000"/>
                <w:sz w:val="24"/>
                <w:highlight w:val="none"/>
              </w:rPr>
              <w:t xml:space="preserve">提供有效期内的安全员证书、注册</w:t>
            </w:r>
            <w:r>
              <w:rPr>
                <w:rFonts w:hint="eastAsia" w:ascii="宋体" w:hAnsi="宋体" w:cs="宋体"/>
                <w:b/>
                <w:bCs/>
                <w:color w:val="000000"/>
                <w:sz w:val="24"/>
                <w:highlight w:val="none"/>
                <w:lang w:eastAsia="zh-CN"/>
              </w:rPr>
              <w:t xml:space="preserve">建造</w:t>
            </w:r>
            <w:r>
              <w:rPr>
                <w:rFonts w:hint="eastAsia" w:ascii="宋体" w:hAnsi="宋体" w:cs="宋体"/>
                <w:b/>
                <w:bCs/>
                <w:color w:val="000000"/>
                <w:sz w:val="24"/>
                <w:highlight w:val="none"/>
              </w:rPr>
              <w:t xml:space="preserve">师证书、职称证书扫描件</w:t>
            </w:r>
            <w:r>
              <w:rPr>
                <w:rFonts w:hint="eastAsia" w:ascii="宋体" w:hAnsi="宋体" w:cs="宋体"/>
                <w:b/>
                <w:bCs/>
                <w:color w:val="000000"/>
                <w:sz w:val="24"/>
                <w:highlight w:val="none"/>
                <w:lang w:eastAsia="zh-CN"/>
              </w:rPr>
              <w:t xml:space="preserve">以及</w:t>
            </w:r>
            <w:r>
              <w:rPr>
                <w:rFonts w:hint="eastAsia" w:ascii="宋体" w:hAnsi="宋体" w:eastAsia="宋体" w:cs="宋体"/>
                <w:b/>
                <w:bCs/>
                <w:color w:val="000000"/>
                <w:sz w:val="24"/>
                <w:highlight w:val="none"/>
                <w:lang w:val="en-US" w:eastAsia="zh-CN"/>
              </w:rPr>
              <w:t xml:space="preserve">供应商为对应人员缴纳的202</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en-US" w:eastAsia="zh-CN"/>
              </w:rPr>
              <w:t xml:space="preserve">年6月至202</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en-US" w:eastAsia="zh-CN"/>
              </w:rPr>
              <w:t xml:space="preserve">年8月连续3个月的社保证明</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rPr>
              <w:t xml:space="preserve">并加盖供应商公章。</w:t>
            </w:r>
            <w:r/>
          </w:p>
        </w:tc>
      </w:tr>
      <w:tr>
        <w:trPr>
          <w:trHeight w:val="183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spacing w:line="360" w:lineRule="exact"/>
              <w:rPr>
                <w:rFonts w:hint="eastAsia" w:ascii="宋体" w:hAnsi="宋体" w:eastAsia="宋体" w:cs="仿宋"/>
                <w:b/>
                <w:bCs/>
                <w:color w:val="000000"/>
                <w:sz w:val="24"/>
                <w:szCs w:val="24"/>
                <w:highlight w:val="none"/>
                <w:lang w:val="en-US" w:eastAsia="zh-CN" w:bidi="ar-SA"/>
              </w:rPr>
            </w:pPr>
            <w:r>
              <w:rPr>
                <w:rStyle w:val="1447"/>
                <w:rFonts w:ascii="宋体" w:hAnsi="宋体" w:cs="仿宋"/>
                <w:b/>
                <w:bCs/>
                <w:color w:val="000000"/>
                <w:sz w:val="24"/>
                <w:highlight w:val="none"/>
              </w:rPr>
              <w:t xml:space="preserve">3.</w:t>
            </w:r>
            <w:r>
              <w:rPr>
                <w:rStyle w:val="1447"/>
                <w:rFonts w:hint="eastAsia" w:ascii="宋体" w:hAnsi="宋体" w:cs="仿宋"/>
                <w:b/>
                <w:bCs/>
                <w:color w:val="000000"/>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line="360" w:lineRule="exact"/>
              <w:rPr>
                <w:rFonts w:hint="eastAsia" w:ascii="宋体" w:hAnsi="宋体" w:eastAsia="宋体" w:cs="仿宋"/>
                <w:b/>
                <w:bCs/>
                <w:color w:val="000000"/>
                <w:sz w:val="24"/>
                <w:szCs w:val="24"/>
                <w:highlight w:val="none"/>
                <w:lang w:val="en-US" w:eastAsia="zh-CN" w:bidi="ar-SA"/>
              </w:rPr>
            </w:pPr>
            <w:r>
              <w:rPr>
                <w:rFonts w:hint="eastAsia" w:ascii="宋体" w:hAnsi="宋体" w:cs="宋体"/>
                <w:b/>
                <w:bCs/>
                <w:color w:val="000000"/>
                <w:sz w:val="24"/>
                <w:highlight w:val="none"/>
              </w:rPr>
              <w:t xml:space="preserve">类似业绩</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spacing w:line="360" w:lineRule="exact"/>
              <w:rPr>
                <w:rFonts w:hint="eastAsia" w:ascii="宋体" w:hAnsi="宋体" w:eastAsia="宋体" w:cs="仿宋"/>
                <w:b/>
                <w:bCs/>
                <w:color w:val="000000"/>
                <w:sz w:val="24"/>
                <w:szCs w:val="24"/>
                <w:highlight w:val="none"/>
                <w:lang w:val="en-US" w:eastAsia="zh-CN" w:bidi="ar-SA"/>
              </w:rPr>
            </w:pPr>
            <w:r>
              <w:rPr>
                <w:rFonts w:hint="eastAsia" w:ascii="宋体" w:hAnsi="宋体" w:cs="宋体"/>
                <w:b/>
                <w:bCs/>
                <w:color w:val="000000"/>
                <w:sz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ind w:firstLine="482"/>
              <w:jc w:val="left"/>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供应商自202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val="zh-CN"/>
              </w:rPr>
              <w:t xml:space="preserve">月1日以来完成的类似项目业绩。每有1份合同得3分，最高得12分。</w:t>
            </w:r>
            <w:r/>
          </w:p>
          <w:p>
            <w:pPr>
              <w:ind w:firstLine="482"/>
              <w:jc w:val="left"/>
              <w:spacing w:line="360" w:lineRule="exact"/>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highlight w:val="none"/>
                <w:lang w:val="en-US" w:eastAsia="zh-CN"/>
              </w:rPr>
              <w:t xml:space="preserve">注：</w:t>
            </w:r>
            <w:r>
              <w:rPr>
                <w:rFonts w:hint="eastAsia" w:ascii="宋体" w:hAnsi="宋体" w:cs="宋体"/>
                <w:b/>
                <w:bCs/>
                <w:color w:val="000000"/>
                <w:sz w:val="24"/>
                <w:highlight w:val="none"/>
                <w:lang w:val="zh-CN"/>
              </w:rPr>
              <w:t xml:space="preserve">提供业绩合同及竣工（或交付）验收单，时间以合同签订时间为准。</w:t>
            </w:r>
            <w:r/>
          </w:p>
        </w:tc>
      </w:tr>
    </w:tbl>
    <w:p>
      <w:pPr>
        <w:jc w:val="center"/>
        <w:spacing w:line="360" w:lineRule="auto"/>
        <w:rPr>
          <w:b/>
          <w:sz w:val="36"/>
          <w:szCs w:val="36"/>
        </w:rPr>
        <w:sectPr>
          <w:footnotePr/>
          <w:endnotePr/>
          <w:type w:val="nextPage"/>
          <w:pgSz w:w="11907" w:h="16840" w:orient="portrait"/>
          <w:pgMar w:top="1418" w:right="966" w:bottom="1418" w:left="1701" w:header="851" w:footer="851" w:gutter="0"/>
          <w:cols w:num="1" w:sep="0" w:space="1701" w:equalWidth="1"/>
          <w:docGrid w:linePitch="360"/>
        </w:sectPr>
        <w:outlineLvl w:val="0"/>
      </w:pPr>
      <w:r>
        <w:rPr>
          <w:b/>
          <w:sz w:val="36"/>
          <w:szCs w:val="36"/>
        </w:rPr>
      </w:r>
      <w:r/>
    </w:p>
    <w:p>
      <w:pPr>
        <w:jc w:val="center"/>
        <w:spacing w:line="360" w:lineRule="auto"/>
        <w:rPr>
          <w:rFonts w:ascii="Times New Roman" w:hAnsi="Times New Roman" w:eastAsia="宋体" w:cs="Times New Roman"/>
          <w:b/>
          <w:sz w:val="36"/>
          <w:szCs w:val="36"/>
        </w:rPr>
        <w:outlineLvl w:val="0"/>
      </w:pPr>
      <w:r>
        <w:rPr>
          <w:rFonts w:ascii="Times New Roman" w:hAnsi="Times New Roman" w:eastAsia="宋体" w:cs="Times New Roman"/>
          <w:b/>
          <w:sz w:val="36"/>
          <w:szCs w:val="36"/>
        </w:rPr>
        <w:t xml:space="preserve">第四章   采购需求</w:t>
      </w:r>
      <w:r/>
    </w:p>
    <w:p>
      <w:pPr>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一、采购标的</w:t>
      </w:r>
      <w:r/>
    </w:p>
    <w:p>
      <w:pPr>
        <w:ind w:firstLine="480"/>
        <w:spacing w:line="440" w:lineRule="exact"/>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1、采购内容：本项目为</w:t>
      </w:r>
      <w:r>
        <w:rPr>
          <w:rFonts w:hint="eastAsia" w:ascii="宋体" w:hAnsi="宋体" w:cs="Times New Roman"/>
          <w:bCs/>
          <w:color w:val="000000"/>
          <w:sz w:val="24"/>
          <w:lang w:val="en-US" w:eastAsia="zh-CN"/>
        </w:rPr>
        <w:t xml:space="preserve">南夏墅集镇区市容环境综合整治提升</w:t>
      </w:r>
      <w:r>
        <w:rPr>
          <w:rFonts w:hint="eastAsia" w:ascii="宋体" w:hAnsi="宋体" w:eastAsia="宋体" w:cs="Times New Roman"/>
          <w:bCs/>
          <w:color w:val="000000"/>
          <w:sz w:val="24"/>
          <w:lang w:val="en-US" w:eastAsia="zh-CN"/>
        </w:rPr>
        <w:t xml:space="preserve">，主要为南夏墅集镇街区沿街建筑物墙面、屋面及配套设施整修，具体内容详见工程量清单（含编制说明）。</w:t>
      </w:r>
      <w:r/>
    </w:p>
    <w:p>
      <w:pPr>
        <w:ind w:firstLine="480"/>
        <w:spacing w:line="440" w:lineRule="exact"/>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2、质量要求：合格</w:t>
      </w:r>
      <w:r/>
    </w:p>
    <w:p>
      <w:pPr>
        <w:ind w:firstLine="480"/>
        <w:spacing w:line="440" w:lineRule="exact"/>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3、质保期：贰年，自验收合格之日起计算。</w:t>
      </w:r>
      <w:r/>
    </w:p>
    <w:p>
      <w:pPr>
        <w:ind w:firstLine="480"/>
        <w:spacing w:line="440" w:lineRule="exact"/>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4、招标范围：</w:t>
      </w:r>
      <w:r>
        <w:rPr>
          <w:rFonts w:hint="eastAsia" w:ascii="宋体" w:hAnsi="宋体" w:cs="Times New Roman"/>
          <w:bCs/>
          <w:color w:val="000000"/>
          <w:sz w:val="24"/>
          <w:lang w:val="en-US" w:eastAsia="zh-CN"/>
        </w:rPr>
        <w:t xml:space="preserve">图纸及</w:t>
      </w:r>
      <w:r>
        <w:rPr>
          <w:rFonts w:hint="eastAsia" w:ascii="宋体" w:hAnsi="宋体" w:eastAsia="宋体" w:cs="Times New Roman"/>
          <w:bCs/>
          <w:color w:val="000000"/>
          <w:sz w:val="24"/>
          <w:lang w:val="en-US" w:eastAsia="zh-CN"/>
        </w:rPr>
        <w:t xml:space="preserve">工程量清单（含编制说明）范围内全部工程</w:t>
      </w:r>
      <w:r/>
    </w:p>
    <w:p>
      <w:pPr>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二、商务要求</w:t>
      </w:r>
      <w:r/>
    </w:p>
    <w:p>
      <w:pPr>
        <w:ind w:firstLine="482"/>
        <w:spacing w:line="440" w:lineRule="exact"/>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（一）合同履行期限</w:t>
      </w:r>
      <w:r/>
    </w:p>
    <w:p>
      <w:pPr>
        <w:ind w:firstLine="480"/>
        <w:spacing w:line="440" w:lineRule="exact"/>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合同签订后90日历天内完成清单范围内的全部工程，保修要求按质量保修书执行。 </w:t>
      </w:r>
      <w:r/>
    </w:p>
    <w:p>
      <w:pPr>
        <w:ind w:firstLine="482"/>
        <w:spacing w:line="440" w:lineRule="exact"/>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（二）付款方式</w:t>
      </w:r>
      <w:r/>
    </w:p>
    <w:p>
      <w:pPr>
        <w:ind w:firstLine="480"/>
        <w:spacing w:line="440" w:lineRule="exac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1、合同签订后7天内支付合同价的10%（含安全文明施工费、不含暂估价、暂列金）作为预付款；</w:t>
      </w:r>
      <w:r/>
    </w:p>
    <w:p>
      <w:pPr>
        <w:ind w:firstLine="480"/>
        <w:spacing w:line="440" w:lineRule="exac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2、工程质量竣工验收合格后，工程款付至合同价（含安全文明施工费、不含暂估价、暂列金）的 80%，同时应扣回预付款；</w:t>
      </w:r>
      <w:r/>
    </w:p>
    <w:p>
      <w:pPr>
        <w:ind w:firstLine="480"/>
        <w:spacing w:line="440" w:lineRule="exac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3、工程竣工验收合格且审计完成后，7天内付至审定价的97%；</w:t>
      </w:r>
      <w:r/>
    </w:p>
    <w:p>
      <w:pPr>
        <w:ind w:firstLine="480"/>
        <w:spacing w:line="440" w:lineRule="exact"/>
        <w:rPr>
          <w:rFonts w:hint="eastAsia" w:ascii="宋体" w:hAnsi="宋体" w:eastAsia="宋体" w:cs="Times New Roman"/>
          <w:b w:val="0"/>
          <w:bCs/>
          <w:color w:val="auto"/>
          <w:sz w:val="24"/>
          <w:lang w:val="en-US" w:eastAsia="zh-CN"/>
        </w:rPr>
      </w:pPr>
      <w:r>
        <w:rPr>
          <w:rFonts w:hint="eastAsia" w:ascii="宋体" w:hAnsi="宋体" w:eastAsia="宋体" w:cs="Times New Roman"/>
          <w:b w:val="0"/>
          <w:bCs/>
          <w:color w:val="auto"/>
          <w:sz w:val="24"/>
          <w:lang w:val="en-US" w:eastAsia="zh-CN"/>
        </w:rPr>
        <w:t xml:space="preserve">4、剩余3%质保金待质保期满后7天内付清（无息）；</w:t>
      </w:r>
      <w:r/>
    </w:p>
    <w:p>
      <w:pPr>
        <w:ind w:firstLine="480"/>
        <w:spacing w:line="440" w:lineRule="exact"/>
        <w:rPr>
          <w:rFonts w:hint="eastAsia" w:ascii="宋体" w:hAnsi="宋体" w:eastAsia="宋体" w:cs="Times New Roman"/>
          <w:b w:val="0"/>
          <w:bCs/>
          <w:sz w:val="24"/>
          <w:lang w:val="en-US" w:eastAsia="zh-CN"/>
        </w:rPr>
      </w:pPr>
      <w:r>
        <w:rPr>
          <w:rFonts w:hint="eastAsia" w:ascii="宋体" w:hAnsi="宋体" w:eastAsia="宋体" w:cs="Times New Roman"/>
          <w:b w:val="0"/>
          <w:bCs/>
          <w:color w:val="auto"/>
          <w:sz w:val="24"/>
          <w:lang w:val="en-US" w:eastAsia="zh-CN"/>
        </w:rPr>
        <w:t xml:space="preserve">5、每次付款前，成交供应商必须提交符合国家财税规定的正规发票，采购人见票付款。</w:t>
      </w:r>
      <w:r/>
    </w:p>
    <w:p>
      <w:pPr>
        <w:ind w:firstLine="482"/>
        <w:spacing w:line="440" w:lineRule="exact"/>
        <w:rPr>
          <w:rFonts w:hint="default"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三、</w:t>
      </w:r>
      <w:r>
        <w:rPr>
          <w:rFonts w:hint="eastAsia" w:ascii="宋体" w:hAnsi="宋体" w:cs="Times New Roman"/>
          <w:b/>
          <w:bCs w:val="0"/>
          <w:sz w:val="24"/>
          <w:lang w:val="en-US" w:eastAsia="zh-CN"/>
        </w:rPr>
        <w:t xml:space="preserve">技术要求</w:t>
      </w:r>
      <w:r/>
    </w:p>
    <w:p>
      <w:pPr>
        <w:ind w:firstLine="482"/>
        <w:spacing w:line="440" w:lineRule="exact"/>
        <w:rPr>
          <w:rFonts w:hint="eastAsia" w:ascii="宋体" w:hAnsi="宋体" w:eastAsia="宋体" w:cs="Times New Roman"/>
          <w:b w:val="0"/>
          <w:bCs/>
          <w:color w:val="auto"/>
          <w:sz w:val="24"/>
          <w:lang w:val="en-US" w:eastAsia="zh-CN"/>
        </w:rPr>
      </w:pPr>
      <w:r>
        <w:rPr>
          <w:rFonts w:hint="eastAsia" w:ascii="宋体" w:hAnsi="宋体" w:eastAsia="宋体" w:cs="Times New Roman"/>
          <w:b w:val="0"/>
          <w:bCs/>
          <w:sz w:val="24"/>
          <w:lang w:val="en-US" w:eastAsia="zh-CN"/>
        </w:rPr>
        <w:t xml:space="preserve">图纸、工程量清单、</w:t>
      </w:r>
      <w:r>
        <w:rPr>
          <w:rFonts w:hint="eastAsia" w:ascii="宋体" w:hAnsi="宋体" w:cs="Times New Roman"/>
          <w:b w:val="0"/>
          <w:bCs/>
          <w:sz w:val="24"/>
          <w:lang w:val="en-US" w:eastAsia="zh-CN"/>
        </w:rPr>
        <w:t xml:space="preserve">招标</w:t>
      </w:r>
      <w:r>
        <w:rPr>
          <w:rFonts w:hint="eastAsia" w:ascii="宋体" w:hAnsi="宋体" w:eastAsia="宋体" w:cs="Times New Roman"/>
          <w:b w:val="0"/>
          <w:bCs/>
          <w:sz w:val="24"/>
          <w:lang w:val="en-US" w:eastAsia="zh-CN"/>
        </w:rPr>
        <w:t xml:space="preserve">控制价、编制说明</w:t>
      </w:r>
      <w:r>
        <w:rPr>
          <w:rFonts w:hint="eastAsia" w:ascii="宋体" w:hAnsi="宋体" w:cs="Times New Roman"/>
          <w:b w:val="0"/>
          <w:bCs/>
          <w:sz w:val="24"/>
          <w:lang w:val="en-US" w:eastAsia="zh-CN"/>
        </w:rPr>
        <w:t xml:space="preserve">（</w:t>
      </w:r>
      <w:r>
        <w:rPr>
          <w:rFonts w:hint="eastAsia" w:ascii="宋体" w:hAnsi="宋体" w:eastAsia="宋体" w:cs="Times New Roman"/>
          <w:b w:val="0"/>
          <w:bCs/>
          <w:color w:val="auto"/>
          <w:sz w:val="24"/>
          <w:lang w:val="en-US" w:eastAsia="zh-CN"/>
        </w:rPr>
        <w:t xml:space="preserve">详见附件</w:t>
      </w:r>
      <w:r>
        <w:rPr>
          <w:rFonts w:hint="eastAsia" w:ascii="宋体" w:hAnsi="宋体" w:cs="Times New Roman"/>
          <w:b w:val="0"/>
          <w:bCs/>
          <w:color w:val="auto"/>
          <w:sz w:val="24"/>
          <w:lang w:val="en-US" w:eastAsia="zh-CN"/>
        </w:rPr>
        <w:t xml:space="preserve">）</w:t>
      </w:r>
      <w:bookmarkStart w:id="1293" w:name="_GoBack"/>
      <w:r/>
      <w:bookmarkEnd w:id="1293"/>
      <w:r/>
      <w:r/>
    </w:p>
    <w:p>
      <w:pPr>
        <w:ind w:firstLine="482"/>
        <w:spacing w:line="440" w:lineRule="exact"/>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四、报价方式</w:t>
      </w:r>
      <w:r/>
    </w:p>
    <w:p>
      <w:pPr>
        <w:ind w:firstLine="480"/>
        <w:spacing w:line="440" w:lineRule="exact"/>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 xml:space="preserve">1、本工程采用“工程量清单计价方式”按固定综合单价计价。综合单价是相对于工程量清单计价而言，对完成一个规定计量单位的分部分项工程量清单项目或措施清单项目所需的人工费、材料费、税金、施工机械使用费和企业管理费与利润等所有费用，以及一定范围内的风险费用等，</w:t>
      </w:r>
      <w:r>
        <w:rPr>
          <w:rFonts w:hint="eastAsia" w:ascii="宋体" w:hAnsi="宋体"/>
          <w:bCs/>
          <w:sz w:val="24"/>
          <w:highlight w:val="none"/>
        </w:rPr>
        <w:t xml:space="preserve">采购人不再支付其他任何费用</w:t>
      </w:r>
      <w:r>
        <w:rPr>
          <w:rFonts w:hint="eastAsia" w:ascii="宋体" w:hAnsi="宋体" w:eastAsia="宋体" w:cs="Times New Roman"/>
          <w:b w:val="0"/>
          <w:bCs/>
          <w:sz w:val="24"/>
          <w:lang w:val="en-US" w:eastAsia="zh-CN"/>
        </w:rPr>
        <w:t xml:space="preserve">。</w:t>
      </w:r>
      <w:r/>
    </w:p>
    <w:p>
      <w:pPr>
        <w:ind w:firstLine="482"/>
        <w:spacing w:line="440" w:lineRule="exact"/>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五、工程量清单编制说明</w:t>
      </w:r>
      <w:r/>
    </w:p>
    <w:p>
      <w:pPr>
        <w:ind w:firstLine="480"/>
        <w:spacing w:line="440" w:lineRule="exact"/>
        <w:rPr>
          <w:rFonts w:hint="eastAsia" w:ascii="宋体" w:hAnsi="宋体" w:eastAsia="宋体" w:cs="Times New Roman"/>
          <w:bCs/>
          <w:color w:val="0000ff"/>
          <w:sz w:val="24"/>
          <w:lang w:val="en-US" w:eastAsia="zh-CN"/>
        </w:rPr>
      </w:pPr>
      <w:r>
        <w:rPr>
          <w:rFonts w:hint="eastAsia" w:ascii="宋体" w:hAnsi="宋体" w:eastAsia="宋体" w:cs="Times New Roman"/>
          <w:bCs/>
          <w:sz w:val="24"/>
          <w:lang w:val="en-US" w:eastAsia="zh-CN"/>
        </w:rPr>
        <w:t xml:space="preserve">1、</w:t>
      </w:r>
      <w:r>
        <w:rPr>
          <w:rFonts w:hint="eastAsia" w:ascii="宋体" w:hAnsi="宋体" w:eastAsia="宋体" w:cs="Times New Roman"/>
          <w:bCs/>
          <w:color w:val="auto"/>
          <w:sz w:val="24"/>
          <w:lang w:val="en-US" w:eastAsia="zh-CN"/>
        </w:rPr>
        <w:t xml:space="preserve">工程计价：</w:t>
      </w:r>
      <w:r>
        <w:rPr>
          <w:rFonts w:hint="eastAsia" w:ascii="宋体" w:hAnsi="宋体" w:cs="宋体"/>
          <w:color w:val="auto"/>
          <w:sz w:val="24"/>
        </w:rPr>
        <w:t xml:space="preserve">采用</w:t>
      </w:r>
      <w:r>
        <w:rPr>
          <w:rFonts w:hint="eastAsia" w:ascii="宋体" w:hAnsi="宋体" w:cs="宋体"/>
          <w:sz w:val="24"/>
        </w:rPr>
        <w:t xml:space="preserve">建设部</w:t>
      </w:r>
      <w:r>
        <w:rPr>
          <w:rFonts w:hint="eastAsia" w:ascii="宋体" w:hAnsi="宋体" w:cs="宋体"/>
          <w:sz w:val="24"/>
          <w:lang w:eastAsia="zh-CN"/>
        </w:rPr>
        <w:t xml:space="preserve">《</w:t>
      </w:r>
      <w:r>
        <w:rPr>
          <w:rFonts w:hint="eastAsia" w:ascii="宋体" w:hAnsi="宋体" w:cs="宋体"/>
          <w:sz w:val="24"/>
        </w:rPr>
        <w:t xml:space="preserve">GBT50500-202</w:t>
      </w:r>
      <w:r>
        <w:rPr>
          <w:rFonts w:hint="eastAsia" w:ascii="宋体" w:hAnsi="宋体" w:cs="宋体"/>
          <w:sz w:val="24"/>
          <w:lang w:val="en-US" w:eastAsia="zh-CN"/>
        </w:rPr>
        <w:t xml:space="preserve">4</w:t>
      </w:r>
      <w:r>
        <w:rPr>
          <w:rFonts w:hint="eastAsia" w:ascii="宋体" w:hAnsi="宋体" w:cs="宋体"/>
          <w:sz w:val="24"/>
        </w:rPr>
        <w:t xml:space="preserve">建设工程工程量清单计价标准</w:t>
      </w:r>
      <w:r>
        <w:rPr>
          <w:rFonts w:hint="eastAsia" w:ascii="宋体" w:hAnsi="宋体" w:cs="宋体"/>
          <w:sz w:val="24"/>
          <w:lang w:eastAsia="zh-CN"/>
        </w:rPr>
        <w:t xml:space="preserve">》及《GBT50854-2024 房屋建筑与装饰工程工程量计算标准》等</w:t>
      </w:r>
      <w:r>
        <w:rPr>
          <w:rFonts w:hint="eastAsia" w:ascii="宋体" w:hAnsi="宋体" w:cs="宋体"/>
          <w:sz w:val="24"/>
          <w:lang w:val="en-US" w:eastAsia="zh-CN"/>
        </w:rPr>
        <w:t xml:space="preserve">9</w:t>
      </w:r>
      <w:r>
        <w:rPr>
          <w:rFonts w:hint="eastAsia" w:ascii="宋体" w:hAnsi="宋体" w:cs="宋体"/>
          <w:sz w:val="24"/>
          <w:lang w:eastAsia="zh-CN"/>
        </w:rPr>
        <w:t xml:space="preserve">本配套工程量计算标准、</w:t>
      </w:r>
      <w:r>
        <w:rPr>
          <w:rFonts w:hint="eastAsia" w:ascii="宋体" w:hAnsi="宋体"/>
          <w:sz w:val="24"/>
        </w:rPr>
        <w:t xml:space="preserve">《江苏省</w:t>
      </w:r>
      <w:r>
        <w:rPr>
          <w:rFonts w:hint="eastAsia" w:ascii="宋体" w:hAnsi="宋体"/>
          <w:sz w:val="24"/>
          <w:lang w:val="en-US" w:eastAsia="zh-CN"/>
        </w:rPr>
        <w:t xml:space="preserve">2009房屋修缮工程</w:t>
      </w:r>
      <w:r>
        <w:rPr>
          <w:rFonts w:hint="eastAsia" w:ascii="宋体" w:hAnsi="宋体"/>
          <w:sz w:val="24"/>
        </w:rPr>
        <w:t xml:space="preserve">计价定额</w:t>
      </w:r>
      <w:r>
        <w:rPr>
          <w:rFonts w:hint="eastAsia" w:ascii="宋体" w:hAnsi="宋体"/>
          <w:sz w:val="24"/>
          <w:lang w:eastAsia="zh-CN"/>
        </w:rPr>
        <w:t xml:space="preserve">（</w:t>
      </w:r>
      <w:r>
        <w:rPr>
          <w:rFonts w:hint="eastAsia" w:ascii="宋体" w:hAnsi="宋体"/>
          <w:sz w:val="24"/>
          <w:lang w:val="en-US" w:eastAsia="zh-CN"/>
        </w:rPr>
        <w:t xml:space="preserve">土建</w:t>
      </w:r>
      <w:r>
        <w:rPr>
          <w:rFonts w:hint="eastAsia" w:ascii="宋体" w:hAnsi="宋体"/>
          <w:sz w:val="24"/>
          <w:lang w:eastAsia="zh-CN"/>
        </w:rPr>
        <w:t xml:space="preserve">）</w:t>
      </w:r>
      <w:r>
        <w:rPr>
          <w:rFonts w:hint="eastAsia" w:ascii="宋体" w:hAnsi="宋体"/>
          <w:sz w:val="24"/>
        </w:rPr>
        <w:t xml:space="preserve">》</w:t>
      </w:r>
      <w:r>
        <w:rPr>
          <w:rFonts w:hint="eastAsia" w:ascii="宋体" w:hAnsi="宋体"/>
          <w:sz w:val="24"/>
          <w:lang w:eastAsia="zh-CN"/>
        </w:rPr>
        <w:t xml:space="preserve">、</w:t>
      </w:r>
      <w:r>
        <w:rPr>
          <w:rFonts w:hint="eastAsia" w:ascii="宋体" w:hAnsi="宋体" w:cs="宋体"/>
          <w:sz w:val="24"/>
          <w:lang w:eastAsia="zh-CN"/>
        </w:rPr>
        <w:t xml:space="preserve">《</w:t>
      </w:r>
      <w:r>
        <w:rPr>
          <w:rFonts w:hint="eastAsia" w:ascii="宋体" w:hAnsi="宋体" w:eastAsia="宋体" w:cs="宋体"/>
          <w:sz w:val="24"/>
          <w:lang w:val="en-US" w:eastAsia="zh-CN"/>
        </w:rPr>
        <w:t xml:space="preserve">江苏省建设工程施工机具台班费用编制参考表》</w:t>
      </w:r>
      <w:r>
        <w:rPr>
          <w:rFonts w:hint="eastAsia" w:ascii="宋体" w:hAnsi="宋体"/>
          <w:sz w:val="24"/>
        </w:rPr>
        <w:t xml:space="preserve">等规范、文件和要求。</w:t>
      </w:r>
      <w:r/>
    </w:p>
    <w:p>
      <w:pPr>
        <w:ind w:firstLine="480"/>
        <w:spacing w:line="440" w:lineRule="exac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2、人工</w:t>
      </w:r>
      <w:r>
        <w:rPr>
          <w:rFonts w:hint="eastAsia" w:ascii="宋体" w:hAnsi="宋体" w:cs="Times New Roman"/>
          <w:bCs/>
          <w:color w:val="auto"/>
          <w:sz w:val="24"/>
          <w:lang w:val="en-US" w:eastAsia="zh-CN"/>
        </w:rPr>
        <w:t xml:space="preserve">价格参考</w:t>
      </w:r>
      <w:r>
        <w:rPr>
          <w:rFonts w:hint="eastAsia" w:ascii="宋体" w:hAnsi="宋体" w:cs="宋体"/>
          <w:color w:val="auto"/>
          <w:sz w:val="24"/>
        </w:rPr>
        <w:t xml:space="preserve">《江苏省</w:t>
      </w:r>
      <w:r>
        <w:rPr>
          <w:rFonts w:hint="eastAsia" w:ascii="宋体" w:hAnsi="宋体" w:cs="宋体"/>
          <w:color w:val="auto"/>
          <w:sz w:val="24"/>
          <w:lang w:val="en-US" w:eastAsia="zh-CN"/>
        </w:rPr>
        <w:t xml:space="preserve">土建</w:t>
      </w:r>
      <w:r>
        <w:rPr>
          <w:rFonts w:hint="eastAsia" w:ascii="宋体" w:hAnsi="宋体" w:cs="宋体"/>
          <w:color w:val="auto"/>
          <w:sz w:val="24"/>
        </w:rPr>
        <w:t xml:space="preserve">工程消耗量</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2026</w:t>
      </w:r>
      <w:r>
        <w:rPr>
          <w:rFonts w:hint="eastAsia" w:ascii="宋体" w:hAnsi="宋体" w:cs="宋体"/>
          <w:color w:val="auto"/>
          <w:sz w:val="24"/>
          <w:lang w:eastAsia="zh-CN"/>
        </w:rPr>
        <w:t xml:space="preserve">）</w:t>
      </w:r>
      <w:r>
        <w:rPr>
          <w:rFonts w:hint="eastAsia" w:ascii="宋体" w:hAnsi="宋体" w:cs="宋体"/>
          <w:color w:val="auto"/>
          <w:sz w:val="24"/>
        </w:rPr>
        <w:t xml:space="preserve">》</w:t>
      </w:r>
      <w:r>
        <w:rPr>
          <w:rFonts w:hint="eastAsia" w:ascii="宋体" w:hAnsi="宋体" w:eastAsia="宋体" w:cs="Times New Roman"/>
          <w:bCs/>
          <w:color w:val="auto"/>
          <w:sz w:val="24"/>
          <w:lang w:val="en-US" w:eastAsia="zh-CN"/>
        </w:rPr>
        <w:t xml:space="preserve">；</w:t>
      </w:r>
      <w:r/>
    </w:p>
    <w:p>
      <w:pPr>
        <w:ind w:firstLine="480"/>
        <w:spacing w:line="440" w:lineRule="exac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 xml:space="preserve">3、材料价格</w:t>
      </w:r>
      <w:r>
        <w:rPr>
          <w:rFonts w:hint="eastAsia" w:ascii="宋体" w:hAnsi="宋体"/>
          <w:color w:val="auto"/>
          <w:sz w:val="24"/>
        </w:rPr>
        <w:t xml:space="preserve">按202</w:t>
      </w:r>
      <w:r>
        <w:rPr>
          <w:rFonts w:hint="eastAsia" w:ascii="宋体" w:hAnsi="宋体"/>
          <w:color w:val="auto"/>
          <w:sz w:val="24"/>
          <w:lang w:val="en-US" w:eastAsia="zh-CN"/>
        </w:rPr>
        <w:t xml:space="preserve">6</w:t>
      </w:r>
      <w:r>
        <w:rPr>
          <w:rFonts w:hint="eastAsia" w:ascii="宋体" w:hAnsi="宋体"/>
          <w:color w:val="auto"/>
          <w:sz w:val="24"/>
        </w:rPr>
        <w:t xml:space="preserve">年</w:t>
      </w:r>
      <w:r>
        <w:rPr>
          <w:rFonts w:hint="eastAsia" w:ascii="宋体" w:hAnsi="宋体"/>
          <w:color w:val="auto"/>
          <w:sz w:val="24"/>
          <w:lang w:val="en-US" w:eastAsia="zh-CN"/>
        </w:rPr>
        <w:t xml:space="preserve">8</w:t>
      </w:r>
      <w:r>
        <w:rPr>
          <w:rFonts w:hint="eastAsia" w:ascii="宋体" w:hAnsi="宋体"/>
          <w:color w:val="auto"/>
          <w:sz w:val="24"/>
        </w:rPr>
        <w:t xml:space="preserve">月份常州信息指导价中除税价及市场询价计取，没有的材料价格逐月前推</w:t>
      </w:r>
      <w:r>
        <w:rPr>
          <w:rFonts w:hint="eastAsia" w:ascii="宋体" w:hAnsi="宋体" w:eastAsia="宋体" w:cs="Times New Roman"/>
          <w:bCs/>
          <w:color w:val="auto"/>
          <w:sz w:val="24"/>
          <w:lang w:val="en-US" w:eastAsia="zh-CN"/>
        </w:rPr>
        <w:t xml:space="preserve">。</w:t>
      </w:r>
      <w:r/>
    </w:p>
    <w:p>
      <w:pPr>
        <w:ind w:firstLine="241"/>
        <w:spacing w:line="440" w:lineRule="exact"/>
        <w:widowControl/>
        <w:rPr>
          <w:rFonts w:ascii="宋体" w:hAnsi="宋体" w:eastAsia="宋体" w:cs="Times New Roman"/>
          <w:b/>
          <w:sz w:val="24"/>
        </w:rPr>
      </w:pPr>
      <w:r>
        <w:rPr>
          <w:rFonts w:hint="eastAsia" w:ascii="宋体" w:hAnsi="宋体" w:cs="Times New Roman"/>
          <w:b/>
          <w:sz w:val="24"/>
          <w:lang w:val="en-US" w:eastAsia="zh-CN"/>
        </w:rPr>
        <w:t xml:space="preserve">六</w:t>
      </w:r>
      <w:r>
        <w:rPr>
          <w:rFonts w:hint="eastAsia" w:ascii="宋体" w:hAnsi="宋体" w:eastAsia="宋体" w:cs="Times New Roman"/>
          <w:b/>
          <w:sz w:val="24"/>
        </w:rPr>
        <w:t xml:space="preserve">、工程量计算及有关情况说明：</w:t>
      </w:r>
      <w:r/>
    </w:p>
    <w:p>
      <w:pPr>
        <w:ind w:firstLine="480"/>
        <w:spacing w:line="480" w:lineRule="exact"/>
        <w:widowControl/>
        <w:rPr>
          <w:rFonts w:hint="eastAsia" w:ascii="宋体" w:hAnsi="宋体"/>
          <w:b w:val="0"/>
          <w:bCs/>
          <w:sz w:val="24"/>
        </w:rPr>
      </w:pPr>
      <w:r>
        <w:rPr>
          <w:rFonts w:hint="eastAsia" w:ascii="宋体" w:hAnsi="宋体" w:eastAsia="宋体" w:cs="宋体"/>
          <w:sz w:val="24"/>
        </w:rPr>
        <w:t xml:space="preserve">1、</w:t>
      </w:r>
      <w:r>
        <w:rPr>
          <w:rFonts w:hint="eastAsia" w:ascii="宋体" w:hAnsi="宋体"/>
          <w:b w:val="0"/>
          <w:bCs/>
          <w:sz w:val="24"/>
        </w:rPr>
        <w:t xml:space="preserve">本清单所列工程数量是根据</w:t>
      </w:r>
      <w:r>
        <w:rPr>
          <w:rFonts w:hint="eastAsia" w:ascii="宋体" w:hAnsi="宋体"/>
          <w:b w:val="0"/>
          <w:bCs/>
          <w:sz w:val="24"/>
          <w:lang w:val="en-US" w:eastAsia="zh-CN"/>
        </w:rPr>
        <w:t xml:space="preserve">图纸</w:t>
      </w:r>
      <w:r>
        <w:rPr>
          <w:rFonts w:hint="eastAsia" w:ascii="宋体" w:hAnsi="宋体"/>
          <w:b w:val="0"/>
          <w:bCs/>
          <w:sz w:val="24"/>
        </w:rPr>
        <w:t xml:space="preserve">计算的，工程量的变动丝毫不会降低或影响合同</w:t>
      </w:r>
      <w:r>
        <w:rPr>
          <w:rFonts w:hint="eastAsia" w:ascii="宋体" w:hAnsi="宋体" w:eastAsia="宋体" w:cs="Times New Roman"/>
          <w:b w:val="0"/>
          <w:bCs/>
          <w:sz w:val="24"/>
        </w:rPr>
        <w:t xml:space="preserve">条件</w:t>
      </w:r>
      <w:r>
        <w:rPr>
          <w:rFonts w:hint="eastAsia" w:ascii="宋体" w:hAnsi="宋体"/>
          <w:b w:val="0"/>
          <w:bCs/>
          <w:sz w:val="24"/>
        </w:rPr>
        <w:t xml:space="preserve">的效力，也不免除承包商按规定的标准进行施工和修复缺陷的责任</w:t>
      </w:r>
      <w:r/>
    </w:p>
    <w:p>
      <w:pPr>
        <w:ind w:firstLine="480"/>
        <w:spacing w:line="480" w:lineRule="exact"/>
        <w:widowControl/>
        <w:rPr>
          <w:rFonts w:hint="eastAsia" w:ascii="宋体" w:hAnsi="宋体" w:eastAsia="宋体" w:cs="Times New Roman"/>
          <w:b w:val="0"/>
          <w:bCs/>
          <w:sz w:val="24"/>
        </w:rPr>
      </w:pPr>
      <w:r>
        <w:rPr>
          <w:rFonts w:hint="eastAsia" w:ascii="宋体" w:hAnsi="宋体" w:eastAsia="宋体" w:cs="Times New Roman"/>
          <w:b w:val="0"/>
          <w:bCs/>
          <w:sz w:val="24"/>
        </w:rPr>
        <w:t xml:space="preserve">2</w:t>
      </w:r>
      <w:r>
        <w:rPr>
          <w:rFonts w:hint="eastAsia" w:ascii="宋体" w:hAnsi="宋体" w:eastAsia="宋体" w:cs="Times New Roman"/>
          <w:b w:val="0"/>
          <w:bCs/>
          <w:sz w:val="24"/>
          <w:lang w:eastAsia="zh-CN"/>
        </w:rPr>
        <w:t xml:space="preserve">、</w:t>
      </w:r>
      <w:r>
        <w:rPr>
          <w:rFonts w:hint="eastAsia" w:ascii="宋体" w:hAnsi="宋体" w:eastAsia="宋体" w:cs="Times New Roman"/>
          <w:b w:val="0"/>
          <w:bCs/>
          <w:sz w:val="24"/>
        </w:rPr>
        <w:t xml:space="preserve">施工用电及水由施工单位自行解决，该费用在投标报价中考虑。</w:t>
      </w:r>
      <w:r/>
    </w:p>
    <w:p>
      <w:pPr>
        <w:ind w:firstLine="480"/>
        <w:spacing w:line="480" w:lineRule="exact"/>
        <w:widowControl/>
        <w:rPr>
          <w:rFonts w:hint="eastAsia" w:ascii="宋体" w:hAnsi="宋体" w:eastAsia="宋体" w:cs="Times New Roman"/>
          <w:b w:val="0"/>
          <w:bCs/>
          <w:sz w:val="24"/>
        </w:rPr>
      </w:pPr>
      <w:r>
        <w:rPr>
          <w:rFonts w:hint="eastAsia" w:ascii="宋体" w:hAnsi="宋体" w:eastAsia="宋体" w:cs="Times New Roman"/>
          <w:b w:val="0"/>
          <w:bCs/>
          <w:sz w:val="24"/>
          <w:lang w:val="en-US" w:eastAsia="zh-CN"/>
        </w:rPr>
        <w:t xml:space="preserve">3、</w:t>
      </w:r>
      <w:r>
        <w:rPr>
          <w:rFonts w:hint="eastAsia" w:ascii="宋体" w:hAnsi="宋体" w:eastAsia="宋体" w:cs="Times New Roman"/>
          <w:b w:val="0"/>
          <w:bCs/>
          <w:sz w:val="24"/>
        </w:rPr>
        <w:t xml:space="preserve">本工程分部分项单价均为完成本分项全部内容的综合单价，未列出的辅助工作、措施费均不另行计价，均在相关项目综合单价内考虑。</w:t>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、分部分项工程清单及单价措施中以“项”为单位的清单项实行总价包干，在结算时费用不予调整，投标人应充分熟悉现场情况及设计要求，考虑项目的施工组织设计及方案，在报价中充分予以考虑。</w:t>
      </w:r>
      <w:r/>
    </w:p>
    <w:p>
      <w:pPr>
        <w:ind w:firstLine="480"/>
        <w:spacing w:line="360" w:lineRule="auto"/>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、所有材料的加工费、折边费（如：墙地砖、石材的切割、开孔、磨边、倒角、抽槽等；铝板及不锈钢折边加工等），投标人应考虑在相应的综合单价内，结算时不单独</w:t>
      </w:r>
      <w:r>
        <w:rPr>
          <w:rFonts w:hint="eastAsia" w:ascii="宋体" w:hAnsi="宋体" w:eastAsia="宋体" w:cs="宋体"/>
          <w:color w:val="000000"/>
          <w:sz w:val="24"/>
          <w:lang w:val="en-US" w:eastAsia="zh-CN"/>
        </w:rPr>
        <w:t xml:space="preserve">计算。</w:t>
      </w:r>
      <w:r/>
    </w:p>
    <w:p>
      <w:pPr>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6、对施工范围内楼地面、墙柱面、天棚面等所有部位成品保护，投标单位需充分考虑施工过程中可能会发生的工作，投标单位自行考虑,结算不调整。</w:t>
      </w:r>
      <w:r/>
    </w:p>
    <w:p>
      <w:pPr>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7、本工程均采用预拌砂浆。</w:t>
      </w:r>
      <w:r/>
    </w:p>
    <w:p>
      <w:pPr>
        <w:ind w:firstLine="480"/>
        <w:spacing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8、本工程店招、彩钢瓦外墙、平屋面修复不在本次编标范围。</w:t>
      </w:r>
      <w:r/>
    </w:p>
    <w:p>
      <w:pPr>
        <w:ind w:firstLine="480"/>
        <w:spacing w:line="360" w:lineRule="auto"/>
        <w:rPr>
          <w:rFonts w:hint="default" w:ascii="宋体" w:hAnsi="宋体" w:cs="宋体"/>
          <w:color w:val="000000"/>
          <w:sz w:val="24"/>
          <w:lang w:val="en-US" w:eastAsia="zh-CN"/>
        </w:rPr>
      </w:pPr>
      <w:r>
        <w:rPr>
          <w:rFonts w:hint="eastAsia" w:ascii="宋体" w:hAnsi="宋体" w:eastAsia="宋体" w:cs="宋体"/>
          <w:color w:val="000000"/>
          <w:sz w:val="24"/>
          <w:lang w:val="en-US" w:eastAsia="zh-CN"/>
        </w:rPr>
        <w:t xml:space="preserve">9、经建设单</w:t>
      </w:r>
      <w:r>
        <w:rPr>
          <w:rFonts w:hint="eastAsia" w:ascii="宋体" w:hAnsi="宋体" w:cs="宋体"/>
          <w:color w:val="000000"/>
          <w:sz w:val="24"/>
          <w:lang w:val="en-US" w:eastAsia="zh-CN"/>
        </w:rPr>
        <w:t xml:space="preserve">位确认：本工程砂浆外墙的空鼓铲除量按砂浆外墙的总面积的45%计取；涂料外墙的空鼓铲除量按涂料外墙的45%计取；面砖外墙的空鼓铲除量按20%计取。</w:t>
      </w:r>
      <w:r/>
    </w:p>
    <w:p>
      <w:pPr>
        <w:ind w:firstLine="241"/>
        <w:spacing w:line="440" w:lineRule="exact"/>
        <w:widowControl/>
        <w:rPr>
          <w:rFonts w:hint="eastAsia" w:ascii="宋体" w:hAnsi="宋体" w:eastAsia="宋体" w:cs="Times New Roman"/>
          <w:b/>
          <w:bCs w:val="0"/>
          <w:sz w:val="24"/>
          <w:lang w:val="en-US" w:eastAsia="zh-CN"/>
        </w:rPr>
      </w:pPr>
      <w:r>
        <w:rPr>
          <w:rFonts w:hint="eastAsia" w:ascii="宋体" w:hAnsi="宋体" w:cs="Times New Roman"/>
          <w:b/>
          <w:bCs w:val="0"/>
          <w:sz w:val="24"/>
          <w:lang w:val="en-US" w:eastAsia="zh-CN"/>
        </w:rPr>
        <w:t xml:space="preserve">七</w:t>
      </w:r>
      <w:r>
        <w:rPr>
          <w:rFonts w:hint="eastAsia" w:ascii="宋体" w:hAnsi="宋体" w:eastAsia="宋体" w:cs="Times New Roman"/>
          <w:b/>
          <w:bCs w:val="0"/>
          <w:sz w:val="24"/>
          <w:lang w:val="en-US" w:eastAsia="zh-CN"/>
        </w:rPr>
        <w:t xml:space="preserve">、其他说明</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因突发情况（如台风、雨雪、冰雹、霜或冰冻等天气或气候因素，或车辆、居民、行人等人为因素，或是其它因素，以及复合因素或不明原因的情况），不论这些因素是可预测或不可预测的，均已包含在磋商报价中。</w:t>
      </w:r>
      <w:r/>
    </w:p>
    <w:p>
      <w:pPr>
        <w:ind w:firstLine="480"/>
        <w:spacing w:line="440" w:lineRule="exact"/>
        <w:rPr>
          <w:rFonts w:hint="eastAsia" w:ascii="宋体" w:hAnsi="宋体" w:eastAsia="宋体" w:cs="Times New Roman"/>
          <w:b w:val="0"/>
          <w:bCs/>
          <w:sz w:val="24"/>
          <w:lang w:val="en-US" w:eastAsia="zh-CN"/>
        </w:rPr>
      </w:pPr>
      <w:r>
        <w:rPr>
          <w:rFonts w:hint="eastAsia" w:ascii="宋体" w:hAnsi="宋体" w:eastAsia="宋体" w:cs="宋体"/>
          <w:sz w:val="24"/>
          <w:lang w:val="en-US" w:eastAsia="zh-CN"/>
        </w:rPr>
        <w:t xml:space="preserve">2.供应商在磋商时应充分考虑市场因素和成本变化状况的风险，一旦成交，所报的磋商报价，即为签订的合同价。在服务期内如因政策性因素调整的变化，该部分费用由成交供应商自行承担，各供应商在报价时须综合考虑风险。</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p>
      <w:pPr>
        <w:pStyle w:val="1260"/>
        <w:ind w:left="0" w:firstLine="0"/>
        <w:sectPr>
          <w:footnotePr/>
          <w:endnotePr/>
          <w:type w:val="nextPage"/>
          <w:pgSz w:w="11907" w:h="16840" w:orient="portrait"/>
          <w:pgMar w:top="1418" w:right="966" w:bottom="1418" w:left="1701" w:header="851" w:footer="851" w:gutter="0"/>
          <w:cols w:num="1" w:sep="0" w:space="1701" w:equalWidth="1"/>
          <w:docGrid w:linePitch="360"/>
        </w:sectPr>
      </w:pPr>
      <w:r/>
      <w:bookmarkEnd w:id="669"/>
      <w:r/>
    </w:p>
    <w:p>
      <w:pPr>
        <w:numPr>
          <w:ilvl w:val="0"/>
          <w:numId w:val="14"/>
        </w:numPr>
        <w:jc w:val="center"/>
        <w:widowControl/>
        <w:rPr>
          <w:b/>
          <w:sz w:val="36"/>
          <w:szCs w:val="36"/>
        </w:rPr>
      </w:pPr>
      <w:r/>
      <w:bookmarkStart w:id="670" w:name="_Toc104818929"/>
      <w:r>
        <w:rPr>
          <w:b/>
          <w:sz w:val="36"/>
          <w:szCs w:val="36"/>
        </w:rPr>
        <w:t xml:space="preserve">  合同草案条款</w:t>
      </w:r>
      <w:bookmarkEnd w:id="670"/>
      <w:r/>
      <w:r/>
    </w:p>
    <w:p>
      <w:pPr>
        <w:numPr>
          <w:ilvl w:val="0"/>
          <w:numId w:val="0"/>
        </w:numPr>
        <w:jc w:val="both"/>
        <w:widowControl/>
        <w:rPr>
          <w:b/>
          <w:sz w:val="36"/>
          <w:szCs w:val="36"/>
        </w:rPr>
      </w:pPr>
      <w:r>
        <w:rPr>
          <w:b/>
          <w:sz w:val="36"/>
          <w:szCs w:val="36"/>
        </w:rPr>
      </w:r>
      <w:r/>
    </w:p>
    <w:p>
      <w:pPr>
        <w:jc w:val="center"/>
        <w:rPr>
          <w:rFonts w:hint="eastAsia" w:ascii="宋体" w:hAnsi="宋体" w:eastAsia="宋体" w:cs="Times New Roman"/>
          <w:b/>
          <w:color w:val="000000"/>
          <w:sz w:val="52"/>
          <w:szCs w:val="52"/>
          <w:highlight w:val="none"/>
        </w:rPr>
      </w:pPr>
      <w:r>
        <w:rPr>
          <w:rFonts w:hint="eastAsia" w:ascii="宋体" w:hAnsi="宋体" w:eastAsia="宋体" w:cs="Times New Roman"/>
          <w:b/>
          <w:color w:val="000000"/>
          <w:sz w:val="72"/>
          <w:szCs w:val="52"/>
          <w:highlight w:val="none"/>
        </w:rPr>
        <w:t xml:space="preserve">建设工程施工合同</w:t>
      </w:r>
      <w:r>
        <w:rPr>
          <w:rFonts w:hint="eastAsia" w:ascii="宋体" w:hAnsi="宋体" w:eastAsia="宋体" w:cs="Times New Roman"/>
          <w:b/>
          <w:color w:val="000000"/>
          <w:sz w:val="52"/>
          <w:szCs w:val="52"/>
          <w:highlight w:val="none"/>
        </w:rPr>
        <w:br w:type="textWrapping" w:clear="all"/>
      </w:r>
      <w:r/>
    </w:p>
    <w:p>
      <w:pPr>
        <w:jc w:val="center"/>
        <w:rPr>
          <w:rFonts w:hint="eastAsia" w:ascii="宋体" w:hAnsi="宋体" w:eastAsia="宋体" w:cs="Times New Roman"/>
          <w:b/>
          <w:color w:val="000000"/>
          <w:sz w:val="52"/>
          <w:szCs w:val="52"/>
          <w:highlight w:val="none"/>
        </w:rPr>
      </w:pPr>
      <w:r>
        <w:rPr>
          <w:rFonts w:hint="eastAsia" w:ascii="宋体" w:hAnsi="宋体" w:eastAsia="宋体" w:cs="Times New Roman"/>
          <w:b/>
          <w:color w:val="000000"/>
          <w:sz w:val="52"/>
          <w:szCs w:val="52"/>
          <w:highlight w:val="none"/>
        </w:rPr>
      </w:r>
      <w:r/>
    </w:p>
    <w:p>
      <w:pPr>
        <w:jc w:val="center"/>
        <w:rPr>
          <w:rFonts w:hint="eastAsia" w:ascii="宋体" w:hAnsi="宋体" w:eastAsia="宋体" w:cs="Times New Roman"/>
          <w:b/>
          <w:color w:val="000000"/>
          <w:sz w:val="72"/>
          <w:szCs w:val="72"/>
          <w:highlight w:val="none"/>
        </w:rPr>
      </w:pPr>
      <w:r>
        <w:rPr>
          <w:rFonts w:hint="eastAsia" w:ascii="宋体" w:hAnsi="宋体" w:eastAsia="宋体" w:cs="Times New Roman"/>
          <w:b/>
          <w:color w:val="000000"/>
          <w:sz w:val="72"/>
          <w:szCs w:val="72"/>
          <w:highlight w:val="none"/>
        </w:rPr>
      </w:r>
      <w:r/>
    </w:p>
    <w:p>
      <w:pPr>
        <w:jc w:val="center"/>
        <w:rPr>
          <w:rFonts w:hint="eastAsia" w:ascii="宋体" w:hAnsi="宋体" w:eastAsia="宋体" w:cs="Times New Roman"/>
          <w:b/>
          <w:color w:val="000000"/>
          <w:sz w:val="52"/>
          <w:szCs w:val="52"/>
          <w:highlight w:val="none"/>
        </w:rPr>
      </w:pPr>
      <w:r>
        <w:rPr>
          <w:rFonts w:hint="eastAsia" w:ascii="宋体" w:hAnsi="宋体" w:eastAsia="宋体" w:cs="Times New Roman"/>
          <w:b/>
          <w:color w:val="000000"/>
          <w:sz w:val="52"/>
          <w:szCs w:val="52"/>
          <w:highlight w:val="none"/>
        </w:rPr>
      </w:r>
      <w:r/>
    </w:p>
    <w:p>
      <w:pPr>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r>
      <w:r/>
    </w:p>
    <w:p>
      <w:pPr>
        <w:ind w:right="2719" w:firstLine="2738"/>
        <w:jc w:val="both"/>
        <w:rPr>
          <w:rFonts w:hint="eastAsia" w:ascii="宋体" w:hAnsi="宋体" w:eastAsia="宋体" w:cs="Times New Roman"/>
          <w:b/>
          <w:color w:val="000000"/>
          <w:sz w:val="32"/>
          <w:szCs w:val="28"/>
          <w:highlight w:val="none"/>
        </w:rPr>
      </w:pPr>
      <w:r>
        <w:rPr>
          <w:rFonts w:hint="eastAsia" w:ascii="宋体" w:hAnsi="宋体" w:eastAsia="宋体" w:cs="Times New Roman"/>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rFonts w:hint="eastAsia" w:ascii="Times New Roman" w:hAnsi="Times New Roman" w:eastAsia="宋体" w:cs="Times New Roman"/>
                                <w:b/>
                                <w:bCs/>
                                <w:sz w:val="32"/>
                              </w:rPr>
                            </w:pPr>
                            <w:r>
                              <w:rPr>
                                <w:rFonts w:hint="eastAsia" w:ascii="Times New Roman" w:hAnsi="Times New Roman" w:eastAsia="宋体" w:cs="Times New Roman"/>
                                <w:b/>
                                <w:bCs/>
                                <w:sz w:val="32"/>
                              </w:rPr>
                              <w:t xml:space="preserve">制定</w:t>
                            </w:r>
                            <w:r/>
                          </w:p>
                          <w:p>
                            <w:r/>
                            <w:r/>
                          </w:p>
                        </w:txbxContent>
                      </wps:txbx>
                      <wps:bodyPr wrap="square" upright="1"/>
                    </wps:wsp>
                  </a:graphicData>
                </a:graphic>
              </wp:anchor>
            </w:drawing>
          </mc:Choice>
          <mc:Fallback>
            <w:pict>
              <v:shape id="shape 8" o:spid="_x0000_s8"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rFonts w:hint="eastAsia" w:ascii="Times New Roman" w:hAnsi="Times New Roman" w:eastAsia="宋体" w:cs="Times New Roman"/>
                          <w:b/>
                          <w:bCs/>
                          <w:sz w:val="32"/>
                        </w:rPr>
                      </w:pPr>
                      <w:r>
                        <w:rPr>
                          <w:rFonts w:hint="eastAsia" w:ascii="Times New Roman" w:hAnsi="Times New Roman" w:eastAsia="宋体" w:cs="Times New Roman"/>
                          <w:b/>
                          <w:bCs/>
                          <w:sz w:val="32"/>
                        </w:rPr>
                        <w:t xml:space="preserve">制定</w:t>
                      </w:r>
                      <w:r/>
                    </w:p>
                    <w:p>
                      <w:r/>
                      <w:r/>
                    </w:p>
                  </w:txbxContent>
                </v:textbox>
              </v:shape>
            </w:pict>
          </mc:Fallback>
        </mc:AlternateContent>
      </w:r>
      <w:r>
        <w:rPr>
          <w:rFonts w:hint="eastAsia" w:ascii="宋体" w:hAnsi="宋体" w:eastAsia="宋体" w:cs="Times New Roman"/>
          <w:b/>
          <w:color w:val="000000"/>
          <w:sz w:val="32"/>
          <w:szCs w:val="28"/>
          <w:highlight w:val="none"/>
        </w:rPr>
        <w:t xml:space="preserve">住房城乡建设部</w:t>
      </w:r>
      <w:r/>
    </w:p>
    <w:p>
      <w:pPr>
        <w:ind w:right="2719" w:firstLine="2750"/>
        <w:jc w:val="both"/>
        <w:rPr>
          <w:rFonts w:hint="eastAsia" w:ascii="宋体" w:hAnsi="宋体" w:eastAsia="宋体" w:cs="Times New Roman"/>
          <w:b/>
          <w:color w:val="000000"/>
          <w:sz w:val="32"/>
          <w:szCs w:val="28"/>
          <w:highlight w:val="none"/>
        </w:rPr>
      </w:pPr>
      <w:r>
        <w:rPr>
          <w:rFonts w:hint="eastAsia" w:ascii="宋体" w:hAnsi="宋体" w:eastAsia="宋体" w:cs="Times New Roman"/>
          <w:b/>
          <w:color w:val="000000"/>
          <w:sz w:val="32"/>
          <w:szCs w:val="28"/>
          <w:highlight w:val="none"/>
        </w:rPr>
        <w:t xml:space="preserve">国家工商行政管理总局</w:t>
      </w:r>
      <w:r/>
    </w:p>
    <w:p>
      <w:pPr>
        <w:rPr>
          <w:rFonts w:hint="eastAsia" w:ascii="宋体" w:hAnsi="宋体" w:eastAsia="宋体" w:cs="Times New Roman"/>
          <w:b/>
          <w:color w:val="000000"/>
          <w:highlight w:val="none"/>
        </w:rPr>
      </w:pPr>
      <w:r>
        <w:rPr>
          <w:rFonts w:hint="eastAsia" w:ascii="宋体" w:hAnsi="宋体" w:eastAsia="宋体" w:cs="Times New Roman"/>
          <w:b/>
          <w:color w:val="000000"/>
          <w:highlight w:val="none"/>
        </w:rPr>
      </w:r>
      <w:r/>
    </w:p>
    <w:p>
      <w:pPr>
        <w:numPr>
          <w:ilvl w:val="0"/>
          <w:numId w:val="0"/>
        </w:numPr>
        <w:jc w:val="center"/>
        <w:keepLines/>
        <w:keepNext/>
        <w:spacing w:before="0" w:after="0" w:line="240" w:lineRule="auto"/>
        <w:widowControl w:val="off"/>
        <w:rPr>
          <w:rFonts w:hint="eastAsia" w:ascii="宋体" w:hAnsi="宋体" w:eastAsia="宋体" w:cs="Times New Roman"/>
          <w:b w:val="0"/>
          <w:bCs/>
          <w:color w:val="000000"/>
          <w:sz w:val="44"/>
          <w:szCs w:val="44"/>
          <w:highlight w:val="none"/>
          <w:lang w:val="en-US" w:eastAsia="zh-CN" w:bidi="ar-SA"/>
        </w:rPr>
        <w:outlineLvl w:val="0"/>
      </w:pPr>
      <w:r>
        <w:rPr>
          <w:rFonts w:hint="eastAsia" w:ascii="宋体" w:hAnsi="宋体" w:eastAsia="宋体" w:cs="Times New Roman"/>
          <w:b w:val="0"/>
          <w:bCs/>
          <w:color w:val="000000"/>
          <w:sz w:val="44"/>
          <w:szCs w:val="44"/>
          <w:highlight w:val="none"/>
          <w:lang w:val="en-US" w:eastAsia="zh-CN" w:bidi="ar-SA"/>
        </w:rPr>
        <w:br w:type="page" w:clear="all"/>
      </w:r>
      <w:bookmarkStart w:id="671" w:name="_Toc351203480"/>
      <w:r/>
      <w:bookmarkStart w:id="672" w:name="_Toc296503025"/>
      <w:r/>
      <w:bookmarkStart w:id="673" w:name="_Toc296890982"/>
      <w:r>
        <w:rPr>
          <w:rFonts w:hint="eastAsia" w:ascii="宋体" w:hAnsi="宋体" w:eastAsia="宋体" w:cs="Times New Roman"/>
          <w:b/>
          <w:bCs/>
          <w:sz w:val="44"/>
          <w:szCs w:val="44"/>
          <w:highlight w:val="none"/>
          <w:lang w:val="en-US" w:eastAsia="zh-CN" w:bidi="ar-SA"/>
        </w:rPr>
        <w:t xml:space="preserve">第一部分 合同协议书</w:t>
      </w:r>
      <w:bookmarkEnd w:id="671"/>
      <w:r/>
      <w:bookmarkEnd w:id="672"/>
      <w:r/>
      <w:bookmarkEnd w:id="673"/>
      <w:r/>
      <w:r/>
    </w:p>
    <w:p>
      <w:pPr>
        <w:spacing w:line="360" w:lineRule="auto"/>
        <w:rPr>
          <w:rFonts w:hint="eastAsia"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rPr>
        <w:t xml:space="preserve">发包人（全称）：</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u w:val="single"/>
          <w:lang w:val="en-US" w:eastAsia="zh-CN"/>
        </w:rPr>
        <w:t xml:space="preserve">                              </w:t>
      </w:r>
      <w:r>
        <w:rPr>
          <w:rFonts w:hint="eastAsia" w:ascii="宋体" w:hAnsi="宋体" w:eastAsia="宋体" w:cs="Times New Roman"/>
          <w:b/>
          <w:color w:val="000000"/>
          <w:sz w:val="24"/>
          <w:szCs w:val="24"/>
          <w:highlight w:val="none"/>
          <w:u w:val="single"/>
        </w:rPr>
        <w:t xml:space="preserve">     </w:t>
      </w:r>
      <w:r/>
    </w:p>
    <w:p>
      <w:pPr>
        <w:spacing w:line="360" w:lineRule="auto"/>
        <w:rPr>
          <w:rFonts w:hint="eastAsia"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rPr>
        <w:t xml:space="preserve">承包人（全称）：</w:t>
      </w:r>
      <w:r>
        <w:rPr>
          <w:rFonts w:hint="eastAsia" w:ascii="宋体" w:hAnsi="宋体" w:eastAsia="宋体" w:cs="Times New Roman"/>
          <w:b/>
          <w:color w:val="000000"/>
          <w:sz w:val="24"/>
          <w:szCs w:val="24"/>
          <w:highlight w:val="none"/>
          <w:u w:val="single"/>
        </w:rPr>
        <w:t xml:space="preserve"></w:t>
      </w:r>
      <w:r>
        <w:rPr>
          <w:rFonts w:hint="eastAsia" w:ascii="宋体" w:hAnsi="宋体" w:eastAsia="宋体" w:cs="Times New Roman"/>
          <w:b/>
          <w:color w:val="000000"/>
          <w:sz w:val="24"/>
          <w:szCs w:val="24"/>
          <w:highlight w:val="none"/>
          <w:u w:val="single"/>
          <w:lang w:val="en-US" w:eastAsia="zh-CN"/>
        </w:rPr>
        <w:t xml:space="preserve">                     </w:t>
      </w:r>
      <w:r>
        <w:rPr>
          <w:rFonts w:hint="eastAsia" w:ascii="宋体" w:hAnsi="宋体" w:eastAsia="宋体" w:cs="Times New Roman"/>
          <w:b/>
          <w:color w:val="000000"/>
          <w:sz w:val="24"/>
          <w:szCs w:val="24"/>
          <w:highlight w:val="none"/>
          <w:u w:val="single"/>
        </w:rPr>
        <w:t xml:space="preserve">      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工程施工及有关事项协商一致，共同达成如下协议：</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r>
        <w:rPr>
          <w:rFonts w:hint="eastAsia" w:ascii="宋体" w:hAnsi="宋体" w:eastAsia="黑体" w:cs="Times New Roman"/>
          <w:b w:val="0"/>
          <w:color w:val="000000"/>
          <w:sz w:val="24"/>
          <w:szCs w:val="24"/>
          <w:highlight w:val="none"/>
          <w:lang w:val="en-US" w:eastAsia="zh-CN" w:bidi="ar-SA"/>
        </w:rPr>
        <w:t xml:space="preserve"> </w:t>
      </w:r>
      <w:bookmarkStart w:id="674" w:name="_Toc351203481"/>
      <w:r>
        <w:rPr>
          <w:rFonts w:hint="eastAsia" w:ascii="宋体" w:hAnsi="宋体" w:eastAsia="黑体" w:cs="Times New Roman"/>
          <w:b w:val="0"/>
          <w:color w:val="000000"/>
          <w:sz w:val="24"/>
          <w:szCs w:val="24"/>
          <w:highlight w:val="none"/>
          <w:lang w:val="en-US" w:eastAsia="zh-CN" w:bidi="ar-SA"/>
        </w:rPr>
        <w:t xml:space="preserve">一、工程概况</w:t>
      </w:r>
      <w:bookmarkEnd w:id="674"/>
      <w:r/>
      <w:r/>
    </w:p>
    <w:p>
      <w:pPr>
        <w:ind w:firstLine="47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bCs/>
          <w:color w:val="000000"/>
          <w:sz w:val="24"/>
          <w:szCs w:val="24"/>
          <w:highlight w:val="none"/>
        </w:rPr>
        <w:t xml:space="preserve">1.工程名称</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7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2.工程地点：</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w:t>
      </w:r>
      <w:r/>
    </w:p>
    <w:p>
      <w:pPr>
        <w:ind w:firstLine="47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3.工程立项批准文号：</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bCs/>
          <w:color w:val="000000"/>
          <w:sz w:val="24"/>
          <w:szCs w:val="24"/>
          <w:highlight w:val="none"/>
        </w:rPr>
        <w:t xml:space="preserve">。</w:t>
      </w:r>
      <w:r/>
    </w:p>
    <w:p>
      <w:pPr>
        <w:ind w:firstLine="47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4.资金来源：</w:t>
      </w:r>
      <w:r>
        <w:rPr>
          <w:rFonts w:hint="eastAsia" w:ascii="宋体" w:hAnsi="宋体" w:eastAsia="宋体" w:cs="Times New Roman"/>
          <w:color w:val="auto"/>
          <w:sz w:val="24"/>
          <w:szCs w:val="24"/>
          <w:highlight w:val="none"/>
          <w:u w:val="single"/>
          <w:lang w:val="en-US" w:eastAsia="zh-CN"/>
        </w:rPr>
        <w:t xml:space="preserve">财政</w:t>
      </w:r>
      <w:r>
        <w:rPr>
          <w:rFonts w:hint="eastAsia" w:ascii="宋体" w:hAnsi="宋体" w:eastAsia="宋体" w:cs="Times New Roman"/>
          <w:bCs/>
          <w:color w:val="000000"/>
          <w:sz w:val="24"/>
          <w:szCs w:val="24"/>
          <w:highlight w:val="none"/>
        </w:rPr>
        <w:t xml:space="preserve">。</w:t>
      </w:r>
      <w:r/>
    </w:p>
    <w:p>
      <w:pPr>
        <w:ind w:firstLine="47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5.工程内容：</w:t>
      </w:r>
      <w:r>
        <w:rPr>
          <w:rFonts w:hint="eastAsia" w:ascii="宋体" w:hAnsi="宋体" w:cs="Times New Roman"/>
          <w:bCs/>
          <w:color w:val="000000"/>
          <w:sz w:val="24"/>
          <w:szCs w:val="24"/>
          <w:highlight w:val="none"/>
          <w:u w:val="single"/>
          <w:lang w:eastAsia="zh-CN"/>
        </w:rPr>
        <w:t xml:space="preserve">图纸及</w:t>
      </w:r>
      <w:r>
        <w:rPr>
          <w:rFonts w:hint="eastAsia" w:ascii="宋体" w:hAnsi="宋体" w:eastAsia="宋体" w:cs="Times New Roman"/>
          <w:color w:val="000000"/>
          <w:sz w:val="24"/>
          <w:szCs w:val="24"/>
          <w:highlight w:val="none"/>
          <w:u w:val="single"/>
        </w:rPr>
        <w:t xml:space="preserve">清单范围内的全部工程 </w:t>
      </w:r>
      <w:r>
        <w:rPr>
          <w:rFonts w:hint="eastAsia" w:ascii="宋体" w:hAnsi="宋体" w:eastAsia="宋体" w:cs="宋体"/>
          <w:sz w:val="24"/>
          <w:highlight w:val="none"/>
          <w:u w:val="single"/>
        </w:rPr>
        <w:t xml:space="preserve"> </w:t>
      </w:r>
      <w:r>
        <w:rPr>
          <w:rFonts w:hint="eastAsia" w:ascii="宋体" w:hAnsi="宋体" w:eastAsia="宋体" w:cs="Times New Roman"/>
          <w:bCs/>
          <w:color w:val="000000"/>
          <w:sz w:val="24"/>
          <w:szCs w:val="24"/>
          <w:highlight w:val="none"/>
        </w:rPr>
        <w:t xml:space="preserve">。</w:t>
      </w:r>
      <w:r/>
    </w:p>
    <w:p>
      <w:pPr>
        <w:ind w:firstLine="47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6.工程承包范围：</w:t>
      </w:r>
      <w:r>
        <w:rPr>
          <w:rFonts w:hint="eastAsia" w:ascii="宋体" w:hAnsi="宋体" w:cs="Times New Roman"/>
          <w:bCs/>
          <w:color w:val="000000"/>
          <w:sz w:val="24"/>
          <w:szCs w:val="24"/>
          <w:highlight w:val="none"/>
          <w:u w:val="single"/>
          <w:lang w:eastAsia="zh-CN"/>
        </w:rPr>
        <w:t xml:space="preserve">图纸及</w:t>
      </w:r>
      <w:r>
        <w:rPr>
          <w:rFonts w:hint="eastAsia" w:ascii="宋体" w:hAnsi="宋体" w:eastAsia="宋体" w:cs="Times New Roman"/>
          <w:color w:val="000000"/>
          <w:sz w:val="24"/>
          <w:szCs w:val="24"/>
          <w:highlight w:val="none"/>
          <w:u w:val="single"/>
        </w:rPr>
        <w:t xml:space="preserve">清单范围内的全部工程 </w:t>
      </w:r>
      <w:r>
        <w:rPr>
          <w:rFonts w:hint="eastAsia" w:ascii="宋体" w:hAnsi="宋体" w:eastAsia="宋体" w:cs="Times New Roman"/>
          <w:color w:val="000000"/>
          <w:sz w:val="24"/>
          <w:szCs w:val="24"/>
          <w:highlight w:val="none"/>
        </w:rPr>
        <w:t xml:space="preserve">。</w:t>
      </w:r>
      <w:r/>
    </w:p>
    <w:p>
      <w:pPr>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rPr>
          <w:rFonts w:hint="eastAsia" w:ascii="宋体" w:hAnsi="宋体" w:eastAsia="黑体" w:cs="Times New Roman"/>
          <w:b w:val="0"/>
          <w:color w:val="000000"/>
          <w:sz w:val="24"/>
          <w:szCs w:val="24"/>
          <w:highlight w:val="none"/>
          <w:lang w:val="en-US" w:eastAsia="zh-CN" w:bidi="ar-SA"/>
        </w:rPr>
        <w:t xml:space="preserve">   </w:t>
      </w:r>
      <w:bookmarkStart w:id="675" w:name="_Toc351203482"/>
      <w:r>
        <w:rPr>
          <w:rFonts w:hint="eastAsia" w:ascii="宋体" w:hAnsi="宋体" w:eastAsia="黑体" w:cs="Times New Roman"/>
          <w:b w:val="0"/>
          <w:color w:val="000000"/>
          <w:sz w:val="24"/>
          <w:szCs w:val="24"/>
          <w:highlight w:val="none"/>
          <w:lang w:val="en-US" w:eastAsia="zh-CN" w:bidi="ar-SA"/>
        </w:rPr>
        <w:t xml:space="preserve">二、合同工期</w:t>
      </w:r>
      <w:bookmarkEnd w:id="675"/>
      <w:r/>
      <w:r/>
    </w:p>
    <w:p>
      <w:pPr>
        <w:ind w:firstLine="459"/>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计划开工日期：</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日。</w:t>
      </w:r>
      <w:r/>
    </w:p>
    <w:p>
      <w:pPr>
        <w:ind w:firstLine="459"/>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计划竣工日期：</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日。</w:t>
      </w:r>
      <w:r/>
    </w:p>
    <w:p>
      <w:pPr>
        <w:ind w:firstLine="459"/>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工期总日历天数：</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lang w:val="en-US" w:eastAsia="zh-CN"/>
        </w:rPr>
        <w:t xml:space="preserve">90</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日</w:t>
      </w:r>
      <w:r>
        <w:rPr>
          <w:rFonts w:hint="eastAsia" w:ascii="宋体" w:hAnsi="宋体" w:eastAsia="宋体" w:cs="Times New Roman"/>
          <w:color w:val="000000"/>
          <w:sz w:val="24"/>
          <w:szCs w:val="24"/>
          <w:highlight w:val="none"/>
          <w:u w:val="single"/>
        </w:rPr>
        <w:t xml:space="preserve">历</w:t>
      </w:r>
      <w:r>
        <w:rPr>
          <w:rFonts w:hint="eastAsia" w:ascii="宋体" w:hAnsi="宋体" w:eastAsia="宋体" w:cs="Times New Roman"/>
          <w:color w:val="000000"/>
          <w:sz w:val="24"/>
          <w:szCs w:val="24"/>
          <w:highlight w:val="none"/>
        </w:rPr>
        <w:t xml:space="preserve">天。工期总日历天数与根据前述计划开竣工日期计算的工期天数不一致的，以工期总日历天数为准。</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bookmarkStart w:id="676" w:name="_Toc351203483"/>
      <w:r>
        <w:rPr>
          <w:rFonts w:hint="eastAsia" w:ascii="宋体" w:hAnsi="宋体" w:eastAsia="黑体" w:cs="Times New Roman"/>
          <w:b w:val="0"/>
          <w:color w:val="000000"/>
          <w:sz w:val="24"/>
          <w:szCs w:val="24"/>
          <w:highlight w:val="none"/>
          <w:lang w:val="en-US" w:eastAsia="zh-CN" w:bidi="ar-SA"/>
        </w:rPr>
        <w:t xml:space="preserve">三、质量标准</w:t>
      </w:r>
      <w:bookmarkEnd w:id="676"/>
      <w:r/>
      <w:r/>
    </w:p>
    <w:p>
      <w:pPr>
        <w:ind w:firstLine="459"/>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工程质量符合</w:t>
      </w:r>
      <w:r>
        <w:rPr>
          <w:rFonts w:hint="eastAsia" w:ascii="宋体" w:hAnsi="宋体" w:eastAsia="宋体" w:cs="Times New Roman"/>
          <w:color w:val="000000"/>
          <w:sz w:val="24"/>
          <w:szCs w:val="24"/>
          <w:highlight w:val="none"/>
          <w:u w:val="single"/>
        </w:rPr>
        <w:t xml:space="preserve">合格</w:t>
      </w:r>
      <w:r>
        <w:rPr>
          <w:rFonts w:hint="eastAsia" w:ascii="宋体" w:hAnsi="宋体" w:eastAsia="宋体" w:cs="Times New Roman"/>
          <w:color w:val="000000"/>
          <w:sz w:val="24"/>
          <w:szCs w:val="24"/>
          <w:highlight w:val="none"/>
        </w:rPr>
        <w:t xml:space="preserve">标准。</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r>
        <w:rPr>
          <w:rFonts w:hint="eastAsia" w:ascii="宋体" w:hAnsi="宋体" w:eastAsia="黑体" w:cs="Times New Roman"/>
          <w:b w:val="0"/>
          <w:color w:val="000000"/>
          <w:sz w:val="24"/>
          <w:szCs w:val="24"/>
          <w:highlight w:val="none"/>
          <w:lang w:val="en-US" w:eastAsia="zh-CN" w:bidi="ar-SA"/>
        </w:rPr>
        <w:t xml:space="preserve"> </w:t>
      </w:r>
      <w:bookmarkStart w:id="677" w:name="_Toc351203484"/>
      <w:r>
        <w:rPr>
          <w:rFonts w:hint="eastAsia" w:ascii="宋体" w:hAnsi="宋体" w:eastAsia="黑体" w:cs="Times New Roman"/>
          <w:b w:val="0"/>
          <w:color w:val="000000"/>
          <w:sz w:val="24"/>
          <w:szCs w:val="24"/>
          <w:highlight w:val="none"/>
          <w:lang w:val="en-US" w:eastAsia="zh-CN" w:bidi="ar-SA"/>
        </w:rPr>
        <w:t xml:space="preserve">四、签约合同价与合同价格形式</w:t>
      </w:r>
      <w:bookmarkEnd w:id="677"/>
      <w:r>
        <w:rPr>
          <w:rFonts w:hint="eastAsia" w:ascii="宋体" w:hAnsi="宋体" w:eastAsia="黑体" w:cs="Times New Roman"/>
          <w:b w:val="0"/>
          <w:color w:val="000000"/>
          <w:sz w:val="24"/>
          <w:szCs w:val="24"/>
          <w:highlight w:val="none"/>
          <w:lang w:val="en-US" w:eastAsia="zh-CN" w:bidi="ar-SA"/>
        </w:rPr>
        <w:tab/>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1.签约合同价为：</w:t>
      </w:r>
      <w:r/>
    </w:p>
    <w:p>
      <w:pPr>
        <w:ind w:firstLine="60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人民币（大写）</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元)；</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2.合同价格形式：</w:t>
      </w:r>
      <w:r>
        <w:rPr>
          <w:rFonts w:hint="eastAsia" w:ascii="宋体" w:hAnsi="宋体" w:eastAsia="宋体" w:cs="Times New Roman"/>
          <w:color w:val="000000"/>
          <w:sz w:val="24"/>
          <w:szCs w:val="24"/>
          <w:highlight w:val="none"/>
          <w:u w:val="single"/>
        </w:rPr>
        <w:t xml:space="preserve">固定单价合同</w:t>
      </w:r>
      <w:r>
        <w:rPr>
          <w:rFonts w:hint="eastAsia" w:ascii="宋体" w:hAnsi="宋体" w:eastAsia="宋体" w:cs="Times New Roman"/>
          <w:color w:val="000000"/>
          <w:sz w:val="24"/>
          <w:szCs w:val="24"/>
          <w:highlight w:val="none"/>
        </w:rPr>
        <w:t xml:space="preserve">。</w:t>
      </w:r>
      <w:r/>
    </w:p>
    <w:p>
      <w:pPr>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r>
        <w:rPr>
          <w:rFonts w:hint="eastAsia" w:ascii="宋体" w:hAnsi="宋体" w:eastAsia="黑体" w:cs="Times New Roman"/>
          <w:b w:val="0"/>
          <w:color w:val="000000"/>
          <w:sz w:val="24"/>
          <w:szCs w:val="24"/>
          <w:highlight w:val="none"/>
          <w:lang w:val="en-US" w:eastAsia="zh-CN" w:bidi="ar-SA"/>
        </w:rPr>
        <w:t xml:space="preserve"> </w:t>
      </w:r>
      <w:bookmarkStart w:id="678" w:name="_Toc351203485"/>
      <w:r>
        <w:rPr>
          <w:rFonts w:hint="eastAsia" w:ascii="宋体" w:hAnsi="宋体" w:eastAsia="黑体" w:cs="Times New Roman"/>
          <w:b w:val="0"/>
          <w:color w:val="000000"/>
          <w:sz w:val="24"/>
          <w:szCs w:val="24"/>
          <w:highlight w:val="none"/>
          <w:lang w:val="en-US" w:eastAsia="zh-CN" w:bidi="ar-SA"/>
        </w:rPr>
        <w:t xml:space="preserve">五、</w:t>
      </w:r>
      <w:bookmarkEnd w:id="678"/>
      <w:r>
        <w:rPr>
          <w:rFonts w:hint="eastAsia" w:ascii="宋体" w:hAnsi="宋体" w:eastAsia="黑体" w:cs="Times New Roman"/>
          <w:b w:val="0"/>
          <w:color w:val="000000"/>
          <w:sz w:val="24"/>
          <w:szCs w:val="24"/>
          <w:highlight w:val="none"/>
          <w:lang w:val="en-US" w:eastAsia="zh-CN" w:bidi="ar-SA"/>
        </w:rPr>
        <w:t xml:space="preserve">项目经理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承包人项目经理：</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r>
        <w:rPr>
          <w:rFonts w:hint="eastAsia" w:ascii="宋体" w:hAnsi="宋体" w:eastAsia="黑体" w:cs="Times New Roman"/>
          <w:b w:val="0"/>
          <w:color w:val="000000"/>
          <w:sz w:val="24"/>
          <w:szCs w:val="24"/>
          <w:highlight w:val="none"/>
          <w:lang w:val="en-US" w:eastAsia="zh-CN" w:bidi="ar-SA"/>
        </w:rPr>
        <w:t xml:space="preserve"> </w:t>
      </w:r>
      <w:bookmarkStart w:id="679" w:name="_Toc351203486"/>
      <w:r>
        <w:rPr>
          <w:rFonts w:hint="eastAsia" w:ascii="宋体" w:hAnsi="宋体" w:eastAsia="黑体" w:cs="Times New Roman"/>
          <w:b w:val="0"/>
          <w:color w:val="000000"/>
          <w:sz w:val="24"/>
          <w:szCs w:val="24"/>
          <w:highlight w:val="none"/>
          <w:lang w:val="en-US" w:eastAsia="zh-CN" w:bidi="ar-SA"/>
        </w:rPr>
        <w:t xml:space="preserve">六、合同文件构成</w:t>
      </w:r>
      <w:bookmarkEnd w:id="679"/>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本协议书与下列文件一起构成合同文件：</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（1）中标通知书（如果有）；</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（2）投标函及其附录（如果有）；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（3）专用合同条款及其附件；</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（4）通用合同条款；</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（5）技术标准和要求；</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（6）图纸；</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（7）已标价清单或预算书；</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（8）其他合同文件。</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在合同订立及履行过程中形成的与合同有关的文件均构成合同文件组成部分。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spacing w:before="120" w:after="120" w:line="360" w:lineRule="auto"/>
        <w:widowControl w:val="off"/>
        <w:rPr>
          <w:rFonts w:hint="eastAsia" w:ascii="宋体" w:hAnsi="宋体" w:eastAsia="黑体" w:cs="Times New Roman"/>
          <w:b w:val="0"/>
          <w:bCs w:val="0"/>
          <w:color w:val="000000"/>
          <w:sz w:val="24"/>
          <w:szCs w:val="24"/>
          <w:highlight w:val="none"/>
          <w:lang w:val="en-US" w:eastAsia="zh-CN" w:bidi="ar-SA"/>
        </w:rPr>
        <w:outlineLvl w:val="3"/>
      </w:pPr>
      <w:r>
        <w:rPr>
          <w:rFonts w:hint="eastAsia" w:ascii="宋体" w:hAnsi="宋体" w:eastAsia="黑体" w:cs="Times New Roman"/>
          <w:b w:val="0"/>
          <w:bCs w:val="0"/>
          <w:color w:val="000000"/>
          <w:sz w:val="24"/>
          <w:szCs w:val="24"/>
          <w:highlight w:val="none"/>
          <w:lang w:val="en-US" w:eastAsia="zh-CN" w:bidi="ar-SA"/>
        </w:rPr>
        <w:t xml:space="preserve">   </w:t>
      </w:r>
      <w:r>
        <w:rPr>
          <w:rFonts w:hint="eastAsia" w:ascii="宋体" w:hAnsi="宋体" w:eastAsia="黑体" w:cs="Times New Roman"/>
          <w:b w:val="0"/>
          <w:color w:val="000000"/>
          <w:sz w:val="24"/>
          <w:szCs w:val="24"/>
          <w:highlight w:val="none"/>
          <w:lang w:val="en-US" w:eastAsia="zh-CN" w:bidi="ar-SA"/>
        </w:rPr>
        <w:t xml:space="preserve"> </w:t>
      </w:r>
      <w:bookmarkStart w:id="680" w:name="_Toc351203487"/>
      <w:r>
        <w:rPr>
          <w:rFonts w:hint="eastAsia" w:ascii="宋体" w:hAnsi="宋体" w:eastAsia="黑体" w:cs="Times New Roman"/>
          <w:b w:val="0"/>
          <w:color w:val="000000"/>
          <w:sz w:val="24"/>
          <w:szCs w:val="24"/>
          <w:highlight w:val="none"/>
          <w:lang w:val="en-US" w:eastAsia="zh-CN" w:bidi="ar-SA"/>
        </w:rPr>
        <w:t xml:space="preserve">七、承诺</w:t>
      </w:r>
      <w:bookmarkEnd w:id="680"/>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s="Times New Roman"/>
          <w:bCs/>
          <w:color w:val="000000"/>
          <w:sz w:val="24"/>
          <w:szCs w:val="24"/>
          <w:highlight w:val="none"/>
        </w:rPr>
      </w:pPr>
      <w:r/>
      <w:bookmarkStart w:id="681" w:name="_Toc351203488"/>
      <w:r>
        <w:rPr>
          <w:rFonts w:hint="eastAsia" w:ascii="宋体" w:hAnsi="宋体" w:eastAsia="宋体" w:cs="Times New Roman"/>
          <w:b/>
          <w:color w:val="000000"/>
          <w:sz w:val="24"/>
          <w:szCs w:val="24"/>
          <w:highlight w:val="none"/>
        </w:rPr>
        <w:t xml:space="preserve">    八、词语含义</w:t>
      </w:r>
      <w:bookmarkEnd w:id="681"/>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本协议书中词语含义与第二部分通用合同条款中赋予的含义相同。</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r>
        <w:rPr>
          <w:rFonts w:hint="eastAsia" w:ascii="宋体" w:hAnsi="宋体" w:eastAsia="黑体" w:cs="Times New Roman"/>
          <w:b w:val="0"/>
          <w:color w:val="000000"/>
          <w:sz w:val="24"/>
          <w:szCs w:val="24"/>
          <w:highlight w:val="none"/>
          <w:lang w:val="en-US" w:eastAsia="zh-CN" w:bidi="ar-SA"/>
        </w:rPr>
        <w:t xml:space="preserve">  </w:t>
      </w:r>
      <w:bookmarkStart w:id="682" w:name="_Toc351203489"/>
      <w:r>
        <w:rPr>
          <w:rFonts w:hint="eastAsia" w:ascii="宋体" w:hAnsi="宋体" w:eastAsia="黑体" w:cs="Times New Roman"/>
          <w:b w:val="0"/>
          <w:color w:val="000000"/>
          <w:sz w:val="24"/>
          <w:szCs w:val="24"/>
          <w:highlight w:val="none"/>
          <w:lang w:val="en-US" w:eastAsia="zh-CN" w:bidi="ar-SA"/>
        </w:rPr>
        <w:t xml:space="preserve">九、签订时间</w:t>
      </w:r>
      <w:bookmarkEnd w:id="682"/>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本合同于</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日签订。</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bookmarkStart w:id="683" w:name="_Toc351203490"/>
      <w:r>
        <w:rPr>
          <w:rFonts w:hint="eastAsia" w:ascii="宋体" w:hAnsi="宋体" w:eastAsia="黑体" w:cs="Times New Roman"/>
          <w:b w:val="0"/>
          <w:color w:val="000000"/>
          <w:sz w:val="24"/>
          <w:szCs w:val="24"/>
          <w:highlight w:val="none"/>
          <w:lang w:val="en-US" w:eastAsia="zh-CN" w:bidi="ar-SA"/>
        </w:rPr>
        <w:t xml:space="preserve">十、签订地点</w:t>
      </w:r>
      <w:bookmarkEnd w:id="683"/>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本合同在</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签订。</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bookmarkStart w:id="684" w:name="_Toc351203491"/>
      <w:r>
        <w:rPr>
          <w:rFonts w:hint="eastAsia" w:ascii="宋体" w:hAnsi="宋体" w:eastAsia="黑体" w:cs="Times New Roman"/>
          <w:b w:val="0"/>
          <w:color w:val="000000"/>
          <w:sz w:val="24"/>
          <w:szCs w:val="24"/>
          <w:highlight w:val="none"/>
          <w:lang w:val="en-US" w:eastAsia="zh-CN" w:bidi="ar-SA"/>
        </w:rPr>
        <w:t xml:space="preserve">十一、补充协议</w:t>
      </w:r>
      <w:bookmarkEnd w:id="684"/>
      <w:r/>
      <w:r/>
    </w:p>
    <w:p>
      <w:pPr>
        <w:ind w:firstLine="480"/>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 xml:space="preserve">合同未尽事宜，合同当事人另行签订补充协议，补充协议是合同的组成部分。</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bookmarkStart w:id="685" w:name="_Toc351203492"/>
      <w:r>
        <w:rPr>
          <w:rFonts w:hint="eastAsia" w:ascii="宋体" w:hAnsi="宋体" w:eastAsia="黑体" w:cs="Times New Roman"/>
          <w:b w:val="0"/>
          <w:color w:val="000000"/>
          <w:sz w:val="24"/>
          <w:szCs w:val="24"/>
          <w:highlight w:val="none"/>
          <w:lang w:val="en-US" w:eastAsia="zh-CN" w:bidi="ar-SA"/>
        </w:rPr>
        <w:t xml:space="preserve">十二、合同生效</w:t>
      </w:r>
      <w:bookmarkEnd w:id="685"/>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本合同自</w:t>
      </w:r>
      <w:r>
        <w:rPr>
          <w:rFonts w:hint="eastAsia" w:ascii="宋体" w:hAnsi="宋体" w:eastAsia="宋体" w:cs="Times New Roman"/>
          <w:bCs/>
          <w:color w:val="000000"/>
          <w:sz w:val="24"/>
          <w:szCs w:val="24"/>
          <w:highlight w:val="none"/>
          <w:u w:val="single"/>
        </w:rPr>
        <w:t xml:space="preserve">双方盖章、签字后</w:t>
      </w:r>
      <w:r>
        <w:rPr>
          <w:rFonts w:hint="eastAsia" w:ascii="宋体" w:hAnsi="宋体" w:eastAsia="宋体" w:cs="Times New Roman"/>
          <w:bCs/>
          <w:color w:val="000000"/>
          <w:sz w:val="24"/>
          <w:szCs w:val="24"/>
          <w:highlight w:val="none"/>
        </w:rPr>
        <w:t xml:space="preserve">生效。</w:t>
      </w:r>
      <w:r/>
    </w:p>
    <w:p>
      <w:pPr>
        <w:jc w:val="both"/>
        <w:keepLines/>
        <w:keepNext/>
        <w:spacing w:before="120" w:after="120" w:line="360" w:lineRule="auto"/>
        <w:widowControl w:val="off"/>
        <w:rPr>
          <w:rFonts w:hint="eastAsia" w:ascii="宋体" w:hAnsi="宋体" w:eastAsia="黑体" w:cs="Times New Roman"/>
          <w:b/>
          <w:bCs w:val="0"/>
          <w:color w:val="000000"/>
          <w:sz w:val="24"/>
          <w:szCs w:val="24"/>
          <w:highlight w:val="none"/>
          <w:lang w:val="en-US" w:eastAsia="zh-CN" w:bidi="ar-SA"/>
        </w:rPr>
        <w:outlineLvl w:val="3"/>
      </w:pPr>
      <w:r>
        <w:rPr>
          <w:rFonts w:hint="eastAsia" w:ascii="宋体" w:hAnsi="宋体" w:eastAsia="黑体" w:cs="Times New Roman"/>
          <w:b/>
          <w:bCs w:val="0"/>
          <w:color w:val="000000"/>
          <w:sz w:val="24"/>
          <w:szCs w:val="24"/>
          <w:highlight w:val="none"/>
          <w:lang w:val="en-US" w:eastAsia="zh-CN" w:bidi="ar-SA"/>
        </w:rPr>
        <w:t xml:space="preserve">    </w:t>
      </w:r>
      <w:bookmarkStart w:id="686" w:name="_Toc351203493"/>
      <w:r>
        <w:rPr>
          <w:rFonts w:hint="eastAsia" w:ascii="宋体" w:hAnsi="宋体" w:eastAsia="黑体" w:cs="Times New Roman"/>
          <w:b w:val="0"/>
          <w:color w:val="000000"/>
          <w:sz w:val="24"/>
          <w:szCs w:val="24"/>
          <w:highlight w:val="none"/>
          <w:lang w:val="en-US" w:eastAsia="zh-CN" w:bidi="ar-SA"/>
        </w:rPr>
        <w:t xml:space="preserve">十三、合同份数</w:t>
      </w:r>
      <w:bookmarkEnd w:id="686"/>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本合同一式</w:t>
      </w:r>
      <w:r>
        <w:rPr>
          <w:rFonts w:hint="eastAsia" w:ascii="宋体" w:hAnsi="宋体" w:eastAsia="宋体" w:cs="Times New Roman"/>
          <w:bCs/>
          <w:color w:val="000000"/>
          <w:sz w:val="24"/>
          <w:szCs w:val="24"/>
          <w:highlight w:val="none"/>
          <w:u w:val="single"/>
        </w:rPr>
        <w:t xml:space="preserve">捌</w:t>
      </w:r>
      <w:r>
        <w:rPr>
          <w:rFonts w:hint="eastAsia" w:ascii="宋体" w:hAnsi="宋体" w:eastAsia="宋体" w:cs="Times New Roman"/>
          <w:bCs/>
          <w:color w:val="000000"/>
          <w:sz w:val="24"/>
          <w:szCs w:val="24"/>
          <w:highlight w:val="none"/>
        </w:rPr>
        <w:t xml:space="preserve">份，均具有同等法律效力，发包人执</w:t>
      </w:r>
      <w:r>
        <w:rPr>
          <w:rFonts w:hint="eastAsia" w:ascii="宋体" w:hAnsi="宋体" w:eastAsia="宋体" w:cs="Times New Roman"/>
          <w:bCs/>
          <w:color w:val="000000"/>
          <w:sz w:val="24"/>
          <w:szCs w:val="24"/>
          <w:highlight w:val="none"/>
          <w:u w:val="single"/>
        </w:rPr>
        <w:t xml:space="preserve">肆</w:t>
      </w:r>
      <w:r>
        <w:rPr>
          <w:rFonts w:hint="eastAsia" w:ascii="宋体" w:hAnsi="宋体" w:eastAsia="宋体" w:cs="Times New Roman"/>
          <w:bCs/>
          <w:color w:val="000000"/>
          <w:sz w:val="24"/>
          <w:szCs w:val="24"/>
          <w:highlight w:val="none"/>
        </w:rPr>
        <w:t xml:space="preserve">份，承包人执</w:t>
      </w:r>
      <w:r>
        <w:rPr>
          <w:rFonts w:hint="eastAsia" w:ascii="宋体" w:hAnsi="宋体" w:eastAsia="宋体" w:cs="Times New Roman"/>
          <w:bCs/>
          <w:color w:val="000000"/>
          <w:sz w:val="24"/>
          <w:szCs w:val="24"/>
          <w:highlight w:val="none"/>
          <w:u w:val="single"/>
        </w:rPr>
        <w:t xml:space="preserve">肆</w:t>
      </w:r>
      <w:r>
        <w:rPr>
          <w:rFonts w:hint="eastAsia" w:ascii="宋体" w:hAnsi="宋体" w:eastAsia="宋体" w:cs="Times New Roman"/>
          <w:bCs/>
          <w:color w:val="000000"/>
          <w:sz w:val="24"/>
          <w:szCs w:val="24"/>
          <w:highlight w:val="none"/>
        </w:rPr>
        <w:t xml:space="preserve">份。</w:t>
      </w:r>
      <w:r/>
    </w:p>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  (公章)             承包人：  (公章)</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法定代表人或其委托代理人：  法定代表人或其委托代理人：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                    （签字）</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p>
      <w:pPr>
        <w:ind w:firstLine="480"/>
        <w:spacing w:line="360" w:lineRule="auto"/>
        <w:tabs>
          <w:tab w:val="left" w:pos="4410"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组织机构代码：</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组织机构代码：</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  址：</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地  址：</w:t>
      </w:r>
      <w:r>
        <w:rPr>
          <w:rFonts w:hint="eastAsia" w:ascii="宋体" w:hAnsi="宋体" w:eastAsia="宋体" w:cs="Times New Roman"/>
          <w:color w:val="000000"/>
          <w:sz w:val="24"/>
          <w:szCs w:val="24"/>
          <w:highlight w:val="none"/>
          <w:u w:val="single"/>
        </w:rPr>
        <w:t xml:space="preserve">  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邮政编码：</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  邮政编码：</w:t>
      </w:r>
      <w:r>
        <w:rPr>
          <w:rFonts w:hint="eastAsia" w:ascii="宋体" w:hAnsi="宋体" w:eastAsia="宋体" w:cs="Times New Roman"/>
          <w:color w:val="000000"/>
          <w:sz w:val="24"/>
          <w:szCs w:val="24"/>
          <w:highlight w:val="none"/>
          <w:u w:val="singl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法定代表人：</w:t>
      </w:r>
      <w:r>
        <w:rPr>
          <w:rFonts w:hint="eastAsia" w:ascii="宋体" w:hAnsi="宋体" w:eastAsia="宋体" w:cs="Times New Roman"/>
          <w:color w:val="000000"/>
          <w:sz w:val="24"/>
          <w:szCs w:val="24"/>
          <w:highlight w:val="none"/>
          <w:u w:val="single"/>
        </w:rPr>
        <w:t xml:space="preserve">      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委托代理人：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委托代理人：</w:t>
      </w:r>
      <w:r>
        <w:rPr>
          <w:rFonts w:hint="eastAsia" w:ascii="宋体" w:hAnsi="宋体" w:eastAsia="宋体" w:cs="Times New Roman"/>
          <w:color w:val="000000"/>
          <w:sz w:val="24"/>
          <w:szCs w:val="24"/>
          <w:highlight w:val="none"/>
          <w:u w:val="singl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  话：</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电  话：</w:t>
      </w:r>
      <w:r>
        <w:rPr>
          <w:rFonts w:hint="eastAsia" w:ascii="宋体" w:hAnsi="宋体" w:eastAsia="宋体" w:cs="Times New Roman"/>
          <w:color w:val="000000"/>
          <w:sz w:val="24"/>
          <w:szCs w:val="24"/>
          <w:highlight w:val="none"/>
          <w:u w:val="singl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传  真：</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传  真：</w:t>
      </w:r>
      <w:r>
        <w:rPr>
          <w:rFonts w:hint="eastAsia" w:ascii="宋体" w:hAnsi="宋体" w:eastAsia="宋体" w:cs="Times New Roman"/>
          <w:color w:val="000000"/>
          <w:sz w:val="24"/>
          <w:szCs w:val="24"/>
          <w:highlight w:val="none"/>
          <w:u w:val="single"/>
        </w:rPr>
        <w:t xml:space="preserve">  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电子信箱：</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电子信箱：</w:t>
      </w:r>
      <w:r>
        <w:rPr>
          <w:rFonts w:hint="eastAsia" w:ascii="宋体" w:hAnsi="宋体" w:eastAsia="宋体" w:cs="Times New Roman"/>
          <w:color w:val="000000"/>
          <w:sz w:val="24"/>
          <w:szCs w:val="24"/>
          <w:highlight w:val="none"/>
          <w:u w:val="singl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开户银行：</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开户银行：</w:t>
      </w:r>
      <w:r>
        <w:rPr>
          <w:rFonts w:hint="eastAsia" w:ascii="宋体" w:hAnsi="宋体" w:eastAsia="宋体" w:cs="Times New Roman"/>
          <w:color w:val="000000"/>
          <w:sz w:val="24"/>
          <w:szCs w:val="24"/>
          <w:highlight w:val="none"/>
          <w:u w:val="singl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账  号：</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账  号：</w:t>
      </w:r>
      <w:r>
        <w:rPr>
          <w:rFonts w:hint="eastAsia" w:ascii="宋体" w:hAnsi="宋体" w:eastAsia="宋体" w:cs="Times New Roman"/>
          <w:color w:val="000000"/>
          <w:sz w:val="24"/>
          <w:szCs w:val="24"/>
          <w:highlight w:val="none"/>
          <w:u w:val="single"/>
        </w:rPr>
        <w:t xml:space="preserve">     </w:t>
      </w:r>
      <w:r/>
    </w:p>
    <w:p>
      <w:pPr>
        <w:jc w:val="center"/>
        <w:keepLines/>
        <w:keepNext/>
        <w:spacing w:before="0" w:after="0"/>
        <w:widowControl w:val="off"/>
        <w:rPr>
          <w:rFonts w:hint="eastAsia" w:ascii="宋体" w:hAnsi="宋体" w:eastAsia="宋体" w:cs="Times New Roman"/>
          <w:b/>
          <w:sz w:val="44"/>
          <w:szCs w:val="44"/>
          <w:highlight w:val="none"/>
          <w:u w:val="single"/>
          <w:lang w:val="en-US" w:eastAsia="zh-CN" w:bidi="ar-SA"/>
        </w:rPr>
        <w:outlineLvl w:val="2"/>
      </w:pPr>
      <w:r>
        <w:rPr>
          <w:rFonts w:hint="eastAsia" w:ascii="宋体" w:hAnsi="宋体" w:eastAsia="宋体" w:cs="Times New Roman"/>
          <w:b/>
          <w:sz w:val="24"/>
          <w:szCs w:val="24"/>
          <w:highlight w:val="none"/>
          <w:u w:val="single"/>
          <w:lang w:val="en-US" w:eastAsia="zh-CN" w:bidi="ar-SA"/>
        </w:rPr>
        <w:br w:type="page" w:clear="all"/>
      </w:r>
      <w:bookmarkStart w:id="687" w:name="_Toc351203494"/>
      <w:r>
        <w:rPr>
          <w:rFonts w:hint="eastAsia" w:ascii="宋体" w:hAnsi="宋体" w:eastAsia="宋体" w:cs="Times New Roman"/>
          <w:b/>
          <w:sz w:val="44"/>
          <w:szCs w:val="44"/>
          <w:highlight w:val="none"/>
          <w:u w:val="single"/>
          <w:lang w:val="en-US" w:eastAsia="zh-CN" w:bidi="ar-SA"/>
        </w:rPr>
        <w:t xml:space="preserve">第二部分 通用合同条款</w:t>
      </w:r>
      <w:bookmarkEnd w:id="687"/>
      <w:r/>
      <w:bookmarkStart w:id="688" w:name="_Toc337558727"/>
      <w:r/>
      <w:bookmarkEnd w:id="688"/>
      <w:r/>
    </w:p>
    <w:p>
      <w:pPr>
        <w:ind w:firstLine="880"/>
        <w:jc w:val="center"/>
        <w:spacing w:line="360" w:lineRule="auto"/>
        <w:rPr>
          <w:rFonts w:hint="eastAsia" w:ascii="宋体" w:hAnsi="宋体" w:eastAsia="宋体" w:cs="Times New Roman"/>
          <w:sz w:val="44"/>
          <w:szCs w:val="44"/>
          <w:highlight w:val="none"/>
        </w:rPr>
      </w:pPr>
      <w:r/>
      <w:bookmarkStart w:id="689" w:name="_Toc351203632"/>
      <w:r>
        <w:rPr>
          <w:rFonts w:hint="eastAsia" w:ascii="宋体" w:hAnsi="宋体" w:eastAsia="宋体" w:cs="Times New Roman"/>
          <w:sz w:val="44"/>
          <w:szCs w:val="44"/>
          <w:highlight w:val="none"/>
        </w:rPr>
        <w:t xml:space="preserve">（略）</w:t>
      </w:r>
      <w:r/>
    </w:p>
    <w:p>
      <w:pPr>
        <w:ind w:firstLine="880"/>
        <w:jc w:val="center"/>
        <w:spacing w:line="360" w:lineRule="auto"/>
        <w:rPr>
          <w:rFonts w:hint="eastAsia" w:ascii="宋体" w:hAnsi="宋体" w:eastAsia="宋体" w:cs="Times New Roman"/>
          <w:sz w:val="44"/>
          <w:szCs w:val="44"/>
          <w:highlight w:val="none"/>
        </w:rPr>
      </w:pPr>
      <w:r>
        <w:rPr>
          <w:rFonts w:hint="eastAsia" w:ascii="宋体" w:hAnsi="宋体" w:eastAsia="宋体" w:cs="Times New Roman"/>
          <w:sz w:val="44"/>
          <w:szCs w:val="44"/>
          <w:highlight w:val="none"/>
        </w:rPr>
        <w:t xml:space="preserve">第三部分 专用合同条款</w:t>
      </w:r>
      <w:bookmarkEnd w:id="689"/>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690" w:name="_Toc351203633"/>
      <w:r>
        <w:rPr>
          <w:rFonts w:hint="eastAsia" w:ascii="宋体" w:hAnsi="宋体" w:eastAsia="黑体" w:cs="Times New Roman"/>
          <w:b w:val="0"/>
          <w:color w:val="000000"/>
          <w:sz w:val="24"/>
          <w:szCs w:val="24"/>
          <w:highlight w:val="none"/>
          <w:lang w:val="en-US" w:eastAsia="zh-CN" w:bidi="ar-SA"/>
        </w:rPr>
        <w:t xml:space="preserve">1</w:t>
      </w:r>
      <w:bookmarkStart w:id="691" w:name="_Toc296346657"/>
      <w:r/>
      <w:bookmarkStart w:id="692" w:name="_Toc296347155"/>
      <w:r/>
      <w:bookmarkStart w:id="693" w:name="_Toc296890984"/>
      <w:r/>
      <w:bookmarkStart w:id="694" w:name="_Toc296891196"/>
      <w:r/>
      <w:bookmarkStart w:id="695" w:name="_Toc297120456"/>
      <w:r/>
      <w:bookmarkStart w:id="696" w:name="_Toc297048342"/>
      <w:r/>
      <w:bookmarkStart w:id="697" w:name="_Toc292559866"/>
      <w:r/>
      <w:bookmarkStart w:id="698" w:name="_Toc296503156"/>
      <w:r/>
      <w:bookmarkStart w:id="699" w:name="_Toc296944495"/>
      <w:r/>
      <w:bookmarkStart w:id="700" w:name="_Toc292559361"/>
      <w:r>
        <w:rPr>
          <w:rFonts w:hint="eastAsia" w:ascii="宋体" w:hAnsi="宋体" w:eastAsia="黑体" w:cs="Times New Roman"/>
          <w:b w:val="0"/>
          <w:color w:val="000000"/>
          <w:sz w:val="24"/>
          <w:szCs w:val="24"/>
          <w:highlight w:val="none"/>
          <w:lang w:val="en-US" w:eastAsia="zh-CN" w:bidi="ar-SA"/>
        </w:rPr>
        <w:t xml:space="preserve">. 一般约定</w:t>
      </w:r>
      <w:bookmarkEnd w:id="690"/>
      <w:r/>
      <w:bookmarkEnd w:id="691"/>
      <w:bookmarkEnd w:id="692"/>
      <w:bookmarkEnd w:id="693"/>
      <w:bookmarkEnd w:id="694"/>
      <w:bookmarkEnd w:id="695"/>
      <w:bookmarkEnd w:id="696"/>
      <w:bookmarkEnd w:id="697"/>
      <w:bookmarkEnd w:id="698"/>
      <w:bookmarkEnd w:id="699"/>
      <w:bookmarkEnd w:id="700"/>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1.1 词语定义</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1.1.1合同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1.1.1.10其他合同文件包括：</w:t>
      </w:r>
      <w:r>
        <w:rPr>
          <w:rFonts w:hint="eastAsia" w:ascii="宋体" w:hAnsi="宋体" w:eastAsia="宋体" w:cs="Times New Roman"/>
          <w:color w:val="000000"/>
          <w:sz w:val="24"/>
          <w:szCs w:val="24"/>
          <w:highlight w:val="none"/>
          <w:u w:val="single"/>
          <w:lang w:eastAsia="zh-CN"/>
        </w:rPr>
        <w:t xml:space="preserve">磋商文件</w:t>
      </w:r>
      <w:r>
        <w:rPr>
          <w:rFonts w:hint="eastAsia" w:ascii="宋体" w:hAnsi="宋体" w:eastAsia="宋体" w:cs="Times New Roman"/>
          <w:color w:val="000000"/>
          <w:sz w:val="24"/>
          <w:szCs w:val="24"/>
          <w:highlight w:val="none"/>
          <w:u w:val="single"/>
        </w:rPr>
        <w:t xml:space="preserve">、答疑纪要、清单及编制说明、</w:t>
      </w:r>
      <w:r>
        <w:rPr>
          <w:rFonts w:hint="eastAsia" w:ascii="宋体" w:hAnsi="宋体" w:eastAsia="宋体" w:cs="Times New Roman"/>
          <w:color w:val="000000"/>
          <w:sz w:val="24"/>
          <w:szCs w:val="24"/>
          <w:highlight w:val="none"/>
          <w:u w:val="single"/>
          <w:lang w:eastAsia="zh-CN"/>
        </w:rPr>
        <w:t xml:space="preserve">响应文件</w:t>
      </w:r>
      <w:r>
        <w:rPr>
          <w:rFonts w:hint="eastAsia" w:ascii="宋体" w:hAnsi="宋体" w:eastAsia="宋体" w:cs="Times New Roman"/>
          <w:color w:val="000000"/>
          <w:sz w:val="24"/>
          <w:szCs w:val="24"/>
          <w:highlight w:val="none"/>
          <w:u w:val="single"/>
        </w:rPr>
        <w:t xml:space="preserve">及双方其他书面约定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1.1.2 合同当事人及其他相关方</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1.1.2.4监理人：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    称：</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资质类别和等级：</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电子信箱：</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通信地址：</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1.1.2.5 设计人：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    称：</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资质类别和等级：</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电子信箱：</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通信地址：</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1.1.3 工程和设备</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1.1.3.7 作为施工现场组成部分的其他场所包括：</w:t>
      </w:r>
      <w:r>
        <w:rPr>
          <w:rFonts w:hint="eastAsia" w:ascii="宋体" w:hAnsi="宋体" w:eastAsia="宋体" w:cs="Times New Roman"/>
          <w:color w:val="000000"/>
          <w:sz w:val="24"/>
          <w:szCs w:val="24"/>
          <w:highlight w:val="none"/>
          <w:u w:val="single"/>
        </w:rPr>
        <w:t xml:space="preserve">按通用条款</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1.1.3.9 永久占地包括：</w:t>
      </w:r>
      <w:r>
        <w:rPr>
          <w:rFonts w:hint="eastAsia" w:ascii="宋体" w:hAnsi="宋体" w:eastAsia="宋体" w:cs="Times New Roman"/>
          <w:color w:val="000000"/>
          <w:sz w:val="24"/>
          <w:szCs w:val="24"/>
          <w:highlight w:val="none"/>
          <w:u w:val="single"/>
        </w:rPr>
        <w:t xml:space="preserve">按通用条款</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1.1.3.10 临时占地包括：</w:t>
      </w:r>
      <w:r>
        <w:rPr>
          <w:rFonts w:hint="eastAsia" w:ascii="宋体" w:hAnsi="宋体" w:eastAsia="宋体" w:cs="Times New Roman"/>
          <w:color w:val="000000"/>
          <w:sz w:val="24"/>
          <w:szCs w:val="24"/>
          <w:highlight w:val="none"/>
          <w:u w:val="single"/>
        </w:rPr>
        <w:t xml:space="preserve">仅局限于本工程施工场地</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1.3法律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适用于合同的其他规范性文件：</w:t>
      </w:r>
      <w:r>
        <w:rPr>
          <w:rFonts w:hint="eastAsia" w:ascii="宋体" w:hAnsi="宋体" w:eastAsia="宋体" w:cs="Times New Roman"/>
          <w:color w:val="000000"/>
          <w:sz w:val="24"/>
          <w:szCs w:val="24"/>
          <w:highlight w:val="none"/>
          <w:u w:val="single"/>
        </w:rPr>
        <w:t xml:space="preserve">按常州市执行的相关法律法规及强制性条文执行</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 标准和规范</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1.4.1适用于工程的标准规范包括：</w:t>
      </w:r>
      <w:r>
        <w:rPr>
          <w:rFonts w:hint="eastAsia" w:ascii="宋体" w:hAnsi="宋体" w:eastAsia="宋体" w:cs="Times New Roman"/>
          <w:color w:val="000000"/>
          <w:sz w:val="24"/>
          <w:szCs w:val="24"/>
          <w:highlight w:val="none"/>
          <w:u w:val="single"/>
        </w:rPr>
        <w:t xml:space="preserve">按常州市现行执行的相关标准、规范及有关规定，本工程施工图设计文件所载明的标准、规范、规程</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1.4.2 发包人提供国外标准、规范的名称：</w:t>
      </w:r>
      <w:r>
        <w:rPr>
          <w:rFonts w:hint="eastAsia" w:ascii="宋体" w:hAnsi="宋体" w:eastAsia="宋体" w:cs="Times New Roman"/>
          <w:color w:val="000000"/>
          <w:sz w:val="24"/>
          <w:szCs w:val="24"/>
          <w:highlight w:val="none"/>
          <w:u w:val="single"/>
        </w:rPr>
        <w:t xml:space="preserve">本工程无</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发包人提供国外标准、规范的份数：</w:t>
      </w:r>
      <w:r>
        <w:rPr>
          <w:rFonts w:hint="eastAsia" w:ascii="宋体" w:hAnsi="宋体" w:eastAsia="宋体" w:cs="Times New Roman"/>
          <w:color w:val="000000"/>
          <w:sz w:val="24"/>
          <w:szCs w:val="24"/>
          <w:highlight w:val="none"/>
          <w:u w:val="single"/>
        </w:rPr>
        <w:t xml:space="preserve">本工程无</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发包人提供国外标准、规范的名称：</w:t>
      </w:r>
      <w:r>
        <w:rPr>
          <w:rFonts w:hint="eastAsia" w:ascii="宋体" w:hAnsi="宋体" w:eastAsia="宋体" w:cs="Times New Roman"/>
          <w:color w:val="000000"/>
          <w:sz w:val="24"/>
          <w:szCs w:val="24"/>
          <w:highlight w:val="none"/>
          <w:u w:val="single"/>
        </w:rPr>
        <w:t xml:space="preserve">本工程无</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1.4.3发包人对工程的技术标准和功能要求的特殊要求：按本工程设计文件的各类技术要求。</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1.5 合同文件的优先顺序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合同文件组成及优先顺序为：</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1.6 图纸和承包人文件</w:t>
      </w:r>
      <w:r>
        <w:rPr>
          <w:rFonts w:hint="eastAsia" w:ascii="宋体" w:hAnsi="宋体" w:eastAsia="宋体" w:cs="Times New Roman"/>
          <w:color w:val="000000"/>
          <w:sz w:val="24"/>
          <w:szCs w:val="24"/>
          <w:highlight w:val="none"/>
        </w:rPr>
        <w:tab/>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1.6.1 图纸的提供</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发包人向承包人提供图纸的期限：</w:t>
      </w:r>
      <w:r>
        <w:rPr>
          <w:rFonts w:hint="eastAsia" w:ascii="宋体" w:hAnsi="宋体" w:eastAsia="宋体" w:cs="Times New Roman"/>
          <w:color w:val="000000"/>
          <w:sz w:val="24"/>
          <w:szCs w:val="24"/>
          <w:highlight w:val="none"/>
          <w:u w:val="single"/>
        </w:rPr>
        <w:t xml:space="preserve">本合同签订之后3天内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发包人向承包人提供图纸的数量：</w:t>
      </w:r>
      <w:r>
        <w:rPr>
          <w:rFonts w:hint="eastAsia" w:ascii="宋体" w:hAnsi="宋体" w:eastAsia="宋体" w:cs="Times New Roman"/>
          <w:color w:val="000000"/>
          <w:sz w:val="24"/>
          <w:szCs w:val="24"/>
          <w:highlight w:val="none"/>
          <w:u w:val="single"/>
        </w:rPr>
        <w:t xml:space="preserve">贰套，如果承包人需要增加施工图份数，可自费复印更多份数</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发包人向承包人提供图纸的内容：</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1.6.4 承包人文件</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需要由承包人提供的文件，包括：</w:t>
      </w:r>
      <w:r>
        <w:rPr>
          <w:rFonts w:hint="eastAsia" w:ascii="宋体" w:hAnsi="宋体" w:eastAsia="宋体" w:cs="Times New Roman"/>
          <w:color w:val="000000"/>
          <w:sz w:val="24"/>
          <w:szCs w:val="24"/>
          <w:highlight w:val="none"/>
          <w:u w:val="single"/>
        </w:rPr>
        <w:t xml:space="preserve">按发包人、项目管理单位及监理人要求，并满足规范要求</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承包人提供的文件的期限为：</w:t>
      </w:r>
      <w:r>
        <w:rPr>
          <w:rFonts w:hint="eastAsia" w:ascii="宋体" w:hAnsi="宋体" w:eastAsia="宋体" w:cs="Times New Roman"/>
          <w:color w:val="000000"/>
          <w:sz w:val="24"/>
          <w:szCs w:val="24"/>
          <w:highlight w:val="none"/>
          <w:u w:val="single"/>
        </w:rPr>
        <w:t xml:space="preserve">按发包人、项目管理单位及监理人要求，并满足规范要求</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承包人提供的文件的数量为：</w:t>
      </w:r>
      <w:r>
        <w:rPr>
          <w:rFonts w:hint="eastAsia" w:ascii="宋体" w:hAnsi="宋体" w:eastAsia="宋体" w:cs="Times New Roman"/>
          <w:color w:val="000000"/>
          <w:sz w:val="24"/>
          <w:szCs w:val="24"/>
          <w:highlight w:val="none"/>
          <w:u w:val="single"/>
        </w:rPr>
        <w:t xml:space="preserve">一式伍份</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承包人提供的文件的形式为：</w:t>
      </w:r>
      <w:r>
        <w:rPr>
          <w:rFonts w:hint="eastAsia" w:ascii="宋体" w:hAnsi="宋体" w:eastAsia="宋体" w:cs="Times New Roman"/>
          <w:color w:val="000000"/>
          <w:sz w:val="24"/>
          <w:szCs w:val="24"/>
          <w:highlight w:val="none"/>
          <w:u w:val="single"/>
        </w:rPr>
        <w:t xml:space="preserve">按发包人、项目管理单位及监理人要求，并满足规范要求</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发包人审批承包人文件的期限：</w:t>
      </w:r>
      <w:r>
        <w:rPr>
          <w:rFonts w:hint="eastAsia" w:ascii="宋体" w:hAnsi="宋体" w:eastAsia="宋体" w:cs="Times New Roman"/>
          <w:color w:val="000000"/>
          <w:sz w:val="24"/>
          <w:szCs w:val="24"/>
          <w:highlight w:val="none"/>
          <w:u w:val="single"/>
        </w:rPr>
        <w:t xml:space="preserve">驻场监理人签收承包人提交相应文件后的一周内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1.6.5 现场图纸准备</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关于现场图纸准备的约定：</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在本合同工程竣工验收之前，承包人须按国家颁发的竣工验收相关规定、技术档案管理条例、有关部门先行要求编制整理竣工资料和竣工图一式肆份（其中应有贰套盖有审图章的竣工图），移交给发包人和有关部门。竣工图的整理、装订、移交等费用由承包人承担。</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2）发包人对图纸资料的保密要求：除严格用于合同目的除外，图纸、规范和其他文件未经发包人许可，承包人不得用于或泄露给第三方。如果对公开有关信息的必要性产生争执，则以发包人的决定为准</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1.7 联络</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1.7.1发包人和承包人应当在</w:t>
      </w:r>
      <w:r>
        <w:rPr>
          <w:rFonts w:hint="eastAsia" w:ascii="宋体" w:hAnsi="宋体" w:eastAsia="宋体" w:cs="Times New Roman"/>
          <w:color w:val="000000"/>
          <w:sz w:val="24"/>
          <w:szCs w:val="24"/>
          <w:highlight w:val="none"/>
          <w:u w:val="single"/>
        </w:rPr>
        <w:t xml:space="preserve">7</w:t>
      </w:r>
      <w:r>
        <w:rPr>
          <w:rFonts w:hint="eastAsia" w:ascii="宋体" w:hAnsi="宋体" w:eastAsia="宋体" w:cs="Times New Roman"/>
          <w:color w:val="000000"/>
          <w:sz w:val="24"/>
          <w:szCs w:val="24"/>
          <w:highlight w:val="none"/>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1.7.2 发包人接收文件的地点：</w:t>
      </w:r>
      <w:r>
        <w:rPr>
          <w:rFonts w:hint="eastAsia" w:ascii="宋体" w:hAnsi="宋体" w:eastAsia="宋体" w:cs="Times New Roman"/>
          <w:color w:val="000000"/>
          <w:sz w:val="24"/>
          <w:szCs w:val="24"/>
          <w:highlight w:val="none"/>
          <w:u w:val="single"/>
        </w:rPr>
        <w:t xml:space="preserve">发包人派驻现场管理人员办公室</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发包人指定的接收人为：</w:t>
      </w:r>
      <w:r>
        <w:rPr>
          <w:rFonts w:hint="eastAsia" w:ascii="宋体" w:hAnsi="宋体" w:eastAsia="宋体" w:cs="Times New Roman"/>
          <w:color w:val="000000"/>
          <w:sz w:val="24"/>
          <w:szCs w:val="24"/>
          <w:highlight w:val="none"/>
          <w:u w:val="single"/>
        </w:rPr>
        <w:t xml:space="preserve">项目管理单位驻场负责人</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承包人接收文件的地点：</w:t>
      </w:r>
      <w:r>
        <w:rPr>
          <w:rFonts w:hint="eastAsia" w:ascii="宋体" w:hAnsi="宋体" w:eastAsia="宋体" w:cs="Times New Roman"/>
          <w:color w:val="000000"/>
          <w:sz w:val="24"/>
          <w:szCs w:val="24"/>
          <w:highlight w:val="none"/>
          <w:u w:val="single"/>
        </w:rPr>
        <w:t xml:space="preserve">承包人施工现场管理机构的办公室</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承包人指定的接收人为：</w:t>
      </w:r>
      <w:r>
        <w:rPr>
          <w:rFonts w:hint="eastAsia" w:ascii="宋体" w:hAnsi="宋体" w:eastAsia="宋体" w:cs="Times New Roman"/>
          <w:color w:val="000000"/>
          <w:sz w:val="24"/>
          <w:szCs w:val="24"/>
          <w:highlight w:val="none"/>
          <w:u w:val="single"/>
        </w:rPr>
        <w:t xml:space="preserve">合同协议书中载明的承包人的项目经理本人或者项目经理的授权代表</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监理人接收文件的地点：</w:t>
      </w:r>
      <w:r>
        <w:rPr>
          <w:rFonts w:hint="eastAsia" w:ascii="宋体" w:hAnsi="宋体" w:eastAsia="宋体" w:cs="Times New Roman"/>
          <w:color w:val="000000"/>
          <w:sz w:val="24"/>
          <w:szCs w:val="24"/>
          <w:highlight w:val="none"/>
          <w:u w:val="single"/>
        </w:rPr>
        <w:t xml:space="preserve">施工现场监理办公室</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监理人指定的接收人为：</w:t>
      </w:r>
      <w:r>
        <w:rPr>
          <w:rFonts w:hint="eastAsia" w:ascii="宋体" w:hAnsi="宋体" w:eastAsia="宋体" w:cs="Times New Roman"/>
          <w:color w:val="000000"/>
          <w:sz w:val="24"/>
          <w:szCs w:val="24"/>
          <w:highlight w:val="none"/>
          <w:u w:val="single"/>
        </w:rPr>
        <w:t xml:space="preserve">总监理工程师</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1.10 交通运输</w:t>
      </w:r>
      <w:r/>
    </w:p>
    <w:p>
      <w:pPr>
        <w:ind w:firstLine="480"/>
        <w:spacing w:line="360" w:lineRule="auto"/>
        <w:rPr>
          <w:rFonts w:hint="eastAsia" w:ascii="宋体" w:hAnsi="宋体" w:eastAsia="宋体" w:cs="Times New Roman"/>
          <w:sz w:val="24"/>
          <w:szCs w:val="24"/>
          <w:highlight w:val="none"/>
        </w:rPr>
        <w:outlineLvl w:val="0"/>
      </w:pPr>
      <w:r>
        <w:rPr>
          <w:rFonts w:hint="eastAsia" w:ascii="宋体" w:hAnsi="宋体" w:eastAsia="宋体" w:cs="Times New Roman"/>
          <w:sz w:val="24"/>
          <w:szCs w:val="24"/>
          <w:highlight w:val="none"/>
        </w:rPr>
        <w:t xml:space="preserve">1</w:t>
      </w:r>
      <w:bookmarkStart w:id="701" w:name="_Toc304295521"/>
      <w:r/>
      <w:bookmarkStart w:id="702" w:name="_Toc303539100"/>
      <w:r/>
      <w:bookmarkStart w:id="703" w:name="_Toc300934943"/>
      <w:r/>
      <w:bookmarkStart w:id="704" w:name="_Toc318581155"/>
      <w:r/>
      <w:bookmarkStart w:id="705" w:name="_Toc312677986"/>
      <w:r>
        <w:rPr>
          <w:rFonts w:hint="eastAsia" w:ascii="宋体" w:hAnsi="宋体" w:eastAsia="宋体" w:cs="Times New Roman"/>
          <w:sz w:val="24"/>
          <w:szCs w:val="24"/>
          <w:highlight w:val="none"/>
        </w:rPr>
        <w:t xml:space="preserve">.10.1 出入现场的权利</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关于出入现场的权利的约定：</w:t>
      </w:r>
      <w:r>
        <w:rPr>
          <w:rFonts w:hint="eastAsia" w:ascii="宋体" w:hAnsi="宋体" w:eastAsia="宋体" w:cs="Times New Roman"/>
          <w:color w:val="000000"/>
          <w:sz w:val="24"/>
          <w:szCs w:val="24"/>
          <w:highlight w:val="none"/>
          <w:u w:val="single"/>
        </w:rPr>
        <w:t xml:space="preserve">无</w:t>
      </w:r>
      <w:r>
        <w:rPr>
          <w:rFonts w:hint="eastAsia" w:ascii="宋体" w:hAnsi="宋体" w:eastAsia="宋体" w:cs="Times New Roman"/>
          <w:sz w:val="24"/>
          <w:szCs w:val="24"/>
          <w:highlight w:val="none"/>
        </w:rPr>
        <w:t xml:space="preserve">。</w:t>
      </w:r>
      <w:bookmarkEnd w:id="701"/>
      <w:bookmarkEnd w:id="702"/>
      <w:bookmarkEnd w:id="703"/>
      <w:bookmarkEnd w:id="704"/>
      <w:bookmarkEnd w:id="705"/>
      <w:r/>
    </w:p>
    <w:p>
      <w:pPr>
        <w:ind w:firstLine="480"/>
        <w:spacing w:line="360" w:lineRule="auto"/>
        <w:rPr>
          <w:rFonts w:hint="eastAsia" w:ascii="宋体" w:hAnsi="宋体" w:eastAsia="宋体" w:cs="Times New Roman"/>
          <w:sz w:val="24"/>
          <w:szCs w:val="24"/>
          <w:highlight w:val="none"/>
        </w:rPr>
        <w:outlineLvl w:val="0"/>
      </w:pPr>
      <w:r>
        <w:rPr>
          <w:rFonts w:hint="eastAsia" w:ascii="宋体" w:hAnsi="宋体" w:eastAsia="宋体" w:cs="Times New Roman"/>
          <w:sz w:val="24"/>
          <w:szCs w:val="24"/>
          <w:highlight w:val="none"/>
        </w:rPr>
        <w:t xml:space="preserve">1</w:t>
      </w:r>
      <w:bookmarkStart w:id="706" w:name="_Toc300934944"/>
      <w:r/>
      <w:bookmarkStart w:id="707" w:name="_Toc303539101"/>
      <w:r/>
      <w:bookmarkStart w:id="708" w:name="_Toc312677987"/>
      <w:r/>
      <w:bookmarkStart w:id="709" w:name="_Toc318581156"/>
      <w:r/>
      <w:bookmarkStart w:id="710" w:name="_Toc304295522"/>
      <w:r>
        <w:rPr>
          <w:rFonts w:hint="eastAsia" w:ascii="宋体" w:hAnsi="宋体" w:eastAsia="宋体" w:cs="Times New Roman"/>
          <w:sz w:val="24"/>
          <w:szCs w:val="24"/>
          <w:highlight w:val="none"/>
        </w:rPr>
        <w:t xml:space="preserve">.10.3 场内交通</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关于场外交通和场内交通的边界的约定：</w:t>
      </w:r>
      <w:r>
        <w:rPr>
          <w:rFonts w:hint="eastAsia" w:ascii="宋体" w:hAnsi="宋体" w:eastAsia="宋体" w:cs="Times New Roman"/>
          <w:color w:val="000000"/>
          <w:sz w:val="24"/>
          <w:szCs w:val="24"/>
          <w:highlight w:val="none"/>
          <w:u w:val="single"/>
        </w:rPr>
        <w:t xml:space="preserve">另行约定</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关于发包人向承包人免费提供满足工程施工需要的场内道路和交通设施的约定：</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sz w:val="24"/>
          <w:szCs w:val="24"/>
          <w:highlight w:val="none"/>
        </w:rPr>
        <w:t xml:space="preserve">。</w:t>
      </w:r>
      <w:bookmarkEnd w:id="706"/>
      <w:r/>
      <w:bookmarkEnd w:id="707"/>
      <w:r/>
      <w:bookmarkEnd w:id="708"/>
      <w:r/>
      <w:bookmarkEnd w:id="709"/>
      <w:r/>
      <w:bookmarkEnd w:id="710"/>
      <w:r>
        <w:rPr>
          <w:rFonts w:hint="eastAsia" w:ascii="宋体" w:hAnsi="宋体" w:eastAsia="宋体" w:cs="Times New Roman"/>
          <w:sz w:val="24"/>
          <w:szCs w:val="24"/>
          <w:highlight w:val="none"/>
        </w:rPr>
        <w:t xml:space="preserve">  </w:t>
      </w:r>
      <w:bookmarkStart w:id="711" w:name="_Toc318581157"/>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1.10.4超大件和超重件的运输</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运输超大件或超重件所需的道路和桥梁临时加固改造费用和其他有关费用由</w:t>
      </w:r>
      <w:r>
        <w:rPr>
          <w:rFonts w:hint="eastAsia" w:ascii="宋体" w:hAnsi="宋体" w:eastAsia="宋体" w:cs="Times New Roman"/>
          <w:sz w:val="24"/>
          <w:szCs w:val="24"/>
          <w:highlight w:val="none"/>
          <w:u w:val="single"/>
        </w:rPr>
        <w:t xml:space="preserve">承包人</w:t>
      </w:r>
      <w:r>
        <w:rPr>
          <w:rFonts w:hint="eastAsia" w:ascii="宋体" w:hAnsi="宋体" w:eastAsia="宋体" w:cs="Times New Roman"/>
          <w:sz w:val="24"/>
          <w:szCs w:val="24"/>
          <w:highlight w:val="none"/>
        </w:rPr>
        <w:t xml:space="preserve">承担。</w:t>
      </w:r>
      <w:bookmarkEnd w:id="711"/>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1.11 知识产权</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color w:val="000000"/>
          <w:sz w:val="24"/>
          <w:szCs w:val="24"/>
          <w:highlight w:val="none"/>
          <w:u w:val="single"/>
        </w:rPr>
        <w:t xml:space="preserve">发包人</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关于发包人提供的上述文件的使用限制的要求：</w:t>
      </w:r>
      <w:r>
        <w:rPr>
          <w:rFonts w:hint="eastAsia" w:ascii="宋体" w:hAnsi="宋体" w:eastAsia="宋体" w:cs="Times New Roman"/>
          <w:color w:val="000000"/>
          <w:sz w:val="24"/>
          <w:szCs w:val="24"/>
          <w:highlight w:val="none"/>
          <w:u w:val="single"/>
        </w:rPr>
        <w:t xml:space="preserve">仅限于本工程施工期间</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1.11.2 关于承包人为实施工程所编制文件的著作权的归属：</w:t>
      </w:r>
      <w:r>
        <w:rPr>
          <w:rFonts w:hint="eastAsia" w:ascii="宋体" w:hAnsi="宋体" w:eastAsia="宋体" w:cs="Times New Roman"/>
          <w:color w:val="000000"/>
          <w:sz w:val="24"/>
          <w:szCs w:val="24"/>
          <w:highlight w:val="none"/>
          <w:u w:val="single"/>
        </w:rPr>
        <w:t xml:space="preserve">承包人</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关于承包人提供的上述文件的使用限制的要求：</w:t>
      </w:r>
      <w:r>
        <w:rPr>
          <w:rFonts w:hint="eastAsia" w:ascii="宋体" w:hAnsi="宋体" w:eastAsia="宋体" w:cs="Times New Roman"/>
          <w:color w:val="000000"/>
          <w:sz w:val="24"/>
          <w:szCs w:val="24"/>
          <w:highlight w:val="none"/>
          <w:u w:val="single"/>
        </w:rPr>
        <w:t xml:space="preserve">仅限于此工程项目</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1.11.4 承包人在施工过程中所采用的专利、专有技术、技术秘密的使用费的承担方式：</w:t>
      </w:r>
      <w:r>
        <w:rPr>
          <w:rFonts w:hint="eastAsia" w:ascii="宋体" w:hAnsi="宋体" w:eastAsia="宋体" w:cs="Times New Roman"/>
          <w:color w:val="000000"/>
          <w:sz w:val="24"/>
          <w:szCs w:val="24"/>
          <w:highlight w:val="none"/>
          <w:u w:val="single"/>
        </w:rPr>
        <w:t xml:space="preserve">承包人</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1.13清单错误的修正</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出现清单错误时，是否调整合同价格：</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允许调整合同价格的工程量偏差范围：</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712" w:name="_Toc351203634"/>
      <w:r>
        <w:rPr>
          <w:rFonts w:hint="eastAsia" w:ascii="宋体" w:hAnsi="宋体" w:eastAsia="黑体" w:cs="Times New Roman"/>
          <w:b w:val="0"/>
          <w:color w:val="000000"/>
          <w:sz w:val="24"/>
          <w:szCs w:val="24"/>
          <w:highlight w:val="none"/>
          <w:lang w:val="en-US" w:eastAsia="zh-CN" w:bidi="ar-SA"/>
        </w:rPr>
        <w:t xml:space="preserve">2</w:t>
      </w:r>
      <w:bookmarkStart w:id="713" w:name="_Toc296944496"/>
      <w:r/>
      <w:bookmarkStart w:id="714" w:name="_Toc296890985"/>
      <w:r/>
      <w:bookmarkStart w:id="715" w:name="_Toc292559362"/>
      <w:r/>
      <w:bookmarkStart w:id="716" w:name="_Toc296503157"/>
      <w:r/>
      <w:bookmarkStart w:id="717" w:name="_Toc297048343"/>
      <w:r/>
      <w:bookmarkStart w:id="718" w:name="_Toc296346658"/>
      <w:r/>
      <w:bookmarkStart w:id="719" w:name="_Toc296347156"/>
      <w:r/>
      <w:bookmarkStart w:id="720" w:name="_Toc292559867"/>
      <w:r/>
      <w:bookmarkStart w:id="721" w:name="_Toc297120457"/>
      <w:r/>
      <w:bookmarkStart w:id="722" w:name="_Toc296891197"/>
      <w:r>
        <w:rPr>
          <w:rFonts w:hint="eastAsia" w:ascii="宋体" w:hAnsi="宋体" w:eastAsia="黑体" w:cs="Times New Roman"/>
          <w:b w:val="0"/>
          <w:color w:val="000000"/>
          <w:sz w:val="24"/>
          <w:szCs w:val="24"/>
          <w:highlight w:val="none"/>
          <w:lang w:val="en-US" w:eastAsia="zh-CN" w:bidi="ar-SA"/>
        </w:rPr>
        <w:t xml:space="preserve">. 发包人</w:t>
      </w:r>
      <w:bookmarkEnd w:id="712"/>
      <w:r/>
      <w:bookmarkEnd w:id="713"/>
      <w:bookmarkEnd w:id="714"/>
      <w:bookmarkEnd w:id="715"/>
      <w:bookmarkEnd w:id="716"/>
      <w:bookmarkEnd w:id="717"/>
      <w:bookmarkEnd w:id="718"/>
      <w:bookmarkEnd w:id="719"/>
      <w:bookmarkEnd w:id="720"/>
      <w:bookmarkEnd w:id="721"/>
      <w:bookmarkEnd w:id="722"/>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2.2 发包人代表</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发包人代表：</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    名：</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身份证号：</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职    务：</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rPr>
          <w:rFonts w:hint="eastAsia" w:ascii="宋体" w:hAnsi="宋体" w:eastAsia="宋体" w:cs="Times New Roman"/>
          <w:color w:val="000000"/>
          <w:sz w:val="24"/>
          <w:szCs w:val="24"/>
          <w:highlight w:val="none"/>
          <w:u w:val="single"/>
        </w:rPr>
        <w:t xml:space="preserve">  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电子信箱：</w:t>
      </w:r>
      <w:r>
        <w:rPr>
          <w:rFonts w:hint="eastAsia" w:ascii="宋体" w:hAnsi="宋体" w:eastAsia="宋体" w:cs="Times New Roman"/>
          <w:color w:val="000000"/>
          <w:sz w:val="24"/>
          <w:szCs w:val="24"/>
          <w:highlight w:val="none"/>
          <w:u w:val="single"/>
        </w:rPr>
        <w:t xml:space="preserve">  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通信地址：</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发包人对发包人代表的授权范围如下：</w:t>
      </w:r>
      <w:r>
        <w:rPr>
          <w:rFonts w:hint="eastAsia" w:ascii="宋体" w:hAnsi="宋体" w:eastAsia="宋体" w:cs="Times New Roman"/>
          <w:color w:val="000000"/>
          <w:sz w:val="24"/>
          <w:szCs w:val="24"/>
          <w:highlight w:val="none"/>
          <w:u w:val="single"/>
        </w:rPr>
        <w:t xml:space="preserve">代表发包人行使合同约定的发包人的权利和监理人需要取得发包人批准的权利</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2.4 施工现场、施工条件和基础资料的提供</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2.4.1 提供施工现场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关于发包人移交施工现场的期限要求：</w:t>
      </w:r>
      <w:r>
        <w:rPr>
          <w:rFonts w:hint="eastAsia" w:ascii="宋体" w:hAnsi="宋体" w:eastAsia="宋体" w:cs="Times New Roman"/>
          <w:color w:val="000000"/>
          <w:sz w:val="24"/>
          <w:szCs w:val="24"/>
          <w:highlight w:val="none"/>
          <w:u w:val="single"/>
        </w:rPr>
        <w:t xml:space="preserve">在监理人发出的开工通知中载明的开工日期前7天具备施工条件</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2.4.2 提供施工条件</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关于发包人应负责提供施工所需要的条件，包括：</w:t>
      </w:r>
      <w:r>
        <w:rPr>
          <w:rFonts w:hint="eastAsia" w:ascii="宋体" w:hAnsi="宋体" w:eastAsia="宋体" w:cs="Times New Roman"/>
          <w:color w:val="000000"/>
          <w:sz w:val="24"/>
          <w:szCs w:val="24"/>
          <w:highlight w:val="none"/>
          <w:u w:val="single"/>
        </w:rPr>
        <w:t xml:space="preserve">电源、水源接驳点。</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1）发包人提供的施工设备和临时设施的运行、维护、拆除、清运费用的由承包人承担。发包人负责为承包人（包括承包人在内的本工程所有承包单位）提供电源、水源。</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承包人负责接计量柜及水表，并负责使用期间的保养、维护，承担相应费用，且已包含在报价中。分表计量的水、电读数按月由发包人、监理人、承包人三方签抄，按市场价每月28日结算水电费用。一旦水电计量设备损坏，承包人应及时修复。不修复，按发包人提供的读数进行计量及结算。</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3）专业承包单位施工用水、电费由专业承包单位承担，总承包负责管理</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2.5 资金来源证明及支付担保</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发包人提供资金来源证明的期限要求：</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发包人是否提供支付担保：</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发包人提供支付担保的形式：</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723" w:name="_Toc351203635"/>
      <w:r>
        <w:rPr>
          <w:rFonts w:hint="eastAsia" w:ascii="宋体" w:hAnsi="宋体" w:eastAsia="黑体" w:cs="Times New Roman"/>
          <w:b w:val="0"/>
          <w:color w:val="000000"/>
          <w:sz w:val="24"/>
          <w:szCs w:val="24"/>
          <w:highlight w:val="none"/>
          <w:lang w:val="en-US" w:eastAsia="zh-CN" w:bidi="ar-SA"/>
        </w:rPr>
        <w:t xml:space="preserve">3</w:t>
      </w:r>
      <w:bookmarkStart w:id="724" w:name="_Toc296890986"/>
      <w:r/>
      <w:bookmarkStart w:id="725" w:name="_Toc296503158"/>
      <w:r/>
      <w:bookmarkStart w:id="726" w:name="_Toc292559868"/>
      <w:r/>
      <w:bookmarkStart w:id="727" w:name="_Toc297048344"/>
      <w:r/>
      <w:bookmarkStart w:id="728" w:name="_Toc296891198"/>
      <w:r/>
      <w:bookmarkStart w:id="729" w:name="_Toc292559363"/>
      <w:r/>
      <w:bookmarkStart w:id="730" w:name="_Toc297120458"/>
      <w:r/>
      <w:bookmarkStart w:id="731" w:name="_Toc296944497"/>
      <w:r/>
      <w:bookmarkStart w:id="732" w:name="_Toc296347157"/>
      <w:r/>
      <w:bookmarkStart w:id="733" w:name="_Toc296346659"/>
      <w:r>
        <w:rPr>
          <w:rFonts w:hint="eastAsia" w:ascii="宋体" w:hAnsi="宋体" w:eastAsia="黑体" w:cs="Times New Roman"/>
          <w:b w:val="0"/>
          <w:color w:val="000000"/>
          <w:sz w:val="24"/>
          <w:szCs w:val="24"/>
          <w:highlight w:val="none"/>
          <w:lang w:val="en-US" w:eastAsia="zh-CN" w:bidi="ar-SA"/>
        </w:rPr>
        <w:t xml:space="preserve">. 承包人</w:t>
      </w:r>
      <w:bookmarkEnd w:id="723"/>
      <w:r/>
      <w:bookmarkEnd w:id="724"/>
      <w:bookmarkEnd w:id="725"/>
      <w:bookmarkEnd w:id="726"/>
      <w:bookmarkEnd w:id="727"/>
      <w:bookmarkEnd w:id="728"/>
      <w:bookmarkEnd w:id="729"/>
      <w:bookmarkEnd w:id="730"/>
      <w:bookmarkEnd w:id="731"/>
      <w:bookmarkEnd w:id="732"/>
      <w:bookmarkEnd w:id="733"/>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 承包人的一般义务</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（9）承包人提交的竣工资料的内容：</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①按城建档案馆存档要求提供的纸质竣工资料、电子竣工资料及影像资料。</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②一次性提供完整的竣工结算资料（包括纸质文件及电子文件）一式三份</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承包人需要提交的竣工资料套数：</w:t>
      </w:r>
      <w:r>
        <w:rPr>
          <w:rFonts w:hint="eastAsia" w:ascii="宋体" w:hAnsi="宋体" w:eastAsia="宋体" w:cs="Times New Roman"/>
          <w:color w:val="000000"/>
          <w:sz w:val="24"/>
          <w:szCs w:val="24"/>
          <w:highlight w:val="none"/>
          <w:u w:val="single"/>
        </w:rPr>
        <w:t xml:space="preserve">按城建档案馆要求提供，另外增加一套提交给发包人</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承包人提交的竣工资料的费用承担：</w:t>
      </w:r>
      <w:r>
        <w:rPr>
          <w:rFonts w:hint="eastAsia" w:ascii="宋体" w:hAnsi="宋体" w:eastAsia="宋体" w:cs="Times New Roman"/>
          <w:color w:val="000000"/>
          <w:sz w:val="24"/>
          <w:szCs w:val="24"/>
          <w:highlight w:val="none"/>
          <w:u w:val="single"/>
        </w:rPr>
        <w:t xml:space="preserve">承包人承担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承包人提交的竣工资料移交时间：</w:t>
      </w:r>
      <w:r>
        <w:rPr>
          <w:rFonts w:hint="eastAsia" w:ascii="宋体" w:hAnsi="宋体" w:eastAsia="宋体" w:cs="Times New Roman"/>
          <w:color w:val="000000"/>
          <w:sz w:val="24"/>
          <w:szCs w:val="24"/>
          <w:highlight w:val="none"/>
          <w:u w:val="single"/>
        </w:rPr>
        <w:t xml:space="preserve">工程竣工验收后一个月内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承包人提交的竣工资料形式要求：</w:t>
      </w:r>
      <w:r>
        <w:rPr>
          <w:rFonts w:hint="eastAsia" w:ascii="宋体" w:hAnsi="宋体" w:eastAsia="宋体" w:cs="Times New Roman"/>
          <w:color w:val="000000"/>
          <w:sz w:val="24"/>
          <w:szCs w:val="24"/>
          <w:highlight w:val="none"/>
          <w:u w:val="single"/>
        </w:rPr>
        <w:t xml:space="preserve">符合工程所在地建设行政主管部门或城建档案管理机构有关竣工资料的要求，包括纸质资料、电子档案资料及施工影像资料。费用由承包人承担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（10）承包人应履行的其他义务：</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1）承包人应文明施工、遵守社会公德，便利他人等开展相关工作，相关费用已经包括在承包人的合同价(投标总报价)中，工程建设不予签证调整，具体工作内容包括：</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①承包人必须注意保护工地邻近建筑物和附近居民的安全，防止因施工措施不当使附近居民的人员财产遭受损失，由此造成的责任和损失由承包人承担和负责。</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②承包人应在工地现场做好警戒告示牌，提醒进出或路经施工现场的人员、车辆注意，造成第三者人身损害赔偿等问题，确因非发包人因素，其责任由承包人全面负责。</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2）应提供计划、报表的名称及完成时间：开工前提供施工总进度计划，施工中提供日、周进度计划及其他报表（总进度计划包括主体进度计划、各分项进度计划、相关配套进度计划）。 </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3）需承包人办理的有关施工场地交通、环卫和施工噪音管理等手续，费用由承包人负责。承包人自行办理夜间施工许可手续，费用由承包人负责；施工噪声引起的纠纷由承包人自行解决； </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4）承包人负责施工所需接电、接水以及通讯等相关工作，费用已包含在投标报价中考虑。</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5）施工场地周围地下管线和邻近建筑物、构筑物（含文物保护建筑）、古树名木的保护，承包人应按下列要求做好相关工作：</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①承包人应采取一切必要措施，妥善地保护施工现场已有附属物避免在施工期间造成损坏和影响正常生产，该部分保护费用包含在投标报价中。</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②没有有关部门的书面批准及发包人、监理人的签证，承包人不能临时或永久性地分断各类管线。</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③承包人应了解邻近建（构）筑物的基础，结构状况，采取合理的施工方法和有效的加固措施列</w:t>
      </w:r>
      <w:r>
        <w:rPr>
          <w:rFonts w:hint="eastAsia" w:ascii="宋体" w:hAnsi="宋体" w:eastAsia="宋体" w:cs="Times New Roman"/>
          <w:color w:val="000000"/>
          <w:sz w:val="24"/>
          <w:szCs w:val="24"/>
          <w:highlight w:val="none"/>
          <w:u w:val="single"/>
        </w:rPr>
        <w:t xml:space="preserve">入施工组织设计，避免邻近构筑物发生沉降、开裂和倒塌，并应在工程施工期间，在构筑物四周设置监测点，严密注视邻近构筑物的位移和沉降。该项费用包含在投保报价中，若承包人在施工过程中造成对邻近构筑物的损坏，应由承包人负责加以修复和赔偿，即使承包人所采取的对邻近构筑物的保护措施已得到监理人的批准，承包人仍负有全部责任，承包人应以自己的费用修复被损坏的邻近构筑物。若承包人对在施工中损坏的临近构筑物不加以修复赔偿，则发包人将指派他人进行修复，由此发生的修复和赔偿费用将由承包人承担，发包人有权从支付给承包人的工程款中扣除。</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6）本工程施工阶段施工场地的清洁卫生标准应达到本工程约定的达标要求。工程移交证书颁发前，承包人应该做到工完场清，并经监理人检查为合格为止，否则发包人将指派他人进行清理，由此发生的费用将由承包人承担，发包人有权从支付给承包人的工程款中扣除。</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7）承包人要加强工程施工车辆的管理，施工车辆不得无故堵塞道路交通，不得沿途抛洒弃土。承包人负责与交警部门联系解决在交通线路上布设限速、禁停等标志、标牌，并根据交通主管部门要求，安排人员在主要路口疏解汽车、行人交通，其相应手续及费用由承包人负责。</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8）若有建造师变更，未经发包人同意，发包人有权解除合同，没收履约保证金并追究由此带来的发包人的一切损失。扣款将在同期工程款中扣除。 </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9）已完工程成品保护的特殊要求及费用承担：采取有效措施，对已完工程进行保护，费用由承包人承担，保护期间发生的损坏，由承包人自费进行修缮。</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3.2 项目经理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3.2.1 项目经理：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    名：</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身份证号：</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建造师执业资格等级：</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建造师注册证书号：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建造师执业印章号：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安全生产考核合格证书号：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电子信箱：</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通信地址：</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承包人对项目经理的授权范围如下：</w:t>
      </w:r>
      <w:r>
        <w:rPr>
          <w:rFonts w:hint="eastAsia" w:ascii="宋体" w:hAnsi="宋体" w:eastAsia="宋体" w:cs="Times New Roman"/>
          <w:color w:val="000000"/>
          <w:sz w:val="24"/>
          <w:szCs w:val="24"/>
          <w:highlight w:val="none"/>
          <w:u w:val="single"/>
        </w:rPr>
        <w:t xml:space="preserve">负责现场工程管理、协调关系、听从发包人和监理的指挥</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关于项目经理每月在施工现场的时间要求：</w:t>
      </w:r>
      <w:r>
        <w:rPr>
          <w:rFonts w:hint="eastAsia" w:ascii="宋体" w:hAnsi="宋体" w:eastAsia="宋体" w:cs="Times New Roman"/>
          <w:color w:val="000000"/>
          <w:sz w:val="24"/>
          <w:szCs w:val="24"/>
          <w:highlight w:val="none"/>
          <w:u w:val="single"/>
        </w:rPr>
        <w:t xml:space="preserve">每周驻现场时间不得少于5天、每天在现场时间不得少于8小时，必须参加现场的工地例会及其他会议</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承包人未提交劳动合同，以及没有为项目经理缴纳社会保险证明的违约责任：</w:t>
      </w:r>
      <w:r>
        <w:rPr>
          <w:rFonts w:hint="eastAsia" w:ascii="宋体" w:hAnsi="宋体" w:eastAsia="宋体" w:cs="Times New Roman"/>
          <w:color w:val="000000"/>
          <w:sz w:val="24"/>
          <w:szCs w:val="24"/>
          <w:highlight w:val="none"/>
          <w:u w:val="single"/>
        </w:rPr>
        <w:t xml:space="preserve">     由承包人承担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项目经理未经批准，擅自离开施工现场的违约责任：</w:t>
      </w:r>
      <w:r>
        <w:rPr>
          <w:rFonts w:hint="eastAsia" w:ascii="宋体" w:hAnsi="宋体" w:eastAsia="宋体" w:cs="Times New Roman"/>
          <w:color w:val="000000"/>
          <w:sz w:val="24"/>
          <w:szCs w:val="24"/>
          <w:highlight w:val="none"/>
          <w:u w:val="single"/>
        </w:rPr>
        <w:t xml:space="preserve">发包人将每人每次扣除1千元</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3.2.3 承包人擅自更换项目经理的违约责任：</w:t>
      </w:r>
      <w:r>
        <w:rPr>
          <w:rFonts w:hint="eastAsia" w:ascii="宋体" w:hAnsi="宋体" w:eastAsia="宋体" w:cs="Times New Roman"/>
          <w:b/>
          <w:color w:val="000000"/>
          <w:sz w:val="24"/>
          <w:szCs w:val="24"/>
          <w:highlight w:val="none"/>
          <w:u w:val="single"/>
        </w:rPr>
        <w:t xml:space="preserve">若有建造师变更，未经发包人同意，发包人有权解除合同，并追究由此带来的发包人的一切损失。扣款将在同期工程款中扣除</w:t>
      </w:r>
      <w:r>
        <w:rPr>
          <w:rFonts w:hint="eastAsia" w:ascii="宋体" w:hAnsi="宋体" w:eastAsia="宋体" w:cs="Times New Roman"/>
          <w:b/>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3.2.4 承包人无正当理由拒绝更换项目经理的违约责任：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 承包人人员</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3.3.1 承包人提交项目管理机构及施工现场管理人员安排报告的期限：</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3.3.3 承包人无正当理由拒绝撤换主要施工管理人员的违约责任：</w:t>
      </w:r>
      <w:r>
        <w:rPr>
          <w:rFonts w:hint="eastAsia" w:ascii="宋体" w:hAnsi="宋体" w:eastAsia="宋体" w:cs="Times New Roman"/>
          <w:color w:val="000000"/>
          <w:sz w:val="24"/>
          <w:szCs w:val="24"/>
          <w:highlight w:val="none"/>
          <w:u w:val="single"/>
        </w:rPr>
        <w:t xml:space="preserve">双方另行协商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3.3.4 承包人主要施工管理人员离开施工现场的批准要求：</w:t>
      </w:r>
      <w:r>
        <w:rPr>
          <w:rFonts w:hint="eastAsia" w:ascii="宋体" w:hAnsi="宋体" w:eastAsia="宋体" w:cs="Times New Roman"/>
          <w:color w:val="000000"/>
          <w:sz w:val="24"/>
          <w:szCs w:val="24"/>
          <w:highlight w:val="none"/>
          <w:u w:val="single"/>
        </w:rPr>
        <w:t xml:space="preserve">项目经理确需离开施工现场时，应事先通知监理人，并取得发包人的书面同意</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3.3.5承包人擅自更换主要施工管理人员的违约责任：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承包人主要施工管理人员擅自离开施工现场的违约责任：</w:t>
      </w:r>
      <w:r>
        <w:rPr>
          <w:rFonts w:hint="eastAsia" w:ascii="宋体" w:hAnsi="宋体" w:eastAsia="宋体" w:cs="Times New Roman"/>
          <w:color w:val="000000"/>
          <w:sz w:val="24"/>
          <w:szCs w:val="24"/>
          <w:highlight w:val="none"/>
          <w:u w:val="single"/>
        </w:rPr>
        <w:t xml:space="preserve">合同书中项目部的其余人员未能常驻现场（必须参加现场的工地例会、专题例会），则每人每次扣除200元</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bookmarkStart w:id="734" w:name="_Toc296891199"/>
      <w:r/>
      <w:bookmarkStart w:id="735" w:name="_Toc296503159"/>
      <w:r/>
      <w:bookmarkStart w:id="736" w:name="_Toc292559364"/>
      <w:r/>
      <w:bookmarkStart w:id="737" w:name="_Toc303539102"/>
      <w:r/>
      <w:bookmarkStart w:id="738" w:name="_Toc300934945"/>
      <w:r/>
      <w:bookmarkStart w:id="739" w:name="_Toc292559869"/>
      <w:r/>
      <w:bookmarkStart w:id="740" w:name="_Toc296347158"/>
      <w:r/>
      <w:bookmarkStart w:id="741" w:name="_Toc296944498"/>
      <w:r/>
      <w:bookmarkStart w:id="742" w:name="_Toc296346660"/>
      <w:r/>
      <w:bookmarkStart w:id="743" w:name="_Toc297120459"/>
      <w:r/>
      <w:bookmarkStart w:id="744" w:name="_Toc312677988"/>
      <w:r/>
      <w:bookmarkStart w:id="745" w:name="_Toc304295523"/>
      <w:r/>
      <w:bookmarkStart w:id="746" w:name="_Toc296890987"/>
      <w:r/>
      <w:bookmarkStart w:id="747" w:name="_Toc297048345"/>
      <w:r/>
      <w:bookmarkStart w:id="748" w:name="_Toc297123492"/>
      <w:r/>
      <w:bookmarkStart w:id="749" w:name="_Toc297216151"/>
      <w:r>
        <w:rPr>
          <w:rFonts w:hint="eastAsia" w:ascii="宋体" w:hAnsi="宋体" w:eastAsia="宋体" w:cs="Times New Roman"/>
          <w:color w:val="000000"/>
          <w:sz w:val="24"/>
          <w:szCs w:val="24"/>
          <w:highlight w:val="none"/>
        </w:rPr>
        <w:t xml:space="preserve">.5 分包</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bookmarkStart w:id="750" w:name="_Toc296890988"/>
      <w:r/>
      <w:bookmarkStart w:id="751" w:name="_Toc303539103"/>
      <w:r/>
      <w:bookmarkStart w:id="752" w:name="_Toc292559365"/>
      <w:r/>
      <w:bookmarkStart w:id="753" w:name="_Toc297048346"/>
      <w:r/>
      <w:bookmarkStart w:id="754" w:name="_Toc300934946"/>
      <w:r/>
      <w:bookmarkStart w:id="755" w:name="_Toc296347159"/>
      <w:r/>
      <w:bookmarkStart w:id="756" w:name="_Toc296891200"/>
      <w:r/>
      <w:bookmarkStart w:id="757" w:name="_Toc296503160"/>
      <w:r/>
      <w:bookmarkStart w:id="758" w:name="_Toc297216152"/>
      <w:r/>
      <w:bookmarkStart w:id="759" w:name="_Toc304295524"/>
      <w:r/>
      <w:bookmarkStart w:id="760" w:name="_Toc296944499"/>
      <w:r/>
      <w:bookmarkStart w:id="761" w:name="_Toc297120460"/>
      <w:r/>
      <w:bookmarkStart w:id="762" w:name="_Toc297123493"/>
      <w:r/>
      <w:bookmarkStart w:id="763" w:name="_Toc296346661"/>
      <w:r/>
      <w:bookmarkStart w:id="764" w:name="_Toc292559870"/>
      <w:r/>
      <w:bookmarkStart w:id="765" w:name="_Toc312677989"/>
      <w:r/>
      <w:bookmarkStart w:id="766" w:name="_Toc318581158"/>
      <w:r>
        <w:rPr>
          <w:rFonts w:hint="eastAsia" w:ascii="宋体" w:hAnsi="宋体" w:eastAsia="宋体" w:cs="Times New Roman"/>
          <w:sz w:val="24"/>
          <w:szCs w:val="24"/>
          <w:highlight w:val="none"/>
        </w:rPr>
        <w:t xml:space="preserve">.5.1 分包的一般约定</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禁止分包的工程包括：</w:t>
      </w:r>
      <w:r>
        <w:rPr>
          <w:rFonts w:hint="eastAsia" w:ascii="宋体" w:hAnsi="宋体" w:eastAsia="宋体" w:cs="Times New Roman"/>
          <w:color w:val="000000"/>
          <w:sz w:val="24"/>
          <w:szCs w:val="24"/>
          <w:highlight w:val="none"/>
          <w:u w:val="single"/>
        </w:rPr>
        <w:t xml:space="preserve">按通用条款</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sz w:val="24"/>
          <w:szCs w:val="24"/>
          <w:highlight w:val="none"/>
        </w:rPr>
        <w:t xml:space="preserve">主体结构、关键性工作的范围：</w:t>
      </w:r>
      <w:r>
        <w:rPr>
          <w:rFonts w:hint="eastAsia" w:ascii="宋体" w:hAnsi="宋体" w:eastAsia="宋体" w:cs="Times New Roman"/>
          <w:color w:val="000000"/>
          <w:sz w:val="24"/>
          <w:szCs w:val="24"/>
          <w:highlight w:val="none"/>
          <w:u w:val="single"/>
        </w:rPr>
        <w:t xml:space="preserve">按照相关规定执行</w:t>
      </w:r>
      <w:r>
        <w:rPr>
          <w:rFonts w:hint="eastAsia" w:ascii="宋体" w:hAnsi="宋体" w:eastAsia="宋体" w:cs="Times New Roman"/>
          <w:color w:val="000000"/>
          <w:sz w:val="24"/>
          <w:szCs w:val="24"/>
          <w:highlight w:val="none"/>
        </w:rPr>
        <w:t xml:space="preserve">。</w:t>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Start w:id="767" w:name="_Toc296944500"/>
      <w:r/>
      <w:bookmarkStart w:id="768" w:name="_Toc297048347"/>
      <w:r/>
      <w:bookmarkStart w:id="769" w:name="_Toc300934947"/>
      <w:r/>
      <w:bookmarkStart w:id="770" w:name="_Toc297216153"/>
      <w:r/>
      <w:bookmarkStart w:id="771" w:name="_Toc296891201"/>
      <w:r/>
      <w:bookmarkStart w:id="772" w:name="_Toc297123494"/>
      <w:r/>
      <w:bookmarkStart w:id="773" w:name="_Toc296346662"/>
      <w:r/>
      <w:bookmarkStart w:id="774" w:name="_Toc296890989"/>
      <w:r/>
      <w:bookmarkStart w:id="775" w:name="_Toc303539104"/>
      <w:r/>
      <w:bookmarkStart w:id="776" w:name="_Toc296503161"/>
      <w:r/>
      <w:bookmarkStart w:id="777" w:name="_Toc297120461"/>
      <w:r/>
      <w:bookmarkStart w:id="778" w:name="_Toc304295525"/>
      <w:r/>
      <w:bookmarkStart w:id="779" w:name="_Toc296347160"/>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bookmarkStart w:id="780" w:name="_Toc312677990"/>
      <w:r/>
      <w:bookmarkStart w:id="781" w:name="_Toc318581159"/>
      <w:r>
        <w:rPr>
          <w:rFonts w:hint="eastAsia" w:ascii="宋体" w:hAnsi="宋体" w:eastAsia="宋体" w:cs="Times New Roman"/>
          <w:sz w:val="24"/>
          <w:szCs w:val="24"/>
          <w:highlight w:val="none"/>
        </w:rPr>
        <w:t xml:space="preserve">.5.2分包的确定</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sz w:val="24"/>
          <w:szCs w:val="24"/>
          <w:highlight w:val="none"/>
        </w:rPr>
        <w:t xml:space="preserve">允许分包的专业工程包括：</w:t>
      </w:r>
      <w:r>
        <w:rPr>
          <w:rFonts w:hint="eastAsia" w:ascii="宋体" w:hAnsi="宋体" w:eastAsia="宋体" w:cs="Times New Roman"/>
          <w:color w:val="000000"/>
          <w:sz w:val="24"/>
          <w:szCs w:val="24"/>
          <w:highlight w:val="none"/>
          <w:u w:val="single"/>
        </w:rPr>
        <w:t xml:space="preserve">按照相关规定执行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其他关于分包的约定：</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3.5.4 分包合同价款</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关于分包合同价款支付的约定：</w:t>
      </w:r>
      <w:r>
        <w:rPr>
          <w:rFonts w:hint="eastAsia" w:ascii="宋体" w:hAnsi="宋体" w:eastAsia="宋体" w:cs="Times New Roman"/>
          <w:color w:val="000000"/>
          <w:sz w:val="24"/>
          <w:szCs w:val="24"/>
          <w:highlight w:val="none"/>
          <w:u w:val="single"/>
        </w:rPr>
        <w:t xml:space="preserve">承包人必须严格按分包合同约定进行付款，如产生农民工工资纠纷，承包人承担全部责任</w:t>
      </w:r>
      <w:r>
        <w:rPr>
          <w:rFonts w:hint="eastAsia" w:ascii="宋体" w:hAnsi="宋体" w:eastAsia="宋体" w:cs="Times New Roman"/>
          <w:color w:val="000000"/>
          <w:sz w:val="24"/>
          <w:szCs w:val="24"/>
          <w:highlight w:val="none"/>
        </w:rPr>
        <w:t xml:space="preserve">。</w:t>
      </w:r>
      <w:bookmarkEnd w:id="780"/>
      <w:bookmarkEnd w:id="781"/>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3.6 工程照管与成品、半成品保护</w:t>
      </w:r>
      <w:r/>
    </w:p>
    <w:p>
      <w:pPr>
        <w:ind w:firstLine="480"/>
        <w:spacing w:before="120" w:after="120"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承包人负责照管工程及工程相关的材料、工程设备的起始时间：</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000000"/>
          <w:sz w:val="24"/>
          <w:szCs w:val="24"/>
          <w:highlight w:val="none"/>
        </w:rPr>
        <w:t xml:space="preserve">3.7 履约担保</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承包人是否提供履约担保：</w:t>
      </w:r>
      <w:r>
        <w:rPr>
          <w:rFonts w:hint="eastAsia" w:ascii="宋体" w:hAnsi="宋体" w:cs="Times New Roman"/>
          <w:color w:val="auto"/>
          <w:sz w:val="24"/>
          <w:szCs w:val="24"/>
          <w:highlight w:val="none"/>
          <w:u w:val="single"/>
          <w:lang w:val="en-US" w:eastAsia="zh-CN"/>
        </w:rPr>
        <w:t xml:space="preserve">是</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承包人提供履约担保的形式、金额及期限的：</w:t>
      </w:r>
      <w:r>
        <w:rPr>
          <w:rFonts w:hint="eastAsia" w:ascii="宋体" w:hAnsi="宋体" w:eastAsia="宋体" w:cs="宋体"/>
          <w:color w:val="auto"/>
          <w:sz w:val="24"/>
          <w:szCs w:val="24"/>
          <w:highlight w:val="none"/>
          <w:u w:val="single"/>
        </w:rPr>
        <w:t xml:space="preserve">中标价的10%，合同签订前提供现金或银行保函或经相关部门认定的有资质的专业担保公司担保</w:t>
      </w:r>
      <w:r>
        <w:rPr>
          <w:rFonts w:hint="eastAsia" w:ascii="宋体" w:hAnsi="宋体" w:eastAsia="宋体" w:cs="Times New Roman"/>
          <w:color w:val="auto"/>
          <w:sz w:val="24"/>
          <w:szCs w:val="24"/>
          <w:highlight w:val="none"/>
          <w:u w:val="singl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auto"/>
          <w:sz w:val="24"/>
          <w:szCs w:val="24"/>
          <w:highlight w:val="none"/>
          <w:lang w:val="en-US" w:eastAsia="zh-CN" w:bidi="ar-SA"/>
        </w:rPr>
        <w:outlineLvl w:val="3"/>
      </w:pPr>
      <w:r/>
      <w:bookmarkStart w:id="782" w:name="_Toc351203636"/>
      <w:r>
        <w:rPr>
          <w:rFonts w:hint="eastAsia" w:ascii="宋体" w:hAnsi="宋体" w:eastAsia="黑体" w:cs="Times New Roman"/>
          <w:b w:val="0"/>
          <w:color w:val="auto"/>
          <w:sz w:val="24"/>
          <w:szCs w:val="24"/>
          <w:highlight w:val="none"/>
          <w:lang w:val="en-US" w:eastAsia="zh-CN" w:bidi="ar-SA"/>
        </w:rPr>
        <w:t xml:space="preserve">4</w:t>
      </w:r>
      <w:bookmarkStart w:id="783" w:name="_Toc267251413"/>
      <w:r/>
      <w:bookmarkStart w:id="784" w:name="_Toc296891202"/>
      <w:r/>
      <w:bookmarkStart w:id="785" w:name="_Toc297120462"/>
      <w:r/>
      <w:bookmarkStart w:id="786" w:name="_Toc296503162"/>
      <w:r/>
      <w:bookmarkStart w:id="787" w:name="_Toc292559871"/>
      <w:r/>
      <w:bookmarkStart w:id="788" w:name="_Toc296347161"/>
      <w:r/>
      <w:bookmarkStart w:id="789" w:name="_Toc296346663"/>
      <w:r/>
      <w:bookmarkStart w:id="790" w:name="_Toc296944501"/>
      <w:r/>
      <w:bookmarkStart w:id="791" w:name="_Toc292559366"/>
      <w:r/>
      <w:bookmarkStart w:id="792" w:name="_Toc297048348"/>
      <w:r/>
      <w:bookmarkStart w:id="793" w:name="_Toc296890990"/>
      <w:r>
        <w:rPr>
          <w:rFonts w:hint="eastAsia" w:ascii="宋体" w:hAnsi="宋体" w:eastAsia="黑体" w:cs="Times New Roman"/>
          <w:b w:val="0"/>
          <w:color w:val="auto"/>
          <w:sz w:val="24"/>
          <w:szCs w:val="24"/>
          <w:highlight w:val="none"/>
          <w:lang w:val="en-US" w:eastAsia="zh-CN" w:bidi="ar-SA"/>
        </w:rPr>
        <w:t xml:space="preserve">. 监</w:t>
      </w:r>
      <w:bookmarkEnd w:id="783"/>
      <w:r/>
      <w:bookmarkEnd w:id="784"/>
      <w:r/>
      <w:bookmarkEnd w:id="785"/>
      <w:r/>
      <w:bookmarkEnd w:id="786"/>
      <w:r/>
      <w:bookmarkEnd w:id="787"/>
      <w:r/>
      <w:bookmarkEnd w:id="788"/>
      <w:r/>
      <w:bookmarkEnd w:id="789"/>
      <w:r/>
      <w:bookmarkEnd w:id="790"/>
      <w:r/>
      <w:bookmarkEnd w:id="791"/>
      <w:r/>
      <w:bookmarkEnd w:id="792"/>
      <w:r/>
      <w:bookmarkEnd w:id="793"/>
      <w:r>
        <w:rPr>
          <w:rFonts w:hint="eastAsia" w:ascii="宋体" w:hAnsi="宋体" w:eastAsia="黑体" w:cs="Times New Roman"/>
          <w:b w:val="0"/>
          <w:color w:val="auto"/>
          <w:sz w:val="24"/>
          <w:szCs w:val="24"/>
          <w:highlight w:val="none"/>
          <w:lang w:val="en-US" w:eastAsia="zh-CN" w:bidi="ar-SA"/>
        </w:rPr>
        <w:t xml:space="preserve">理人</w:t>
      </w:r>
      <w:bookmarkEnd w:id="782"/>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4.1监理人的一般规定</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关于监理人的监理内容：</w:t>
      </w:r>
      <w:r>
        <w:rPr>
          <w:rFonts w:hint="eastAsia" w:ascii="宋体" w:hAnsi="宋体" w:eastAsia="宋体" w:cs="Times New Roman"/>
          <w:color w:val="000000"/>
          <w:sz w:val="24"/>
          <w:szCs w:val="24"/>
          <w:highlight w:val="none"/>
          <w:u w:val="single"/>
        </w:rPr>
        <w:t xml:space="preserve">见监理合同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关于监理人的监理权限：</w:t>
      </w:r>
      <w:r>
        <w:rPr>
          <w:rFonts w:hint="eastAsia" w:ascii="宋体" w:hAnsi="宋体" w:eastAsia="宋体" w:cs="Times New Roman"/>
          <w:color w:val="000000"/>
          <w:sz w:val="24"/>
          <w:szCs w:val="24"/>
          <w:highlight w:val="none"/>
          <w:u w:val="single"/>
        </w:rPr>
        <w:t xml:space="preserve">涉及工程造价的签证、施工方案、施工中和图纸中的建议、开工令、停工令、复工令等</w:t>
      </w:r>
      <w:r>
        <w:rPr>
          <w:rFonts w:hint="eastAsia" w:ascii="宋体" w:hAnsi="宋体" w:eastAsia="宋体" w:cs="Times New Roman"/>
          <w:color w:val="000000"/>
          <w:sz w:val="24"/>
          <w:szCs w:val="24"/>
          <w:highlight w:val="non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关于监理人在施工现场的办公场所、生活场所的提供和费用承担的约定：</w:t>
      </w:r>
      <w:r>
        <w:rPr>
          <w:rFonts w:hint="eastAsia" w:ascii="宋体" w:hAnsi="宋体" w:eastAsia="宋体" w:cs="Times New Roman"/>
          <w:color w:val="000000"/>
          <w:sz w:val="24"/>
          <w:szCs w:val="24"/>
          <w:highlight w:val="none"/>
          <w:u w:val="single"/>
        </w:rPr>
        <w:t xml:space="preserve">见监理合同</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4.2 监理人员</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总监理工程师：</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    名：</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职    务：</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监理工程师执业资格证书号：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电子信箱：</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通信地址：</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关于监理人的其他约定：</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4.4 商定或确定</w:t>
      </w:r>
      <w:r/>
    </w:p>
    <w:p>
      <w:pPr>
        <w:ind w:firstLine="480"/>
        <w:spacing w:line="360" w:lineRule="auto"/>
        <w:rPr>
          <w:rFonts w:hint="eastAsia" w:ascii="宋体" w:hAnsi="宋体" w:eastAsia="宋体" w:cs="Times New Roman"/>
          <w:color w:val="000000"/>
          <w:sz w:val="24"/>
          <w:szCs w:val="24"/>
          <w:highlight w:val="none"/>
        </w:rPr>
      </w:pPr>
      <w:r/>
      <w:bookmarkStart w:id="794" w:name="_Toc267251418"/>
      <w:r>
        <w:rPr>
          <w:rFonts w:hint="eastAsia" w:ascii="宋体" w:hAnsi="宋体" w:eastAsia="宋体" w:cs="Times New Roman"/>
          <w:color w:val="000000"/>
          <w:sz w:val="24"/>
          <w:szCs w:val="24"/>
          <w:highlight w:val="none"/>
        </w:rPr>
        <w:t xml:space="preserve">在发包人和承包人不能通过协商达成一致意见时，发包人授权监理人对以下事项进行确定：</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另行商定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795" w:name="_Toc351203637"/>
      <w:r>
        <w:rPr>
          <w:rFonts w:hint="eastAsia" w:ascii="宋体" w:hAnsi="宋体" w:eastAsia="黑体" w:cs="Times New Roman"/>
          <w:b w:val="0"/>
          <w:color w:val="000000"/>
          <w:sz w:val="24"/>
          <w:szCs w:val="24"/>
          <w:highlight w:val="none"/>
          <w:lang w:val="en-US" w:eastAsia="zh-CN" w:bidi="ar-SA"/>
        </w:rPr>
        <w:t xml:space="preserve">5</w:t>
      </w:r>
      <w:bookmarkEnd w:id="794"/>
      <w:r/>
      <w:bookmarkStart w:id="796" w:name="_Toc296890991"/>
      <w:r/>
      <w:bookmarkStart w:id="797" w:name="_Toc292559872"/>
      <w:r/>
      <w:bookmarkStart w:id="798" w:name="_Toc296503163"/>
      <w:r/>
      <w:bookmarkStart w:id="799" w:name="_Toc296347162"/>
      <w:r/>
      <w:bookmarkStart w:id="800" w:name="_Toc296891203"/>
      <w:r/>
      <w:bookmarkStart w:id="801" w:name="_Toc292559367"/>
      <w:r/>
      <w:bookmarkStart w:id="802" w:name="_Toc297120463"/>
      <w:r/>
      <w:bookmarkStart w:id="803" w:name="_Toc297048349"/>
      <w:r/>
      <w:bookmarkStart w:id="804" w:name="_Toc296346664"/>
      <w:r/>
      <w:bookmarkStart w:id="805" w:name="_Toc296944502"/>
      <w:r>
        <w:rPr>
          <w:rFonts w:hint="eastAsia" w:ascii="宋体" w:hAnsi="宋体" w:eastAsia="黑体" w:cs="Times New Roman"/>
          <w:b w:val="0"/>
          <w:color w:val="000000"/>
          <w:sz w:val="24"/>
          <w:szCs w:val="24"/>
          <w:highlight w:val="none"/>
          <w:lang w:val="en-US" w:eastAsia="zh-CN" w:bidi="ar-SA"/>
        </w:rPr>
        <w:t xml:space="preserve">. 工程质量</w:t>
      </w:r>
      <w:bookmarkEnd w:id="795"/>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5.1 质量要求</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bookmarkStart w:id="806" w:name="_Toc303539106"/>
      <w:r/>
      <w:bookmarkStart w:id="807" w:name="_Toc297123496"/>
      <w:r/>
      <w:bookmarkStart w:id="808" w:name="_Toc318581164"/>
      <w:r/>
      <w:bookmarkStart w:id="809" w:name="_Toc312677997"/>
      <w:r/>
      <w:bookmarkStart w:id="810" w:name="_Toc300934949"/>
      <w:r/>
      <w:bookmarkStart w:id="811" w:name="_Toc304295527"/>
      <w:r/>
      <w:bookmarkStart w:id="812" w:name="_Toc297216155"/>
      <w:r>
        <w:rPr>
          <w:rFonts w:hint="eastAsia" w:ascii="宋体" w:hAnsi="宋体" w:eastAsia="宋体" w:cs="Times New Roman"/>
          <w:sz w:val="24"/>
          <w:szCs w:val="24"/>
          <w:highlight w:val="none"/>
        </w:rPr>
        <w:t xml:space="preserve">.1.1 特殊质量标准和要求：质量要求为合格工程。</w:t>
      </w:r>
      <w:r>
        <w:rPr>
          <w:rFonts w:hint="eastAsia" w:ascii="宋体" w:hAnsi="宋体" w:eastAsia="宋体" w:cs="Times New Roman"/>
          <w:sz w:val="24"/>
          <w:szCs w:val="24"/>
          <w:highlight w:val="none"/>
          <w:u w:val="single"/>
        </w:rPr>
        <w:t xml:space="preserve">承包人必须严格按照施工图纸、工程技术要求及有关工程施工规范、规格和标准施工。如因承包人自身原因引起的验收不合格，除返工整改合格外，承包人还应另按合同价的1%向发包人支付违约金，并承担由此造成的一切损失</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关于工程奖项的约定：</w:t>
      </w:r>
      <w:r>
        <w:rPr>
          <w:rFonts w:hint="eastAsia" w:ascii="宋体" w:hAnsi="宋体" w:eastAsia="宋体" w:cs="Times New Roman"/>
          <w:sz w:val="24"/>
          <w:szCs w:val="24"/>
          <w:highlight w:val="none"/>
          <w:u w:val="single"/>
        </w:rPr>
        <w:t xml:space="preserve">另行协商。</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5.3 隐蔽工程检查</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5.3.2承包人提前通知监理人隐蔽工程检查的期限的约定：</w:t>
      </w:r>
      <w:r>
        <w:rPr>
          <w:rFonts w:hint="eastAsia" w:ascii="宋体" w:hAnsi="宋体" w:eastAsia="宋体" w:cs="Times New Roman"/>
          <w:sz w:val="24"/>
          <w:szCs w:val="24"/>
          <w:highlight w:val="none"/>
          <w:u w:val="single"/>
        </w:rPr>
        <w:t xml:space="preserve">按通用条款执行</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监理人不能按时进行检查时，应提前</w:t>
      </w:r>
      <w:r>
        <w:rPr>
          <w:rFonts w:hint="eastAsia" w:ascii="宋体" w:hAnsi="宋体" w:eastAsia="宋体" w:cs="Times New Roman"/>
          <w:sz w:val="24"/>
          <w:szCs w:val="24"/>
          <w:highlight w:val="none"/>
          <w:u w:val="single"/>
        </w:rPr>
        <w:t xml:space="preserve">24</w:t>
      </w:r>
      <w:r>
        <w:rPr>
          <w:rFonts w:hint="eastAsia" w:ascii="宋体" w:hAnsi="宋体" w:eastAsia="宋体" w:cs="Times New Roman"/>
          <w:sz w:val="24"/>
          <w:szCs w:val="24"/>
          <w:highlight w:val="none"/>
        </w:rPr>
        <w:t xml:space="preserve">小时提交书面延期要求。</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关于延期最长不得超过：</w:t>
      </w:r>
      <w:r>
        <w:rPr>
          <w:rFonts w:hint="eastAsia" w:ascii="宋体" w:hAnsi="宋体" w:eastAsia="宋体" w:cs="Times New Roman"/>
          <w:sz w:val="24"/>
          <w:szCs w:val="24"/>
          <w:highlight w:val="none"/>
          <w:u w:val="single"/>
        </w:rPr>
        <w:t xml:space="preserve">48</w:t>
      </w:r>
      <w:r>
        <w:rPr>
          <w:rFonts w:hint="eastAsia" w:ascii="宋体" w:hAnsi="宋体" w:eastAsia="宋体" w:cs="Times New Roman"/>
          <w:sz w:val="24"/>
          <w:szCs w:val="24"/>
          <w:highlight w:val="none"/>
        </w:rPr>
        <w:t xml:space="preserve">小时。</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813" w:name="_Toc351203638"/>
      <w:r>
        <w:rPr>
          <w:rFonts w:hint="eastAsia" w:ascii="宋体" w:hAnsi="宋体" w:eastAsia="黑体" w:cs="Times New Roman"/>
          <w:b w:val="0"/>
          <w:color w:val="000000"/>
          <w:sz w:val="24"/>
          <w:szCs w:val="24"/>
          <w:highlight w:val="none"/>
          <w:lang w:val="en-US" w:eastAsia="zh-CN" w:bidi="ar-SA"/>
        </w:rPr>
        <w:t xml:space="preserve">6. 安全文明施工与环境保护</w:t>
      </w:r>
      <w:bookmarkEnd w:id="813"/>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6.1安全文明施工</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6.1.1</w:t>
      </w:r>
      <w:r>
        <w:rPr>
          <w:rFonts w:hint="eastAsia" w:ascii="宋体" w:hAnsi="宋体" w:eastAsia="宋体" w:cs="Times New Roman"/>
          <w:color w:val="000000"/>
          <w:sz w:val="24"/>
          <w:szCs w:val="24"/>
          <w:highlight w:val="none"/>
        </w:rPr>
        <w:t xml:space="preserve"> 项目安全生产的达标目标及相应事项的约定：</w:t>
      </w:r>
      <w:r>
        <w:rPr>
          <w:rFonts w:hint="eastAsia" w:ascii="宋体" w:hAnsi="宋体" w:eastAsia="宋体" w:cs="Times New Roman"/>
          <w:sz w:val="24"/>
          <w:szCs w:val="24"/>
          <w:highlight w:val="none"/>
          <w:u w:val="single"/>
        </w:rPr>
        <w:t xml:space="preserve">合格工地，符合当地行政主管部门管理要求，安全事故发生率为零,当出现安全生产事故时,承包人应该及时处置,非发包人责任范围内的一切生产事故均由承包人承担</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6.1.4 关于治安保卫的特别约定：</w:t>
      </w:r>
      <w:r>
        <w:rPr>
          <w:rFonts w:hint="eastAsia" w:ascii="宋体" w:hAnsi="宋体" w:eastAsia="宋体" w:cs="Times New Roman"/>
          <w:sz w:val="24"/>
          <w:szCs w:val="24"/>
          <w:highlight w:val="none"/>
          <w:u w:val="single"/>
        </w:rPr>
        <w:t xml:space="preserve">承包人应当负责统一管理施工场地的治安保卫事项，履行合同工程的治安保卫职责</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关于编制施工场地治安管理计划的约定：</w:t>
      </w:r>
      <w:r>
        <w:rPr>
          <w:rFonts w:hint="eastAsia" w:ascii="宋体" w:hAnsi="宋体" w:eastAsia="宋体" w:cs="Times New Roman"/>
          <w:sz w:val="24"/>
          <w:szCs w:val="24"/>
          <w:highlight w:val="none"/>
          <w:u w:val="single"/>
        </w:rPr>
        <w:t xml:space="preserve">承包人责任编制施工场地治安管理计划和突发治安事件紧急预案</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6.1.5 文明施工</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合同当事人对文明施工的要求：本</w:t>
      </w:r>
      <w:r>
        <w:rPr>
          <w:rFonts w:hint="eastAsia" w:ascii="宋体" w:hAnsi="宋体" w:eastAsia="宋体" w:cs="Times New Roman"/>
          <w:sz w:val="24"/>
          <w:szCs w:val="24"/>
          <w:highlight w:val="none"/>
          <w:u w:val="single"/>
        </w:rPr>
        <w:t xml:space="preserve">工程文明工地要求为合格工地，并符合当地行政主管部门管理要求。</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6.1.6 关于安全文明施工费支付比例和支付期限的约定：</w:t>
      </w:r>
      <w:r>
        <w:rPr>
          <w:rFonts w:hint="eastAsia"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rPr>
        <w:t xml:space="preserve">。</w:t>
      </w:r>
      <w:bookmarkEnd w:id="806"/>
      <w:bookmarkEnd w:id="807"/>
      <w:bookmarkEnd w:id="808"/>
      <w:bookmarkEnd w:id="809"/>
      <w:bookmarkEnd w:id="810"/>
      <w:bookmarkEnd w:id="811"/>
      <w:bookmarkEnd w:id="812"/>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814" w:name="_Toc351203639"/>
      <w:r>
        <w:rPr>
          <w:rFonts w:hint="eastAsia" w:ascii="宋体" w:hAnsi="宋体" w:eastAsia="黑体" w:cs="Times New Roman"/>
          <w:b w:val="0"/>
          <w:color w:val="000000"/>
          <w:sz w:val="24"/>
          <w:szCs w:val="24"/>
          <w:highlight w:val="none"/>
          <w:lang w:val="en-US" w:eastAsia="zh-CN" w:bidi="ar-SA"/>
        </w:rPr>
        <w:t xml:space="preserve">7. 工期和进度</w:t>
      </w:r>
      <w:bookmarkEnd w:id="814"/>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7.1 施工组织设计</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7.1.1 </w:t>
      </w:r>
      <w:r>
        <w:rPr>
          <w:rFonts w:hint="eastAsia" w:ascii="宋体" w:hAnsi="宋体" w:eastAsia="宋体" w:cs="Times New Roman"/>
          <w:color w:val="000000"/>
          <w:sz w:val="24"/>
          <w:szCs w:val="24"/>
          <w:highlight w:val="none"/>
        </w:rPr>
        <w:t xml:space="preserve">合同当事人约定的施工组织设计应包括的其他内容：</w:t>
      </w:r>
      <w:r>
        <w:rPr>
          <w:rFonts w:hint="eastAsia" w:ascii="宋体" w:hAnsi="宋体" w:eastAsia="宋体" w:cs="Times New Roman"/>
          <w:sz w:val="24"/>
          <w:szCs w:val="24"/>
          <w:highlight w:val="none"/>
          <w:u w:val="single"/>
        </w:rPr>
        <w:t xml:space="preserve">按发包人及监理人要求</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7.1.2</w:t>
      </w:r>
      <w:r>
        <w:rPr>
          <w:rFonts w:hint="eastAsia" w:ascii="宋体" w:hAnsi="宋体" w:eastAsia="宋体" w:cs="Times New Roman"/>
          <w:color w:val="000000"/>
          <w:sz w:val="24"/>
          <w:szCs w:val="24"/>
          <w:highlight w:val="none"/>
        </w:rPr>
        <w:t xml:space="preserve"> 施工组织设计的提交和修改</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承包人提交详细施工组织设计的期限的约定：</w:t>
      </w:r>
      <w:r>
        <w:rPr>
          <w:rFonts w:hint="eastAsia" w:ascii="宋体" w:hAnsi="宋体" w:eastAsia="宋体" w:cs="Times New Roman"/>
          <w:sz w:val="24"/>
          <w:szCs w:val="24"/>
          <w:highlight w:val="none"/>
          <w:u w:val="single"/>
        </w:rPr>
        <w:t xml:space="preserve">合同签订后3个日历天内</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发包人和监理人在收到详细的施工组织设计后确认或提出修改意见的期限：</w:t>
      </w:r>
      <w:r>
        <w:rPr>
          <w:rFonts w:hint="eastAsia" w:ascii="宋体" w:hAnsi="宋体" w:eastAsia="宋体" w:cs="Times New Roman"/>
          <w:sz w:val="24"/>
          <w:szCs w:val="24"/>
          <w:highlight w:val="none"/>
          <w:u w:val="single"/>
        </w:rPr>
        <w:t xml:space="preserve">承包人提交相应文件后的一周内</w:t>
      </w:r>
      <w:r>
        <w:rPr>
          <w:rFonts w:hint="eastAsia" w:ascii="宋体" w:hAnsi="宋体" w:eastAsia="宋体" w:cs="Times New Roman"/>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w:t>
      </w:r>
      <w:bookmarkStart w:id="815" w:name="_Toc304295541"/>
      <w:r/>
      <w:bookmarkStart w:id="816" w:name="_Toc297216173"/>
      <w:r/>
      <w:bookmarkStart w:id="817" w:name="_Toc300934966"/>
      <w:r/>
      <w:bookmarkStart w:id="818" w:name="_Toc312677479"/>
      <w:r/>
      <w:bookmarkStart w:id="819" w:name="_Toc312678005"/>
      <w:r/>
      <w:bookmarkStart w:id="820" w:name="_Toc303539123"/>
      <w:r/>
      <w:bookmarkStart w:id="821" w:name="_Toc297123514"/>
      <w:r>
        <w:rPr>
          <w:rFonts w:hint="eastAsia" w:ascii="宋体" w:hAnsi="宋体" w:eastAsia="宋体" w:cs="Times New Roman"/>
          <w:color w:val="000000"/>
          <w:sz w:val="24"/>
          <w:szCs w:val="24"/>
          <w:highlight w:val="none"/>
        </w:rPr>
        <w:t xml:space="preserve">.2 施工进度计划</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7.2.2 施工进度计划的修订</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color w:val="000000"/>
          <w:sz w:val="24"/>
          <w:szCs w:val="24"/>
          <w:highlight w:val="none"/>
        </w:rPr>
        <w:t xml:space="preserve">发包人和监理人在收到修订的施工进度计划后确认或提出修改意见的期限：</w:t>
      </w:r>
      <w:r>
        <w:rPr>
          <w:rFonts w:hint="eastAsia" w:ascii="宋体" w:hAnsi="宋体" w:eastAsia="宋体" w:cs="Times New Roman"/>
          <w:sz w:val="24"/>
          <w:szCs w:val="24"/>
          <w:highlight w:val="none"/>
          <w:u w:val="single"/>
        </w:rPr>
        <w:t xml:space="preserve">监理工程师在收到相关申请报告后7天内予以书面明确答复，杜绝“情况属实”之类笼统语言，应说明详细情况、提出建议及实施意见。</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本工程不予调整进度计划、相关申请报告承包人应于事发7天前以书面资料提供。</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其它：</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A、在合同签署后3天内，承包人应按合同规定的控制性进度及本合同技术规范有关规定的内容和时间要求，提交一份施工总进度计划和资金支付预测表（按周）提交发包人及监理人审批；如发包人或监理人另有要求时,还应按指定的进度提交单位工程的进度计划。</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B、每周五提交一式四份的工程形象进度报告(包括本周完成工程量和投资情况、到本周末累计完成投资额及完成的形象进度以及下周计划完成的工程量与时间)。</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C、对于实际进度与已批准的进度计划不符时，不论何种原因承包人应按工程师批复意见的要求在1天内提交一份修订后的进度计划重新报送监理人审批。</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D、若承包人因其自身原因未能按批准的进度计划按期完工或完成预定的工作， 监理人应通知承包人采取有效措施赶上进度，承包人收到通知后的1天内按经工程师批准后的调整后进度计划编制一份赶工措施报告报送工程师审批，承包人应承担采取赶工措施所增加的一切费用。在监理人批准承包人修正后的赶工措施计划后，承包人仍未按修正计划达到预期进度计划时，每迟后一天，发包人追究承包人违约责任款。</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sz w:val="24"/>
          <w:szCs w:val="24"/>
          <w:highlight w:val="none"/>
          <w:u w:val="single"/>
        </w:rPr>
        <w:t xml:space="preserve">E、承包人应提前3天向工程师申报工程所需的由发包人供应的设备及其他材料，若因申报时间较晚造成的工期延误由承包人负责</w:t>
      </w:r>
      <w:r>
        <w:rPr>
          <w:rFonts w:hint="eastAsia" w:ascii="宋体" w:hAnsi="宋体" w:eastAsia="宋体" w:cs="Times New Roman"/>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 开工</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7.3.1 开工准备</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color w:val="000000"/>
          <w:sz w:val="24"/>
          <w:szCs w:val="24"/>
          <w:highlight w:val="none"/>
        </w:rPr>
        <w:t xml:space="preserve">关于承包人提交工程开工报审表的期限：</w:t>
      </w:r>
      <w:r>
        <w:rPr>
          <w:rFonts w:hint="eastAsia" w:ascii="宋体" w:hAnsi="宋体" w:eastAsia="宋体" w:cs="Times New Roman"/>
          <w:sz w:val="24"/>
          <w:szCs w:val="24"/>
          <w:highlight w:val="none"/>
          <w:u w:val="single"/>
        </w:rPr>
        <w:t xml:space="preserve">本合同生效后7天内</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关于发包人应完成的其他开工准备工作及期限：</w:t>
      </w:r>
      <w:r>
        <w:rPr>
          <w:rFonts w:hint="eastAsia" w:ascii="宋体" w:hAnsi="宋体" w:eastAsia="宋体" w:cs="Times New Roman"/>
          <w:sz w:val="24"/>
          <w:szCs w:val="24"/>
          <w:highlight w:val="none"/>
          <w:u w:val="single"/>
        </w:rPr>
        <w:t xml:space="preserve">开工前</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关于承包人应完成的其他开工准备工作及期限：</w:t>
      </w:r>
      <w:r>
        <w:rPr>
          <w:rFonts w:hint="eastAsia" w:ascii="宋体" w:hAnsi="宋体" w:eastAsia="宋体" w:cs="Times New Roman"/>
          <w:sz w:val="24"/>
          <w:szCs w:val="24"/>
          <w:highlight w:val="none"/>
          <w:u w:val="single"/>
        </w:rPr>
        <w:t xml:space="preserve">开工前</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7.3.2开工通知</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因发包人原因造成监理人未能在计划开工日期之日起</w:t>
      </w:r>
      <w:r>
        <w:rPr>
          <w:rFonts w:hint="eastAsia" w:ascii="宋体" w:hAnsi="宋体" w:eastAsia="宋体" w:cs="Times New Roman"/>
          <w:sz w:val="24"/>
          <w:szCs w:val="24"/>
          <w:highlight w:val="none"/>
          <w:u w:val="single"/>
          <w:lang w:val="en-US" w:eastAsia="zh-CN"/>
        </w:rPr>
        <w:t xml:space="preserve">/</w:t>
      </w:r>
      <w:r>
        <w:rPr>
          <w:rFonts w:hint="eastAsia" w:ascii="宋体" w:hAnsi="宋体" w:eastAsia="宋体" w:cs="Times New Roman"/>
          <w:color w:val="000000"/>
          <w:sz w:val="24"/>
          <w:szCs w:val="24"/>
          <w:highlight w:val="none"/>
        </w:rPr>
        <w:t xml:space="preserve">天内发出开工通知的，承包人有权提出价格调整要求，或者解除合同。</w:t>
      </w:r>
      <w:bookmarkEnd w:id="815"/>
      <w:bookmarkEnd w:id="816"/>
      <w:bookmarkEnd w:id="817"/>
      <w:bookmarkEnd w:id="818"/>
      <w:bookmarkEnd w:id="819"/>
      <w:bookmarkEnd w:id="820"/>
      <w:bookmarkEnd w:id="821"/>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7.4 测量放线</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7.4.1发包人通过监理人向承包人提供测量基准点、基准线和水准点及其书面资料的期限：</w:t>
      </w:r>
      <w:r>
        <w:rPr>
          <w:rFonts w:hint="eastAsia" w:ascii="宋体" w:hAnsi="宋体" w:eastAsia="宋体" w:cs="Times New Roman"/>
          <w:sz w:val="24"/>
          <w:szCs w:val="24"/>
          <w:highlight w:val="none"/>
          <w:u w:val="single"/>
        </w:rPr>
        <w:t xml:space="preserve">开工后另定</w:t>
      </w:r>
      <w:r>
        <w:rPr>
          <w:rFonts w:hint="eastAsia" w:ascii="宋体" w:hAnsi="宋体" w:eastAsia="宋体" w:cs="Times New Roman"/>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w:t>
      </w:r>
      <w:bookmarkStart w:id="822" w:name="_Toc297216175"/>
      <w:r/>
      <w:bookmarkStart w:id="823" w:name="_Toc300934968"/>
      <w:r/>
      <w:bookmarkStart w:id="824" w:name="_Toc304295546"/>
      <w:r/>
      <w:bookmarkStart w:id="825" w:name="_Toc297123516"/>
      <w:r/>
      <w:bookmarkStart w:id="826" w:name="_Toc312677484"/>
      <w:r/>
      <w:bookmarkStart w:id="827" w:name="_Toc303539125"/>
      <w:r/>
      <w:bookmarkStart w:id="828" w:name="_Toc312678010"/>
      <w:r>
        <w:rPr>
          <w:rFonts w:hint="eastAsia" w:ascii="宋体" w:hAnsi="宋体" w:eastAsia="宋体" w:cs="Times New Roman"/>
          <w:color w:val="000000"/>
          <w:sz w:val="24"/>
          <w:szCs w:val="24"/>
          <w:highlight w:val="none"/>
        </w:rPr>
        <w:t xml:space="preserve">.5 工期延误</w:t>
      </w:r>
      <w:bookmarkEnd w:id="822"/>
      <w:bookmarkEnd w:id="823"/>
      <w:bookmarkEnd w:id="824"/>
      <w:bookmarkEnd w:id="825"/>
      <w:bookmarkEnd w:id="826"/>
      <w:bookmarkEnd w:id="827"/>
      <w:bookmarkEnd w:id="828"/>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7.5.1 因发包人原因导致工期延误</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（7）因发包人原因导致工期延误的其他情形：</w:t>
      </w:r>
      <w:r>
        <w:rPr>
          <w:rFonts w:hint="eastAsia" w:ascii="宋体" w:hAnsi="宋体" w:eastAsia="宋体" w:cs="Times New Roman"/>
          <w:sz w:val="24"/>
          <w:szCs w:val="24"/>
          <w:highlight w:val="none"/>
          <w:u w:val="single"/>
        </w:rPr>
        <w:t xml:space="preserve">因自然灾害、异常恶劣的气候条件、战争、动乱等不可抗力延误承包人关键线路工作的情况</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w:t>
      </w:r>
      <w:bookmarkStart w:id="829" w:name="_Toc318581169"/>
      <w:r/>
      <w:bookmarkStart w:id="830" w:name="_Toc312678012"/>
      <w:r/>
      <w:bookmarkStart w:id="831" w:name="_Toc312677486"/>
      <w:r/>
      <w:bookmarkStart w:id="832" w:name="_Toc297216177"/>
      <w:r/>
      <w:bookmarkStart w:id="833" w:name="_Toc304295548"/>
      <w:r/>
      <w:bookmarkStart w:id="834" w:name="_Toc300934970"/>
      <w:r/>
      <w:bookmarkStart w:id="835" w:name="_Toc297123518"/>
      <w:r/>
      <w:bookmarkStart w:id="836" w:name="_Toc303539127"/>
      <w:r>
        <w:rPr>
          <w:rFonts w:hint="eastAsia" w:ascii="宋体" w:hAnsi="宋体" w:eastAsia="宋体" w:cs="Times New Roman"/>
          <w:sz w:val="24"/>
          <w:szCs w:val="24"/>
          <w:highlight w:val="none"/>
        </w:rPr>
        <w:t xml:space="preserve">.5.2 因承包人原因导致工期延误</w:t>
      </w:r>
      <w:bookmarkEnd w:id="829"/>
      <w:bookmarkEnd w:id="830"/>
      <w:bookmarkEnd w:id="831"/>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因</w:t>
      </w:r>
      <w:bookmarkStart w:id="837" w:name="_Toc312678013"/>
      <w:r/>
      <w:bookmarkStart w:id="838" w:name="_Toc312677487"/>
      <w:r/>
      <w:bookmarkStart w:id="839" w:name="_Toc318581170"/>
      <w:r>
        <w:rPr>
          <w:rFonts w:hint="eastAsia" w:ascii="宋体" w:hAnsi="宋体" w:eastAsia="宋体" w:cs="Times New Roman"/>
          <w:sz w:val="24"/>
          <w:szCs w:val="24"/>
          <w:highlight w:val="none"/>
        </w:rPr>
        <w:t xml:space="preserve">承包人原因造成工期延误，逾期竣工违约金的计算方法为：</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u w:val="single"/>
        </w:rPr>
        <w:t xml:space="preserve">施工单位按延误工期的天数向建设单位支付合同价的0.2‰/天的逾期竣工违约金。如果因承包人原因，引起的发包人（包括其他专业承包单位）的实际相应损失由承包人承担</w:t>
      </w:r>
      <w:r>
        <w:rPr>
          <w:rFonts w:hint="eastAsia" w:ascii="宋体" w:hAnsi="宋体" w:eastAsia="宋体" w:cs="Times New Roman"/>
          <w:sz w:val="24"/>
          <w:szCs w:val="24"/>
          <w:highlight w:val="none"/>
        </w:rPr>
        <w:t xml:space="preserve">。</w:t>
      </w:r>
      <w:bookmarkEnd w:id="832"/>
      <w:r/>
      <w:bookmarkEnd w:id="833"/>
      <w:r/>
      <w:bookmarkEnd w:id="834"/>
      <w:r/>
      <w:bookmarkEnd w:id="835"/>
      <w:r/>
      <w:bookmarkEnd w:id="836"/>
      <w:r/>
      <w:bookmarkEnd w:id="837"/>
      <w:r/>
      <w:bookmarkEnd w:id="838"/>
      <w:r/>
      <w:bookmarkEnd w:id="839"/>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因承包人原因造成工期延误，逾</w:t>
      </w:r>
      <w:bookmarkStart w:id="840" w:name="_Toc318581171"/>
      <w:r/>
      <w:bookmarkStart w:id="841" w:name="_Toc312678014"/>
      <w:r>
        <w:rPr>
          <w:rFonts w:hint="eastAsia" w:ascii="宋体" w:hAnsi="宋体" w:eastAsia="宋体" w:cs="Times New Roman"/>
          <w:sz w:val="24"/>
          <w:szCs w:val="24"/>
          <w:highlight w:val="none"/>
        </w:rPr>
        <w:t xml:space="preserve">期竣工违约金的上限：</w:t>
      </w:r>
      <w:r>
        <w:rPr>
          <w:rFonts w:hint="eastAsia"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rPr>
        <w:t xml:space="preserve">。</w:t>
      </w:r>
      <w:bookmarkEnd w:id="840"/>
      <w:bookmarkEnd w:id="841"/>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w:t>
      </w:r>
      <w:bookmarkStart w:id="842" w:name="_Toc312678015"/>
      <w:r/>
      <w:bookmarkStart w:id="843" w:name="_Toc297123519"/>
      <w:r/>
      <w:bookmarkStart w:id="844" w:name="_Toc304295549"/>
      <w:r/>
      <w:bookmarkStart w:id="845" w:name="_Toc297216178"/>
      <w:r/>
      <w:bookmarkStart w:id="846" w:name="_Toc303539128"/>
      <w:r/>
      <w:bookmarkStart w:id="847" w:name="_Toc300934971"/>
      <w:r>
        <w:rPr>
          <w:rFonts w:hint="eastAsia" w:ascii="宋体" w:hAnsi="宋体" w:eastAsia="宋体" w:cs="Times New Roman"/>
          <w:color w:val="000000"/>
          <w:sz w:val="24"/>
          <w:szCs w:val="24"/>
          <w:highlight w:val="none"/>
        </w:rPr>
        <w:t xml:space="preserve">.6 不</w:t>
      </w:r>
      <w:bookmarkEnd w:id="842"/>
      <w:r/>
      <w:bookmarkEnd w:id="843"/>
      <w:r/>
      <w:bookmarkEnd w:id="844"/>
      <w:r/>
      <w:bookmarkEnd w:id="845"/>
      <w:r/>
      <w:bookmarkEnd w:id="846"/>
      <w:r/>
      <w:bookmarkEnd w:id="847"/>
      <w:r>
        <w:rPr>
          <w:rFonts w:hint="eastAsia" w:ascii="宋体" w:hAnsi="宋体" w:eastAsia="宋体" w:cs="Times New Roman"/>
          <w:color w:val="000000"/>
          <w:sz w:val="24"/>
          <w:szCs w:val="24"/>
          <w:highlight w:val="none"/>
        </w:rPr>
        <w:t xml:space="preserve">利物质条件</w:t>
      </w:r>
      <w:r/>
    </w:p>
    <w:p>
      <w:pPr>
        <w:ind w:firstLine="480"/>
        <w:spacing w:line="360" w:lineRule="auto"/>
        <w:rPr>
          <w:rFonts w:hint="eastAsia" w:ascii="宋体" w:hAnsi="宋体" w:eastAsia="宋体" w:cs="Times New Roman"/>
          <w:sz w:val="24"/>
          <w:szCs w:val="24"/>
          <w:highlight w:val="none"/>
        </w:rPr>
      </w:pPr>
      <w:r/>
      <w:bookmarkStart w:id="848" w:name="_Toc304295550"/>
      <w:r/>
      <w:bookmarkStart w:id="849" w:name="_Toc297216179"/>
      <w:r/>
      <w:bookmarkStart w:id="850" w:name="_Toc297123520"/>
      <w:r/>
      <w:bookmarkStart w:id="851" w:name="_Toc303539129"/>
      <w:r/>
      <w:bookmarkStart w:id="852" w:name="_Toc300934972"/>
      <w:r/>
      <w:bookmarkStart w:id="853" w:name="_Toc318581172"/>
      <w:r/>
      <w:bookmarkStart w:id="854" w:name="_Toc312678016"/>
      <w:r>
        <w:rPr>
          <w:rFonts w:hint="eastAsia" w:ascii="宋体" w:hAnsi="宋体" w:eastAsia="宋体" w:cs="Times New Roman"/>
          <w:sz w:val="24"/>
          <w:szCs w:val="24"/>
          <w:highlight w:val="none"/>
        </w:rPr>
        <w:t xml:space="preserve">不利物质条件的其他情形和有关约定：</w:t>
      </w:r>
      <w:r>
        <w:rPr>
          <w:rFonts w:hint="eastAsia" w:ascii="宋体" w:hAnsi="宋体" w:eastAsia="宋体" w:cs="Times New Roman"/>
          <w:sz w:val="24"/>
          <w:szCs w:val="24"/>
          <w:highlight w:val="none"/>
          <w:u w:val="single"/>
        </w:rPr>
        <w:t xml:space="preserve">另行协商</w:t>
      </w:r>
      <w:r>
        <w:rPr>
          <w:rFonts w:hint="eastAsia" w:ascii="宋体" w:hAnsi="宋体" w:eastAsia="宋体" w:cs="Times New Roman"/>
          <w:sz w:val="24"/>
          <w:szCs w:val="24"/>
          <w:highlight w:val="none"/>
        </w:rPr>
        <w:t xml:space="preserve">。</w:t>
      </w:r>
      <w:bookmarkEnd w:id="848"/>
      <w:bookmarkEnd w:id="849"/>
      <w:bookmarkEnd w:id="850"/>
      <w:bookmarkEnd w:id="851"/>
      <w:bookmarkEnd w:id="852"/>
      <w:bookmarkEnd w:id="853"/>
      <w:bookmarkEnd w:id="854"/>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w:t>
      </w:r>
      <w:bookmarkStart w:id="855" w:name="_Toc303539130"/>
      <w:r/>
      <w:bookmarkStart w:id="856" w:name="_Toc297216180"/>
      <w:r/>
      <w:bookmarkStart w:id="857" w:name="_Toc297123521"/>
      <w:r/>
      <w:bookmarkStart w:id="858" w:name="_Toc304295551"/>
      <w:r/>
      <w:bookmarkStart w:id="859" w:name="_Toc312678017"/>
      <w:r/>
      <w:bookmarkStart w:id="860" w:name="_Toc300934973"/>
      <w:r>
        <w:rPr>
          <w:rFonts w:hint="eastAsia" w:ascii="宋体" w:hAnsi="宋体" w:eastAsia="宋体" w:cs="Times New Roman"/>
          <w:color w:val="000000"/>
          <w:sz w:val="24"/>
          <w:szCs w:val="24"/>
          <w:highlight w:val="none"/>
        </w:rPr>
        <w:t xml:space="preserve">.7异常恶劣的气候条件</w:t>
      </w:r>
      <w:bookmarkEnd w:id="855"/>
      <w:bookmarkEnd w:id="856"/>
      <w:bookmarkEnd w:id="857"/>
      <w:bookmarkEnd w:id="858"/>
      <w:bookmarkEnd w:id="859"/>
      <w:bookmarkEnd w:id="860"/>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发包人和承包人同意以下情形视为异常恶劣的气候条件：</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u w:val="single"/>
        </w:rPr>
        <w:t xml:space="preserve">按通用条款执行</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u w:val="single"/>
        </w:rPr>
        <w:t xml:space="preserve"> / </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u w:val="single"/>
        </w:rPr>
        <w:t xml:space="preserve"> / </w:t>
      </w:r>
      <w:r>
        <w:rPr>
          <w:rFonts w:hint="eastAsia" w:ascii="宋体" w:hAnsi="宋体" w:eastAsia="宋体" w:cs="Times New Roman"/>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7.9 提前竣工的奖励</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7.9.2提前竣工的奖励：</w:t>
      </w:r>
      <w:r>
        <w:rPr>
          <w:rFonts w:hint="eastAsia" w:ascii="宋体" w:hAnsi="宋体" w:eastAsia="宋体" w:cs="Times New Roman"/>
          <w:sz w:val="24"/>
          <w:szCs w:val="24"/>
          <w:highlight w:val="none"/>
          <w:u w:val="single"/>
        </w:rPr>
        <w:t xml:space="preserve">无</w:t>
      </w:r>
      <w:r>
        <w:rPr>
          <w:rFonts w:hint="eastAsia" w:ascii="宋体" w:hAnsi="宋体" w:eastAsia="宋体" w:cs="Times New Roman"/>
          <w:sz w:val="24"/>
          <w:szCs w:val="24"/>
          <w:highlight w:val="non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861" w:name="_Toc351203640"/>
      <w:r>
        <w:rPr>
          <w:rFonts w:hint="eastAsia" w:ascii="宋体" w:hAnsi="宋体" w:eastAsia="黑体" w:cs="Times New Roman"/>
          <w:b w:val="0"/>
          <w:color w:val="000000"/>
          <w:sz w:val="24"/>
          <w:szCs w:val="24"/>
          <w:highlight w:val="none"/>
          <w:lang w:val="en-US" w:eastAsia="zh-CN" w:bidi="ar-SA"/>
        </w:rPr>
        <w:t xml:space="preserve">8. 材料与设备</w:t>
      </w:r>
      <w:bookmarkEnd w:id="861"/>
      <w:r/>
      <w:bookmarkEnd w:id="796"/>
      <w:bookmarkEnd w:id="797"/>
      <w:bookmarkEnd w:id="798"/>
      <w:bookmarkEnd w:id="799"/>
      <w:bookmarkEnd w:id="800"/>
      <w:bookmarkEnd w:id="801"/>
      <w:bookmarkEnd w:id="802"/>
      <w:bookmarkEnd w:id="803"/>
      <w:bookmarkEnd w:id="804"/>
      <w:bookmarkEnd w:id="805"/>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w:t>
      </w:r>
      <w:bookmarkStart w:id="862" w:name="_Toc296346668"/>
      <w:r/>
      <w:bookmarkStart w:id="863" w:name="_Toc296890995"/>
      <w:r/>
      <w:bookmarkStart w:id="864" w:name="_Toc296503167"/>
      <w:r/>
      <w:bookmarkStart w:id="865" w:name="_Toc303539136"/>
      <w:r/>
      <w:bookmarkStart w:id="866" w:name="_Toc296891207"/>
      <w:r/>
      <w:bookmarkStart w:id="867" w:name="_Toc297120467"/>
      <w:r/>
      <w:bookmarkStart w:id="868" w:name="_Toc296347166"/>
      <w:r/>
      <w:bookmarkStart w:id="869" w:name="_Toc280868654"/>
      <w:r/>
      <w:bookmarkStart w:id="870" w:name="_Toc312677493"/>
      <w:r/>
      <w:bookmarkStart w:id="871" w:name="_Toc304295556"/>
      <w:r/>
      <w:bookmarkStart w:id="872" w:name="_Toc312678019"/>
      <w:r/>
      <w:bookmarkStart w:id="873" w:name="_Toc296944506"/>
      <w:r/>
      <w:bookmarkStart w:id="874" w:name="_Toc292559877"/>
      <w:r/>
      <w:bookmarkStart w:id="875" w:name="_Toc297048353"/>
      <w:r/>
      <w:bookmarkStart w:id="876" w:name="_Toc292559372"/>
      <w:r/>
      <w:bookmarkStart w:id="877" w:name="_Toc300934979"/>
      <w:r/>
      <w:bookmarkStart w:id="878" w:name="_Toc297123527"/>
      <w:r/>
      <w:bookmarkStart w:id="879" w:name="_Toc297216186"/>
      <w:r/>
      <w:bookmarkStart w:id="880" w:name="_Toc280868655"/>
      <w:r/>
      <w:bookmarkStart w:id="881" w:name="_Toc280868656"/>
      <w:r/>
      <w:bookmarkStart w:id="882" w:name="_Toc267251424"/>
      <w:r>
        <w:rPr>
          <w:rFonts w:hint="eastAsia" w:ascii="宋体" w:hAnsi="宋体" w:eastAsia="宋体" w:cs="Times New Roman"/>
          <w:color w:val="000000"/>
          <w:sz w:val="24"/>
          <w:szCs w:val="24"/>
          <w:highlight w:val="none"/>
        </w:rPr>
        <w:t xml:space="preserve">.4材料与工程设备的保管与使用</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w:t>
      </w:r>
      <w:bookmarkStart w:id="883" w:name="_Toc292559373"/>
      <w:r/>
      <w:bookmarkStart w:id="884" w:name="_Toc292559878"/>
      <w:r/>
      <w:bookmarkStart w:id="885" w:name="_Toc300934980"/>
      <w:r/>
      <w:bookmarkStart w:id="886" w:name="_Toc296347167"/>
      <w:r/>
      <w:bookmarkStart w:id="887" w:name="_Toc296944507"/>
      <w:r/>
      <w:bookmarkStart w:id="888" w:name="_Toc318581173"/>
      <w:r/>
      <w:bookmarkStart w:id="889" w:name="_Toc297120468"/>
      <w:r/>
      <w:bookmarkStart w:id="890" w:name="_Toc296346669"/>
      <w:r/>
      <w:bookmarkStart w:id="891" w:name="_Toc297216187"/>
      <w:r/>
      <w:bookmarkStart w:id="892" w:name="_Toc297048354"/>
      <w:r/>
      <w:bookmarkStart w:id="893" w:name="_Toc304295557"/>
      <w:r/>
      <w:bookmarkStart w:id="894" w:name="_Toc312677494"/>
      <w:r/>
      <w:bookmarkStart w:id="895" w:name="_Toc312678020"/>
      <w:r/>
      <w:bookmarkStart w:id="896" w:name="_Toc303539137"/>
      <w:r/>
      <w:bookmarkStart w:id="897" w:name="_Toc296890996"/>
      <w:r/>
      <w:bookmarkStart w:id="898" w:name="_Toc297123528"/>
      <w:r/>
      <w:bookmarkStart w:id="899" w:name="_Toc296891208"/>
      <w:r/>
      <w:bookmarkStart w:id="900" w:name="_Toc296503168"/>
      <w:r>
        <w:rPr>
          <w:rFonts w:hint="eastAsia" w:ascii="宋体" w:hAnsi="宋体" w:eastAsia="宋体" w:cs="Times New Roman"/>
          <w:sz w:val="24"/>
          <w:szCs w:val="24"/>
          <w:highlight w:val="none"/>
        </w:rPr>
        <w:t xml:space="preserve">.4.1发包人供应的材料设备的保管费用的承担：</w:t>
      </w:r>
      <w:r>
        <w:rPr>
          <w:rFonts w:hint="eastAsia" w:ascii="宋体" w:hAnsi="宋体" w:eastAsia="宋体" w:cs="Times New Roman"/>
          <w:sz w:val="24"/>
          <w:szCs w:val="24"/>
          <w:highlight w:val="none"/>
          <w:u w:val="single"/>
        </w:rPr>
        <w:t xml:space="preserve">由承包人承担</w:t>
      </w:r>
      <w:r>
        <w:rPr>
          <w:rFonts w:hint="eastAsia" w:ascii="宋体" w:hAnsi="宋体" w:eastAsia="宋体" w:cs="Times New Roman"/>
          <w:sz w:val="24"/>
          <w:szCs w:val="24"/>
          <w:highlight w:val="none"/>
        </w:rPr>
        <w:t xml:space="preserve">。</w:t>
      </w:r>
      <w:bookmarkEnd w:id="883"/>
      <w:r/>
      <w:bookmarkEnd w:id="884"/>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8.6 样品</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8.6.1</w:t>
      </w:r>
      <w:r>
        <w:rPr>
          <w:rFonts w:hint="eastAsia" w:ascii="宋体" w:hAnsi="宋体" w:eastAsia="宋体" w:cs="Times New Roman"/>
          <w:color w:val="000000"/>
          <w:sz w:val="24"/>
          <w:szCs w:val="24"/>
          <w:highlight w:val="none"/>
        </w:rPr>
        <w:tab/>
      </w:r>
      <w:r>
        <w:rPr>
          <w:rFonts w:hint="eastAsia" w:ascii="宋体" w:hAnsi="宋体" w:eastAsia="宋体" w:cs="Times New Roman"/>
          <w:color w:val="000000"/>
          <w:sz w:val="24"/>
          <w:szCs w:val="24"/>
          <w:highlight w:val="none"/>
        </w:rPr>
        <w:t xml:space="preserve">样品的报送与封存</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color w:val="000000"/>
          <w:sz w:val="24"/>
          <w:szCs w:val="24"/>
          <w:highlight w:val="none"/>
        </w:rPr>
        <w:t xml:space="preserve">需要承包人报送样品的材料或工程设备，样品的种类、名称、规格、数量要求：</w:t>
      </w:r>
      <w:r>
        <w:rPr>
          <w:rFonts w:hint="eastAsia" w:ascii="宋体" w:hAnsi="宋体" w:eastAsia="宋体" w:cs="Times New Roman"/>
          <w:sz w:val="24"/>
          <w:szCs w:val="24"/>
          <w:highlight w:val="none"/>
          <w:u w:val="single"/>
        </w:rPr>
        <w:t xml:space="preserve">                                          </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1) 本工程所有暂估材料价部分的材料材质、品牌、规格、型号、价格、颜色须经发包人书面确认后方可采购；</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2）材料进场前，承包人应及时向发包人及监理人提交质量证明材料和《工程材料进场报验单》，经发包人及监理人验收合格并签署同意意见后，方能进场使用；未经发包人及监理人同意，承包人擅自用于工程，除进场材料要求及时退场外，还应追究20000元/次的违约责任款。</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材料首次进场时验收合格，但后期同种材料进场时若出现以次充好或串换等现象时，如已用于工程的，除立即返工外，并处20000元/次的违约责任款；未用于工程的，除立即退场外，并处5000元/次的违约责任款。场内严禁堆放不合格材料，过期不处理的不合格材料，发包人有权自行处理。如发包人或质监部门另行要求检测的，送检合格，检测费用由发包人承担；送检不合格，检测费用由承包人承担，不合格材料由监理人标识后，限时运出场外  。</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u w:val="single"/>
        </w:rPr>
        <w:t xml:space="preserve">对清单及施工图表明的材料规格、型号等应严格按图（按清单）进行采购及施工，否则除追究违约责任外，还应追究1至3万元的违约责任追加责任款。工程结算时该材料结算价为投标报价的80%</w:t>
      </w:r>
      <w:r>
        <w:rPr>
          <w:rFonts w:hint="eastAsia" w:ascii="宋体" w:hAnsi="宋体" w:eastAsia="宋体" w:cs="Times New Roman"/>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8.8 施工设备和临时设施</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8.8.1 承包人提供的施工设备和临时设施</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关于修建临时设施费用承担的约定：</w:t>
      </w:r>
      <w:r>
        <w:rPr>
          <w:rFonts w:hint="eastAsia" w:ascii="宋体" w:hAnsi="宋体" w:eastAsia="宋体" w:cs="Times New Roman"/>
          <w:sz w:val="24"/>
          <w:szCs w:val="24"/>
          <w:highlight w:val="none"/>
          <w:u w:val="single"/>
        </w:rPr>
        <w:t xml:space="preserve">由承包人承担，根据现场情况确定</w:t>
      </w:r>
      <w:r>
        <w:rPr>
          <w:rFonts w:hint="eastAsia" w:ascii="宋体" w:hAnsi="宋体" w:eastAsia="宋体" w:cs="Times New Roman"/>
          <w:sz w:val="24"/>
          <w:szCs w:val="24"/>
          <w:highlight w:val="none"/>
        </w:rPr>
        <w:t xml:space="preserve">。</w:t>
      </w:r>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901" w:name="_Toc351203641"/>
      <w:r>
        <w:rPr>
          <w:rFonts w:hint="eastAsia" w:ascii="宋体" w:hAnsi="宋体" w:eastAsia="黑体" w:cs="Times New Roman"/>
          <w:b w:val="0"/>
          <w:color w:val="000000"/>
          <w:sz w:val="24"/>
          <w:szCs w:val="24"/>
          <w:highlight w:val="none"/>
          <w:lang w:val="en-US" w:eastAsia="zh-CN" w:bidi="ar-SA"/>
        </w:rPr>
        <w:t xml:space="preserve">9</w:t>
      </w:r>
      <w:bookmarkEnd w:id="880"/>
      <w:r/>
      <w:bookmarkEnd w:id="881"/>
      <w:r/>
      <w:bookmarkEnd w:id="882"/>
      <w:r/>
      <w:bookmarkStart w:id="902" w:name="_Toc300934982"/>
      <w:r/>
      <w:bookmarkStart w:id="903" w:name="_Toc312678021"/>
      <w:r/>
      <w:bookmarkStart w:id="904" w:name="_Toc303539139"/>
      <w:r/>
      <w:bookmarkStart w:id="905" w:name="_Toc297216192"/>
      <w:r/>
      <w:bookmarkStart w:id="906" w:name="_Toc297123533"/>
      <w:r/>
      <w:bookmarkStart w:id="907" w:name="_Toc304295559"/>
      <w:r/>
      <w:bookmarkStart w:id="908" w:name="_Toc312677495"/>
      <w:r/>
      <w:bookmarkStart w:id="909" w:name="_Toc296891213"/>
      <w:r/>
      <w:bookmarkStart w:id="910" w:name="_Toc297048359"/>
      <w:r/>
      <w:bookmarkStart w:id="911" w:name="_Toc296503173"/>
      <w:r/>
      <w:bookmarkStart w:id="912" w:name="_Toc296944512"/>
      <w:r/>
      <w:bookmarkStart w:id="913" w:name="_Toc296891001"/>
      <w:r/>
      <w:bookmarkStart w:id="914" w:name="_Toc267251427"/>
      <w:r/>
      <w:bookmarkStart w:id="915" w:name="_Toc297120473"/>
      <w:r/>
      <w:bookmarkStart w:id="916" w:name="_Toc296346674"/>
      <w:r/>
      <w:bookmarkStart w:id="917" w:name="_Toc267251428"/>
      <w:r/>
      <w:bookmarkStart w:id="918" w:name="_Toc292559883"/>
      <w:r/>
      <w:bookmarkStart w:id="919" w:name="_Toc296347172"/>
      <w:r/>
      <w:bookmarkStart w:id="920" w:name="_Toc292559378"/>
      <w:r>
        <w:rPr>
          <w:rFonts w:hint="eastAsia" w:ascii="宋体" w:hAnsi="宋体" w:eastAsia="黑体" w:cs="Times New Roman"/>
          <w:b w:val="0"/>
          <w:color w:val="000000"/>
          <w:sz w:val="24"/>
          <w:szCs w:val="24"/>
          <w:highlight w:val="none"/>
          <w:lang w:val="en-US" w:eastAsia="zh-CN" w:bidi="ar-SA"/>
        </w:rPr>
        <w:t xml:space="preserve">. 试验与检验</w:t>
      </w:r>
      <w:bookmarkEnd w:id="901"/>
      <w:r/>
      <w:bookmarkEnd w:id="902"/>
      <w:bookmarkEnd w:id="903"/>
      <w:bookmarkEnd w:id="904"/>
      <w:bookmarkEnd w:id="905"/>
      <w:bookmarkEnd w:id="906"/>
      <w:bookmarkEnd w:id="907"/>
      <w:bookmarkEnd w:id="908"/>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w:t>
      </w:r>
      <w:bookmarkStart w:id="921" w:name="_Toc300934983"/>
      <w:r/>
      <w:bookmarkStart w:id="922" w:name="_Toc297123534"/>
      <w:r/>
      <w:bookmarkStart w:id="923" w:name="_Toc312678022"/>
      <w:r/>
      <w:bookmarkStart w:id="924" w:name="_Toc297216193"/>
      <w:r/>
      <w:bookmarkStart w:id="925" w:name="_Toc304295560"/>
      <w:r/>
      <w:bookmarkStart w:id="926" w:name="_Toc312677496"/>
      <w:r/>
      <w:bookmarkStart w:id="927" w:name="_Toc303539140"/>
      <w:r>
        <w:rPr>
          <w:rFonts w:hint="eastAsia" w:ascii="宋体" w:hAnsi="宋体" w:eastAsia="宋体" w:cs="Times New Roman"/>
          <w:color w:val="000000"/>
          <w:sz w:val="24"/>
          <w:szCs w:val="24"/>
          <w:highlight w:val="none"/>
        </w:rPr>
        <w:t xml:space="preserve">.1试验设备与试验人员</w:t>
      </w:r>
      <w:bookmarkEnd w:id="921"/>
      <w:bookmarkEnd w:id="922"/>
      <w:bookmarkEnd w:id="923"/>
      <w:bookmarkEnd w:id="924"/>
      <w:bookmarkEnd w:id="925"/>
      <w:bookmarkEnd w:id="926"/>
      <w:bookmarkEnd w:id="927"/>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w:t>
      </w:r>
      <w:bookmarkStart w:id="928" w:name="_Toc297123535"/>
      <w:r/>
      <w:bookmarkStart w:id="929" w:name="_Toc297216194"/>
      <w:r/>
      <w:bookmarkStart w:id="930" w:name="_Toc312677497"/>
      <w:r/>
      <w:bookmarkStart w:id="931" w:name="_Toc304295561"/>
      <w:r/>
      <w:bookmarkStart w:id="932" w:name="_Toc312678023"/>
      <w:r/>
      <w:bookmarkStart w:id="933" w:name="_Toc303539141"/>
      <w:r/>
      <w:bookmarkStart w:id="934" w:name="_Toc300934984"/>
      <w:r/>
      <w:bookmarkStart w:id="935" w:name="_Toc318581174"/>
      <w:r>
        <w:rPr>
          <w:rFonts w:hint="eastAsia" w:ascii="宋体" w:hAnsi="宋体" w:eastAsia="宋体" w:cs="Times New Roman"/>
          <w:sz w:val="24"/>
          <w:szCs w:val="24"/>
          <w:highlight w:val="none"/>
        </w:rPr>
        <w:t xml:space="preserve">.1.2 试验设备</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施工现场需要配置的试验场所：</w:t>
      </w:r>
      <w:bookmarkEnd w:id="928"/>
      <w:r/>
      <w:bookmarkEnd w:id="929"/>
      <w:r/>
      <w:bookmarkEnd w:id="930"/>
      <w:r/>
      <w:bookmarkEnd w:id="931"/>
      <w:r/>
      <w:bookmarkEnd w:id="932"/>
      <w:r/>
      <w:bookmarkEnd w:id="933"/>
      <w:r/>
      <w:bookmarkEnd w:id="934"/>
      <w:r/>
      <w:bookmarkStart w:id="936" w:name="_Toc297216195"/>
      <w:r/>
      <w:bookmarkStart w:id="937" w:name="_Toc312677498"/>
      <w:r/>
      <w:bookmarkStart w:id="938" w:name="_Toc304295562"/>
      <w:r/>
      <w:bookmarkStart w:id="939" w:name="_Toc300934985"/>
      <w:r/>
      <w:bookmarkStart w:id="940" w:name="_Toc312678024"/>
      <w:r/>
      <w:bookmarkStart w:id="941" w:name="_Toc297123536"/>
      <w:r/>
      <w:bookmarkStart w:id="942" w:name="_Toc303539142"/>
      <w:r>
        <w:rPr>
          <w:rFonts w:hint="eastAsia" w:ascii="宋体" w:hAnsi="宋体" w:eastAsia="宋体" w:cs="Times New Roman"/>
          <w:sz w:val="24"/>
          <w:szCs w:val="24"/>
          <w:highlight w:val="none"/>
          <w:u w:val="single"/>
        </w:rPr>
        <w:t xml:space="preserve">按工程需要或甲方要求提供</w:t>
      </w:r>
      <w:r>
        <w:rPr>
          <w:rFonts w:hint="eastAsia" w:ascii="宋体" w:hAnsi="宋体" w:eastAsia="宋体" w:cs="Times New Roman"/>
          <w:sz w:val="24"/>
          <w:szCs w:val="24"/>
          <w:highlight w:val="none"/>
        </w:rPr>
        <w:t xml:space="preserve">。 </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施工现场需要配备的试验设备：</w:t>
      </w:r>
      <w:r>
        <w:rPr>
          <w:rFonts w:hint="eastAsia" w:ascii="宋体" w:hAnsi="宋体" w:eastAsia="宋体" w:cs="Times New Roman"/>
          <w:sz w:val="24"/>
          <w:szCs w:val="24"/>
          <w:highlight w:val="none"/>
          <w:u w:val="single"/>
        </w:rPr>
        <w:t xml:space="preserve">按工程需要或甲方要求提供</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施工现场需要具备的其他试验条件：</w:t>
      </w:r>
      <w:r>
        <w:rPr>
          <w:rFonts w:hint="eastAsia" w:ascii="宋体" w:hAnsi="宋体" w:eastAsia="宋体" w:cs="Times New Roman"/>
          <w:sz w:val="24"/>
          <w:szCs w:val="24"/>
          <w:highlight w:val="none"/>
          <w:u w:val="single"/>
        </w:rPr>
        <w:t xml:space="preserve">按工程需要或甲方要求提供</w:t>
      </w:r>
      <w:r>
        <w:rPr>
          <w:rFonts w:hint="eastAsia" w:ascii="宋体" w:hAnsi="宋体" w:eastAsia="宋体" w:cs="Times New Roman"/>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9.4 现场工艺试验 </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现场工艺试验的有关约定：</w:t>
      </w:r>
      <w:r>
        <w:rPr>
          <w:rFonts w:hint="eastAsia" w:ascii="宋体" w:hAnsi="宋体" w:eastAsia="宋体" w:cs="Times New Roman"/>
          <w:sz w:val="24"/>
          <w:szCs w:val="24"/>
          <w:highlight w:val="none"/>
          <w:u w:val="single"/>
        </w:rPr>
        <w:t xml:space="preserve">按工程需要或甲方要求提供</w:t>
      </w:r>
      <w:r>
        <w:rPr>
          <w:rFonts w:hint="eastAsia" w:ascii="宋体" w:hAnsi="宋体" w:eastAsia="宋体" w:cs="Times New Roman"/>
          <w:sz w:val="24"/>
          <w:szCs w:val="24"/>
          <w:highlight w:val="none"/>
        </w:rPr>
        <w:t xml:space="preserve">。</w:t>
      </w:r>
      <w:bookmarkEnd w:id="935"/>
      <w:bookmarkEnd w:id="936"/>
      <w:bookmarkEnd w:id="937"/>
      <w:bookmarkEnd w:id="938"/>
      <w:bookmarkEnd w:id="939"/>
      <w:bookmarkEnd w:id="940"/>
      <w:bookmarkEnd w:id="941"/>
      <w:bookmarkEnd w:id="942"/>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943" w:name="_Toc351203642"/>
      <w:r>
        <w:rPr>
          <w:rFonts w:hint="eastAsia" w:ascii="宋体" w:hAnsi="宋体" w:eastAsia="黑体" w:cs="Times New Roman"/>
          <w:b w:val="0"/>
          <w:color w:val="000000"/>
          <w:sz w:val="24"/>
          <w:szCs w:val="24"/>
          <w:highlight w:val="none"/>
          <w:lang w:val="en-US" w:eastAsia="zh-CN" w:bidi="ar-SA"/>
        </w:rPr>
        <w:t xml:space="preserve">1</w:t>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Start w:id="944" w:name="_Toc297216199"/>
      <w:r/>
      <w:bookmarkStart w:id="945" w:name="_Toc292559398"/>
      <w:r/>
      <w:bookmarkStart w:id="946" w:name="_Toc296346694"/>
      <w:r/>
      <w:bookmarkStart w:id="947" w:name="_Toc296503193"/>
      <w:r/>
      <w:bookmarkStart w:id="948" w:name="_Toc296891233"/>
      <w:r/>
      <w:bookmarkStart w:id="949" w:name="_Toc303539146"/>
      <w:r/>
      <w:bookmarkStart w:id="950" w:name="_Toc296891021"/>
      <w:r/>
      <w:bookmarkStart w:id="951" w:name="_Toc297120493"/>
      <w:r/>
      <w:bookmarkStart w:id="952" w:name="_Toc300934989"/>
      <w:r/>
      <w:bookmarkStart w:id="953" w:name="_Toc304295566"/>
      <w:r/>
      <w:bookmarkStart w:id="954" w:name="_Toc296944532"/>
      <w:r/>
      <w:bookmarkStart w:id="955" w:name="_Toc297048379"/>
      <w:r/>
      <w:bookmarkStart w:id="956" w:name="_Toc296347192"/>
      <w:r/>
      <w:bookmarkStart w:id="957" w:name="_Toc297123540"/>
      <w:r/>
      <w:bookmarkStart w:id="958" w:name="_Toc292559903"/>
      <w:r/>
      <w:bookmarkStart w:id="959" w:name="_Toc312678025"/>
      <w:r/>
      <w:bookmarkStart w:id="960" w:name="_Toc312677499"/>
      <w:r/>
      <w:bookmarkStart w:id="961" w:name="_Toc267251440"/>
      <w:r/>
      <w:bookmarkStart w:id="962" w:name="_Toc267251439"/>
      <w:r/>
      <w:bookmarkStart w:id="963" w:name="_Toc267251433"/>
      <w:r/>
      <w:bookmarkStart w:id="964" w:name="_Toc267251435"/>
      <w:r/>
      <w:bookmarkStart w:id="965" w:name="_Toc267251437"/>
      <w:r/>
      <w:bookmarkStart w:id="966" w:name="_Toc267251441"/>
      <w:r/>
      <w:bookmarkStart w:id="967" w:name="_Toc267251442"/>
      <w:r>
        <w:rPr>
          <w:rFonts w:hint="eastAsia" w:ascii="宋体" w:hAnsi="宋体" w:eastAsia="黑体" w:cs="Times New Roman"/>
          <w:b w:val="0"/>
          <w:color w:val="000000"/>
          <w:sz w:val="24"/>
          <w:szCs w:val="24"/>
          <w:highlight w:val="none"/>
          <w:lang w:val="en-US" w:eastAsia="zh-CN" w:bidi="ar-SA"/>
        </w:rPr>
        <w:t xml:space="preserve">0. 变更</w:t>
      </w:r>
      <w:bookmarkEnd w:id="943"/>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bookmarkEnd w:id="960"/>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bookmarkStart w:id="968" w:name="_Toc297123541"/>
      <w:r/>
      <w:bookmarkStart w:id="969" w:name="_Toc292559399"/>
      <w:r/>
      <w:bookmarkStart w:id="970" w:name="_Toc292559904"/>
      <w:r/>
      <w:bookmarkStart w:id="971" w:name="_Toc312677500"/>
      <w:r/>
      <w:bookmarkStart w:id="972" w:name="_Toc312678026"/>
      <w:r/>
      <w:bookmarkStart w:id="973" w:name="_Toc296347193"/>
      <w:r/>
      <w:bookmarkStart w:id="974" w:name="_Toc296944533"/>
      <w:r/>
      <w:bookmarkStart w:id="975" w:name="_Toc296503194"/>
      <w:r/>
      <w:bookmarkStart w:id="976" w:name="_Toc296891022"/>
      <w:r/>
      <w:bookmarkStart w:id="977" w:name="_Toc304295567"/>
      <w:r/>
      <w:bookmarkStart w:id="978" w:name="_Toc303539147"/>
      <w:r/>
      <w:bookmarkStart w:id="979" w:name="_Toc297216200"/>
      <w:r/>
      <w:bookmarkStart w:id="980" w:name="_Toc297120494"/>
      <w:r/>
      <w:bookmarkStart w:id="981" w:name="_Toc300934990"/>
      <w:r/>
      <w:bookmarkStart w:id="982" w:name="_Toc296346695"/>
      <w:r/>
      <w:bookmarkStart w:id="983" w:name="_Toc297048380"/>
      <w:r/>
      <w:bookmarkStart w:id="984" w:name="_Toc296891234"/>
      <w:r>
        <w:rPr>
          <w:rFonts w:hint="eastAsia" w:ascii="宋体" w:hAnsi="宋体" w:eastAsia="宋体" w:cs="Times New Roman"/>
          <w:color w:val="000000"/>
          <w:sz w:val="24"/>
          <w:szCs w:val="24"/>
          <w:highlight w:val="none"/>
        </w:rPr>
        <w:t xml:space="preserve">0.1变更的范围</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关于变更的范围的约定：</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1）除发包人提出的变更外，均不得擅自变更，否则承包人承担一切责任。 </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承包人在施工中提出的合理化建议涉及到对设计图纸或施工组织设计的更改及对材料、设备的换用，须经监理工程师审查，并以书面形式报请发包人办理相关变更手续。未经批准擅自更改或换用时，承包人承担由此发生的费用，并赔偿发包人的有关损失，延误的工期不予顺延。 </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3）在合同履行中，若发包人要求对工程标底进行实质性的变更，由双方协商解决。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4）承包人不得以任何理由拒绝发包人提出的关于工程设计变更及其他零星工作施工的要求，否则将按相应工作内容造价的5%（并不少于5万元）/次向发包人支付违约金</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10.4 变更估价</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10.4.1 变更估价原则</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关于变更估价的约定：</w:t>
      </w:r>
      <w:r/>
    </w:p>
    <w:p>
      <w:pPr>
        <w:ind w:firstLine="480"/>
        <w:spacing w:line="360" w:lineRule="auto"/>
        <w:rPr>
          <w:rFonts w:hint="eastAsia" w:ascii="宋体" w:hAnsi="宋体" w:eastAsia="宋体" w:cs="Times New Roman"/>
          <w:color w:val="000000"/>
          <w:sz w:val="24"/>
          <w:szCs w:val="24"/>
          <w:highlight w:val="none"/>
          <w:u w:val="single"/>
          <w:lang w:eastAsia="zh-CN"/>
        </w:rPr>
      </w:pPr>
      <w:r>
        <w:rPr>
          <w:rFonts w:hint="eastAsia" w:ascii="宋体" w:hAnsi="宋体" w:eastAsia="宋体" w:cs="Times New Roman"/>
          <w:color w:val="000000"/>
          <w:sz w:val="24"/>
          <w:szCs w:val="24"/>
          <w:highlight w:val="none"/>
          <w:u w:val="single"/>
        </w:rPr>
        <w:t xml:space="preserve">因清单漏项(仅适用于合同协议书约定采用单价合同形式时)或变更引起发生变化，由承包人根据</w:t>
      </w:r>
      <w:r>
        <w:rPr>
          <w:rFonts w:hint="eastAsia" w:ascii="宋体" w:hAnsi="宋体" w:eastAsia="宋体" w:cs="Times New Roman"/>
          <w:color w:val="000000"/>
          <w:sz w:val="24"/>
          <w:szCs w:val="24"/>
          <w:highlight w:val="none"/>
          <w:u w:val="single"/>
          <w:lang w:val="en-US" w:eastAsia="zh-CN"/>
        </w:rPr>
        <w:t xml:space="preserve">工程</w:t>
      </w:r>
      <w:r>
        <w:rPr>
          <w:rFonts w:hint="eastAsia" w:ascii="宋体" w:hAnsi="宋体" w:eastAsia="宋体" w:cs="Times New Roman"/>
          <w:color w:val="000000"/>
          <w:sz w:val="24"/>
          <w:szCs w:val="24"/>
          <w:highlight w:val="none"/>
          <w:u w:val="single"/>
        </w:rPr>
        <w:t xml:space="preserve">变更情况，由监理人商定或确定变更的费用</w:t>
      </w:r>
      <w:r>
        <w:rPr>
          <w:rFonts w:hint="eastAsia" w:ascii="宋体" w:hAnsi="宋体" w:eastAsia="宋体" w:cs="Times New Roman"/>
          <w:color w:val="000000"/>
          <w:sz w:val="24"/>
          <w:szCs w:val="24"/>
          <w:highlight w:val="none"/>
          <w:u w:val="single"/>
          <w:lang w:eastAsia="zh-CN"/>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本工程因非承包人原因引起已标价清单中列明的工程量发生增减，且单个子目工程量变化幅度在10％以内(含)时，应执行已标价清单中列明的该子目的单价；单个子目工程量变化幅度在10％以外(不含)，且导致工程费总额变化幅度超过 0.1％时，由承包人提出并由监理人</w:t>
      </w:r>
      <w:r>
        <w:rPr>
          <w:rFonts w:hint="eastAsia" w:ascii="宋体" w:hAnsi="宋体" w:eastAsia="宋体" w:cs="Times New Roman"/>
          <w:color w:val="000000"/>
          <w:sz w:val="24"/>
          <w:szCs w:val="24"/>
          <w:highlight w:val="none"/>
          <w:u w:val="single"/>
          <w:lang w:eastAsia="zh-CN"/>
        </w:rPr>
        <w:t xml:space="preserve">、</w:t>
      </w:r>
      <w:r>
        <w:rPr>
          <w:rFonts w:hint="eastAsia" w:ascii="宋体" w:hAnsi="宋体" w:eastAsia="宋体" w:cs="Times New Roman"/>
          <w:color w:val="000000"/>
          <w:sz w:val="24"/>
          <w:szCs w:val="24"/>
          <w:highlight w:val="none"/>
          <w:u w:val="single"/>
          <w:lang w:val="en-US" w:eastAsia="zh-CN"/>
        </w:rPr>
        <w:t xml:space="preserve">审计单位</w:t>
      </w:r>
      <w:r>
        <w:rPr>
          <w:rFonts w:hint="eastAsia" w:ascii="宋体" w:hAnsi="宋体" w:eastAsia="宋体" w:cs="Times New Roman"/>
          <w:color w:val="000000"/>
          <w:sz w:val="24"/>
          <w:szCs w:val="24"/>
          <w:highlight w:val="none"/>
          <w:u w:val="single"/>
        </w:rPr>
        <w:t xml:space="preserve">按第4.1款商定或确定新的单价，该子目按修正后的新的单价计价。</w:t>
      </w:r>
      <w:r/>
    </w:p>
    <w:p>
      <w:pPr>
        <w:ind w:firstLine="480"/>
        <w:spacing w:line="360" w:lineRule="auto"/>
        <w:rPr>
          <w:rFonts w:hint="eastAsia" w:ascii="宋体" w:hAnsi="宋体" w:eastAsia="宋体" w:cs="Times New Roman"/>
          <w:color w:val="0000ff"/>
          <w:sz w:val="24"/>
          <w:szCs w:val="24"/>
          <w:highlight w:val="none"/>
          <w:u w:val="single"/>
        </w:rPr>
      </w:pPr>
      <w:r>
        <w:rPr>
          <w:rFonts w:hint="eastAsia" w:ascii="宋体" w:hAnsi="宋体" w:eastAsia="宋体" w:cs="Times New Roman"/>
          <w:color w:val="000000"/>
          <w:sz w:val="24"/>
          <w:szCs w:val="24"/>
          <w:highlight w:val="none"/>
          <w:u w:val="single"/>
        </w:rPr>
        <w:t xml:space="preserve">当设计变更项目无法参照投标报价相同或相近单价时，可以按标底编制时参照的相关定额、费用定额及规范进行重新组价，但必须同比例优惠，结算价=新组价价格*承包人投标价格/标底价格</w:t>
      </w:r>
      <w:r>
        <w:rPr>
          <w:rFonts w:hint="eastAsia" w:ascii="宋体" w:hAnsi="宋体" w:eastAsia="宋体" w:cs="Times New Roman"/>
          <w:color w:val="0000ff"/>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bookmarkStart w:id="985" w:name="_Toc296503197"/>
      <w:r/>
      <w:bookmarkStart w:id="986" w:name="_Toc296891237"/>
      <w:r/>
      <w:bookmarkStart w:id="987" w:name="_Toc296944536"/>
      <w:r/>
      <w:bookmarkStart w:id="988" w:name="_Toc297120497"/>
      <w:r/>
      <w:bookmarkStart w:id="989" w:name="_Toc296346698"/>
      <w:r/>
      <w:bookmarkStart w:id="990" w:name="_Toc296347196"/>
      <w:r/>
      <w:bookmarkStart w:id="991" w:name="_Toc297123544"/>
      <w:r/>
      <w:bookmarkStart w:id="992" w:name="_Toc296891025"/>
      <w:r/>
      <w:bookmarkStart w:id="993" w:name="_Toc297216203"/>
      <w:r/>
      <w:bookmarkStart w:id="994" w:name="_Toc303539150"/>
      <w:r/>
      <w:bookmarkStart w:id="995" w:name="_Toc300934993"/>
      <w:r/>
      <w:bookmarkStart w:id="996" w:name="_Toc297048383"/>
      <w:r/>
      <w:bookmarkStart w:id="997" w:name="_Toc292559402"/>
      <w:r/>
      <w:bookmarkStart w:id="998" w:name="_Toc292559907"/>
      <w:r/>
      <w:bookmarkStart w:id="999" w:name="_Toc304295570"/>
      <w:r/>
      <w:bookmarkStart w:id="1000" w:name="_Toc312677503"/>
      <w:r/>
      <w:bookmarkStart w:id="1001" w:name="_Toc312678029"/>
      <w:r>
        <w:rPr>
          <w:rFonts w:hint="eastAsia" w:ascii="宋体" w:hAnsi="宋体" w:eastAsia="宋体" w:cs="Times New Roman"/>
          <w:color w:val="000000"/>
          <w:sz w:val="24"/>
          <w:szCs w:val="24"/>
          <w:highlight w:val="none"/>
        </w:rPr>
        <w:t xml:space="preserve">0.5承</w:t>
      </w:r>
      <w:bookmarkEnd w:id="985"/>
      <w:r/>
      <w:bookmarkEnd w:id="986"/>
      <w:r/>
      <w:bookmarkEnd w:id="987"/>
      <w:r/>
      <w:bookmarkEnd w:id="988"/>
      <w:r/>
      <w:bookmarkEnd w:id="989"/>
      <w:r/>
      <w:bookmarkEnd w:id="990"/>
      <w:r/>
      <w:bookmarkEnd w:id="991"/>
      <w:r/>
      <w:bookmarkEnd w:id="992"/>
      <w:r/>
      <w:bookmarkEnd w:id="993"/>
      <w:r/>
      <w:bookmarkEnd w:id="994"/>
      <w:r/>
      <w:bookmarkEnd w:id="995"/>
      <w:r/>
      <w:bookmarkEnd w:id="996"/>
      <w:r/>
      <w:bookmarkEnd w:id="997"/>
      <w:r/>
      <w:bookmarkEnd w:id="998"/>
      <w:r/>
      <w:bookmarkStart w:id="1002" w:name="_Toc300934994"/>
      <w:r/>
      <w:bookmarkStart w:id="1003" w:name="_Toc296891031"/>
      <w:r/>
      <w:bookmarkStart w:id="1004" w:name="_Toc292559408"/>
      <w:r/>
      <w:bookmarkStart w:id="1005" w:name="_Toc297216204"/>
      <w:r/>
      <w:bookmarkStart w:id="1006" w:name="_Toc303539151"/>
      <w:r/>
      <w:bookmarkStart w:id="1007" w:name="_Toc297123545"/>
      <w:r/>
      <w:bookmarkStart w:id="1008" w:name="_Toc296347202"/>
      <w:r/>
      <w:bookmarkStart w:id="1009" w:name="_Toc297048389"/>
      <w:r/>
      <w:bookmarkStart w:id="1010" w:name="_Toc296503203"/>
      <w:r/>
      <w:bookmarkStart w:id="1011" w:name="_Toc296944542"/>
      <w:r/>
      <w:bookmarkStart w:id="1012" w:name="_Toc296346704"/>
      <w:r/>
      <w:bookmarkStart w:id="1013" w:name="_Toc297120503"/>
      <w:r/>
      <w:bookmarkStart w:id="1014" w:name="_Toc292559913"/>
      <w:r/>
      <w:bookmarkStart w:id="1015" w:name="_Toc296891243"/>
      <w:r>
        <w:rPr>
          <w:rFonts w:hint="eastAsia" w:ascii="宋体" w:hAnsi="宋体" w:eastAsia="宋体" w:cs="Times New Roman"/>
          <w:color w:val="000000"/>
          <w:sz w:val="24"/>
          <w:szCs w:val="24"/>
          <w:highlight w:val="none"/>
        </w:rPr>
        <w:t xml:space="preserve">包人的合理化建议</w:t>
      </w:r>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监理人审查承包人合理化建议的期限：</w:t>
      </w:r>
      <w:r>
        <w:rPr>
          <w:rFonts w:hint="eastAsia" w:ascii="宋体" w:hAnsi="宋体" w:eastAsia="宋体" w:cs="Times New Roman"/>
          <w:sz w:val="24"/>
          <w:szCs w:val="24"/>
          <w:highlight w:val="none"/>
          <w:u w:val="single"/>
        </w:rPr>
        <w:t xml:space="preserve">在收到合理化建议后的2天以书面形式予以明确答复</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发包人审批承包人合理化建议的期限：</w:t>
      </w:r>
      <w:r>
        <w:rPr>
          <w:rFonts w:hint="eastAsia" w:ascii="宋体" w:hAnsi="宋体" w:eastAsia="宋体" w:cs="Times New Roman"/>
          <w:sz w:val="24"/>
          <w:szCs w:val="24"/>
          <w:highlight w:val="none"/>
          <w:u w:val="single"/>
        </w:rPr>
        <w:t xml:space="preserve">在收到合理化建议后的2天以书面形式予以明确答复</w:t>
      </w:r>
      <w:r>
        <w:rPr>
          <w:rFonts w:hint="eastAsia" w:ascii="宋体" w:hAnsi="宋体" w:eastAsia="宋体" w:cs="Times New Roman"/>
          <w:sz w:val="24"/>
          <w:szCs w:val="24"/>
          <w:highlight w:val="none"/>
        </w:rPr>
        <w:t xml:space="preserve">。</w:t>
      </w:r>
      <w:r/>
    </w:p>
    <w:p>
      <w:pPr>
        <w:ind w:firstLine="480"/>
        <w:spacing w:line="360" w:lineRule="auto"/>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承</w:t>
      </w:r>
      <w:bookmarkStart w:id="1016" w:name="_Toc296944543"/>
      <w:r/>
      <w:bookmarkStart w:id="1017" w:name="_Toc304295571"/>
      <w:r/>
      <w:bookmarkStart w:id="1018" w:name="_Toc300934995"/>
      <w:r/>
      <w:bookmarkStart w:id="1019" w:name="_Toc297123546"/>
      <w:r/>
      <w:bookmarkStart w:id="1020" w:name="_Toc296503204"/>
      <w:r/>
      <w:bookmarkStart w:id="1021" w:name="_Toc297048390"/>
      <w:r/>
      <w:bookmarkStart w:id="1022" w:name="_Toc312677504"/>
      <w:r/>
      <w:bookmarkStart w:id="1023" w:name="_Toc296891244"/>
      <w:r/>
      <w:bookmarkStart w:id="1024" w:name="_Toc297216205"/>
      <w:r/>
      <w:bookmarkStart w:id="1025" w:name="_Toc296891032"/>
      <w:r/>
      <w:bookmarkStart w:id="1026" w:name="_Toc292559914"/>
      <w:r/>
      <w:bookmarkStart w:id="1027" w:name="_Toc296347203"/>
      <w:r/>
      <w:bookmarkStart w:id="1028" w:name="_Toc292559409"/>
      <w:r/>
      <w:bookmarkStart w:id="1029" w:name="_Toc303539152"/>
      <w:r/>
      <w:bookmarkStart w:id="1030" w:name="_Toc318581175"/>
      <w:r/>
      <w:bookmarkStart w:id="1031" w:name="_Toc296346705"/>
      <w:r/>
      <w:bookmarkStart w:id="1032" w:name="_Toc297120504"/>
      <w:r/>
      <w:bookmarkStart w:id="1033" w:name="_Toc312678030"/>
      <w:r>
        <w:rPr>
          <w:rFonts w:hint="eastAsia" w:ascii="宋体" w:hAnsi="宋体" w:eastAsia="宋体" w:cs="Times New Roman"/>
          <w:sz w:val="24"/>
          <w:szCs w:val="24"/>
          <w:highlight w:val="none"/>
        </w:rPr>
        <w:t xml:space="preserve">包人提出的合理化建议降低了合同价格或者提高了工程经济效益的奖励的方法和金额为：</w:t>
      </w:r>
      <w:r>
        <w:rPr>
          <w:rFonts w:hint="eastAsia" w:ascii="宋体" w:hAnsi="宋体" w:eastAsia="宋体" w:cs="Times New Roman"/>
          <w:sz w:val="24"/>
          <w:szCs w:val="24"/>
          <w:highlight w:val="none"/>
          <w:u w:val="single"/>
        </w:rPr>
        <w:t xml:space="preserve">另行商定</w:t>
      </w:r>
      <w:r>
        <w:rPr>
          <w:rFonts w:hint="eastAsia" w:ascii="宋体" w:hAnsi="宋体" w:eastAsia="宋体" w:cs="Times New Roman"/>
          <w:sz w:val="24"/>
          <w:szCs w:val="24"/>
          <w:highlight w:val="none"/>
        </w:rPr>
        <w:t xml:space="preserve">。</w:t>
      </w:r>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w:t>
      </w:r>
      <w:bookmarkStart w:id="1034" w:name="_Toc292559909"/>
      <w:r/>
      <w:bookmarkStart w:id="1035" w:name="_Toc296347198"/>
      <w:r/>
      <w:bookmarkStart w:id="1036" w:name="_Toc296944538"/>
      <w:r/>
      <w:bookmarkStart w:id="1037" w:name="_Toc296503199"/>
      <w:r/>
      <w:bookmarkStart w:id="1038" w:name="_Toc304295574"/>
      <w:r/>
      <w:bookmarkStart w:id="1039" w:name="_Toc296346700"/>
      <w:r/>
      <w:bookmarkStart w:id="1040" w:name="_Toc297123548"/>
      <w:r/>
      <w:bookmarkStart w:id="1041" w:name="_Toc312677507"/>
      <w:r/>
      <w:bookmarkStart w:id="1042" w:name="_Toc297120499"/>
      <w:r/>
      <w:bookmarkStart w:id="1043" w:name="_Toc297048385"/>
      <w:r/>
      <w:bookmarkStart w:id="1044" w:name="_Toc296891027"/>
      <w:r/>
      <w:bookmarkStart w:id="1045" w:name="_Toc296891239"/>
      <w:r/>
      <w:bookmarkStart w:id="1046" w:name="_Toc303539154"/>
      <w:r/>
      <w:bookmarkStart w:id="1047" w:name="_Toc292559404"/>
      <w:r/>
      <w:bookmarkStart w:id="1048" w:name="_Toc312678033"/>
      <w:r/>
      <w:bookmarkStart w:id="1049" w:name="_Toc300934997"/>
      <w:r/>
      <w:bookmarkStart w:id="1050" w:name="_Toc297216207"/>
      <w:r>
        <w:rPr>
          <w:rFonts w:hint="eastAsia" w:ascii="宋体" w:hAnsi="宋体" w:eastAsia="宋体" w:cs="Times New Roman"/>
          <w:color w:val="000000"/>
          <w:sz w:val="24"/>
          <w:szCs w:val="24"/>
          <w:highlight w:val="none"/>
        </w:rPr>
        <w:t xml:space="preserve">0.7 暂估价</w:t>
      </w:r>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暂</w:t>
      </w:r>
      <w:bookmarkStart w:id="1051" w:name="_Toc312678034"/>
      <w:r/>
      <w:bookmarkStart w:id="1052" w:name="_Toc312677508"/>
      <w:r/>
      <w:bookmarkStart w:id="1053" w:name="_Toc318581176"/>
      <w:r>
        <w:rPr>
          <w:rFonts w:hint="eastAsia" w:ascii="宋体" w:hAnsi="宋体" w:eastAsia="宋体" w:cs="Times New Roman"/>
          <w:sz w:val="24"/>
          <w:szCs w:val="24"/>
          <w:highlight w:val="none"/>
        </w:rPr>
        <w:t xml:space="preserve">估价材料和工程设备的明细详见附件11：《</w:t>
      </w:r>
      <w:r>
        <w:rPr>
          <w:rFonts w:hint="eastAsia" w:ascii="宋体" w:hAnsi="宋体" w:eastAsia="宋体" w:cs="Times New Roman"/>
          <w:color w:val="000000"/>
          <w:sz w:val="24"/>
          <w:szCs w:val="24"/>
          <w:highlight w:val="none"/>
        </w:rPr>
        <w:t xml:space="preserve">暂估价一览表》</w:t>
      </w:r>
      <w:r>
        <w:rPr>
          <w:rFonts w:hint="eastAsia" w:ascii="宋体" w:hAnsi="宋体" w:eastAsia="宋体" w:cs="Times New Roman"/>
          <w:sz w:val="24"/>
          <w:szCs w:val="24"/>
          <w:highlight w:val="none"/>
        </w:rPr>
        <w:t xml:space="preserve">。</w:t>
      </w:r>
      <w:bookmarkEnd w:id="1051"/>
      <w:bookmarkEnd w:id="1052"/>
      <w:bookmarkEnd w:id="1053"/>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bookmarkStart w:id="1054" w:name="_Toc318581177"/>
      <w:r/>
      <w:bookmarkStart w:id="1055" w:name="_Toc312677509"/>
      <w:r/>
      <w:bookmarkStart w:id="1056" w:name="_Toc312678035"/>
      <w:r>
        <w:rPr>
          <w:rFonts w:hint="eastAsia" w:ascii="宋体" w:hAnsi="宋体" w:eastAsia="宋体" w:cs="Times New Roman"/>
          <w:sz w:val="24"/>
          <w:szCs w:val="24"/>
          <w:highlight w:val="none"/>
        </w:rPr>
        <w:t xml:space="preserve">0.7.1 依法必须招标的暂估价项目</w:t>
      </w:r>
      <w:bookmarkEnd w:id="1054"/>
      <w:bookmarkEnd w:id="1055"/>
      <w:bookmarkEnd w:id="1056"/>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对于依法必须招标的暂估价项目的确认和批准采取第</w:t>
      </w:r>
      <w:r>
        <w:rPr>
          <w:rFonts w:hint="eastAsia"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rPr>
        <w:t xml:space="preserve">种方式确定。</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10.7.2 不属于依法必须招标的暂估价项目</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对于不属于依法必须招标的暂估价项目的确认和批准采取第</w:t>
      </w:r>
      <w:r>
        <w:rPr>
          <w:rFonts w:hint="eastAsia"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rPr>
        <w:t xml:space="preserve">种方式确定。</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第3种方式：承包人直接实施的暂估价项目</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承包人直接实施的暂估价项目的约定：</w:t>
      </w:r>
      <w:r>
        <w:rPr>
          <w:rFonts w:hint="eastAsia"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10.8 暂列金额</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合同当事人关于暂列金额使用的约定：</w:t>
      </w:r>
      <w:r>
        <w:rPr>
          <w:rFonts w:hint="eastAsia" w:ascii="宋体" w:hAnsi="宋体" w:eastAsia="宋体" w:cs="Times New Roman"/>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057" w:name="_Toc351203643"/>
      <w:r>
        <w:rPr>
          <w:rFonts w:hint="eastAsia" w:ascii="宋体" w:hAnsi="宋体" w:eastAsia="黑体" w:cs="Times New Roman"/>
          <w:b w:val="0"/>
          <w:color w:val="000000"/>
          <w:sz w:val="24"/>
          <w:szCs w:val="24"/>
          <w:highlight w:val="none"/>
          <w:lang w:val="en-US" w:eastAsia="zh-CN" w:bidi="ar-SA"/>
        </w:rPr>
        <w:t xml:space="preserve">11. 价格调整</w:t>
      </w:r>
      <w:bookmarkEnd w:id="1057"/>
      <w:r/>
      <w:r/>
    </w:p>
    <w:p>
      <w:pPr>
        <w:ind w:firstLine="480"/>
        <w:spacing w:after="120" w:line="360" w:lineRule="auto"/>
        <w:rPr>
          <w:rFonts w:hint="eastAsia" w:ascii="宋体" w:hAnsi="宋体" w:eastAsia="宋体" w:cs="Times New Roman"/>
          <w:color w:val="auto"/>
          <w:sz w:val="24"/>
          <w:szCs w:val="24"/>
          <w:highlight w:val="none"/>
        </w:rPr>
      </w:pPr>
      <w:r/>
      <w:bookmarkStart w:id="1058" w:name="_Toc297120501"/>
      <w:r/>
      <w:bookmarkStart w:id="1059" w:name="_Toc292559911"/>
      <w:r/>
      <w:bookmarkStart w:id="1060" w:name="_Toc296347200"/>
      <w:r/>
      <w:bookmarkStart w:id="1061" w:name="_Toc297216209"/>
      <w:r/>
      <w:bookmarkStart w:id="1062" w:name="_Toc297048387"/>
      <w:r/>
      <w:bookmarkStart w:id="1063" w:name="_Toc304295577"/>
      <w:r/>
      <w:bookmarkStart w:id="1064" w:name="_Toc297123550"/>
      <w:r/>
      <w:bookmarkStart w:id="1065" w:name="_Toc292559406"/>
      <w:r/>
      <w:bookmarkStart w:id="1066" w:name="_Toc296891029"/>
      <w:r/>
      <w:bookmarkStart w:id="1067" w:name="_Toc300935000"/>
      <w:r/>
      <w:bookmarkStart w:id="1068" w:name="_Toc296944540"/>
      <w:r/>
      <w:bookmarkStart w:id="1069" w:name="_Toc296346702"/>
      <w:r/>
      <w:bookmarkStart w:id="1070" w:name="_Toc296503201"/>
      <w:r/>
      <w:bookmarkStart w:id="1071" w:name="_Toc312678039"/>
      <w:r/>
      <w:bookmarkStart w:id="1072" w:name="_Toc303539157"/>
      <w:r/>
      <w:bookmarkStart w:id="1073" w:name="_Toc296891241"/>
      <w:r>
        <w:rPr>
          <w:rFonts w:hint="eastAsia" w:ascii="宋体" w:hAnsi="宋体" w:eastAsia="宋体" w:cs="Times New Roman"/>
          <w:color w:val="000000"/>
          <w:sz w:val="24"/>
          <w:szCs w:val="24"/>
          <w:highlight w:val="none"/>
        </w:rPr>
        <w:t xml:space="preserve">11.1 市场价格波动引起的调整</w:t>
      </w:r>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市场价格波动是否调整合同价格的约定：</w:t>
      </w:r>
      <w:r>
        <w:rPr>
          <w:rFonts w:hint="eastAsia" w:ascii="宋体" w:hAnsi="宋体" w:cs="Times New Roman"/>
          <w:color w:val="auto"/>
          <w:sz w:val="24"/>
          <w:szCs w:val="24"/>
          <w:highlight w:val="none"/>
          <w:u w:val="single"/>
          <w:lang w:eastAsia="zh-CN"/>
        </w:rPr>
        <w:t xml:space="preserve">不调整</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因市场价格波动调整合同价格，采用以下第</w:t>
      </w:r>
      <w:r>
        <w:rPr>
          <w:rFonts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3</w:t>
      </w:r>
      <w:r>
        <w:rPr>
          <w:rFonts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种方式对合同价格进行调整：</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第1种方式：采用价格指数进行价格调整。</w:t>
      </w:r>
      <w:r/>
    </w:p>
    <w:p>
      <w:pPr>
        <w:ind w:firstLine="48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关于各可调因子、定值和变值权重，以及基本价格指数及其来源的约定：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第2种方式：采用造价信息进行价格调整。</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（2）关于基准价格的约定：</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专用合同条款</w:t>
      </w:r>
      <w:r>
        <w:rPr>
          <w:rFonts w:hint="eastAsia" w:ascii="宋体" w:hAnsi="宋体" w:eastAsia="宋体" w:cs="宋体"/>
          <w:color w:val="auto"/>
          <w:sz w:val="24"/>
          <w:szCs w:val="24"/>
          <w:highlight w:val="none"/>
        </w:rPr>
        <w:t xml:space="preserve">①</w:t>
      </w:r>
      <w:r>
        <w:rPr>
          <w:rFonts w:hint="eastAsia" w:ascii="宋体" w:hAnsi="宋体" w:eastAsia="宋体" w:cs="Times New Roman"/>
          <w:color w:val="auto"/>
          <w:sz w:val="24"/>
          <w:szCs w:val="24"/>
          <w:highlight w:val="none"/>
        </w:rPr>
        <w:t xml:space="preserve">承包人在已标价清单或预算书中载明的材料单价低于基准价格的：专用合同条款合同履行期间材料单价涨幅以基准价格为基础超过</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%时，或材料单价跌幅以已标价清单或预算书中载明材料单价为基础超过</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%时，其超过部分据实调整。</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Times New Roman"/>
          <w:color w:val="auto"/>
          <w:sz w:val="24"/>
          <w:szCs w:val="24"/>
          <w:highlight w:val="none"/>
        </w:rPr>
        <w:t xml:space="preserve">承包人在已标价清单或预算书中载明的材料单价高于基准价格的：专用合同条款合同履行期间材料单价跌幅以基准价格为基础超过</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%时，材料单价涨幅以已标价清单或预算书中载明材料单价为基础超过</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%时，其超过部分据实调整。</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Times New Roman"/>
          <w:color w:val="auto"/>
          <w:sz w:val="24"/>
          <w:szCs w:val="24"/>
          <w:highlight w:val="none"/>
        </w:rPr>
        <w:t xml:space="preserve">承包人在已标价清单或预算书中载明的材料单价等于基准单价的：专用合同条款合同履行期间材料单价涨跌幅以基准单价为基础超过±</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%时，其超过部分据实调整。</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第3种方式：</w:t>
      </w:r>
      <w:r>
        <w:rPr>
          <w:rFonts w:hint="eastAsia" w:ascii="宋体" w:hAnsi="宋体" w:cs="Times New Roman"/>
          <w:color w:val="auto"/>
          <w:sz w:val="24"/>
          <w:szCs w:val="24"/>
          <w:highlight w:val="none"/>
          <w:lang w:val="en-US" w:eastAsia="zh-CN"/>
        </w:rPr>
        <w:t xml:space="preserve">其他价格调整方式：施工期间材料价格涨跌调整按常建[2014]279号及相关文件进行调整。</w:t>
      </w:r>
      <w:bookmarkEnd w:id="961"/>
      <w:bookmarkEnd w:id="962"/>
      <w:bookmarkEnd w:id="963"/>
      <w:bookmarkEnd w:id="964"/>
      <w:bookmarkEnd w:id="965"/>
      <w:bookmarkEnd w:id="966"/>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074" w:name="_Toc292559915"/>
      <w:r/>
      <w:bookmarkStart w:id="1075" w:name="_Toc296347204"/>
      <w:r/>
      <w:bookmarkStart w:id="1076" w:name="_Toc297048391"/>
      <w:r/>
      <w:bookmarkStart w:id="1077" w:name="_Toc292559410"/>
      <w:r/>
      <w:bookmarkStart w:id="1078" w:name="_Toc296891033"/>
      <w:r/>
      <w:bookmarkStart w:id="1079" w:name="_Toc296503205"/>
      <w:r/>
      <w:bookmarkStart w:id="1080" w:name="_Toc296891245"/>
      <w:r/>
      <w:bookmarkStart w:id="1081" w:name="_Toc296944544"/>
      <w:r/>
      <w:bookmarkStart w:id="1082" w:name="_Toc296346706"/>
      <w:r/>
      <w:bookmarkStart w:id="1083" w:name="_Toc297120505"/>
      <w:r/>
      <w:bookmarkStart w:id="1084" w:name="_Toc351203644"/>
      <w:r/>
      <w:bookmarkStart w:id="1085" w:name="_Toc297123552"/>
      <w:r/>
      <w:bookmarkStart w:id="1086" w:name="_Toc300935002"/>
      <w:r/>
      <w:bookmarkStart w:id="1087" w:name="_Toc297216211"/>
      <w:r/>
      <w:bookmarkStart w:id="1088" w:name="_Toc312678040"/>
      <w:r/>
      <w:bookmarkStart w:id="1089" w:name="_Toc304295579"/>
      <w:r/>
      <w:bookmarkStart w:id="1090" w:name="_Toc303539159"/>
      <w:r>
        <w:rPr>
          <w:rFonts w:hint="eastAsia" w:ascii="宋体" w:hAnsi="宋体" w:eastAsia="黑体" w:cs="Times New Roman"/>
          <w:b w:val="0"/>
          <w:color w:val="000000"/>
          <w:sz w:val="24"/>
          <w:szCs w:val="24"/>
          <w:highlight w:val="none"/>
          <w:lang w:val="en-US" w:eastAsia="zh-CN" w:bidi="ar-SA"/>
        </w:rPr>
        <w:t xml:space="preserve">12. </w:t>
      </w:r>
      <w:bookmarkEnd w:id="1074"/>
      <w:r/>
      <w:bookmarkEnd w:id="1075"/>
      <w:r/>
      <w:bookmarkEnd w:id="1076"/>
      <w:r/>
      <w:bookmarkEnd w:id="1077"/>
      <w:r/>
      <w:bookmarkEnd w:id="1078"/>
      <w:r/>
      <w:bookmarkEnd w:id="1079"/>
      <w:r/>
      <w:bookmarkEnd w:id="1080"/>
      <w:r/>
      <w:bookmarkEnd w:id="1081"/>
      <w:r/>
      <w:bookmarkEnd w:id="1082"/>
      <w:r/>
      <w:bookmarkEnd w:id="1083"/>
      <w:r>
        <w:rPr>
          <w:rFonts w:hint="eastAsia" w:ascii="宋体" w:hAnsi="宋体" w:eastAsia="黑体" w:cs="Times New Roman"/>
          <w:b w:val="0"/>
          <w:color w:val="000000"/>
          <w:sz w:val="24"/>
          <w:szCs w:val="24"/>
          <w:highlight w:val="none"/>
          <w:lang w:val="en-US" w:eastAsia="zh-CN" w:bidi="ar-SA"/>
        </w:rPr>
        <w:t xml:space="preserve">合同价格、计量与支付</w:t>
      </w:r>
      <w:bookmarkEnd w:id="1084"/>
      <w:r/>
      <w:bookmarkEnd w:id="1085"/>
      <w:bookmarkEnd w:id="1086"/>
      <w:bookmarkEnd w:id="1087"/>
      <w:bookmarkEnd w:id="1088"/>
      <w:bookmarkEnd w:id="1089"/>
      <w:bookmarkEnd w:id="1090"/>
      <w:r/>
    </w:p>
    <w:p>
      <w:pPr>
        <w:ind w:firstLine="480"/>
        <w:spacing w:after="120" w:line="360" w:lineRule="auto"/>
        <w:rPr>
          <w:rFonts w:hint="eastAsia" w:ascii="宋体" w:hAnsi="宋体" w:eastAsia="宋体" w:cs="Times New Roman"/>
          <w:color w:val="000000"/>
          <w:sz w:val="24"/>
          <w:szCs w:val="24"/>
          <w:highlight w:val="none"/>
        </w:rPr>
      </w:pPr>
      <w:r/>
      <w:bookmarkStart w:id="1091" w:name="_Toc267251461"/>
      <w:r/>
      <w:bookmarkStart w:id="1092" w:name="_Toc292559411"/>
      <w:r/>
      <w:bookmarkStart w:id="1093" w:name="_Toc292559916"/>
      <w:r/>
      <w:bookmarkStart w:id="1094" w:name="_Toc296347205"/>
      <w:r/>
      <w:bookmarkStart w:id="1095" w:name="_Toc296944545"/>
      <w:r/>
      <w:bookmarkStart w:id="1096" w:name="_Toc296891246"/>
      <w:r/>
      <w:bookmarkStart w:id="1097" w:name="_Toc297120506"/>
      <w:r/>
      <w:bookmarkStart w:id="1098" w:name="_Toc296346707"/>
      <w:r/>
      <w:bookmarkStart w:id="1099" w:name="_Toc296891034"/>
      <w:r/>
      <w:bookmarkStart w:id="1100" w:name="_Toc297048392"/>
      <w:r/>
      <w:bookmarkStart w:id="1101" w:name="_Toc296503206"/>
      <w:r/>
      <w:bookmarkStart w:id="1102" w:name="_Toc297216212"/>
      <w:r/>
      <w:bookmarkStart w:id="1103" w:name="_Toc312678041"/>
      <w:r/>
      <w:bookmarkStart w:id="1104" w:name="_Toc297123553"/>
      <w:r/>
      <w:bookmarkStart w:id="1105" w:name="_Toc304295580"/>
      <w:r/>
      <w:bookmarkStart w:id="1106" w:name="_Toc300935003"/>
      <w:r/>
      <w:bookmarkStart w:id="1107" w:name="_Toc303539160"/>
      <w:r>
        <w:rPr>
          <w:rFonts w:hint="eastAsia" w:ascii="宋体" w:hAnsi="宋体" w:eastAsia="宋体" w:cs="Times New Roman"/>
          <w:color w:val="000000"/>
          <w:sz w:val="24"/>
          <w:szCs w:val="24"/>
          <w:highlight w:val="none"/>
        </w:rPr>
        <w:t xml:space="preserve">12.1 合</w:t>
      </w:r>
      <w:bookmarkEnd w:id="1091"/>
      <w:r/>
      <w:bookmarkEnd w:id="1092"/>
      <w:r/>
      <w:bookmarkEnd w:id="1093"/>
      <w:r>
        <w:rPr>
          <w:rFonts w:hint="eastAsia" w:ascii="宋体" w:hAnsi="宋体" w:eastAsia="宋体" w:cs="Times New Roman"/>
          <w:color w:val="000000"/>
          <w:sz w:val="24"/>
          <w:szCs w:val="24"/>
          <w:highlight w:val="none"/>
        </w:rPr>
        <w:t xml:space="preserve">同价</w:t>
      </w:r>
      <w:bookmarkEnd w:id="1094"/>
      <w:r/>
      <w:bookmarkEnd w:id="1095"/>
      <w:r/>
      <w:bookmarkEnd w:id="1096"/>
      <w:r/>
      <w:bookmarkEnd w:id="1097"/>
      <w:r/>
      <w:bookmarkEnd w:id="1098"/>
      <w:r/>
      <w:bookmarkEnd w:id="1099"/>
      <w:r/>
      <w:bookmarkEnd w:id="1100"/>
      <w:r/>
      <w:bookmarkEnd w:id="1101"/>
      <w:r>
        <w:rPr>
          <w:rFonts w:hint="eastAsia" w:ascii="宋体" w:hAnsi="宋体" w:eastAsia="宋体" w:cs="Times New Roman"/>
          <w:color w:val="000000"/>
          <w:sz w:val="24"/>
          <w:szCs w:val="24"/>
          <w:highlight w:val="none"/>
        </w:rPr>
        <w:t xml:space="preserve">格形式</w:t>
      </w:r>
      <w:bookmarkEnd w:id="1102"/>
      <w:bookmarkEnd w:id="1103"/>
      <w:bookmarkEnd w:id="1104"/>
      <w:bookmarkEnd w:id="1105"/>
      <w:bookmarkEnd w:id="1106"/>
      <w:bookmarkEnd w:id="1107"/>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1、单价合同。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综合单价包含的风险范围：</w:t>
      </w:r>
      <w:r>
        <w:rPr>
          <w:rFonts w:hint="eastAsia" w:ascii="宋体" w:hAnsi="宋体" w:eastAsia="宋体" w:cs="Times New Roman"/>
          <w:color w:val="000000"/>
          <w:sz w:val="24"/>
          <w:szCs w:val="24"/>
          <w:highlight w:val="none"/>
          <w:u w:val="single"/>
        </w:rPr>
        <w:t xml:space="preserve">除下列条款中风险范围以外的内容可调整外，其余不可调整</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风险费用的计算方法：</w:t>
      </w:r>
      <w:r>
        <w:rPr>
          <w:rFonts w:hint="eastAsia" w:ascii="宋体" w:hAnsi="宋体" w:eastAsia="宋体" w:cs="Times New Roman"/>
          <w:color w:val="000000"/>
          <w:sz w:val="24"/>
          <w:szCs w:val="24"/>
          <w:highlight w:val="none"/>
          <w:u w:val="single"/>
        </w:rPr>
        <w:t xml:space="preserve">综合考虑在投标综合单价内，在合同约定风险范围内不作调整。</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本合同价款采用固定价格合同(固定单价合同)方式确定。固定单价合同在合同约定的风险范围内不可调整。清单中的综合单价和其中以总额报价的项目今后不作调整。业主出具的设计变更内容和政策性调整除外。</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2）合同价款中包括的风险范围：除下列条款中风险范围以外的内容可调整外，其余不可调整。</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3）风险费用的计算方法：综合考虑在投标综合单价内，在合同约定风险范围内不作调整。</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4）风险范围以外的内容：</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（1）工程量； </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（2）设计变更引起的工程量变化或直接造成的费用增加；</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①指更改有关部分的标高、基线、位置和尺寸；</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②增减合同中的约定的工程量；</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③改变有关工程的施工时间和顺序；</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④其它有关工程变更需要的附加工作。</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（3）发包人要求的承包范围以外的附加工程量；</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（4）甲方提出对乙供部分材料进行更改，引起的价差；</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（5）暂列金额及暂估价；</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（6）政策性调整费用（包括新的验收标准、新的收费项目、调整税率及增加税种、各收费项目的调整等）。</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（7）发包人确认的其它费用</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风险范围以外合同价格的调整方法：</w:t>
      </w:r>
      <w:r>
        <w:rPr>
          <w:rFonts w:hint="eastAsia" w:ascii="宋体" w:hAnsi="宋体" w:eastAsia="宋体" w:cs="Times New Roman"/>
          <w:color w:val="000000"/>
          <w:sz w:val="24"/>
          <w:szCs w:val="24"/>
          <w:highlight w:val="none"/>
          <w:u w:val="single"/>
        </w:rPr>
        <w:t xml:space="preserve">（1）工程量由监理工程师及业主代表现场按实计量，并经过程审计部门审核的数量为结算依据。</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（2）政策性调整费用按：实际施工期间与投标时的政策规定调整差额。</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（3）其他涉及设计变更及发包人要求的承包范围以外的附加工程量按以下办法结算：</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①工程量由监理工程师及业主代表现场按实计量，并经过程审计部门审核的数量为结算依据。</w:t>
      </w:r>
      <w:r/>
    </w:p>
    <w:p>
      <w:pPr>
        <w:ind w:firstLine="48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color w:val="000000"/>
          <w:sz w:val="24"/>
          <w:szCs w:val="24"/>
          <w:highlight w:val="none"/>
          <w:u w:val="single"/>
        </w:rPr>
        <w:t xml:space="preserve">②价格：投标报价中已有适用于变更工程价格，按已有的价格计价；投标报价中只有类似于变更工程的价格，可参照类似价格计价；合同中无适用或类似综合单价</w:t>
      </w:r>
      <w:r>
        <w:rPr>
          <w:rFonts w:hint="eastAsia" w:ascii="宋体" w:hAnsi="宋体" w:eastAsia="宋体" w:cs="Times New Roman"/>
          <w:color w:val="auto"/>
          <w:sz w:val="24"/>
          <w:szCs w:val="24"/>
          <w:highlight w:val="none"/>
          <w:u w:val="single"/>
        </w:rPr>
        <w:t xml:space="preserve">，结算原则为:依据</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GBT50500-202</w:t>
      </w:r>
      <w:r>
        <w:rPr>
          <w:rFonts w:hint="eastAsia" w:ascii="宋体" w:hAnsi="宋体" w:eastAsia="宋体" w:cs="Times New Roman"/>
          <w:color w:val="auto"/>
          <w:sz w:val="24"/>
          <w:szCs w:val="24"/>
          <w:highlight w:val="none"/>
          <w:u w:val="single"/>
          <w:lang w:val="en-US" w:eastAsia="zh-CN"/>
        </w:rPr>
        <w:t xml:space="preserve">4</w:t>
      </w:r>
      <w:r>
        <w:rPr>
          <w:rFonts w:hint="eastAsia" w:ascii="宋体" w:hAnsi="宋体" w:eastAsia="宋体" w:cs="Times New Roman"/>
          <w:color w:val="auto"/>
          <w:sz w:val="24"/>
          <w:szCs w:val="24"/>
          <w:highlight w:val="none"/>
          <w:u w:val="single"/>
        </w:rPr>
        <w:t xml:space="preserve">建设工程工程量清单计价标准</w:t>
      </w:r>
      <w:r>
        <w:rPr>
          <w:rFonts w:hint="eastAsia" w:ascii="宋体" w:hAnsi="宋体" w:eastAsia="宋体" w:cs="Times New Roman"/>
          <w:color w:val="auto"/>
          <w:sz w:val="24"/>
          <w:szCs w:val="24"/>
          <w:highlight w:val="none"/>
          <w:u w:val="single"/>
          <w:lang w:eastAsia="zh-CN"/>
        </w:rPr>
        <w:t xml:space="preserve">》及《GBT50854-2024 房屋建筑与装饰工程工程量计算标准》、《GBT50857-2024 市政工程工程量计算标准》等</w:t>
      </w:r>
      <w:r>
        <w:rPr>
          <w:rFonts w:hint="eastAsia" w:ascii="宋体" w:hAnsi="宋体" w:eastAsia="宋体" w:cs="Times New Roman"/>
          <w:color w:val="auto"/>
          <w:sz w:val="24"/>
          <w:szCs w:val="24"/>
          <w:highlight w:val="none"/>
          <w:u w:val="single"/>
          <w:lang w:val="en-US" w:eastAsia="zh-CN"/>
        </w:rPr>
        <w:t xml:space="preserve">9</w:t>
      </w:r>
      <w:r>
        <w:rPr>
          <w:rFonts w:hint="eastAsia" w:ascii="宋体" w:hAnsi="宋体" w:eastAsia="宋体" w:cs="Times New Roman"/>
          <w:color w:val="auto"/>
          <w:sz w:val="24"/>
          <w:szCs w:val="24"/>
          <w:highlight w:val="none"/>
          <w:u w:val="single"/>
          <w:lang w:eastAsia="zh-CN"/>
        </w:rPr>
        <w:t xml:space="preserve">本配套工程量计算标准、</w:t>
      </w:r>
      <w:r>
        <w:rPr>
          <w:rFonts w:hint="eastAsia" w:ascii="宋体" w:hAnsi="宋体" w:eastAsia="宋体" w:cs="Times New Roman"/>
          <w:color w:val="auto"/>
          <w:sz w:val="24"/>
          <w:szCs w:val="24"/>
          <w:highlight w:val="none"/>
          <w:u w:val="single"/>
        </w:rPr>
        <w:t xml:space="preserve">《江苏省</w:t>
      </w:r>
      <w:r>
        <w:rPr>
          <w:rFonts w:hint="eastAsia" w:ascii="宋体" w:hAnsi="宋体" w:eastAsia="宋体" w:cs="Times New Roman"/>
          <w:color w:val="auto"/>
          <w:sz w:val="24"/>
          <w:szCs w:val="24"/>
          <w:highlight w:val="none"/>
          <w:u w:val="single"/>
          <w:lang w:val="en-US" w:eastAsia="zh-CN"/>
        </w:rPr>
        <w:t xml:space="preserve">2009房屋修缮工程</w:t>
      </w:r>
      <w:r>
        <w:rPr>
          <w:rFonts w:hint="eastAsia" w:ascii="宋体" w:hAnsi="宋体" w:eastAsia="宋体" w:cs="Times New Roman"/>
          <w:color w:val="auto"/>
          <w:sz w:val="24"/>
          <w:szCs w:val="24"/>
          <w:highlight w:val="none"/>
          <w:u w:val="single"/>
        </w:rPr>
        <w:t xml:space="preserve">计价定额</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lang w:val="en-US" w:eastAsia="zh-CN"/>
        </w:rPr>
        <w:t xml:space="preserve">土建</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lang w:val="en-US" w:eastAsia="zh-CN"/>
        </w:rPr>
        <w:t xml:space="preserve">江苏省建设工程施工机具台班费用编制参考表》</w:t>
      </w:r>
      <w:r>
        <w:rPr>
          <w:rFonts w:hint="eastAsia" w:ascii="宋体" w:hAnsi="宋体" w:eastAsia="宋体" w:cs="Times New Roman"/>
          <w:color w:val="auto"/>
          <w:sz w:val="24"/>
          <w:szCs w:val="24"/>
          <w:highlight w:val="none"/>
          <w:u w:val="single"/>
        </w:rPr>
        <w:t xml:space="preserve">等计价规则中的标准进行重新组价，其中材料价格按照施工当月《常州工程造价信息》中除税信息价，根据上述要求编制的价格应按照工程投标报价(扣除暂列金、暂估价及其相应的税金)/标底价(扣除暂列金、暂估价及其相应的税金)同比例让利后，经审计、发包人审核后作为结算依据。</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6、其它工程价款调整方法：</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（1）采用清单方式计价，竣工结算的工程量按发承包双方在合同中约定应予计量且实际完成的工程量确定，完成发包人要求的合同以外的零星工作或发生非承包人责任事件的工程量按现场签证确认。</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（2）工程施工过程中所有需要在合同价外另行增加费用的内容均须事先征得发包人书面同意并提供预算书待发包人、监理、业主委托咨询单位确认后方可实施，否则一概不予结算。</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3）所有涉及工程结算的签证单上必须有发包人、监理工程师、业主委托咨询单位、承包人四方的签字和盖章，方可作为竣工结算的依据，签证单上必须明确签证的原因、位置、尺寸、数量、材料、人工、机械台班、价格和签证时间，如有必要，还需附有相应的综合单价分析</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2、总价合同。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总价包含的风险范围：</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风险费用的计算方法：</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风险范围以外合同价格的调整方法：</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3、其他价格方式：</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bookmarkStart w:id="1108" w:name="_Toc303539161"/>
      <w:r/>
      <w:bookmarkStart w:id="1109" w:name="_Toc304295581"/>
      <w:r/>
      <w:bookmarkStart w:id="1110" w:name="_Toc297216213"/>
      <w:r/>
      <w:bookmarkStart w:id="1111" w:name="_Toc300935004"/>
      <w:r/>
      <w:bookmarkStart w:id="1112" w:name="_Toc297123554"/>
      <w:r/>
      <w:bookmarkStart w:id="1113" w:name="_Toc312678042"/>
      <w:r/>
      <w:bookmarkStart w:id="1114" w:name="_Toc292559917"/>
      <w:r/>
      <w:bookmarkStart w:id="1115" w:name="_Toc297048393"/>
      <w:r/>
      <w:bookmarkStart w:id="1116" w:name="_Toc292559412"/>
      <w:r/>
      <w:bookmarkStart w:id="1117" w:name="_Toc297120507"/>
      <w:r/>
      <w:bookmarkStart w:id="1118" w:name="_Toc296347206"/>
      <w:r/>
      <w:bookmarkStart w:id="1119" w:name="_Toc296891247"/>
      <w:r/>
      <w:bookmarkStart w:id="1120" w:name="_Toc296891035"/>
      <w:r/>
      <w:bookmarkStart w:id="1121" w:name="_Toc296944546"/>
      <w:r/>
      <w:bookmarkStart w:id="1122" w:name="_Toc296346708"/>
      <w:r/>
      <w:bookmarkStart w:id="1123" w:name="_Toc296503207"/>
      <w:r>
        <w:rPr>
          <w:rFonts w:hint="eastAsia" w:ascii="宋体" w:hAnsi="宋体" w:eastAsia="宋体" w:cs="Times New Roman"/>
          <w:color w:val="000000"/>
          <w:sz w:val="24"/>
          <w:szCs w:val="24"/>
          <w:highlight w:val="none"/>
        </w:rPr>
        <w:t xml:space="preserve">12.2 预付款</w:t>
      </w:r>
      <w:bookmarkEnd w:id="1108"/>
      <w:bookmarkEnd w:id="1109"/>
      <w:bookmarkEnd w:id="1110"/>
      <w:bookmarkEnd w:id="1111"/>
      <w:bookmarkEnd w:id="1112"/>
      <w:bookmarkEnd w:id="1113"/>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12.2.1 预付款的支付</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预付款支付比例或金额：</w:t>
      </w:r>
      <w:r>
        <w:rPr>
          <w:rFonts w:hint="eastAsia" w:ascii="宋体" w:hAnsi="宋体" w:eastAsia="宋体" w:cs="Times New Roman"/>
          <w:color w:val="000000"/>
          <w:sz w:val="24"/>
          <w:szCs w:val="24"/>
          <w:highlight w:val="none"/>
          <w:u w:val="single"/>
        </w:rPr>
        <w:t xml:space="preserve">详见12.4.1</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预付款支付期限：</w:t>
      </w:r>
      <w:r>
        <w:rPr>
          <w:rFonts w:hint="eastAsia" w:ascii="宋体" w:hAnsi="宋体" w:eastAsia="宋体" w:cs="Times New Roman"/>
          <w:color w:val="000000"/>
          <w:sz w:val="24"/>
          <w:szCs w:val="24"/>
          <w:highlight w:val="none"/>
          <w:u w:val="single"/>
        </w:rPr>
        <w:t xml:space="preserve">详见12.4.1</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预付款扣回的方式：</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12.2.2 预付款担保</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承包人提交预付款担保的期限：</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预付款担保的形式为：</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bookmarkEnd w:id="1114"/>
      <w:bookmarkEnd w:id="1115"/>
      <w:bookmarkEnd w:id="1116"/>
      <w:bookmarkEnd w:id="1117"/>
      <w:bookmarkEnd w:id="1118"/>
      <w:bookmarkEnd w:id="1119"/>
      <w:bookmarkEnd w:id="1120"/>
      <w:bookmarkEnd w:id="1121"/>
      <w:bookmarkEnd w:id="1122"/>
      <w:bookmarkEnd w:id="1123"/>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 计量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12.3.1 计量原则</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工程量计算规则：</w:t>
      </w:r>
      <w:r>
        <w:rPr>
          <w:rFonts w:hint="eastAsia" w:ascii="宋体" w:hAnsi="宋体" w:eastAsia="宋体" w:cs="Times New Roman"/>
          <w:color w:val="000000"/>
          <w:sz w:val="24"/>
          <w:szCs w:val="24"/>
          <w:highlight w:val="none"/>
          <w:u w:val="single"/>
        </w:rPr>
        <w:t xml:space="preserve">工程量计算规则执行国家标准《建设工程清单计价规范》(GB50500—2013)或其适用的修订版本。除合同另有约定外，承包人实际完成的工程量按约定的工程量计算规则和有合同约束力的图纸进行计量</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12.3.2 计量周期</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关于计量周期的约定：</w:t>
      </w:r>
      <w:r>
        <w:rPr>
          <w:rFonts w:hint="eastAsia" w:ascii="宋体" w:hAnsi="宋体" w:eastAsia="宋体" w:cs="Times New Roman"/>
          <w:color w:val="000000"/>
          <w:sz w:val="24"/>
          <w:szCs w:val="24"/>
          <w:highlight w:val="none"/>
          <w:u w:val="single"/>
        </w:rPr>
        <w:t xml:space="preserve">本合同的计量周期为月，每月25日为当月计量截止日期(不含当日)和下月计量起始日期(含当日)</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12.3.3 单价合同的计量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关于单价合同计量的约定：</w:t>
      </w:r>
      <w:r>
        <w:rPr>
          <w:rFonts w:hint="eastAsia" w:ascii="宋体" w:hAnsi="宋体" w:eastAsia="宋体" w:cs="Times New Roman"/>
          <w:color w:val="000000"/>
          <w:sz w:val="24"/>
          <w:szCs w:val="24"/>
          <w:highlight w:val="none"/>
          <w:u w:val="single"/>
        </w:rPr>
        <w:t xml:space="preserve">本合同采用单价合同形式通用合同条款本项约定的单价子目计量</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12.3.4 总价合同的计量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关于总价合同计量的约定：</w:t>
      </w:r>
      <w:r>
        <w:rPr>
          <w:rFonts w:hint="eastAsia" w:ascii="宋体" w:hAnsi="宋体" w:eastAsia="宋体" w:cs="Times New Roman"/>
          <w:color w:val="000000"/>
          <w:sz w:val="24"/>
          <w:szCs w:val="24"/>
          <w:highlight w:val="none"/>
          <w:u w:val="single"/>
        </w:rPr>
        <w:t xml:space="preserve">按实际完成工程量计量</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12.3.5总价合同采用支付分解表计量支付的，是否适用第12.3.4 项〔总价合同的计量〕约定进行计量：</w:t>
      </w:r>
      <w:r>
        <w:rPr>
          <w:rFonts w:hint="eastAsia" w:ascii="宋体" w:hAnsi="宋体" w:eastAsia="宋体" w:cs="Times New Roman"/>
          <w:color w:val="000000"/>
          <w:sz w:val="24"/>
          <w:szCs w:val="24"/>
          <w:highlight w:val="none"/>
          <w:u w:val="single"/>
        </w:rPr>
        <w:t xml:space="preserve">无</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12.3.6 其他价格形式合同的计量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其他价格形式的计量方式和程序：</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12.4 工程进度款支付</w:t>
      </w:r>
      <w:r/>
    </w:p>
    <w:p>
      <w:pPr>
        <w:ind w:firstLine="480"/>
        <w:spacing w:line="360" w:lineRule="auto"/>
        <w:rPr>
          <w:rFonts w:hint="eastAsia" w:ascii="宋体" w:hAnsi="宋体" w:eastAsia="宋体" w:cs="Times New Roman"/>
          <w:color w:val="000000"/>
          <w:sz w:val="24"/>
          <w:szCs w:val="24"/>
          <w:highlight w:val="none"/>
        </w:rPr>
      </w:pPr>
      <w:r/>
      <w:bookmarkStart w:id="1124" w:name="_Toc296503211"/>
      <w:r/>
      <w:bookmarkStart w:id="1125" w:name="_Toc296891251"/>
      <w:r/>
      <w:bookmarkStart w:id="1126" w:name="_Toc292559416"/>
      <w:r/>
      <w:bookmarkStart w:id="1127" w:name="_Toc297048397"/>
      <w:r/>
      <w:bookmarkStart w:id="1128" w:name="_Toc297216215"/>
      <w:r/>
      <w:bookmarkStart w:id="1129" w:name="_Toc292559921"/>
      <w:r/>
      <w:bookmarkStart w:id="1130" w:name="_Toc297123556"/>
      <w:r/>
      <w:bookmarkStart w:id="1131" w:name="_Toc296347210"/>
      <w:r/>
      <w:bookmarkStart w:id="1132" w:name="_Toc296944550"/>
      <w:r/>
      <w:bookmarkStart w:id="1133" w:name="_Toc300935006"/>
      <w:r/>
      <w:bookmarkStart w:id="1134" w:name="_Toc296891039"/>
      <w:r/>
      <w:bookmarkStart w:id="1135" w:name="_Toc296346712"/>
      <w:r/>
      <w:bookmarkStart w:id="1136" w:name="_Toc303539163"/>
      <w:r/>
      <w:bookmarkStart w:id="1137" w:name="_Toc297120511"/>
      <w:r>
        <w:rPr>
          <w:rFonts w:hint="eastAsia" w:ascii="宋体" w:hAnsi="宋体" w:eastAsia="宋体" w:cs="Times New Roman"/>
          <w:color w:val="000000"/>
          <w:sz w:val="24"/>
          <w:szCs w:val="24"/>
          <w:highlight w:val="none"/>
        </w:rPr>
        <w:t xml:space="preserve">12.4.1 付款周期</w:t>
      </w:r>
      <w:r/>
    </w:p>
    <w:p>
      <w:pPr>
        <w:pStyle w:val="1210"/>
        <w:ind w:firstLine="420"/>
        <w:spacing w:before="0"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关于付款周期的约定：</w:t>
      </w:r>
      <w:r/>
    </w:p>
    <w:p>
      <w:pPr>
        <w:ind w:firstLine="420"/>
        <w:jc w:val="both"/>
        <w:spacing w:before="0" w:line="360" w:lineRule="auto"/>
        <w:widowControl w:val="off"/>
        <w:tabs>
          <w:tab w:val="left" w:pos="567" w:leader="none"/>
        </w:tabs>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1、合同签订后7天内支付合同价的10%（含安全文明施工费、不含暂估价、暂列金）作为预付款；</w:t>
      </w:r>
      <w:r/>
    </w:p>
    <w:p>
      <w:pPr>
        <w:ind w:firstLine="420"/>
        <w:jc w:val="both"/>
        <w:spacing w:before="0" w:line="360" w:lineRule="auto"/>
        <w:widowControl w:val="off"/>
        <w:tabs>
          <w:tab w:val="left" w:pos="567" w:leader="none"/>
        </w:tabs>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2、工程质量竣工验收合格后，工程款付至合同价（含安全文明施工费、不含暂估价、暂列金）的 80%，同时应扣回预付款；</w:t>
      </w:r>
      <w:r/>
    </w:p>
    <w:p>
      <w:pPr>
        <w:ind w:firstLine="420"/>
        <w:jc w:val="both"/>
        <w:spacing w:before="0" w:line="360" w:lineRule="auto"/>
        <w:widowControl w:val="off"/>
        <w:tabs>
          <w:tab w:val="left" w:pos="567" w:leader="none"/>
        </w:tabs>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3、工程竣工验收合格且审计完成后，7天内付至审定价的97%；</w:t>
      </w:r>
      <w:r/>
    </w:p>
    <w:p>
      <w:pPr>
        <w:ind w:firstLine="420"/>
        <w:jc w:val="both"/>
        <w:spacing w:before="0" w:line="360" w:lineRule="auto"/>
        <w:widowControl w:val="off"/>
        <w:tabs>
          <w:tab w:val="left" w:pos="567" w:leader="none"/>
        </w:tabs>
        <w:rPr>
          <w:rFonts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4、剩余3%质保金待质保期满后7天内付清（无息）；</w:t>
      </w:r>
      <w:r/>
    </w:p>
    <w:p>
      <w:pPr>
        <w:ind w:firstLine="420"/>
        <w:jc w:val="both"/>
        <w:spacing w:before="0" w:line="360" w:lineRule="auto"/>
        <w:widowControl w:val="off"/>
        <w:tabs>
          <w:tab w:val="left" w:pos="567" w:leader="none"/>
        </w:tabs>
        <w:rPr>
          <w:rFonts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5、每次付款前，成交供应商必须提交符合国家财税规定的正规发票，采购人见票付款。</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12.4.2 进度付款申请单的编制</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关于进度付款申请单编制的约定：</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bookmarkEnd w:id="1124"/>
      <w:r/>
      <w:bookmarkEnd w:id="1125"/>
      <w:r/>
      <w:bookmarkEnd w:id="1126"/>
      <w:r/>
      <w:bookmarkEnd w:id="1127"/>
      <w:r/>
      <w:bookmarkEnd w:id="1128"/>
      <w:r/>
      <w:bookmarkEnd w:id="1129"/>
      <w:r/>
      <w:bookmarkEnd w:id="1130"/>
      <w:r/>
      <w:bookmarkEnd w:id="1131"/>
      <w:r/>
      <w:bookmarkEnd w:id="1132"/>
      <w:r/>
      <w:bookmarkEnd w:id="1133"/>
      <w:r/>
      <w:bookmarkEnd w:id="1134"/>
      <w:r/>
      <w:bookmarkEnd w:id="1135"/>
      <w:r/>
      <w:bookmarkEnd w:id="1136"/>
      <w:r/>
      <w:bookmarkEnd w:id="1137"/>
      <w:r>
        <w:rPr>
          <w:rFonts w:hint="eastAsia" w:ascii="宋体" w:hAnsi="宋体" w:eastAsia="宋体" w:cs="Times New Roman"/>
          <w:color w:val="000000"/>
          <w:sz w:val="24"/>
          <w:szCs w:val="24"/>
          <w:highlight w:val="none"/>
        </w:rPr>
        <w:t xml:space="preserve">2.4.3 进度付款申请单的提交</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（1）单价合同进度付款申请单提交的约定：</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（2）总价合同进度付款申请单提交的约定：</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（3）其他价格形式合同进度付款申请单提交的约定：</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12.4.4 进度款审核和支付</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（1）监理人审查并报送发包人的期限：</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发包人完成审批并签发进度款支付证书的期限：</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（2）发包人支付进度款的期限：</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发包人逾期支付进度款的违约金的计算方式：</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12.4.6 支付分解表的编制</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2、总价合同支付分解表的编制与审批：</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3、单价合同的总价项目支付分解表的编制与审批：</w:t>
      </w:r>
      <w:r>
        <w:rPr>
          <w:rFonts w:hint="eastAsia" w:ascii="宋体" w:hAnsi="宋体" w:eastAsia="宋体" w:cs="Times New Roman"/>
          <w:color w:val="000000"/>
          <w:sz w:val="24"/>
          <w:szCs w:val="24"/>
          <w:highlight w:val="none"/>
          <w:u w:val="single"/>
        </w:rPr>
        <w:t xml:space="preserve">双方另行约定</w:t>
      </w:r>
      <w:r>
        <w:rPr>
          <w:rFonts w:hint="eastAsia" w:ascii="宋体" w:hAnsi="宋体" w:eastAsia="宋体" w:cs="Times New Roman"/>
          <w:color w:val="000000"/>
          <w:sz w:val="24"/>
          <w:szCs w:val="24"/>
          <w:highlight w:val="none"/>
        </w:rPr>
        <w:t xml:space="preserve">。</w:t>
      </w:r>
      <w:bookmarkEnd w:id="967"/>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138" w:name="_Toc351203645"/>
      <w:r/>
      <w:bookmarkStart w:id="1139" w:name="_Toc297120519"/>
      <w:r/>
      <w:bookmarkStart w:id="1140" w:name="_Toc296346720"/>
      <w:r/>
      <w:bookmarkStart w:id="1141" w:name="_Toc300935015"/>
      <w:r/>
      <w:bookmarkStart w:id="1142" w:name="_Toc304295593"/>
      <w:r/>
      <w:bookmarkStart w:id="1143" w:name="_Toc297123564"/>
      <w:r/>
      <w:bookmarkStart w:id="1144" w:name="_Toc297048405"/>
      <w:r/>
      <w:bookmarkStart w:id="1145" w:name="_Toc297216223"/>
      <w:r/>
      <w:bookmarkStart w:id="1146" w:name="_Toc292559929"/>
      <w:r/>
      <w:bookmarkStart w:id="1147" w:name="_Toc296503219"/>
      <w:r/>
      <w:bookmarkStart w:id="1148" w:name="_Toc296891259"/>
      <w:r/>
      <w:bookmarkStart w:id="1149" w:name="_Toc296891047"/>
      <w:r/>
      <w:bookmarkStart w:id="1150" w:name="_Toc303539172"/>
      <w:r/>
      <w:bookmarkStart w:id="1151" w:name="_Toc296347218"/>
      <w:r/>
      <w:bookmarkStart w:id="1152" w:name="_Toc296944558"/>
      <w:r/>
      <w:bookmarkStart w:id="1153" w:name="_Toc312678053"/>
      <w:r/>
      <w:bookmarkStart w:id="1154" w:name="_Toc292559424"/>
      <w:r>
        <w:rPr>
          <w:rFonts w:hint="eastAsia" w:ascii="宋体" w:hAnsi="宋体" w:eastAsia="黑体" w:cs="Times New Roman"/>
          <w:b w:val="0"/>
          <w:color w:val="000000"/>
          <w:sz w:val="24"/>
          <w:szCs w:val="24"/>
          <w:highlight w:val="none"/>
          <w:lang w:val="en-US" w:eastAsia="zh-CN" w:bidi="ar-SA"/>
        </w:rPr>
        <w:t xml:space="preserve">13. 验收和工程试车</w:t>
      </w:r>
      <w:bookmarkEnd w:id="1138"/>
      <w:r/>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13.1工程验收</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13.1.2监理人不能按时进行验收时，应提前</w:t>
      </w:r>
      <w:r>
        <w:rPr>
          <w:rFonts w:hint="eastAsia" w:ascii="宋体" w:hAnsi="宋体" w:eastAsia="宋体" w:cs="Times New Roman"/>
          <w:sz w:val="24"/>
          <w:szCs w:val="24"/>
          <w:highlight w:val="none"/>
          <w:u w:val="single"/>
        </w:rPr>
        <w:t xml:space="preserve">24</w:t>
      </w:r>
      <w:r>
        <w:rPr>
          <w:rFonts w:hint="eastAsia" w:ascii="宋体" w:hAnsi="宋体" w:eastAsia="宋体" w:cs="Times New Roman"/>
          <w:sz w:val="24"/>
          <w:szCs w:val="24"/>
          <w:highlight w:val="none"/>
        </w:rPr>
        <w:t xml:space="preserve">小时提交书面延期要求。</w:t>
      </w:r>
      <w:r/>
    </w:p>
    <w:p>
      <w:pPr>
        <w:ind w:firstLine="480"/>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sz w:val="24"/>
          <w:szCs w:val="24"/>
          <w:highlight w:val="none"/>
        </w:rPr>
        <w:t xml:space="preserve">关于延期最长不得超过：</w:t>
      </w:r>
      <w:r>
        <w:rPr>
          <w:rFonts w:hint="eastAsia" w:ascii="宋体" w:hAnsi="宋体" w:eastAsia="宋体" w:cs="Times New Roman"/>
          <w:sz w:val="24"/>
          <w:szCs w:val="24"/>
          <w:highlight w:val="none"/>
          <w:u w:val="single"/>
        </w:rPr>
        <w:t xml:space="preserve">48</w:t>
      </w:r>
      <w:r>
        <w:rPr>
          <w:rFonts w:hint="eastAsia" w:ascii="宋体" w:hAnsi="宋体" w:eastAsia="宋体" w:cs="Times New Roman"/>
          <w:sz w:val="24"/>
          <w:szCs w:val="24"/>
          <w:highlight w:val="none"/>
        </w:rPr>
        <w:t xml:space="preserve">小时。</w:t>
      </w:r>
      <w:r/>
    </w:p>
    <w:p>
      <w:pPr>
        <w:ind w:firstLine="480"/>
        <w:spacing w:after="120" w:line="360" w:lineRule="auto"/>
        <w:rPr>
          <w:rFonts w:hint="eastAsia" w:ascii="宋体" w:hAnsi="宋体" w:eastAsia="宋体" w:cs="Times New Roman"/>
          <w:color w:val="000000"/>
          <w:sz w:val="24"/>
          <w:szCs w:val="24"/>
          <w:highlight w:val="none"/>
        </w:rPr>
      </w:pPr>
      <w:r/>
      <w:bookmarkStart w:id="1155" w:name="_Toc303539173"/>
      <w:r/>
      <w:bookmarkStart w:id="1156" w:name="_Toc292559428"/>
      <w:r/>
      <w:bookmarkStart w:id="1157" w:name="_Toc312678056"/>
      <w:r/>
      <w:bookmarkStart w:id="1158" w:name="_Toc292559933"/>
      <w:r/>
      <w:bookmarkStart w:id="1159" w:name="_Toc300935016"/>
      <w:r/>
      <w:bookmarkStart w:id="1160" w:name="_Toc304295596"/>
      <w:r/>
      <w:bookmarkStart w:id="1161" w:name="_Toc297120523"/>
      <w:r/>
      <w:bookmarkStart w:id="1162" w:name="_Toc296891051"/>
      <w:r/>
      <w:bookmarkStart w:id="1163" w:name="_Toc296891263"/>
      <w:r/>
      <w:bookmarkStart w:id="1164" w:name="_Toc296346724"/>
      <w:r/>
      <w:bookmarkStart w:id="1165" w:name="_Toc296944562"/>
      <w:r/>
      <w:bookmarkStart w:id="1166" w:name="_Toc296503223"/>
      <w:r/>
      <w:bookmarkStart w:id="1167" w:name="_Toc297048409"/>
      <w:r/>
      <w:bookmarkStart w:id="1168" w:name="_Toc296347222"/>
      <w:r/>
      <w:bookmarkStart w:id="1169" w:name="_Toc297216224"/>
      <w:r/>
      <w:bookmarkStart w:id="1170" w:name="_Toc297123565"/>
      <w:r/>
      <w:bookmarkStart w:id="1171" w:name="_Toc267251472"/>
      <w:r/>
      <w:bookmarkStart w:id="1172" w:name="_Toc267251476"/>
      <w:r/>
      <w:bookmarkStart w:id="1173" w:name="_Toc267251470"/>
      <w:r/>
      <w:bookmarkStart w:id="1174" w:name="_Toc267251474"/>
      <w:r/>
      <w:bookmarkStart w:id="1175" w:name="_Toc267251471"/>
      <w:r/>
      <w:bookmarkStart w:id="1176" w:name="_Toc267251473"/>
      <w:r/>
      <w:bookmarkStart w:id="1177" w:name="_Toc267251475"/>
      <w:r>
        <w:rPr>
          <w:rFonts w:hint="eastAsia" w:ascii="宋体" w:hAnsi="宋体" w:eastAsia="宋体" w:cs="Times New Roman"/>
          <w:color w:val="000000"/>
          <w:sz w:val="24"/>
          <w:szCs w:val="24"/>
          <w:highlight w:val="none"/>
        </w:rPr>
        <w:t xml:space="preserve">13.2 竣工验收</w:t>
      </w:r>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r/>
    </w:p>
    <w:p>
      <w:pPr>
        <w:ind w:firstLine="480"/>
        <w:spacing w:line="360" w:lineRule="auto"/>
        <w:rPr>
          <w:rFonts w:hint="eastAsia" w:ascii="宋体" w:hAnsi="宋体" w:eastAsia="宋体" w:cs="Times New Roman"/>
          <w:color w:val="000000"/>
          <w:sz w:val="24"/>
          <w:szCs w:val="24"/>
          <w:highlight w:val="none"/>
        </w:rPr>
      </w:pPr>
      <w:r/>
      <w:bookmarkStart w:id="1178" w:name="_Toc280868704"/>
      <w:r/>
      <w:bookmarkStart w:id="1179" w:name="_Toc280868705"/>
      <w:r/>
      <w:bookmarkStart w:id="1180" w:name="_Toc280868706"/>
      <w:r/>
      <w:bookmarkStart w:id="1181" w:name="_Toc280868707"/>
      <w:r/>
      <w:bookmarkStart w:id="1182" w:name="_Toc280868708"/>
      <w:r/>
      <w:bookmarkStart w:id="1183" w:name="_Toc280868709"/>
      <w:r>
        <w:rPr>
          <w:rFonts w:hint="eastAsia" w:ascii="宋体" w:hAnsi="宋体" w:eastAsia="宋体" w:cs="Times New Roman"/>
          <w:color w:val="000000"/>
          <w:sz w:val="24"/>
          <w:szCs w:val="24"/>
          <w:highlight w:val="none"/>
        </w:rPr>
        <w:t xml:space="preserve">13.2.2竣工验收程序</w:t>
      </w:r>
      <w:bookmarkEnd w:id="1178"/>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关于竣工验收程序的约定：</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发包人不按照本项约定组织竣工验收、颁发工程接收证书的违约金的计算方法：</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bookmarkEnd w:id="1179"/>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13.2.5移交、接收全部与部分工程</w:t>
      </w:r>
      <w:bookmarkEnd w:id="1180"/>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承包人向发包人移交工程的期限：</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发包人未按本合同约定接收全部或部分工程的，违约金的计算方法为：</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bookmarkEnd w:id="1181"/>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承包人未按时移交工程的，违约金的计算方法为：</w:t>
      </w:r>
      <w:r>
        <w:rPr>
          <w:rFonts w:hint="eastAsia" w:ascii="宋体" w:hAnsi="宋体" w:eastAsia="宋体" w:cs="Times New Roman"/>
          <w:color w:val="000000"/>
          <w:sz w:val="24"/>
          <w:szCs w:val="24"/>
          <w:highlight w:val="none"/>
          <w:u w:val="single"/>
        </w:rPr>
        <w:t xml:space="preserve">施工单位按延误工期的天数每天向建设单位支付合同价的0.2‰的逾期竣工违约金。如果因承包人原因，引起的发包人（包括其他专业承包单位）的实际相应损失由承包人承担</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13.3 工程试车</w:t>
      </w:r>
      <w:bookmarkEnd w:id="1182"/>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13.3.1 试车程序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工程试车内容：</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1）工程设备安装具备单机无负荷试运行条件，由承包人组织试运行，费用由承包人承担。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2）工程设备安装具备无负荷联动试运行条件，由发包人组织试运行，费用由发包人承担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（1）单机无负荷试车费用由</w:t>
      </w:r>
      <w:r>
        <w:rPr>
          <w:rFonts w:hint="eastAsia" w:ascii="宋体" w:hAnsi="宋体" w:eastAsia="宋体" w:cs="Times New Roman"/>
          <w:color w:val="000000"/>
          <w:sz w:val="24"/>
          <w:szCs w:val="24"/>
          <w:highlight w:val="none"/>
          <w:u w:val="single"/>
        </w:rPr>
        <w:t xml:space="preserve">承包人</w:t>
      </w:r>
      <w:r>
        <w:rPr>
          <w:rFonts w:hint="eastAsia" w:ascii="宋体" w:hAnsi="宋体" w:eastAsia="宋体" w:cs="Times New Roman"/>
          <w:color w:val="000000"/>
          <w:sz w:val="24"/>
          <w:szCs w:val="24"/>
          <w:highlight w:val="none"/>
        </w:rPr>
        <w:t xml:space="preserve">承担；</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（2）无负荷联动试车费用由</w:t>
      </w:r>
      <w:r>
        <w:rPr>
          <w:rFonts w:hint="eastAsia" w:ascii="宋体" w:hAnsi="宋体" w:eastAsia="宋体" w:cs="Times New Roman"/>
          <w:color w:val="000000"/>
          <w:sz w:val="24"/>
          <w:szCs w:val="24"/>
          <w:highlight w:val="none"/>
          <w:u w:val="single"/>
        </w:rPr>
        <w:t xml:space="preserve">发包人</w:t>
      </w:r>
      <w:r>
        <w:rPr>
          <w:rFonts w:hint="eastAsia" w:ascii="宋体" w:hAnsi="宋体" w:eastAsia="宋体" w:cs="Times New Roman"/>
          <w:color w:val="000000"/>
          <w:sz w:val="24"/>
          <w:szCs w:val="24"/>
          <w:highlight w:val="none"/>
        </w:rPr>
        <w:t xml:space="preserve">承担。</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13.3.3 投料试车</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关于投料试车相关事项的约定：</w:t>
      </w:r>
      <w:r>
        <w:rPr>
          <w:rFonts w:hint="eastAsia" w:ascii="宋体" w:hAnsi="宋体" w:eastAsia="宋体" w:cs="Times New Roman"/>
          <w:color w:val="000000"/>
          <w:sz w:val="24"/>
          <w:szCs w:val="24"/>
          <w:highlight w:val="none"/>
          <w:u w:val="single"/>
        </w:rPr>
        <w:t xml:space="preserve">投料试运行应在工程竣工验收后由发包人负责，如发包人要求在工程竣工验收前进行或需要承包人配合时，应征得承包人同意，另行签订补充协议</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13.6 竣工退场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13.6.1 竣工退场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承包人完成竣工退场的期限：</w:t>
      </w:r>
      <w:r>
        <w:rPr>
          <w:rFonts w:hint="eastAsia" w:ascii="宋体" w:hAnsi="宋体" w:eastAsia="宋体" w:cs="Times New Roman"/>
          <w:color w:val="000000"/>
          <w:sz w:val="24"/>
          <w:szCs w:val="24"/>
          <w:highlight w:val="none"/>
          <w:u w:val="single"/>
        </w:rPr>
        <w:t xml:space="preserve">7日内</w:t>
      </w:r>
      <w:r>
        <w:rPr>
          <w:rFonts w:hint="eastAsia" w:ascii="宋体" w:hAnsi="宋体" w:eastAsia="宋体" w:cs="Times New Roman"/>
          <w:color w:val="000000"/>
          <w:sz w:val="24"/>
          <w:szCs w:val="24"/>
          <w:highlight w:val="non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184" w:name="_Toc351203646"/>
      <w:r>
        <w:rPr>
          <w:rFonts w:hint="eastAsia" w:ascii="宋体" w:hAnsi="宋体" w:eastAsia="黑体" w:cs="Times New Roman"/>
          <w:b w:val="0"/>
          <w:color w:val="000000"/>
          <w:sz w:val="24"/>
          <w:szCs w:val="24"/>
          <w:highlight w:val="none"/>
          <w:lang w:val="en-US" w:eastAsia="zh-CN" w:bidi="ar-SA"/>
        </w:rPr>
        <w:t xml:space="preserve">14. 竣工结算</w:t>
      </w:r>
      <w:bookmarkEnd w:id="1184"/>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14.1 竣工结算申请</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承包人提交竣工结算申请单的期限：</w:t>
      </w:r>
      <w:r>
        <w:rPr>
          <w:rFonts w:hint="eastAsia" w:ascii="宋体" w:hAnsi="宋体" w:eastAsia="宋体" w:cs="Times New Roman"/>
          <w:color w:val="000000"/>
          <w:sz w:val="24"/>
          <w:szCs w:val="24"/>
          <w:highlight w:val="none"/>
          <w:u w:val="single"/>
        </w:rPr>
        <w:t xml:space="preserve">在工程竣工验收合格，工程造价经有相应资质的工程造价咨询机构审核完毕，合同双方签字认可工程造价的结算价后的45天内</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竣工结算申请单应包括的内容：</w:t>
      </w:r>
      <w:r>
        <w:rPr>
          <w:rFonts w:hint="eastAsia" w:ascii="宋体" w:hAnsi="宋体" w:eastAsia="宋体" w:cs="Times New Roman"/>
          <w:color w:val="000000"/>
          <w:sz w:val="24"/>
          <w:szCs w:val="24"/>
          <w:highlight w:val="none"/>
          <w:u w:val="single"/>
        </w:rPr>
        <w:t xml:space="preserve">按施工期双方会议纪要执行</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14.2 竣工结算审核</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发包人审批竣工付款申请单的期限：</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发包人完成竣工付款的期限：</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关于竣工付款证书异议部分复核的方式和程序：</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14.4 最终结清</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14.4.1 最终结清申请单</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承包人提交最终结清申请单的份数：</w:t>
      </w:r>
      <w:r>
        <w:rPr>
          <w:rFonts w:hint="eastAsia" w:ascii="宋体" w:hAnsi="宋体" w:eastAsia="宋体" w:cs="Times New Roman"/>
          <w:color w:val="000000"/>
          <w:sz w:val="24"/>
          <w:szCs w:val="24"/>
          <w:highlight w:val="none"/>
          <w:u w:val="single"/>
        </w:rPr>
        <w:t xml:space="preserve">按发包人要求</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承包人提交最终结算申请单的期限：</w:t>
      </w:r>
      <w:r>
        <w:rPr>
          <w:rFonts w:hint="eastAsia" w:ascii="宋体" w:hAnsi="宋体" w:eastAsia="宋体" w:cs="Times New Roman"/>
          <w:color w:val="000000"/>
          <w:sz w:val="24"/>
          <w:szCs w:val="24"/>
          <w:highlight w:val="none"/>
          <w:u w:val="single"/>
        </w:rPr>
        <w:t xml:space="preserve">按发包人要求</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sz w:val="24"/>
          <w:szCs w:val="24"/>
          <w:highlight w:val="none"/>
        </w:rPr>
        <w:t xml:space="preserve"> </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14.4.2 最终结清证书和支付</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（1）发包人完成最终结清申请单的审批并颁发最终结清证书的期限：</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（2）发包人完成支付的期限：</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bookmarkEnd w:id="1171"/>
      <w:bookmarkEnd w:id="1172"/>
      <w:bookmarkEnd w:id="1173"/>
      <w:bookmarkEnd w:id="1174"/>
      <w:bookmarkEnd w:id="1175"/>
      <w:bookmarkEnd w:id="1176"/>
      <w:bookmarkEnd w:id="1177"/>
      <w:bookmarkEnd w:id="1183"/>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185" w:name="_Toc351203647"/>
      <w:r/>
      <w:bookmarkStart w:id="1186" w:name="_Toc267251483"/>
      <w:r/>
      <w:bookmarkStart w:id="1187" w:name="_Toc267251484"/>
      <w:r/>
      <w:bookmarkStart w:id="1188" w:name="_Toc267251482"/>
      <w:r/>
      <w:bookmarkStart w:id="1189" w:name="_Toc267251485"/>
      <w:r/>
      <w:bookmarkStart w:id="1190" w:name="_Toc267251489"/>
      <w:r/>
      <w:bookmarkStart w:id="1191" w:name="_Toc267251488"/>
      <w:r/>
      <w:bookmarkStart w:id="1192" w:name="_Toc267251490"/>
      <w:r/>
      <w:bookmarkStart w:id="1193" w:name="_Toc267251486"/>
      <w:r/>
      <w:bookmarkStart w:id="1194" w:name="_Toc267251499"/>
      <w:r/>
      <w:bookmarkStart w:id="1195" w:name="_Toc267251503"/>
      <w:r/>
      <w:bookmarkStart w:id="1196" w:name="_Toc267251493"/>
      <w:r/>
      <w:bookmarkStart w:id="1197" w:name="_Toc267251495"/>
      <w:r/>
      <w:bookmarkStart w:id="1198" w:name="_Toc267251491"/>
      <w:r/>
      <w:bookmarkStart w:id="1199" w:name="_Toc267251494"/>
      <w:r/>
      <w:bookmarkStart w:id="1200" w:name="_Toc267251501"/>
      <w:r/>
      <w:bookmarkStart w:id="1201" w:name="_Toc267251492"/>
      <w:r/>
      <w:bookmarkStart w:id="1202" w:name="_Toc267251497"/>
      <w:r/>
      <w:bookmarkStart w:id="1203" w:name="_Toc267251498"/>
      <w:r/>
      <w:bookmarkStart w:id="1204" w:name="_Toc267251502"/>
      <w:r/>
      <w:bookmarkStart w:id="1205" w:name="_Toc267251496"/>
      <w:r/>
      <w:bookmarkStart w:id="1206" w:name="_Toc267251504"/>
      <w:r/>
      <w:bookmarkStart w:id="1207" w:name="_Toc267251506"/>
      <w:r/>
      <w:bookmarkStart w:id="1208" w:name="_Toc267251507"/>
      <w:r/>
      <w:bookmarkStart w:id="1209" w:name="_Toc267251508"/>
      <w:r/>
      <w:bookmarkStart w:id="1210" w:name="_Toc267251510"/>
      <w:r/>
      <w:bookmarkStart w:id="1211" w:name="_Toc267251511"/>
      <w:r/>
      <w:bookmarkStart w:id="1212" w:name="_Toc267251514"/>
      <w:r/>
      <w:bookmarkStart w:id="1213" w:name="_Toc267251509"/>
      <w:r/>
      <w:bookmarkStart w:id="1214" w:name="_Toc267251513"/>
      <w:r/>
      <w:bookmarkStart w:id="1215" w:name="_Toc267251515"/>
      <w:r>
        <w:rPr>
          <w:rFonts w:hint="eastAsia" w:ascii="宋体" w:hAnsi="宋体" w:eastAsia="黑体" w:cs="Times New Roman"/>
          <w:b w:val="0"/>
          <w:color w:val="000000"/>
          <w:sz w:val="24"/>
          <w:szCs w:val="24"/>
          <w:highlight w:val="none"/>
          <w:lang w:val="en-US" w:eastAsia="zh-CN" w:bidi="ar-SA"/>
        </w:rPr>
        <w:t xml:space="preserve">15. 缺陷责任期与保修</w:t>
      </w:r>
      <w:bookmarkEnd w:id="1185"/>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15.2缺陷责任期</w:t>
      </w:r>
      <w:bookmarkEnd w:id="1186"/>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缺陷责任期的具体期限：</w:t>
      </w:r>
      <w:r>
        <w:rPr>
          <w:rFonts w:hint="eastAsia" w:ascii="宋体" w:hAnsi="宋体" w:eastAsia="宋体" w:cs="Times New Roman"/>
          <w:color w:val="000000"/>
          <w:sz w:val="24"/>
          <w:szCs w:val="24"/>
          <w:highlight w:val="none"/>
          <w:u w:val="single"/>
        </w:rPr>
        <w:t xml:space="preserve">按附件3 质量保修书规定</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15.3 质量保证金</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关于是否扣留质量保证金的约定：</w:t>
      </w:r>
      <w:r>
        <w:rPr>
          <w:rFonts w:hint="eastAsia" w:ascii="宋体" w:hAnsi="宋体" w:eastAsia="宋体" w:cs="Times New Roman"/>
          <w:color w:val="000000"/>
          <w:sz w:val="24"/>
          <w:szCs w:val="24"/>
          <w:highlight w:val="none"/>
          <w:u w:val="single"/>
        </w:rPr>
        <w:t xml:space="preserve">按审定价的3%扣留</w:t>
      </w:r>
      <w:r>
        <w:rPr>
          <w:rFonts w:hint="eastAsia" w:ascii="宋体" w:hAnsi="宋体" w:eastAsia="宋体" w:cs="Times New Roman"/>
          <w:color w:val="000000"/>
          <w:sz w:val="24"/>
          <w:szCs w:val="24"/>
          <w:highlight w:val="none"/>
        </w:rPr>
        <w:t xml:space="preserve">。在工程项目竣工前，承包人按专用合同条款第3.7条提供履约担保的，发包人不得同时预留工程质量保证金。</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15.3.1 承包人提供质量保证金的方式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质量保证金采用以下第</w:t>
      </w:r>
      <w:r>
        <w:rPr>
          <w:rFonts w:hint="eastAsia" w:ascii="宋体" w:hAnsi="宋体" w:eastAsia="宋体" w:cs="Times New Roman"/>
          <w:color w:val="000000"/>
          <w:sz w:val="24"/>
          <w:szCs w:val="24"/>
          <w:highlight w:val="none"/>
          <w:u w:val="single"/>
        </w:rPr>
        <w:t xml:space="preserve"> 2</w:t>
      </w:r>
      <w:r>
        <w:rPr>
          <w:rFonts w:hint="eastAsia" w:ascii="宋体" w:hAnsi="宋体" w:eastAsia="宋体" w:cs="Times New Roman"/>
          <w:color w:val="000000"/>
          <w:sz w:val="24"/>
          <w:szCs w:val="24"/>
          <w:highlight w:val="none"/>
        </w:rPr>
        <w:t xml:space="preserve">种方式：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（1）质量保证金保函，保证金额为：</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3</w:t>
      </w:r>
      <w:r>
        <w:rPr>
          <w:rFonts w:hint="eastAsia" w:ascii="宋体" w:hAnsi="宋体" w:eastAsia="宋体" w:cs="Times New Roman"/>
          <w:color w:val="000000"/>
          <w:sz w:val="24"/>
          <w:szCs w:val="24"/>
          <w:highlight w:val="none"/>
        </w:rPr>
        <w:t xml:space="preserve">%的工程款；</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（3）其他方式：</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15.3.2 质量保证金的扣留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质量保证金的扣留采取以下第</w:t>
      </w:r>
      <w:r>
        <w:rPr>
          <w:rFonts w:hint="eastAsia" w:ascii="宋体" w:hAnsi="宋体" w:eastAsia="宋体" w:cs="Times New Roman"/>
          <w:color w:val="000000"/>
          <w:sz w:val="24"/>
          <w:szCs w:val="24"/>
          <w:highlight w:val="none"/>
          <w:u w:val="single"/>
        </w:rPr>
        <w:t xml:space="preserve"> 2</w:t>
      </w:r>
      <w:r>
        <w:rPr>
          <w:rFonts w:hint="eastAsia" w:ascii="宋体" w:hAnsi="宋体" w:eastAsia="宋体" w:cs="Times New Roman"/>
          <w:color w:val="000000"/>
          <w:sz w:val="24"/>
          <w:szCs w:val="24"/>
          <w:highlight w:val="none"/>
        </w:rPr>
        <w:t xml:space="preserve">种方式：</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（2）工程竣工结算时一次性扣留质量保证金；</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（3）其他扣留方式：</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关于质量保证金的补充约定：</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bookmarkEnd w:id="1187"/>
      <w:bookmarkEnd w:id="1188"/>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15.4保修</w:t>
      </w:r>
      <w:bookmarkEnd w:id="1189"/>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15.4.1 保修责任</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工程保修期为：</w:t>
      </w:r>
      <w:r>
        <w:rPr>
          <w:rFonts w:hint="eastAsia" w:ascii="宋体" w:hAnsi="宋体" w:eastAsia="宋体" w:cs="Times New Roman"/>
          <w:color w:val="000000"/>
          <w:sz w:val="24"/>
          <w:szCs w:val="24"/>
          <w:highlight w:val="none"/>
          <w:u w:val="single"/>
        </w:rPr>
        <w:t xml:space="preserve">详见工程质量保修书</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15.4.3 修复通知</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承包人收到保修通知并到达工程现场的合理时间：</w:t>
      </w:r>
      <w:r>
        <w:rPr>
          <w:rFonts w:hint="eastAsia" w:ascii="宋体" w:hAnsi="宋体" w:eastAsia="宋体" w:cs="Times New Roman"/>
          <w:color w:val="000000"/>
          <w:sz w:val="24"/>
          <w:szCs w:val="24"/>
          <w:highlight w:val="none"/>
          <w:u w:val="single"/>
        </w:rPr>
        <w:t xml:space="preserve">接到通知的7日内</w:t>
      </w:r>
      <w:r>
        <w:rPr>
          <w:rFonts w:hint="eastAsia" w:ascii="宋体" w:hAnsi="宋体" w:eastAsia="宋体" w:cs="Times New Roman"/>
          <w:color w:val="000000"/>
          <w:sz w:val="24"/>
          <w:szCs w:val="24"/>
          <w:highlight w:val="none"/>
        </w:rPr>
        <w:t xml:space="preserve">。</w:t>
      </w:r>
      <w:bookmarkEnd w:id="1190"/>
      <w:bookmarkEnd w:id="1191"/>
      <w:bookmarkEnd w:id="1192"/>
      <w:bookmarkEnd w:id="1193"/>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216" w:name="_Toc351203648"/>
      <w:r/>
      <w:bookmarkStart w:id="1217" w:name="_Toc280868717"/>
      <w:r/>
      <w:bookmarkStart w:id="1218" w:name="_Toc280868718"/>
      <w:r>
        <w:rPr>
          <w:rFonts w:hint="eastAsia" w:ascii="宋体" w:hAnsi="宋体" w:eastAsia="黑体" w:cs="Times New Roman"/>
          <w:b w:val="0"/>
          <w:color w:val="000000"/>
          <w:sz w:val="24"/>
          <w:szCs w:val="24"/>
          <w:highlight w:val="none"/>
          <w:lang w:val="en-US" w:eastAsia="zh-CN" w:bidi="ar-SA"/>
        </w:rPr>
        <w:t xml:space="preserve">16. 违约</w:t>
      </w:r>
      <w:bookmarkEnd w:id="1216"/>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16.1 发包人违约</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16.1.1发包人违约的情形</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发包人违约的其他情形：</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16.1.2 发包人违约的责任</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发包人违约责任的承担方式和计算方法：</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（1）因发包人原因未能在计划开工日期前7天内下达开工通知的违约责任：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（2）因发包人原因未能按合同约定支付合同价款的违约责任：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（5）因发包人违反合同约定造成暂停施工的违约责任：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（6）发包人无正当理由没有在约定期限内发出复工指示，导致承包人无法复工的违约责任：</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（7）其他：</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16.1.3 因发包人违约解除合同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承包人按16.1.1项〔发包人违约的情形〕约定暂停施工满</w:t>
      </w:r>
      <w:r>
        <w:rPr>
          <w:rFonts w:hint="eastAsia" w:ascii="宋体" w:hAnsi="宋体" w:eastAsia="宋体" w:cs="Times New Roman"/>
          <w:color w:val="000000"/>
          <w:sz w:val="24"/>
          <w:szCs w:val="24"/>
          <w:highlight w:val="none"/>
          <w:u w:val="single"/>
          <w:lang w:val="en-US" w:eastAsia="zh-CN"/>
        </w:rPr>
        <w:t xml:space="preserve">/</w:t>
      </w:r>
      <w:r>
        <w:rPr>
          <w:rFonts w:hint="eastAsia" w:ascii="宋体" w:hAnsi="宋体" w:eastAsia="宋体" w:cs="Times New Roman"/>
          <w:color w:val="000000"/>
          <w:sz w:val="24"/>
          <w:szCs w:val="24"/>
          <w:highlight w:val="none"/>
        </w:rPr>
        <w:t xml:space="preserve">天后发包人仍不纠正其违约行为并致使合同目的不能实现的，承包人有权解除合同。</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16.2 承包人违约</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16.2.1 承包人违约的情形</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承包人违约的其他情形：</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16.2.2承包人违约的责任</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承包人违约责任的承担方式和计算方法：</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    </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16.2.3 因承包人违约解除合同</w:t>
      </w:r>
      <w:r/>
    </w:p>
    <w:p>
      <w:pPr>
        <w:ind w:firstLine="480"/>
        <w:spacing w:before="120"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关于承包人违约解除合同的特别约定：</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r/>
    </w:p>
    <w:p>
      <w:pPr>
        <w:ind w:firstLine="480"/>
        <w:spacing w:before="120"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Times New Roman"/>
          <w:color w:val="000000"/>
          <w:sz w:val="24"/>
          <w:szCs w:val="24"/>
          <w:highlight w:val="none"/>
          <w:u w:val="single"/>
        </w:rPr>
        <w:t xml:space="preserve">另行协商</w:t>
      </w:r>
      <w:r>
        <w:rPr>
          <w:rFonts w:hint="eastAsia" w:ascii="宋体" w:hAnsi="宋体" w:eastAsia="宋体" w:cs="Times New Roman"/>
          <w:color w:val="000000"/>
          <w:sz w:val="24"/>
          <w:szCs w:val="24"/>
          <w:highlight w:val="none"/>
        </w:rPr>
        <w:t xml:space="preserve">。</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219" w:name="_Toc351203649"/>
      <w:r>
        <w:rPr>
          <w:rFonts w:hint="eastAsia" w:ascii="宋体" w:hAnsi="宋体" w:eastAsia="黑体" w:cs="Times New Roman"/>
          <w:b w:val="0"/>
          <w:color w:val="000000"/>
          <w:sz w:val="24"/>
          <w:szCs w:val="24"/>
          <w:highlight w:val="none"/>
          <w:lang w:val="en-US" w:eastAsia="zh-CN" w:bidi="ar-SA"/>
        </w:rPr>
        <w:t xml:space="preserve">17. 不可抗力</w:t>
      </w:r>
      <w:bookmarkEnd w:id="1219"/>
      <w:r>
        <w:rPr>
          <w:rFonts w:hint="eastAsia" w:ascii="宋体" w:hAnsi="宋体" w:eastAsia="黑体" w:cs="Times New Roman"/>
          <w:b w:val="0"/>
          <w:color w:val="000000"/>
          <w:sz w:val="24"/>
          <w:szCs w:val="24"/>
          <w:highlight w:val="none"/>
          <w:lang w:val="en-US" w:eastAsia="zh-CN" w:bidi="ar-SA"/>
        </w:rPr>
        <w:t xml:space="preserve"> </w:t>
      </w:r>
      <w:bookmarkEnd w:id="1217"/>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17.1 不可抗力的确认</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除通用合同条款约定的不可抗力事件之外，视为不可抗力的其他情形：</w:t>
      </w:r>
      <w:r>
        <w:rPr>
          <w:rFonts w:hint="eastAsia" w:ascii="宋体" w:hAnsi="宋体" w:eastAsia="宋体" w:cs="Times New Roman"/>
          <w:color w:val="000000"/>
          <w:sz w:val="24"/>
          <w:szCs w:val="24"/>
          <w:highlight w:val="none"/>
          <w:u w:val="single"/>
        </w:rPr>
        <w:t xml:space="preserve">由市级以上有关部门正式发布和认定的自然灾害</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17.4 因不可抗力解除合同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合同解除后，发包人应在商定或确定发包人应支付款项后</w:t>
      </w:r>
      <w:r>
        <w:rPr>
          <w:rFonts w:hint="eastAsia" w:ascii="宋体" w:hAnsi="宋体" w:eastAsia="宋体" w:cs="Times New Roman"/>
          <w:color w:val="000000"/>
          <w:sz w:val="24"/>
          <w:szCs w:val="24"/>
          <w:highlight w:val="none"/>
          <w:u w:val="single"/>
        </w:rPr>
        <w:t xml:space="preserve">28</w:t>
      </w:r>
      <w:r>
        <w:rPr>
          <w:rFonts w:hint="eastAsia" w:ascii="宋体" w:hAnsi="宋体" w:eastAsia="宋体" w:cs="Times New Roman"/>
          <w:color w:val="000000"/>
          <w:sz w:val="24"/>
          <w:szCs w:val="24"/>
          <w:highlight w:val="none"/>
        </w:rPr>
        <w:t xml:space="preserve">天内完成款项的支付。</w:t>
      </w:r>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220" w:name="_Toc351203650"/>
      <w:r>
        <w:rPr>
          <w:rFonts w:hint="eastAsia" w:ascii="宋体" w:hAnsi="宋体" w:eastAsia="黑体" w:cs="Times New Roman"/>
          <w:b w:val="0"/>
          <w:color w:val="000000"/>
          <w:sz w:val="24"/>
          <w:szCs w:val="24"/>
          <w:highlight w:val="none"/>
          <w:lang w:val="en-US" w:eastAsia="zh-CN" w:bidi="ar-SA"/>
        </w:rPr>
        <w:t xml:space="preserve">18. 保险</w:t>
      </w:r>
      <w:bookmarkEnd w:id="1220"/>
      <w:r/>
      <w:bookmarkEnd w:id="1218"/>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18.1 工程保险</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关于工程保险的特别约定：</w:t>
      </w:r>
      <w:r>
        <w:rPr>
          <w:rFonts w:hint="eastAsia" w:ascii="宋体" w:hAnsi="宋体" w:eastAsia="宋体" w:cs="Times New Roman"/>
          <w:color w:val="000000"/>
          <w:sz w:val="24"/>
          <w:szCs w:val="24"/>
          <w:highlight w:val="none"/>
          <w:u w:val="single"/>
        </w:rPr>
        <w:t xml:space="preserve">由投保人与合同双方同意的保险人商定</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18.3 其他保险</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关于其他保险的约定：</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承包人是否应为其施工设备等办理财产保险：</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after="120"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18.7 通知义务</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关于变更保险合同时的通知义务的约定：</w:t>
      </w:r>
      <w:r>
        <w:rPr>
          <w:rFonts w:hint="eastAsia" w:ascii="宋体" w:hAnsi="宋体" w:eastAsia="宋体" w:cs="Times New Roman"/>
          <w:color w:val="000000"/>
          <w:sz w:val="24"/>
          <w:szCs w:val="24"/>
          <w:highlight w:val="none"/>
          <w:u w:val="single"/>
        </w:rPr>
        <w:t xml:space="preserve">按通用条款执行</w:t>
      </w:r>
      <w:r>
        <w:rPr>
          <w:rFonts w:hint="eastAsia" w:ascii="宋体" w:hAnsi="宋体" w:eastAsia="宋体" w:cs="Times New Roman"/>
          <w:color w:val="000000"/>
          <w:sz w:val="24"/>
          <w:szCs w:val="24"/>
          <w:highlight w:val="none"/>
        </w:rPr>
        <w:t xml:space="preserve">。</w:t>
      </w:r>
      <w:bookmarkEnd w:id="1194"/>
      <w:bookmarkEnd w:id="1195"/>
      <w:bookmarkEnd w:id="1196"/>
      <w:bookmarkEnd w:id="1197"/>
      <w:bookmarkEnd w:id="1198"/>
      <w:bookmarkEnd w:id="1199"/>
      <w:bookmarkEnd w:id="1200"/>
      <w:bookmarkEnd w:id="1201"/>
      <w:bookmarkEnd w:id="1202"/>
      <w:bookmarkEnd w:id="1203"/>
      <w:bookmarkEnd w:id="1204"/>
      <w:bookmarkEnd w:id="1205"/>
      <w:r/>
    </w:p>
    <w:p>
      <w:pPr>
        <w:ind w:firstLine="480"/>
        <w:jc w:val="both"/>
        <w:keepLines/>
        <w:keepNext/>
        <w:spacing w:before="120" w:after="120" w:line="360" w:lineRule="auto"/>
        <w:widowControl w:val="off"/>
        <w:rPr>
          <w:rFonts w:hint="eastAsia" w:ascii="宋体" w:hAnsi="宋体" w:eastAsia="黑体" w:cs="Times New Roman"/>
          <w:b w:val="0"/>
          <w:color w:val="000000"/>
          <w:sz w:val="24"/>
          <w:szCs w:val="24"/>
          <w:highlight w:val="none"/>
          <w:lang w:val="en-US" w:eastAsia="zh-CN" w:bidi="ar-SA"/>
        </w:rPr>
        <w:outlineLvl w:val="3"/>
      </w:pPr>
      <w:r/>
      <w:bookmarkStart w:id="1221" w:name="_Toc351203651"/>
      <w:r>
        <w:rPr>
          <w:rFonts w:hint="eastAsia" w:ascii="宋体" w:hAnsi="宋体" w:eastAsia="黑体" w:cs="Times New Roman"/>
          <w:b w:val="0"/>
          <w:color w:val="000000"/>
          <w:sz w:val="24"/>
          <w:szCs w:val="24"/>
          <w:highlight w:val="none"/>
          <w:lang w:val="en-US" w:eastAsia="zh-CN" w:bidi="ar-SA"/>
        </w:rPr>
        <w:t xml:space="preserve">20. 争议解决</w:t>
      </w:r>
      <w:bookmarkEnd w:id="1221"/>
      <w:r/>
      <w:bookmarkEnd w:id="1206"/>
      <w:bookmarkEnd w:id="1207"/>
      <w:r/>
    </w:p>
    <w:p>
      <w:pPr>
        <w:ind w:firstLine="480"/>
        <w:spacing w:after="120"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20.3 争</w:t>
      </w:r>
      <w:bookmarkEnd w:id="1208"/>
      <w:r>
        <w:rPr>
          <w:rFonts w:hint="eastAsia" w:ascii="宋体" w:hAnsi="宋体" w:eastAsia="宋体" w:cs="Times New Roman"/>
          <w:color w:val="000000"/>
          <w:sz w:val="24"/>
          <w:szCs w:val="24"/>
          <w:highlight w:val="none"/>
        </w:rPr>
        <w:t xml:space="preserve">议评审</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合同当事人是否同意将工程争议提交争议评审小组决定：</w:t>
      </w:r>
      <w:r>
        <w:rPr>
          <w:rFonts w:hint="eastAsia" w:ascii="宋体" w:hAnsi="宋体" w:eastAsia="宋体" w:cs="Times New Roman"/>
          <w:color w:val="000000"/>
          <w:sz w:val="24"/>
          <w:szCs w:val="24"/>
          <w:highlight w:val="none"/>
          <w:u w:val="single"/>
        </w:rPr>
        <w:t xml:space="preserve">不同意</w:t>
      </w:r>
      <w:r>
        <w:rPr>
          <w:rFonts w:hint="eastAsia" w:ascii="宋体" w:hAnsi="宋体" w:eastAsia="宋体" w:cs="Times New Roman"/>
          <w:color w:val="000000"/>
          <w:sz w:val="24"/>
          <w:szCs w:val="24"/>
          <w:highlight w:val="none"/>
        </w:rPr>
        <w:t xml:space="preserve">。  </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20.3.1 争议评审小组的确定</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争议评审小组成员的确定：</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选定争议评审员的期限：</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争议评审小组成员的报酬承担方式：</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其他事项的约定：</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20.3.2 争议评审小组的决定</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合同当事人关于本项的约定：</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w:t>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20.4仲裁或诉讼</w:t>
      </w:r>
      <w:bookmarkEnd w:id="1209"/>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因合同及合同有关事项发生的争议，按下列第</w:t>
      </w:r>
      <w:r>
        <w:rPr>
          <w:rFonts w:hint="eastAsia" w:ascii="宋体" w:hAnsi="宋体" w:eastAsia="宋体" w:cs="Times New Roman"/>
          <w:color w:val="000000"/>
          <w:sz w:val="24"/>
          <w:szCs w:val="24"/>
          <w:highlight w:val="none"/>
          <w:u w:val="single"/>
        </w:rPr>
        <w:t xml:space="preserve">（2）</w:t>
      </w:r>
      <w:r>
        <w:rPr>
          <w:rFonts w:hint="eastAsia" w:ascii="宋体" w:hAnsi="宋体" w:eastAsia="宋体" w:cs="Times New Roman"/>
          <w:color w:val="000000"/>
          <w:sz w:val="24"/>
          <w:szCs w:val="24"/>
          <w:highlight w:val="none"/>
        </w:rPr>
        <w:t xml:space="preserve">种方式解决：</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（1）向</w:t>
      </w:r>
      <w:r>
        <w:rPr>
          <w:rFonts w:hint="eastAsia" w:ascii="宋体" w:hAnsi="宋体" w:eastAsia="宋体" w:cs="Times New Roman"/>
          <w:color w:val="000000"/>
          <w:sz w:val="24"/>
          <w:szCs w:val="24"/>
          <w:highlight w:val="none"/>
          <w:u w:val="single"/>
        </w:rPr>
        <w:t xml:space="preserve">常州</w:t>
      </w:r>
      <w:r>
        <w:rPr>
          <w:rFonts w:hint="eastAsia" w:ascii="宋体" w:hAnsi="宋体" w:eastAsia="宋体" w:cs="Times New Roman"/>
          <w:color w:val="000000"/>
          <w:sz w:val="24"/>
          <w:szCs w:val="24"/>
          <w:highlight w:val="none"/>
        </w:rPr>
        <w:t xml:space="preserve">仲裁委员会申请仲裁；</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（2）向</w:t>
      </w:r>
      <w:r>
        <w:rPr>
          <w:rFonts w:hint="eastAsia" w:ascii="宋体" w:hAnsi="宋体" w:eastAsia="宋体" w:cs="Times New Roman"/>
          <w:color w:val="000000"/>
          <w:sz w:val="24"/>
          <w:szCs w:val="24"/>
          <w:highlight w:val="none"/>
          <w:u w:val="single"/>
        </w:rPr>
        <w:t xml:space="preserve">有管辖权</w:t>
      </w:r>
      <w:r>
        <w:rPr>
          <w:rFonts w:hint="eastAsia" w:ascii="宋体" w:hAnsi="宋体" w:eastAsia="宋体" w:cs="Times New Roman"/>
          <w:color w:val="000000"/>
          <w:sz w:val="24"/>
          <w:szCs w:val="24"/>
          <w:highlight w:val="none"/>
        </w:rPr>
        <w:t xml:space="preserve">人民法院起诉。</w:t>
      </w:r>
      <w:bookmarkEnd w:id="1210"/>
      <w:r/>
      <w:bookmarkEnd w:id="1211"/>
      <w:r/>
      <w:bookmarkEnd w:id="1212"/>
      <w:r/>
      <w:bookmarkEnd w:id="1213"/>
      <w:r/>
      <w:bookmarkEnd w:id="1214"/>
      <w:r/>
      <w:bookmarkEnd w:id="1215"/>
      <w:r/>
      <w:r/>
    </w:p>
    <w:p>
      <w:pPr>
        <w:ind w:firstLine="480"/>
        <w:spacing w:line="360" w:lineRule="auto"/>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21补充条款</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建筑业实施“营改增”后，涉及到的有关内容，双方按照相关文件规定执行。</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一、关于投标人中标后的相关要求</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1、进场后现场管理人员必须严格按投标人投标书中人员配备；</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2、开工报告中要求编制详细的施工组织设计，报建设单位审核通过后，方可开工；</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3、承包人必须遵守发包人发布的工程变更签证管理制度及各项管理规定。包括发包人委托的监理人签发的各类文件（包括但不限于管理规定、会议纪要、通知单、工作安排及 联系函），上述各类文件为本合同协议书的组成部分。承包人如不执行上述各类文件，视为违约，并且发包人将向承包人追溯由于不执行上述各类文件造成进度延误而产生的法律责任。</w:t>
      </w:r>
      <w:r/>
    </w:p>
    <w:p>
      <w:pPr>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t xml:space="preserve">4、若因发包人上级主管部门政策性变化等特殊原因，造成本工程停建或缓建时，发包人只对已发生的合格工程量负责，根据已发生的合格工程量与承包人办理结算，不承担其它违约责任。</w:t>
      </w:r>
      <w:r/>
    </w:p>
    <w:p>
      <w:pPr>
        <w:ind w:firstLine="482"/>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5、</w:t>
      </w:r>
      <w:r>
        <w:rPr>
          <w:rFonts w:hint="eastAsia" w:ascii="宋体" w:hAnsi="宋体" w:eastAsia="宋体" w:cs="Times New Roman"/>
          <w:color w:val="000000"/>
          <w:sz w:val="24"/>
          <w:szCs w:val="24"/>
          <w:highlight w:val="none"/>
          <w:u w:val="single"/>
        </w:rPr>
        <w:t xml:space="preserve">其他未尽事宜双方协商解决。</w:t>
      </w:r>
      <w:r/>
    </w:p>
    <w:p>
      <w:pPr>
        <w:ind w:firstLine="600"/>
        <w:spacing w:line="360" w:lineRule="auto"/>
        <w:rPr>
          <w:rFonts w:hint="eastAsia" w:ascii="宋体" w:hAnsi="宋体" w:eastAsia="宋体" w:cs="Times New Roman"/>
          <w:color w:val="000000"/>
          <w:sz w:val="30"/>
          <w:szCs w:val="30"/>
          <w:highlight w:val="none"/>
        </w:rPr>
        <w:sectPr>
          <w:footnotePr/>
          <w:endnotePr/>
          <w:type w:val="nextPage"/>
          <w:pgSz w:w="11907" w:h="16840" w:orient="portrait"/>
          <w:pgMar w:top="1418" w:right="966" w:bottom="1418" w:left="1701" w:header="851" w:footer="851" w:gutter="0"/>
          <w:cols w:num="1" w:sep="0" w:space="1701" w:equalWidth="1"/>
          <w:docGrid w:linePitch="360"/>
        </w:sectPr>
      </w:pPr>
      <w:r>
        <w:rPr>
          <w:rFonts w:hint="eastAsia" w:ascii="宋体" w:hAnsi="宋体" w:eastAsia="宋体" w:cs="Times New Roman"/>
          <w:color w:val="000000"/>
          <w:sz w:val="30"/>
          <w:szCs w:val="30"/>
          <w:highlight w:val="none"/>
        </w:rPr>
      </w:r>
      <w:r/>
    </w:p>
    <w:p>
      <w:pPr>
        <w:ind w:firstLine="600"/>
        <w:spacing w:line="360" w:lineRule="auto"/>
        <w:rPr>
          <w:rFonts w:hint="eastAsia" w:ascii="宋体" w:hAnsi="宋体" w:eastAsia="宋体" w:cs="Times New Roman"/>
          <w:color w:val="000000"/>
          <w:sz w:val="30"/>
          <w:szCs w:val="30"/>
          <w:highlight w:val="none"/>
        </w:rPr>
      </w:pPr>
      <w:r>
        <w:rPr>
          <w:rFonts w:hint="eastAsia" w:ascii="宋体" w:hAnsi="宋体" w:eastAsia="宋体" w:cs="Times New Roman"/>
          <w:color w:val="000000"/>
          <w:sz w:val="30"/>
          <w:szCs w:val="30"/>
          <w:highlight w:val="none"/>
        </w:rPr>
        <w:t xml:space="preserve"> 附</w:t>
      </w:r>
      <w:bookmarkStart w:id="1222" w:name="_Toc296346727"/>
      <w:r/>
      <w:bookmarkStart w:id="1223" w:name="_Toc296347225"/>
      <w:r/>
      <w:bookmarkStart w:id="1224" w:name="_Toc296503226"/>
      <w:r/>
      <w:bookmarkStart w:id="1225" w:name="_Toc267261693"/>
      <w:r/>
      <w:bookmarkStart w:id="1226" w:name="_Toc296891266"/>
      <w:r/>
      <w:bookmarkStart w:id="1227" w:name="_Toc296891054"/>
      <w:r/>
      <w:bookmarkStart w:id="1228" w:name="_Toc296944565"/>
      <w:r>
        <w:rPr>
          <w:rFonts w:hint="eastAsia" w:ascii="宋体" w:hAnsi="宋体" w:eastAsia="宋体" w:cs="Times New Roman"/>
          <w:color w:val="000000"/>
          <w:sz w:val="30"/>
          <w:szCs w:val="30"/>
          <w:highlight w:val="none"/>
        </w:rPr>
        <w:t xml:space="preserve">件：</w:t>
      </w:r>
      <w:bookmarkEnd w:id="1222"/>
      <w:r/>
      <w:bookmarkEnd w:id="1223"/>
      <w:r/>
      <w:bookmarkEnd w:id="1224"/>
      <w:r/>
      <w:bookmarkEnd w:id="1225"/>
      <w:r/>
      <w:bookmarkEnd w:id="1226"/>
      <w:r/>
      <w:bookmarkEnd w:id="1227"/>
      <w:r/>
      <w:bookmarkEnd w:id="1228"/>
      <w:r>
        <w:rPr>
          <w:rFonts w:hint="eastAsia" w:ascii="宋体" w:hAnsi="宋体" w:eastAsia="宋体" w:cs="Times New Roman"/>
          <w:color w:val="000000"/>
          <w:sz w:val="30"/>
          <w:szCs w:val="30"/>
          <w:highlight w:val="none"/>
        </w:rPr>
        <w:t xml:space="preserve">    </w:t>
      </w:r>
      <w:r/>
    </w:p>
    <w:p>
      <w:pPr>
        <w:jc w:val="center"/>
        <w:spacing w:before="120" w:after="120" w:line="440" w:lineRule="exact"/>
        <w:rPr>
          <w:rFonts w:hint="eastAsia" w:ascii="宋体" w:hAnsi="宋体" w:eastAsia="宋体" w:cs="Times New Roman"/>
          <w:color w:val="000000"/>
          <w:sz w:val="30"/>
          <w:szCs w:val="30"/>
          <w:highlight w:val="none"/>
        </w:rPr>
      </w:pPr>
      <w:r>
        <w:rPr>
          <w:rFonts w:hint="eastAsia" w:ascii="宋体" w:hAnsi="宋体" w:eastAsia="宋体" w:cs="Times New Roman"/>
          <w:color w:val="000000"/>
          <w:sz w:val="30"/>
          <w:szCs w:val="30"/>
          <w:highlight w:val="none"/>
        </w:rPr>
        <w:t xml:space="preserve">工程质量保修书</w:t>
      </w:r>
      <w:r/>
    </w:p>
    <w:p>
      <w:pPr>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发包人（全称）：</w:t>
      </w:r>
      <w:r>
        <w:rPr>
          <w:rFonts w:hint="eastAsia" w:ascii="宋体" w:hAnsi="宋体" w:eastAsia="宋体" w:cs="Times New Roman"/>
          <w:color w:val="000000"/>
          <w:sz w:val="24"/>
          <w:szCs w:val="24"/>
          <w:highlight w:val="none"/>
          <w:u w:val="single"/>
        </w:rPr>
        <w:t xml:space="preserve">                                </w:t>
      </w:r>
      <w:r/>
    </w:p>
    <w:p>
      <w:pPr>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承包人（全称）：</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w:t>
      </w:r>
      <w:r/>
    </w:p>
    <w:p>
      <w:pPr>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spacing w:line="360" w:lineRule="auto"/>
        <w:rPr>
          <w:rFonts w:ascii="宋体" w:hAnsi="宋体"/>
          <w:sz w:val="24"/>
          <w:highlight w:val="none"/>
        </w:rPr>
      </w:pPr>
      <w:r>
        <w:rPr>
          <w:rFonts w:hint="eastAsia" w:ascii="宋体" w:hAnsi="宋体" w:eastAsia="宋体" w:cs="Times New Roman"/>
          <w:color w:val="000000"/>
          <w:sz w:val="24"/>
          <w:szCs w:val="24"/>
          <w:highlight w:val="none"/>
        </w:rPr>
        <w:t xml:space="preserve">　　</w:t>
      </w:r>
      <w:r>
        <w:rPr>
          <w:rFonts w:hint="eastAsia" w:ascii="宋体" w:hAnsi="宋体"/>
          <w:sz w:val="24"/>
          <w:highlight w:val="none"/>
        </w:rPr>
        <w:t xml:space="preserve">发包人和承包人根据《中华人民共和国建筑法》和《建设工程质量管理条例》，经协商一致就</w:t>
      </w:r>
      <w:r>
        <w:rPr>
          <w:rFonts w:hint="eastAsia" w:ascii="宋体" w:hAnsi="宋体"/>
          <w:sz w:val="24"/>
          <w:highlight w:val="none"/>
          <w:u w:val="single"/>
          <w:lang w:eastAsia="zh-CN"/>
        </w:rPr>
        <w:t xml:space="preserve">南夏墅集镇区市容环境综合整治提升</w:t>
      </w:r>
      <w:r>
        <w:rPr>
          <w:rFonts w:hint="eastAsia" w:ascii="宋体" w:hAnsi="宋体"/>
          <w:sz w:val="24"/>
          <w:highlight w:val="none"/>
        </w:rPr>
        <w:t xml:space="preserve">（工程全称）签订工程质量保修书。</w:t>
      </w:r>
      <w:r/>
    </w:p>
    <w:p>
      <w:pPr>
        <w:spacing w:line="360" w:lineRule="auto"/>
        <w:rPr>
          <w:rFonts w:ascii="宋体" w:hAnsi="宋体"/>
          <w:sz w:val="24"/>
          <w:highlight w:val="none"/>
        </w:rPr>
        <w:outlineLvl w:val="0"/>
      </w:pPr>
      <w:r>
        <w:rPr>
          <w:rFonts w:hint="eastAsia" w:ascii="宋体" w:hAnsi="宋体"/>
          <w:sz w:val="24"/>
          <w:highlight w:val="none"/>
        </w:rPr>
        <w:t xml:space="preserve">　　一、工程质量保修范围和内容</w:t>
      </w:r>
      <w:r/>
    </w:p>
    <w:p>
      <w:pPr>
        <w:spacing w:line="360" w:lineRule="auto"/>
        <w:rPr>
          <w:rFonts w:ascii="宋体" w:hAnsi="宋体"/>
          <w:sz w:val="24"/>
          <w:highlight w:val="none"/>
        </w:rPr>
      </w:pPr>
      <w:r>
        <w:rPr>
          <w:rFonts w:hint="eastAsia" w:ascii="宋体" w:hAnsi="宋体"/>
          <w:sz w:val="24"/>
          <w:highlight w:val="none"/>
        </w:rPr>
        <w:t xml:space="preserve">　　承包人在质量保修期内，按照有关法律规定和合同约定，承担工程质量保修责任。</w:t>
      </w:r>
      <w:r/>
    </w:p>
    <w:p>
      <w:pPr>
        <w:spacing w:line="360" w:lineRule="auto"/>
        <w:rPr>
          <w:rFonts w:ascii="宋体" w:hAnsi="宋体"/>
          <w:sz w:val="24"/>
          <w:highlight w:val="none"/>
        </w:rPr>
      </w:pPr>
      <w:r>
        <w:rPr>
          <w:rFonts w:hint="eastAsia" w:ascii="宋体" w:hAnsi="宋体"/>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sz w:val="24"/>
          <w:highlight w:val="none"/>
        </w:rPr>
      </w:pPr>
      <w:r>
        <w:rPr>
          <w:rFonts w:hint="eastAsia" w:ascii="宋体" w:hAnsi="宋体"/>
          <w:sz w:val="24"/>
          <w:highlight w:val="none"/>
        </w:rPr>
        <w:t xml:space="preserve">　　</w:t>
      </w:r>
      <w:r>
        <w:rPr>
          <w:rFonts w:hint="eastAsia" w:ascii="宋体" w:hAnsi="宋体"/>
          <w:sz w:val="24"/>
          <w:highlight w:val="none"/>
          <w:u w:val="single"/>
        </w:rPr>
        <w:t xml:space="preserve">按合同承包范围内容</w:t>
      </w:r>
      <w:r>
        <w:rPr>
          <w:rFonts w:hint="eastAsia" w:ascii="宋体" w:hAnsi="宋体"/>
          <w:sz w:val="24"/>
          <w:highlight w:val="none"/>
        </w:rPr>
        <w:t xml:space="preserve">。</w:t>
      </w:r>
      <w:r/>
    </w:p>
    <w:p>
      <w:pPr>
        <w:spacing w:line="360" w:lineRule="auto"/>
        <w:rPr>
          <w:rFonts w:ascii="宋体" w:hAnsi="宋体"/>
          <w:sz w:val="24"/>
          <w:highlight w:val="none"/>
        </w:rPr>
        <w:outlineLvl w:val="0"/>
      </w:pPr>
      <w:r>
        <w:rPr>
          <w:rFonts w:hint="eastAsia" w:ascii="宋体" w:hAnsi="宋体"/>
          <w:b/>
          <w:sz w:val="24"/>
          <w:highlight w:val="none"/>
        </w:rPr>
        <w:t xml:space="preserve">　　</w:t>
      </w:r>
      <w:r>
        <w:rPr>
          <w:rFonts w:hint="eastAsia" w:ascii="宋体" w:hAnsi="宋体"/>
          <w:sz w:val="24"/>
          <w:highlight w:val="none"/>
        </w:rPr>
        <w:t xml:space="preserve">二、质量保修期</w:t>
      </w:r>
      <w:r/>
    </w:p>
    <w:p>
      <w:pPr>
        <w:ind w:firstLine="480"/>
        <w:spacing w:line="360" w:lineRule="auto"/>
        <w:rPr>
          <w:rFonts w:ascii="宋体" w:hAnsi="宋体"/>
          <w:sz w:val="24"/>
          <w:highlight w:val="none"/>
        </w:rPr>
      </w:pPr>
      <w:r>
        <w:rPr>
          <w:rFonts w:hint="eastAsia" w:ascii="宋体" w:hAnsi="宋体"/>
          <w:sz w:val="24"/>
          <w:highlight w:val="none"/>
        </w:rPr>
        <w:t xml:space="preserve">根据《建设工程质量管理条例》及有关规定，工程的质量保修期如下：</w:t>
      </w:r>
      <w:r/>
    </w:p>
    <w:p>
      <w:pPr>
        <w:ind w:firstLine="480"/>
        <w:rPr>
          <w:rFonts w:ascii="宋体" w:hAnsi="宋体"/>
          <w:sz w:val="24"/>
          <w:highlight w:val="none"/>
        </w:rPr>
      </w:pPr>
      <w:r>
        <w:rPr>
          <w:rFonts w:hint="eastAsia" w:ascii="宋体" w:hAnsi="宋体"/>
          <w:sz w:val="24"/>
          <w:highlight w:val="none"/>
        </w:rPr>
        <w:t xml:space="preserve">1．地基基础工程和主体结构工程为设计文件规定的工程合理使用年限；</w:t>
      </w:r>
      <w:r/>
    </w:p>
    <w:p>
      <w:pPr>
        <w:ind w:firstLine="480"/>
        <w:spacing w:line="360" w:lineRule="auto"/>
        <w:rPr>
          <w:rFonts w:ascii="宋体" w:hAnsi="宋体"/>
          <w:sz w:val="24"/>
          <w:highlight w:val="none"/>
        </w:rPr>
      </w:pPr>
      <w:r>
        <w:rPr>
          <w:rFonts w:hint="eastAsia" w:ascii="宋体" w:hAnsi="宋体"/>
          <w:sz w:val="24"/>
          <w:highlight w:val="none"/>
        </w:rPr>
        <w:t xml:space="preserve">2．屋面防水工程、有防水要求的卫生间、房间和外墙面的防渗为</w:t>
      </w:r>
      <w:r>
        <w:rPr>
          <w:rFonts w:hint="eastAsia" w:ascii="宋体" w:hAnsi="宋体"/>
          <w:sz w:val="24"/>
          <w:highlight w:val="none"/>
          <w:u w:val="single"/>
        </w:rPr>
        <w:t xml:space="preserve"> 伍 </w:t>
      </w:r>
      <w:r>
        <w:rPr>
          <w:rFonts w:hint="eastAsia" w:ascii="宋体" w:hAnsi="宋体"/>
          <w:sz w:val="24"/>
          <w:highlight w:val="none"/>
        </w:rPr>
        <w:t xml:space="preserve">年；</w:t>
      </w:r>
      <w:r/>
    </w:p>
    <w:p>
      <w:pPr>
        <w:ind w:left="420" w:firstLine="120"/>
        <w:spacing w:line="360" w:lineRule="auto"/>
        <w:rPr>
          <w:rFonts w:ascii="宋体" w:hAnsi="宋体"/>
          <w:sz w:val="24"/>
          <w:highlight w:val="none"/>
        </w:rPr>
      </w:pPr>
      <w:r>
        <w:rPr>
          <w:rFonts w:hint="eastAsia" w:ascii="宋体" w:hAnsi="宋体"/>
          <w:sz w:val="24"/>
          <w:highlight w:val="none"/>
        </w:rPr>
        <w:t xml:space="preserve">3．装修工程为</w:t>
      </w:r>
      <w:r>
        <w:rPr>
          <w:rFonts w:hint="eastAsia" w:ascii="宋体" w:hAnsi="宋体"/>
          <w:sz w:val="24"/>
          <w:highlight w:val="none"/>
          <w:u w:val="single"/>
        </w:rPr>
        <w:t xml:space="preserve">贰</w:t>
      </w:r>
      <w:r>
        <w:rPr>
          <w:rFonts w:hint="eastAsia" w:ascii="宋体" w:hAnsi="宋体"/>
          <w:sz w:val="24"/>
          <w:highlight w:val="none"/>
        </w:rPr>
        <w:t xml:space="preserve">年；</w:t>
      </w:r>
      <w:r/>
    </w:p>
    <w:p>
      <w:pPr>
        <w:ind w:left="420" w:firstLine="120"/>
        <w:spacing w:line="360" w:lineRule="auto"/>
        <w:rPr>
          <w:rFonts w:ascii="宋体" w:hAnsi="宋体"/>
          <w:sz w:val="24"/>
          <w:highlight w:val="none"/>
        </w:rPr>
      </w:pPr>
      <w:r>
        <w:rPr>
          <w:rFonts w:hint="eastAsia" w:ascii="宋体" w:hAnsi="宋体"/>
          <w:sz w:val="24"/>
          <w:highlight w:val="none"/>
        </w:rPr>
        <w:t xml:space="preserve">4．电气管线、给排水管道、设备安装工程为</w:t>
      </w:r>
      <w:r>
        <w:rPr>
          <w:rFonts w:hint="eastAsia" w:ascii="宋体" w:hAnsi="宋体"/>
          <w:sz w:val="24"/>
          <w:highlight w:val="none"/>
          <w:u w:val="single"/>
        </w:rPr>
        <w:t xml:space="preserve">贰</w:t>
      </w:r>
      <w:r>
        <w:rPr>
          <w:rFonts w:hint="eastAsia" w:ascii="宋体" w:hAnsi="宋体"/>
          <w:sz w:val="24"/>
          <w:highlight w:val="none"/>
        </w:rPr>
        <w:t xml:space="preserve">年；</w:t>
      </w:r>
      <w:r/>
    </w:p>
    <w:p>
      <w:pPr>
        <w:ind w:left="420" w:firstLine="120"/>
        <w:spacing w:line="360" w:lineRule="auto"/>
        <w:rPr>
          <w:rFonts w:ascii="宋体" w:hAnsi="宋体"/>
          <w:sz w:val="24"/>
          <w:highlight w:val="none"/>
        </w:rPr>
      </w:pPr>
      <w:r>
        <w:rPr>
          <w:rFonts w:hint="eastAsia" w:ascii="宋体" w:hAnsi="宋体"/>
          <w:sz w:val="24"/>
          <w:highlight w:val="none"/>
        </w:rPr>
        <w:t xml:space="preserve">5．供热与供冷系统为</w:t>
      </w:r>
      <w:r>
        <w:rPr>
          <w:rFonts w:hint="eastAsia" w:ascii="宋体" w:hAnsi="宋体"/>
          <w:sz w:val="24"/>
          <w:highlight w:val="none"/>
          <w:u w:val="single"/>
        </w:rPr>
        <w:t xml:space="preserve">贰</w:t>
      </w:r>
      <w:r>
        <w:rPr>
          <w:rFonts w:hint="eastAsia" w:ascii="宋体" w:hAnsi="宋体"/>
          <w:sz w:val="24"/>
          <w:highlight w:val="none"/>
        </w:rPr>
        <w:t xml:space="preserve">个采暖期、供冷期；</w:t>
      </w:r>
      <w:r/>
    </w:p>
    <w:p>
      <w:pPr>
        <w:ind w:left="420" w:firstLine="120"/>
        <w:spacing w:line="360" w:lineRule="auto"/>
        <w:rPr>
          <w:rFonts w:ascii="宋体" w:hAnsi="宋体"/>
          <w:sz w:val="24"/>
          <w:highlight w:val="none"/>
        </w:rPr>
      </w:pPr>
      <w:r>
        <w:rPr>
          <w:rFonts w:hint="eastAsia" w:ascii="宋体" w:hAnsi="宋体"/>
          <w:sz w:val="24"/>
          <w:highlight w:val="none"/>
        </w:rPr>
        <w:t xml:space="preserve">6．住宅小区内的给排水设施、道路等配套工程为</w:t>
      </w:r>
      <w:r>
        <w:rPr>
          <w:rFonts w:hint="eastAsia" w:ascii="宋体" w:hAnsi="宋体"/>
          <w:sz w:val="24"/>
          <w:highlight w:val="none"/>
          <w:u w:val="single"/>
        </w:rPr>
        <w:t xml:space="preserve">贰</w:t>
      </w:r>
      <w:r>
        <w:rPr>
          <w:rFonts w:hint="eastAsia" w:ascii="宋体" w:hAnsi="宋体"/>
          <w:sz w:val="24"/>
          <w:highlight w:val="none"/>
        </w:rPr>
        <w:t xml:space="preserve">年；</w:t>
      </w:r>
      <w:r/>
    </w:p>
    <w:p>
      <w:pPr>
        <w:ind w:left="420" w:firstLine="120"/>
        <w:spacing w:line="360" w:lineRule="auto"/>
        <w:rPr>
          <w:rFonts w:ascii="宋体" w:hAnsi="宋体"/>
          <w:b/>
          <w:sz w:val="24"/>
          <w:highlight w:val="none"/>
        </w:rPr>
      </w:pPr>
      <w:r>
        <w:rPr>
          <w:rFonts w:hint="eastAsia" w:ascii="宋体" w:hAnsi="宋体"/>
          <w:b/>
          <w:sz w:val="24"/>
          <w:highlight w:val="none"/>
        </w:rPr>
        <w:t xml:space="preserve">7．其他项目保修期限约定如下：本工程质量保修期为两年。</w:t>
      </w:r>
      <w:r/>
    </w:p>
    <w:p>
      <w:pPr>
        <w:ind w:firstLine="480"/>
        <w:spacing w:line="380" w:lineRule="exact"/>
        <w:rPr>
          <w:rFonts w:ascii="宋体" w:hAnsi="宋体"/>
          <w:sz w:val="24"/>
          <w:highlight w:val="none"/>
        </w:rPr>
      </w:pPr>
      <w:r>
        <w:rPr>
          <w:rFonts w:hint="eastAsia" w:ascii="宋体" w:hAnsi="宋体"/>
          <w:sz w:val="24"/>
          <w:highlight w:val="none"/>
        </w:rPr>
        <w:t xml:space="preserve">按《建设工程质量管理条例》的规定。</w:t>
      </w:r>
      <w:r/>
    </w:p>
    <w:p>
      <w:pPr>
        <w:spacing w:line="360" w:lineRule="auto"/>
        <w:rPr>
          <w:rFonts w:ascii="宋体" w:hAnsi="宋体"/>
          <w:sz w:val="24"/>
          <w:highlight w:val="none"/>
        </w:rPr>
      </w:pPr>
      <w:r>
        <w:rPr>
          <w:rFonts w:hint="eastAsia" w:ascii="宋体" w:hAnsi="宋体"/>
          <w:sz w:val="24"/>
          <w:highlight w:val="none"/>
        </w:rPr>
        <w:t xml:space="preserve">　　质量保修期自工程竣工验收合格之日起计算。</w:t>
      </w:r>
      <w:r/>
    </w:p>
    <w:p>
      <w:pPr>
        <w:ind w:firstLine="480"/>
        <w:spacing w:line="360" w:lineRule="auto"/>
        <w:rPr>
          <w:rFonts w:ascii="宋体" w:hAnsi="宋体"/>
          <w:sz w:val="24"/>
          <w:highlight w:val="none"/>
        </w:rPr>
        <w:outlineLvl w:val="0"/>
      </w:pPr>
      <w:r>
        <w:rPr>
          <w:rFonts w:hint="eastAsia" w:ascii="宋体" w:hAnsi="宋体"/>
          <w:sz w:val="24"/>
          <w:highlight w:val="none"/>
        </w:rPr>
        <w:t xml:space="preserve">三、缺陷责任期</w:t>
      </w:r>
      <w:r/>
    </w:p>
    <w:p>
      <w:pPr>
        <w:ind w:firstLine="480"/>
        <w:spacing w:line="360" w:lineRule="auto"/>
        <w:rPr>
          <w:rFonts w:ascii="宋体" w:hAnsi="宋体"/>
          <w:sz w:val="24"/>
          <w:highlight w:val="none"/>
        </w:rPr>
      </w:pPr>
      <w:r>
        <w:rPr>
          <w:rFonts w:hint="eastAsia" w:ascii="宋体" w:hAnsi="宋体"/>
          <w:sz w:val="24"/>
          <w:highlight w:val="none"/>
        </w:rPr>
        <w:t xml:space="preserve">工程缺陷责任期为</w:t>
      </w:r>
      <w:r>
        <w:rPr>
          <w:rFonts w:hint="eastAsia" w:ascii="宋体" w:hAnsi="宋体"/>
          <w:sz w:val="24"/>
          <w:highlight w:val="none"/>
          <w:u w:val="single"/>
        </w:rPr>
        <w:t xml:space="preserve">24</w:t>
      </w:r>
      <w:r>
        <w:rPr>
          <w:rFonts w:hint="eastAsia" w:ascii="宋体" w:hAnsi="宋体"/>
          <w:sz w:val="24"/>
          <w:highlight w:val="none"/>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sz w:val="24"/>
          <w:highlight w:val="none"/>
        </w:rPr>
      </w:pPr>
      <w:r>
        <w:rPr>
          <w:rFonts w:hint="eastAsia" w:ascii="宋体" w:hAnsi="宋体"/>
          <w:sz w:val="24"/>
          <w:highlight w:val="none"/>
        </w:rPr>
        <w:t xml:space="preserve">缺陷责任期终止后，发包人应退还剩余的质量保证金。</w:t>
      </w:r>
      <w:r/>
    </w:p>
    <w:p>
      <w:pPr>
        <w:spacing w:line="360" w:lineRule="auto"/>
        <w:rPr>
          <w:rFonts w:ascii="宋体" w:hAnsi="宋体"/>
          <w:sz w:val="24"/>
          <w:highlight w:val="none"/>
        </w:rPr>
        <w:outlineLvl w:val="0"/>
      </w:pPr>
      <w:r>
        <w:rPr>
          <w:rFonts w:hint="eastAsia" w:ascii="宋体" w:hAnsi="宋体"/>
          <w:sz w:val="24"/>
          <w:highlight w:val="none"/>
        </w:rPr>
        <w:t xml:space="preserve">    四、质量保修责任</w:t>
      </w:r>
      <w:r/>
    </w:p>
    <w:p>
      <w:pPr>
        <w:ind w:left="105" w:firstLine="491"/>
        <w:spacing w:line="360" w:lineRule="auto"/>
        <w:rPr>
          <w:rFonts w:ascii="宋体" w:hAnsi="宋体"/>
          <w:sz w:val="24"/>
          <w:highlight w:val="none"/>
        </w:rPr>
      </w:pPr>
      <w:r>
        <w:rPr>
          <w:rFonts w:hint="eastAsia" w:ascii="宋体" w:hAnsi="宋体"/>
          <w:sz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360" w:lineRule="auto"/>
        <w:rPr>
          <w:rFonts w:ascii="宋体" w:hAnsi="宋体"/>
          <w:sz w:val="24"/>
          <w:highlight w:val="none"/>
        </w:rPr>
      </w:pPr>
      <w:r>
        <w:rPr>
          <w:rFonts w:hint="eastAsia" w:ascii="宋体" w:hAnsi="宋体"/>
          <w:sz w:val="24"/>
          <w:highlight w:val="none"/>
        </w:rPr>
        <w:t xml:space="preserve">2．发生紧急事故需抢修的，承包人在接到事故通知后，应当立即到达事故现场抢修。</w:t>
      </w:r>
      <w:r/>
    </w:p>
    <w:p>
      <w:pPr>
        <w:ind w:left="105" w:firstLine="491"/>
        <w:spacing w:line="360" w:lineRule="auto"/>
        <w:rPr>
          <w:rFonts w:ascii="宋体" w:hAnsi="宋体"/>
          <w:sz w:val="24"/>
          <w:highlight w:val="none"/>
        </w:rPr>
      </w:pPr>
      <w:r>
        <w:rPr>
          <w:rFonts w:hint="eastAsia" w:ascii="宋体" w:hAnsi="宋体"/>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sz w:val="24"/>
          <w:highlight w:val="none"/>
        </w:rPr>
      </w:pPr>
      <w:r>
        <w:rPr>
          <w:rFonts w:hint="eastAsia" w:ascii="宋体" w:hAnsi="宋体"/>
          <w:sz w:val="24"/>
          <w:highlight w:val="none"/>
        </w:rPr>
        <w:t xml:space="preserve">4．质量保修完成后，由发包人组织验收。</w:t>
      </w:r>
      <w:r/>
    </w:p>
    <w:p>
      <w:pPr>
        <w:spacing w:line="360" w:lineRule="auto"/>
        <w:rPr>
          <w:rFonts w:ascii="宋体" w:hAnsi="宋体"/>
          <w:sz w:val="24"/>
          <w:highlight w:val="none"/>
        </w:rPr>
        <w:outlineLvl w:val="0"/>
      </w:pPr>
      <w:r>
        <w:rPr>
          <w:rFonts w:hint="eastAsia" w:ascii="宋体" w:hAnsi="宋体"/>
          <w:sz w:val="24"/>
          <w:highlight w:val="none"/>
        </w:rPr>
        <w:t xml:space="preserve">　　五、保修费用</w:t>
      </w:r>
      <w:r/>
    </w:p>
    <w:p>
      <w:pPr>
        <w:spacing w:line="360" w:lineRule="auto"/>
        <w:rPr>
          <w:rFonts w:ascii="宋体" w:hAnsi="宋体"/>
          <w:sz w:val="24"/>
          <w:highlight w:val="none"/>
        </w:rPr>
      </w:pPr>
      <w:r>
        <w:rPr>
          <w:rFonts w:hint="eastAsia" w:ascii="宋体" w:hAnsi="宋体"/>
          <w:sz w:val="24"/>
          <w:highlight w:val="none"/>
        </w:rPr>
        <w:t xml:space="preserve">　　保修费用由造成质量缺陷的责任方承担。</w:t>
      </w:r>
      <w:r/>
    </w:p>
    <w:p>
      <w:pPr>
        <w:ind w:firstLine="600"/>
        <w:spacing w:line="360" w:lineRule="auto"/>
        <w:rPr>
          <w:rFonts w:ascii="宋体" w:hAnsi="宋体"/>
          <w:sz w:val="24"/>
          <w:highlight w:val="none"/>
        </w:rPr>
        <w:outlineLvl w:val="0"/>
      </w:pPr>
      <w:r>
        <w:rPr>
          <w:rFonts w:hint="eastAsia" w:ascii="宋体" w:hAnsi="宋体"/>
          <w:b/>
          <w:sz w:val="24"/>
          <w:highlight w:val="none"/>
        </w:rPr>
        <w:t xml:space="preserve">六</w:t>
      </w:r>
      <w:r>
        <w:rPr>
          <w:rFonts w:hint="eastAsia" w:ascii="宋体" w:hAnsi="宋体"/>
          <w:sz w:val="24"/>
          <w:highlight w:val="none"/>
        </w:rPr>
        <w:t xml:space="preserve">、双方约定的其他工程质量保修事项：</w:t>
      </w:r>
      <w:r/>
    </w:p>
    <w:p>
      <w:pPr>
        <w:ind w:firstLine="600"/>
        <w:spacing w:line="360" w:lineRule="auto"/>
        <w:rPr>
          <w:rFonts w:ascii="宋体" w:hAnsi="宋体"/>
          <w:sz w:val="24"/>
          <w:highlight w:val="none"/>
          <w:u w:val="single"/>
        </w:rPr>
        <w:outlineLvl w:val="0"/>
      </w:pPr>
      <w:r>
        <w:rPr>
          <w:rFonts w:hint="eastAsia" w:ascii="宋体" w:hAnsi="宋体"/>
          <w:sz w:val="24"/>
          <w:highlight w:val="none"/>
          <w:u w:val="single"/>
        </w:rPr>
        <w:t xml:space="preserve">质量保修金约定：</w:t>
      </w:r>
      <w:r/>
    </w:p>
    <w:p>
      <w:pPr>
        <w:ind w:firstLine="600"/>
        <w:spacing w:line="360" w:lineRule="auto"/>
        <w:rPr>
          <w:rFonts w:ascii="宋体" w:hAnsi="宋体"/>
          <w:sz w:val="24"/>
          <w:highlight w:val="none"/>
          <w:u w:val="single"/>
        </w:rPr>
        <w:outlineLvl w:val="0"/>
      </w:pPr>
      <w:r>
        <w:rPr>
          <w:rFonts w:hint="eastAsia" w:ascii="宋体" w:hAnsi="宋体"/>
          <w:sz w:val="24"/>
          <w:highlight w:val="none"/>
          <w:u w:val="single"/>
        </w:rPr>
        <w:t xml:space="preserve">①质量保修金为审定价的 3%；</w:t>
      </w:r>
      <w:r/>
    </w:p>
    <w:p>
      <w:pPr>
        <w:ind w:firstLine="600"/>
        <w:spacing w:line="360" w:lineRule="auto"/>
        <w:rPr>
          <w:rFonts w:ascii="宋体" w:hAnsi="宋体"/>
          <w:sz w:val="24"/>
          <w:highlight w:val="none"/>
        </w:rPr>
        <w:outlineLvl w:val="0"/>
      </w:pPr>
      <w:r>
        <w:rPr>
          <w:rFonts w:hint="eastAsia" w:ascii="宋体" w:hAnsi="宋体"/>
          <w:sz w:val="24"/>
          <w:highlight w:val="none"/>
          <w:u w:val="single"/>
        </w:rPr>
        <w:t xml:space="preserve">②发包人在质保期满后付清质量保修金（无息）  </w:t>
      </w:r>
      <w:r>
        <w:rPr>
          <w:rFonts w:hint="eastAsia" w:ascii="宋体" w:hAnsi="宋体"/>
          <w:sz w:val="24"/>
          <w:highlight w:val="none"/>
        </w:rPr>
        <w:t xml:space="preserve">。</w:t>
      </w:r>
      <w:r/>
    </w:p>
    <w:p>
      <w:pPr>
        <w:ind w:firstLine="456"/>
        <w:spacing w:line="360" w:lineRule="auto"/>
        <w:rPr>
          <w:rFonts w:hint="eastAsia" w:ascii="宋体" w:hAnsi="宋体" w:eastAsia="宋体" w:cs="Times New Roman"/>
          <w:color w:val="000000"/>
          <w:sz w:val="24"/>
          <w:szCs w:val="24"/>
          <w:highlight w:val="none"/>
        </w:rPr>
      </w:pPr>
      <w:r>
        <w:rPr>
          <w:rFonts w:hint="eastAsia" w:ascii="宋体" w:hAnsi="宋体"/>
          <w:sz w:val="24"/>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发包人(公章)：</w:t>
      </w:r>
      <w:r>
        <w:rPr>
          <w:rFonts w:hint="eastAsia" w:ascii="宋体" w:hAnsi="宋体" w:eastAsia="宋体" w:cs="Times New Roman"/>
          <w:color w:val="000000"/>
          <w:sz w:val="24"/>
          <w:szCs w:val="24"/>
          <w:highlight w:val="none"/>
          <w:u w:val="single"/>
        </w:rPr>
        <w:t xml:space="preserve">        </w:t>
      </w:r>
      <w:r>
        <w:rPr>
          <w:rFonts w:hint="eastAsia" w:ascii="宋体" w:hAnsi="宋体" w:eastAsia="宋体" w:cs="Times New Roman"/>
          <w:color w:val="000000"/>
          <w:sz w:val="24"/>
          <w:szCs w:val="24"/>
          <w:highlight w:val="none"/>
        </w:rPr>
        <w:t xml:space="preserve"> 承包人(公章)：</w:t>
      </w:r>
      <w:r>
        <w:rPr>
          <w:rFonts w:hint="eastAsia" w:ascii="宋体" w:hAnsi="宋体" w:eastAsia="宋体" w:cs="Times New Roman"/>
          <w:color w:val="000000"/>
          <w:sz w:val="24"/>
          <w:szCs w:val="24"/>
          <w:highlight w:val="none"/>
          <w:u w:val="single"/>
        </w:rPr>
        <w:t xml:space="preserve">           </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  址：</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地  址：</w:t>
      </w:r>
      <w:r>
        <w:rPr>
          <w:rFonts w:hint="eastAsia" w:ascii="宋体" w:hAnsi="宋体" w:eastAsia="宋体" w:cs="Times New Roman"/>
          <w:color w:val="000000"/>
          <w:sz w:val="24"/>
          <w:szCs w:val="24"/>
          <w:highlight w:val="none"/>
          <w:u w:val="single"/>
        </w:rPr>
        <w:t xml:space="preserve">       </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法定代表人(签字)：</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法定代表人(签字)：</w:t>
      </w:r>
      <w:r>
        <w:rPr>
          <w:rFonts w:hint="eastAsia" w:ascii="宋体" w:hAnsi="宋体" w:eastAsia="宋体" w:cs="Times New Roman"/>
          <w:color w:val="000000"/>
          <w:sz w:val="24"/>
          <w:szCs w:val="24"/>
          <w:highlight w:val="none"/>
          <w:u w:val="single"/>
        </w:rPr>
        <w:t xml:space="preserve">       </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委托代理人(签字)：</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委托代理人(签字)：</w:t>
      </w:r>
      <w:r>
        <w:rPr>
          <w:rFonts w:hint="eastAsia" w:ascii="宋体" w:hAnsi="宋体" w:eastAsia="宋体" w:cs="Times New Roman"/>
          <w:color w:val="000000"/>
          <w:sz w:val="24"/>
          <w:szCs w:val="24"/>
          <w:highlight w:val="none"/>
          <w:u w:val="single"/>
        </w:rPr>
        <w:t xml:space="preserve">       </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  话：</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电  话：</w:t>
      </w:r>
      <w:r>
        <w:rPr>
          <w:rFonts w:hint="eastAsia" w:ascii="宋体" w:hAnsi="宋体" w:eastAsia="宋体" w:cs="Times New Roman"/>
          <w:color w:val="000000"/>
          <w:sz w:val="24"/>
          <w:szCs w:val="24"/>
          <w:highlight w:val="none"/>
          <w:u w:val="single"/>
        </w:rPr>
        <w:t xml:space="preserve">     </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传  真：</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传  真：</w:t>
      </w:r>
      <w:r>
        <w:rPr>
          <w:rFonts w:hint="eastAsia" w:ascii="宋体" w:hAnsi="宋体" w:eastAsia="宋体" w:cs="Times New Roman"/>
          <w:color w:val="000000"/>
          <w:sz w:val="24"/>
          <w:szCs w:val="24"/>
          <w:highlight w:val="none"/>
          <w:u w:val="single"/>
        </w:rPr>
        <w:t xml:space="preserve">     </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开户银行：</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开户银行：</w:t>
      </w:r>
      <w:r>
        <w:rPr>
          <w:rFonts w:hint="eastAsia" w:ascii="宋体" w:hAnsi="宋体" w:eastAsia="宋体" w:cs="Times New Roman"/>
          <w:color w:val="000000"/>
          <w:sz w:val="24"/>
          <w:szCs w:val="24"/>
          <w:highlight w:val="none"/>
          <w:u w:val="single"/>
        </w:rPr>
        <w:t xml:space="preserve">   </w:t>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账  号：</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账  号：</w:t>
      </w:r>
      <w:r>
        <w:rPr>
          <w:rFonts w:hint="eastAsia" w:ascii="宋体" w:hAnsi="宋体" w:eastAsia="宋体" w:cs="Times New Roman"/>
          <w:color w:val="000000"/>
          <w:sz w:val="24"/>
          <w:szCs w:val="24"/>
          <w:highlight w:val="none"/>
          <w:u w:val="single"/>
        </w:rPr>
        <w:t xml:space="preserve">     </w:t>
      </w:r>
      <w:r/>
    </w:p>
    <w:p>
      <w:pPr>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邮政编码：</w:t>
      </w:r>
      <w:r>
        <w:rPr>
          <w:rFonts w:hint="eastAsia" w:ascii="宋体" w:hAnsi="宋体" w:eastAsia="宋体" w:cs="Times New Roman"/>
          <w:color w:val="000000"/>
          <w:sz w:val="24"/>
          <w:szCs w:val="24"/>
          <w:highlight w:val="none"/>
          <w:u w:val="single"/>
        </w:rPr>
        <w:t xml:space="preserve">     </w:t>
      </w:r>
      <w:r>
        <w:rPr>
          <w:rFonts w:hint="eastAsia" w:ascii="宋体" w:hAnsi="宋体" w:eastAsia="宋体" w:cs="Times New Roman"/>
          <w:color w:val="000000"/>
          <w:sz w:val="24"/>
          <w:szCs w:val="24"/>
          <w:highlight w:val="none"/>
        </w:rPr>
        <w:t xml:space="preserve"> 邮政编码：</w:t>
      </w:r>
      <w:r>
        <w:rPr>
          <w:rFonts w:hint="eastAsia" w:ascii="宋体" w:hAnsi="宋体" w:eastAsia="宋体" w:cs="Times New Roman"/>
          <w:color w:val="000000"/>
          <w:sz w:val="24"/>
          <w:szCs w:val="24"/>
          <w:highlight w:val="none"/>
          <w:u w:val="single"/>
        </w:rPr>
        <w:t xml:space="preserve">   </w:t>
      </w:r>
      <w:r/>
    </w:p>
    <w:p>
      <w:pPr>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p>
      <w:pPr>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p>
      <w:pPr>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p>
      <w:pPr>
        <w:spacing w:line="360" w:lineRule="auto"/>
        <w:rPr>
          <w:rFonts w:hint="eastAsia" w:ascii="宋体" w:hAnsi="宋体" w:eastAsia="宋体" w:cs="Times New Roman"/>
          <w:color w:val="000000"/>
          <w:sz w:val="30"/>
          <w:szCs w:val="30"/>
          <w:highlight w:val="none"/>
          <w:lang w:eastAsia="zh-CN"/>
        </w:rPr>
      </w:pPr>
      <w:r>
        <w:rPr>
          <w:rFonts w:hint="eastAsia" w:ascii="宋体" w:hAnsi="宋体" w:eastAsia="宋体" w:cs="Times New Roman"/>
          <w:color w:val="000000"/>
          <w:sz w:val="30"/>
          <w:szCs w:val="30"/>
          <w:highlight w:val="none"/>
          <w:lang w:eastAsia="zh-CN"/>
        </w:rPr>
        <w:t xml:space="preserve">附件：</w:t>
      </w:r>
      <w:r/>
    </w:p>
    <w:p>
      <w:pPr>
        <w:ind w:firstLine="435"/>
        <w:jc w:val="center"/>
        <w:spacing w:line="520" w:lineRule="exact"/>
        <w:rPr>
          <w:rFonts w:ascii="宋体" w:hAnsi="宋体"/>
          <w:b/>
          <w:sz w:val="36"/>
          <w:szCs w:val="36"/>
        </w:rPr>
      </w:pPr>
      <w:r>
        <w:rPr>
          <w:rFonts w:hint="eastAsia" w:ascii="宋体" w:hAnsi="宋体"/>
          <w:b/>
          <w:sz w:val="36"/>
          <w:szCs w:val="36"/>
        </w:rPr>
        <w:t xml:space="preserve">安全生产合同</w:t>
      </w:r>
      <w:r/>
    </w:p>
    <w:p>
      <w:pPr>
        <w:ind w:firstLine="435"/>
        <w:spacing w:line="520" w:lineRule="exact"/>
        <w:rPr>
          <w:rFonts w:hint="eastAsia" w:ascii="宋体" w:hAnsi="宋体"/>
          <w:b/>
          <w:bCs/>
          <w:sz w:val="24"/>
        </w:rPr>
      </w:pPr>
      <w:r>
        <w:rPr>
          <w:rFonts w:hint="eastAsia" w:ascii="宋体" w:hAnsi="宋体"/>
          <w:b/>
          <w:bCs/>
          <w:sz w:val="24"/>
        </w:rPr>
      </w:r>
      <w:r/>
    </w:p>
    <w:p>
      <w:pPr>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发包人（全称）：</w:t>
      </w:r>
      <w:r>
        <w:rPr>
          <w:rFonts w:hint="eastAsia" w:ascii="宋体" w:hAnsi="宋体" w:eastAsia="宋体" w:cs="Times New Roman"/>
          <w:color w:val="000000"/>
          <w:sz w:val="24"/>
          <w:szCs w:val="24"/>
          <w:highlight w:val="none"/>
          <w:u w:val="single"/>
        </w:rPr>
        <w:t xml:space="preserve">                                </w:t>
      </w:r>
      <w:r/>
    </w:p>
    <w:p>
      <w:pPr>
        <w:ind w:firstLine="480"/>
        <w:spacing w:line="440" w:lineRule="exact"/>
        <w:rPr>
          <w:rFonts w:hint="eastAsia" w:ascii="宋体" w:hAnsi="宋体"/>
          <w:sz w:val="24"/>
          <w:szCs w:val="24"/>
        </w:rPr>
      </w:pPr>
      <w:r>
        <w:rPr>
          <w:rFonts w:hint="eastAsia" w:ascii="宋体" w:hAnsi="宋体" w:eastAsia="宋体" w:cs="Times New Roman"/>
          <w:color w:val="000000"/>
          <w:sz w:val="24"/>
          <w:szCs w:val="24"/>
          <w:highlight w:val="none"/>
        </w:rPr>
        <w:t xml:space="preserve">承包人（全称）：</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w:t>
      </w:r>
      <w:r/>
    </w:p>
    <w:p>
      <w:pPr>
        <w:ind w:firstLine="435"/>
        <w:spacing w:line="520" w:lineRule="exact"/>
        <w:rPr>
          <w:rFonts w:ascii="宋体" w:hAnsi="宋体"/>
          <w:b w:val="0"/>
          <w:bCs w:val="0"/>
          <w:sz w:val="24"/>
          <w:szCs w:val="24"/>
        </w:rPr>
      </w:pPr>
      <w:r>
        <w:rPr>
          <w:rFonts w:hint="eastAsia" w:ascii="宋体" w:hAnsi="宋体"/>
          <w:b w:val="0"/>
          <w:bCs w:val="0"/>
          <w:sz w:val="24"/>
          <w:szCs w:val="24"/>
        </w:rPr>
        <w:t xml:space="preserve">为在</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eastAsia="zh-CN"/>
        </w:rPr>
        <w:t xml:space="preserve">工程</w:t>
      </w:r>
      <w:r>
        <w:rPr>
          <w:rFonts w:hint="eastAsia" w:ascii="宋体" w:hAnsi="宋体"/>
          <w:b w:val="0"/>
          <w:bCs w:val="0"/>
          <w:sz w:val="24"/>
          <w:szCs w:val="24"/>
        </w:rPr>
        <w:t xml:space="preserve">的实施过程中创造安全、高效的施工环境，切实搞好本项目的安全管理工作，特此签订安全生产合同。具体如下：</w:t>
      </w:r>
      <w:r/>
    </w:p>
    <w:p>
      <w:pPr>
        <w:ind w:firstLine="435"/>
        <w:spacing w:line="520" w:lineRule="exact"/>
        <w:rPr>
          <w:rFonts w:ascii="宋体" w:hAnsi="宋体"/>
          <w:b w:val="0"/>
          <w:bCs w:val="0"/>
          <w:sz w:val="24"/>
        </w:rPr>
      </w:pPr>
      <w:r>
        <w:rPr>
          <w:rFonts w:hint="eastAsia" w:ascii="宋体" w:hAnsi="宋体"/>
          <w:b w:val="0"/>
          <w:bCs w:val="0"/>
          <w:sz w:val="24"/>
        </w:rPr>
        <w:t xml:space="preserve">一、甲方职责</w:t>
      </w:r>
      <w:r/>
    </w:p>
    <w:p>
      <w:pPr>
        <w:ind w:firstLine="435"/>
        <w:spacing w:line="520" w:lineRule="exact"/>
        <w:rPr>
          <w:rFonts w:ascii="宋体" w:hAnsi="宋体"/>
          <w:b w:val="0"/>
          <w:bCs w:val="0"/>
          <w:sz w:val="24"/>
        </w:rPr>
      </w:pPr>
      <w:r>
        <w:rPr>
          <w:rFonts w:hint="eastAsia" w:ascii="宋体" w:hAnsi="宋体"/>
          <w:b w:val="0"/>
          <w:bCs w:val="0"/>
          <w:sz w:val="24"/>
        </w:rPr>
        <w:t xml:space="preserve">1．严格遵守国家有关安全生产的法律法规，认真执行工程承包合同中的有关安全要求。</w:t>
      </w:r>
      <w:r/>
    </w:p>
    <w:p>
      <w:pPr>
        <w:ind w:firstLine="435"/>
        <w:spacing w:line="520" w:lineRule="exact"/>
        <w:rPr>
          <w:rFonts w:ascii="宋体" w:hAnsi="宋体"/>
          <w:b w:val="0"/>
          <w:bCs w:val="0"/>
          <w:sz w:val="24"/>
        </w:rPr>
      </w:pPr>
      <w:r>
        <w:rPr>
          <w:rFonts w:hint="eastAsia" w:ascii="宋体" w:hAnsi="宋体"/>
          <w:b w:val="0"/>
          <w:bCs w:val="0"/>
          <w:sz w:val="24"/>
        </w:rPr>
        <w:t xml:space="preserve">2．按照“安全第一、预防为主”和坚持“管生产必需管安全”的原则进行安全生产管理，做到生产与安全工作同时计划、布置、检查、总结和评比。</w:t>
      </w:r>
      <w:r/>
    </w:p>
    <w:p>
      <w:pPr>
        <w:ind w:firstLine="435"/>
        <w:spacing w:line="520" w:lineRule="exact"/>
        <w:rPr>
          <w:rFonts w:ascii="宋体" w:hAnsi="宋体"/>
          <w:b w:val="0"/>
          <w:bCs w:val="0"/>
          <w:sz w:val="24"/>
        </w:rPr>
      </w:pPr>
      <w:r>
        <w:rPr>
          <w:rFonts w:hint="eastAsia" w:ascii="宋体" w:hAnsi="宋体"/>
          <w:b w:val="0"/>
          <w:bCs w:val="0"/>
          <w:sz w:val="24"/>
        </w:rPr>
        <w:t xml:space="preserve">3．组织对乙方施工现场安全生产检查，建立安全生产责任制网络、汇总重要危险源、监督乙方及时处理发现的各种安全隐患。</w:t>
      </w:r>
      <w:r/>
    </w:p>
    <w:p>
      <w:pPr>
        <w:ind w:firstLine="435"/>
        <w:spacing w:line="520" w:lineRule="exact"/>
        <w:rPr>
          <w:rFonts w:ascii="宋体" w:hAnsi="宋体"/>
          <w:b w:val="0"/>
          <w:bCs w:val="0"/>
          <w:sz w:val="24"/>
        </w:rPr>
      </w:pPr>
      <w:r>
        <w:rPr>
          <w:rFonts w:hint="eastAsia" w:ascii="宋体" w:hAnsi="宋体"/>
          <w:b w:val="0"/>
          <w:bCs w:val="0"/>
          <w:sz w:val="24"/>
        </w:rPr>
        <w:t xml:space="preserve">二、乙方职责</w:t>
      </w:r>
      <w:r/>
    </w:p>
    <w:p>
      <w:pPr>
        <w:ind w:firstLine="435"/>
        <w:spacing w:line="520" w:lineRule="exact"/>
        <w:rPr>
          <w:rFonts w:ascii="宋体" w:hAnsi="宋体"/>
          <w:b w:val="0"/>
          <w:bCs w:val="0"/>
          <w:sz w:val="24"/>
        </w:rPr>
      </w:pPr>
      <w:r>
        <w:rPr>
          <w:rFonts w:hint="eastAsia" w:ascii="宋体" w:hAnsi="宋体"/>
          <w:b w:val="0"/>
          <w:bCs w:val="0"/>
          <w:sz w:val="24"/>
        </w:rPr>
        <w:t xml:space="preserve">1．严格遵守国家有关安全生产的法律法规、有关安全生产的规定，认真执行工程承包合同中的有关安全要求，接受甲方和监理工程师对安全生产工作的指导。</w:t>
      </w:r>
      <w:r/>
    </w:p>
    <w:p>
      <w:pPr>
        <w:ind w:firstLine="435"/>
        <w:spacing w:line="520" w:lineRule="exact"/>
        <w:rPr>
          <w:rFonts w:ascii="宋体" w:hAnsi="宋体"/>
          <w:b w:val="0"/>
          <w:bCs w:val="0"/>
          <w:sz w:val="24"/>
        </w:rPr>
      </w:pPr>
      <w:r>
        <w:rPr>
          <w:rFonts w:hint="eastAsia" w:ascii="宋体" w:hAnsi="宋体"/>
          <w:b w:val="0"/>
          <w:bCs w:val="0"/>
          <w:sz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35"/>
        <w:spacing w:line="520" w:lineRule="exact"/>
        <w:rPr>
          <w:rFonts w:ascii="宋体" w:hAnsi="宋体"/>
          <w:b w:val="0"/>
          <w:bCs w:val="0"/>
          <w:sz w:val="24"/>
        </w:rPr>
      </w:pPr>
      <w:r>
        <w:rPr>
          <w:rFonts w:hint="eastAsia" w:ascii="宋体" w:hAnsi="宋体"/>
          <w:b w:val="0"/>
          <w:bCs w:val="0"/>
          <w:sz w:val="24"/>
        </w:rPr>
        <w:t xml:space="preserve">3．建立健全安全生产责任制网络。从派往项目实施的项目经理到生产工人（包括临</w:t>
      </w:r>
      <w:r>
        <w:rPr>
          <w:rFonts w:hint="eastAsia" w:ascii="宋体" w:hAnsi="宋体"/>
          <w:b w:val="0"/>
          <w:bCs w:val="0"/>
          <w:sz w:val="24"/>
        </w:rPr>
        <w:t xml:space="preserve">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p>
    <w:p>
      <w:pPr>
        <w:ind w:firstLine="435"/>
        <w:spacing w:line="520" w:lineRule="exact"/>
        <w:rPr>
          <w:rFonts w:ascii="宋体" w:hAnsi="宋体"/>
          <w:b w:val="0"/>
          <w:bCs w:val="0"/>
          <w:sz w:val="24"/>
        </w:rPr>
      </w:pPr>
      <w:r>
        <w:rPr>
          <w:rFonts w:hint="eastAsia" w:ascii="宋体" w:hAnsi="宋体"/>
          <w:b w:val="0"/>
          <w:bCs w:val="0"/>
          <w:sz w:val="24"/>
        </w:rPr>
        <w:t xml:space="preserve">4．乙方在任何时侯都应采取各种合理的预防措施，防止其人员发生任何违法、违禁、暴力、违规或妨碍治安的行为。</w:t>
      </w:r>
      <w:r/>
    </w:p>
    <w:p>
      <w:pPr>
        <w:ind w:firstLine="435"/>
        <w:spacing w:line="520" w:lineRule="exact"/>
        <w:rPr>
          <w:rFonts w:ascii="宋体" w:hAnsi="宋体"/>
          <w:b w:val="0"/>
          <w:bCs w:val="0"/>
          <w:sz w:val="24"/>
        </w:rPr>
      </w:pPr>
      <w:r>
        <w:rPr>
          <w:rFonts w:hint="eastAsia" w:ascii="宋体" w:hAnsi="宋体"/>
          <w:b w:val="0"/>
          <w:bCs w:val="0"/>
          <w:sz w:val="24"/>
        </w:rPr>
        <w:t xml:space="preserve">5．乙方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35"/>
        <w:spacing w:line="520" w:lineRule="exact"/>
        <w:rPr>
          <w:rFonts w:ascii="宋体" w:hAnsi="宋体"/>
          <w:b w:val="0"/>
          <w:bCs w:val="0"/>
          <w:sz w:val="24"/>
        </w:rPr>
      </w:pPr>
      <w:r>
        <w:rPr>
          <w:rFonts w:hint="eastAsia" w:ascii="宋体" w:hAnsi="宋体"/>
          <w:b w:val="0"/>
          <w:bCs w:val="0"/>
          <w:sz w:val="24"/>
        </w:rPr>
        <w:t xml:space="preserve">6．加强施工中交通运输安全管理，各种运输机械等需划定运输路线行驶。</w:t>
      </w:r>
      <w:r/>
    </w:p>
    <w:p>
      <w:pPr>
        <w:ind w:firstLine="435"/>
        <w:spacing w:line="520" w:lineRule="exact"/>
        <w:rPr>
          <w:rFonts w:ascii="宋体" w:hAnsi="宋体"/>
          <w:b w:val="0"/>
          <w:bCs w:val="0"/>
          <w:sz w:val="24"/>
        </w:rPr>
      </w:pPr>
      <w:r>
        <w:rPr>
          <w:rFonts w:hint="eastAsia" w:ascii="宋体" w:hAnsi="宋体"/>
          <w:b w:val="0"/>
          <w:bCs w:val="0"/>
          <w:sz w:val="24"/>
        </w:rPr>
        <w:t xml:space="preserve">7．对于易燃易爆的材料除应专门有效封闭、妥善保管之外，还应配备有足够的消防设施，所有施工人员都应熟悉消防设备的性能和使用方法。</w:t>
      </w:r>
      <w:r/>
    </w:p>
    <w:p>
      <w:pPr>
        <w:ind w:firstLine="435"/>
        <w:spacing w:line="520" w:lineRule="exact"/>
        <w:rPr>
          <w:rFonts w:ascii="宋体" w:hAnsi="宋体"/>
          <w:b w:val="0"/>
          <w:bCs w:val="0"/>
          <w:sz w:val="24"/>
        </w:rPr>
      </w:pPr>
      <w:r>
        <w:rPr>
          <w:rFonts w:hint="eastAsia" w:ascii="宋体" w:hAnsi="宋体"/>
          <w:b w:val="0"/>
          <w:bCs w:val="0"/>
          <w:sz w:val="24"/>
        </w:rPr>
        <w:t xml:space="preserve">8．操作人员上岗，必须按规定穿戴防护用品。施工负责人和安全检查员应随时检查劳动防护用品的穿戴情况，不按规定穿戴防护用品的人员不得上岗。</w:t>
      </w:r>
      <w:r/>
    </w:p>
    <w:p>
      <w:pPr>
        <w:ind w:firstLine="435"/>
        <w:spacing w:line="520" w:lineRule="exact"/>
        <w:rPr>
          <w:rFonts w:ascii="宋体" w:hAnsi="宋体"/>
          <w:b w:val="0"/>
          <w:bCs w:val="0"/>
          <w:sz w:val="24"/>
        </w:rPr>
      </w:pPr>
      <w:r>
        <w:rPr>
          <w:rFonts w:hint="eastAsia" w:ascii="宋体" w:hAnsi="宋体"/>
          <w:b w:val="0"/>
          <w:bCs w:val="0"/>
          <w:sz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35"/>
        <w:spacing w:line="520" w:lineRule="exact"/>
        <w:rPr>
          <w:rFonts w:ascii="宋体" w:hAnsi="宋体"/>
          <w:b w:val="0"/>
          <w:bCs w:val="0"/>
          <w:sz w:val="24"/>
        </w:rPr>
      </w:pPr>
      <w:r>
        <w:rPr>
          <w:rFonts w:hint="eastAsia" w:ascii="宋体" w:hAnsi="宋体"/>
          <w:b w:val="0"/>
          <w:bCs w:val="0"/>
          <w:sz w:val="24"/>
        </w:rPr>
        <w:t xml:space="preserve">10．施工现场必须具有相关的安全标志牌。</w:t>
      </w:r>
      <w:r/>
    </w:p>
    <w:p>
      <w:pPr>
        <w:ind w:firstLine="435"/>
        <w:spacing w:line="520" w:lineRule="exact"/>
        <w:rPr>
          <w:rFonts w:ascii="宋体" w:hAnsi="宋体"/>
          <w:b w:val="0"/>
          <w:bCs w:val="0"/>
          <w:sz w:val="24"/>
        </w:rPr>
      </w:pPr>
      <w:r>
        <w:rPr>
          <w:rFonts w:hint="eastAsia" w:ascii="宋体" w:hAnsi="宋体"/>
          <w:b w:val="0"/>
          <w:bCs w:val="0"/>
          <w:sz w:val="24"/>
        </w:rPr>
        <w:t xml:space="preserve">11．建立主要危险源备案制度，要明确潜在隐患、防范措施和落实责任人。</w:t>
      </w:r>
      <w:r/>
    </w:p>
    <w:p>
      <w:pPr>
        <w:ind w:firstLine="435"/>
        <w:spacing w:line="520" w:lineRule="exact"/>
        <w:rPr>
          <w:rFonts w:ascii="宋体" w:hAnsi="宋体"/>
          <w:b w:val="0"/>
          <w:bCs w:val="0"/>
          <w:sz w:val="24"/>
        </w:rPr>
      </w:pPr>
      <w:r>
        <w:rPr>
          <w:rFonts w:hint="eastAsia" w:ascii="宋体" w:hAnsi="宋体"/>
          <w:b w:val="0"/>
          <w:bCs w:val="0"/>
          <w:sz w:val="24"/>
        </w:rPr>
        <w:t xml:space="preserve">12．乙方必须按照本工程项目特点，组织制定本工程实施中的生产安全事故应急救援预案；如果发生安全事故，应按照有关规定及时上报有关部门，并坚持“</w:t>
      </w:r>
      <w:r>
        <w:rPr>
          <w:rFonts w:hint="eastAsia" w:ascii="宋体" w:hAnsi="宋体"/>
          <w:b w:val="0"/>
          <w:bCs w:val="0"/>
          <w:sz w:val="24"/>
          <w:lang w:val="en-US" w:eastAsia="zh-CN"/>
        </w:rPr>
        <w:t xml:space="preserve">四</w:t>
      </w:r>
      <w:r>
        <w:rPr>
          <w:rFonts w:hint="eastAsia" w:ascii="宋体" w:hAnsi="宋体"/>
          <w:b w:val="0"/>
          <w:bCs w:val="0"/>
          <w:sz w:val="24"/>
        </w:rPr>
        <w:t xml:space="preserve">不放过”的原则，严肃处理相关责任人。</w:t>
      </w:r>
      <w:r/>
    </w:p>
    <w:p>
      <w:pPr>
        <w:ind w:firstLine="435"/>
        <w:spacing w:line="520" w:lineRule="exact"/>
        <w:rPr>
          <w:rFonts w:ascii="宋体" w:hAnsi="宋体"/>
          <w:b w:val="0"/>
          <w:bCs w:val="0"/>
          <w:sz w:val="24"/>
        </w:rPr>
      </w:pPr>
      <w:r>
        <w:rPr>
          <w:rFonts w:hint="eastAsia" w:ascii="宋体" w:hAnsi="宋体"/>
          <w:b w:val="0"/>
          <w:bCs w:val="0"/>
          <w:sz w:val="24"/>
        </w:rPr>
        <w:t xml:space="preserve">13、乙方应严格按照国家有关安全施工规范进行施工，对施工人员做好安全教育工作，采取有效的安全防护措施，在施工过程中确保施工人员和其他人员的安全。非甲方原因所发生的安全事故（含人身伤害、机械等事故）由乙方负全部责任，甲方不承担任何责任。</w:t>
      </w:r>
      <w:r/>
    </w:p>
    <w:p>
      <w:pPr>
        <w:ind w:firstLine="435"/>
        <w:spacing w:line="520" w:lineRule="exact"/>
        <w:rPr>
          <w:rFonts w:ascii="宋体" w:hAnsi="宋体"/>
          <w:b w:val="0"/>
          <w:bCs w:val="0"/>
          <w:sz w:val="24"/>
        </w:rPr>
      </w:pPr>
      <w:r>
        <w:rPr>
          <w:rFonts w:hint="eastAsia" w:ascii="宋体" w:hAnsi="宋体"/>
          <w:b w:val="0"/>
          <w:bCs w:val="0"/>
          <w:sz w:val="24"/>
        </w:rPr>
        <w:t xml:space="preserve">三、违约责任</w:t>
      </w:r>
      <w:r/>
    </w:p>
    <w:p>
      <w:pPr>
        <w:ind w:firstLine="435"/>
        <w:spacing w:line="520" w:lineRule="exact"/>
        <w:rPr>
          <w:rFonts w:ascii="宋体" w:hAnsi="宋体"/>
          <w:b w:val="0"/>
          <w:bCs w:val="0"/>
          <w:sz w:val="24"/>
        </w:rPr>
      </w:pPr>
      <w:r>
        <w:rPr>
          <w:rFonts w:hint="eastAsia" w:ascii="宋体" w:hAnsi="宋体"/>
          <w:b w:val="0"/>
          <w:bCs w:val="0"/>
          <w:sz w:val="24"/>
        </w:rPr>
        <w:t xml:space="preserve">如因甲方或乙方违约造成安全事故，将报请有关部门依法追究责任。</w:t>
      </w:r>
      <w:r/>
    </w:p>
    <w:p>
      <w:pPr>
        <w:ind w:firstLine="435"/>
        <w:spacing w:line="520" w:lineRule="exact"/>
        <w:rPr>
          <w:rFonts w:hint="eastAsia" w:ascii="宋体" w:hAnsi="宋体"/>
          <w:b w:val="0"/>
          <w:bCs w:val="0"/>
          <w:sz w:val="24"/>
        </w:rPr>
      </w:pPr>
      <w:r>
        <w:rPr>
          <w:rFonts w:hint="eastAsia" w:ascii="宋体" w:hAnsi="宋体"/>
          <w:b w:val="0"/>
          <w:bCs w:val="0"/>
          <w:sz w:val="24"/>
        </w:rPr>
        <w:t xml:space="preserve">本合同一式五份，由双方法定代表人或其授权的代理人签署和加盖公章后生效，全部工程竣工验收后失效。</w:t>
      </w:r>
      <w:r/>
    </w:p>
    <w:p>
      <w:pPr>
        <w:ind w:firstLine="435"/>
        <w:spacing w:line="520" w:lineRule="exact"/>
        <w:rPr>
          <w:rFonts w:hint="eastAsia" w:ascii="宋体" w:hAnsi="宋体"/>
          <w:b w:val="0"/>
          <w:bCs w:val="0"/>
          <w:sz w:val="24"/>
        </w:rPr>
      </w:pPr>
      <w:r>
        <w:rPr>
          <w:rFonts w:hint="eastAsia" w:ascii="宋体" w:hAnsi="宋体"/>
          <w:b w:val="0"/>
          <w:bCs w:val="0"/>
          <w:sz w:val="24"/>
        </w:rPr>
      </w:r>
      <w:r/>
    </w:p>
    <w:p>
      <w:pPr>
        <w:ind w:firstLine="435"/>
        <w:spacing w:line="520" w:lineRule="exact"/>
        <w:rPr>
          <w:rFonts w:ascii="宋体" w:hAnsi="宋体"/>
          <w:b w:val="0"/>
          <w:bCs w:val="0"/>
          <w:sz w:val="24"/>
        </w:rPr>
      </w:pPr>
      <w:r>
        <w:rPr>
          <w:rFonts w:hint="eastAsia" w:ascii="宋体" w:hAnsi="宋体"/>
          <w:b w:val="0"/>
          <w:bCs w:val="0"/>
          <w:sz w:val="24"/>
        </w:rPr>
        <w:t xml:space="preserve">甲方单位（盖章）：</w:t>
      </w:r>
      <w:r>
        <w:rPr>
          <w:rFonts w:hint="eastAsia" w:ascii="宋体" w:hAnsi="宋体"/>
          <w:b w:val="0"/>
          <w:bCs w:val="0"/>
          <w:sz w:val="24"/>
          <w:lang w:val="en-US" w:eastAsia="zh-CN"/>
        </w:rPr>
        <w:t xml:space="preserve">                 </w:t>
      </w:r>
      <w:r>
        <w:rPr>
          <w:rFonts w:hint="eastAsia" w:ascii="宋体" w:hAnsi="宋体"/>
          <w:b w:val="0"/>
          <w:bCs w:val="0"/>
          <w:sz w:val="24"/>
        </w:rPr>
        <w:t xml:space="preserve">乙方单位（盖章）：</w:t>
      </w:r>
      <w:r/>
    </w:p>
    <w:p>
      <w:pPr>
        <w:ind w:firstLine="435"/>
        <w:spacing w:line="520" w:lineRule="exact"/>
        <w:rPr>
          <w:rFonts w:hint="default" w:ascii="宋体" w:hAnsi="宋体" w:eastAsia="宋体"/>
          <w:b w:val="0"/>
          <w:bCs w:val="0"/>
          <w:sz w:val="24"/>
          <w:lang w:val="en-US" w:eastAsia="zh-CN"/>
        </w:rPr>
      </w:pPr>
      <w:r>
        <w:rPr>
          <w:rFonts w:hint="eastAsia" w:ascii="宋体" w:hAnsi="宋体"/>
          <w:b w:val="0"/>
          <w:bCs w:val="0"/>
          <w:sz w:val="24"/>
        </w:rPr>
        <w:t xml:space="preserve">法定代表人</w:t>
      </w:r>
      <w:r>
        <w:rPr>
          <w:rFonts w:hint="eastAsia" w:ascii="宋体" w:hAnsi="宋体"/>
          <w:b w:val="0"/>
          <w:bCs w:val="0"/>
          <w:sz w:val="24"/>
          <w:lang w:val="en-US" w:eastAsia="zh-CN"/>
        </w:rPr>
        <w:t xml:space="preserve">                         </w:t>
      </w:r>
      <w:r>
        <w:rPr>
          <w:rFonts w:hint="eastAsia" w:ascii="宋体" w:hAnsi="宋体"/>
          <w:b w:val="0"/>
          <w:bCs w:val="0"/>
          <w:sz w:val="24"/>
        </w:rPr>
        <w:t xml:space="preserve">法定代表人</w:t>
      </w:r>
      <w:r/>
    </w:p>
    <w:p>
      <w:pPr>
        <w:ind w:firstLine="435"/>
        <w:spacing w:line="520" w:lineRule="exact"/>
        <w:rPr>
          <w:rFonts w:ascii="宋体" w:hAnsi="宋体"/>
          <w:b w:val="0"/>
          <w:bCs w:val="0"/>
          <w:sz w:val="24"/>
        </w:rPr>
      </w:pPr>
      <w:r>
        <w:rPr>
          <w:rFonts w:hint="eastAsia" w:ascii="宋体" w:hAnsi="宋体"/>
          <w:b w:val="0"/>
          <w:bCs w:val="0"/>
          <w:sz w:val="24"/>
        </w:rPr>
        <w:t xml:space="preserve">或委托代理人（签字）：     </w:t>
      </w:r>
      <w:r>
        <w:rPr>
          <w:rFonts w:hint="eastAsia" w:ascii="宋体" w:hAnsi="宋体"/>
          <w:b w:val="0"/>
          <w:bCs w:val="0"/>
          <w:sz w:val="24"/>
          <w:lang w:val="en-US" w:eastAsia="zh-CN"/>
        </w:rPr>
        <w:t xml:space="preserve">        </w:t>
      </w:r>
      <w:r>
        <w:rPr>
          <w:rFonts w:hint="eastAsia" w:ascii="宋体" w:hAnsi="宋体"/>
          <w:b w:val="0"/>
          <w:bCs w:val="0"/>
          <w:sz w:val="24"/>
        </w:rPr>
        <w:t xml:space="preserve">或委托代理人（签字）：</w:t>
      </w:r>
      <w:r/>
    </w:p>
    <w:p>
      <w:pPr>
        <w:ind w:firstLine="435"/>
        <w:spacing w:line="520" w:lineRule="exact"/>
        <w:rPr>
          <w:rFonts w:ascii="宋体" w:hAnsi="宋体"/>
          <w:b w:val="0"/>
          <w:bCs w:val="0"/>
          <w:sz w:val="24"/>
        </w:rPr>
      </w:pPr>
      <w:r>
        <w:rPr>
          <w:rFonts w:hint="eastAsia" w:ascii="宋体" w:hAnsi="宋体"/>
          <w:b w:val="0"/>
          <w:bCs w:val="0"/>
          <w:sz w:val="24"/>
          <w:szCs w:val="24"/>
        </w:rPr>
        <w:t xml:space="preserve">地址：   </w:t>
      </w:r>
      <w:r>
        <w:rPr>
          <w:rFonts w:hint="eastAsia" w:ascii="宋体" w:hAnsi="宋体"/>
          <w:b w:val="0"/>
          <w:bCs w:val="0"/>
          <w:sz w:val="24"/>
          <w:szCs w:val="24"/>
          <w:lang w:val="en-US" w:eastAsia="zh-CN"/>
        </w:rPr>
        <w:t xml:space="preserve">                          </w:t>
      </w:r>
      <w:r>
        <w:rPr>
          <w:rFonts w:hint="eastAsia" w:ascii="宋体" w:hAnsi="宋体"/>
          <w:b w:val="0"/>
          <w:bCs w:val="0"/>
          <w:sz w:val="24"/>
        </w:rPr>
        <w:t xml:space="preserve">地址</w:t>
      </w:r>
      <w:r>
        <w:rPr>
          <w:rFonts w:hint="eastAsia" w:ascii="宋体" w:hAnsi="宋体"/>
          <w:b w:val="0"/>
          <w:bCs w:val="0"/>
          <w:sz w:val="24"/>
          <w:lang w:eastAsia="zh-CN"/>
        </w:rPr>
        <w:t xml:space="preserve">：</w:t>
      </w:r>
      <w:r/>
    </w:p>
    <w:p>
      <w:pPr>
        <w:ind w:firstLine="435"/>
        <w:spacing w:line="520" w:lineRule="exact"/>
        <w:rPr>
          <w:rFonts w:hint="default" w:ascii="宋体" w:hAnsi="宋体" w:eastAsia="宋体"/>
          <w:b w:val="0"/>
          <w:bCs w:val="0"/>
          <w:sz w:val="24"/>
          <w:lang w:val="en-US" w:eastAsia="zh-CN"/>
        </w:rPr>
      </w:pPr>
      <w:r>
        <w:rPr>
          <w:rFonts w:hint="eastAsia" w:ascii="宋体" w:hAnsi="宋体"/>
          <w:b w:val="0"/>
          <w:bCs w:val="0"/>
          <w:sz w:val="24"/>
        </w:rPr>
        <w:t xml:space="preserve">电</w:t>
      </w:r>
      <w:r>
        <w:rPr>
          <w:rFonts w:hint="eastAsia" w:ascii="宋体" w:hAnsi="宋体"/>
          <w:b w:val="0"/>
          <w:bCs w:val="0"/>
          <w:sz w:val="24"/>
          <w:szCs w:val="24"/>
        </w:rPr>
        <w:t xml:space="preserve">话：       </w:t>
      </w:r>
      <w:r>
        <w:rPr>
          <w:rFonts w:hint="eastAsia" w:ascii="宋体" w:hAnsi="宋体"/>
          <w:b w:val="0"/>
          <w:bCs w:val="0"/>
          <w:sz w:val="24"/>
        </w:rPr>
        <w:t xml:space="preserve">       </w:t>
      </w:r>
      <w:r>
        <w:rPr>
          <w:rFonts w:hint="eastAsia" w:ascii="宋体" w:hAnsi="宋体"/>
          <w:b w:val="0"/>
          <w:bCs w:val="0"/>
          <w:sz w:val="24"/>
          <w:lang w:val="en-US" w:eastAsia="zh-CN"/>
        </w:rPr>
        <w:t xml:space="preserve">               电话：</w:t>
      </w:r>
      <w:r/>
    </w:p>
    <w:p>
      <w:pPr>
        <w:ind w:firstLine="435"/>
        <w:spacing w:line="520" w:lineRule="exact"/>
        <w:rPr>
          <w:rFonts w:hint="default" w:ascii="宋体" w:hAnsi="宋体" w:eastAsia="宋体"/>
          <w:b w:val="0"/>
          <w:bCs w:val="0"/>
          <w:sz w:val="24"/>
          <w:lang w:val="en-US" w:eastAsia="zh-CN"/>
        </w:rPr>
      </w:pPr>
      <w:r>
        <w:rPr>
          <w:rFonts w:hint="eastAsia" w:ascii="宋体" w:hAnsi="宋体"/>
          <w:b w:val="0"/>
          <w:bCs w:val="0"/>
          <w:sz w:val="24"/>
        </w:rPr>
        <w:t xml:space="preserve">传真：                </w:t>
      </w:r>
      <w:r>
        <w:rPr>
          <w:rFonts w:hint="eastAsia" w:ascii="宋体" w:hAnsi="宋体"/>
          <w:b w:val="0"/>
          <w:bCs w:val="0"/>
          <w:sz w:val="24"/>
          <w:lang w:val="en-US" w:eastAsia="zh-CN"/>
        </w:rPr>
        <w:t xml:space="preserve">             传真：</w:t>
      </w:r>
      <w:r/>
    </w:p>
    <w:p>
      <w:pPr>
        <w:ind w:firstLine="435"/>
        <w:spacing w:line="520" w:lineRule="exact"/>
        <w:rPr>
          <w:rFonts w:hint="eastAsia" w:ascii="宋体" w:hAnsi="宋体"/>
          <w:b w:val="0"/>
          <w:bCs w:val="0"/>
          <w:sz w:val="24"/>
        </w:rPr>
      </w:pPr>
      <w:r>
        <w:rPr>
          <w:rFonts w:hint="eastAsia" w:ascii="宋体" w:hAnsi="宋体"/>
          <w:b w:val="0"/>
          <w:bCs w:val="0"/>
          <w:sz w:val="24"/>
        </w:rPr>
        <w:t xml:space="preserve">邮政编码：    </w:t>
      </w:r>
      <w:r>
        <w:rPr>
          <w:rFonts w:hint="eastAsia" w:ascii="宋体" w:hAnsi="宋体"/>
          <w:b w:val="0"/>
          <w:bCs w:val="0"/>
          <w:sz w:val="24"/>
          <w:lang w:val="en-US" w:eastAsia="zh-CN"/>
        </w:rPr>
        <w:t xml:space="preserve">                   </w:t>
      </w:r>
      <w:r>
        <w:rPr>
          <w:rFonts w:hint="eastAsia" w:ascii="宋体" w:hAnsi="宋体"/>
          <w:b w:val="0"/>
          <w:bCs w:val="0"/>
          <w:sz w:val="24"/>
        </w:rPr>
        <w:t xml:space="preserve">  邮政编码：</w:t>
      </w:r>
      <w:r/>
    </w:p>
    <w:p>
      <w:pPr>
        <w:ind w:firstLine="435"/>
        <w:spacing w:line="520" w:lineRule="exact"/>
        <w:rPr>
          <w:rFonts w:hint="eastAsia" w:ascii="宋体" w:hAnsi="宋体"/>
          <w:b w:val="0"/>
          <w:bCs w:val="0"/>
          <w:sz w:val="24"/>
        </w:rPr>
      </w:pPr>
      <w:r>
        <w:rPr>
          <w:rFonts w:hint="eastAsia" w:ascii="宋体" w:hAnsi="宋体"/>
          <w:b w:val="0"/>
          <w:bCs w:val="0"/>
          <w:sz w:val="24"/>
        </w:rPr>
      </w:r>
      <w:r/>
    </w:p>
    <w:p>
      <w:pPr>
        <w:ind w:firstLine="480"/>
        <w:spacing w:line="360" w:lineRule="auto"/>
        <w:rPr>
          <w:rFonts w:hint="eastAsia" w:ascii="宋体" w:hAnsi="宋体" w:eastAsia="宋体" w:cs="Times New Roman"/>
          <w:color w:val="000000"/>
          <w:sz w:val="30"/>
          <w:szCs w:val="30"/>
          <w:highlight w:val="none"/>
          <w:lang w:eastAsia="zh-CN"/>
        </w:rPr>
      </w:pPr>
      <w:r>
        <w:rPr>
          <w:rFonts w:hint="eastAsia" w:ascii="宋体" w:hAnsi="宋体"/>
          <w:b w:val="0"/>
          <w:bCs w:val="0"/>
          <w:sz w:val="24"/>
        </w:rPr>
        <w:t xml:space="preserve">签定日期：  </w:t>
      </w:r>
      <w:r>
        <w:rPr>
          <w:rFonts w:hint="eastAsia" w:ascii="宋体" w:hAnsi="宋体"/>
          <w:b w:val="0"/>
          <w:bCs w:val="0"/>
          <w:sz w:val="24"/>
          <w:lang w:val="en-US" w:eastAsia="zh-CN"/>
        </w:rPr>
        <w:t xml:space="preserve">   </w:t>
      </w:r>
      <w:r>
        <w:rPr>
          <w:rFonts w:hint="eastAsia" w:ascii="宋体" w:hAnsi="宋体"/>
          <w:b w:val="0"/>
          <w:bCs w:val="0"/>
          <w:sz w:val="24"/>
        </w:rPr>
        <w:t xml:space="preserve"> 年 </w:t>
      </w:r>
      <w:r>
        <w:rPr>
          <w:rFonts w:hint="eastAsia" w:ascii="宋体" w:hAnsi="宋体"/>
          <w:b w:val="0"/>
          <w:bCs w:val="0"/>
          <w:sz w:val="24"/>
          <w:lang w:val="en-US" w:eastAsia="zh-CN"/>
        </w:rPr>
        <w:t xml:space="preserve">   </w:t>
      </w:r>
      <w:r>
        <w:rPr>
          <w:rFonts w:hint="eastAsia" w:ascii="宋体" w:hAnsi="宋体"/>
          <w:b w:val="0"/>
          <w:bCs w:val="0"/>
          <w:sz w:val="24"/>
        </w:rPr>
        <w:t xml:space="preserve">月 </w:t>
      </w:r>
      <w:r>
        <w:rPr>
          <w:rFonts w:hint="eastAsia" w:ascii="宋体" w:hAnsi="宋体"/>
          <w:b w:val="0"/>
          <w:bCs w:val="0"/>
          <w:sz w:val="24"/>
          <w:lang w:val="en-US" w:eastAsia="zh-CN"/>
        </w:rPr>
        <w:t xml:space="preserve">  </w:t>
      </w:r>
      <w:r>
        <w:rPr>
          <w:rFonts w:hint="eastAsia" w:ascii="宋体" w:hAnsi="宋体"/>
          <w:b w:val="0"/>
          <w:bCs w:val="0"/>
          <w:sz w:val="24"/>
        </w:rPr>
        <w:t xml:space="preserve"> 日</w:t>
      </w:r>
      <w:r>
        <w:rPr>
          <w:rFonts w:hint="eastAsia" w:ascii="宋体" w:hAnsi="宋体"/>
          <w:b w:val="0"/>
          <w:bCs w:val="0"/>
          <w:sz w:val="24"/>
          <w:lang w:val="en-US" w:eastAsia="zh-CN"/>
        </w:rPr>
        <w:t xml:space="preserve">     </w:t>
      </w:r>
      <w:r>
        <w:rPr>
          <w:rFonts w:hint="eastAsia" w:ascii="宋体" w:hAnsi="宋体"/>
          <w:b w:val="0"/>
          <w:bCs w:val="0"/>
          <w:sz w:val="24"/>
        </w:rPr>
        <w:t xml:space="preserve">签定日期：  </w:t>
      </w:r>
      <w:r>
        <w:rPr>
          <w:rFonts w:hint="eastAsia" w:ascii="宋体" w:hAnsi="宋体"/>
          <w:b w:val="0"/>
          <w:bCs w:val="0"/>
          <w:sz w:val="24"/>
          <w:lang w:val="en-US" w:eastAsia="zh-CN"/>
        </w:rPr>
        <w:t xml:space="preserve">   </w:t>
      </w:r>
      <w:r>
        <w:rPr>
          <w:rFonts w:hint="eastAsia" w:ascii="宋体" w:hAnsi="宋体"/>
          <w:b w:val="0"/>
          <w:bCs w:val="0"/>
          <w:sz w:val="24"/>
        </w:rPr>
        <w:t xml:space="preserve"> 年 </w:t>
      </w:r>
      <w:r>
        <w:rPr>
          <w:rFonts w:hint="eastAsia" w:ascii="宋体" w:hAnsi="宋体"/>
          <w:b w:val="0"/>
          <w:bCs w:val="0"/>
          <w:sz w:val="24"/>
          <w:lang w:val="en-US" w:eastAsia="zh-CN"/>
        </w:rPr>
        <w:t xml:space="preserve">   </w:t>
      </w:r>
      <w:r>
        <w:rPr>
          <w:rFonts w:hint="eastAsia" w:ascii="宋体" w:hAnsi="宋体"/>
          <w:b w:val="0"/>
          <w:bCs w:val="0"/>
          <w:sz w:val="24"/>
        </w:rPr>
        <w:t xml:space="preserve">月 </w:t>
      </w:r>
      <w:r>
        <w:rPr>
          <w:rFonts w:hint="eastAsia" w:ascii="宋体" w:hAnsi="宋体"/>
          <w:b w:val="0"/>
          <w:bCs w:val="0"/>
          <w:sz w:val="24"/>
          <w:lang w:val="en-US" w:eastAsia="zh-CN"/>
        </w:rPr>
        <w:t xml:space="preserve">  </w:t>
      </w:r>
      <w:r>
        <w:rPr>
          <w:rFonts w:hint="eastAsia" w:ascii="宋体" w:hAnsi="宋体"/>
          <w:b w:val="0"/>
          <w:bCs w:val="0"/>
          <w:sz w:val="24"/>
        </w:rPr>
        <w:t xml:space="preserve"> 日</w:t>
      </w:r>
      <w:r/>
    </w:p>
    <w:p>
      <w:pPr>
        <w:jc w:val="center"/>
        <w:spacing w:line="360" w:lineRule="auto"/>
        <w:rPr>
          <w:b/>
          <w:sz w:val="36"/>
          <w:szCs w:val="36"/>
        </w:rPr>
        <w:outlineLvl w:val="0"/>
      </w:pPr>
      <w:r>
        <w:rPr>
          <w:rFonts w:hint="eastAsia" w:ascii="宋体" w:hAnsi="宋体" w:eastAsia="宋体" w:cs="Times New Roman"/>
          <w:b/>
          <w:color w:val="000000"/>
          <w:sz w:val="30"/>
          <w:szCs w:val="30"/>
          <w:highlight w:val="none"/>
        </w:rPr>
        <w:br w:type="page" w:clear="all"/>
      </w:r>
      <w:r/>
    </w:p>
    <w:p>
      <w:pPr>
        <w:jc w:val="center"/>
        <w:spacing w:line="360" w:lineRule="auto"/>
        <w:rPr>
          <w:b/>
          <w:sz w:val="36"/>
          <w:szCs w:val="36"/>
        </w:rPr>
        <w:outlineLvl w:val="0"/>
      </w:pPr>
      <w:r/>
      <w:bookmarkStart w:id="1229" w:name="_Toc104818930"/>
      <w:r>
        <w:rPr>
          <w:b/>
          <w:sz w:val="36"/>
          <w:szCs w:val="36"/>
        </w:rPr>
        <w:t xml:space="preserve">第</w:t>
      </w:r>
      <w:r>
        <w:rPr>
          <w:rFonts w:hint="eastAsia"/>
          <w:b/>
          <w:sz w:val="36"/>
          <w:szCs w:val="36"/>
          <w:lang w:val="en-US" w:eastAsia="zh-CN"/>
        </w:rPr>
        <w:t xml:space="preserve">六</w:t>
      </w:r>
      <w:r>
        <w:rPr>
          <w:b/>
          <w:sz w:val="36"/>
          <w:szCs w:val="36"/>
        </w:rPr>
        <w:t xml:space="preserve">章   响应文件格式</w:t>
      </w:r>
      <w:bookmarkEnd w:id="1229"/>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lang w:eastAsia="zh-CN"/>
        </w:rPr>
        <w:t xml:space="preserve">（</w:t>
      </w:r>
      <w:r>
        <w:rPr>
          <w:rFonts w:hint="eastAsia" w:ascii="宋体" w:hAnsi="宋体"/>
          <w:b/>
          <w:sz w:val="36"/>
          <w:u w:val="single"/>
          <w:lang w:val="en-US" w:eastAsia="zh-CN"/>
        </w:rPr>
        <w:t xml:space="preserve">加盖CA电子公章）</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p>
    <w:p>
      <w:pPr>
        <w:pStyle w:val="1032"/>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1182"/>
        <w:ind w:firstLine="480"/>
        <w:spacing w:line="460" w:lineRule="exact"/>
      </w:pPr>
      <w:r/>
      <w:r/>
    </w:p>
    <w:p>
      <w:pPr>
        <w:pStyle w:val="1182"/>
        <w:ind w:firstLine="480"/>
        <w:spacing w:line="460" w:lineRule="exact"/>
        <w:rPr>
          <w:rFonts w:hint="eastAsia" w:eastAsia="宋体"/>
          <w:lang w:eastAsia="zh-CN"/>
        </w:rPr>
      </w:pPr>
      <w:r>
        <w:rPr>
          <w:rFonts w:hint="eastAsia"/>
        </w:rPr>
        <w:t xml:space="preserve">致：</w:t>
      </w:r>
      <w:r>
        <w:rPr>
          <w:rFonts w:hint="eastAsia"/>
          <w:lang w:eastAsia="zh-CN"/>
        </w:rPr>
        <w:t xml:space="preserve">常州博睿工程咨询有限公司</w:t>
      </w:r>
      <w:r/>
    </w:p>
    <w:p>
      <w:pPr>
        <w:pStyle w:val="1182"/>
        <w:ind w:firstLine="960"/>
        <w:spacing w:line="460" w:lineRule="exact"/>
        <w:rPr>
          <w:u w:val="single"/>
        </w:rPr>
      </w:pPr>
      <w:r>
        <w:rPr>
          <w:rFonts w:hint="eastAsia"/>
          <w:u w:val="single"/>
        </w:rPr>
        <w:t xml:space="preserve">（采购人名称）</w:t>
      </w:r>
      <w:r/>
    </w:p>
    <w:p>
      <w:pPr>
        <w:pStyle w:val="1182"/>
        <w:ind w:firstLine="480"/>
        <w:spacing w:line="460" w:lineRule="exact"/>
      </w:pPr>
      <w:r/>
      <w:r/>
    </w:p>
    <w:p>
      <w:pPr>
        <w:pStyle w:val="1182"/>
        <w:ind w:firstLine="480"/>
        <w:spacing w:line="460" w:lineRule="exact"/>
      </w:pPr>
      <w:r>
        <w:rPr>
          <w:rFonts w:hint="eastAsia"/>
        </w:rPr>
        <w:t xml:space="preserve">按照《中华人民共和国政府采购法》第二十二条和磋商文件的规定，我单位郑重声明如下：</w:t>
      </w:r>
      <w:r/>
    </w:p>
    <w:p>
      <w:pPr>
        <w:pStyle w:val="118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82"/>
        <w:ind w:firstLine="480"/>
        <w:spacing w:line="460" w:lineRule="exact"/>
      </w:pPr>
      <w:r>
        <w:rPr>
          <w:rFonts w:hint="eastAsia"/>
        </w:rPr>
        <w:t xml:space="preserve">二、我单位未被“国家企业信用信息系统”列入经营异常名录或者严重违法企业名单。</w:t>
      </w:r>
      <w:r/>
    </w:p>
    <w:p>
      <w:pPr>
        <w:pStyle w:val="1182"/>
        <w:ind w:firstLine="480"/>
        <w:spacing w:line="460" w:lineRule="exact"/>
      </w:pPr>
      <w:r>
        <w:rPr>
          <w:rFonts w:hint="eastAsia"/>
        </w:rPr>
        <w:t xml:space="preserve">三、我单位具有良好的商业信誉（指供应商经营状况良好，无本资格声明第十条情形）和健全的财务会计制度。</w:t>
      </w:r>
      <w:r/>
    </w:p>
    <w:p>
      <w:pPr>
        <w:pStyle w:val="1182"/>
        <w:ind w:firstLine="480"/>
        <w:spacing w:line="460" w:lineRule="exact"/>
      </w:pPr>
      <w:r>
        <w:rPr>
          <w:rFonts w:hint="eastAsia"/>
        </w:rPr>
        <w:t xml:space="preserve">四、我单位依法进行纳税和社会保险申报并实际履行了义务。</w:t>
      </w:r>
      <w:r/>
    </w:p>
    <w:p>
      <w:pPr>
        <w:pStyle w:val="1182"/>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82"/>
        <w:ind w:firstLine="480"/>
        <w:spacing w:line="460" w:lineRule="exact"/>
      </w:pPr>
      <w:r>
        <w:rPr>
          <w:rFonts w:hint="eastAsia"/>
        </w:rPr>
        <w:t xml:space="preserve">主要设备有：</w:t>
      </w:r>
      <w:r>
        <w:rPr>
          <w:u w:val="single"/>
        </w:rPr>
        <w:t xml:space="preserve">            </w:t>
      </w:r>
      <w:r/>
    </w:p>
    <w:p>
      <w:pPr>
        <w:pStyle w:val="1182"/>
        <w:ind w:firstLine="480"/>
        <w:spacing w:line="460" w:lineRule="exact"/>
      </w:pPr>
      <w:r>
        <w:rPr>
          <w:rFonts w:hint="eastAsia"/>
        </w:rPr>
        <w:t xml:space="preserve">主要专业技术能力有</w:t>
      </w:r>
      <w:r>
        <w:rPr>
          <w:rFonts w:hint="eastAsia"/>
          <w:u w:val="single"/>
        </w:rPr>
        <w:t xml:space="preserve">                 </w:t>
      </w:r>
      <w:r/>
    </w:p>
    <w:p>
      <w:pPr>
        <w:pStyle w:val="1182"/>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82"/>
        <w:ind w:firstLine="480"/>
        <w:spacing w:line="460" w:lineRule="exact"/>
      </w:pPr>
      <w:r>
        <w:rPr>
          <w:rFonts w:hint="eastAsia"/>
        </w:rPr>
        <w:t xml:space="preserve">七、我单位具备法律、行政法规规定的其他条件。</w:t>
      </w:r>
      <w:r/>
    </w:p>
    <w:p>
      <w:pPr>
        <w:pStyle w:val="1182"/>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18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8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8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82"/>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182"/>
        <w:ind w:firstLine="480"/>
        <w:spacing w:line="460" w:lineRule="exact"/>
      </w:pPr>
      <w:r>
        <w:rPr>
          <w:rFonts w:hint="eastAsia"/>
        </w:rPr>
        <w:t xml:space="preserve">十、</w:t>
      </w:r>
      <w:r>
        <w:t xml:space="preserve">我单位无以下不良信用记录情形：</w:t>
      </w:r>
      <w:r/>
    </w:p>
    <w:p>
      <w:pPr>
        <w:pStyle w:val="1182"/>
        <w:ind w:firstLine="480"/>
        <w:spacing w:line="460" w:lineRule="exact"/>
      </w:pPr>
      <w:r>
        <w:t xml:space="preserve">1</w:t>
      </w:r>
      <w:r>
        <w:rPr>
          <w:rFonts w:hint="eastAsia"/>
        </w:rPr>
        <w:t xml:space="preserve">、在“信用中国”网站被列入失信被执行人和重大税收违法案件当事人名单；</w:t>
      </w:r>
      <w:r/>
    </w:p>
    <w:p>
      <w:pPr>
        <w:pStyle w:val="1182"/>
        <w:ind w:firstLine="480"/>
        <w:spacing w:line="460" w:lineRule="exact"/>
      </w:pPr>
      <w:r>
        <w:t xml:space="preserve">2</w:t>
      </w:r>
      <w:r>
        <w:rPr>
          <w:rFonts w:hint="eastAsia"/>
        </w:rPr>
        <w:t xml:space="preserve">、在“中国政府采购网”网站被列入政府采购严重违法失信行为记录名单；</w:t>
      </w:r>
      <w:r/>
    </w:p>
    <w:p>
      <w:pPr>
        <w:pStyle w:val="1182"/>
        <w:ind w:firstLine="480"/>
        <w:spacing w:line="460" w:lineRule="exact"/>
      </w:pPr>
      <w:r>
        <w:t xml:space="preserve">3</w:t>
      </w:r>
      <w:r>
        <w:rPr>
          <w:rFonts w:hint="eastAsia"/>
        </w:rPr>
        <w:t xml:space="preserve">、</w:t>
      </w:r>
      <w:r>
        <w:t xml:space="preserve">不符合《政府采购法》第二十二条规定的条件。</w:t>
      </w:r>
      <w:r/>
    </w:p>
    <w:p>
      <w:pPr>
        <w:pStyle w:val="1182"/>
        <w:ind w:firstLine="480"/>
        <w:spacing w:line="460" w:lineRule="exact"/>
      </w:pPr>
      <w:r/>
      <w:r/>
    </w:p>
    <w:p>
      <w:pPr>
        <w:pStyle w:val="118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82"/>
        <w:ind w:firstLine="480"/>
        <w:spacing w:line="460" w:lineRule="exact"/>
      </w:pPr>
      <w:r/>
      <w:r/>
    </w:p>
    <w:p>
      <w:pPr>
        <w:pStyle w:val="1182"/>
        <w:ind w:firstLine="480"/>
        <w:spacing w:line="460" w:lineRule="exact"/>
      </w:pPr>
      <w:r/>
      <w:r/>
    </w:p>
    <w:p>
      <w:pPr>
        <w:pStyle w:val="1182"/>
        <w:ind w:firstLine="480"/>
        <w:spacing w:line="460" w:lineRule="exact"/>
      </w:pPr>
      <w:r>
        <w:rPr>
          <w:rFonts w:hint="eastAsia"/>
        </w:rPr>
        <w:t xml:space="preserve">                                            供应商：（加盖</w:t>
      </w:r>
      <w:r>
        <w:rPr>
          <w:rFonts w:hint="eastAsia"/>
          <w:lang w:val="en-US" w:eastAsia="zh-CN"/>
        </w:rPr>
        <w:t xml:space="preserve">CA电子</w:t>
      </w:r>
      <w:r>
        <w:rPr>
          <w:rFonts w:hint="eastAsia"/>
        </w:rPr>
        <w:t xml:space="preserve">公章）</w:t>
      </w:r>
      <w:r/>
    </w:p>
    <w:p>
      <w:pPr>
        <w:pStyle w:val="1182"/>
        <w:ind w:firstLine="480"/>
        <w:spacing w:line="460" w:lineRule="exact"/>
      </w:pPr>
      <w:r>
        <w:rPr>
          <w:rFonts w:hint="eastAsia"/>
        </w:rPr>
        <w:t xml:space="preserve">                                           法定代表人（或单位负责人）签字或盖章：</w:t>
      </w:r>
      <w:r/>
    </w:p>
    <w:p>
      <w:pPr>
        <w:pStyle w:val="1182"/>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spacing w:line="360" w:lineRule="auto"/>
        <w:rPr>
          <w:rFonts w:hint="eastAsia"/>
          <w:color w:val="000000"/>
          <w:sz w:val="24"/>
          <w:szCs w:val="20"/>
          <w:highlight w:val="none"/>
        </w:rPr>
        <w:outlineLvl w:val="2"/>
      </w:pPr>
      <w:r/>
      <w:bookmarkStart w:id="1230" w:name="_Toc150774762"/>
      <w:r/>
      <w:bookmarkStart w:id="1231" w:name="_Toc480942350"/>
      <w:r/>
      <w:bookmarkStart w:id="1232" w:name="_Toc150480795"/>
      <w:r/>
      <w:bookmarkStart w:id="1233" w:name="_Toc520356218"/>
      <w:r/>
      <w:bookmarkStart w:id="1234" w:name="_Toc127151557"/>
      <w:r/>
      <w:bookmarkStart w:id="1235" w:name="_Toc226965747"/>
      <w:r/>
      <w:bookmarkStart w:id="1236" w:name="_Toc195842922"/>
      <w:r/>
      <w:bookmarkStart w:id="1237" w:name="_Toc305158899"/>
      <w:r/>
      <w:bookmarkStart w:id="1238" w:name="_Toc226965830"/>
      <w:r/>
      <w:bookmarkStart w:id="1239" w:name="_Toc226337253"/>
      <w:r/>
      <w:bookmarkStart w:id="1240" w:name="_Toc265228395"/>
      <w:r/>
      <w:bookmarkStart w:id="1241" w:name="_Toc226309801"/>
      <w:r/>
      <w:bookmarkStart w:id="1242" w:name="_Toc264969247"/>
      <w:r/>
      <w:bookmarkStart w:id="1243" w:name="_Toc142311059"/>
      <w:r/>
      <w:bookmarkStart w:id="1244" w:name="_Ref467988705"/>
      <w:r/>
      <w:bookmarkStart w:id="1245" w:name="_Toc305158825"/>
      <w:r>
        <w:rPr>
          <w:rFonts w:hint="eastAsia"/>
          <w:color w:val="000000"/>
          <w:sz w:val="24"/>
          <w:szCs w:val="20"/>
          <w:highlight w:val="none"/>
        </w:rPr>
        <w:t xml:space="preserve">1-2营业执照</w:t>
      </w:r>
      <w:r/>
    </w:p>
    <w:p>
      <w:pPr>
        <w:spacing w:line="360" w:lineRule="auto"/>
        <w:rPr>
          <w:color w:val="000000"/>
          <w:sz w:val="24"/>
          <w:szCs w:val="20"/>
          <w:highlight w:val="none"/>
        </w:rPr>
        <w:sectPr>
          <w:headerReference w:type="even" r:id="rId9"/>
          <w:headerReference w:type="first" r:id="rId10"/>
          <w:footerReference w:type="default" r:id="rId19"/>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p>
    <w:p>
      <w:pPr>
        <w:spacing w:line="360" w:lineRule="auto"/>
        <w:rPr>
          <w:color w:val="000000"/>
          <w:sz w:val="24"/>
          <w:szCs w:val="20"/>
          <w:highlight w:val="none"/>
        </w:rPr>
        <w:outlineLvl w:val="2"/>
      </w:pPr>
      <w:r>
        <w:rPr>
          <w:color w:val="000000"/>
          <w:sz w:val="24"/>
          <w:szCs w:val="20"/>
          <w:highlight w:val="none"/>
        </w:rPr>
        <w:t xml:space="preserve">2-1 中小企业声明函</w:t>
      </w:r>
      <w:r/>
    </w:p>
    <w:p>
      <w:pPr>
        <w:spacing w:line="360" w:lineRule="auto"/>
        <w:widowControl/>
        <w:rPr>
          <w:rFonts w:ascii="宋体" w:hAnsi="宋体" w:cs="楷体"/>
          <w:b/>
          <w:color w:val="ff0000"/>
          <w:sz w:val="24"/>
          <w:highlight w:val="none"/>
        </w:rPr>
      </w:pPr>
      <w:r>
        <w:rPr>
          <w:rFonts w:hint="eastAsia" w:ascii="宋体" w:hAnsi="宋体" w:cs="楷体"/>
          <w:b/>
          <w:color w:val="ff0000"/>
          <w:sz w:val="24"/>
          <w:highlight w:val="none"/>
        </w:rPr>
        <w:t xml:space="preserve">             </w:t>
      </w:r>
      <w:r/>
    </w:p>
    <w:p>
      <w:pPr>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44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44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44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p>
    <w:p>
      <w:pPr>
        <w:pStyle w:val="1445"/>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w:t>
      </w:r>
      <w:r>
        <w:rPr>
          <w:rFonts w:hint="eastAsia" w:ascii="宋体" w:hAnsi="宋体" w:eastAsia="宋体" w:cs="楷体"/>
          <w:sz w:val="24"/>
          <w:szCs w:val="24"/>
          <w:highlight w:val="none"/>
        </w:rPr>
        <w:t xml:space="preserve">一人的情形。</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sz w:val="24"/>
          <w:highlight w:val="none"/>
        </w:rPr>
      </w:pPr>
      <w:r>
        <w:rPr>
          <w:rFonts w:hint="eastAsia" w:ascii="宋体" w:hAnsi="宋体" w:cs="楷体"/>
          <w:sz w:val="24"/>
          <w:highlight w:val="none"/>
        </w:rPr>
      </w:r>
      <w:r/>
    </w:p>
    <w:p>
      <w:pPr>
        <w:ind w:firstLine="4080"/>
        <w:spacing w:line="400" w:lineRule="exact"/>
        <w:rPr>
          <w:rFonts w:hint="eastAsia" w:ascii="宋体" w:hAnsi="宋体"/>
          <w:bCs/>
          <w:sz w:val="24"/>
          <w:highlight w:val="none"/>
        </w:rPr>
      </w:pPr>
      <w:r>
        <w:rPr>
          <w:rFonts w:hint="eastAsia" w:ascii="宋体" w:hAnsi="宋体"/>
          <w:bCs/>
          <w:sz w:val="24"/>
          <w:highlight w:val="none"/>
        </w:rPr>
        <w:t xml:space="preserve">供应商名称：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firstLine="480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p>
    <w:p>
      <w:pPr>
        <w:pStyle w:val="1445"/>
        <w:ind w:firstLine="420"/>
        <w:rPr>
          <w:rFonts w:hint="eastAsia"/>
          <w:highlight w:val="none"/>
        </w:rPr>
      </w:pPr>
      <w:r>
        <w:rPr>
          <w:rFonts w:hint="eastAsia"/>
          <w:highlight w:val="none"/>
        </w:rPr>
      </w:r>
      <w:r/>
    </w:p>
    <w:p>
      <w:pPr>
        <w:pStyle w:val="1210"/>
        <w:spacing w:line="440" w:lineRule="exact"/>
        <w:rPr>
          <w:rFonts w:cs="楷体"/>
          <w:color w:val="000000"/>
          <w:highlight w:val="none"/>
        </w:rPr>
      </w:pPr>
      <w:r>
        <w:rPr>
          <w:rFonts w:hint="eastAsia" w:cs="楷体"/>
          <w:highlight w:val="none"/>
        </w:rPr>
        <w:t xml:space="preserve">注：1、从业人员、营业收入和资产总额填报上一年度数据，无上一年度数</w:t>
      </w:r>
      <w:r>
        <w:rPr>
          <w:rFonts w:hint="eastAsia" w:cs="楷体"/>
          <w:color w:val="000000"/>
          <w:highlight w:val="none"/>
        </w:rPr>
        <w:t xml:space="preserve">据的新成立企业可不填报。</w:t>
      </w:r>
      <w:r/>
    </w:p>
    <w:p>
      <w:pPr>
        <w:pStyle w:val="144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p>
    <w:p>
      <w:pPr>
        <w:pStyle w:val="1210"/>
        <w:spacing w:line="440" w:lineRule="exact"/>
        <w:rPr>
          <w:rFonts w:hint="eastAsia" w:cs="楷体"/>
          <w:color w:val="000000"/>
          <w:highlight w:val="none"/>
        </w:rPr>
      </w:pPr>
      <w:r>
        <w:rPr>
          <w:rFonts w:hint="eastAsia" w:cs="楷体"/>
          <w:color w:val="000000"/>
          <w:highlight w:val="none"/>
        </w:rPr>
      </w:r>
      <w:r/>
    </w:p>
    <w:p>
      <w:pPr>
        <w:pStyle w:val="1363"/>
        <w:rPr>
          <w:highlight w:val="none"/>
        </w:rPr>
      </w:pPr>
      <w:r>
        <w:rPr>
          <w:highlight w:val="none"/>
        </w:rPr>
      </w:r>
      <w:r/>
    </w:p>
    <w:p>
      <w:pPr>
        <w:jc w:val="center"/>
        <w:rPr>
          <w:rFonts w:hint="eastAsia"/>
          <w:b/>
          <w:color w:val="000000"/>
          <w:sz w:val="36"/>
          <w:szCs w:val="36"/>
          <w:highlight w:val="none"/>
        </w:rPr>
      </w:pPr>
      <w:r>
        <w:rPr>
          <w:rFonts w:hint="eastAsia"/>
          <w:b/>
          <w:color w:val="000000"/>
          <w:sz w:val="36"/>
          <w:szCs w:val="36"/>
          <w:highlight w:val="none"/>
        </w:rPr>
      </w:r>
      <w:r/>
    </w:p>
    <w:p>
      <w:pPr>
        <w:jc w:val="center"/>
        <w:rPr>
          <w:rFonts w:hint="eastAsia"/>
          <w:b/>
          <w:color w:val="000000"/>
          <w:sz w:val="36"/>
          <w:szCs w:val="36"/>
          <w:highlight w:val="none"/>
        </w:rPr>
      </w:pPr>
      <w:r>
        <w:rPr>
          <w:rFonts w:hint="eastAsia"/>
          <w:b/>
          <w:color w:val="000000"/>
          <w:sz w:val="36"/>
          <w:szCs w:val="36"/>
          <w:highlight w:val="none"/>
        </w:rPr>
      </w:r>
      <w:r/>
    </w:p>
    <w:p>
      <w:pPr>
        <w:jc w:val="center"/>
        <w:rPr>
          <w:rFonts w:hint="eastAsia"/>
          <w:b/>
          <w:color w:val="000000"/>
          <w:sz w:val="36"/>
          <w:szCs w:val="36"/>
          <w:highlight w:val="none"/>
        </w:rPr>
        <w:sectPr>
          <w:footerReference w:type="default" r:id="rId22"/>
          <w:footnotePr/>
          <w:endnotePr/>
          <w:type w:val="nextPage"/>
          <w:pgSz w:w="11907" w:h="16840" w:orient="portrait"/>
          <w:pgMar w:top="1418" w:right="1134" w:bottom="1418" w:left="1701" w:header="851" w:footer="851" w:gutter="0"/>
          <w:cols w:num="1" w:sep="0" w:space="1701" w:equalWidth="1"/>
          <w:docGrid w:linePitch="360"/>
        </w:sectPr>
      </w:pPr>
      <w:r>
        <w:rPr>
          <w:rFonts w:hint="eastAsia"/>
          <w:b/>
          <w:color w:val="000000"/>
          <w:sz w:val="36"/>
          <w:szCs w:val="36"/>
          <w:highlight w:val="none"/>
        </w:rPr>
      </w:r>
      <w:r/>
    </w:p>
    <w:p>
      <w:pPr>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p>
    <w:p>
      <w:pPr>
        <w:jc w:val="center"/>
        <w:rPr>
          <w:color w:val="000000"/>
          <w:sz w:val="36"/>
          <w:szCs w:val="36"/>
          <w:highlight w:val="none"/>
        </w:rPr>
      </w:pPr>
      <w:r>
        <w:rPr>
          <w:color w:val="000000"/>
          <w:sz w:val="36"/>
          <w:szCs w:val="36"/>
          <w:highlight w:val="none"/>
        </w:rPr>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w:t>
      </w:r>
      <w:r>
        <w:rPr>
          <w:rFonts w:hint="eastAsia" w:ascii="宋体" w:hAnsi="宋体" w:cs="楷体"/>
          <w:sz w:val="24"/>
          <w:highlight w:val="none"/>
        </w:rPr>
        <w:t xml:space="preserve">加盖CA电子公章</w:t>
      </w:r>
      <w:r>
        <w:rPr>
          <w:spacing w:val="6"/>
          <w:sz w:val="24"/>
          <w:highlight w:val="none"/>
        </w:rPr>
        <w:t xml:space="preserve">）：</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spacing w:line="360" w:lineRule="auto"/>
        <w:rPr>
          <w:rFonts w:ascii="宋体" w:hAnsi="宋体"/>
          <w:b w:val="0"/>
          <w:bCs/>
          <w:color w:val="000000" w:themeColor="text1"/>
          <w:sz w:val="24"/>
          <w:szCs w:val="20"/>
          <w:highlight w:val="none"/>
        </w:rPr>
        <w:outlineLvl w:val="2"/>
      </w:pPr>
      <w:r>
        <w:rPr>
          <w:color w:val="000000"/>
          <w:sz w:val="24"/>
          <w:szCs w:val="20"/>
          <w:highlight w:val="none"/>
        </w:rPr>
        <w:br w:type="page" w:clear="all"/>
      </w:r>
      <w:r>
        <w:rPr>
          <w:rFonts w:ascii="宋体" w:hAnsi="宋体"/>
          <w:b w:val="0"/>
          <w:bCs/>
          <w:color w:val="000000" w:themeColor="text1"/>
          <w:sz w:val="24"/>
          <w:szCs w:val="20"/>
          <w:highlight w:val="none"/>
        </w:rPr>
        <w:t xml:space="preserve">3 </w:t>
      </w:r>
      <w:r>
        <w:rPr>
          <w:rFonts w:ascii="宋体" w:hAnsi="宋体"/>
          <w:b w:val="0"/>
          <w:bCs/>
          <w:color w:val="000000" w:themeColor="text1"/>
          <w:sz w:val="24"/>
          <w:highlight w:val="none"/>
        </w:rPr>
        <w:t xml:space="preserve">本项目的特定资格要求</w:t>
      </w:r>
      <w:r>
        <w:rPr>
          <w:rFonts w:ascii="宋体" w:hAnsi="宋体"/>
          <w:b w:val="0"/>
          <w:bCs/>
          <w:color w:val="000000" w:themeColor="text1"/>
          <w:sz w:val="24"/>
          <w:szCs w:val="20"/>
          <w:highlight w:val="none"/>
        </w:rPr>
        <w:t xml:space="preserve">（如有）</w:t>
      </w:r>
      <w:r/>
    </w:p>
    <w:p>
      <w:pPr>
        <w:spacing w:line="360" w:lineRule="auto"/>
        <w:rPr>
          <w:color w:val="000000"/>
          <w:sz w:val="24"/>
          <w:szCs w:val="20"/>
          <w:highlight w:val="none"/>
        </w:rPr>
        <w:outlineLvl w:val="2"/>
      </w:pPr>
      <w:r>
        <w:rPr>
          <w:rFonts w:ascii="宋体" w:hAnsi="宋体"/>
          <w:b w:val="0"/>
          <w:bCs/>
          <w:color w:val="000000" w:themeColor="text1"/>
          <w:sz w:val="24"/>
          <w:szCs w:val="20"/>
          <w:highlight w:val="none"/>
        </w:rPr>
        <w:t xml:space="preserve">3-</w:t>
      </w:r>
      <w:r>
        <w:rPr>
          <w:rFonts w:hint="eastAsia" w:ascii="宋体" w:hAnsi="宋体"/>
          <w:b w:val="0"/>
          <w:bCs/>
          <w:color w:val="000000" w:themeColor="text1"/>
          <w:sz w:val="24"/>
          <w:szCs w:val="20"/>
          <w:highlight w:val="none"/>
        </w:rPr>
        <w:t xml:space="preserve">1</w:t>
      </w:r>
      <w:r>
        <w:rPr>
          <w:rFonts w:ascii="宋体" w:hAnsi="宋体"/>
          <w:b w:val="0"/>
          <w:bCs/>
          <w:color w:val="000000" w:themeColor="text1"/>
          <w:sz w:val="24"/>
          <w:szCs w:val="20"/>
          <w:highlight w:val="none"/>
        </w:rPr>
        <w:t xml:space="preserve">其他特定资格要求</w:t>
      </w:r>
      <w:r/>
    </w:p>
    <w:p>
      <w:pPr>
        <w:spacing w:before="25" w:after="25" w:line="360" w:lineRule="auto"/>
        <w:rPr>
          <w:color w:val="000000"/>
          <w:sz w:val="24"/>
        </w:rPr>
      </w:pPr>
      <w:r>
        <w:rPr>
          <w:color w:val="000000"/>
          <w:sz w:val="24"/>
        </w:rPr>
        <w:t xml:space="preserve">  </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br w:type="page" w:clear="all"/>
      </w:r>
      <w:r/>
    </w:p>
    <w:p>
      <w:pPr>
        <w:spacing w:line="360" w:lineRule="auto"/>
        <w:rPr>
          <w:color w:val="000000"/>
          <w:sz w:val="24"/>
          <w:szCs w:val="20"/>
        </w:rPr>
        <w:outlineLvl w:val="2"/>
      </w:pPr>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响应函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与本响应有关的一切正式往来信函请寄：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供应商名称（加盖公章）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color w:val="000000"/>
          <w:sz w:val="24"/>
        </w:rPr>
      </w:pPr>
      <w:r/>
      <w:bookmarkStart w:id="1246" w:name="_Hlt520355938"/>
      <w:r/>
      <w:bookmarkEnd w:id="1246"/>
      <w:r/>
      <w:bookmarkStart w:id="1247" w:name="_Hlt520356243"/>
      <w:r/>
      <w:bookmarkEnd w:id="1247"/>
      <w:r>
        <w:rPr>
          <w:color w:val="000000"/>
          <w:sz w:val="24"/>
        </w:rPr>
        <w:br w:type="page" w:clear="all"/>
      </w:r>
      <w:r/>
    </w:p>
    <w:p>
      <w:pPr>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21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100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供应商：（</w:t>
      </w:r>
      <w:r>
        <w:rPr>
          <w:rFonts w:hint="eastAsia" w:ascii="宋体" w:hAnsi="宋体" w:cs="楷体"/>
          <w:sz w:val="24"/>
          <w:highlight w:val="none"/>
        </w:rPr>
        <w:t xml:space="preserve">加盖CA电子公章</w:t>
      </w:r>
      <w:r>
        <w:rPr>
          <w:rFonts w:hint="eastAsia" w:ascii="宋体" w:hAnsi="宋体"/>
          <w:sz w:val="24"/>
        </w:rPr>
        <w:t xml:space="preserve">）</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t xml:space="preserve">6</w:t>
      </w:r>
      <w:r>
        <w:rPr>
          <w:color w:val="000000"/>
          <w:sz w:val="24"/>
        </w:rPr>
        <w:t xml:space="preserve">  </w:t>
      </w:r>
      <w:r>
        <w:rPr>
          <w:rFonts w:hint="eastAsia"/>
          <w:color w:val="000000"/>
          <w:sz w:val="24"/>
        </w:rPr>
        <w:t xml:space="preserve">法人授权书</w:t>
      </w:r>
      <w:r>
        <w:rPr>
          <w:color w:val="000000"/>
          <w:sz w:val="24"/>
          <w:szCs w:val="20"/>
        </w:rPr>
        <w:t xml:space="preserve">（实质性格式）</w:t>
      </w:r>
      <w:r/>
    </w:p>
    <w:p>
      <w:pPr>
        <w:jc w:val="left"/>
        <w:widowControl/>
        <w:rPr>
          <w:rFonts w:hint="eastAsia"/>
          <w:color w:val="000000"/>
          <w:sz w:val="24"/>
        </w:rPr>
      </w:pPr>
      <w:r>
        <w:rPr>
          <w:rFonts w:hint="eastAsia"/>
          <w:color w:val="000000"/>
          <w:sz w:val="24"/>
        </w:rPr>
      </w:r>
      <w:r/>
    </w:p>
    <w:p>
      <w:pPr>
        <w:jc w:val="center"/>
        <w:spacing w:line="360" w:lineRule="auto"/>
        <w:rPr>
          <w:b/>
          <w:spacing w:val="20"/>
          <w:sz w:val="30"/>
          <w:szCs w:val="30"/>
        </w:rPr>
      </w:pPr>
      <w:r>
        <w:rPr>
          <w:rFonts w:hint="eastAsia"/>
          <w:b/>
          <w:spacing w:val="20"/>
          <w:sz w:val="30"/>
          <w:szCs w:val="30"/>
        </w:rPr>
        <w:t xml:space="preserve">法人授权书（实质性格式）</w:t>
      </w:r>
      <w:r/>
    </w:p>
    <w:p>
      <w:pPr>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w:t>
      </w:r>
      <w:r>
        <w:rPr>
          <w:rFonts w:hint="eastAsia"/>
          <w:sz w:val="24"/>
          <w:lang w:eastAsia="zh-CN"/>
        </w:rPr>
        <w:t xml:space="preserve">供应商</w:t>
      </w:r>
      <w:r>
        <w:rPr>
          <w:rFonts w:hint="eastAsia"/>
          <w:sz w:val="24"/>
        </w:rPr>
        <w:t xml:space="preserve">名称）授权</w:t>
      </w:r>
      <w:r>
        <w:rPr>
          <w:sz w:val="24"/>
        </w:rPr>
        <w:t xml:space="preserve">________________</w:t>
      </w:r>
      <w:r>
        <w:rPr>
          <w:rFonts w:hint="eastAsia"/>
          <w:sz w:val="24"/>
        </w:rPr>
        <w:t xml:space="preserve">（被授权人的姓名）为我方就</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项目采购活动的合法代理人，以本单位名义全权处理一切与该项目采购有关的事务。</w:t>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w:t>
      </w:r>
      <w:r>
        <w:rPr>
          <w:rFonts w:hint="eastAsia" w:ascii="宋体" w:hAnsi="宋体" w:cs="楷体"/>
          <w:sz w:val="24"/>
          <w:highlight w:val="none"/>
          <w:u w:val="single"/>
        </w:rPr>
        <w:t xml:space="preserve">加盖CA电子公章</w:t>
      </w:r>
      <w:r>
        <w:rPr>
          <w:rFonts w:hint="eastAsia"/>
          <w:sz w:val="24"/>
          <w:u w:val="single"/>
        </w:rPr>
        <w:t xml:space="preserve">）</w:t>
      </w:r>
      <w:r/>
    </w:p>
    <w:p>
      <w:pPr>
        <w:ind w:firstLine="480"/>
        <w:spacing w:line="360" w:lineRule="auto"/>
        <w:tabs>
          <w:tab w:val="left" w:pos="360" w:leader="none"/>
        </w:tabs>
        <w:rPr>
          <w:sz w:val="24"/>
          <w:u w:val="single"/>
        </w:rPr>
      </w:pPr>
      <w:r>
        <w:rPr>
          <w:sz w:val="24"/>
        </w:rPr>
        <w:t xml:space="preserve">                            </w:t>
      </w:r>
      <w:r>
        <w:rPr>
          <w:rFonts w:hint="eastAsia"/>
          <w:sz w:val="24"/>
        </w:rPr>
        <w:t xml:space="preserve"> </w:t>
      </w: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1248" w:name="_Hlt26671380"/>
      <w:r/>
      <w:bookmarkEnd w:id="1248"/>
      <w:r/>
      <w:bookmarkStart w:id="1249" w:name="_Hlt26955070"/>
      <w:r/>
      <w:bookmarkEnd w:id="1249"/>
      <w:r/>
      <w:bookmarkStart w:id="1250" w:name="_格式3__银行出具的资信证明"/>
      <w:r/>
      <w:bookmarkEnd w:id="1250"/>
      <w:r/>
      <w:r/>
    </w:p>
    <w:p>
      <w:pPr>
        <w:ind w:firstLine="482"/>
        <w:spacing w:line="360" w:lineRule="auto"/>
        <w:rPr>
          <w:rFonts w:ascii="宋体" w:hAnsi="宋体" w:cs="楷体"/>
          <w:b/>
          <w:bCs/>
          <w:sz w:val="24"/>
          <w:u w:val="single"/>
        </w:rPr>
      </w:pPr>
      <w:r>
        <w:rPr>
          <w:rFonts w:hint="eastAsia" w:ascii="宋体" w:hAnsi="宋体" w:cs="楷体"/>
          <w:b/>
          <w:bCs/>
          <w:sz w:val="24"/>
        </w:rPr>
        <w:t xml:space="preserve">注意事项：</w:t>
      </w:r>
      <w:r>
        <w:rPr>
          <w:rFonts w:hint="eastAsia" w:ascii="宋体" w:hAnsi="宋体" w:cs="楷体"/>
          <w:b/>
          <w:bCs/>
          <w:sz w:val="24"/>
          <w:u w:val="single"/>
        </w:rPr>
        <w:t xml:space="preserve">需附法定代表人第二代居民身份证复印件（正反面）和被授权人第二代居民身份证复印件（正反面）。</w:t>
      </w:r>
      <w:r/>
    </w:p>
    <w:p>
      <w:pPr>
        <w:pStyle w:val="1363"/>
        <w:rPr>
          <w:rFonts w:hint="eastAsia"/>
          <w:color w:val="000000"/>
          <w:sz w:val="24"/>
        </w:rPr>
      </w:pPr>
      <w:r>
        <w:rPr>
          <w:color w:val="000000"/>
        </w:rPr>
        <w:br w:type="page" w:clear="all"/>
      </w:r>
      <w:r>
        <w:rPr>
          <w:rFonts w:hint="eastAsia"/>
          <w:color w:val="000000"/>
          <w:sz w:val="24"/>
          <w:lang w:val="en-US" w:eastAsia="zh-CN"/>
        </w:rPr>
        <w:t xml:space="preserve">7</w:t>
      </w:r>
      <w:r>
        <w:rPr>
          <w:rFonts w:hint="eastAsia"/>
          <w:color w:val="000000"/>
          <w:sz w:val="24"/>
        </w:rPr>
        <w:t xml:space="preserve">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32"/>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供应商名称（</w:t>
      </w:r>
      <w:r>
        <w:rPr>
          <w:rFonts w:hint="eastAsia" w:ascii="宋体" w:hAnsi="宋体" w:cs="楷体"/>
          <w:sz w:val="24"/>
          <w:highlight w:val="none"/>
        </w:rPr>
        <w:t xml:space="preserve">加盖CA电子公章</w:t>
      </w:r>
      <w:r>
        <w:rPr>
          <w:color w:val="000000"/>
          <w:sz w:val="24"/>
        </w:rPr>
        <w:t xml:space="preserve">）</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r/>
    </w:p>
    <w:p>
      <w:pPr>
        <w:spacing w:line="360" w:lineRule="auto"/>
        <w:rPr>
          <w:rFonts w:hint="eastAsia" w:eastAsia="宋体"/>
          <w:color w:val="000000"/>
          <w:sz w:val="24"/>
          <w:szCs w:val="20"/>
          <w:lang w:eastAsia="zh-CN"/>
        </w:rPr>
        <w:outlineLvl w:val="2"/>
      </w:pPr>
      <w:r/>
      <w:bookmarkStart w:id="1251" w:name="_Toc150480796"/>
      <w:r/>
      <w:bookmarkStart w:id="1252" w:name="_Toc226965749"/>
      <w:r/>
      <w:bookmarkStart w:id="1253" w:name="_Toc265228397"/>
      <w:r/>
      <w:bookmarkStart w:id="1254" w:name="_Toc150774763"/>
      <w:r/>
      <w:bookmarkStart w:id="1255" w:name="_Toc226309803"/>
      <w:r/>
      <w:bookmarkStart w:id="1256" w:name="_Toc226337255"/>
      <w:r/>
      <w:bookmarkStart w:id="1257" w:name="_Toc127151558"/>
      <w:r/>
      <w:bookmarkStart w:id="1258" w:name="_Toc264969249"/>
      <w:r/>
      <w:bookmarkStart w:id="1259" w:name="_Toc226965832"/>
      <w:r/>
      <w:bookmarkStart w:id="1260" w:name="_Toc305158827"/>
      <w:r/>
      <w:bookmarkStart w:id="1261" w:name="_Toc195842924"/>
      <w:r/>
      <w:bookmarkStart w:id="1262" w:name="_Toc142311060"/>
      <w:r/>
      <w:bookmarkStart w:id="1263" w:name="_Toc305158901"/>
      <w:r>
        <w:rPr>
          <w:rFonts w:hint="eastAsia"/>
          <w:color w:val="000000"/>
          <w:sz w:val="24"/>
          <w:szCs w:val="20"/>
          <w:lang w:val="en-US" w:eastAsia="zh-CN"/>
        </w:rPr>
        <w:t xml:space="preserve">8</w:t>
      </w:r>
      <w:r>
        <w:rPr>
          <w:color w:val="000000"/>
          <w:sz w:val="24"/>
          <w:szCs w:val="20"/>
        </w:rPr>
        <w:t xml:space="preserve">  报价一览表</w:t>
      </w:r>
      <w:r>
        <w:rPr>
          <w:rFonts w:hint="eastAsia"/>
          <w:color w:val="000000"/>
          <w:sz w:val="24"/>
          <w:szCs w:val="20"/>
          <w:lang w:eastAsia="zh-CN"/>
        </w:rPr>
        <w:t xml:space="preserve">（实质性格式）</w:t>
      </w:r>
      <w:r/>
    </w:p>
    <w:p>
      <w:pPr>
        <w:jc w:val="center"/>
        <w:keepLines/>
        <w:keepNext/>
        <w:spacing w:after="120" w:line="360" w:lineRule="auto"/>
        <w:widowControl/>
        <w:rPr>
          <w:rFonts w:ascii="宋体" w:hAnsi="宋体"/>
          <w:b/>
          <w:sz w:val="28"/>
          <w:szCs w:val="28"/>
        </w:rPr>
        <w:outlineLvl w:val="0"/>
      </w:pPr>
      <w:r>
        <w:rPr>
          <w:rFonts w:hint="eastAsia"/>
          <w:b/>
          <w:spacing w:val="20"/>
          <w:sz w:val="32"/>
          <w:szCs w:val="32"/>
        </w:rPr>
        <w:t xml:space="preserve">报价一览表</w:t>
      </w:r>
      <w:r/>
    </w:p>
    <w:p>
      <w:pPr>
        <w:numPr>
          <w:ilvl w:val="0"/>
          <w:numId w:val="0"/>
        </w:numPr>
        <w:spacing w:line="240" w:lineRule="auto"/>
        <w:rPr>
          <w:rFonts w:hint="eastAsia" w:ascii="宋体" w:hAnsi="宋体"/>
          <w:b/>
          <w:sz w:val="24"/>
        </w:rPr>
      </w:pPr>
      <w:r>
        <w:rPr>
          <w:rFonts w:hint="eastAsia" w:ascii="宋体" w:hAnsi="宋体"/>
          <w:b/>
          <w:sz w:val="24"/>
          <w:lang w:eastAsia="zh-CN"/>
        </w:rPr>
        <w:t xml:space="preserve">（一）</w:t>
      </w:r>
      <w:r>
        <w:rPr>
          <w:rFonts w:hint="eastAsia" w:ascii="宋体" w:hAnsi="宋体"/>
          <w:b/>
          <w:color w:val="000000"/>
          <w:sz w:val="24"/>
        </w:rPr>
        <w:t xml:space="preserve">供应商在提交响应文件时，应按照投标工具（苏采云客户端）的提示流程编制提交报价一览表，报价一览表格式以投标工具中的为准。</w:t>
      </w:r>
      <w:r/>
    </w:p>
    <w:p>
      <w:pPr>
        <w:jc w:val="left"/>
        <w:rPr>
          <w:color w:val="000000"/>
          <w:sz w:val="24"/>
        </w:rPr>
      </w:pPr>
      <w:r>
        <w:rPr>
          <w:color w:val="000000"/>
          <w:sz w:val="24"/>
        </w:rPr>
      </w:r>
      <w:r/>
    </w:p>
    <w:p>
      <w:pPr>
        <w:jc w:val="left"/>
        <w:rPr>
          <w:rFonts w:ascii="宋体" w:hAnsi="宋体"/>
          <w:color w:val="000000" w:themeColor="text1"/>
          <w:sz w:val="24"/>
          <w:szCs w:val="20"/>
          <w:highlight w:val="none"/>
        </w:rPr>
      </w:pPr>
      <w:r>
        <w:rPr>
          <w:color w:val="000000" w:themeColor="text1"/>
          <w:sz w:val="24"/>
          <w:highlight w:val="none"/>
        </w:rPr>
        <w:t xml:space="preserve">注：</w:t>
      </w:r>
      <w:r>
        <w:rPr>
          <w:rFonts w:ascii="宋体" w:hAnsi="宋体"/>
          <w:color w:val="000000" w:themeColor="text1"/>
          <w:sz w:val="24"/>
          <w:highlight w:val="none"/>
        </w:rPr>
        <w:t xml:space="preserve">1</w:t>
      </w:r>
      <w:r>
        <w:rPr>
          <w:rFonts w:ascii="宋体" w:hAnsi="宋体"/>
          <w:color w:val="000000" w:themeColor="text1"/>
          <w:sz w:val="24"/>
          <w:szCs w:val="20"/>
          <w:highlight w:val="none"/>
        </w:rPr>
        <w:t xml:space="preserve">.此表中，每包的报价应和《分项报价表》中的总价相一致。</w:t>
      </w:r>
      <w:r/>
    </w:p>
    <w:p>
      <w:pPr>
        <w:spacing w:before="25" w:after="25" w:line="360" w:lineRule="auto"/>
        <w:rPr>
          <w:color w:val="000000"/>
          <w:sz w:val="24"/>
          <w:lang w:val="zh-CN"/>
        </w:rPr>
      </w:pPr>
      <w:r>
        <w:rPr>
          <w:rFonts w:ascii="宋体" w:hAnsi="宋体"/>
          <w:color w:val="000000" w:themeColor="text1"/>
          <w:sz w:val="24"/>
          <w:szCs w:val="20"/>
          <w:highlight w:val="none"/>
        </w:rPr>
        <w:t xml:space="preserve">2.本表必须按包分别填写。</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w:t>
      </w:r>
      <w:r>
        <w:rPr>
          <w:rFonts w:hint="eastAsia" w:ascii="宋体" w:hAnsi="宋体" w:cs="楷体"/>
          <w:sz w:val="24"/>
          <w:highlight w:val="none"/>
        </w:rPr>
        <w:t xml:space="preserve">加盖CA电子公章</w:t>
      </w:r>
      <w:r>
        <w:rPr>
          <w:color w:val="000000"/>
          <w:sz w:val="24"/>
        </w:rPr>
        <w:t xml:space="preserve">）</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pStyle w:val="1009"/>
        <w:ind w:left="0" w:firstLine="0"/>
        <w:rPr>
          <w:rFonts w:hint="eastAsia"/>
          <w:color w:val="000000"/>
          <w:sz w:val="24"/>
          <w:szCs w:val="20"/>
          <w:lang w:eastAsia="zh-CN"/>
        </w:rPr>
      </w:pPr>
      <w:r>
        <w:rPr>
          <w:rFonts w:hint="eastAsia"/>
          <w:color w:val="000000"/>
          <w:sz w:val="24"/>
          <w:szCs w:val="20"/>
          <w:lang w:val="en-US" w:eastAsia="zh-CN"/>
        </w:rPr>
        <w:t xml:space="preserve">9  报价明细表</w:t>
      </w:r>
      <w:r>
        <w:rPr>
          <w:rFonts w:hint="eastAsia"/>
          <w:color w:val="000000"/>
          <w:sz w:val="24"/>
          <w:szCs w:val="20"/>
          <w:lang w:eastAsia="zh-CN"/>
        </w:rPr>
        <w:t xml:space="preserve">（实质性格式）</w:t>
      </w:r>
      <w:r/>
    </w:p>
    <w:p>
      <w:pPr>
        <w:pStyle w:val="1009"/>
        <w:ind w:left="0" w:firstLine="0"/>
        <w:rPr>
          <w:rFonts w:hint="eastAsia"/>
          <w:color w:val="000000"/>
          <w:sz w:val="24"/>
          <w:szCs w:val="20"/>
          <w:lang w:eastAsia="zh-CN"/>
        </w:rPr>
      </w:pPr>
      <w:r>
        <w:rPr>
          <w:rFonts w:hint="eastAsia"/>
          <w:color w:val="000000"/>
          <w:sz w:val="24"/>
          <w:szCs w:val="20"/>
          <w:lang w:eastAsia="zh-CN"/>
        </w:rPr>
      </w:r>
      <w:r/>
    </w:p>
    <w:p>
      <w:pPr>
        <w:numPr>
          <w:ilvl w:val="0"/>
          <w:numId w:val="0"/>
        </w:numPr>
        <w:ind w:firstLine="2890"/>
        <w:jc w:val="both"/>
        <w:keepLines/>
        <w:keepNext/>
        <w:spacing w:after="120" w:line="360" w:lineRule="auto"/>
        <w:widowControl/>
        <w:outlineLvl w:val="0"/>
      </w:pPr>
      <w:r>
        <w:rPr>
          <w:rFonts w:hint="eastAsia" w:ascii="宋体" w:hAnsi="宋体" w:eastAsia="宋体" w:cs="宋体"/>
          <w:b/>
          <w:color w:val="000000"/>
          <w:spacing w:val="20"/>
          <w:sz w:val="32"/>
          <w:szCs w:val="32"/>
          <w:lang w:val="en-US" w:eastAsia="zh-CN" w:bidi="ar-SA"/>
        </w:rPr>
        <w:t xml:space="preserve">报价明细表</w:t>
      </w:r>
      <w:r>
        <w:rPr>
          <w:rFonts w:hint="eastAsia" w:ascii="宋体" w:hAnsi="宋体" w:eastAsia="宋体" w:cs="宋体"/>
          <w:b/>
          <w:color w:val="000000"/>
          <w:spacing w:val="20"/>
          <w:sz w:val="32"/>
          <w:szCs w:val="32"/>
        </w:rPr>
        <w:t xml:space="preserve">（实质性格式）</w:t>
      </w:r>
      <w:r/>
    </w:p>
    <w:p>
      <w:pPr>
        <w:jc w:val="center"/>
        <w:spacing w:line="360" w:lineRule="exact"/>
        <w:rPr>
          <w:color w:val="000000"/>
          <w:sz w:val="36"/>
          <w:szCs w:val="36"/>
        </w:rPr>
      </w:pPr>
      <w:r>
        <w:rPr>
          <w:color w:val="000000"/>
          <w:sz w:val="36"/>
          <w:szCs w:val="36"/>
        </w:rPr>
      </w:r>
      <w:r/>
    </w:p>
    <w:p>
      <w:pPr>
        <w:ind w:left="11" w:right="2" w:firstLine="472"/>
        <w:jc w:val="both"/>
        <w:spacing w:before="181" w:line="229" w:lineRule="auto"/>
        <w:widowControl w:val="off"/>
        <w:rPr>
          <w:rFonts w:ascii="宋体" w:hAnsi="宋体" w:eastAsia="宋体" w:cs="Times New Roman"/>
          <w:sz w:val="24"/>
          <w:szCs w:val="24"/>
          <w:lang w:val="en-US" w:eastAsia="zh-CN" w:bidi="ar-SA"/>
        </w:rPr>
      </w:pPr>
      <w:r/>
      <w:bookmarkStart w:id="1264" w:name="_Hlk149920023"/>
      <w:r>
        <w:rPr>
          <w:rFonts w:hint="eastAsia"/>
          <w:highlight w:val="none"/>
        </w:rPr>
        <w:t xml:space="preserve">本项目按工程量清单格式报价。具体要求详见</w:t>
      </w:r>
      <w:r>
        <w:rPr>
          <w:rFonts w:hint="eastAsia"/>
          <w:highlight w:val="none"/>
          <w:lang w:eastAsia="zh-CN"/>
        </w:rPr>
        <w:t xml:space="preserve">附件</w:t>
      </w:r>
      <w:r>
        <w:rPr>
          <w:rFonts w:hint="eastAsia"/>
          <w:highlight w:val="none"/>
        </w:rPr>
        <w:t xml:space="preserve">工程量清单及控制价文件（含编制说明）。</w:t>
      </w:r>
      <w:r/>
    </w:p>
    <w:p>
      <w:pPr>
        <w:jc w:val="left"/>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tabs>
          <w:tab w:val="left" w:pos="1800" w:leader="none"/>
          <w:tab w:val="left" w:pos="5580" w:leader="none"/>
        </w:tabs>
        <w:rPr>
          <w:color w:val="000000" w:themeColor="text1"/>
          <w:sz w:val="24"/>
        </w:rPr>
      </w:pPr>
      <w:r>
        <w:rPr>
          <w:rFonts w:ascii="Times New Roman" w:hAnsi="Times New Roman" w:eastAsia="宋体" w:cs="Times New Roman"/>
          <w:color w:val="000000"/>
          <w:sz w:val="24"/>
        </w:rPr>
        <w:t xml:space="preserve">注：</w:t>
      </w:r>
      <w:r>
        <w:rPr>
          <w:color w:val="000000" w:themeColor="text1"/>
          <w:sz w:val="24"/>
        </w:rPr>
        <w:t xml:space="preserve">1.本表应按包分别填写。</w:t>
      </w:r>
      <w:r/>
    </w:p>
    <w:p>
      <w:pPr>
        <w:ind w:firstLine="480"/>
        <w:tabs>
          <w:tab w:val="left" w:pos="5580" w:leader="none"/>
        </w:tabs>
        <w:rPr>
          <w:rFonts w:ascii="Times New Roman" w:hAnsi="Times New Roman" w:eastAsia="宋体" w:cs="Times New Roman"/>
          <w:color w:val="000000"/>
          <w:sz w:val="24"/>
          <w:szCs w:val="20"/>
        </w:rPr>
      </w:pPr>
      <w:r>
        <w:rPr>
          <w:color w:val="000000" w:themeColor="text1"/>
          <w:sz w:val="24"/>
        </w:rPr>
        <w:t xml:space="preserve">2.如果不提供分项报价将视为没有实质性响应磋商文件</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szCs w:val="20"/>
        </w:rPr>
        <w:t xml:space="preserve">  </w:t>
      </w:r>
      <w:r/>
    </w:p>
    <w:p>
      <w:pPr>
        <w:spacing w:before="25" w:after="25" w:line="360" w:lineRule="auto"/>
        <w:rPr>
          <w:color w:val="000000"/>
          <w:sz w:val="24"/>
        </w:rPr>
      </w:pPr>
      <w:r>
        <w:rPr>
          <w:color w:val="000000"/>
          <w:sz w:val="24"/>
        </w:rPr>
      </w:r>
      <w:bookmarkEnd w:id="1264"/>
      <w:r/>
    </w:p>
    <w:p>
      <w:pPr>
        <w:spacing w:before="25" w:after="25" w:line="360" w:lineRule="auto"/>
        <w:rPr>
          <w:color w:val="000000"/>
          <w:sz w:val="24"/>
          <w:lang w:val="zh-CN"/>
        </w:rPr>
      </w:pPr>
      <w:r>
        <w:rPr>
          <w:color w:val="000000"/>
          <w:sz w:val="24"/>
        </w:rPr>
        <w:t xml:space="preserve">供应商名称（</w:t>
      </w:r>
      <w:r>
        <w:rPr>
          <w:rFonts w:hint="eastAsia" w:ascii="宋体" w:hAnsi="宋体" w:cs="楷体"/>
          <w:sz w:val="24"/>
          <w:highlight w:val="none"/>
        </w:rPr>
        <w:t xml:space="preserve">加盖CA电子公章</w:t>
      </w:r>
      <w:r>
        <w:rPr>
          <w:color w:val="000000"/>
          <w:sz w:val="24"/>
        </w:rPr>
        <w:t xml:space="preserve">）</w:t>
      </w:r>
      <w:r>
        <w:rPr>
          <w:color w:val="000000"/>
          <w:sz w:val="24"/>
          <w:lang w:val="zh-CN"/>
        </w:rPr>
        <w:t xml:space="preserve">：____________</w:t>
      </w:r>
      <w:r/>
    </w:p>
    <w:p>
      <w:pPr>
        <w:pStyle w:val="1009"/>
        <w:ind w:left="0" w:firstLine="0"/>
        <w:rPr>
          <w:color w:val="000000"/>
          <w:sz w:val="24"/>
          <w:szCs w:val="20"/>
        </w:rPr>
        <w:sectPr>
          <w:footerReference w:type="default" r:id="rId23"/>
          <w:footnotePr/>
          <w:endnotePr/>
          <w:type w:val="nextPage"/>
          <w:pgSz w:w="11907" w:h="16840" w:orient="portrait"/>
          <w:pgMar w:top="1418" w:right="1134" w:bottom="1418" w:left="1701" w:header="851" w:footer="851" w:gutter="0"/>
          <w:cols w:num="1" w:sep="0" w:space="1701" w:equalWidth="1"/>
          <w:docGrid w:linePitch="360"/>
        </w:sectPr>
      </w:pPr>
      <w:r>
        <w:rPr>
          <w:color w:val="000000"/>
          <w:sz w:val="24"/>
          <w:szCs w:val="20"/>
        </w:rPr>
        <w:t xml:space="preserve">日期：_____年______月______日 </w:t>
      </w:r>
      <w:bookmarkEnd w:id="1251"/>
      <w:bookmarkEnd w:id="1252"/>
      <w:bookmarkEnd w:id="1253"/>
      <w:bookmarkEnd w:id="1254"/>
      <w:bookmarkEnd w:id="1255"/>
      <w:bookmarkEnd w:id="1256"/>
      <w:bookmarkEnd w:id="1257"/>
      <w:bookmarkEnd w:id="1258"/>
      <w:bookmarkEnd w:id="1259"/>
      <w:bookmarkEnd w:id="1260"/>
      <w:bookmarkEnd w:id="1261"/>
      <w:bookmarkEnd w:id="1262"/>
      <w:bookmarkEnd w:id="1263"/>
      <w:r/>
    </w:p>
    <w:p>
      <w:pPr>
        <w:spacing w:line="400" w:lineRule="exact"/>
        <w:rPr>
          <w:color w:val="000000"/>
          <w:sz w:val="24"/>
          <w:szCs w:val="20"/>
        </w:rPr>
        <w:outlineLvl w:val="1"/>
      </w:pPr>
      <w:r/>
      <w:bookmarkStart w:id="1265" w:name="_Toc150480798"/>
      <w:r/>
      <w:bookmarkStart w:id="1266" w:name="_Toc142311062"/>
      <w:r/>
      <w:bookmarkStart w:id="1267" w:name="_Toc127151562"/>
      <w:r/>
      <w:bookmarkStart w:id="1268" w:name="_Toc226337258"/>
      <w:r/>
      <w:bookmarkStart w:id="1269" w:name="_Toc265228400"/>
      <w:r/>
      <w:bookmarkStart w:id="1270" w:name="_Toc226965752"/>
      <w:r/>
      <w:bookmarkStart w:id="1271" w:name="_Toc305158830"/>
      <w:r/>
      <w:bookmarkStart w:id="1272" w:name="_Toc195842927"/>
      <w:r/>
      <w:bookmarkStart w:id="1273" w:name="_Toc226309806"/>
      <w:r/>
      <w:bookmarkStart w:id="1274" w:name="_Toc305158904"/>
      <w:r/>
      <w:bookmarkStart w:id="1275" w:name="_Toc264969252"/>
      <w:r/>
      <w:bookmarkStart w:id="1276" w:name="_Toc226965835"/>
      <w:r/>
      <w:bookmarkStart w:id="1277" w:name="_Toc150774765"/>
      <w:r/>
      <w:bookmarkStart w:id="1278" w:name="_Toc226965834"/>
      <w:r/>
      <w:bookmarkStart w:id="1279" w:name="_Toc142311061"/>
      <w:r/>
      <w:bookmarkStart w:id="1280" w:name="_Toc226337257"/>
      <w:r/>
      <w:bookmarkStart w:id="1281" w:name="_Toc150774764"/>
      <w:r/>
      <w:bookmarkStart w:id="1282" w:name="_Toc264969251"/>
      <w:r/>
      <w:bookmarkStart w:id="1283" w:name="_Toc127151561"/>
      <w:r/>
      <w:bookmarkStart w:id="1284" w:name="_Toc265228399"/>
      <w:r/>
      <w:bookmarkStart w:id="1285" w:name="_Toc226965751"/>
      <w:r/>
      <w:bookmarkStart w:id="1286" w:name="_Toc305158829"/>
      <w:r/>
      <w:bookmarkStart w:id="1287" w:name="_Toc150480797"/>
      <w:r/>
      <w:bookmarkStart w:id="1288" w:name="_Toc195842926"/>
      <w:r/>
      <w:bookmarkStart w:id="1289" w:name="_Toc305158903"/>
      <w:r/>
      <w:bookmarkStart w:id="1290" w:name="_Toc226309805"/>
      <w:r>
        <w:rPr>
          <w:rFonts w:hint="eastAsia"/>
          <w:color w:val="000000"/>
          <w:sz w:val="24"/>
          <w:szCs w:val="20"/>
          <w:lang w:val="en-US" w:eastAsia="zh-CN"/>
        </w:rPr>
        <w:t xml:space="preserve">10</w:t>
      </w:r>
      <w:r>
        <w:rPr>
          <w:color w:val="000000"/>
          <w:sz w:val="24"/>
          <w:szCs w:val="20"/>
        </w:rPr>
        <w:t xml:space="preserve">  合同条款偏离表</w:t>
      </w:r>
      <w:bookmarkEnd w:id="1265"/>
      <w:r/>
      <w:bookmarkEnd w:id="1266"/>
      <w:r/>
      <w:bookmarkEnd w:id="1267"/>
      <w:r/>
      <w:bookmarkEnd w:id="1268"/>
      <w:r/>
      <w:bookmarkEnd w:id="1269"/>
      <w:r/>
      <w:bookmarkEnd w:id="1270"/>
      <w:r/>
      <w:bookmarkEnd w:id="1271"/>
      <w:r/>
      <w:bookmarkEnd w:id="1272"/>
      <w:r/>
      <w:bookmarkEnd w:id="1273"/>
      <w:r/>
      <w:bookmarkEnd w:id="1274"/>
      <w:r/>
      <w:bookmarkEnd w:id="1275"/>
      <w:r/>
      <w:bookmarkEnd w:id="1276"/>
      <w:r/>
      <w:bookmarkEnd w:id="1277"/>
      <w:r/>
      <w:r/>
    </w:p>
    <w:p>
      <w:pPr>
        <w:spacing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合同条款偏离表</w:t>
      </w:r>
      <w:r/>
    </w:p>
    <w:p>
      <w:pPr>
        <w:jc w:val="center"/>
        <w:rPr>
          <w:color w:val="000000"/>
          <w:sz w:val="36"/>
          <w:szCs w:val="36"/>
        </w:rPr>
      </w:pPr>
      <w:r>
        <w:rPr>
          <w:color w:val="000000"/>
          <w:sz w:val="36"/>
          <w:szCs w:val="36"/>
        </w:rPr>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p>
    <w:tbl>
      <w:tblPr>
        <w:tblStyle w:val="10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000000"/>
                <w:sz w:val="24"/>
              </w:rPr>
            </w:pPr>
            <w:r>
              <w:rPr>
                <w:rFonts w:hint="eastAsia"/>
                <w:b/>
                <w:color w:val="000000"/>
                <w:sz w:val="24"/>
              </w:rPr>
              <w:t xml:space="preserve">对本项目合同条款的偏离情况（请进行勾选）：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响应文件内容</w:t>
            </w:r>
            <w:r/>
          </w:p>
        </w:tc>
        <w:tc>
          <w:tcPr>
            <w:tcW w:w="2458"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rPr>
              <w:t xml:space="preserve">（据实填写）</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rFonts w:hint="eastAsia"/>
          <w:color w:val="000000"/>
          <w:sz w:val="24"/>
        </w:rPr>
        <w:t xml:space="preserve">注：</w:t>
      </w:r>
      <w:r/>
    </w:p>
    <w:p>
      <w:pPr>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w:t>
      </w:r>
      <w:r>
        <w:rPr>
          <w:rFonts w:hint="eastAsia" w:ascii="宋体" w:hAnsi="宋体" w:cs="楷体"/>
          <w:sz w:val="24"/>
          <w:highlight w:val="none"/>
        </w:rPr>
        <w:t xml:space="preserve">加盖CA电子公章</w:t>
      </w:r>
      <w:r>
        <w:rPr>
          <w:color w:val="000000"/>
          <w:sz w:val="24"/>
        </w:rPr>
        <w:t xml:space="preserve">）</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color w:val="000000"/>
          <w:sz w:val="24"/>
          <w:szCs w:val="20"/>
        </w:rPr>
        <w:br w:type="page" w:clear="all"/>
      </w:r>
      <w:r/>
    </w:p>
    <w:p>
      <w:pPr>
        <w:spacing w:line="360" w:lineRule="auto"/>
        <w:rPr>
          <w:color w:val="000000"/>
          <w:sz w:val="24"/>
          <w:szCs w:val="20"/>
        </w:rPr>
        <w:outlineLvl w:val="2"/>
      </w:pPr>
      <w:r>
        <w:rPr>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bookmarkEnd w:id="1278"/>
      <w:r/>
      <w:bookmarkEnd w:id="1279"/>
      <w:r/>
      <w:bookmarkEnd w:id="1280"/>
      <w:r/>
      <w:bookmarkEnd w:id="1281"/>
      <w:r/>
      <w:bookmarkEnd w:id="1282"/>
      <w:r/>
      <w:bookmarkEnd w:id="1283"/>
      <w:r/>
      <w:bookmarkEnd w:id="1284"/>
      <w:r/>
      <w:bookmarkEnd w:id="1285"/>
      <w:r/>
      <w:bookmarkEnd w:id="1286"/>
      <w:r/>
      <w:bookmarkEnd w:id="1287"/>
      <w:r/>
      <w:bookmarkEnd w:id="1288"/>
      <w:r/>
      <w:bookmarkEnd w:id="1289"/>
      <w:r/>
      <w:bookmarkEnd w:id="1290"/>
      <w:r>
        <w:rPr>
          <w:color w:val="000000"/>
          <w:sz w:val="24"/>
          <w:szCs w:val="20"/>
        </w:rPr>
        <w:t xml:space="preserve">采购需求偏离表</w:t>
      </w:r>
      <w:r/>
    </w:p>
    <w:p>
      <w:pPr>
        <w:jc w:val="center"/>
        <w:rPr>
          <w:b/>
          <w:color w:val="000000"/>
          <w:sz w:val="36"/>
          <w:szCs w:val="36"/>
        </w:rPr>
      </w:pPr>
      <w:r>
        <w:rPr>
          <w:rFonts w:hint="eastAsia"/>
          <w:b/>
          <w:color w:val="000000"/>
          <w:sz w:val="36"/>
          <w:szCs w:val="36"/>
        </w:rPr>
        <w:t xml:space="preserve">采购需求偏离表</w:t>
      </w:r>
      <w:r/>
    </w:p>
    <w:p>
      <w:pPr>
        <w:jc w:val="center"/>
        <w:rPr>
          <w:color w:val="000000"/>
          <w:sz w:val="36"/>
          <w:szCs w:val="36"/>
        </w:rPr>
      </w:pPr>
      <w:r>
        <w:rPr>
          <w:color w:val="000000"/>
          <w:sz w:val="36"/>
          <w:szCs w:val="36"/>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p>
    <w:tbl>
      <w:tblPr>
        <w:tblStyle w:val="10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对本项目采购条款的偏离情况（请进行勾选）：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响应文件内容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11"/>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w:t>
      </w:r>
      <w:r>
        <w:rPr>
          <w:rFonts w:hint="eastAsia" w:ascii="宋体" w:hAnsi="宋体" w:cs="楷体"/>
          <w:sz w:val="24"/>
          <w:highlight w:val="none"/>
        </w:rPr>
        <w:t xml:space="preserve">加盖CA电子公章</w:t>
      </w:r>
      <w:r>
        <w:rPr>
          <w:color w:val="000000"/>
          <w:sz w:val="24"/>
        </w:rPr>
        <w:t xml:space="preserve">）</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color w:val="000000"/>
          <w:sz w:val="24"/>
          <w:szCs w:val="20"/>
        </w:rPr>
        <w:br w:type="page" w:clear="all"/>
      </w:r>
      <w:r/>
    </w:p>
    <w:p>
      <w:pPr>
        <w:rPr>
          <w:color w:val="000000"/>
          <w:sz w:val="24"/>
          <w:szCs w:val="20"/>
        </w:rPr>
      </w:pPr>
      <w:r>
        <w:rPr>
          <w:rFonts w:hint="eastAsia"/>
          <w:color w:val="000000"/>
          <w:sz w:val="24"/>
          <w:szCs w:val="20"/>
        </w:rPr>
        <w:t xml:space="preserve">12</w:t>
      </w:r>
      <w:r>
        <w:rPr>
          <w:color w:val="000000"/>
          <w:sz w:val="24"/>
          <w:szCs w:val="20"/>
        </w:rPr>
        <w:t xml:space="preserve">  </w:t>
      </w:r>
      <w:r>
        <w:rPr>
          <w:rFonts w:hint="eastAsia"/>
          <w:color w:val="000000"/>
          <w:sz w:val="24"/>
          <w:szCs w:val="20"/>
        </w:rPr>
        <w:t xml:space="preserve">项目实施方案等，包括但不限于如下主题：</w:t>
      </w:r>
      <w:r/>
    </w:p>
    <w:p>
      <w:pPr>
        <w:ind w:firstLine="480"/>
        <w:spacing w:line="560" w:lineRule="exact"/>
        <w:rPr>
          <w:rFonts w:hint="eastAsia" w:eastAsia="宋体"/>
          <w:color w:val="000000"/>
          <w:sz w:val="24"/>
          <w:szCs w:val="20"/>
          <w:lang w:eastAsia="zh-CN"/>
        </w:rPr>
      </w:pPr>
      <w:r>
        <w:rPr>
          <w:rFonts w:hint="eastAsia"/>
          <w:color w:val="000000"/>
          <w:sz w:val="24"/>
          <w:szCs w:val="20"/>
          <w:lang w:eastAsia="zh-CN"/>
        </w:rPr>
        <w:t xml:space="preserve">详见评分细则</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br w:type="page" w:clear="all"/>
      </w:r>
      <w:r/>
    </w:p>
    <w:p>
      <w:pPr>
        <w:rPr>
          <w:color w:val="000000"/>
          <w:sz w:val="24"/>
          <w:szCs w:val="20"/>
        </w:rPr>
      </w:pPr>
      <w:r>
        <w:rPr>
          <w:rFonts w:hint="eastAsia"/>
          <w:color w:val="000000"/>
          <w:sz w:val="24"/>
          <w:szCs w:val="20"/>
        </w:rPr>
        <w:t xml:space="preserve">13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07"/>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spacing w:before="25" w:after="25" w:line="360" w:lineRule="auto"/>
        <w:rPr>
          <w:color w:val="000000"/>
          <w:sz w:val="24"/>
          <w:lang w:val="zh-CN"/>
        </w:rPr>
      </w:pPr>
      <w:r>
        <w:rPr>
          <w:color w:val="000000"/>
          <w:sz w:val="24"/>
        </w:rPr>
        <w:t xml:space="preserve">供应商名称（</w:t>
      </w:r>
      <w:r>
        <w:rPr>
          <w:rFonts w:hint="eastAsia" w:ascii="宋体" w:hAnsi="宋体" w:cs="楷体"/>
          <w:sz w:val="24"/>
          <w:highlight w:val="none"/>
        </w:rPr>
        <w:t xml:space="preserve">加盖CA电子公章</w:t>
      </w:r>
      <w:r>
        <w:rPr>
          <w:color w:val="000000"/>
          <w:sz w:val="24"/>
        </w:rPr>
        <w:t xml:space="preserve">）</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rFonts w:hint="eastAsia"/>
          <w:sz w:val="22"/>
        </w:rPr>
      </w:pPr>
      <w:r>
        <w:rPr>
          <w:sz w:val="22"/>
        </w:rPr>
        <w:br w:type="page" w:clear="all"/>
      </w:r>
      <w:bookmarkStart w:id="1291" w:name="_Toc288738839"/>
      <w:r/>
      <w:bookmarkStart w:id="1292" w:name="_Toc288738397"/>
      <w:r/>
      <w:r/>
    </w:p>
    <w:p>
      <w:pPr>
        <w:rPr>
          <w:color w:val="000000"/>
          <w:sz w:val="24"/>
          <w:szCs w:val="20"/>
        </w:rPr>
      </w:pPr>
      <w:r>
        <w:rPr>
          <w:rFonts w:hint="eastAsia"/>
          <w:color w:val="000000"/>
          <w:sz w:val="24"/>
          <w:szCs w:val="20"/>
        </w:rPr>
        <w:t xml:space="preserve">14  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1291"/>
      <w:r/>
      <w:bookmarkEnd w:id="1292"/>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0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供应商名称（</w:t>
      </w:r>
      <w:r>
        <w:rPr>
          <w:rFonts w:hint="eastAsia" w:ascii="宋体" w:hAnsi="宋体" w:cs="楷体"/>
          <w:sz w:val="24"/>
          <w:highlight w:val="none"/>
        </w:rPr>
        <w:t xml:space="preserve">加盖CA电子公章</w:t>
      </w:r>
      <w:r>
        <w:rPr>
          <w:color w:val="000000"/>
          <w:sz w:val="24"/>
        </w:rPr>
        <w:t xml:space="preserve">）</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sz w:val="24"/>
        </w:rPr>
        <w:outlineLvl w:val="2"/>
      </w:pPr>
      <w:r>
        <w:rPr>
          <w:color w:val="000000"/>
          <w:sz w:val="24"/>
          <w:szCs w:val="20"/>
        </w:rPr>
        <w:t xml:space="preserve">1</w:t>
      </w:r>
      <w:r>
        <w:rPr>
          <w:rFonts w:hint="eastAsia"/>
          <w:color w:val="000000"/>
          <w:sz w:val="24"/>
          <w:szCs w:val="20"/>
          <w:lang w:val="en-US" w:eastAsia="zh-CN"/>
        </w:rPr>
        <w:t xml:space="preserve">5</w:t>
      </w:r>
      <w:r>
        <w:rPr>
          <w:color w:val="000000"/>
          <w:sz w:val="24"/>
          <w:szCs w:val="20"/>
        </w:rPr>
        <w:t xml:space="preserve">  磋商文件要求提供或供应商认为应附的其他材料</w:t>
      </w:r>
      <w:r/>
    </w:p>
    <w:p>
      <w:pPr>
        <w:rPr>
          <w:color w:val="000000"/>
          <w:sz w:val="24"/>
          <w:lang w:val="zh-CN"/>
        </w:rPr>
      </w:pPr>
      <w:r>
        <w:rPr>
          <w:color w:val="000000"/>
          <w:sz w:val="24"/>
          <w:lang w:val="zh-CN"/>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仿宋">
    <w:panose1 w:val="02010609060101010101"/>
  </w:font>
  <w:font w:name="CESI黑体-GB2312">
    <w:panose1 w:val="020B0503020202020204"/>
  </w:font>
  <w:font w:name="Wingdings">
    <w:panose1 w:val="05000000000000000000"/>
  </w:font>
  <w:font w:name="Tahoma">
    <w:panose1 w:val="020B0604030504040204"/>
  </w:font>
  <w:font w:name="ˎ̥">
    <w:panose1 w:val="020B0503020202020204"/>
  </w:font>
  <w:font w:name="FangSong_GB2312">
    <w:panose1 w:val="0201060906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rPr>
        <w:rStyle w:val="1254"/>
      </w:rPr>
      <w:framePr w:wrap="around" w:vAnchor="text" w:hAnchor="margin" w:xAlign="center" w:y="1"/>
    </w:pPr>
    <w:r>
      <w:fldChar w:fldCharType="begin"/>
    </w:r>
    <w:r>
      <w:rPr>
        <w:rStyle w:val="1254"/>
      </w:rPr>
      <w:instrText xml:space="preserve">PAGE  </w:instrText>
    </w:r>
    <w:r>
      <w:fldChar w:fldCharType="end"/>
    </w:r>
    <w:r/>
  </w:p>
  <w:p>
    <w:pPr>
      <w:pStyle w:val="122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rPr>
        <w:rFonts w:ascii="Times New Roman"/>
      </w:rPr>
    </w:pP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tabs>
        <w:tab w:val="clear" w:pos="4153" w:leader="none"/>
        <w:tab w:val="center" w:pos="4620"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rPr>
        <w:rStyle w:val="1254"/>
      </w:rPr>
      <w:framePr w:wrap="around" w:vAnchor="text" w:hAnchor="margin" w:xAlign="right" w:y="1"/>
    </w:pPr>
    <w:r>
      <w:rPr>
        <w:rStyle w:val="1254"/>
      </w:rPr>
      <w:fldChar w:fldCharType="begin"/>
    </w:r>
    <w:r>
      <w:rPr>
        <w:rStyle w:val="1254"/>
      </w:rPr>
      <w:instrText xml:space="preserve">PAGE  </w:instrText>
    </w:r>
    <w:r>
      <w:rPr>
        <w:rStyle w:val="1254"/>
      </w:rPr>
      <w:fldChar w:fldCharType="end"/>
    </w:r>
    <w:r/>
  </w:p>
  <w:p>
    <w:pPr>
      <w:pStyle w:val="1229"/>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9"/>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9"/>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rPr>
        <w:rStyle w:val="1254"/>
      </w:rPr>
      <w:framePr w:wrap="around" w:vAnchor="text" w:hAnchor="margin" w:xAlign="right" w:y="1"/>
    </w:pPr>
    <w:r>
      <w:rPr>
        <w:rStyle w:val="1254"/>
      </w:rPr>
      <w:fldChar w:fldCharType="begin"/>
    </w:r>
    <w:r>
      <w:rPr>
        <w:rStyle w:val="1254"/>
      </w:rPr>
      <w:instrText xml:space="preserve">PAGE  </w:instrText>
    </w:r>
    <w:r>
      <w:rPr>
        <w:rStyle w:val="1254"/>
      </w:rPr>
      <w:fldChar w:fldCharType="end"/>
    </w:r>
    <w:r/>
  </w:p>
  <w:p>
    <w:pPr>
      <w:pStyle w:val="1229"/>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fldChar w:fldCharType="begin"/>
                          </w:r>
                          <w:r>
                            <w:instrText xml:space="preserve"> PAGE  \* MERGEFORMAT </w:instrText>
                          </w:r>
                          <w:r>
                            <w:fldChar w:fldCharType="separate"/>
                          </w:r>
                          <w:r>
                            <w:t xml:space="preserve">68</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fldChar w:fldCharType="begin"/>
                          </w:r>
                          <w:r>
                            <w:instrText xml:space="preserve"> PAGE  \* MERGEFORMAT </w:instrText>
                          </w:r>
                          <w:r>
                            <w:fldChar w:fldCharType="separate"/>
                          </w:r>
                          <w:r>
                            <w:t xml:space="preserve">69</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2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9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8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8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2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2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32"/>
      <w:isLgl w:val="false"/>
      <w:suff w:val="nothing"/>
      <w:lvlText w:val="%1.%2.%3.%4.%5.%6　"/>
      <w:lvlJc w:val="left"/>
      <w:pPr>
        <w:ind w:left="-25" w:firstLine="0"/>
      </w:pPr>
      <w:rPr>
        <w:rFonts w:ascii="Times New Roman" w:hAnsi="Times New Roman" w:eastAsia="宋体"/>
        <w:b/>
        <w:i w:val="0"/>
        <w:sz w:val="28"/>
      </w:rPr>
    </w:lvl>
    <w:lvl w:ilvl="6">
      <w:start w:val="1"/>
      <w:numFmt w:val="lowerLetter"/>
      <w:pStyle w:val="134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0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bullet"/>
      <w:pStyle w:val="1221"/>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33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lowerLetter"/>
      <w:pStyle w:val="136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9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393"/>
      <w:isLgl w:val="false"/>
      <w:suff w:val="tab"/>
      <w:lvlText w:val="%1"/>
      <w:lvlJc w:val="left"/>
      <w:pPr>
        <w:ind w:left="680" w:hanging="680"/>
      </w:pPr>
      <w:rPr>
        <w:rFonts w:hint="eastAsia" w:ascii="宋体" w:hAnsi="宋体" w:eastAsia="宋体"/>
      </w:rPr>
    </w:lvl>
    <w:lvl w:ilvl="1">
      <w:start w:val="1"/>
      <w:numFmt w:val="decimal"/>
      <w:pStyle w:val="1394"/>
      <w:isLgl w:val="false"/>
      <w:suff w:val="tab"/>
      <w:lvlText w:val="%1.%2"/>
      <w:lvlJc w:val="left"/>
      <w:pPr>
        <w:ind w:left="851" w:hanging="851"/>
      </w:pPr>
      <w:rPr>
        <w:rFonts w:hint="eastAsia" w:ascii="宋体" w:hAnsi="宋体" w:eastAsia="宋体"/>
        <w:color w:val="000000"/>
      </w:rPr>
    </w:lvl>
    <w:lvl w:ilvl="2">
      <w:start w:val="1"/>
      <w:numFmt w:val="decimal"/>
      <w:pStyle w:val="139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5"/>
  </w:num>
  <w:num w:numId="2">
    <w:abstractNumId w:val="4"/>
  </w:num>
  <w:num w:numId="3">
    <w:abstractNumId w:val="11"/>
  </w:num>
  <w:num w:numId="4">
    <w:abstractNumId w:val="3"/>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6" w:default="1">
    <w:name w:val="Normal"/>
    <w:link w:val="14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name w:val="Heading 1"/>
    <w:basedOn w:val="996"/>
    <w:next w:val="996"/>
    <w:link w:val="1033"/>
    <w:uiPriority w:val="9"/>
    <w:qFormat/>
    <w:pPr>
      <w:keepLines/>
      <w:keepNext/>
      <w:spacing w:before="480" w:after="200"/>
      <w:outlineLvl w:val="0"/>
    </w:pPr>
    <w:rPr>
      <w:rFonts w:ascii="Arial" w:hAnsi="Arial" w:eastAsia="Arial" w:cs="Arial"/>
      <w:sz w:val="40"/>
      <w:szCs w:val="40"/>
    </w:rPr>
  </w:style>
  <w:style w:type="paragraph" w:styleId="998">
    <w:name w:val="Heading 2"/>
    <w:basedOn w:val="996"/>
    <w:next w:val="996"/>
    <w:link w:val="1034"/>
    <w:uiPriority w:val="9"/>
    <w:unhideWhenUsed/>
    <w:qFormat/>
    <w:pPr>
      <w:keepLines/>
      <w:keepNext/>
      <w:spacing w:before="360" w:after="200"/>
      <w:outlineLvl w:val="1"/>
    </w:pPr>
    <w:rPr>
      <w:rFonts w:ascii="Arial" w:hAnsi="Arial" w:eastAsia="Arial" w:cs="Arial"/>
      <w:sz w:val="34"/>
    </w:rPr>
  </w:style>
  <w:style w:type="paragraph" w:styleId="999">
    <w:name w:val="Heading 3"/>
    <w:basedOn w:val="996"/>
    <w:next w:val="996"/>
    <w:link w:val="1035"/>
    <w:uiPriority w:val="9"/>
    <w:unhideWhenUsed/>
    <w:qFormat/>
    <w:pPr>
      <w:keepLines/>
      <w:keepNext/>
      <w:spacing w:before="320" w:after="200"/>
      <w:outlineLvl w:val="2"/>
    </w:pPr>
    <w:rPr>
      <w:rFonts w:ascii="Arial" w:hAnsi="Arial" w:eastAsia="Arial" w:cs="Arial"/>
      <w:sz w:val="30"/>
      <w:szCs w:val="30"/>
    </w:rPr>
  </w:style>
  <w:style w:type="paragraph" w:styleId="1000">
    <w:name w:val="Heading 4"/>
    <w:basedOn w:val="996"/>
    <w:next w:val="996"/>
    <w:link w:val="1036"/>
    <w:uiPriority w:val="9"/>
    <w:unhideWhenUsed/>
    <w:qFormat/>
    <w:pPr>
      <w:keepLines/>
      <w:keepNext/>
      <w:spacing w:before="320" w:after="200"/>
      <w:outlineLvl w:val="3"/>
    </w:pPr>
    <w:rPr>
      <w:rFonts w:ascii="Arial" w:hAnsi="Arial" w:eastAsia="Arial" w:cs="Arial"/>
      <w:b/>
      <w:bCs/>
      <w:sz w:val="26"/>
      <w:szCs w:val="26"/>
    </w:rPr>
  </w:style>
  <w:style w:type="paragraph" w:styleId="1001">
    <w:name w:val="Heading 5"/>
    <w:basedOn w:val="996"/>
    <w:next w:val="996"/>
    <w:link w:val="1037"/>
    <w:uiPriority w:val="9"/>
    <w:unhideWhenUsed/>
    <w:qFormat/>
    <w:pPr>
      <w:keepLines/>
      <w:keepNext/>
      <w:spacing w:before="320" w:after="200"/>
      <w:outlineLvl w:val="4"/>
    </w:pPr>
    <w:rPr>
      <w:rFonts w:ascii="Arial" w:hAnsi="Arial" w:eastAsia="Arial" w:cs="Arial"/>
      <w:b/>
      <w:bCs/>
      <w:sz w:val="24"/>
      <w:szCs w:val="24"/>
    </w:rPr>
  </w:style>
  <w:style w:type="paragraph" w:styleId="1002">
    <w:name w:val="Heading 6"/>
    <w:basedOn w:val="996"/>
    <w:next w:val="996"/>
    <w:link w:val="1038"/>
    <w:uiPriority w:val="9"/>
    <w:unhideWhenUsed/>
    <w:qFormat/>
    <w:pPr>
      <w:keepLines/>
      <w:keepNext/>
      <w:spacing w:before="320" w:after="200"/>
      <w:outlineLvl w:val="5"/>
    </w:pPr>
    <w:rPr>
      <w:rFonts w:ascii="Arial" w:hAnsi="Arial" w:eastAsia="Arial" w:cs="Arial"/>
      <w:b/>
      <w:bCs/>
      <w:sz w:val="22"/>
      <w:szCs w:val="22"/>
    </w:rPr>
  </w:style>
  <w:style w:type="paragraph" w:styleId="1003">
    <w:name w:val="Heading 7"/>
    <w:basedOn w:val="996"/>
    <w:next w:val="996"/>
    <w:link w:val="1039"/>
    <w:uiPriority w:val="9"/>
    <w:unhideWhenUsed/>
    <w:qFormat/>
    <w:pPr>
      <w:keepLines/>
      <w:keepNext/>
      <w:spacing w:before="320" w:after="200"/>
      <w:outlineLvl w:val="6"/>
    </w:pPr>
    <w:rPr>
      <w:rFonts w:ascii="Arial" w:hAnsi="Arial" w:eastAsia="Arial" w:cs="Arial"/>
      <w:b/>
      <w:bCs/>
      <w:i/>
      <w:iCs/>
      <w:sz w:val="22"/>
      <w:szCs w:val="22"/>
    </w:rPr>
  </w:style>
  <w:style w:type="paragraph" w:styleId="1004">
    <w:name w:val="Heading 8"/>
    <w:basedOn w:val="996"/>
    <w:next w:val="996"/>
    <w:link w:val="1040"/>
    <w:uiPriority w:val="9"/>
    <w:unhideWhenUsed/>
    <w:qFormat/>
    <w:pPr>
      <w:keepLines/>
      <w:keepNext/>
      <w:spacing w:before="320" w:after="200"/>
      <w:outlineLvl w:val="7"/>
    </w:pPr>
    <w:rPr>
      <w:rFonts w:ascii="Arial" w:hAnsi="Arial" w:eastAsia="Arial" w:cs="Arial"/>
      <w:i/>
      <w:iCs/>
      <w:sz w:val="22"/>
      <w:szCs w:val="22"/>
    </w:rPr>
  </w:style>
  <w:style w:type="paragraph" w:styleId="1005">
    <w:name w:val="Heading 9"/>
    <w:basedOn w:val="996"/>
    <w:next w:val="996"/>
    <w:link w:val="1041"/>
    <w:uiPriority w:val="9"/>
    <w:unhideWhenUsed/>
    <w:qFormat/>
    <w:pPr>
      <w:keepLines/>
      <w:keepNext/>
      <w:spacing w:before="320" w:after="200"/>
      <w:outlineLvl w:val="8"/>
    </w:pPr>
    <w:rPr>
      <w:rFonts w:ascii="Arial" w:hAnsi="Arial" w:eastAsia="Arial" w:cs="Arial"/>
      <w:i/>
      <w:iCs/>
      <w:sz w:val="21"/>
      <w:szCs w:val="21"/>
    </w:rPr>
  </w:style>
  <w:style w:type="character" w:styleId="1006" w:default="1">
    <w:name w:val="Default Paragraph Font"/>
    <w:uiPriority w:val="1"/>
    <w:semiHidden/>
    <w:unhideWhenUsed/>
    <w:qFormat/>
  </w:style>
  <w:style w:type="table" w:styleId="1007" w:default="1">
    <w:name w:val="Normal Table"/>
    <w:uiPriority w:val="99"/>
    <w:semiHidden/>
    <w:unhideWhenUsed/>
    <w:qFormat/>
    <w:tblPr>
      <w:tblCellMar>
        <w:left w:w="108" w:type="dxa"/>
        <w:top w:w="0" w:type="dxa"/>
        <w:right w:w="108" w:type="dxa"/>
        <w:bottom w:w="0" w:type="dxa"/>
      </w:tblCellMar>
    </w:tblPr>
  </w:style>
  <w:style w:type="paragraph" w:styleId="1008">
    <w:name w:val="toc 7"/>
    <w:basedOn w:val="996"/>
    <w:next w:val="996"/>
    <w:uiPriority w:val="39"/>
    <w:unhideWhenUsed/>
    <w:qFormat/>
    <w:pPr>
      <w:ind w:left="1701" w:right="0" w:firstLine="0"/>
      <w:spacing w:after="57"/>
    </w:pPr>
  </w:style>
  <w:style w:type="paragraph" w:styleId="1009">
    <w:name w:val="Normal Indent"/>
    <w:basedOn w:val="996"/>
    <w:uiPriority w:val="99"/>
    <w:qFormat/>
    <w:pPr>
      <w:ind w:firstLine="420"/>
      <w:jc w:val="left"/>
    </w:pPr>
    <w:rPr>
      <w:rFonts w:ascii="宋体"/>
      <w:sz w:val="24"/>
    </w:rPr>
  </w:style>
  <w:style w:type="paragraph" w:styleId="1010">
    <w:name w:val="Caption"/>
    <w:basedOn w:val="996"/>
    <w:next w:val="996"/>
    <w:uiPriority w:val="35"/>
    <w:semiHidden/>
    <w:unhideWhenUsed/>
    <w:qFormat/>
    <w:pPr>
      <w:spacing w:line="276" w:lineRule="auto"/>
    </w:pPr>
    <w:rPr>
      <w:b/>
      <w:bCs/>
      <w:color w:val="4f81bd" w:themeColor="accent1"/>
      <w:sz w:val="18"/>
      <w:szCs w:val="18"/>
    </w:rPr>
  </w:style>
  <w:style w:type="paragraph" w:styleId="1011">
    <w:name w:val="Body Text"/>
    <w:basedOn w:val="996"/>
    <w:uiPriority w:val="0"/>
    <w:qFormat/>
    <w:pPr>
      <w:jc w:val="left"/>
      <w:spacing w:line="360" w:lineRule="auto"/>
      <w:widowControl/>
      <w:tabs>
        <w:tab w:val="left" w:pos="567" w:leader="none"/>
      </w:tabs>
    </w:pPr>
    <w:rPr>
      <w:rFonts w:ascii="宋体" w:hAnsi="宋体"/>
      <w:sz w:val="24"/>
    </w:rPr>
  </w:style>
  <w:style w:type="paragraph" w:styleId="1012">
    <w:name w:val="toc 5"/>
    <w:basedOn w:val="996"/>
    <w:next w:val="996"/>
    <w:uiPriority w:val="39"/>
    <w:unhideWhenUsed/>
    <w:qFormat/>
    <w:pPr>
      <w:ind w:left="1134" w:right="0" w:firstLine="0"/>
      <w:spacing w:after="57"/>
    </w:pPr>
  </w:style>
  <w:style w:type="paragraph" w:styleId="1013">
    <w:name w:val="toc 3"/>
    <w:basedOn w:val="996"/>
    <w:next w:val="996"/>
    <w:uiPriority w:val="39"/>
    <w:unhideWhenUsed/>
    <w:qFormat/>
    <w:pPr>
      <w:ind w:left="567" w:right="0" w:firstLine="0"/>
      <w:spacing w:after="57"/>
    </w:pPr>
  </w:style>
  <w:style w:type="paragraph" w:styleId="1014">
    <w:name w:val="toc 8"/>
    <w:basedOn w:val="996"/>
    <w:next w:val="996"/>
    <w:uiPriority w:val="39"/>
    <w:unhideWhenUsed/>
    <w:qFormat/>
    <w:pPr>
      <w:ind w:left="1984" w:right="0" w:firstLine="0"/>
      <w:spacing w:after="57"/>
    </w:pPr>
  </w:style>
  <w:style w:type="paragraph" w:styleId="1015">
    <w:name w:val="endnote text"/>
    <w:basedOn w:val="996"/>
    <w:link w:val="1178"/>
    <w:uiPriority w:val="99"/>
    <w:semiHidden/>
    <w:unhideWhenUsed/>
    <w:qFormat/>
    <w:pPr>
      <w:spacing w:after="0" w:line="240" w:lineRule="auto"/>
    </w:pPr>
    <w:rPr>
      <w:sz w:val="20"/>
    </w:rPr>
  </w:style>
  <w:style w:type="paragraph" w:styleId="1016">
    <w:name w:val="Footer"/>
    <w:basedOn w:val="996"/>
    <w:link w:val="1051"/>
    <w:uiPriority w:val="99"/>
    <w:unhideWhenUsed/>
    <w:qFormat/>
    <w:pPr>
      <w:spacing w:after="0" w:line="240" w:lineRule="auto"/>
      <w:tabs>
        <w:tab w:val="center" w:pos="7143" w:leader="none"/>
        <w:tab w:val="right" w:pos="14287" w:leader="none"/>
      </w:tabs>
    </w:pPr>
  </w:style>
  <w:style w:type="paragraph" w:styleId="1017">
    <w:name w:val="Header"/>
    <w:basedOn w:val="996"/>
    <w:link w:val="1049"/>
    <w:uiPriority w:val="99"/>
    <w:unhideWhenUsed/>
    <w:qFormat/>
    <w:pPr>
      <w:spacing w:after="0" w:line="240" w:lineRule="auto"/>
      <w:tabs>
        <w:tab w:val="center" w:pos="7143" w:leader="none"/>
        <w:tab w:val="right" w:pos="14287" w:leader="none"/>
      </w:tabs>
    </w:pPr>
  </w:style>
  <w:style w:type="paragraph" w:styleId="1018">
    <w:name w:val="toc 1"/>
    <w:basedOn w:val="996"/>
    <w:next w:val="996"/>
    <w:uiPriority w:val="39"/>
    <w:unhideWhenUsed/>
    <w:qFormat/>
    <w:pPr>
      <w:ind w:left="0" w:right="0" w:firstLine="0"/>
      <w:spacing w:after="57"/>
    </w:pPr>
  </w:style>
  <w:style w:type="paragraph" w:styleId="1019">
    <w:name w:val="toc 4"/>
    <w:basedOn w:val="996"/>
    <w:next w:val="996"/>
    <w:uiPriority w:val="39"/>
    <w:unhideWhenUsed/>
    <w:qFormat/>
    <w:pPr>
      <w:ind w:left="850" w:right="0" w:firstLine="0"/>
      <w:spacing w:after="57"/>
    </w:pPr>
  </w:style>
  <w:style w:type="paragraph" w:styleId="1020">
    <w:name w:val="Subtitle"/>
    <w:basedOn w:val="996"/>
    <w:next w:val="996"/>
    <w:link w:val="1044"/>
    <w:uiPriority w:val="11"/>
    <w:qFormat/>
    <w:pPr>
      <w:spacing w:before="200" w:after="200"/>
    </w:pPr>
    <w:rPr>
      <w:sz w:val="24"/>
      <w:szCs w:val="24"/>
    </w:rPr>
  </w:style>
  <w:style w:type="paragraph" w:styleId="1021">
    <w:name w:val="footnote text"/>
    <w:basedOn w:val="996"/>
    <w:link w:val="1177"/>
    <w:uiPriority w:val="99"/>
    <w:semiHidden/>
    <w:unhideWhenUsed/>
    <w:qFormat/>
    <w:pPr>
      <w:spacing w:after="40" w:line="240" w:lineRule="auto"/>
    </w:pPr>
    <w:rPr>
      <w:sz w:val="18"/>
    </w:rPr>
  </w:style>
  <w:style w:type="paragraph" w:styleId="1022">
    <w:name w:val="toc 6"/>
    <w:basedOn w:val="996"/>
    <w:next w:val="996"/>
    <w:uiPriority w:val="39"/>
    <w:unhideWhenUsed/>
    <w:qFormat/>
    <w:pPr>
      <w:ind w:left="1417" w:right="0" w:firstLine="0"/>
      <w:spacing w:after="57"/>
    </w:pPr>
  </w:style>
  <w:style w:type="paragraph" w:styleId="1023">
    <w:name w:val="table of figures"/>
    <w:basedOn w:val="996"/>
    <w:next w:val="996"/>
    <w:uiPriority w:val="99"/>
    <w:unhideWhenUsed/>
    <w:qFormat/>
    <w:pPr>
      <w:spacing w:after="0" w:afterAutospacing="0"/>
    </w:pPr>
  </w:style>
  <w:style w:type="paragraph" w:styleId="1024">
    <w:name w:val="toc 2"/>
    <w:basedOn w:val="996"/>
    <w:next w:val="996"/>
    <w:uiPriority w:val="39"/>
    <w:unhideWhenUsed/>
    <w:qFormat/>
    <w:pPr>
      <w:ind w:left="283" w:right="0" w:firstLine="0"/>
      <w:spacing w:after="57"/>
    </w:pPr>
  </w:style>
  <w:style w:type="paragraph" w:styleId="1025">
    <w:name w:val="toc 9"/>
    <w:basedOn w:val="996"/>
    <w:next w:val="996"/>
    <w:uiPriority w:val="39"/>
    <w:unhideWhenUsed/>
    <w:qFormat/>
    <w:pPr>
      <w:ind w:left="2268" w:right="0" w:firstLine="0"/>
      <w:spacing w:after="57"/>
    </w:pPr>
  </w:style>
  <w:style w:type="paragraph" w:styleId="1026">
    <w:name w:val="Normal (Web)"/>
    <w:basedOn w:val="996"/>
    <w:uiPriority w:val="99"/>
    <w:semiHidden/>
    <w:unhideWhenUsed/>
    <w:qFormat/>
    <w:rPr>
      <w:sz w:val="24"/>
    </w:rPr>
  </w:style>
  <w:style w:type="paragraph" w:styleId="1027">
    <w:name w:val="Title"/>
    <w:basedOn w:val="996"/>
    <w:next w:val="996"/>
    <w:link w:val="1043"/>
    <w:uiPriority w:val="10"/>
    <w:qFormat/>
    <w:pPr>
      <w:contextualSpacing/>
      <w:spacing w:before="300" w:after="200"/>
    </w:pPr>
    <w:rPr>
      <w:sz w:val="48"/>
      <w:szCs w:val="48"/>
    </w:rPr>
  </w:style>
  <w:style w:type="table" w:styleId="10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9">
    <w:name w:val="endnote reference"/>
    <w:uiPriority w:val="99"/>
    <w:semiHidden/>
    <w:unhideWhenUsed/>
    <w:qFormat/>
    <w:rPr>
      <w:vertAlign w:val="superscript"/>
    </w:rPr>
  </w:style>
  <w:style w:type="character" w:styleId="1030">
    <w:name w:val="Hyperlink"/>
    <w:uiPriority w:val="99"/>
    <w:unhideWhenUsed/>
    <w:qFormat/>
    <w:rPr>
      <w:color w:val="0000ff" w:themeColor="hyperlink"/>
      <w:u w:val="single"/>
    </w:rPr>
  </w:style>
  <w:style w:type="character" w:styleId="1031">
    <w:name w:val="footnote reference"/>
    <w:uiPriority w:val="99"/>
    <w:unhideWhenUsed/>
    <w:qFormat/>
    <w:rPr>
      <w:vertAlign w:val="superscript"/>
    </w:rPr>
  </w:style>
  <w:style w:type="paragraph" w:styleId="1032" w:customStyle="1">
    <w:name w:val="标题 31"/>
    <w:basedOn w:val="996"/>
    <w:next w:val="996"/>
    <w:link w:val="1191"/>
    <w:uiPriority w:val="0"/>
    <w:qFormat/>
    <w:pPr>
      <w:jc w:val="left"/>
      <w:keepLines/>
      <w:keepNext/>
      <w:spacing w:before="360" w:after="120"/>
      <w:outlineLvl w:val="2"/>
    </w:pPr>
    <w:rPr>
      <w:rFonts w:ascii="宋体"/>
      <w:b/>
      <w:sz w:val="24"/>
      <w:szCs w:val="20"/>
      <w:u w:val="single"/>
    </w:rPr>
  </w:style>
  <w:style w:type="character" w:styleId="1033" w:customStyle="1">
    <w:name w:val="Heading 1 Char"/>
    <w:link w:val="997"/>
    <w:uiPriority w:val="9"/>
    <w:qFormat/>
    <w:rPr>
      <w:rFonts w:ascii="Arial" w:hAnsi="Arial" w:eastAsia="Arial" w:cs="Arial"/>
      <w:sz w:val="40"/>
      <w:szCs w:val="40"/>
    </w:rPr>
  </w:style>
  <w:style w:type="character" w:styleId="1034" w:customStyle="1">
    <w:name w:val="Heading 2 Char"/>
    <w:link w:val="998"/>
    <w:uiPriority w:val="9"/>
    <w:qFormat/>
    <w:rPr>
      <w:rFonts w:ascii="Arial" w:hAnsi="Arial" w:eastAsia="Arial" w:cs="Arial"/>
      <w:sz w:val="34"/>
    </w:rPr>
  </w:style>
  <w:style w:type="character" w:styleId="1035" w:customStyle="1">
    <w:name w:val="Heading 3 Char"/>
    <w:link w:val="999"/>
    <w:uiPriority w:val="9"/>
    <w:qFormat/>
    <w:rPr>
      <w:rFonts w:ascii="Arial" w:hAnsi="Arial" w:eastAsia="Arial" w:cs="Arial"/>
      <w:sz w:val="30"/>
      <w:szCs w:val="30"/>
    </w:rPr>
  </w:style>
  <w:style w:type="character" w:styleId="1036" w:customStyle="1">
    <w:name w:val="Heading 4 Char"/>
    <w:link w:val="1000"/>
    <w:uiPriority w:val="9"/>
    <w:qFormat/>
    <w:rPr>
      <w:rFonts w:ascii="Arial" w:hAnsi="Arial" w:eastAsia="Arial" w:cs="Arial"/>
      <w:b/>
      <w:bCs/>
      <w:sz w:val="26"/>
      <w:szCs w:val="26"/>
    </w:rPr>
  </w:style>
  <w:style w:type="character" w:styleId="1037" w:customStyle="1">
    <w:name w:val="Heading 5 Char"/>
    <w:link w:val="1001"/>
    <w:uiPriority w:val="9"/>
    <w:qFormat/>
    <w:rPr>
      <w:rFonts w:ascii="Arial" w:hAnsi="Arial" w:eastAsia="Arial" w:cs="Arial"/>
      <w:b/>
      <w:bCs/>
      <w:sz w:val="24"/>
      <w:szCs w:val="24"/>
    </w:rPr>
  </w:style>
  <w:style w:type="character" w:styleId="1038" w:customStyle="1">
    <w:name w:val="Heading 6 Char"/>
    <w:link w:val="1002"/>
    <w:uiPriority w:val="9"/>
    <w:qFormat/>
    <w:rPr>
      <w:rFonts w:ascii="Arial" w:hAnsi="Arial" w:eastAsia="Arial" w:cs="Arial"/>
      <w:b/>
      <w:bCs/>
      <w:sz w:val="22"/>
      <w:szCs w:val="22"/>
    </w:rPr>
  </w:style>
  <w:style w:type="character" w:styleId="1039" w:customStyle="1">
    <w:name w:val="Heading 7 Char"/>
    <w:link w:val="1003"/>
    <w:uiPriority w:val="9"/>
    <w:qFormat/>
    <w:rPr>
      <w:rFonts w:ascii="Arial" w:hAnsi="Arial" w:eastAsia="Arial" w:cs="Arial"/>
      <w:b/>
      <w:bCs/>
      <w:i/>
      <w:iCs/>
      <w:sz w:val="22"/>
      <w:szCs w:val="22"/>
    </w:rPr>
  </w:style>
  <w:style w:type="character" w:styleId="1040" w:customStyle="1">
    <w:name w:val="Heading 8 Char"/>
    <w:link w:val="1004"/>
    <w:uiPriority w:val="9"/>
    <w:qFormat/>
    <w:rPr>
      <w:rFonts w:ascii="Arial" w:hAnsi="Arial" w:eastAsia="Arial" w:cs="Arial"/>
      <w:i/>
      <w:iCs/>
      <w:sz w:val="22"/>
      <w:szCs w:val="22"/>
    </w:rPr>
  </w:style>
  <w:style w:type="character" w:styleId="1041" w:customStyle="1">
    <w:name w:val="Heading 9 Char"/>
    <w:link w:val="1005"/>
    <w:uiPriority w:val="9"/>
    <w:qFormat/>
    <w:rPr>
      <w:rFonts w:ascii="Arial" w:hAnsi="Arial" w:eastAsia="Arial" w:cs="Arial"/>
      <w:i/>
      <w:iCs/>
      <w:sz w:val="21"/>
      <w:szCs w:val="21"/>
    </w:rPr>
  </w:style>
  <w:style w:type="paragraph" w:styleId="1042">
    <w:name w:val="No Spacing"/>
    <w:uiPriority w:val="1"/>
    <w:qFormat/>
    <w:pPr>
      <w:spacing w:before="0" w:after="0" w:line="240" w:lineRule="auto"/>
    </w:pPr>
    <w:rPr>
      <w:rFonts w:hint="default" w:ascii="Times New Roman" w:hAnsi="Times New Roman" w:eastAsia="宋体" w:cs="Times New Roman"/>
    </w:rPr>
  </w:style>
  <w:style w:type="character" w:styleId="1043" w:customStyle="1">
    <w:name w:val="Title Char"/>
    <w:link w:val="1027"/>
    <w:uiPriority w:val="10"/>
    <w:qFormat/>
    <w:rPr>
      <w:sz w:val="48"/>
      <w:szCs w:val="48"/>
    </w:rPr>
  </w:style>
  <w:style w:type="character" w:styleId="1044" w:customStyle="1">
    <w:name w:val="Subtitle Char"/>
    <w:link w:val="1020"/>
    <w:uiPriority w:val="11"/>
    <w:qFormat/>
    <w:rPr>
      <w:sz w:val="24"/>
      <w:szCs w:val="24"/>
    </w:rPr>
  </w:style>
  <w:style w:type="paragraph" w:styleId="1045">
    <w:name w:val="Quote"/>
    <w:basedOn w:val="996"/>
    <w:next w:val="996"/>
    <w:link w:val="1046"/>
    <w:uiPriority w:val="29"/>
    <w:qFormat/>
    <w:pPr>
      <w:ind w:left="720" w:right="720"/>
    </w:pPr>
    <w:rPr>
      <w:i/>
    </w:rPr>
  </w:style>
  <w:style w:type="character" w:styleId="1046" w:customStyle="1">
    <w:name w:val="Quote Char"/>
    <w:link w:val="1045"/>
    <w:uiPriority w:val="29"/>
    <w:qFormat/>
    <w:rPr>
      <w:i/>
    </w:rPr>
  </w:style>
  <w:style w:type="paragraph" w:styleId="1047">
    <w:name w:val="Intense Quote"/>
    <w:basedOn w:val="996"/>
    <w:next w:val="996"/>
    <w:link w:val="10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8" w:customStyle="1">
    <w:name w:val="Intense Quote Char"/>
    <w:link w:val="1047"/>
    <w:uiPriority w:val="30"/>
    <w:qFormat/>
    <w:rPr>
      <w:i/>
    </w:rPr>
  </w:style>
  <w:style w:type="character" w:styleId="1049" w:customStyle="1">
    <w:name w:val="Header Char"/>
    <w:link w:val="1017"/>
    <w:uiPriority w:val="99"/>
    <w:qFormat/>
  </w:style>
  <w:style w:type="character" w:styleId="1050" w:customStyle="1">
    <w:name w:val="Footer Char"/>
    <w:link w:val="1016"/>
    <w:uiPriority w:val="99"/>
    <w:qFormat/>
  </w:style>
  <w:style w:type="character" w:styleId="1051" w:customStyle="1">
    <w:name w:val="Caption Char"/>
    <w:link w:val="1016"/>
    <w:uiPriority w:val="99"/>
    <w:qFormat/>
  </w:style>
  <w:style w:type="table" w:styleId="10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7" w:customStyle="1">
    <w:name w:val="Footnote Text Char"/>
    <w:link w:val="1021"/>
    <w:uiPriority w:val="99"/>
    <w:qFormat/>
    <w:rPr>
      <w:sz w:val="18"/>
    </w:rPr>
  </w:style>
  <w:style w:type="character" w:styleId="1178" w:customStyle="1">
    <w:name w:val="Endnote Text Char"/>
    <w:link w:val="1015"/>
    <w:uiPriority w:val="99"/>
    <w:qFormat/>
    <w:rPr>
      <w:sz w:val="20"/>
    </w:rPr>
  </w:style>
  <w:style w:type="paragraph" w:styleId="1179" w:customStyle="1">
    <w:name w:val="TOC Heading"/>
    <w:uiPriority w:val="39"/>
    <w:unhideWhenUsed/>
    <w:qFormat/>
    <w:rPr>
      <w:rFonts w:hint="default" w:ascii="Times New Roman" w:hAnsi="Times New Roman" w:eastAsia="宋体" w:cs="Times New Roman"/>
    </w:rPr>
  </w:style>
  <w:style w:type="paragraph" w:styleId="1180" w:customStyle="1">
    <w:name w:val="标题 11"/>
    <w:basedOn w:val="996"/>
    <w:next w:val="996"/>
    <w:link w:val="1192"/>
    <w:uiPriority w:val="0"/>
    <w:qFormat/>
    <w:pPr>
      <w:jc w:val="center"/>
      <w:keepLines/>
      <w:keepNext/>
      <w:spacing w:before="240" w:after="120" w:line="300" w:lineRule="auto"/>
      <w:outlineLvl w:val="0"/>
    </w:pPr>
    <w:rPr>
      <w:rFonts w:ascii="宋体"/>
      <w:b/>
      <w:sz w:val="32"/>
      <w:szCs w:val="20"/>
    </w:rPr>
  </w:style>
  <w:style w:type="paragraph" w:styleId="1181" w:customStyle="1">
    <w:name w:val="标题 21"/>
    <w:basedOn w:val="996"/>
    <w:next w:val="1182"/>
    <w:link w:val="1193"/>
    <w:uiPriority w:val="0"/>
    <w:qFormat/>
    <w:pPr>
      <w:jc w:val="center"/>
      <w:keepLines/>
      <w:keepNext/>
      <w:spacing w:before="120" w:line="300" w:lineRule="auto"/>
      <w:outlineLvl w:val="1"/>
    </w:pPr>
    <w:rPr>
      <w:rFonts w:ascii="Arial" w:hAnsi="Arial" w:eastAsia="黑体"/>
      <w:b/>
      <w:sz w:val="30"/>
      <w:szCs w:val="20"/>
    </w:rPr>
  </w:style>
  <w:style w:type="paragraph" w:styleId="1182" w:customStyle="1">
    <w:name w:val="正文缩进11"/>
    <w:basedOn w:val="996"/>
    <w:link w:val="1194"/>
    <w:uiPriority w:val="0"/>
    <w:qFormat/>
    <w:pPr>
      <w:ind w:firstLine="420"/>
      <w:jc w:val="left"/>
    </w:pPr>
    <w:rPr>
      <w:rFonts w:ascii="宋体"/>
      <w:sz w:val="24"/>
    </w:rPr>
  </w:style>
  <w:style w:type="paragraph" w:styleId="1183" w:customStyle="1">
    <w:name w:val="标题 41"/>
    <w:basedOn w:val="996"/>
    <w:next w:val="996"/>
    <w:link w:val="1195"/>
    <w:uiPriority w:val="0"/>
    <w:qFormat/>
    <w:pPr>
      <w:keepLines/>
      <w:keepNext/>
      <w:spacing w:before="280" w:after="290" w:line="376" w:lineRule="atLeast"/>
      <w:outlineLvl w:val="3"/>
    </w:pPr>
    <w:rPr>
      <w:rFonts w:ascii="Arial" w:hAnsi="Arial" w:eastAsia="黑体"/>
      <w:b/>
      <w:sz w:val="28"/>
      <w:szCs w:val="20"/>
    </w:rPr>
  </w:style>
  <w:style w:type="paragraph" w:styleId="1184" w:customStyle="1">
    <w:name w:val="标题 51"/>
    <w:basedOn w:val="996"/>
    <w:next w:val="996"/>
    <w:link w:val="1196"/>
    <w:uiPriority w:val="0"/>
    <w:qFormat/>
    <w:pPr>
      <w:keepLines/>
      <w:keepNext/>
      <w:spacing w:before="280" w:after="290" w:line="376" w:lineRule="atLeast"/>
      <w:outlineLvl w:val="4"/>
    </w:pPr>
    <w:rPr>
      <w:b/>
      <w:sz w:val="28"/>
      <w:szCs w:val="20"/>
    </w:rPr>
  </w:style>
  <w:style w:type="paragraph" w:styleId="1185" w:customStyle="1">
    <w:name w:val="标题 61"/>
    <w:basedOn w:val="996"/>
    <w:next w:val="996"/>
    <w:link w:val="1197"/>
    <w:uiPriority w:val="0"/>
    <w:qFormat/>
    <w:pPr>
      <w:keepLines/>
      <w:keepNext/>
      <w:spacing w:before="240" w:after="64" w:line="320" w:lineRule="atLeast"/>
      <w:outlineLvl w:val="5"/>
    </w:pPr>
    <w:rPr>
      <w:rFonts w:ascii="Arial" w:hAnsi="Arial" w:eastAsia="黑体"/>
      <w:b/>
      <w:sz w:val="24"/>
      <w:szCs w:val="20"/>
    </w:rPr>
  </w:style>
  <w:style w:type="paragraph" w:styleId="1186" w:customStyle="1">
    <w:name w:val="标题 71"/>
    <w:basedOn w:val="996"/>
    <w:next w:val="996"/>
    <w:link w:val="1198"/>
    <w:uiPriority w:val="0"/>
    <w:qFormat/>
    <w:pPr>
      <w:keepLines/>
      <w:keepNext/>
      <w:spacing w:before="240" w:after="64" w:line="320" w:lineRule="atLeast"/>
      <w:outlineLvl w:val="6"/>
    </w:pPr>
    <w:rPr>
      <w:b/>
      <w:sz w:val="24"/>
      <w:szCs w:val="20"/>
    </w:rPr>
  </w:style>
  <w:style w:type="paragraph" w:styleId="1187" w:customStyle="1">
    <w:name w:val="标题 81"/>
    <w:basedOn w:val="996"/>
    <w:next w:val="996"/>
    <w:link w:val="1199"/>
    <w:uiPriority w:val="0"/>
    <w:qFormat/>
    <w:pPr>
      <w:keepLines/>
      <w:keepNext/>
      <w:spacing w:before="240" w:after="64" w:line="320" w:lineRule="atLeast"/>
      <w:outlineLvl w:val="7"/>
    </w:pPr>
    <w:rPr>
      <w:rFonts w:ascii="Arial" w:hAnsi="Arial" w:eastAsia="黑体"/>
      <w:sz w:val="24"/>
      <w:szCs w:val="20"/>
    </w:rPr>
  </w:style>
  <w:style w:type="paragraph" w:styleId="1188" w:customStyle="1">
    <w:name w:val="标题 91"/>
    <w:basedOn w:val="996"/>
    <w:next w:val="996"/>
    <w:link w:val="1200"/>
    <w:uiPriority w:val="0"/>
    <w:qFormat/>
    <w:pPr>
      <w:keepLines/>
      <w:keepNext/>
      <w:spacing w:before="240" w:after="64" w:line="320" w:lineRule="atLeast"/>
      <w:outlineLvl w:val="8"/>
    </w:pPr>
    <w:rPr>
      <w:rFonts w:ascii="Arial" w:hAnsi="Arial" w:eastAsia="黑体"/>
      <w:szCs w:val="20"/>
    </w:rPr>
  </w:style>
  <w:style w:type="character" w:styleId="1189" w:customStyle="1">
    <w:name w:val="默认段落字体1"/>
    <w:link w:val="996"/>
    <w:uiPriority w:val="1"/>
    <w:unhideWhenUsed/>
    <w:qFormat/>
  </w:style>
  <w:style w:type="table" w:styleId="1190" w:customStyle="1">
    <w:name w:val="普通表格1"/>
    <w:uiPriority w:val="99"/>
    <w:unhideWhenUsed/>
    <w:qFormat/>
    <w:tblPr/>
  </w:style>
  <w:style w:type="character" w:styleId="1191" w:customStyle="1">
    <w:name w:val="标题 3 字符"/>
    <w:link w:val="1032"/>
    <w:uiPriority w:val="0"/>
    <w:qFormat/>
    <w:rPr>
      <w:rFonts w:ascii="宋体" w:eastAsia="宋体"/>
      <w:b/>
      <w:sz w:val="24"/>
      <w:u w:val="single"/>
      <w:lang w:val="en-US" w:eastAsia="zh-CN" w:bidi="ar-SA"/>
    </w:rPr>
  </w:style>
  <w:style w:type="character" w:styleId="1192" w:customStyle="1">
    <w:name w:val="标题 1 字符"/>
    <w:link w:val="1180"/>
    <w:uiPriority w:val="0"/>
    <w:qFormat/>
    <w:rPr>
      <w:rFonts w:ascii="宋体"/>
      <w:b/>
      <w:sz w:val="32"/>
    </w:rPr>
  </w:style>
  <w:style w:type="character" w:styleId="1193" w:customStyle="1">
    <w:name w:val="标题 2 字符"/>
    <w:link w:val="1181"/>
    <w:uiPriority w:val="0"/>
    <w:qFormat/>
    <w:rPr>
      <w:rFonts w:ascii="Arial" w:hAnsi="Arial" w:eastAsia="黑体"/>
      <w:b/>
      <w:sz w:val="30"/>
      <w:lang w:val="en-US" w:eastAsia="zh-CN" w:bidi="ar-SA"/>
    </w:rPr>
  </w:style>
  <w:style w:type="character" w:styleId="1194" w:customStyle="1">
    <w:name w:val="正文缩进 字符"/>
    <w:link w:val="1182"/>
    <w:uiPriority w:val="0"/>
    <w:qFormat/>
    <w:rPr>
      <w:rFonts w:ascii="宋体" w:eastAsia="宋体"/>
      <w:sz w:val="24"/>
      <w:szCs w:val="24"/>
      <w:lang w:val="en-US" w:eastAsia="zh-CN" w:bidi="ar-SA"/>
    </w:rPr>
  </w:style>
  <w:style w:type="character" w:styleId="1195" w:customStyle="1">
    <w:name w:val="标题 4 字符"/>
    <w:link w:val="1183"/>
    <w:uiPriority w:val="0"/>
    <w:qFormat/>
    <w:rPr>
      <w:rFonts w:ascii="Arial" w:hAnsi="Arial" w:eastAsia="黑体"/>
      <w:b/>
      <w:sz w:val="28"/>
    </w:rPr>
  </w:style>
  <w:style w:type="character" w:styleId="1196" w:customStyle="1">
    <w:name w:val="标题 5 字符"/>
    <w:link w:val="1184"/>
    <w:uiPriority w:val="0"/>
    <w:qFormat/>
    <w:rPr>
      <w:b/>
      <w:sz w:val="28"/>
    </w:rPr>
  </w:style>
  <w:style w:type="character" w:styleId="1197" w:customStyle="1">
    <w:name w:val="标题 6 字符"/>
    <w:link w:val="1185"/>
    <w:uiPriority w:val="0"/>
    <w:qFormat/>
    <w:rPr>
      <w:rFonts w:ascii="Arial" w:hAnsi="Arial" w:eastAsia="黑体"/>
      <w:b/>
      <w:sz w:val="24"/>
    </w:rPr>
  </w:style>
  <w:style w:type="character" w:styleId="1198" w:customStyle="1">
    <w:name w:val="标题 7 字符"/>
    <w:link w:val="1186"/>
    <w:uiPriority w:val="0"/>
    <w:qFormat/>
    <w:rPr>
      <w:b/>
      <w:sz w:val="24"/>
    </w:rPr>
  </w:style>
  <w:style w:type="character" w:styleId="1199" w:customStyle="1">
    <w:name w:val="标题 8 字符"/>
    <w:link w:val="1187"/>
    <w:uiPriority w:val="0"/>
    <w:qFormat/>
    <w:rPr>
      <w:rFonts w:ascii="Arial" w:hAnsi="Arial" w:eastAsia="黑体"/>
      <w:sz w:val="24"/>
    </w:rPr>
  </w:style>
  <w:style w:type="character" w:styleId="1200" w:customStyle="1">
    <w:name w:val="标题 9 字符"/>
    <w:link w:val="1188"/>
    <w:uiPriority w:val="0"/>
    <w:qFormat/>
    <w:rPr>
      <w:rFonts w:ascii="Arial" w:hAnsi="Arial" w:eastAsia="黑体"/>
      <w:sz w:val="21"/>
    </w:rPr>
  </w:style>
  <w:style w:type="paragraph" w:styleId="1201" w:customStyle="1">
    <w:name w:val="目录 71"/>
    <w:basedOn w:val="996"/>
    <w:next w:val="996"/>
    <w:uiPriority w:val="0"/>
    <w:qFormat/>
    <w:pPr>
      <w:ind w:left="2520"/>
    </w:pPr>
  </w:style>
  <w:style w:type="paragraph" w:styleId="1202" w:customStyle="1">
    <w:name w:val="引文目录1"/>
    <w:basedOn w:val="996"/>
    <w:next w:val="996"/>
    <w:uiPriority w:val="99"/>
    <w:unhideWhenUsed/>
    <w:qFormat/>
    <w:pPr>
      <w:ind w:left="420"/>
    </w:pPr>
    <w:rPr>
      <w:rFonts w:ascii="Calibri" w:hAnsi="Calibri"/>
    </w:rPr>
  </w:style>
  <w:style w:type="paragraph" w:styleId="1203" w:customStyle="1">
    <w:name w:val="题注1"/>
    <w:basedOn w:val="996"/>
    <w:next w:val="996"/>
    <w:uiPriority w:val="0"/>
    <w:qFormat/>
    <w:pPr>
      <w:spacing w:line="480" w:lineRule="auto"/>
    </w:pPr>
    <w:rPr>
      <w:rFonts w:ascii="华文中宋" w:hAnsi="华文中宋" w:eastAsia="华文中宋"/>
      <w:sz w:val="36"/>
      <w:szCs w:val="20"/>
    </w:rPr>
  </w:style>
  <w:style w:type="paragraph" w:styleId="1204" w:customStyle="1">
    <w:name w:val="文档结构图1"/>
    <w:basedOn w:val="996"/>
    <w:link w:val="1205"/>
    <w:uiPriority w:val="0"/>
    <w:qFormat/>
    <w:pPr>
      <w:shd w:val="clear" w:color="auto" w:fill="000080"/>
    </w:pPr>
  </w:style>
  <w:style w:type="character" w:styleId="1205" w:customStyle="1">
    <w:name w:val="文档结构图 字符"/>
    <w:link w:val="1204"/>
    <w:uiPriority w:val="0"/>
    <w:qFormat/>
    <w:rPr>
      <w:sz w:val="21"/>
      <w:szCs w:val="24"/>
      <w:shd w:val="clear" w:color="auto" w:fill="000080"/>
    </w:rPr>
  </w:style>
  <w:style w:type="paragraph" w:styleId="1206" w:customStyle="1">
    <w:name w:val="批注文字1"/>
    <w:basedOn w:val="996"/>
    <w:link w:val="1207"/>
    <w:uiPriority w:val="99"/>
    <w:qFormat/>
    <w:pPr>
      <w:jc w:val="left"/>
    </w:pPr>
  </w:style>
  <w:style w:type="character" w:styleId="1207" w:customStyle="1">
    <w:name w:val="批注文字 字符1"/>
    <w:link w:val="1206"/>
    <w:uiPriority w:val="99"/>
    <w:qFormat/>
    <w:rPr>
      <w:sz w:val="21"/>
      <w:szCs w:val="24"/>
    </w:rPr>
  </w:style>
  <w:style w:type="paragraph" w:styleId="1208" w:customStyle="1">
    <w:name w:val="正文文本 31"/>
    <w:basedOn w:val="996"/>
    <w:link w:val="1209"/>
    <w:uiPriority w:val="0"/>
    <w:qFormat/>
    <w:pPr>
      <w:spacing w:after="120"/>
    </w:pPr>
    <w:rPr>
      <w:sz w:val="16"/>
      <w:szCs w:val="16"/>
    </w:rPr>
  </w:style>
  <w:style w:type="character" w:styleId="1209" w:customStyle="1">
    <w:name w:val="正文文本 3 字符"/>
    <w:link w:val="1208"/>
    <w:uiPriority w:val="0"/>
    <w:qFormat/>
    <w:rPr>
      <w:sz w:val="16"/>
      <w:szCs w:val="16"/>
    </w:rPr>
  </w:style>
  <w:style w:type="paragraph" w:styleId="1210" w:customStyle="1">
    <w:name w:val="正文文本1"/>
    <w:basedOn w:val="996"/>
    <w:next w:val="1211"/>
    <w:link w:val="1212"/>
    <w:uiPriority w:val="0"/>
    <w:qFormat/>
    <w:pPr>
      <w:spacing w:before="120" w:line="22" w:lineRule="atLeast"/>
      <w:tabs>
        <w:tab w:val="left" w:pos="567" w:leader="none"/>
      </w:tabs>
    </w:pPr>
    <w:rPr>
      <w:rFonts w:ascii="宋体" w:hAnsi="宋体"/>
      <w:sz w:val="24"/>
    </w:rPr>
  </w:style>
  <w:style w:type="paragraph" w:styleId="1211" w:customStyle="1">
    <w:name w:val="正文首行缩进1"/>
    <w:basedOn w:val="1210"/>
    <w:next w:val="996"/>
    <w:uiPriority w:val="0"/>
    <w:unhideWhenUsed/>
    <w:qFormat/>
    <w:pPr>
      <w:ind w:firstLine="420"/>
      <w:jc w:val="both"/>
      <w:spacing w:after="120"/>
      <w:widowControl w:val="off"/>
    </w:pPr>
    <w:rPr>
      <w:rFonts w:eastAsia="仿宋_GB2312"/>
      <w:sz w:val="21"/>
      <w:szCs w:val="24"/>
      <w:lang w:val="en-US" w:eastAsia="zh-CN" w:bidi="ar-SA"/>
    </w:rPr>
  </w:style>
  <w:style w:type="character" w:styleId="1212" w:customStyle="1">
    <w:name w:val="正文文本 字符"/>
    <w:link w:val="1210"/>
    <w:uiPriority w:val="0"/>
    <w:qFormat/>
    <w:rPr>
      <w:rFonts w:ascii="宋体" w:hAnsi="宋体"/>
      <w:sz w:val="24"/>
      <w:szCs w:val="24"/>
    </w:rPr>
  </w:style>
  <w:style w:type="paragraph" w:styleId="1213" w:customStyle="1">
    <w:name w:val="正文文本缩进12"/>
    <w:basedOn w:val="996"/>
    <w:next w:val="996"/>
    <w:link w:val="1214"/>
    <w:uiPriority w:val="0"/>
    <w:qFormat/>
    <w:pPr>
      <w:ind w:firstLine="570"/>
      <w:spacing w:line="360" w:lineRule="auto"/>
    </w:pPr>
    <w:rPr>
      <w:sz w:val="24"/>
    </w:rPr>
  </w:style>
  <w:style w:type="character" w:styleId="1214" w:customStyle="1">
    <w:name w:val="正文文本缩进 字符"/>
    <w:link w:val="1213"/>
    <w:uiPriority w:val="0"/>
    <w:qFormat/>
    <w:rPr>
      <w:rFonts w:eastAsia="宋体"/>
      <w:sz w:val="24"/>
      <w:szCs w:val="24"/>
      <w:lang w:val="en-US" w:eastAsia="zh-CN" w:bidi="ar-SA"/>
    </w:rPr>
  </w:style>
  <w:style w:type="paragraph" w:styleId="1215" w:customStyle="1">
    <w:name w:val="列表 21"/>
    <w:basedOn w:val="996"/>
    <w:uiPriority w:val="0"/>
    <w:qFormat/>
    <w:pPr>
      <w:ind w:left="100" w:hanging="200"/>
    </w:pPr>
  </w:style>
  <w:style w:type="paragraph" w:styleId="1216" w:customStyle="1">
    <w:name w:val="文本块1"/>
    <w:basedOn w:val="996"/>
    <w:uiPriority w:val="0"/>
    <w:qFormat/>
    <w:pPr>
      <w:ind w:left="480" w:right="-341" w:firstLine="513"/>
      <w:widowControl/>
    </w:pPr>
    <w:rPr>
      <w:sz w:val="24"/>
      <w:szCs w:val="20"/>
    </w:rPr>
  </w:style>
  <w:style w:type="paragraph" w:styleId="1217" w:customStyle="1">
    <w:name w:val="目录 51"/>
    <w:basedOn w:val="996"/>
    <w:next w:val="996"/>
    <w:uiPriority w:val="0"/>
    <w:qFormat/>
    <w:pPr>
      <w:ind w:left="1680"/>
    </w:pPr>
  </w:style>
  <w:style w:type="paragraph" w:styleId="1218" w:customStyle="1">
    <w:name w:val="目录 31"/>
    <w:basedOn w:val="996"/>
    <w:next w:val="996"/>
    <w:uiPriority w:val="39"/>
    <w:qFormat/>
    <w:pPr>
      <w:ind w:left="840"/>
    </w:pPr>
  </w:style>
  <w:style w:type="paragraph" w:styleId="1219" w:customStyle="1">
    <w:name w:val="纯文本11"/>
    <w:basedOn w:val="996"/>
    <w:next w:val="1182"/>
    <w:link w:val="1220"/>
    <w:uiPriority w:val="0"/>
    <w:qFormat/>
    <w:rPr>
      <w:rFonts w:hint="eastAsia" w:ascii="宋体" w:hAnsi="Courier New"/>
      <w:szCs w:val="20"/>
    </w:rPr>
  </w:style>
  <w:style w:type="character" w:styleId="1220" w:customStyle="1">
    <w:name w:val="纯文本 字符2"/>
    <w:link w:val="1219"/>
    <w:uiPriority w:val="0"/>
    <w:qFormat/>
    <w:rPr>
      <w:rFonts w:hint="eastAsia" w:ascii="宋体" w:hAnsi="Courier New" w:eastAsia="宋体" w:cs="宋体"/>
      <w:sz w:val="21"/>
    </w:rPr>
  </w:style>
  <w:style w:type="paragraph" w:styleId="1221" w:customStyle="1">
    <w:name w:val="列表项目符号 51"/>
    <w:basedOn w:val="996"/>
    <w:uiPriority w:val="0"/>
    <w:qFormat/>
    <w:pPr>
      <w:numPr>
        <w:ilvl w:val="0"/>
        <w:numId w:val="1"/>
      </w:numPr>
    </w:pPr>
  </w:style>
  <w:style w:type="paragraph" w:styleId="1222" w:customStyle="1">
    <w:name w:val="目录 81"/>
    <w:basedOn w:val="996"/>
    <w:next w:val="996"/>
    <w:uiPriority w:val="0"/>
    <w:qFormat/>
    <w:pPr>
      <w:ind w:left="2940"/>
    </w:pPr>
  </w:style>
  <w:style w:type="paragraph" w:styleId="1223" w:customStyle="1">
    <w:name w:val="日期1"/>
    <w:basedOn w:val="996"/>
    <w:next w:val="996"/>
    <w:link w:val="1224"/>
    <w:uiPriority w:val="0"/>
    <w:qFormat/>
    <w:pPr>
      <w:ind w:left="100"/>
    </w:pPr>
    <w:rPr>
      <w:rFonts w:ascii="FangSong_GB2312" w:hAnsi="宋体" w:eastAsia="FangSong_GB2312"/>
      <w:color w:val="000000"/>
      <w:sz w:val="24"/>
    </w:rPr>
  </w:style>
  <w:style w:type="character" w:styleId="1224" w:customStyle="1">
    <w:name w:val="日期 字符"/>
    <w:link w:val="1223"/>
    <w:uiPriority w:val="0"/>
    <w:qFormat/>
    <w:rPr>
      <w:rFonts w:ascii="FangSong_GB2312" w:hAnsi="宋体" w:eastAsia="FangSong_GB2312"/>
      <w:color w:val="000000"/>
      <w:sz w:val="24"/>
      <w:szCs w:val="24"/>
    </w:rPr>
  </w:style>
  <w:style w:type="paragraph" w:styleId="1225" w:customStyle="1">
    <w:name w:val="正文文本缩进 21"/>
    <w:basedOn w:val="996"/>
    <w:link w:val="1226"/>
    <w:uiPriority w:val="0"/>
    <w:qFormat/>
    <w:pPr>
      <w:ind w:firstLine="480"/>
    </w:pPr>
    <w:rPr>
      <w:rFonts w:ascii="FangSong_GB2312" w:eastAsia="FangSong_GB2312"/>
      <w:sz w:val="24"/>
    </w:rPr>
  </w:style>
  <w:style w:type="character" w:styleId="1226" w:customStyle="1">
    <w:name w:val="正文文本缩进 2 字符"/>
    <w:link w:val="1225"/>
    <w:uiPriority w:val="0"/>
    <w:qFormat/>
    <w:rPr>
      <w:rFonts w:ascii="FangSong_GB2312" w:eastAsia="FangSong_GB2312"/>
      <w:sz w:val="24"/>
      <w:szCs w:val="24"/>
    </w:rPr>
  </w:style>
  <w:style w:type="paragraph" w:styleId="1227" w:customStyle="1">
    <w:name w:val="批注框文本1"/>
    <w:basedOn w:val="996"/>
    <w:link w:val="1228"/>
    <w:uiPriority w:val="0"/>
    <w:qFormat/>
    <w:rPr>
      <w:sz w:val="18"/>
      <w:szCs w:val="18"/>
    </w:rPr>
  </w:style>
  <w:style w:type="character" w:styleId="1228" w:customStyle="1">
    <w:name w:val="批注框文本 字符"/>
    <w:link w:val="1227"/>
    <w:uiPriority w:val="0"/>
    <w:qFormat/>
    <w:rPr>
      <w:sz w:val="18"/>
      <w:szCs w:val="18"/>
    </w:rPr>
  </w:style>
  <w:style w:type="paragraph" w:styleId="1229" w:customStyle="1">
    <w:name w:val="页脚1"/>
    <w:basedOn w:val="996"/>
    <w:link w:val="1230"/>
    <w:uiPriority w:val="99"/>
    <w:qFormat/>
    <w:pPr>
      <w:jc w:val="left"/>
      <w:tabs>
        <w:tab w:val="center" w:pos="4153" w:leader="none"/>
        <w:tab w:val="right" w:pos="8306" w:leader="none"/>
      </w:tabs>
    </w:pPr>
    <w:rPr>
      <w:rFonts w:ascii="宋体"/>
      <w:sz w:val="18"/>
      <w:szCs w:val="20"/>
    </w:rPr>
  </w:style>
  <w:style w:type="character" w:styleId="1230" w:customStyle="1">
    <w:name w:val="页脚 字符"/>
    <w:link w:val="1229"/>
    <w:uiPriority w:val="99"/>
    <w:qFormat/>
    <w:rPr>
      <w:rFonts w:ascii="宋体" w:eastAsia="宋体"/>
      <w:sz w:val="18"/>
      <w:lang w:val="en-US" w:eastAsia="zh-CN" w:bidi="ar-SA"/>
    </w:rPr>
  </w:style>
  <w:style w:type="paragraph" w:styleId="1231" w:customStyle="1">
    <w:name w:val="页眉1"/>
    <w:basedOn w:val="996"/>
    <w:link w:val="1232"/>
    <w:uiPriority w:val="0"/>
    <w:qFormat/>
    <w:pPr>
      <w:jc w:val="center"/>
      <w:tabs>
        <w:tab w:val="center" w:pos="4153" w:leader="none"/>
        <w:tab w:val="right" w:pos="8306" w:leader="none"/>
      </w:tabs>
      <w:pBdr>
        <w:bottom w:val="single" w:color="000000" w:sz="6" w:space="1"/>
      </w:pBdr>
    </w:pPr>
    <w:rPr>
      <w:sz w:val="18"/>
      <w:szCs w:val="18"/>
    </w:rPr>
  </w:style>
  <w:style w:type="character" w:styleId="1232" w:customStyle="1">
    <w:name w:val="页眉 字符"/>
    <w:link w:val="1231"/>
    <w:uiPriority w:val="0"/>
    <w:qFormat/>
    <w:rPr>
      <w:rFonts w:eastAsia="宋体"/>
      <w:sz w:val="18"/>
      <w:szCs w:val="18"/>
      <w:lang w:val="en-US" w:eastAsia="zh-CN" w:bidi="ar-SA"/>
    </w:rPr>
  </w:style>
  <w:style w:type="paragraph" w:styleId="1233" w:customStyle="1">
    <w:name w:val="目录 11"/>
    <w:basedOn w:val="996"/>
    <w:next w:val="996"/>
    <w:uiPriority w:val="39"/>
    <w:qFormat/>
    <w:pPr>
      <w:spacing w:line="300" w:lineRule="auto"/>
      <w:tabs>
        <w:tab w:val="left" w:pos="1050" w:leader="none"/>
        <w:tab w:val="right" w:pos="8937" w:leader="dot"/>
      </w:tabs>
    </w:pPr>
    <w:rPr>
      <w:rFonts w:ascii="宋体" w:hAnsi="宋体"/>
      <w:b/>
      <w:sz w:val="24"/>
    </w:rPr>
  </w:style>
  <w:style w:type="paragraph" w:styleId="1234" w:customStyle="1">
    <w:name w:val="目录 41"/>
    <w:basedOn w:val="996"/>
    <w:next w:val="996"/>
    <w:uiPriority w:val="0"/>
    <w:qFormat/>
    <w:pPr>
      <w:ind w:left="1260"/>
    </w:pPr>
  </w:style>
  <w:style w:type="paragraph" w:styleId="1235" w:customStyle="1">
    <w:name w:val="目录 61"/>
    <w:basedOn w:val="996"/>
    <w:next w:val="996"/>
    <w:uiPriority w:val="0"/>
    <w:qFormat/>
    <w:pPr>
      <w:ind w:left="2100"/>
    </w:pPr>
  </w:style>
  <w:style w:type="paragraph" w:styleId="1236" w:customStyle="1">
    <w:name w:val="正文文本缩进 31"/>
    <w:basedOn w:val="996"/>
    <w:link w:val="1237"/>
    <w:uiPriority w:val="0"/>
    <w:qFormat/>
    <w:pPr>
      <w:ind w:left="720" w:firstLine="480"/>
      <w:jc w:val="left"/>
      <w:spacing w:before="120" w:line="22" w:lineRule="atLeast"/>
    </w:pPr>
    <w:rPr>
      <w:rFonts w:ascii="宋体"/>
      <w:sz w:val="24"/>
      <w:szCs w:val="20"/>
    </w:rPr>
  </w:style>
  <w:style w:type="character" w:styleId="1237" w:customStyle="1">
    <w:name w:val="正文文本缩进 3 字符"/>
    <w:link w:val="1236"/>
    <w:uiPriority w:val="0"/>
    <w:qFormat/>
    <w:rPr>
      <w:rFonts w:ascii="宋体"/>
      <w:sz w:val="24"/>
    </w:rPr>
  </w:style>
  <w:style w:type="paragraph" w:styleId="1238" w:customStyle="1">
    <w:name w:val="目录 21"/>
    <w:basedOn w:val="996"/>
    <w:next w:val="996"/>
    <w:uiPriority w:val="39"/>
    <w:qFormat/>
    <w:pPr>
      <w:ind w:left="420"/>
      <w:spacing w:line="312" w:lineRule="auto"/>
      <w:tabs>
        <w:tab w:val="right" w:pos="8937" w:leader="dot"/>
      </w:tabs>
    </w:pPr>
  </w:style>
  <w:style w:type="paragraph" w:styleId="1239" w:customStyle="1">
    <w:name w:val="目录 91"/>
    <w:basedOn w:val="996"/>
    <w:next w:val="996"/>
    <w:uiPriority w:val="0"/>
    <w:qFormat/>
    <w:pPr>
      <w:ind w:left="3360"/>
    </w:pPr>
  </w:style>
  <w:style w:type="paragraph" w:styleId="1240" w:customStyle="1">
    <w:name w:val="HTML 预设格式1"/>
    <w:basedOn w:val="996"/>
    <w:link w:val="12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41" w:customStyle="1">
    <w:name w:val="HTML 预设格式 字符"/>
    <w:link w:val="1240"/>
    <w:uiPriority w:val="0"/>
    <w:qFormat/>
    <w:rPr>
      <w:rFonts w:ascii="宋体" w:hAnsi="宋体" w:cs="宋体"/>
      <w:sz w:val="24"/>
      <w:szCs w:val="24"/>
    </w:rPr>
  </w:style>
  <w:style w:type="paragraph" w:styleId="1242" w:customStyle="1">
    <w:name w:val="普通(网站)1"/>
    <w:basedOn w:val="996"/>
    <w:uiPriority w:val="99"/>
    <w:unhideWhenUsed/>
    <w:qFormat/>
    <w:pPr>
      <w:jc w:val="left"/>
      <w:spacing w:before="100" w:beforeAutospacing="1" w:after="100" w:afterAutospacing="1"/>
      <w:widowControl/>
    </w:pPr>
    <w:rPr>
      <w:rFonts w:ascii="宋体" w:hAnsi="宋体" w:cs="宋体"/>
      <w:sz w:val="24"/>
    </w:rPr>
  </w:style>
  <w:style w:type="paragraph" w:styleId="1243" w:customStyle="1">
    <w:name w:val="索引 11"/>
    <w:basedOn w:val="996"/>
    <w:next w:val="996"/>
    <w:uiPriority w:val="0"/>
    <w:qFormat/>
    <w:rPr>
      <w:szCs w:val="20"/>
    </w:rPr>
  </w:style>
  <w:style w:type="paragraph" w:styleId="1244" w:customStyle="1">
    <w:name w:val="标题1"/>
    <w:basedOn w:val="996"/>
    <w:link w:val="1245"/>
    <w:uiPriority w:val="0"/>
    <w:qFormat/>
    <w:pPr>
      <w:jc w:val="center"/>
      <w:outlineLvl w:val="0"/>
    </w:pPr>
    <w:rPr>
      <w:b/>
      <w:sz w:val="32"/>
      <w:szCs w:val="20"/>
    </w:rPr>
  </w:style>
  <w:style w:type="character" w:styleId="1245" w:customStyle="1">
    <w:name w:val="标题 字符"/>
    <w:link w:val="1244"/>
    <w:uiPriority w:val="0"/>
    <w:qFormat/>
    <w:rPr>
      <w:b/>
      <w:sz w:val="32"/>
    </w:rPr>
  </w:style>
  <w:style w:type="paragraph" w:styleId="1246" w:customStyle="1">
    <w:name w:val="批注主题1"/>
    <w:basedOn w:val="1206"/>
    <w:next w:val="1206"/>
    <w:link w:val="1247"/>
    <w:uiPriority w:val="0"/>
    <w:qFormat/>
    <w:rPr>
      <w:b/>
      <w:bCs/>
    </w:rPr>
  </w:style>
  <w:style w:type="character" w:styleId="1247" w:customStyle="1">
    <w:name w:val="批注主题 字符"/>
    <w:link w:val="1246"/>
    <w:uiPriority w:val="0"/>
    <w:qFormat/>
    <w:rPr>
      <w:rFonts w:ascii="Times New Roman" w:hAnsi="Times New Roman" w:eastAsia="宋体" w:cs="Times New Roman"/>
      <w:b/>
      <w:bCs/>
      <w:sz w:val="21"/>
      <w:szCs w:val="24"/>
      <w:lang w:val="en-US" w:eastAsia="zh-CN" w:bidi="ar-SA"/>
    </w:rPr>
  </w:style>
  <w:style w:type="paragraph" w:styleId="1248" w:customStyle="1">
    <w:name w:val="正文首行缩进 211"/>
    <w:basedOn w:val="1213"/>
    <w:next w:val="1249"/>
    <w:link w:val="1250"/>
    <w:uiPriority w:val="0"/>
    <w:qFormat/>
    <w:pPr>
      <w:ind w:left="420" w:firstLine="420"/>
      <w:spacing w:after="120" w:line="480" w:lineRule="exact"/>
    </w:pPr>
    <w:rPr>
      <w:szCs w:val="20"/>
    </w:rPr>
  </w:style>
  <w:style w:type="paragraph" w:styleId="1249" w:customStyle="1">
    <w:name w:val="xl53"/>
    <w:basedOn w:val="996"/>
    <w:next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1250" w:customStyle="1">
    <w:name w:val="正文文本首行缩进 2 字符"/>
    <w:link w:val="1248"/>
    <w:uiPriority w:val="0"/>
    <w:qFormat/>
    <w:rPr>
      <w:rFonts w:eastAsia="宋体"/>
      <w:sz w:val="24"/>
      <w:szCs w:val="24"/>
      <w:lang w:val="en-US" w:eastAsia="zh-CN" w:bidi="ar-SA"/>
    </w:rPr>
  </w:style>
  <w:style w:type="table" w:styleId="1251" w:customStyle="1">
    <w:name w:val="网格型1"/>
    <w:basedOn w:val="1190"/>
    <w:uiPriority w:val="39"/>
    <w:qFormat/>
    <w:tblPr/>
  </w:style>
  <w:style w:type="table" w:styleId="1252" w:customStyle="1">
    <w:name w:val="中等深浅网格 1 - 强调文字颜色 21"/>
    <w:basedOn w:val="1190"/>
    <w:uiPriority w:val="0"/>
    <w:qFormat/>
    <w:rPr>
      <w:sz w:val="21"/>
      <w:szCs w:val="24"/>
    </w:rPr>
    <w:tblPr/>
  </w:style>
  <w:style w:type="character" w:styleId="1253" w:customStyle="1">
    <w:name w:val="要点1"/>
    <w:link w:val="996"/>
    <w:uiPriority w:val="0"/>
    <w:qFormat/>
    <w:rPr>
      <w:b/>
      <w:bCs/>
    </w:rPr>
  </w:style>
  <w:style w:type="character" w:styleId="1254" w:customStyle="1">
    <w:name w:val="页码1"/>
    <w:link w:val="996"/>
    <w:uiPriority w:val="0"/>
    <w:qFormat/>
  </w:style>
  <w:style w:type="character" w:styleId="1255" w:customStyle="1">
    <w:name w:val="已访问的超链接1"/>
    <w:link w:val="996"/>
    <w:uiPriority w:val="0"/>
    <w:qFormat/>
    <w:rPr>
      <w:color w:val="800080"/>
      <w:u w:val="single"/>
    </w:rPr>
  </w:style>
  <w:style w:type="character" w:styleId="1256" w:customStyle="1">
    <w:name w:val="强调1"/>
    <w:link w:val="996"/>
    <w:uiPriority w:val="0"/>
    <w:qFormat/>
    <w:rPr>
      <w:color w:val="cc0033"/>
    </w:rPr>
  </w:style>
  <w:style w:type="character" w:styleId="1257" w:customStyle="1">
    <w:name w:val="超链接1"/>
    <w:link w:val="996"/>
    <w:uiPriority w:val="99"/>
    <w:qFormat/>
    <w:rPr>
      <w:color w:val="0000ff"/>
      <w:u w:val="single"/>
    </w:rPr>
  </w:style>
  <w:style w:type="character" w:styleId="1258" w:customStyle="1">
    <w:name w:val="批注引用1"/>
    <w:link w:val="996"/>
    <w:uiPriority w:val="99"/>
    <w:qFormat/>
    <w:rPr>
      <w:sz w:val="21"/>
      <w:szCs w:val="21"/>
    </w:rPr>
  </w:style>
  <w:style w:type="character" w:styleId="1259" w:customStyle="1">
    <w:name w:val="HTML 引文1"/>
    <w:link w:val="996"/>
    <w:uiPriority w:val="0"/>
    <w:qFormat/>
    <w:rPr>
      <w:i/>
      <w:iCs/>
    </w:rPr>
  </w:style>
  <w:style w:type="paragraph" w:styleId="1260" w:customStyle="1">
    <w:name w:val="段"/>
    <w:next w:val="99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61" w:customStyle="1">
    <w:name w:val="目录 111"/>
    <w:next w:val="996"/>
    <w:uiPriority w:val="39"/>
    <w:unhideWhenUsed/>
    <w:qFormat/>
    <w:pPr>
      <w:jc w:val="left"/>
      <w:spacing w:after="100" w:line="259" w:lineRule="auto"/>
      <w:widowControl/>
    </w:pPr>
    <w:rPr>
      <w:rFonts w:hint="default" w:ascii="Calibri" w:hAnsi="Calibri" w:eastAsia="宋体" w:cs="Times New Roman"/>
      <w:sz w:val="22"/>
      <w:szCs w:val="22"/>
      <w:lang w:val="en-US" w:eastAsia="zh-CN" w:bidi="ar-SA"/>
    </w:rPr>
  </w:style>
  <w:style w:type="paragraph" w:styleId="1262" w:customStyle="1">
    <w:name w:val="正文首行缩进 21"/>
    <w:basedOn w:val="1263"/>
    <w:next w:val="996"/>
    <w:uiPriority w:val="0"/>
    <w:qFormat/>
    <w:pPr>
      <w:ind w:left="420" w:firstLine="420"/>
      <w:spacing w:after="120" w:line="480" w:lineRule="exact"/>
    </w:pPr>
    <w:rPr>
      <w:szCs w:val="20"/>
    </w:rPr>
  </w:style>
  <w:style w:type="paragraph" w:styleId="1263" w:customStyle="1">
    <w:name w:val="正文文本缩进11"/>
    <w:basedOn w:val="996"/>
    <w:next w:val="996"/>
    <w:uiPriority w:val="0"/>
    <w:qFormat/>
    <w:pPr>
      <w:ind w:firstLine="570"/>
      <w:spacing w:line="360" w:lineRule="auto"/>
    </w:pPr>
    <w:rPr>
      <w:sz w:val="24"/>
    </w:rPr>
  </w:style>
  <w:style w:type="character" w:styleId="1264" w:customStyle="1">
    <w:name w:val="批注文字 字符"/>
    <w:link w:val="996"/>
    <w:uiPriority w:val="99"/>
    <w:qFormat/>
    <w:rPr>
      <w:rFonts w:ascii="Times New Roman" w:hAnsi="Times New Roman" w:eastAsia="宋体" w:cs="Times New Roman"/>
      <w:sz w:val="24"/>
      <w:lang w:val="en-US" w:eastAsia="zh-CN" w:bidi="ar-SA"/>
    </w:rPr>
  </w:style>
  <w:style w:type="character" w:styleId="1265" w:customStyle="1">
    <w:name w:val="c21"/>
    <w:link w:val="996"/>
    <w:uiPriority w:val="0"/>
    <w:qFormat/>
    <w:rPr>
      <w:rFonts w:ascii="ˎ̥" w:hAnsi="ˎ̥"/>
      <w:color w:val="000000"/>
      <w:sz w:val="20"/>
      <w:szCs w:val="20"/>
      <w:u w:val="none"/>
    </w:rPr>
  </w:style>
  <w:style w:type="character" w:styleId="1266" w:customStyle="1">
    <w:name w:val="title4"/>
    <w:link w:val="996"/>
    <w:uiPriority w:val="0"/>
    <w:qFormat/>
    <w:rPr>
      <w:b/>
      <w:bCs/>
      <w:color w:val="1d87b3"/>
      <w:sz w:val="15"/>
      <w:szCs w:val="15"/>
    </w:rPr>
  </w:style>
  <w:style w:type="character" w:styleId="1267" w:customStyle="1">
    <w:name w:val="标题 2 Char Char"/>
    <w:link w:val="996"/>
    <w:uiPriority w:val="0"/>
    <w:qFormat/>
    <w:rPr>
      <w:rFonts w:ascii="Arial" w:hAnsi="Arial" w:eastAsia="黑体"/>
      <w:b/>
      <w:bCs/>
      <w:sz w:val="32"/>
      <w:szCs w:val="32"/>
      <w:lang w:val="en-US" w:eastAsia="zh-CN" w:bidi="ar-SA"/>
    </w:rPr>
  </w:style>
  <w:style w:type="character" w:styleId="1268" w:customStyle="1">
    <w:name w:val="black1"/>
    <w:link w:val="996"/>
    <w:uiPriority w:val="0"/>
    <w:qFormat/>
    <w:rPr>
      <w:color w:val="000000"/>
    </w:rPr>
  </w:style>
  <w:style w:type="character" w:styleId="1269" w:customStyle="1">
    <w:name w:val="street-address"/>
    <w:link w:val="996"/>
    <w:uiPriority w:val="0"/>
    <w:qFormat/>
  </w:style>
  <w:style w:type="character" w:styleId="1270" w:customStyle="1">
    <w:name w:val="locality"/>
    <w:link w:val="996"/>
    <w:uiPriority w:val="0"/>
    <w:qFormat/>
  </w:style>
  <w:style w:type="character" w:styleId="1271" w:customStyle="1">
    <w:name w:val="正文文本缩进 Char1"/>
    <w:link w:val="1272"/>
    <w:uiPriority w:val="0"/>
    <w:qFormat/>
    <w:rPr>
      <w:rFonts w:ascii="宋体" w:hAnsi="宋体" w:eastAsia="宋体"/>
      <w:sz w:val="24"/>
      <w:szCs w:val="24"/>
      <w:lang w:bidi="ar-SA"/>
    </w:rPr>
  </w:style>
  <w:style w:type="paragraph" w:styleId="1272" w:customStyle="1">
    <w:name w:val="正文文本缩进1"/>
    <w:basedOn w:val="996"/>
    <w:link w:val="1271"/>
    <w:uiPriority w:val="0"/>
    <w:qFormat/>
    <w:pPr>
      <w:ind w:firstLine="480"/>
      <w:spacing w:line="480" w:lineRule="exact"/>
    </w:pPr>
    <w:rPr>
      <w:rFonts w:ascii="宋体" w:hAnsi="宋体"/>
      <w:sz w:val="24"/>
    </w:rPr>
  </w:style>
  <w:style w:type="character" w:styleId="1273" w:customStyle="1">
    <w:name w:val="Char Char11"/>
    <w:link w:val="996"/>
    <w:uiPriority w:val="0"/>
    <w:qFormat/>
    <w:rPr>
      <w:rFonts w:ascii="宋体" w:eastAsia="宋体"/>
      <w:b/>
      <w:sz w:val="24"/>
      <w:u w:val="single"/>
      <w:lang w:val="en-US" w:eastAsia="zh-CN" w:bidi="ar-SA"/>
    </w:rPr>
  </w:style>
  <w:style w:type="character" w:styleId="1274" w:customStyle="1">
    <w:name w:val="txt"/>
    <w:link w:val="996"/>
    <w:uiPriority w:val="0"/>
    <w:qFormat/>
  </w:style>
  <w:style w:type="character" w:styleId="1275" w:customStyle="1">
    <w:name w:val="正文缩进 Char Char"/>
    <w:link w:val="1276"/>
    <w:uiPriority w:val="0"/>
    <w:qFormat/>
    <w:rPr>
      <w:rFonts w:ascii="宋体" w:eastAsia="宋体"/>
      <w:color w:val="000000"/>
      <w:sz w:val="28"/>
      <w:lang w:bidi="ar-SA"/>
    </w:rPr>
  </w:style>
  <w:style w:type="paragraph" w:styleId="1276" w:customStyle="1">
    <w:name w:val="正文缩进1"/>
    <w:basedOn w:val="996"/>
    <w:link w:val="1275"/>
    <w:uiPriority w:val="0"/>
    <w:qFormat/>
    <w:pPr>
      <w:ind w:firstLine="567"/>
      <w:spacing w:line="480" w:lineRule="exact"/>
      <w:widowControl/>
    </w:pPr>
    <w:rPr>
      <w:rFonts w:ascii="宋体"/>
      <w:color w:val="000000"/>
      <w:sz w:val="28"/>
      <w:szCs w:val="20"/>
    </w:rPr>
  </w:style>
  <w:style w:type="character" w:styleId="1277" w:customStyle="1">
    <w:name w:val="普通文字1 Char1"/>
    <w:link w:val="996"/>
    <w:uiPriority w:val="0"/>
    <w:qFormat/>
    <w:rPr>
      <w:rFonts w:ascii="宋体" w:hAnsi="Courier New" w:eastAsia="宋体"/>
      <w:sz w:val="21"/>
      <w:lang w:val="en-US" w:eastAsia="zh-CN" w:bidi="ar-SA"/>
    </w:rPr>
  </w:style>
  <w:style w:type="character" w:styleId="1278" w:customStyle="1">
    <w:name w:val="chanpin1"/>
    <w:link w:val="996"/>
    <w:uiPriority w:val="0"/>
    <w:qFormat/>
    <w:rPr>
      <w:rFonts w:ascii="ˎ̥" w:hAnsi="ˎ̥"/>
      <w:color w:val="000000"/>
      <w:sz w:val="20"/>
      <w:szCs w:val="20"/>
      <w:u w:val="none"/>
    </w:rPr>
  </w:style>
  <w:style w:type="character" w:styleId="1279" w:customStyle="1">
    <w:name w:val="列表段落 字符"/>
    <w:link w:val="1280"/>
    <w:uiPriority w:val="34"/>
    <w:qFormat/>
    <w:rPr>
      <w:rFonts w:ascii="Calibri" w:hAnsi="Calibri" w:eastAsia="宋体"/>
      <w:sz w:val="21"/>
      <w:szCs w:val="22"/>
      <w:lang w:val="en-US" w:eastAsia="zh-CN" w:bidi="ar-SA"/>
    </w:rPr>
  </w:style>
  <w:style w:type="paragraph" w:styleId="1280" w:customStyle="1">
    <w:name w:val="列表段落"/>
    <w:basedOn w:val="996"/>
    <w:link w:val="1279"/>
    <w:uiPriority w:val="34"/>
    <w:qFormat/>
    <w:pPr>
      <w:ind w:firstLine="420"/>
    </w:pPr>
    <w:rPr>
      <w:rFonts w:ascii="Calibri" w:hAnsi="Calibri"/>
      <w:szCs w:val="22"/>
    </w:rPr>
  </w:style>
  <w:style w:type="character" w:styleId="1281" w:customStyle="1">
    <w:name w:val="标题 3 Char Char"/>
    <w:link w:val="996"/>
    <w:uiPriority w:val="0"/>
    <w:qFormat/>
    <w:rPr>
      <w:rFonts w:eastAsia="宋体"/>
      <w:b/>
      <w:bCs/>
      <w:sz w:val="32"/>
      <w:szCs w:val="32"/>
      <w:lang w:val="en-US" w:eastAsia="zh-CN" w:bidi="ar-SA"/>
    </w:rPr>
  </w:style>
  <w:style w:type="character" w:styleId="1282" w:customStyle="1">
    <w:name w:val="段1 Char"/>
    <w:link w:val="996"/>
    <w:uiPriority w:val="0"/>
    <w:qFormat/>
    <w:rPr>
      <w:rFonts w:ascii="宋体" w:eastAsia="宋体"/>
      <w:sz w:val="24"/>
      <w:lang w:val="en-US" w:eastAsia="zh-CN" w:bidi="ar-SA"/>
    </w:rPr>
  </w:style>
  <w:style w:type="character" w:styleId="1283" w:customStyle="1">
    <w:name w:val="chanpin拷贝"/>
    <w:link w:val="996"/>
    <w:uiPriority w:val="0"/>
    <w:qFormat/>
  </w:style>
  <w:style w:type="character" w:styleId="1284" w:customStyle="1">
    <w:name w:val="纯文本 Char1"/>
    <w:link w:val="996"/>
    <w:uiPriority w:val="0"/>
    <w:qFormat/>
    <w:rPr>
      <w:rFonts w:ascii="宋体" w:hAnsi="Courier New" w:eastAsia="宋体"/>
      <w:sz w:val="21"/>
      <w:lang w:val="en-US" w:eastAsia="zh-CN" w:bidi="ar-SA"/>
    </w:rPr>
  </w:style>
  <w:style w:type="character" w:styleId="1285" w:customStyle="1">
    <w:name w:val="apple-style-span"/>
    <w:link w:val="996"/>
    <w:uiPriority w:val="0"/>
    <w:qFormat/>
    <w:rPr>
      <w:rFonts w:cs="Times New Roman"/>
    </w:rPr>
  </w:style>
  <w:style w:type="paragraph" w:styleId="1286" w:customStyle="1">
    <w:name w:val="二级条标题"/>
    <w:basedOn w:val="1287"/>
    <w:next w:val="99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87" w:customStyle="1">
    <w:name w:val="一级条标题"/>
    <w:basedOn w:val="1288"/>
    <w:next w:val="996"/>
    <w:uiPriority w:val="0"/>
    <w:qFormat/>
    <w:pPr>
      <w:numPr>
        <w:ilvl w:val="1"/>
      </w:numPr>
      <w:ind w:left="0" w:hanging="840"/>
      <w:tabs>
        <w:tab w:val="left" w:pos="360" w:leader="none"/>
        <w:tab w:val="left" w:pos="840" w:leader="none"/>
      </w:tabs>
      <w:outlineLvl w:val="1"/>
    </w:pPr>
  </w:style>
  <w:style w:type="paragraph" w:styleId="1288" w:customStyle="1">
    <w:name w:val="章标题"/>
    <w:next w:val="996"/>
    <w:uiPriority w:val="0"/>
    <w:qFormat/>
    <w:pPr>
      <w:numPr>
        <w:ilvl w:val="0"/>
        <w:numId w:val="2"/>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89" w:customStyle="1">
    <w:name w:val="font7"/>
    <w:basedOn w:val="996"/>
    <w:uiPriority w:val="0"/>
    <w:qFormat/>
    <w:pPr>
      <w:jc w:val="left"/>
      <w:spacing w:before="100" w:beforeAutospacing="1" w:after="100" w:afterAutospacing="1"/>
      <w:widowControl/>
    </w:pPr>
    <w:rPr>
      <w:rFonts w:eastAsia="Arial Unicode MS"/>
      <w:b/>
      <w:bCs/>
      <w:color w:val="000000"/>
      <w:sz w:val="20"/>
      <w:szCs w:val="20"/>
    </w:rPr>
  </w:style>
  <w:style w:type="paragraph" w:styleId="1290" w:customStyle="1">
    <w:name w:val="字元 字元"/>
    <w:basedOn w:val="996"/>
    <w:uiPriority w:val="0"/>
    <w:qFormat/>
    <w:rPr>
      <w:rFonts w:ascii="Tahoma" w:hAnsi="Tahoma"/>
      <w:sz w:val="24"/>
      <w:szCs w:val="20"/>
    </w:rPr>
  </w:style>
  <w:style w:type="paragraph" w:styleId="1291" w:customStyle="1">
    <w:name w:val="Char3 Char Char Char"/>
    <w:basedOn w:val="996"/>
    <w:uiPriority w:val="0"/>
    <w:qFormat/>
    <w:rPr>
      <w:rFonts w:ascii="Tahoma" w:hAnsi="Tahoma"/>
      <w:sz w:val="24"/>
      <w:szCs w:val="20"/>
    </w:rPr>
  </w:style>
  <w:style w:type="paragraph" w:styleId="1292" w:customStyle="1">
    <w:name w:val="font6"/>
    <w:basedOn w:val="996"/>
    <w:uiPriority w:val="0"/>
    <w:qFormat/>
    <w:pPr>
      <w:jc w:val="left"/>
      <w:spacing w:before="100" w:beforeAutospacing="1" w:after="100" w:afterAutospacing="1"/>
      <w:widowControl/>
    </w:pPr>
    <w:rPr>
      <w:rFonts w:ascii="宋体" w:hAnsi="宋体" w:cs="宋体"/>
      <w:sz w:val="20"/>
      <w:szCs w:val="20"/>
    </w:rPr>
  </w:style>
  <w:style w:type="paragraph" w:styleId="1293" w:customStyle="1">
    <w:name w:val="项目编号2"/>
    <w:basedOn w:val="1294"/>
    <w:uiPriority w:val="0"/>
    <w:qFormat/>
    <w:pPr>
      <w:numPr>
        <w:numId w:val="3"/>
      </w:numPr>
    </w:pPr>
  </w:style>
  <w:style w:type="paragraph" w:styleId="1294" w:customStyle="1">
    <w:name w:val="项目编号1"/>
    <w:basedOn w:val="996"/>
    <w:uiPriority w:val="0"/>
    <w:qFormat/>
    <w:pPr>
      <w:numPr>
        <w:ilvl w:val="0"/>
        <w:numId w:val="4"/>
      </w:numPr>
      <w:spacing w:before="100" w:beforeAutospacing="1" w:after="100" w:afterAutospacing="1" w:line="360" w:lineRule="auto"/>
    </w:pPr>
    <w:rPr>
      <w:sz w:val="24"/>
    </w:rPr>
  </w:style>
  <w:style w:type="paragraph" w:styleId="1295" w:customStyle="1">
    <w:name w:val="图中文字"/>
    <w:basedOn w:val="996"/>
    <w:uiPriority w:val="0"/>
    <w:qFormat/>
    <w:pPr>
      <w:jc w:val="center"/>
      <w:spacing w:line="0" w:lineRule="atLeast"/>
    </w:pPr>
    <w:rPr>
      <w:sz w:val="24"/>
      <w:szCs w:val="20"/>
    </w:rPr>
  </w:style>
  <w:style w:type="paragraph" w:styleId="1296" w:customStyle="1">
    <w:name w:val="xl46"/>
    <w:basedOn w:val="99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7" w:customStyle="1">
    <w:name w:val="xl25"/>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8" w:customStyle="1">
    <w:name w:val="Char2"/>
    <w:basedOn w:val="996"/>
    <w:uiPriority w:val="0"/>
    <w:qFormat/>
    <w:rPr>
      <w:rFonts w:ascii="Tahoma" w:hAnsi="Tahoma"/>
      <w:sz w:val="24"/>
      <w:szCs w:val="20"/>
    </w:rPr>
  </w:style>
  <w:style w:type="paragraph" w:styleId="1299" w:customStyle="1">
    <w:name w:val="xl35"/>
    <w:basedOn w:val="99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0" w:customStyle="1">
    <w:name w:val="xl40"/>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1" w:customStyle="1">
    <w:name w:val="xl52"/>
    <w:basedOn w:val="9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02" w:customStyle="1">
    <w:name w:val="xl43"/>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3" w:customStyle="1">
    <w:name w:val="background1"/>
    <w:basedOn w:val="996"/>
    <w:uiPriority w:val="0"/>
    <w:qFormat/>
    <w:pPr>
      <w:jc w:val="left"/>
      <w:spacing w:before="100" w:beforeAutospacing="1" w:after="100" w:afterAutospacing="1"/>
      <w:widowControl/>
    </w:pPr>
    <w:rPr>
      <w:rFonts w:ascii="宋体" w:hAnsi="宋体" w:cs="宋体"/>
      <w:sz w:val="24"/>
    </w:rPr>
  </w:style>
  <w:style w:type="paragraph" w:styleId="1304" w:customStyle="1">
    <w:name w:val="Char Char Char Char Char Char Char"/>
    <w:basedOn w:val="996"/>
    <w:uiPriority w:val="0"/>
    <w:qFormat/>
    <w:pPr>
      <w:ind w:firstLine="200"/>
      <w:spacing w:line="360" w:lineRule="auto"/>
    </w:pPr>
    <w:rPr>
      <w:rFonts w:eastAsia="FangSong_GB2312"/>
      <w:sz w:val="24"/>
    </w:rPr>
  </w:style>
  <w:style w:type="paragraph" w:styleId="1305" w:customStyle="1">
    <w:name w:val="xl38"/>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06" w:customStyle="1">
    <w:name w:val="xl36"/>
    <w:basedOn w:val="99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7" w:customStyle="1">
    <w:name w:val="正文 + 宋体"/>
    <w:basedOn w:val="996"/>
    <w:uiPriority w:val="0"/>
    <w:qFormat/>
    <w:pPr>
      <w:ind w:left="360" w:hanging="360"/>
      <w:jc w:val="left"/>
      <w:widowControl/>
    </w:pPr>
    <w:rPr>
      <w:rFonts w:ascii="宋体" w:hAnsi="宋体" w:cs="宋体"/>
      <w:b/>
      <w:bCs/>
      <w:color w:val="000000"/>
      <w:sz w:val="18"/>
      <w:szCs w:val="18"/>
    </w:rPr>
  </w:style>
  <w:style w:type="paragraph" w:styleId="1308" w:customStyle="1">
    <w:name w:val="正文列项_数字"/>
    <w:basedOn w:val="996"/>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309" w:customStyle="1">
    <w:name w:val="xl39"/>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0" w:customStyle="1">
    <w:name w:val="xl37"/>
    <w:basedOn w:val="99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1" w:customStyle="1">
    <w:name w:val="xl32"/>
    <w:basedOn w:val="9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2" w:customStyle="1">
    <w:name w:val="font8"/>
    <w:basedOn w:val="996"/>
    <w:uiPriority w:val="0"/>
    <w:qFormat/>
    <w:pPr>
      <w:jc w:val="left"/>
      <w:spacing w:before="100" w:beforeAutospacing="1" w:after="100" w:afterAutospacing="1"/>
      <w:widowControl/>
    </w:pPr>
    <w:rPr>
      <w:sz w:val="36"/>
      <w:szCs w:val="36"/>
    </w:rPr>
  </w:style>
  <w:style w:type="paragraph" w:styleId="1313" w:customStyle="1">
    <w:name w:val="Char"/>
    <w:basedOn w:val="996"/>
    <w:uiPriority w:val="0"/>
    <w:qFormat/>
    <w:pPr>
      <w:tabs>
        <w:tab w:val="left" w:pos="360" w:leader="none"/>
      </w:tabs>
    </w:pPr>
    <w:rPr>
      <w:sz w:val="24"/>
    </w:rPr>
  </w:style>
  <w:style w:type="paragraph" w:styleId="1314" w:customStyle="1">
    <w:name w:val="Char Char Char Char Char Char Char Char Char Char Char Char Char Char Char Char"/>
    <w:basedOn w:val="996"/>
    <w:uiPriority w:val="0"/>
    <w:qFormat/>
    <w:pPr>
      <w:jc w:val="center"/>
      <w:spacing w:after="160" w:line="240" w:lineRule="exact"/>
      <w:widowControl/>
    </w:pPr>
    <w:rPr>
      <w:rFonts w:ascii="宋体" w:hAnsi="宋体"/>
      <w:b/>
      <w:sz w:val="30"/>
      <w:szCs w:val="30"/>
      <w:lang w:eastAsia="en-US"/>
    </w:rPr>
  </w:style>
  <w:style w:type="paragraph" w:styleId="1315" w:customStyle="1">
    <w:name w:val="xl45"/>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6" w:customStyle="1">
    <w:name w:val="Char Char1 Char Char Char Char Char Char"/>
    <w:basedOn w:val="996"/>
    <w:uiPriority w:val="0"/>
    <w:qFormat/>
    <w:pPr>
      <w:jc w:val="left"/>
      <w:spacing w:after="160" w:line="240" w:lineRule="exact"/>
      <w:widowControl/>
    </w:pPr>
    <w:rPr>
      <w:rFonts w:ascii="Verdana" w:hAnsi="Verdana" w:eastAsia="FangSong_GB2312"/>
      <w:sz w:val="24"/>
      <w:szCs w:val="20"/>
      <w:lang w:eastAsia="en-US"/>
    </w:rPr>
  </w:style>
  <w:style w:type="paragraph" w:styleId="1317" w:customStyle="1">
    <w:name w:val="Char Char1"/>
    <w:basedOn w:val="1204"/>
    <w:uiPriority w:val="0"/>
    <w:qFormat/>
    <w:rPr>
      <w:rFonts w:ascii="Tahoma" w:hAnsi="Tahoma"/>
      <w:sz w:val="24"/>
    </w:rPr>
  </w:style>
  <w:style w:type="paragraph" w:styleId="1318" w:customStyle="1">
    <w:name w:val="xl26"/>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19" w:customStyle="1">
    <w:name w:val="xl30"/>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0" w:customStyle="1">
    <w:name w:val="xl41"/>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1" w:customStyle="1">
    <w:name w:val="样式 宋体 五号 行距: 单倍行距"/>
    <w:basedOn w:val="996"/>
    <w:uiPriority w:val="0"/>
    <w:qFormat/>
    <w:pPr>
      <w:jc w:val="left"/>
    </w:pPr>
    <w:rPr>
      <w:rFonts w:ascii="宋体" w:hAnsi="宋体"/>
      <w:szCs w:val="20"/>
    </w:rPr>
  </w:style>
  <w:style w:type="paragraph" w:styleId="1322" w:customStyle="1">
    <w:name w:val="Char1 Char Char Char1"/>
    <w:basedOn w:val="996"/>
    <w:uiPriority w:val="0"/>
    <w:qFormat/>
    <w:rPr>
      <w:rFonts w:ascii="Tahoma" w:hAnsi="Tahoma" w:cs="FangSong_GB2312"/>
      <w:sz w:val="24"/>
      <w:szCs w:val="28"/>
    </w:rPr>
  </w:style>
  <w:style w:type="paragraph" w:styleId="1323" w:customStyle="1">
    <w:name w:val="四级条标题"/>
    <w:basedOn w:val="1324"/>
    <w:next w:val="996"/>
    <w:uiPriority w:val="0"/>
    <w:qFormat/>
    <w:pPr>
      <w:numPr>
        <w:ilvl w:val="4"/>
      </w:numPr>
      <w:ind w:left="0" w:hanging="840"/>
      <w:tabs>
        <w:tab w:val="left" w:pos="360" w:leader="none"/>
        <w:tab w:val="left" w:pos="840" w:leader="none"/>
      </w:tabs>
      <w:outlineLvl w:val="4"/>
    </w:pPr>
  </w:style>
  <w:style w:type="paragraph" w:styleId="1324" w:customStyle="1">
    <w:name w:val="三级条标题"/>
    <w:basedOn w:val="1286"/>
    <w:next w:val="996"/>
    <w:uiPriority w:val="0"/>
    <w:qFormat/>
    <w:pPr>
      <w:numPr>
        <w:ilvl w:val="3"/>
        <w:numId w:val="2"/>
      </w:numPr>
      <w:ind w:left="0" w:hanging="840"/>
      <w:outlineLvl w:val="3"/>
    </w:pPr>
  </w:style>
  <w:style w:type="paragraph" w:styleId="132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26" w:customStyle="1">
    <w:name w:val="样式 标题 2 + 宋体 五号 行距: 单倍行距"/>
    <w:basedOn w:val="1181"/>
    <w:uiPriority w:val="0"/>
    <w:qFormat/>
    <w:pPr>
      <w:numPr>
        <w:ilvl w:val="1"/>
        <w:numId w:val="5"/>
      </w:numPr>
      <w:jc w:val="left"/>
      <w:spacing w:before="260" w:after="260" w:line="240" w:lineRule="auto"/>
    </w:pPr>
    <w:rPr>
      <w:rFonts w:ascii="宋体" w:hAnsi="宋体" w:eastAsia="宋体"/>
      <w:bCs/>
      <w:sz w:val="21"/>
    </w:rPr>
  </w:style>
  <w:style w:type="paragraph" w:styleId="1327" w:customStyle="1">
    <w:name w:val="List Paragraph1"/>
    <w:basedOn w:val="996"/>
    <w:uiPriority w:val="0"/>
    <w:qFormat/>
    <w:pPr>
      <w:ind w:firstLine="420"/>
    </w:pPr>
    <w:rPr>
      <w:rFonts w:ascii="Calibri" w:hAnsi="Calibri"/>
      <w:szCs w:val="22"/>
    </w:rPr>
  </w:style>
  <w:style w:type="paragraph" w:styleId="1328" w:customStyle="1">
    <w:name w:val="项目符号1"/>
    <w:basedOn w:val="1329"/>
    <w:uiPriority w:val="0"/>
    <w:qFormat/>
    <w:pPr>
      <w:ind w:left="-25" w:firstLine="0"/>
    </w:pPr>
  </w:style>
  <w:style w:type="paragraph" w:styleId="1329" w:customStyle="1">
    <w:name w:val="正文文本样式"/>
    <w:basedOn w:val="996"/>
    <w:uiPriority w:val="0"/>
    <w:qFormat/>
    <w:pPr>
      <w:ind w:firstLine="482"/>
      <w:spacing w:line="360" w:lineRule="auto"/>
    </w:pPr>
    <w:rPr>
      <w:rFonts w:cs="宋体"/>
      <w:sz w:val="24"/>
      <w:szCs w:val="20"/>
    </w:rPr>
  </w:style>
  <w:style w:type="paragraph" w:styleId="1330" w:customStyle="1">
    <w:name w:val="xl27"/>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1" w:customStyle="1">
    <w:name w:val="font5"/>
    <w:basedOn w:val="996"/>
    <w:uiPriority w:val="0"/>
    <w:qFormat/>
    <w:pPr>
      <w:jc w:val="left"/>
      <w:spacing w:before="100" w:beforeAutospacing="1" w:after="100" w:afterAutospacing="1"/>
      <w:widowControl/>
    </w:pPr>
    <w:rPr>
      <w:rFonts w:ascii="宋体" w:hAnsi="宋体" w:cs="宋体"/>
      <w:sz w:val="18"/>
      <w:szCs w:val="18"/>
    </w:rPr>
  </w:style>
  <w:style w:type="paragraph" w:styleId="1332" w:customStyle="1">
    <w:name w:val="五级条标题"/>
    <w:basedOn w:val="1323"/>
    <w:next w:val="996"/>
    <w:uiPriority w:val="0"/>
    <w:qFormat/>
    <w:pPr>
      <w:numPr>
        <w:ilvl w:val="5"/>
      </w:numPr>
      <w:ind w:left="0" w:hanging="840"/>
      <w:outlineLvl w:val="5"/>
    </w:pPr>
  </w:style>
  <w:style w:type="paragraph" w:styleId="1333" w:customStyle="1">
    <w:name w:val="xl49"/>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4" w:customStyle="1">
    <w:name w:val="文档正文"/>
    <w:basedOn w:val="996"/>
    <w:uiPriority w:val="0"/>
    <w:qFormat/>
    <w:pPr>
      <w:spacing w:before="120" w:after="120" w:line="180" w:lineRule="auto"/>
    </w:pPr>
    <w:rPr>
      <w:rFonts w:ascii="Arial" w:hAnsi="Arial"/>
      <w:szCs w:val="20"/>
    </w:rPr>
  </w:style>
  <w:style w:type="paragraph" w:styleId="1335" w:customStyle="1">
    <w:name w:val="xl33"/>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6" w:customStyle="1">
    <w:name w:val="xl42"/>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37" w:customStyle="1">
    <w:name w:val="Char Char Char1 Char"/>
    <w:basedOn w:val="996"/>
    <w:uiPriority w:val="0"/>
    <w:qFormat/>
    <w:rPr>
      <w:rFonts w:ascii="Tahoma" w:hAnsi="Tahoma"/>
      <w:sz w:val="24"/>
      <w:szCs w:val="20"/>
    </w:rPr>
  </w:style>
  <w:style w:type="paragraph" w:styleId="1338" w:customStyle="1">
    <w:name w:val="xl44"/>
    <w:basedOn w:val="9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39" w:customStyle="1">
    <w:name w:val="1名"/>
    <w:basedOn w:val="996"/>
    <w:uiPriority w:val="0"/>
    <w:qFormat/>
    <w:pPr>
      <w:numPr>
        <w:ilvl w:val="0"/>
        <w:numId w:val="6"/>
      </w:numPr>
      <w:spacing w:before="120"/>
    </w:pPr>
    <w:rPr>
      <w:rFonts w:ascii="宋体"/>
      <w:sz w:val="28"/>
      <w:szCs w:val="20"/>
    </w:rPr>
  </w:style>
  <w:style w:type="paragraph" w:styleId="1340" w:customStyle="1">
    <w:name w:val="font9"/>
    <w:basedOn w:val="99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41" w:customStyle="1">
    <w:name w:val="Char Char Char1 Char1"/>
    <w:basedOn w:val="996"/>
    <w:uiPriority w:val="0"/>
    <w:qFormat/>
    <w:rPr>
      <w:rFonts w:ascii="Tahoma" w:hAnsi="Tahoma"/>
      <w:sz w:val="24"/>
      <w:szCs w:val="20"/>
    </w:rPr>
  </w:style>
  <w:style w:type="paragraph" w:styleId="1342" w:customStyle="1">
    <w:name w:val="Char Char Char Char Char Char Char Char Char Char"/>
    <w:basedOn w:val="996"/>
    <w:uiPriority w:val="0"/>
    <w:qFormat/>
  </w:style>
  <w:style w:type="paragraph" w:styleId="1343" w:customStyle="1">
    <w:name w:val="Char Char1 Char Char Char Char Char Char Char Char"/>
    <w:basedOn w:val="996"/>
    <w:uiPriority w:val="0"/>
    <w:qFormat/>
    <w:pPr>
      <w:jc w:val="left"/>
      <w:spacing w:after="160" w:line="240" w:lineRule="exact"/>
      <w:widowControl/>
    </w:pPr>
    <w:rPr>
      <w:rFonts w:ascii="Verdana" w:hAnsi="Verdana"/>
      <w:sz w:val="20"/>
      <w:szCs w:val="20"/>
      <w:lang w:eastAsia="en-US"/>
    </w:rPr>
  </w:style>
  <w:style w:type="paragraph" w:styleId="1344" w:customStyle="1">
    <w:name w:val="Char1"/>
    <w:basedOn w:val="996"/>
    <w:uiPriority w:val="0"/>
    <w:qFormat/>
    <w:pPr>
      <w:tabs>
        <w:tab w:val="left" w:pos="360" w:leader="none"/>
      </w:tabs>
    </w:pPr>
    <w:rPr>
      <w:sz w:val="24"/>
    </w:rPr>
  </w:style>
  <w:style w:type="paragraph" w:styleId="1345" w:customStyle="1">
    <w:name w:val="正文列项_字母"/>
    <w:basedOn w:val="996"/>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346" w:customStyle="1">
    <w:name w:val="xl28"/>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7" w:customStyle="1">
    <w:name w:val="xl47"/>
    <w:basedOn w:val="9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8" w:customStyle="1">
    <w:name w:val="默认段落字体 Para Char Char Char Char"/>
    <w:basedOn w:val="996"/>
    <w:uiPriority w:val="0"/>
    <w:qFormat/>
    <w:rPr>
      <w:rFonts w:ascii="Arial" w:hAnsi="Arial" w:cs="Arial"/>
      <w:szCs w:val="21"/>
    </w:rPr>
  </w:style>
  <w:style w:type="paragraph" w:styleId="1349" w:customStyle="1">
    <w:name w:val="xl48"/>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0" w:customStyle="1">
    <w:name w:val="xl31"/>
    <w:basedOn w:val="9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1" w:customStyle="1">
    <w:name w:val="Char Char Char"/>
    <w:basedOn w:val="996"/>
    <w:uiPriority w:val="0"/>
    <w:qFormat/>
    <w:rPr>
      <w:rFonts w:ascii="Tahoma" w:hAnsi="Tahoma"/>
      <w:sz w:val="24"/>
      <w:szCs w:val="20"/>
    </w:rPr>
  </w:style>
  <w:style w:type="paragraph" w:styleId="1352" w:customStyle="1">
    <w:name w:val="xl50"/>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53" w:customStyle="1">
    <w:name w:val="缺省文本"/>
    <w:basedOn w:val="996"/>
    <w:uiPriority w:val="0"/>
    <w:qFormat/>
    <w:pPr>
      <w:jc w:val="left"/>
    </w:pPr>
    <w:rPr>
      <w:sz w:val="24"/>
    </w:rPr>
  </w:style>
  <w:style w:type="paragraph" w:styleId="1354" w:customStyle="1">
    <w:name w:val="Char Char Char1"/>
    <w:basedOn w:val="996"/>
    <w:uiPriority w:val="0"/>
    <w:qFormat/>
    <w:rPr>
      <w:rFonts w:ascii="Tahoma" w:hAnsi="Tahoma"/>
      <w:sz w:val="24"/>
      <w:szCs w:val="20"/>
    </w:rPr>
  </w:style>
  <w:style w:type="paragraph" w:styleId="1355" w:customStyle="1">
    <w:name w:val="Char Char Char Char Char Char Char1"/>
    <w:basedOn w:val="996"/>
    <w:uiPriority w:val="0"/>
    <w:qFormat/>
    <w:pPr>
      <w:ind w:firstLine="200"/>
      <w:spacing w:line="360" w:lineRule="auto"/>
    </w:pPr>
    <w:rPr>
      <w:rFonts w:eastAsia="FangSong_GB2312"/>
      <w:sz w:val="24"/>
    </w:rPr>
  </w:style>
  <w:style w:type="paragraph" w:styleId="1356" w:customStyle="1">
    <w:name w:val="xl51"/>
    <w:basedOn w:val="9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7" w:customStyle="1">
    <w:name w:val="样式2"/>
    <w:basedOn w:val="1243"/>
    <w:uiPriority w:val="0"/>
    <w:qFormat/>
    <w:pPr>
      <w:jc w:val="center"/>
      <w:spacing w:line="360" w:lineRule="auto"/>
    </w:pPr>
    <w:rPr>
      <w:sz w:val="24"/>
    </w:rPr>
  </w:style>
  <w:style w:type="paragraph" w:styleId="1358" w:customStyle="1">
    <w:name w:val="xl24"/>
    <w:basedOn w:val="9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9" w:customStyle="1">
    <w:name w:val="xl29"/>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0" w:customStyle="1">
    <w:name w:val="正文 + 楷体_GB2312"/>
    <w:basedOn w:val="996"/>
    <w:uiPriority w:val="0"/>
    <w:qFormat/>
    <w:pPr>
      <w:jc w:val="left"/>
      <w:widowControl/>
    </w:pPr>
    <w:rPr>
      <w:rFonts w:ascii="KaiTi_GB2312" w:eastAsia="KaiTi_GB2312" w:cs="Arial"/>
      <w:sz w:val="24"/>
    </w:rPr>
  </w:style>
  <w:style w:type="paragraph" w:styleId="1361" w:customStyle="1">
    <w:name w:val="xl34"/>
    <w:basedOn w:val="9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62" w:customStyle="1">
    <w:name w:val="1 Char Char Char Char"/>
    <w:basedOn w:val="996"/>
    <w:uiPriority w:val="0"/>
    <w:qFormat/>
    <w:rPr>
      <w:rFonts w:ascii="Tahoma" w:hAnsi="Tahoma"/>
      <w:sz w:val="24"/>
      <w:szCs w:val="20"/>
    </w:rPr>
  </w:style>
  <w:style w:type="paragraph" w:styleId="1363"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364" w:customStyle="1">
    <w:name w:val="列出段落1"/>
    <w:basedOn w:val="996"/>
    <w:uiPriority w:val="0"/>
    <w:qFormat/>
    <w:pPr>
      <w:ind w:firstLine="420"/>
    </w:pPr>
    <w:rPr>
      <w:rFonts w:ascii="Calibri" w:hAnsi="Calibri"/>
      <w:szCs w:val="22"/>
    </w:rPr>
  </w:style>
  <w:style w:type="paragraph" w:styleId="1365" w:customStyle="1">
    <w:name w:val="default"/>
    <w:basedOn w:val="996"/>
    <w:uiPriority w:val="0"/>
    <w:qFormat/>
    <w:pPr>
      <w:jc w:val="left"/>
      <w:spacing w:before="100" w:beforeAutospacing="1" w:after="100" w:afterAutospacing="1"/>
      <w:widowControl/>
    </w:pPr>
    <w:rPr>
      <w:rFonts w:ascii="宋体" w:hAnsi="宋体" w:cs="宋体"/>
      <w:sz w:val="24"/>
    </w:rPr>
  </w:style>
  <w:style w:type="paragraph" w:styleId="1366" w:customStyle="1">
    <w:name w:val="字元 字元1"/>
    <w:basedOn w:val="996"/>
    <w:uiPriority w:val="0"/>
    <w:qFormat/>
    <w:rPr>
      <w:rFonts w:ascii="Tahoma" w:hAnsi="Tahoma"/>
      <w:sz w:val="24"/>
      <w:szCs w:val="20"/>
    </w:rPr>
  </w:style>
  <w:style w:type="paragraph" w:styleId="1367" w:customStyle="1">
    <w:name w:val="_Style 160"/>
    <w:uiPriority w:val="0"/>
    <w:qFormat/>
    <w:rPr>
      <w:rFonts w:hint="default" w:ascii="Times New Roman" w:hAnsi="Times New Roman" w:eastAsia="宋体" w:cs="Times New Roman"/>
      <w:sz w:val="21"/>
      <w:szCs w:val="24"/>
      <w:lang w:val="en-US" w:eastAsia="zh-CN" w:bidi="ar-SA"/>
    </w:rPr>
  </w:style>
  <w:style w:type="paragraph" w:styleId="1368" w:customStyle="1">
    <w:name w:val="项目编号3"/>
    <w:basedOn w:val="1329"/>
    <w:uiPriority w:val="0"/>
    <w:qFormat/>
    <w:pPr>
      <w:numPr>
        <w:ilvl w:val="0"/>
        <w:numId w:val="7"/>
      </w:numPr>
    </w:pPr>
  </w:style>
  <w:style w:type="paragraph" w:styleId="1369" w:customStyle="1">
    <w:name w:val="Char21"/>
    <w:basedOn w:val="996"/>
    <w:uiPriority w:val="0"/>
    <w:qFormat/>
    <w:rPr>
      <w:rFonts w:ascii="Tahoma" w:hAnsi="Tahoma"/>
      <w:sz w:val="24"/>
      <w:szCs w:val="20"/>
    </w:rPr>
  </w:style>
  <w:style w:type="paragraph" w:styleId="1370" w:customStyle="1">
    <w:name w:val="表格文字"/>
    <w:basedOn w:val="1213"/>
    <w:uiPriority w:val="0"/>
    <w:qFormat/>
    <w:pPr>
      <w:ind w:firstLine="0"/>
      <w:spacing w:before="20" w:after="20" w:line="240" w:lineRule="auto"/>
    </w:pPr>
    <w:rPr>
      <w:rFonts w:ascii="Century Gothic" w:hAnsi="Century Gothic"/>
      <w:sz w:val="20"/>
      <w:szCs w:val="20"/>
    </w:rPr>
  </w:style>
  <w:style w:type="paragraph" w:styleId="1371" w:customStyle="1">
    <w:name w:val="Char Char Char Char Char Char Char Char Char Char1"/>
    <w:basedOn w:val="996"/>
    <w:uiPriority w:val="0"/>
    <w:qFormat/>
    <w:rPr>
      <w:rFonts w:ascii="宋体" w:hAnsi="宋体" w:cs="Courier New"/>
      <w:sz w:val="32"/>
      <w:szCs w:val="32"/>
    </w:rPr>
  </w:style>
  <w:style w:type="paragraph" w:styleId="1372" w:customStyle="1">
    <w:name w:val="正文文本样式 加粗"/>
    <w:basedOn w:val="1329"/>
    <w:uiPriority w:val="0"/>
    <w:qFormat/>
    <w:rPr>
      <w:b/>
    </w:rPr>
  </w:style>
  <w:style w:type="paragraph" w:styleId="1373" w:customStyle="1">
    <w:name w:val="Char2 Char Char Char Char Char Char"/>
    <w:basedOn w:val="996"/>
    <w:uiPriority w:val="0"/>
    <w:qFormat/>
    <w:pPr>
      <w:jc w:val="center"/>
      <w:spacing w:line="400" w:lineRule="exact"/>
      <w:widowControl/>
    </w:pPr>
  </w:style>
  <w:style w:type="paragraph" w:styleId="1374" w:customStyle="1">
    <w:name w:val="Char Char4"/>
    <w:basedOn w:val="996"/>
    <w:uiPriority w:val="0"/>
    <w:qFormat/>
    <w:pPr>
      <w:jc w:val="center"/>
      <w:spacing w:line="400" w:lineRule="exact"/>
      <w:widowControl/>
    </w:pPr>
  </w:style>
  <w:style w:type="paragraph" w:styleId="1375" w:customStyle="1">
    <w:name w:val="Char3 Char Char Char1"/>
    <w:basedOn w:val="996"/>
    <w:uiPriority w:val="0"/>
    <w:qFormat/>
    <w:rPr>
      <w:rFonts w:ascii="Tahoma" w:hAnsi="Tahoma"/>
      <w:sz w:val="24"/>
      <w:szCs w:val="20"/>
    </w:rPr>
  </w:style>
  <w:style w:type="paragraph" w:styleId="137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7" w:customStyle="1">
    <w:name w:val="22222222222222"/>
    <w:basedOn w:val="996"/>
    <w:uiPriority w:val="0"/>
    <w:qFormat/>
    <w:pPr>
      <w:ind w:firstLine="480"/>
      <w:jc w:val="left"/>
      <w:spacing w:line="360" w:lineRule="auto"/>
      <w:widowControl/>
    </w:pPr>
    <w:rPr>
      <w:color w:val="ff0000"/>
      <w:sz w:val="24"/>
      <w:szCs w:val="20"/>
    </w:rPr>
  </w:style>
  <w:style w:type="character" w:styleId="1378" w:customStyle="1">
    <w:name w:val="中等深浅网格 1 - 强调文字颜色 2 Char"/>
    <w:link w:val="1379"/>
    <w:uiPriority w:val="0"/>
    <w:qFormat/>
    <w:rPr>
      <w:sz w:val="21"/>
      <w:szCs w:val="24"/>
      <w:lang w:val="zh-CN" w:eastAsia="zh-CN" w:bidi="ar-SA"/>
    </w:rPr>
  </w:style>
  <w:style w:type="paragraph" w:styleId="1379" w:customStyle="1">
    <w:name w:val="1"/>
    <w:link w:val="1378"/>
    <w:uiPriority w:val="0"/>
    <w:qFormat/>
    <w:rPr>
      <w:rFonts w:hint="default" w:ascii="Times New Roman" w:hAnsi="Times New Roman" w:eastAsia="宋体" w:cs="Times New Roman"/>
      <w:sz w:val="21"/>
      <w:szCs w:val="24"/>
      <w:lang w:val="zh-CN" w:eastAsia="zh-CN" w:bidi="ar-SA"/>
    </w:rPr>
  </w:style>
  <w:style w:type="paragraph" w:styleId="1380" w:customStyle="1">
    <w:name w:val="图文"/>
    <w:basedOn w:val="996"/>
    <w:uiPriority w:val="0"/>
    <w:qFormat/>
    <w:pPr>
      <w:spacing w:after="50" w:line="360" w:lineRule="auto"/>
    </w:pPr>
    <w:rPr>
      <w:sz w:val="24"/>
    </w:rPr>
  </w:style>
  <w:style w:type="paragraph" w:styleId="1381" w:customStyle="1">
    <w:name w:val="xl23"/>
    <w:basedOn w:val="996"/>
    <w:uiPriority w:val="0"/>
    <w:qFormat/>
    <w:pPr>
      <w:spacing w:before="100" w:beforeAutospacing="1" w:after="100" w:afterAutospacing="1" w:line="360" w:lineRule="auto"/>
      <w:widowControl/>
    </w:pPr>
    <w:rPr>
      <w:sz w:val="24"/>
      <w:szCs w:val="20"/>
    </w:rPr>
  </w:style>
  <w:style w:type="paragraph" w:styleId="1382" w:customStyle="1">
    <w:name w:val="正文表格"/>
    <w:basedOn w:val="996"/>
    <w:link w:val="1383"/>
    <w:uiPriority w:val="0"/>
    <w:qFormat/>
    <w:pPr>
      <w:jc w:val="left"/>
    </w:pPr>
    <w:rPr>
      <w:rFonts w:ascii="宋体" w:hAnsi="宋体"/>
      <w:color w:val="000000"/>
      <w:szCs w:val="21"/>
    </w:rPr>
  </w:style>
  <w:style w:type="character" w:styleId="1383" w:customStyle="1">
    <w:name w:val="正文表格 Char"/>
    <w:link w:val="1382"/>
    <w:uiPriority w:val="0"/>
    <w:qFormat/>
    <w:rPr>
      <w:rFonts w:ascii="宋体" w:hAnsi="宋体"/>
      <w:color w:val="000000"/>
      <w:sz w:val="21"/>
      <w:szCs w:val="21"/>
    </w:rPr>
  </w:style>
  <w:style w:type="paragraph" w:styleId="1384" w:customStyle="1">
    <w:name w:val="正文重点"/>
    <w:basedOn w:val="996"/>
    <w:link w:val="1385"/>
    <w:uiPriority w:val="0"/>
    <w:qFormat/>
    <w:pPr>
      <w:ind w:firstLine="482"/>
      <w:jc w:val="left"/>
      <w:spacing w:line="360" w:lineRule="auto"/>
    </w:pPr>
    <w:rPr>
      <w:b/>
      <w:sz w:val="24"/>
      <w:szCs w:val="20"/>
    </w:rPr>
  </w:style>
  <w:style w:type="character" w:styleId="1385" w:customStyle="1">
    <w:name w:val="正文重点 Char"/>
    <w:link w:val="1384"/>
    <w:uiPriority w:val="0"/>
    <w:qFormat/>
    <w:rPr>
      <w:b/>
      <w:sz w:val="24"/>
    </w:rPr>
  </w:style>
  <w:style w:type="paragraph" w:styleId="1386" w:customStyle="1">
    <w:name w:val="标题1-附件"/>
    <w:basedOn w:val="1180"/>
    <w:uiPriority w:val="0"/>
    <w:qFormat/>
    <w:pPr>
      <w:jc w:val="left"/>
    </w:pPr>
    <w:rPr>
      <w:sz w:val="24"/>
      <w:szCs w:val="24"/>
    </w:rPr>
  </w:style>
  <w:style w:type="paragraph" w:styleId="1387" w:customStyle="1">
    <w:name w:val="正文小标题"/>
    <w:basedOn w:val="996"/>
    <w:next w:val="1182"/>
    <w:link w:val="1388"/>
    <w:uiPriority w:val="0"/>
    <w:qFormat/>
    <w:pPr>
      <w:ind w:firstLine="482"/>
      <w:jc w:val="left"/>
      <w:spacing w:before="312" w:after="312"/>
    </w:pPr>
    <w:rPr>
      <w:rFonts w:ascii="宋体" w:hAnsi="宋体"/>
      <w:b/>
      <w:i/>
      <w:color w:val="ff0000"/>
      <w:sz w:val="24"/>
      <w:szCs w:val="20"/>
    </w:rPr>
  </w:style>
  <w:style w:type="character" w:styleId="1388" w:customStyle="1">
    <w:name w:val="正文小标题 Char"/>
    <w:link w:val="1387"/>
    <w:uiPriority w:val="0"/>
    <w:qFormat/>
    <w:rPr>
      <w:rFonts w:ascii="宋体" w:hAnsi="宋体"/>
      <w:b/>
      <w:i/>
      <w:color w:val="ff0000"/>
      <w:sz w:val="24"/>
    </w:rPr>
  </w:style>
  <w:style w:type="paragraph" w:styleId="1389" w:customStyle="1">
    <w:name w:val="正文大标题"/>
    <w:basedOn w:val="1387"/>
    <w:next w:val="1182"/>
    <w:link w:val="1390"/>
    <w:uiPriority w:val="0"/>
    <w:qFormat/>
    <w:pPr>
      <w:jc w:val="center"/>
    </w:pPr>
    <w:rPr>
      <w:i w:val="0"/>
      <w:color w:val="000000"/>
      <w:sz w:val="28"/>
      <w:szCs w:val="21"/>
    </w:rPr>
  </w:style>
  <w:style w:type="character" w:styleId="1390" w:customStyle="1">
    <w:name w:val="正文大标题 Char"/>
    <w:link w:val="1389"/>
    <w:uiPriority w:val="0"/>
    <w:qFormat/>
    <w:rPr>
      <w:rFonts w:ascii="宋体" w:hAnsi="宋体"/>
      <w:b/>
      <w:color w:val="000000"/>
      <w:sz w:val="28"/>
      <w:szCs w:val="21"/>
    </w:rPr>
  </w:style>
  <w:style w:type="paragraph" w:styleId="1391" w:customStyle="1">
    <w:name w:val="注释"/>
    <w:basedOn w:val="996"/>
    <w:link w:val="1392"/>
    <w:uiPriority w:val="0"/>
    <w:qFormat/>
    <w:pPr>
      <w:ind w:left="420" w:hanging="420"/>
      <w:jc w:val="left"/>
    </w:pPr>
    <w:rPr>
      <w:rFonts w:ascii="宋体" w:hAnsi="宋体"/>
      <w:szCs w:val="21"/>
    </w:rPr>
  </w:style>
  <w:style w:type="character" w:styleId="1392" w:customStyle="1">
    <w:name w:val="注释 Char"/>
    <w:link w:val="1391"/>
    <w:uiPriority w:val="0"/>
    <w:qFormat/>
    <w:rPr>
      <w:rFonts w:ascii="宋体" w:hAnsi="宋体"/>
      <w:sz w:val="21"/>
      <w:szCs w:val="21"/>
    </w:rPr>
  </w:style>
  <w:style w:type="paragraph" w:styleId="1393" w:customStyle="1">
    <w:name w:val="正文须知-1级"/>
    <w:basedOn w:val="996"/>
    <w:next w:val="996"/>
    <w:uiPriority w:val="0"/>
    <w:qFormat/>
    <w:pPr>
      <w:numPr>
        <w:ilvl w:val="0"/>
        <w:numId w:val="8"/>
      </w:numPr>
      <w:spacing w:line="300" w:lineRule="auto"/>
    </w:pPr>
    <w:rPr>
      <w:rFonts w:ascii="宋体" w:hAnsi="Calibri"/>
      <w:sz w:val="24"/>
      <w:szCs w:val="21"/>
    </w:rPr>
  </w:style>
  <w:style w:type="paragraph" w:styleId="1394" w:customStyle="1">
    <w:name w:val="正文须知-2级"/>
    <w:basedOn w:val="996"/>
    <w:uiPriority w:val="0"/>
    <w:qFormat/>
    <w:pPr>
      <w:numPr>
        <w:ilvl w:val="1"/>
        <w:numId w:val="8"/>
      </w:numPr>
      <w:spacing w:line="300" w:lineRule="auto"/>
    </w:pPr>
    <w:rPr>
      <w:rFonts w:ascii="宋体" w:hAnsi="Calibri"/>
      <w:sz w:val="24"/>
      <w:szCs w:val="21"/>
    </w:rPr>
  </w:style>
  <w:style w:type="paragraph" w:styleId="1395" w:customStyle="1">
    <w:name w:val="正文须知-3级"/>
    <w:basedOn w:val="996"/>
    <w:uiPriority w:val="0"/>
    <w:qFormat/>
    <w:pPr>
      <w:numPr>
        <w:ilvl w:val="2"/>
        <w:numId w:val="8"/>
      </w:numPr>
      <w:ind w:hanging="355"/>
      <w:spacing w:line="300" w:lineRule="auto"/>
    </w:pPr>
    <w:rPr>
      <w:rFonts w:ascii="宋体" w:hAnsi="Calibri"/>
      <w:sz w:val="24"/>
      <w:szCs w:val="21"/>
    </w:rPr>
  </w:style>
  <w:style w:type="character" w:styleId="1396" w:customStyle="1">
    <w:name w:val="纯文本 字符"/>
    <w:link w:val="996"/>
    <w:uiPriority w:val="99"/>
    <w:qFormat/>
    <w:rPr>
      <w:rFonts w:ascii="宋体" w:hAnsi="Courier New" w:eastAsia="宋体" w:cs="Times New Roman"/>
      <w:sz w:val="21"/>
      <w:szCs w:val="21"/>
      <w:lang w:val="en-US" w:eastAsia="zh-CN" w:bidi="ar-SA"/>
    </w:rPr>
  </w:style>
  <w:style w:type="paragraph" w:styleId="1397" w:customStyle="1">
    <w:name w:val="表格1"/>
    <w:basedOn w:val="996"/>
    <w:uiPriority w:val="0"/>
    <w:qFormat/>
    <w:pPr>
      <w:ind w:firstLine="480"/>
      <w:jc w:val="center"/>
    </w:pPr>
    <w:rPr>
      <w:sz w:val="24"/>
      <w:szCs w:val="20"/>
    </w:rPr>
  </w:style>
  <w:style w:type="character" w:styleId="1398" w:customStyle="1">
    <w:name w:val="纯文本 字符1"/>
    <w:link w:val="996"/>
    <w:uiPriority w:val="0"/>
    <w:qFormat/>
    <w:rPr>
      <w:rFonts w:ascii="宋体" w:hAnsi="Courier New"/>
    </w:rPr>
  </w:style>
  <w:style w:type="character" w:styleId="1399" w:customStyle="1">
    <w:name w:val="bjh-p"/>
    <w:link w:val="996"/>
    <w:uiPriority w:val="0"/>
    <w:qFormat/>
  </w:style>
  <w:style w:type="paragraph" w:styleId="1400" w:customStyle="1">
    <w:name w:val="无标题条"/>
    <w:next w:val="996"/>
    <w:uiPriority w:val="0"/>
    <w:qFormat/>
    <w:pPr>
      <w:jc w:val="both"/>
    </w:pPr>
    <w:rPr>
      <w:rFonts w:hint="default" w:ascii="Times New Roman" w:hAnsi="Times New Roman" w:eastAsia="宋体" w:cs="Times New Roman"/>
      <w:sz w:val="21"/>
      <w:lang w:val="en-US" w:eastAsia="zh-CN" w:bidi="ar-SA"/>
    </w:rPr>
  </w:style>
  <w:style w:type="character" w:styleId="1401" w:customStyle="1">
    <w:name w:val="正文格式 Char"/>
    <w:link w:val="1402"/>
    <w:uiPriority w:val="0"/>
    <w:qFormat/>
    <w:rPr>
      <w:rFonts w:ascii="宋体" w:hAnsi="宋体"/>
      <w:sz w:val="24"/>
      <w:szCs w:val="24"/>
      <w:lang w:val="en-GB"/>
    </w:rPr>
  </w:style>
  <w:style w:type="paragraph" w:styleId="1402" w:customStyle="1">
    <w:name w:val="正文格式"/>
    <w:basedOn w:val="996"/>
    <w:link w:val="1401"/>
    <w:uiPriority w:val="0"/>
    <w:qFormat/>
    <w:pPr>
      <w:ind w:firstLine="480"/>
      <w:spacing w:line="360" w:lineRule="auto"/>
    </w:pPr>
    <w:rPr>
      <w:rFonts w:ascii="宋体" w:hAnsi="宋体"/>
      <w:sz w:val="24"/>
      <w:lang w:val="en-GB"/>
    </w:rPr>
  </w:style>
  <w:style w:type="character" w:styleId="1403" w:customStyle="1">
    <w:name w:val="标题 3 Char"/>
    <w:link w:val="996"/>
    <w:uiPriority w:val="0"/>
    <w:qFormat/>
    <w:rPr>
      <w:rFonts w:ascii="宋体" w:eastAsia="宋体"/>
      <w:b/>
      <w:sz w:val="24"/>
      <w:u w:val="single"/>
      <w:lang w:val="en-US" w:eastAsia="zh-CN" w:bidi="ar-SA"/>
    </w:rPr>
  </w:style>
  <w:style w:type="character" w:styleId="1404" w:customStyle="1">
    <w:name w:val="正文缩进 Char"/>
    <w:link w:val="996"/>
    <w:uiPriority w:val="0"/>
    <w:qFormat/>
    <w:rPr>
      <w:rFonts w:ascii="宋体" w:eastAsia="宋体"/>
      <w:sz w:val="24"/>
      <w:szCs w:val="24"/>
      <w:lang w:val="en-US" w:eastAsia="zh-CN" w:bidi="ar-SA"/>
    </w:rPr>
  </w:style>
  <w:style w:type="character" w:styleId="1405" w:customStyle="1">
    <w:name w:val="Char Char111"/>
    <w:link w:val="996"/>
    <w:uiPriority w:val="0"/>
    <w:qFormat/>
    <w:rPr>
      <w:rFonts w:ascii="宋体" w:eastAsia="宋体"/>
      <w:b/>
      <w:sz w:val="24"/>
      <w:u w:val="single"/>
      <w:lang w:val="en-US" w:eastAsia="zh-CN" w:bidi="ar-SA"/>
    </w:rPr>
  </w:style>
  <w:style w:type="character" w:styleId="1406" w:customStyle="1">
    <w:name w:val="正文文本缩进 Char"/>
    <w:link w:val="996"/>
    <w:uiPriority w:val="0"/>
    <w:qFormat/>
    <w:rPr>
      <w:rFonts w:eastAsia="宋体"/>
      <w:sz w:val="24"/>
      <w:szCs w:val="24"/>
      <w:lang w:val="en-US" w:eastAsia="zh-CN" w:bidi="ar-SA"/>
    </w:rPr>
  </w:style>
  <w:style w:type="character" w:styleId="1407" w:customStyle="1">
    <w:name w:val="列出段落 Char"/>
    <w:link w:val="996"/>
    <w:uiPriority w:val="0"/>
    <w:qFormat/>
    <w:rPr>
      <w:rFonts w:ascii="Calibri" w:hAnsi="Calibri" w:eastAsia="宋体"/>
      <w:sz w:val="21"/>
      <w:szCs w:val="22"/>
      <w:lang w:val="en-US" w:eastAsia="zh-CN" w:bidi="ar-SA"/>
    </w:rPr>
  </w:style>
  <w:style w:type="character" w:styleId="1408" w:customStyle="1">
    <w:name w:val="页眉 Char"/>
    <w:link w:val="996"/>
    <w:uiPriority w:val="0"/>
    <w:qFormat/>
    <w:rPr>
      <w:rFonts w:eastAsia="宋体"/>
      <w:sz w:val="18"/>
      <w:szCs w:val="18"/>
      <w:lang w:val="en-US" w:eastAsia="zh-CN" w:bidi="ar-SA"/>
    </w:rPr>
  </w:style>
  <w:style w:type="character" w:styleId="1409" w:customStyle="1">
    <w:name w:val="标题 2 Char"/>
    <w:link w:val="996"/>
    <w:uiPriority w:val="0"/>
    <w:qFormat/>
    <w:rPr>
      <w:rFonts w:ascii="Arial" w:hAnsi="Arial" w:eastAsia="黑体"/>
      <w:b/>
      <w:sz w:val="30"/>
      <w:lang w:val="en-US" w:eastAsia="zh-CN" w:bidi="ar-SA"/>
    </w:rPr>
  </w:style>
  <w:style w:type="paragraph" w:styleId="1410" w:customStyle="1">
    <w:name w:val="字元 字元2"/>
    <w:basedOn w:val="996"/>
    <w:uiPriority w:val="0"/>
    <w:qFormat/>
    <w:rPr>
      <w:rFonts w:ascii="Tahoma" w:hAnsi="Tahoma"/>
      <w:sz w:val="24"/>
      <w:szCs w:val="20"/>
    </w:rPr>
  </w:style>
  <w:style w:type="paragraph" w:styleId="1411" w:customStyle="1">
    <w:name w:val="Char3 Char Char Char2"/>
    <w:basedOn w:val="996"/>
    <w:uiPriority w:val="0"/>
    <w:qFormat/>
    <w:rPr>
      <w:rFonts w:ascii="Tahoma" w:hAnsi="Tahoma"/>
      <w:sz w:val="24"/>
      <w:szCs w:val="20"/>
    </w:rPr>
  </w:style>
  <w:style w:type="paragraph" w:styleId="1412" w:customStyle="1">
    <w:name w:val="正文文本缩进2"/>
    <w:basedOn w:val="996"/>
    <w:uiPriority w:val="0"/>
    <w:qFormat/>
    <w:pPr>
      <w:ind w:firstLine="480"/>
      <w:spacing w:line="480" w:lineRule="exact"/>
    </w:pPr>
    <w:rPr>
      <w:rFonts w:ascii="宋体" w:hAnsi="宋体"/>
      <w:sz w:val="24"/>
      <w:lang w:val="zh-CN" w:eastAsia="zh-CN"/>
    </w:rPr>
  </w:style>
  <w:style w:type="paragraph" w:styleId="1413" w:customStyle="1">
    <w:name w:val="Char3"/>
    <w:basedOn w:val="996"/>
    <w:uiPriority w:val="0"/>
    <w:qFormat/>
    <w:pPr>
      <w:tabs>
        <w:tab w:val="left" w:pos="360" w:leader="none"/>
      </w:tabs>
    </w:pPr>
    <w:rPr>
      <w:sz w:val="24"/>
    </w:rPr>
  </w:style>
  <w:style w:type="paragraph" w:styleId="1414" w:customStyle="1">
    <w:name w:val="Char Char Char Char Char Char Char Char Char Char Char Char Char Char Char Char1"/>
    <w:basedOn w:val="996"/>
    <w:uiPriority w:val="0"/>
    <w:qFormat/>
    <w:pPr>
      <w:jc w:val="center"/>
      <w:spacing w:after="160" w:line="240" w:lineRule="exact"/>
      <w:widowControl/>
    </w:pPr>
    <w:rPr>
      <w:rFonts w:ascii="宋体" w:hAnsi="宋体"/>
      <w:b/>
      <w:sz w:val="30"/>
      <w:szCs w:val="30"/>
      <w:lang w:eastAsia="en-US"/>
    </w:rPr>
  </w:style>
  <w:style w:type="paragraph" w:styleId="1415" w:customStyle="1">
    <w:name w:val="Char Char1 Char Char Char Char Char Char1"/>
    <w:basedOn w:val="996"/>
    <w:uiPriority w:val="0"/>
    <w:qFormat/>
    <w:pPr>
      <w:jc w:val="left"/>
      <w:spacing w:after="160" w:line="240" w:lineRule="exact"/>
      <w:widowControl/>
    </w:pPr>
    <w:rPr>
      <w:rFonts w:ascii="Verdana" w:hAnsi="Verdana" w:eastAsia="FangSong_GB2312"/>
      <w:sz w:val="24"/>
      <w:szCs w:val="20"/>
      <w:lang w:eastAsia="en-US"/>
    </w:rPr>
  </w:style>
  <w:style w:type="paragraph" w:styleId="1416" w:customStyle="1">
    <w:name w:val="列出段落2"/>
    <w:basedOn w:val="996"/>
    <w:uiPriority w:val="0"/>
    <w:qFormat/>
    <w:pPr>
      <w:ind w:firstLine="420"/>
    </w:pPr>
    <w:rPr>
      <w:rFonts w:ascii="Calibri" w:hAnsi="Calibri"/>
      <w:szCs w:val="22"/>
    </w:rPr>
  </w:style>
  <w:style w:type="paragraph" w:styleId="1417" w:customStyle="1">
    <w:name w:val="Char Char Char1 Char2"/>
    <w:basedOn w:val="996"/>
    <w:uiPriority w:val="0"/>
    <w:qFormat/>
    <w:rPr>
      <w:rFonts w:ascii="Tahoma" w:hAnsi="Tahoma"/>
      <w:sz w:val="24"/>
      <w:szCs w:val="20"/>
    </w:rPr>
  </w:style>
  <w:style w:type="paragraph" w:styleId="1418" w:customStyle="1">
    <w:name w:val="Char Char Char2"/>
    <w:basedOn w:val="996"/>
    <w:uiPriority w:val="0"/>
    <w:qFormat/>
    <w:rPr>
      <w:rFonts w:ascii="Tahoma" w:hAnsi="Tahoma"/>
      <w:sz w:val="24"/>
      <w:szCs w:val="20"/>
    </w:rPr>
  </w:style>
  <w:style w:type="paragraph" w:styleId="1419" w:customStyle="1">
    <w:name w:val="Char Char Char Char Char Char Char2"/>
    <w:basedOn w:val="996"/>
    <w:uiPriority w:val="0"/>
    <w:qFormat/>
    <w:pPr>
      <w:ind w:firstLine="200"/>
      <w:spacing w:line="360" w:lineRule="auto"/>
    </w:pPr>
    <w:rPr>
      <w:rFonts w:eastAsia="FangSong_GB2312"/>
      <w:sz w:val="24"/>
    </w:rPr>
  </w:style>
  <w:style w:type="paragraph" w:styleId="1420" w:customStyle="1">
    <w:name w:val="正文缩进2"/>
    <w:basedOn w:val="996"/>
    <w:uiPriority w:val="0"/>
    <w:qFormat/>
    <w:pPr>
      <w:ind w:firstLine="567"/>
      <w:spacing w:line="480" w:lineRule="exact"/>
      <w:widowControl/>
    </w:pPr>
    <w:rPr>
      <w:rFonts w:ascii="宋体"/>
      <w:color w:val="000000"/>
      <w:sz w:val="28"/>
      <w:szCs w:val="20"/>
      <w:lang w:val="zh-CN" w:eastAsia="zh-CN"/>
    </w:rPr>
  </w:style>
  <w:style w:type="paragraph" w:styleId="1421" w:customStyle="1">
    <w:name w:val="Revision"/>
    <w:uiPriority w:val="0"/>
    <w:qFormat/>
    <w:rPr>
      <w:rFonts w:hint="default" w:ascii="Times New Roman" w:hAnsi="Times New Roman" w:eastAsia="宋体" w:cs="Times New Roman"/>
      <w:sz w:val="21"/>
      <w:szCs w:val="24"/>
      <w:lang w:val="en-US" w:eastAsia="zh-CN" w:bidi="ar-SA"/>
    </w:rPr>
  </w:style>
  <w:style w:type="paragraph" w:styleId="1422" w:customStyle="1">
    <w:name w:val="Char22"/>
    <w:basedOn w:val="996"/>
    <w:uiPriority w:val="0"/>
    <w:qFormat/>
    <w:rPr>
      <w:rFonts w:ascii="Tahoma" w:hAnsi="Tahoma"/>
      <w:sz w:val="24"/>
      <w:szCs w:val="20"/>
    </w:rPr>
  </w:style>
  <w:style w:type="paragraph" w:styleId="1423" w:customStyle="1">
    <w:name w:val="Char Char Char Char Char Char Char Char Char Char2"/>
    <w:basedOn w:val="996"/>
    <w:uiPriority w:val="0"/>
    <w:qFormat/>
    <w:rPr>
      <w:rFonts w:ascii="宋体" w:hAnsi="宋体" w:cs="Courier New"/>
      <w:sz w:val="32"/>
      <w:szCs w:val="32"/>
    </w:rPr>
  </w:style>
  <w:style w:type="paragraph" w:styleId="1424" w:customStyle="1">
    <w:name w:val="Char2 Char Char Char Char Char Char1"/>
    <w:basedOn w:val="996"/>
    <w:uiPriority w:val="0"/>
    <w:qFormat/>
    <w:pPr>
      <w:jc w:val="center"/>
      <w:spacing w:line="400" w:lineRule="exact"/>
      <w:widowControl/>
    </w:pPr>
  </w:style>
  <w:style w:type="character" w:styleId="1425" w:customStyle="1">
    <w:name w:val="页脚 Char"/>
    <w:link w:val="996"/>
    <w:uiPriority w:val="0"/>
    <w:qFormat/>
    <w:rPr>
      <w:rFonts w:ascii="宋体" w:eastAsia="宋体"/>
      <w:sz w:val="18"/>
      <w:lang w:val="en-US" w:eastAsia="zh-CN" w:bidi="ar-SA"/>
    </w:rPr>
  </w:style>
  <w:style w:type="paragraph" w:styleId="1426" w:customStyle="1">
    <w:name w:val="Char Char41"/>
    <w:basedOn w:val="996"/>
    <w:uiPriority w:val="0"/>
    <w:qFormat/>
    <w:pPr>
      <w:jc w:val="center"/>
      <w:spacing w:line="400" w:lineRule="exact"/>
      <w:widowControl/>
    </w:pPr>
  </w:style>
  <w:style w:type="character" w:styleId="1427" w:customStyle="1">
    <w:name w:val="批注文字 Char"/>
    <w:link w:val="996"/>
    <w:uiPriority w:val="99"/>
    <w:qFormat/>
    <w:rPr>
      <w:sz w:val="21"/>
      <w:szCs w:val="24"/>
    </w:rPr>
  </w:style>
  <w:style w:type="character" w:styleId="1428" w:customStyle="1">
    <w:name w:val="标题 Char"/>
    <w:link w:val="996"/>
    <w:uiPriority w:val="0"/>
    <w:qFormat/>
    <w:rPr>
      <w:b/>
      <w:sz w:val="32"/>
    </w:rPr>
  </w:style>
  <w:style w:type="paragraph" w:styleId="1429" w:customStyle="1">
    <w:name w:val="图例"/>
    <w:basedOn w:val="996"/>
    <w:uiPriority w:val="0"/>
    <w:qFormat/>
    <w:pPr>
      <w:jc w:val="center"/>
      <w:spacing w:before="120" w:after="120" w:line="360" w:lineRule="auto"/>
    </w:pPr>
    <w:rPr>
      <w:rFonts w:eastAsia="FangSong_GB2312"/>
      <w:b/>
      <w:sz w:val="24"/>
      <w:szCs w:val="20"/>
    </w:rPr>
  </w:style>
  <w:style w:type="paragraph" w:styleId="1430" w:customStyle="1">
    <w:name w:val="Table Paragraph"/>
    <w:basedOn w:val="996"/>
    <w:uiPriority w:val="1"/>
    <w:qFormat/>
    <w:pPr>
      <w:jc w:val="left"/>
    </w:pPr>
    <w:rPr>
      <w:rFonts w:ascii="宋体" w:hAnsi="宋体" w:cs="宋体"/>
      <w:sz w:val="22"/>
      <w:szCs w:val="22"/>
      <w:lang w:eastAsia="en-US"/>
    </w:rPr>
  </w:style>
  <w:style w:type="table" w:styleId="1431" w:customStyle="1">
    <w:name w:val="Table Normal"/>
    <w:uiPriority w:val="2"/>
    <w:semiHidden/>
    <w:qFormat/>
    <w:pPr>
      <w:widowControl w:val="off"/>
    </w:pPr>
    <w:rPr>
      <w:rFonts w:ascii="Calibri" w:hAnsi="Calibri"/>
      <w:sz w:val="22"/>
      <w:szCs w:val="22"/>
      <w:lang w:val="en-US" w:eastAsia="en-US" w:bidi="ar-SA"/>
    </w:rPr>
    <w:tblPr/>
  </w:style>
  <w:style w:type="paragraph" w:styleId="1432" w:customStyle="1">
    <w:name w:val="成文日期"/>
    <w:basedOn w:val="996"/>
    <w:link w:val="1433"/>
    <w:uiPriority w:val="0"/>
    <w:qFormat/>
    <w:pPr>
      <w:ind w:right="400" w:firstLine="200"/>
      <w:jc w:val="right"/>
      <w:spacing w:line="570" w:lineRule="exact"/>
    </w:pPr>
    <w:rPr>
      <w:rFonts w:ascii="FangSong_GB2312" w:eastAsia="FangSong_GB2312"/>
      <w:sz w:val="32"/>
      <w:szCs w:val="20"/>
    </w:rPr>
  </w:style>
  <w:style w:type="character" w:styleId="1433" w:customStyle="1">
    <w:name w:val="成文日期 Char"/>
    <w:link w:val="1432"/>
    <w:uiPriority w:val="0"/>
    <w:qFormat/>
    <w:rPr>
      <w:rFonts w:ascii="FangSong_GB2312" w:eastAsia="FangSong_GB2312"/>
      <w:sz w:val="32"/>
    </w:rPr>
  </w:style>
  <w:style w:type="paragraph" w:styleId="1434" w:customStyle="1">
    <w:name w:val="纯文本1"/>
    <w:next w:val="1234"/>
    <w:uiPriority w:val="0"/>
    <w:qFormat/>
    <w:pPr>
      <w:jc w:val="both"/>
      <w:widowControl w:val="off"/>
    </w:pPr>
    <w:rPr>
      <w:rFonts w:hint="default" w:ascii="宋体" w:hAnsi="宋体" w:eastAsia="宋体" w:cs="Times New Roman"/>
      <w:sz w:val="26"/>
      <w:lang w:val="en-US" w:eastAsia="zh-CN" w:bidi="ar-SA"/>
    </w:rPr>
  </w:style>
  <w:style w:type="paragraph" w:styleId="1435" w:customStyle="1">
    <w:name w:val="PlainText1"/>
    <w:basedOn w:val="996"/>
    <w:uiPriority w:val="99"/>
    <w:qFormat/>
    <w:rPr>
      <w:rFonts w:ascii="宋体" w:hAnsi="Courier New"/>
    </w:rPr>
  </w:style>
  <w:style w:type="character" w:styleId="1436" w:customStyle="1">
    <w:name w:val="font21"/>
    <w:basedOn w:val="1006"/>
    <w:link w:val="996"/>
    <w:uiPriority w:val="0"/>
    <w:qFormat/>
    <w:rPr>
      <w:rFonts w:hint="eastAsia" w:ascii="宋体" w:hAnsi="宋体" w:eastAsia="宋体" w:cs="宋体"/>
      <w:color w:val="000000"/>
      <w:sz w:val="24"/>
      <w:szCs w:val="24"/>
      <w:u w:val="none"/>
    </w:rPr>
  </w:style>
  <w:style w:type="character" w:styleId="1437" w:customStyle="1">
    <w:name w:val="font41"/>
    <w:link w:val="996"/>
    <w:uiPriority w:val="0"/>
    <w:qFormat/>
    <w:rPr>
      <w:rFonts w:hint="eastAsia" w:ascii="宋体" w:hAnsi="宋体" w:eastAsia="宋体" w:cs="宋体"/>
      <w:color w:val="000000"/>
      <w:sz w:val="24"/>
      <w:szCs w:val="24"/>
      <w:u w:val="none"/>
    </w:rPr>
  </w:style>
  <w:style w:type="character" w:styleId="1438" w:customStyle="1">
    <w:name w:val="font61"/>
    <w:link w:val="996"/>
    <w:uiPriority w:val="0"/>
    <w:qFormat/>
    <w:rPr>
      <w:rFonts w:hint="eastAsia" w:ascii="宋体" w:hAnsi="宋体" w:eastAsia="宋体" w:cs="宋体"/>
      <w:color w:val="000000"/>
      <w:sz w:val="24"/>
      <w:szCs w:val="24"/>
      <w:u w:val="none"/>
    </w:rPr>
  </w:style>
  <w:style w:type="character" w:styleId="1439" w:customStyle="1">
    <w:name w:val="font01"/>
    <w:link w:val="996"/>
    <w:uiPriority w:val="0"/>
    <w:qFormat/>
    <w:rPr>
      <w:rFonts w:ascii="Arial" w:hAnsi="Arial" w:cs="Arial"/>
      <w:color w:val="000000"/>
      <w:sz w:val="24"/>
      <w:szCs w:val="24"/>
      <w:u w:val="none"/>
    </w:rPr>
  </w:style>
  <w:style w:type="paragraph" w:styleId="1440" w:customStyle="1">
    <w:name w:val="Table Text"/>
    <w:basedOn w:val="996"/>
    <w:uiPriority w:val="0"/>
    <w:semiHidden/>
    <w:qFormat/>
    <w:rPr>
      <w:rFonts w:ascii="宋体" w:hAnsi="宋体" w:eastAsia="宋体" w:cs="宋体"/>
      <w:sz w:val="21"/>
      <w:szCs w:val="21"/>
      <w:lang w:val="en-US" w:eastAsia="en-US" w:bidi="ar-SA"/>
    </w:rPr>
  </w:style>
  <w:style w:type="paragraph" w:styleId="1441" w:customStyle="1">
    <w:name w:val="正文（首行缩进2字符）"/>
    <w:uiPriority w:val="0"/>
    <w:qFormat/>
    <w:pPr>
      <w:ind w:firstLine="480"/>
      <w:jc w:val="both"/>
      <w:spacing w:line="360" w:lineRule="auto"/>
      <w:widowControl w:val="off"/>
    </w:pPr>
    <w:rPr>
      <w:rFonts w:hint="default" w:ascii="Times New Roman" w:hAnsi="Times New Roman" w:eastAsia="宋体" w:cs="Times New Roman"/>
      <w:sz w:val="21"/>
      <w:szCs w:val="22"/>
      <w:lang w:val="en-US" w:eastAsia="zh-CN" w:bidi="ar-SA"/>
    </w:rPr>
  </w:style>
  <w:style w:type="paragraph" w:styleId="1442" w:customStyle="1">
    <w:name w:val="__正文"/>
    <w:uiPriority w:val="0"/>
    <w:qFormat/>
    <w:pPr>
      <w:ind w:firstLine="200"/>
      <w:spacing w:line="360" w:lineRule="auto"/>
    </w:pPr>
    <w:rPr>
      <w:rFonts w:hint="default" w:ascii="Arial" w:hAnsi="Arial" w:eastAsia="宋体" w:cs="Times New Roman"/>
      <w:sz w:val="24"/>
      <w:szCs w:val="22"/>
      <w:lang w:val="en-US" w:eastAsia="zh-CN" w:bidi="ar-SA"/>
    </w:rPr>
  </w:style>
  <w:style w:type="paragraph" w:styleId="1443" w:customStyle="1">
    <w:name w:val="目录 1111"/>
    <w:basedOn w:val="996"/>
    <w:next w:val="996"/>
    <w:uiPriority w:val="39"/>
    <w:unhideWhenUsed/>
    <w:qFormat/>
    <w:pPr>
      <w:ind w:firstLine="200"/>
      <w:jc w:val="left"/>
      <w:spacing w:after="100" w:line="259" w:lineRule="auto"/>
      <w:widowControl/>
    </w:pPr>
    <w:rPr>
      <w:rFonts w:ascii="Calibri" w:hAnsi="Calibri"/>
      <w:sz w:val="22"/>
      <w:szCs w:val="22"/>
    </w:rPr>
  </w:style>
  <w:style w:type="paragraph" w:styleId="1444">
    <w:name w:val="List Paragraph"/>
    <w:uiPriority w:val="34"/>
    <w:qFormat/>
    <w:pPr>
      <w:ind w:firstLine="420"/>
      <w:jc w:val="both"/>
      <w:widowControl w:val="off"/>
    </w:pPr>
    <w:rPr>
      <w:rFonts w:hint="default" w:ascii="Calibri" w:hAnsi="Calibri" w:eastAsia="宋体" w:cs="Times New Roman"/>
      <w:sz w:val="21"/>
      <w:szCs w:val="22"/>
      <w:lang w:val="en-US" w:eastAsia="zh-CN" w:bidi="ar-SA"/>
    </w:rPr>
  </w:style>
  <w:style w:type="paragraph" w:styleId="1445" w:customStyle="1">
    <w:name w:val="正文1"/>
    <w:uiPriority w:val="0"/>
    <w:qFormat/>
    <w:pPr>
      <w:ind w:left="420" w:firstLine="527"/>
      <w:jc w:val="both"/>
      <w:spacing w:before="120" w:line="360" w:lineRule="auto"/>
      <w:widowControl w:val="off"/>
    </w:pPr>
    <w:rPr>
      <w:rFonts w:hint="default" w:ascii="宋体" w:hAnsi="宋体" w:eastAsia="宋体" w:cs="Times New Roman"/>
      <w:sz w:val="21"/>
      <w:szCs w:val="24"/>
      <w:lang w:val="en-US" w:eastAsia="zh-CN" w:bidi="ar-SA"/>
    </w:rPr>
  </w:style>
  <w:style w:type="paragraph" w:styleId="1446" w:customStyle="1">
    <w:name w:val="null3"/>
    <w:uiPriority w:val="0"/>
    <w:qFormat/>
    <w:rPr>
      <w:rFonts w:hint="eastAsia" w:ascii="Calibri" w:hAnsi="Calibri" w:eastAsia="宋体" w:cs="Times New Roman"/>
      <w:lang w:val="en-US" w:eastAsia="zh-CN" w:bidi="ar-SA"/>
    </w:rPr>
  </w:style>
  <w:style w:type="character" w:styleId="1447" w:customStyle="1">
    <w:name w:val="NormalCharacter1"/>
    <w:link w:val="996"/>
    <w:uiPriority w:val="0"/>
    <w:semiHidden/>
    <w:qFormat/>
  </w:style>
  <w:style w:type="numbering" w:styleId="176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59" textRotate="1"/>
    <customShpInfo spid="_x0000_s2053" textRotate="1"/>
    <customShpInfo spid="_x0000_s2052" textRotate="1"/>
    <customShpInfo spid="_x0000_s2051" textRotate="1"/>
    <customShpInfo spid="_x0000_s1026"/>
    <customShpInfo spid="_x0000_s2056" textRotate="1"/>
    <customShpInfo spid="_x0000_s205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刘书</dc:creator>
  <cp:lastModifiedBy>孙锡丹</cp:lastModifiedBy>
  <cp:revision>4</cp:revision>
  <dcterms:created xsi:type="dcterms:W3CDTF">2022-05-30T08:03:00Z</dcterms:created>
  <dcterms:modified xsi:type="dcterms:W3CDTF">2026-10-08T07:16:32Z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eyJoZGlkIjoiN2ZkN2U0NTE2ZWZjNGNkOGYwMTY5ODIwZjEyYjUxNGMiLCJ1c2VySWQiOiIxMDMxODc3OTQ4In0=</vt:lpwstr>
  </property>
  <property fmtid="{D5CDD505-2E9C-101B-9397-08002B2CF9AE}" pid="3" name="KSOProductBuildVer">
    <vt:lpwstr>2052-12.1.0.28505</vt:lpwstr>
  </property>
  <property fmtid="{D5CDD505-2E9C-101B-9397-08002B2CF9AE}" pid="4" name="ICV">
    <vt:lpwstr>C439FA30F3E94333A72A3218323E5581_12</vt:lpwstr>
  </property>
</Properties>
</file>