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r/>
      <w:r/>
    </w:p>
    <w:p>
      <w:r/>
      <w:r/>
    </w:p>
    <w:p>
      <w:r/>
      <w:r/>
    </w:p>
    <w:p>
      <w:pPr>
        <w:jc w:val="center"/>
        <w:rPr>
          <w:rFonts w:ascii="黑体" w:hAnsi="黑体" w:eastAsia="黑体"/>
          <w:b/>
          <w:sz w:val="84"/>
          <w:szCs w:val="84"/>
        </w:rPr>
      </w:pPr>
      <w:r>
        <w:rPr>
          <w:rFonts w:ascii="黑体" w:hAnsi="黑体" w:eastAsia="黑体"/>
          <w:b/>
          <w:sz w:val="84"/>
          <w:szCs w:val="84"/>
        </w:rPr>
      </w:r>
      <w:r/>
    </w:p>
    <w:p>
      <w:pPr>
        <w:jc w:val="center"/>
        <w:rPr>
          <w:rFonts w:ascii="黑体" w:hAnsi="黑体" w:eastAsia="黑体"/>
          <w:b/>
          <w:sz w:val="84"/>
          <w:szCs w:val="84"/>
        </w:rPr>
      </w:pPr>
      <w:r>
        <w:rPr>
          <w:rFonts w:hint="eastAsia" w:ascii="黑体" w:hAnsi="黑体" w:eastAsia="黑体"/>
          <w:b/>
          <w:sz w:val="84"/>
          <w:szCs w:val="84"/>
        </w:rPr>
        <w:t xml:space="preserve">招　标　文　件</w:t>
      </w:r>
      <w:r/>
    </w:p>
    <w:p>
      <w:pPr>
        <w:ind w:firstLine="2249"/>
        <w:jc w:val="left"/>
        <w:spacing w:line="480" w:lineRule="auto"/>
        <w:rPr>
          <w:rFonts w:ascii="Arial" w:hAnsi="Arial" w:eastAsia="宋体" w:cs="Times New Roman"/>
          <w:b/>
          <w:bCs/>
          <w:color w:val="000000"/>
          <w:sz w:val="32"/>
          <w:szCs w:val="24"/>
        </w:rPr>
      </w:pPr>
      <w:r>
        <w:rPr>
          <w:rFonts w:ascii="Arial" w:hAnsi="Arial" w:eastAsia="宋体" w:cs="Times New Roman"/>
          <w:b/>
          <w:bCs/>
          <w:color w:val="000000"/>
          <w:sz w:val="32"/>
          <w:szCs w:val="24"/>
        </w:rPr>
      </w:r>
      <w:r/>
    </w:p>
    <w:p>
      <w:pPr>
        <w:ind w:firstLine="2249"/>
        <w:jc w:val="left"/>
        <w:spacing w:line="480" w:lineRule="auto"/>
        <w:rPr>
          <w:rFonts w:ascii="Arial" w:hAnsi="Arial" w:eastAsia="宋体" w:cs="Times New Roman"/>
          <w:b/>
          <w:bCs/>
          <w:color w:val="000000"/>
          <w:sz w:val="32"/>
          <w:szCs w:val="24"/>
        </w:rPr>
      </w:pPr>
      <w:r>
        <w:rPr>
          <w:rFonts w:ascii="Arial" w:hAnsi="Arial" w:eastAsia="宋体" w:cs="Times New Roman"/>
          <w:b/>
          <w:bCs/>
          <w:color w:val="000000"/>
          <w:sz w:val="32"/>
          <w:szCs w:val="24"/>
        </w:rPr>
      </w:r>
      <w:r/>
    </w:p>
    <w:p>
      <w:pPr>
        <w:jc w:val="left"/>
        <w:spacing w:line="480" w:lineRule="auto"/>
        <w:rPr>
          <w:rFonts w:ascii="Arial" w:hAnsi="Arial" w:eastAsia="宋体" w:cs="Times New Roman"/>
          <w:b/>
          <w:bCs/>
          <w:color w:val="000000"/>
          <w:sz w:val="32"/>
          <w:szCs w:val="24"/>
        </w:rPr>
      </w:pPr>
      <w:r>
        <w:rPr>
          <w:rFonts w:ascii="Arial" w:hAnsi="Arial" w:eastAsia="宋体" w:cs="Times New Roman"/>
          <w:b/>
          <w:bCs/>
          <w:color w:val="000000"/>
          <w:sz w:val="32"/>
          <w:szCs w:val="24"/>
        </w:rPr>
      </w:r>
      <w:r/>
    </w:p>
    <w:p>
      <w:pPr>
        <w:jc w:val="left"/>
        <w:spacing w:line="480" w:lineRule="auto"/>
        <w:rPr>
          <w:rFonts w:ascii="Arial" w:hAnsi="Arial" w:eastAsia="宋体" w:cs="Times New Roman"/>
          <w:b/>
          <w:bCs/>
          <w:color w:val="000000"/>
          <w:sz w:val="32"/>
          <w:szCs w:val="24"/>
        </w:rPr>
      </w:pPr>
      <w:r>
        <w:rPr>
          <w:rFonts w:ascii="Arial" w:hAnsi="Arial" w:eastAsia="宋体" w:cs="Times New Roman"/>
          <w:b/>
          <w:bCs/>
          <w:color w:val="000000"/>
          <w:sz w:val="32"/>
          <w:szCs w:val="24"/>
        </w:rPr>
      </w:r>
      <w:r/>
    </w:p>
    <w:p>
      <w:pPr>
        <w:ind w:firstLine="2249"/>
        <w:jc w:val="left"/>
        <w:spacing w:line="480" w:lineRule="auto"/>
        <w:rPr>
          <w:rFonts w:ascii="Arial" w:hAnsi="Arial" w:eastAsia="宋体" w:cs="Times New Roman"/>
          <w:b/>
          <w:bCs/>
          <w:color w:val="000000"/>
          <w:sz w:val="32"/>
          <w:szCs w:val="24"/>
        </w:rPr>
      </w:pPr>
      <w:r>
        <w:rPr>
          <w:rFonts w:ascii="Arial" w:hAnsi="Arial" w:eastAsia="宋体" w:cs="Times New Roman"/>
          <w:b/>
          <w:bCs/>
          <w:color w:val="000000"/>
          <w:sz w:val="32"/>
          <w:szCs w:val="24"/>
        </w:rPr>
      </w:r>
      <w:r/>
    </w:p>
    <w:tbl>
      <w:tblPr>
        <w:tblStyle w:val="862"/>
        <w:tblW w:w="0" w:type="auto"/>
        <w:tblInd w:w="717"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Look w:val="04A0" w:firstRow="1" w:lastRow="0" w:firstColumn="1" w:lastColumn="0" w:noHBand="0" w:noVBand="1"/>
      </w:tblPr>
      <w:tblGrid>
        <w:gridCol w:w="1959"/>
        <w:gridCol w:w="5412"/>
      </w:tblGrid>
      <w:tr>
        <w:trPr/>
        <w:tc>
          <w:tcPr>
            <w:tcW w:w="1959" w:type="dxa"/>
            <w:textDirection w:val="lrTb"/>
            <w:noWrap w:val="false"/>
          </w:tcPr>
          <w:p>
            <w:pPr>
              <w:jc w:val="left"/>
              <w:spacing w:line="480" w:lineRule="auto"/>
              <w:rPr>
                <w:rFonts w:ascii="Arial" w:hAnsi="Arial" w:eastAsia="宋体" w:cs="Times New Roman"/>
                <w:b/>
                <w:bCs/>
                <w:color w:val="000000"/>
                <w:sz w:val="32"/>
                <w:szCs w:val="24"/>
              </w:rPr>
            </w:pPr>
            <w:r>
              <w:rPr>
                <w:rFonts w:hint="eastAsia" w:ascii="Arial" w:hAnsi="Arial" w:eastAsia="宋体" w:cs="Times New Roman"/>
                <w:b/>
                <w:bCs/>
                <w:color w:val="000000"/>
                <w:sz w:val="32"/>
                <w:szCs w:val="24"/>
              </w:rPr>
              <w:t xml:space="preserve">项目名称：</w:t>
            </w:r>
            <w:r/>
          </w:p>
        </w:tc>
        <w:tc>
          <w:tcPr>
            <w:tcW w:w="5412" w:type="dxa"/>
            <w:textDirection w:val="lrTb"/>
            <w:noWrap w:val="false"/>
          </w:tcPr>
          <w:p>
            <w:pPr>
              <w:jc w:val="left"/>
              <w:spacing w:line="480" w:lineRule="auto"/>
              <w:rPr>
                <w:rFonts w:ascii="Arial" w:hAnsi="Arial" w:eastAsia="宋体" w:cs="Times New Roman"/>
                <w:b/>
                <w:bCs/>
                <w:color w:val="000000"/>
                <w:sz w:val="32"/>
                <w:szCs w:val="24"/>
              </w:rPr>
            </w:pPr>
            <w:r>
              <w:rPr>
                <w:rFonts w:hint="eastAsia" w:ascii="Arial" w:hAnsi="Arial" w:eastAsia="宋体" w:cs="Times New Roman"/>
                <w:b/>
                <w:bCs/>
                <w:color w:val="000000"/>
                <w:sz w:val="32"/>
                <w:szCs w:val="24"/>
              </w:rPr>
              <w:t xml:space="preserve">连云港市中级人民法院数字法院项目（非专门面向中小企业）</w:t>
            </w:r>
            <w:r/>
          </w:p>
        </w:tc>
      </w:tr>
      <w:tr>
        <w:trPr/>
        <w:tc>
          <w:tcPr>
            <w:tcW w:w="1959" w:type="dxa"/>
            <w:textDirection w:val="lrTb"/>
            <w:noWrap w:val="false"/>
          </w:tcPr>
          <w:p>
            <w:pPr>
              <w:jc w:val="left"/>
              <w:spacing w:line="480" w:lineRule="auto"/>
              <w:rPr>
                <w:rFonts w:ascii="Arial" w:hAnsi="Arial" w:eastAsia="宋体" w:cs="Times New Roman"/>
                <w:b/>
                <w:bCs/>
                <w:color w:val="000000"/>
                <w:sz w:val="32"/>
                <w:szCs w:val="24"/>
              </w:rPr>
            </w:pPr>
            <w:r>
              <w:rPr>
                <w:rFonts w:hint="eastAsia" w:ascii="Arial" w:hAnsi="Arial" w:eastAsia="宋体" w:cs="Times New Roman"/>
                <w:b/>
                <w:bCs/>
                <w:sz w:val="32"/>
                <w:szCs w:val="24"/>
              </w:rPr>
              <w:t xml:space="preserve">项目编号：</w:t>
            </w:r>
            <w:r/>
          </w:p>
        </w:tc>
        <w:tc>
          <w:tcPr>
            <w:tcW w:w="5412" w:type="dxa"/>
            <w:textDirection w:val="lrTb"/>
            <w:noWrap w:val="false"/>
          </w:tcPr>
          <w:p>
            <w:pPr>
              <w:jc w:val="left"/>
              <w:spacing w:line="480" w:lineRule="auto"/>
              <w:rPr>
                <w:rFonts w:ascii="Arial" w:hAnsi="Arial" w:eastAsia="宋体" w:cs="Times New Roman"/>
                <w:b/>
                <w:bCs/>
                <w:color w:val="000000"/>
                <w:sz w:val="32"/>
                <w:szCs w:val="24"/>
              </w:rPr>
            </w:pPr>
            <w:r>
              <w:rPr>
                <w:rFonts w:hint="eastAsia" w:ascii="Arial" w:hAnsi="Arial" w:eastAsia="宋体" w:cs="Times New Roman"/>
                <w:b/>
                <w:bCs/>
                <w:color w:val="000000"/>
                <w:sz w:val="32"/>
                <w:szCs w:val="24"/>
              </w:rPr>
              <w:t xml:space="preserve">JSZC-320700-JZCG-G2026-0073</w:t>
            </w:r>
            <w:r/>
          </w:p>
        </w:tc>
      </w:tr>
    </w:tbl>
    <w:p>
      <w:pPr>
        <w:ind w:firstLine="2249"/>
        <w:jc w:val="left"/>
        <w:spacing w:line="480" w:lineRule="auto"/>
        <w:rPr>
          <w:rFonts w:ascii="Arial" w:hAnsi="Arial" w:eastAsia="宋体" w:cs="Times New Roman"/>
          <w:b/>
          <w:bCs/>
          <w:color w:val="000000"/>
          <w:sz w:val="32"/>
          <w:szCs w:val="24"/>
        </w:rPr>
      </w:pPr>
      <w:r>
        <w:rPr>
          <w:rFonts w:ascii="Arial" w:hAnsi="Arial" w:eastAsia="宋体" w:cs="Times New Roman"/>
          <w:b/>
          <w:bCs/>
          <w:color w:val="000000"/>
          <w:sz w:val="32"/>
          <w:szCs w:val="24"/>
        </w:rPr>
      </w:r>
      <w:r/>
    </w:p>
    <w:p>
      <w:pPr>
        <w:spacing w:line="480" w:lineRule="auto"/>
        <w:rPr>
          <w:rFonts w:ascii="黑体" w:hAnsi="Arial" w:eastAsia="黑体" w:cs="Times New Roman"/>
          <w:b/>
          <w:color w:val="000000"/>
          <w:sz w:val="44"/>
          <w:szCs w:val="21"/>
        </w:rPr>
      </w:pPr>
      <w:r>
        <w:rPr>
          <w:rFonts w:ascii="黑体" w:hAnsi="Arial" w:eastAsia="黑体" w:cs="Times New Roman"/>
          <w:b/>
          <w:color w:val="000000"/>
          <w:sz w:val="44"/>
          <w:szCs w:val="21"/>
        </w:rPr>
      </w:r>
      <w:r/>
    </w:p>
    <w:p>
      <w:pPr>
        <w:spacing w:line="480" w:lineRule="auto"/>
        <w:rPr>
          <w:rFonts w:ascii="黑体" w:hAnsi="Arial" w:eastAsia="黑体" w:cs="Times New Roman"/>
          <w:b/>
          <w:color w:val="000000"/>
          <w:sz w:val="44"/>
          <w:szCs w:val="21"/>
        </w:rPr>
      </w:pPr>
      <w:r>
        <w:rPr>
          <w:rFonts w:ascii="黑体" w:hAnsi="Arial" w:eastAsia="黑体" w:cs="Times New Roman"/>
          <w:b/>
          <w:color w:val="000000"/>
          <w:sz w:val="44"/>
          <w:szCs w:val="21"/>
        </w:rPr>
      </w:r>
      <w:r/>
    </w:p>
    <w:p>
      <w:pPr>
        <w:jc w:val="center"/>
        <w:spacing w:before="120" w:after="120" w:line="360" w:lineRule="auto"/>
        <w:rPr>
          <w:rFonts w:ascii="Arial" w:hAnsi="Arial" w:eastAsia="宋体" w:cs="Times New Roman"/>
          <w:b/>
          <w:bCs/>
          <w:color w:val="000000"/>
          <w:sz w:val="32"/>
          <w:szCs w:val="24"/>
        </w:rPr>
      </w:pPr>
      <w:r>
        <w:rPr>
          <w:rFonts w:hint="eastAsia" w:ascii="Arial" w:hAnsi="Arial" w:eastAsia="宋体" w:cs="Times New Roman"/>
          <w:b/>
          <w:bCs/>
          <w:color w:val="000000"/>
          <w:sz w:val="32"/>
          <w:szCs w:val="24"/>
        </w:rPr>
        <w:t xml:space="preserve">连云港市公共资源交易中心</w:t>
      </w:r>
      <w:r/>
    </w:p>
    <w:p>
      <w:pPr>
        <w:jc w:val="center"/>
        <w:spacing w:before="120" w:after="120" w:line="360" w:lineRule="auto"/>
        <w:rPr>
          <w:rFonts w:asciiTheme="minorEastAsia" w:hAnsiTheme="minorEastAsia"/>
          <w:sz w:val="24"/>
        </w:rPr>
      </w:pPr>
      <w:r>
        <w:rPr>
          <w:rFonts w:hint="eastAsia" w:ascii="Arial" w:hAnsi="Arial" w:eastAsia="宋体" w:cs="Times New Roman"/>
          <w:b/>
          <w:bCs/>
          <w:color w:val="000000"/>
          <w:sz w:val="32"/>
          <w:szCs w:val="24"/>
        </w:rPr>
        <w:t xml:space="preserve">2026</w:t>
      </w:r>
      <w:r>
        <w:rPr>
          <w:rFonts w:hint="eastAsia" w:ascii="Arial" w:hAnsi="Arial" w:eastAsia="宋体" w:cs="Times New Roman"/>
          <w:b/>
          <w:bCs/>
          <w:color w:val="000000"/>
          <w:sz w:val="32"/>
          <w:szCs w:val="24"/>
        </w:rPr>
        <w:t xml:space="preserve">年</w:t>
      </w:r>
      <w:r>
        <w:rPr>
          <w:rFonts w:hint="eastAsia" w:ascii="Arial" w:hAnsi="Arial" w:eastAsia="宋体" w:cs="Times New Roman"/>
          <w:b/>
          <w:bCs/>
          <w:color w:val="000000"/>
          <w:sz w:val="32"/>
          <w:szCs w:val="24"/>
        </w:rPr>
        <w:t xml:space="preserve">9</w:t>
      </w:r>
      <w:r>
        <w:rPr>
          <w:rFonts w:hint="eastAsia" w:ascii="Arial" w:hAnsi="Arial" w:eastAsia="宋体" w:cs="Times New Roman"/>
          <w:b/>
          <w:bCs/>
          <w:color w:val="000000"/>
          <w:sz w:val="32"/>
          <w:szCs w:val="24"/>
        </w:rPr>
        <w:t xml:space="preserve">月</w:t>
      </w:r>
      <w:r>
        <w:br w:type="page" w:clear="all"/>
      </w:r>
      <w:r>
        <w:rPr>
          <w:rFonts w:asciiTheme="minorEastAsia" w:hAnsiTheme="minorEastAsia"/>
          <w:sz w:val="24"/>
        </w:rPr>
        <w:fldChar w:fldCharType="begin"/>
      </w:r>
      <w:r>
        <w:rPr>
          <w:rFonts w:asciiTheme="minorEastAsia" w:hAnsiTheme="minorEastAsia"/>
          <w:sz w:val="24"/>
        </w:rPr>
        <w:instrText xml:space="preserve"> TOC \o "1-1" \u </w:instrText>
      </w:r>
      <w:r>
        <w:rPr>
          <w:rFonts w:asciiTheme="minorEastAsia" w:hAnsiTheme="minorEastAsia"/>
          <w:sz w:val="24"/>
        </w:rPr>
        <w:fldChar w:fldCharType="separate"/>
      </w:r>
      <w:r/>
    </w:p>
    <w:p>
      <w:pPr>
        <w:jc w:val="center"/>
        <w:keepLines/>
        <w:keepNext/>
        <w:spacing w:line="360" w:lineRule="auto"/>
        <w:rPr>
          <w:rFonts w:asciiTheme="minorEastAsia" w:hAnsiTheme="minorEastAsia"/>
          <w:bCs/>
          <w:sz w:val="44"/>
          <w:szCs w:val="44"/>
        </w:rPr>
        <w:outlineLvl w:val="0"/>
      </w:pPr>
      <w:r>
        <w:rPr>
          <w:rFonts w:hint="eastAsia" w:asciiTheme="minorEastAsia" w:hAnsiTheme="minorEastAsia"/>
          <w:bCs/>
          <w:sz w:val="44"/>
          <w:szCs w:val="44"/>
        </w:rPr>
        <w:t xml:space="preserve">目  录</w:t>
      </w:r>
      <w:r/>
    </w:p>
    <w:p>
      <w:pPr>
        <w:pStyle w:val="858"/>
        <w:rPr>
          <w:sz w:val="28"/>
        </w:rPr>
      </w:pPr>
      <w:r>
        <w:rPr>
          <w:sz w:val="28"/>
        </w:rPr>
      </w:r>
      <w:r/>
    </w:p>
    <w:p>
      <w:pPr>
        <w:pStyle w:val="858"/>
        <w:rPr>
          <w:sz w:val="28"/>
        </w:rPr>
      </w:pPr>
      <w:r>
        <w:rPr>
          <w:rFonts w:hint="eastAsia"/>
          <w:sz w:val="28"/>
        </w:rPr>
        <w:t xml:space="preserve">第一章</w:t>
      </w:r>
      <w:r>
        <w:rPr>
          <w:rFonts w:hint="eastAsia"/>
          <w:sz w:val="28"/>
        </w:rPr>
        <w:t xml:space="preserve"> </w:t>
      </w:r>
      <w:r>
        <w:rPr>
          <w:rFonts w:hint="eastAsia"/>
          <w:sz w:val="28"/>
        </w:rPr>
        <w:t xml:space="preserve">投标邀请</w:t>
      </w:r>
      <w:r>
        <w:rPr>
          <w:rFonts w:hint="eastAsia"/>
          <w:sz w:val="28"/>
        </w:rPr>
        <w:t xml:space="preserve">...................................................................................</w:t>
      </w:r>
      <w:r>
        <w:rPr>
          <w:sz w:val="28"/>
        </w:rPr>
        <w:fldChar w:fldCharType="begin"/>
      </w:r>
      <w:r>
        <w:rPr>
          <w:sz w:val="28"/>
        </w:rPr>
        <w:instrText xml:space="preserve"> PAGEREF _Toc162361610 \h </w:instrText>
      </w:r>
      <w:r>
        <w:rPr>
          <w:sz w:val="28"/>
        </w:rPr>
        <w:fldChar w:fldCharType="separate"/>
      </w:r>
      <w:r>
        <w:rPr>
          <w:sz w:val="28"/>
        </w:rPr>
        <w:t xml:space="preserve">1</w:t>
      </w:r>
      <w:r>
        <w:rPr>
          <w:sz w:val="28"/>
        </w:rPr>
        <w:fldChar w:fldCharType="end"/>
      </w:r>
      <w:r/>
    </w:p>
    <w:p>
      <w:pPr>
        <w:pStyle w:val="858"/>
        <w:rPr>
          <w:sz w:val="28"/>
        </w:rPr>
      </w:pPr>
      <w:r>
        <w:rPr>
          <w:rFonts w:hint="eastAsia"/>
          <w:sz w:val="28"/>
        </w:rPr>
        <w:t xml:space="preserve">第二章</w:t>
      </w:r>
      <w:r>
        <w:rPr>
          <w:rFonts w:hint="eastAsia"/>
          <w:sz w:val="28"/>
        </w:rPr>
        <w:t xml:space="preserve"> </w:t>
      </w:r>
      <w:r>
        <w:rPr>
          <w:rFonts w:hint="eastAsia"/>
          <w:sz w:val="28"/>
        </w:rPr>
        <w:t xml:space="preserve">投标人须知</w:t>
      </w:r>
      <w:r>
        <w:rPr>
          <w:rFonts w:hint="eastAsia"/>
          <w:sz w:val="28"/>
        </w:rPr>
        <w:t xml:space="preserve">...............................................................................</w:t>
      </w:r>
      <w:r>
        <w:rPr>
          <w:sz w:val="28"/>
        </w:rPr>
        <w:fldChar w:fldCharType="begin"/>
      </w:r>
      <w:r>
        <w:rPr>
          <w:sz w:val="28"/>
        </w:rPr>
        <w:instrText xml:space="preserve"> PAGEREF _Toc162361611 \h </w:instrText>
      </w:r>
      <w:r>
        <w:rPr>
          <w:sz w:val="28"/>
        </w:rPr>
        <w:fldChar w:fldCharType="separate"/>
      </w:r>
      <w:r>
        <w:rPr>
          <w:sz w:val="28"/>
        </w:rPr>
        <w:t xml:space="preserve">6</w:t>
      </w:r>
      <w:r>
        <w:rPr>
          <w:sz w:val="28"/>
        </w:rPr>
        <w:fldChar w:fldCharType="end"/>
      </w:r>
      <w:r/>
    </w:p>
    <w:p>
      <w:pPr>
        <w:pStyle w:val="858"/>
        <w:rPr>
          <w:sz w:val="28"/>
        </w:rPr>
      </w:pPr>
      <w:r>
        <w:rPr>
          <w:rFonts w:hint="eastAsia"/>
          <w:sz w:val="28"/>
        </w:rPr>
        <w:t xml:space="preserve">第三章</w:t>
      </w:r>
      <w:r>
        <w:rPr>
          <w:rFonts w:hint="eastAsia"/>
          <w:sz w:val="28"/>
        </w:rPr>
        <w:t xml:space="preserve"> </w:t>
      </w:r>
      <w:r>
        <w:rPr>
          <w:rFonts w:hint="eastAsia"/>
          <w:sz w:val="28"/>
        </w:rPr>
        <w:t xml:space="preserve">合同文本</w:t>
      </w:r>
      <w:r>
        <w:rPr>
          <w:rFonts w:hint="eastAsia"/>
          <w:sz w:val="28"/>
        </w:rPr>
        <w:t xml:space="preserve">.................................................................................</w:t>
      </w:r>
      <w:r>
        <w:rPr>
          <w:sz w:val="28"/>
        </w:rPr>
        <w:fldChar w:fldCharType="begin"/>
      </w:r>
      <w:r>
        <w:rPr>
          <w:sz w:val="28"/>
        </w:rPr>
        <w:instrText xml:space="preserve"> PAGEREF _Toc162361612 \h </w:instrText>
      </w:r>
      <w:r>
        <w:rPr>
          <w:sz w:val="28"/>
        </w:rPr>
        <w:fldChar w:fldCharType="separate"/>
      </w:r>
      <w:r>
        <w:rPr>
          <w:sz w:val="28"/>
        </w:rPr>
        <w:t xml:space="preserve">25</w:t>
      </w:r>
      <w:r>
        <w:rPr>
          <w:sz w:val="28"/>
        </w:rPr>
        <w:fldChar w:fldCharType="end"/>
      </w:r>
      <w:r/>
    </w:p>
    <w:p>
      <w:pPr>
        <w:pStyle w:val="858"/>
        <w:rPr>
          <w:sz w:val="28"/>
        </w:rPr>
      </w:pPr>
      <w:r>
        <w:rPr>
          <w:rFonts w:hint="eastAsia"/>
          <w:sz w:val="28"/>
        </w:rPr>
        <w:t xml:space="preserve">第四章</w:t>
      </w:r>
      <w:r>
        <w:rPr>
          <w:rFonts w:hint="eastAsia"/>
          <w:sz w:val="28"/>
        </w:rPr>
        <w:t xml:space="preserve"> </w:t>
      </w:r>
      <w:r>
        <w:rPr>
          <w:rFonts w:hint="eastAsia"/>
          <w:sz w:val="28"/>
        </w:rPr>
        <w:t xml:space="preserve">采购需求</w:t>
      </w:r>
      <w:r>
        <w:rPr>
          <w:rFonts w:hint="eastAsia"/>
          <w:sz w:val="28"/>
        </w:rPr>
        <w:t xml:space="preserve">.................................................................................</w:t>
      </w:r>
      <w:r>
        <w:rPr>
          <w:sz w:val="28"/>
        </w:rPr>
        <w:fldChar w:fldCharType="begin"/>
      </w:r>
      <w:r>
        <w:rPr>
          <w:sz w:val="28"/>
        </w:rPr>
        <w:instrText xml:space="preserve"> PAGEREF _Toc162361613 \h </w:instrText>
      </w:r>
      <w:r>
        <w:rPr>
          <w:sz w:val="28"/>
        </w:rPr>
        <w:fldChar w:fldCharType="separate"/>
      </w:r>
      <w:r>
        <w:rPr>
          <w:sz w:val="28"/>
        </w:rPr>
        <w:t xml:space="preserve">30</w:t>
      </w:r>
      <w:r>
        <w:rPr>
          <w:sz w:val="28"/>
        </w:rPr>
        <w:fldChar w:fldCharType="end"/>
      </w:r>
      <w:r/>
    </w:p>
    <w:p>
      <w:pPr>
        <w:pStyle w:val="858"/>
        <w:rPr>
          <w:sz w:val="28"/>
        </w:rPr>
      </w:pPr>
      <w:r>
        <w:rPr>
          <w:rFonts w:hint="eastAsia"/>
          <w:sz w:val="28"/>
        </w:rPr>
        <w:t xml:space="preserve">第五章</w:t>
      </w:r>
      <w:r>
        <w:rPr>
          <w:rFonts w:hint="eastAsia"/>
          <w:sz w:val="28"/>
        </w:rPr>
        <w:t xml:space="preserve"> </w:t>
      </w:r>
      <w:r>
        <w:rPr>
          <w:rFonts w:hint="eastAsia"/>
          <w:sz w:val="28"/>
        </w:rPr>
        <w:t xml:space="preserve">评标方法与评标标准</w:t>
      </w:r>
      <w:r>
        <w:rPr>
          <w:rFonts w:hint="eastAsia"/>
          <w:sz w:val="28"/>
        </w:rPr>
        <w:t xml:space="preserve">.............................................................</w:t>
      </w:r>
      <w:r>
        <w:rPr>
          <w:sz w:val="28"/>
        </w:rPr>
        <w:fldChar w:fldCharType="begin"/>
      </w:r>
      <w:r>
        <w:rPr>
          <w:sz w:val="28"/>
        </w:rPr>
        <w:instrText xml:space="preserve"> PAGEREF _Toc162361614 \h </w:instrText>
      </w:r>
      <w:r>
        <w:rPr>
          <w:sz w:val="28"/>
        </w:rPr>
        <w:fldChar w:fldCharType="separate"/>
      </w:r>
      <w:r>
        <w:rPr>
          <w:sz w:val="28"/>
        </w:rPr>
        <w:t xml:space="preserve">55</w:t>
      </w:r>
      <w:r>
        <w:rPr>
          <w:sz w:val="28"/>
        </w:rPr>
        <w:fldChar w:fldCharType="end"/>
      </w:r>
      <w:r/>
    </w:p>
    <w:p>
      <w:pPr>
        <w:pStyle w:val="858"/>
        <w:rPr>
          <w:sz w:val="28"/>
        </w:rPr>
      </w:pPr>
      <w:r>
        <w:rPr>
          <w:rFonts w:hint="eastAsia"/>
          <w:sz w:val="28"/>
        </w:rPr>
        <w:t xml:space="preserve">第六章</w:t>
      </w:r>
      <w:r>
        <w:rPr>
          <w:rFonts w:hint="eastAsia"/>
          <w:sz w:val="28"/>
        </w:rPr>
        <w:t xml:space="preserve"> </w:t>
      </w:r>
      <w:r>
        <w:rPr>
          <w:rFonts w:hint="eastAsia"/>
          <w:sz w:val="28"/>
        </w:rPr>
        <w:t xml:space="preserve">投标文件格式</w:t>
      </w:r>
      <w:r>
        <w:rPr>
          <w:rFonts w:hint="eastAsia"/>
          <w:sz w:val="28"/>
        </w:rPr>
        <w:t xml:space="preserve">.........................................................................</w:t>
      </w:r>
      <w:r>
        <w:rPr>
          <w:sz w:val="28"/>
        </w:rPr>
        <w:fldChar w:fldCharType="begin"/>
      </w:r>
      <w:r>
        <w:rPr>
          <w:sz w:val="28"/>
        </w:rPr>
        <w:instrText xml:space="preserve"> PAGEREF _Toc162361615 \h </w:instrText>
      </w:r>
      <w:r>
        <w:rPr>
          <w:sz w:val="28"/>
        </w:rPr>
        <w:fldChar w:fldCharType="separate"/>
      </w:r>
      <w:r>
        <w:rPr>
          <w:sz w:val="28"/>
        </w:rPr>
        <w:t xml:space="preserve">84</w:t>
      </w:r>
      <w:r>
        <w:rPr>
          <w:sz w:val="28"/>
        </w:rPr>
        <w:fldChar w:fldCharType="end"/>
      </w:r>
      <w:r/>
    </w:p>
    <w:p>
      <w:pPr>
        <w:jc w:val="left"/>
        <w:spacing w:line="360" w:lineRule="auto"/>
        <w:widowControl/>
        <w:rPr>
          <w:rFonts w:asciiTheme="minorEastAsia" w:hAnsiTheme="minorEastAsia"/>
          <w:sz w:val="28"/>
        </w:rPr>
      </w:pPr>
      <w:r>
        <w:rPr>
          <w:rFonts w:asciiTheme="minorEastAsia" w:hAnsiTheme="minorEastAsia"/>
          <w:sz w:val="24"/>
        </w:rPr>
        <w:fldChar w:fldCharType="end"/>
      </w:r>
      <w:r>
        <w:rPr>
          <w:rFonts w:asciiTheme="minorEastAsia" w:hAnsiTheme="minorEastAsia"/>
          <w:sz w:val="28"/>
        </w:rPr>
        <w:br w:type="page" w:clear="all"/>
      </w:r>
      <w:r/>
    </w:p>
    <w:p>
      <w:pPr>
        <w:pStyle w:val="843"/>
        <w:jc w:val="center"/>
        <w:spacing w:line="360" w:lineRule="auto"/>
        <w:rPr>
          <w:rFonts w:ascii="黑体" w:hAnsi="黑体" w:eastAsia="黑体"/>
          <w:b w:val="0"/>
        </w:rPr>
        <w:sectPr>
          <w:footerReference w:type="default" r:id="rId8"/>
          <w:footnotePr/>
          <w:endnotePr/>
          <w:type w:val="nextPage"/>
          <w:pgSz w:w="11906" w:h="16838" w:orient="portrait"/>
          <w:pgMar w:top="1440" w:right="1800" w:bottom="1440" w:left="1800" w:header="851" w:footer="992" w:gutter="0"/>
          <w:cols w:num="1" w:sep="0" w:space="425" w:equalWidth="1"/>
          <w:docGrid w:linePitch="360"/>
        </w:sectPr>
      </w:pPr>
      <w:r>
        <w:rPr>
          <w:rFonts w:ascii="黑体" w:hAnsi="黑体" w:eastAsia="黑体"/>
          <w:b w:val="0"/>
        </w:rPr>
      </w:r>
      <w:r/>
    </w:p>
    <w:p>
      <w:pPr>
        <w:pStyle w:val="843"/>
        <w:jc w:val="center"/>
        <w:spacing w:line="360" w:lineRule="auto"/>
        <w:rPr>
          <w:rFonts w:ascii="黑体" w:hAnsi="黑体" w:eastAsia="黑体"/>
          <w:b w:val="0"/>
        </w:rPr>
      </w:pPr>
      <w:r/>
      <w:bookmarkStart w:id="0" w:name="_Toc162361610"/>
      <w:r>
        <w:rPr>
          <w:rFonts w:hint="eastAsia" w:ascii="黑体" w:hAnsi="黑体" w:eastAsia="黑体"/>
          <w:b w:val="0"/>
        </w:rPr>
        <w:t xml:space="preserve">第一章  投标邀请</w:t>
      </w:r>
      <w:bookmarkEnd w:id="0"/>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受连云港市大数据管理中心的委托，连云港市公共资源交易中心就连云港市中级人民法院数字法院项目（非专门面向中小企业）（项目编号：JSZC-320700-JZCG-G2026-0073）项目进行公开招标采购，欢迎符合条件的供应商投标。</w:t>
      </w:r>
      <w:r/>
    </w:p>
    <w:tbl>
      <w:tblPr>
        <w:tblStyle w:val="862"/>
        <w:tblW w:w="0" w:type="auto"/>
        <w:tblInd w:w="150" w:type="dxa"/>
        <w:tblLook w:val="04A0" w:firstRow="1" w:lastRow="0" w:firstColumn="1" w:lastColumn="0" w:noHBand="0" w:noVBand="1"/>
      </w:tblPr>
      <w:tblGrid>
        <w:gridCol w:w="8372"/>
      </w:tblGrid>
      <w:tr>
        <w:trPr/>
        <w:tc>
          <w:tcPr>
            <w:tcW w:w="9597" w:type="dxa"/>
            <w:textDirection w:val="lrTb"/>
            <w:noWrap w:val="false"/>
          </w:tcPr>
          <w:p>
            <w:pPr>
              <w:spacing w:line="500" w:lineRule="exact"/>
              <w:rPr>
                <w:rFonts w:asciiTheme="minorEastAsia" w:hAnsiTheme="minorEastAsia"/>
                <w:sz w:val="24"/>
                <w:szCs w:val="24"/>
              </w:rPr>
            </w:pPr>
            <w:r>
              <w:rPr>
                <w:rFonts w:hint="eastAsia" w:asciiTheme="minorEastAsia" w:hAnsiTheme="minorEastAsia"/>
                <w:sz w:val="24"/>
                <w:szCs w:val="24"/>
              </w:rPr>
              <w:t xml:space="preserve">项目概况</w:t>
            </w:r>
            <w:r/>
          </w:p>
          <w:p>
            <w:pPr>
              <w:spacing w:line="500" w:lineRule="exact"/>
              <w:rPr>
                <w:rFonts w:asciiTheme="minorEastAsia" w:hAnsiTheme="minorEastAsia"/>
                <w:sz w:val="24"/>
                <w:szCs w:val="24"/>
              </w:rPr>
            </w:pPr>
            <w:r>
              <w:rPr>
                <w:rFonts w:hint="eastAsia" w:asciiTheme="minorEastAsia" w:hAnsiTheme="minorEastAsia"/>
                <w:b/>
                <w:bCs/>
                <w:sz w:val="24"/>
                <w:szCs w:val="24"/>
                <w:u w:val="single"/>
              </w:rPr>
              <w:t xml:space="preserve">连云港市中级人民法院数字法院项目（非专门面向中小企业）</w:t>
            </w:r>
            <w:r>
              <w:rPr>
                <w:rFonts w:hint="eastAsia" w:asciiTheme="minorEastAsia" w:hAnsiTheme="minorEastAsia"/>
                <w:sz w:val="24"/>
                <w:szCs w:val="24"/>
              </w:rPr>
              <w:t xml:space="preserve">招标项目的潜在投标人应在</w:t>
            </w:r>
            <w:r>
              <w:rPr>
                <w:rFonts w:hint="eastAsia" w:asciiTheme="minorEastAsia" w:hAnsiTheme="minorEastAsia"/>
                <w:b/>
                <w:sz w:val="24"/>
                <w:szCs w:val="24"/>
                <w:u w:val="single"/>
              </w:rPr>
              <w:t xml:space="preserve">江苏政府采购网</w:t>
            </w:r>
            <w:r>
              <w:rPr>
                <w:rFonts w:hint="eastAsia" w:asciiTheme="minorEastAsia" w:hAnsiTheme="minorEastAsia"/>
                <w:sz w:val="24"/>
                <w:szCs w:val="24"/>
              </w:rPr>
              <w:t xml:space="preserve">自行免费下载招标文件，并于</w:t>
            </w:r>
            <w:r>
              <w:rPr>
                <w:rFonts w:hint="eastAsia" w:asciiTheme="minorEastAsia" w:hAnsiTheme="minorEastAsia"/>
                <w:b/>
                <w:sz w:val="24"/>
                <w:szCs w:val="24"/>
                <w:u w:val="single"/>
              </w:rPr>
              <w:t xml:space="preserve">2026年10月</w:t>
            </w:r>
            <w:r>
              <w:rPr>
                <w:rFonts w:hint="eastAsia" w:asciiTheme="minorEastAsia" w:hAnsiTheme="minorEastAsia"/>
                <w:b/>
                <w:sz w:val="24"/>
                <w:szCs w:val="24"/>
                <w:u w:val="single"/>
              </w:rPr>
              <w:t xml:space="preserve">19</w:t>
            </w:r>
            <w:r>
              <w:rPr>
                <w:rFonts w:hint="eastAsia" w:asciiTheme="minorEastAsia" w:hAnsiTheme="minorEastAsia"/>
                <w:b/>
                <w:sz w:val="24"/>
                <w:szCs w:val="24"/>
                <w:u w:val="single"/>
              </w:rPr>
              <w:t xml:space="preserve">日10:30:00</w:t>
            </w:r>
            <w:r>
              <w:rPr>
                <w:rFonts w:hint="eastAsia" w:asciiTheme="minorEastAsia" w:hAnsiTheme="minorEastAsia"/>
                <w:sz w:val="24"/>
                <w:szCs w:val="24"/>
              </w:rPr>
              <w:t xml:space="preserve">（北京时间）前递交（上传）投标文件。</w:t>
            </w:r>
            <w:r/>
          </w:p>
        </w:tc>
      </w:tr>
    </w:tbl>
    <w:p>
      <w:pPr>
        <w:pStyle w:val="844"/>
        <w:spacing w:before="0" w:after="0" w:line="500" w:lineRule="exact"/>
        <w:rPr>
          <w:rFonts w:asciiTheme="minorEastAsia" w:hAnsiTheme="minorEastAsia" w:eastAsiaTheme="minorEastAsia"/>
        </w:rPr>
      </w:pPr>
      <w:r>
        <w:rPr>
          <w:rFonts w:hint="eastAsia" w:asciiTheme="minorEastAsia" w:hAnsiTheme="minorEastAsia" w:eastAsiaTheme="minorEastAsia"/>
        </w:rPr>
        <w:t xml:space="preserve">一、项目基本情况</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项目编号：JSZC-320700-JZCG-G2026-0073</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项目名称：连云港市中级人民法院数字法院项目（非专门面向中小企业）</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采购方式：公开招标</w:t>
      </w:r>
      <w:r/>
    </w:p>
    <w:p>
      <w:pPr>
        <w:ind w:firstLine="480"/>
        <w:spacing w:line="500" w:lineRule="exact"/>
        <w:rPr>
          <w:rFonts w:cs="Times New Roman" w:asciiTheme="minorEastAsia" w:hAnsiTheme="minorEastAsia"/>
          <w:color w:val="000000"/>
          <w:sz w:val="24"/>
          <w:szCs w:val="24"/>
        </w:rPr>
      </w:pPr>
      <w:r>
        <w:rPr>
          <w:rFonts w:hint="eastAsia" w:asciiTheme="minorEastAsia" w:hAnsiTheme="minorEastAsia"/>
          <w:sz w:val="24"/>
          <w:szCs w:val="24"/>
        </w:rPr>
        <w:t xml:space="preserve">预算金额：人民币238.5万元，采购包1</w:t>
      </w:r>
      <w:r>
        <w:rPr>
          <w:rFonts w:hint="eastAsia" w:cs="Times New Roman" w:asciiTheme="minorEastAsia" w:hAnsiTheme="minorEastAsia"/>
          <w:color w:val="000000"/>
          <w:sz w:val="24"/>
          <w:szCs w:val="24"/>
        </w:rPr>
        <w:t xml:space="preserve">投标报价超过</w:t>
      </w:r>
      <w:r>
        <w:rPr>
          <w:rFonts w:hint="eastAsia" w:cs="Times New Roman" w:asciiTheme="minorEastAsia" w:hAnsiTheme="minorEastAsia"/>
          <w:bCs/>
          <w:color w:val="000000"/>
          <w:sz w:val="24"/>
          <w:szCs w:val="24"/>
        </w:rPr>
        <w:t xml:space="preserve">预算金额</w:t>
      </w:r>
      <w:r>
        <w:rPr>
          <w:rFonts w:hint="eastAsia" w:cs="Times New Roman" w:asciiTheme="minorEastAsia" w:hAnsiTheme="minorEastAsia"/>
          <w:color w:val="000000"/>
          <w:sz w:val="24"/>
          <w:szCs w:val="24"/>
        </w:rPr>
        <w:t xml:space="preserve">投标无效，采购包2投标报价超过最高限价的投标无效。</w:t>
      </w:r>
      <w:r/>
    </w:p>
    <w:p>
      <w:pPr>
        <w:ind w:firstLine="480"/>
        <w:spacing w:line="500" w:lineRule="exact"/>
        <w:rPr>
          <w:rFonts w:asciiTheme="minorEastAsia" w:hAnsiTheme="minorEastAsia"/>
          <w:b/>
          <w:bCs/>
          <w:sz w:val="24"/>
          <w:szCs w:val="24"/>
        </w:rPr>
      </w:pPr>
      <w:r>
        <w:rPr>
          <w:rFonts w:hint="eastAsia" w:asciiTheme="minorEastAsia" w:hAnsiTheme="minorEastAsia"/>
          <w:b/>
          <w:bCs/>
          <w:sz w:val="24"/>
          <w:szCs w:val="24"/>
        </w:rPr>
        <w:t xml:space="preserve">本项目共分为两个采购包：</w:t>
      </w:r>
      <w:r/>
    </w:p>
    <w:p>
      <w:pPr>
        <w:ind w:firstLine="480"/>
        <w:spacing w:line="500" w:lineRule="exact"/>
        <w:rPr>
          <w:rFonts w:asciiTheme="minorEastAsia" w:hAnsiTheme="minorEastAsia"/>
          <w:b/>
          <w:bCs/>
          <w:sz w:val="24"/>
          <w:szCs w:val="24"/>
        </w:rPr>
      </w:pPr>
      <w:r>
        <w:rPr>
          <w:rFonts w:hint="eastAsia" w:asciiTheme="minorEastAsia" w:hAnsiTheme="minorEastAsia"/>
          <w:b/>
          <w:bCs/>
          <w:sz w:val="24"/>
          <w:szCs w:val="24"/>
        </w:rPr>
        <w:t xml:space="preserve">采购包1：连云港市中级人民法院“斥候”系统二期项目（非专门面向中小企业）（预算金额：129万）</w:t>
      </w:r>
      <w:r/>
    </w:p>
    <w:p>
      <w:pPr>
        <w:ind w:firstLine="480"/>
        <w:spacing w:line="500" w:lineRule="exact"/>
        <w:rPr>
          <w:rFonts w:asciiTheme="minorEastAsia" w:hAnsiTheme="minorEastAsia"/>
          <w:b/>
          <w:bCs/>
          <w:sz w:val="24"/>
          <w:szCs w:val="24"/>
        </w:rPr>
      </w:pPr>
      <w:r>
        <w:rPr>
          <w:rFonts w:hint="eastAsia" w:asciiTheme="minorEastAsia" w:hAnsiTheme="minorEastAsia"/>
          <w:b/>
          <w:bCs/>
          <w:sz w:val="24"/>
          <w:szCs w:val="24"/>
        </w:rPr>
        <w:t xml:space="preserve">采购包2：连云港市中级人民法院网络安全服务及互联网行为管控平台（非专门面向中小企业）（预算金额：109.5万元，最高限价</w:t>
      </w:r>
      <w:r>
        <w:rPr>
          <w:rFonts w:asciiTheme="minorEastAsia" w:hAnsiTheme="minorEastAsia"/>
          <w:b/>
          <w:bCs/>
          <w:sz w:val="24"/>
          <w:szCs w:val="24"/>
        </w:rPr>
        <w:t xml:space="preserve">105.5万元</w:t>
      </w:r>
      <w:r>
        <w:rPr>
          <w:rFonts w:hint="eastAsia" w:asciiTheme="minorEastAsia" w:hAnsiTheme="minorEastAsia"/>
          <w:b/>
          <w:bCs/>
          <w:sz w:val="24"/>
          <w:szCs w:val="24"/>
        </w:rPr>
        <w:t xml:space="preserve">）</w:t>
      </w:r>
      <w:r/>
    </w:p>
    <w:p>
      <w:pPr>
        <w:ind w:firstLine="480"/>
        <w:spacing w:line="500" w:lineRule="exact"/>
        <w:rPr>
          <w:rFonts w:asciiTheme="minorEastAsia" w:hAnsiTheme="minorEastAsia"/>
          <w:b/>
          <w:bCs/>
          <w:sz w:val="24"/>
          <w:szCs w:val="24"/>
        </w:rPr>
      </w:pPr>
      <w:r>
        <w:rPr>
          <w:rFonts w:hint="eastAsia" w:asciiTheme="minorEastAsia" w:hAnsiTheme="minorEastAsia"/>
          <w:b/>
          <w:bCs/>
          <w:sz w:val="24"/>
          <w:szCs w:val="24"/>
        </w:rPr>
        <w:t xml:space="preserve">开标顺序按照苏采云平台同步进行，评标顺序以一、二采购包依次进行。</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采购需求：</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采购包1：</w:t>
      </w:r>
      <w:r/>
    </w:p>
    <w:p>
      <w:pPr>
        <w:ind w:firstLine="480"/>
        <w:spacing w:line="500" w:lineRule="exact"/>
        <w:rPr>
          <w:rFonts w:ascii="宋体" w:hAnsi="宋体"/>
          <w:sz w:val="24"/>
          <w:szCs w:val="24"/>
        </w:rPr>
      </w:pPr>
      <w:r>
        <w:rPr>
          <w:rFonts w:ascii="宋体" w:hAnsi="宋体"/>
          <w:sz w:val="24"/>
          <w:szCs w:val="24"/>
        </w:rPr>
        <w:t xml:space="preserve">在一期“斥候”系统首创“查人找物”数据演算、实现被告与被执行人衣食住行信息全覆盖全关联的基础上，二期系统以“有序数据共享、高效应用服务和可靠安全保障”为核心方向，通过构建法院数据平台、应用服务平台与统一安全防护体系，进一步打破数据壁垒、整合全量资源，实现数据的集中治理、精准关</w:t>
      </w:r>
      <w:r>
        <w:rPr>
          <w:rFonts w:ascii="宋体" w:hAnsi="宋体"/>
          <w:sz w:val="24"/>
          <w:szCs w:val="24"/>
        </w:rPr>
        <w:t xml:space="preserve">联与智能应用，为审判执行提质增效、统一裁判尺度、强化监督管理提供坚实的数据支撑。</w:t>
      </w:r>
      <w:r/>
    </w:p>
    <w:p>
      <w:pPr>
        <w:ind w:firstLine="480"/>
        <w:spacing w:line="500" w:lineRule="exact"/>
        <w:rPr>
          <w:rFonts w:asciiTheme="minorEastAsia" w:hAnsiTheme="minorEastAsia"/>
          <w:bCs/>
          <w:sz w:val="24"/>
          <w:szCs w:val="24"/>
        </w:rPr>
      </w:pPr>
      <w:r>
        <w:rPr>
          <w:rFonts w:hint="eastAsia" w:asciiTheme="minorEastAsia" w:hAnsiTheme="minorEastAsia"/>
          <w:bCs/>
          <w:sz w:val="24"/>
          <w:szCs w:val="24"/>
        </w:rPr>
        <w:t xml:space="preserve">采购包2:</w:t>
      </w:r>
      <w:r/>
    </w:p>
    <w:p>
      <w:pPr>
        <w:ind w:firstLine="480"/>
        <w:spacing w:line="500" w:lineRule="exact"/>
        <w:rPr>
          <w:rFonts w:asciiTheme="minorEastAsia" w:hAnsiTheme="minorEastAsia"/>
          <w:sz w:val="24"/>
          <w:szCs w:val="24"/>
        </w:rPr>
      </w:pPr>
      <w:r>
        <w:rPr>
          <w:rFonts w:hint="eastAsia" w:ascii="宋体" w:hAnsi="宋体" w:eastAsia="宋体" w:cs="Times New Roman"/>
          <w:color w:val="000000"/>
          <w:sz w:val="24"/>
          <w:szCs w:val="24"/>
        </w:rPr>
        <w:t xml:space="preserve">本项目为连云港市中级人民法院及辖区基层法院提供为期1年的网络安全服务，服务内容涵盖网络安全专业服务与互联网行为管控融合服务，具体包括服务工具与统一运营能力建设、“两高一弱”专业巡检、高危漏洞防护、内网脆弱性与异常流量日志分析、互联网行为管控、安全事件应急响应、法院行业及国家级攻防演练实战支撑、资产梳理与基线核查、重点时期保障与应急演练培训等，构建覆盖资产—漏洞—配置—用户—终端—流量—日志—事件—演练—整改的一体化安全运营闭环，全面提升全市法院网络安全防护与实战防守能力。服务要求见第四章采购需求。</w:t>
      </w:r>
      <w:r/>
    </w:p>
    <w:p>
      <w:pPr>
        <w:ind w:firstLine="482"/>
        <w:spacing w:line="500" w:lineRule="exact"/>
        <w:rPr>
          <w:rFonts w:asciiTheme="minorEastAsia" w:hAnsiTheme="minorEastAsia"/>
          <w:b/>
          <w:sz w:val="24"/>
          <w:szCs w:val="24"/>
        </w:rPr>
      </w:pPr>
      <w:r>
        <w:rPr>
          <w:rFonts w:hint="eastAsia" w:asciiTheme="minorEastAsia" w:hAnsiTheme="minorEastAsia"/>
          <w:b/>
          <w:sz w:val="24"/>
          <w:szCs w:val="24"/>
        </w:rPr>
        <w:t xml:space="preserve">对本项目（两个采购包）资格要求、采购需求、评标方法与评标标准等部分的询问、质疑请与采购人联系，由采购人负责答复。</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合同履行期限：</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采购包1：合同签订后90日内完成平台研发及上线测试，并通过验收，验收通过后提供12个月驻场服务。</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采购包2：12个月（合同约定时间为准）。</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本项目采购包1不接受联合体投标，采购包2接受联合体投标。</w:t>
      </w:r>
      <w:r/>
    </w:p>
    <w:p>
      <w:pPr>
        <w:pStyle w:val="844"/>
        <w:spacing w:before="0" w:after="0" w:line="500" w:lineRule="exact"/>
        <w:rPr>
          <w:rFonts w:asciiTheme="minorEastAsia" w:hAnsiTheme="minorEastAsia" w:eastAsiaTheme="minorEastAsia"/>
        </w:rPr>
      </w:pPr>
      <w:r>
        <w:rPr>
          <w:rFonts w:hint="eastAsia" w:asciiTheme="minorEastAsia" w:hAnsiTheme="minorEastAsia" w:eastAsiaTheme="minorEastAsia"/>
        </w:rPr>
        <w:t xml:space="preserve">二、申请人的资格要求</w:t>
      </w:r>
      <w:r/>
    </w:p>
    <w:p>
      <w:pPr>
        <w:ind w:firstLine="482"/>
        <w:spacing w:line="500" w:lineRule="exact"/>
        <w:rPr>
          <w:rFonts w:asciiTheme="minorEastAsia" w:hAnsiTheme="minorEastAsia"/>
          <w:b/>
          <w:sz w:val="24"/>
          <w:szCs w:val="24"/>
        </w:rPr>
      </w:pPr>
      <w:r>
        <w:rPr>
          <w:rFonts w:hint="eastAsia" w:asciiTheme="minorEastAsia" w:hAnsiTheme="minorEastAsia"/>
          <w:b/>
          <w:sz w:val="24"/>
          <w:szCs w:val="24"/>
        </w:rPr>
        <w:t xml:space="preserve">采购包1：</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（一）满足《中华人民共和国政府采购法》第二十二条规定，并提供下列材料：</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1.法人或者其他组织的营业执照等证明文件，自然人的身份证明；</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2.上一年度的财务状况报告（成立不满一年无需提供）；</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480"/>
        <w:spacing w:line="500" w:lineRule="exact"/>
        <w:rPr>
          <w:rFonts w:asciiTheme="minorEastAsia" w:hAnsiTheme="minorEastAsia"/>
          <w:bCs/>
          <w:sz w:val="24"/>
          <w:szCs w:val="24"/>
        </w:rPr>
      </w:pPr>
      <w:r>
        <w:rPr>
          <w:rFonts w:hint="eastAsia" w:asciiTheme="minorEastAsia" w:hAnsiTheme="minorEastAsia"/>
          <w:bCs/>
          <w:sz w:val="24"/>
          <w:szCs w:val="24"/>
        </w:rPr>
        <w:t xml:space="preserve">根据连财购〔2023〕4号文件精神，2、3项可以提供《财务状况报告及税收、社会保障资金缴纳情况承诺函》，详见投标文件格式。</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4.具备履行合同所必需的设备和专业技术能力的声明及证明材料；</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5.参加政府采购活动前3年内在经营活动中没有重大违法记录的书面声明。</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6.法律、行政法规规定的其他条件。（如有，请按要求提供）</w:t>
      </w:r>
      <w:r/>
    </w:p>
    <w:p>
      <w:pPr>
        <w:ind w:firstLine="480"/>
        <w:spacing w:line="500" w:lineRule="exact"/>
        <w:rPr>
          <w:rFonts w:asciiTheme="minorEastAsia" w:hAnsiTheme="minorEastAsia"/>
          <w:sz w:val="24"/>
          <w:szCs w:val="24"/>
        </w:rPr>
      </w:pPr>
      <w:r>
        <w:rPr>
          <w:rFonts w:hint="eastAsia" w:cs="Times New Roman" w:asciiTheme="minorEastAsia" w:hAnsiTheme="minorEastAsia"/>
          <w:sz w:val="24"/>
          <w:szCs w:val="24"/>
        </w:rPr>
        <w:t xml:space="preserve">7.资格审查现场查询信用中国网</w:t>
      </w:r>
      <w:r>
        <w:rPr>
          <w:rFonts w:hint="eastAsia" w:asciiTheme="minorEastAsia" w:hAnsiTheme="minorEastAsia"/>
          <w:sz w:val="24"/>
          <w:szCs w:val="24"/>
        </w:rPr>
        <w:t xml:space="preserve">，投标人被</w:t>
      </w:r>
      <w:r>
        <w:rPr>
          <w:rFonts w:hint="eastAsia" w:cs="Times New Roman" w:asciiTheme="minorEastAsia" w:hAnsiTheme="minorEastAsia"/>
          <w:sz w:val="24"/>
          <w:szCs w:val="24"/>
        </w:rPr>
        <w:t xml:space="preserve">列入失信被执行人、重大税收违法案件当事人名单、政府采购严重违法失信行为记录名单</w:t>
      </w:r>
      <w:r>
        <w:rPr>
          <w:rFonts w:hint="eastAsia" w:asciiTheme="minorEastAsia" w:hAnsiTheme="minorEastAsia"/>
          <w:sz w:val="24"/>
          <w:szCs w:val="24"/>
        </w:rPr>
        <w:t xml:space="preserve">及具有其他不符合《中华人民共和国政府采购法》第二十二条规定情形</w:t>
      </w:r>
      <w:r>
        <w:rPr>
          <w:rFonts w:hint="eastAsia" w:cs="Times New Roman" w:asciiTheme="minorEastAsia" w:hAnsiTheme="minorEastAsia"/>
          <w:sz w:val="24"/>
          <w:szCs w:val="24"/>
        </w:rPr>
        <w:t xml:space="preserve">的，拒绝其参与政府采购活动。</w:t>
      </w:r>
      <w:r>
        <w:rPr>
          <w:rFonts w:hint="eastAsia" w:asciiTheme="minorEastAsia" w:hAnsiTheme="minorEastAsia"/>
          <w:sz w:val="24"/>
          <w:szCs w:val="24"/>
        </w:rPr>
        <w:t xml:space="preserve">（投标文件中无需提供证明材料）</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（二）落实政府采购政策需满足的资格要求：无。</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（三）本项目采购包1的特定资格要求：无。</w:t>
      </w:r>
      <w:r/>
    </w:p>
    <w:p>
      <w:pPr>
        <w:ind w:firstLine="482"/>
        <w:spacing w:line="500" w:lineRule="exact"/>
        <w:rPr>
          <w:rFonts w:asciiTheme="minorEastAsia" w:hAnsiTheme="minorEastAsia"/>
          <w:b/>
          <w:sz w:val="24"/>
          <w:szCs w:val="24"/>
        </w:rPr>
      </w:pPr>
      <w:r>
        <w:rPr>
          <w:rFonts w:hint="eastAsia" w:asciiTheme="minorEastAsia" w:hAnsiTheme="minorEastAsia"/>
          <w:b/>
          <w:sz w:val="24"/>
          <w:szCs w:val="24"/>
        </w:rPr>
        <w:t xml:space="preserve">采购包2：</w:t>
      </w:r>
      <w:r/>
    </w:p>
    <w:p>
      <w:pPr>
        <w:ind w:firstLine="480"/>
        <w:jc w:val="left"/>
        <w:spacing w:line="500" w:lineRule="exact"/>
        <w:rPr>
          <w:sz w:val="24"/>
          <w:szCs w:val="24"/>
        </w:rPr>
      </w:pPr>
      <w:r>
        <w:rPr>
          <w:rFonts w:hint="eastAsia" w:asciiTheme="minorEastAsia" w:hAnsiTheme="minorEastAsia"/>
          <w:sz w:val="24"/>
          <w:szCs w:val="24"/>
        </w:rPr>
        <w:t xml:space="preserve">（一）满足《中华人民共和国政府采购法》第二十二条规定，并提供下列材料</w:t>
      </w:r>
      <w:r>
        <w:rPr>
          <w:rFonts w:hint="eastAsia"/>
          <w:b/>
          <w:bCs/>
          <w:sz w:val="24"/>
          <w:szCs w:val="24"/>
        </w:rPr>
        <w:t xml:space="preserve">（如为联合体投标，以下材料联合体各方均需提供）</w:t>
      </w:r>
      <w:r>
        <w:rPr>
          <w:rFonts w:hint="eastAsia" w:asciiTheme="minorEastAsia" w:hAnsiTheme="minorEastAsia"/>
          <w:sz w:val="24"/>
          <w:szCs w:val="24"/>
        </w:rPr>
        <w:t xml:space="preserve">：</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1.法人或者其他组织的营业执照等证明文件，自然人的身份证明；</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2.上一年度的财务状况报告（成立不满一年无需提供）；</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480"/>
        <w:spacing w:line="500" w:lineRule="exact"/>
        <w:rPr>
          <w:rFonts w:asciiTheme="minorEastAsia" w:hAnsiTheme="minorEastAsia"/>
          <w:bCs/>
          <w:sz w:val="24"/>
          <w:szCs w:val="24"/>
        </w:rPr>
      </w:pPr>
      <w:r>
        <w:rPr>
          <w:rFonts w:hint="eastAsia" w:asciiTheme="minorEastAsia" w:hAnsiTheme="minorEastAsia"/>
          <w:bCs/>
          <w:sz w:val="24"/>
          <w:szCs w:val="24"/>
        </w:rPr>
        <w:t xml:space="preserve">根据连财购〔2023〕4号文件精神，2、3项可以提供《财务状况报告及税收、社会保障资金缴纳情况承诺函》，详见投标文件格式。</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4.具备履行合同所必需的设备和专业技术能力的声明及证明材料；</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5.参加政府采购活动前3年内在经营活动中没有重大违法记录的书面声明。</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6.法律、行政法规规定的其他条件。（如有，请按要求提供）</w:t>
      </w:r>
      <w:r/>
    </w:p>
    <w:p>
      <w:pPr>
        <w:ind w:firstLine="480"/>
        <w:spacing w:line="500" w:lineRule="exact"/>
        <w:rPr>
          <w:rFonts w:asciiTheme="minorEastAsia" w:hAnsiTheme="minorEastAsia"/>
          <w:sz w:val="24"/>
          <w:szCs w:val="24"/>
        </w:rPr>
      </w:pPr>
      <w:r>
        <w:rPr>
          <w:rFonts w:hint="eastAsia" w:cs="Times New Roman" w:asciiTheme="minorEastAsia" w:hAnsiTheme="minorEastAsia"/>
          <w:sz w:val="24"/>
          <w:szCs w:val="24"/>
        </w:rPr>
        <w:t xml:space="preserve">7.资格审查现场查询信用中国网</w:t>
      </w:r>
      <w:r>
        <w:rPr>
          <w:rFonts w:hint="eastAsia" w:asciiTheme="minorEastAsia" w:hAnsiTheme="minorEastAsia"/>
          <w:sz w:val="24"/>
          <w:szCs w:val="24"/>
        </w:rPr>
        <w:t xml:space="preserve">，投标人被</w:t>
      </w:r>
      <w:r>
        <w:rPr>
          <w:rFonts w:hint="eastAsia" w:cs="Times New Roman" w:asciiTheme="minorEastAsia" w:hAnsiTheme="minorEastAsia"/>
          <w:sz w:val="24"/>
          <w:szCs w:val="24"/>
        </w:rPr>
        <w:t xml:space="preserve">列入失信被执行人、重大税收违法案件当事人名单、政府采购严重违法失信行为记录名单</w:t>
      </w:r>
      <w:r>
        <w:rPr>
          <w:rFonts w:hint="eastAsia" w:asciiTheme="minorEastAsia" w:hAnsiTheme="minorEastAsia"/>
          <w:sz w:val="24"/>
          <w:szCs w:val="24"/>
        </w:rPr>
        <w:t xml:space="preserve">及具有其他不符合《中华人民共和国政府采购法》第二十二条规定情形</w:t>
      </w:r>
      <w:r>
        <w:rPr>
          <w:rFonts w:hint="eastAsia" w:cs="Times New Roman" w:asciiTheme="minorEastAsia" w:hAnsiTheme="minorEastAsia"/>
          <w:sz w:val="24"/>
          <w:szCs w:val="24"/>
        </w:rPr>
        <w:t xml:space="preserve">的，拒绝其参与政府采购活动。</w:t>
      </w:r>
      <w:r>
        <w:rPr>
          <w:rFonts w:hint="eastAsia" w:asciiTheme="minorEastAsia" w:hAnsiTheme="minorEastAsia"/>
          <w:sz w:val="24"/>
          <w:szCs w:val="24"/>
        </w:rPr>
        <w:t xml:space="preserve">（投标文件中无需提供证明材料）</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（二）落实政府采购政策需满足的资格要求：无。</w:t>
      </w:r>
      <w:r/>
    </w:p>
    <w:p>
      <w:pPr>
        <w:ind w:firstLine="482"/>
        <w:spacing w:line="500" w:lineRule="exact"/>
        <w:rPr>
          <w:rFonts w:asciiTheme="minorEastAsia" w:hAnsiTheme="minorEastAsia"/>
          <w:b/>
          <w:sz w:val="24"/>
          <w:szCs w:val="24"/>
        </w:rPr>
      </w:pPr>
      <w:r>
        <w:rPr>
          <w:rFonts w:hint="eastAsia" w:asciiTheme="minorEastAsia" w:hAnsiTheme="minorEastAsia"/>
          <w:b/>
          <w:sz w:val="24"/>
          <w:szCs w:val="24"/>
        </w:rPr>
        <w:t xml:space="preserve">（三）本项目采购包2的特定资格要求： </w:t>
      </w:r>
      <w:r/>
    </w:p>
    <w:p>
      <w:pPr>
        <w:ind w:firstLine="482"/>
        <w:spacing w:line="500" w:lineRule="exact"/>
        <w:rPr>
          <w:rFonts w:asciiTheme="minorEastAsia" w:hAnsiTheme="minorEastAsia"/>
          <w:b/>
          <w:sz w:val="24"/>
          <w:szCs w:val="24"/>
        </w:rPr>
      </w:pPr>
      <w:r>
        <w:rPr>
          <w:rFonts w:hint="eastAsia" w:asciiTheme="minorEastAsia" w:hAnsiTheme="minorEastAsia"/>
          <w:b/>
          <w:sz w:val="24"/>
          <w:szCs w:val="24"/>
        </w:rPr>
        <w:t xml:space="preserve">1.联合体成员数量不超过2家（含2家），以联合体形式参加政府采购活动的，组成联合体内企业之间不得存在直接控股、管理关系。联合体各方不得再单独参加或者与其他供应商另外组成联合体参加同一合同项下的政府采购活动。</w:t>
      </w:r>
      <w:r/>
    </w:p>
    <w:p>
      <w:pPr>
        <w:ind w:firstLine="482"/>
        <w:spacing w:line="500" w:lineRule="exact"/>
        <w:rPr>
          <w:rFonts w:asciiTheme="minorEastAsia" w:hAnsiTheme="minorEastAsia"/>
          <w:b/>
          <w:sz w:val="24"/>
          <w:szCs w:val="24"/>
        </w:rPr>
      </w:pPr>
      <w:r>
        <w:rPr>
          <w:rFonts w:hint="eastAsia" w:asciiTheme="minorEastAsia" w:hAnsiTheme="minorEastAsia"/>
          <w:b/>
          <w:sz w:val="24"/>
          <w:szCs w:val="24"/>
        </w:rPr>
        <w:t xml:space="preserve">2.以联合体形式参加政府采购活动的投标人须提交共同签署的《联合体协议》（详见招标文件第六章 投标文件格式），明确联合体的牵头单位，并载明联合体各方承担的工作和义务。</w:t>
      </w:r>
      <w:r/>
    </w:p>
    <w:p>
      <w:pPr>
        <w:ind w:firstLine="482"/>
        <w:spacing w:line="500" w:lineRule="exact"/>
        <w:rPr>
          <w:rFonts w:asciiTheme="minorEastAsia" w:hAnsiTheme="minorEastAsia"/>
          <w:b/>
          <w:sz w:val="24"/>
          <w:szCs w:val="24"/>
        </w:rPr>
      </w:pPr>
      <w:r>
        <w:rPr>
          <w:rFonts w:hint="eastAsia" w:asciiTheme="minorEastAsia" w:hAnsiTheme="minorEastAsia"/>
          <w:b/>
          <w:sz w:val="24"/>
          <w:szCs w:val="24"/>
        </w:rPr>
        <w:t xml:space="preserve">上述1-2项如不满足，则投标无效。</w:t>
      </w:r>
      <w:r/>
    </w:p>
    <w:p>
      <w:pPr>
        <w:pStyle w:val="844"/>
        <w:spacing w:before="0" w:after="0" w:line="500" w:lineRule="exact"/>
        <w:rPr>
          <w:rFonts w:asciiTheme="minorEastAsia" w:hAnsiTheme="minorEastAsia" w:eastAsiaTheme="minorEastAsia" w:cstheme="minorBidi"/>
          <w:bCs w:val="0"/>
          <w:szCs w:val="22"/>
        </w:rPr>
      </w:pPr>
      <w:r>
        <w:rPr>
          <w:rFonts w:hint="eastAsia" w:asciiTheme="minorEastAsia" w:hAnsiTheme="minorEastAsia" w:eastAsiaTheme="minorEastAsia" w:cstheme="minorBidi"/>
          <w:bCs w:val="0"/>
          <w:szCs w:val="22"/>
        </w:rPr>
        <w:t xml:space="preserve">三、获取招标文件</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时间：自</w:t>
      </w:r>
      <w:r>
        <w:rPr>
          <w:rFonts w:hint="eastAsia" w:asciiTheme="minorEastAsia" w:hAnsiTheme="minorEastAsia"/>
          <w:sz w:val="24"/>
          <w:szCs w:val="24"/>
        </w:rPr>
        <w:t xml:space="preserve">更正</w:t>
      </w:r>
      <w:r>
        <w:rPr>
          <w:rFonts w:hint="eastAsia" w:asciiTheme="minorEastAsia" w:hAnsiTheme="minorEastAsia"/>
          <w:sz w:val="24"/>
          <w:szCs w:val="24"/>
        </w:rPr>
        <w:t xml:space="preserve">公告发布之日起至2026年</w:t>
      </w:r>
      <w:r>
        <w:rPr>
          <w:rFonts w:hint="eastAsia" w:asciiTheme="minorEastAsia" w:hAnsiTheme="minorEastAsia"/>
          <w:sz w:val="24"/>
          <w:szCs w:val="24"/>
        </w:rPr>
        <w:t xml:space="preserve">10</w:t>
      </w:r>
      <w:r>
        <w:rPr>
          <w:rFonts w:hint="eastAsia" w:asciiTheme="minorEastAsia" w:hAnsiTheme="minorEastAsia"/>
          <w:sz w:val="24"/>
          <w:szCs w:val="24"/>
        </w:rPr>
        <w:t xml:space="preserve">月</w:t>
      </w:r>
      <w:r>
        <w:rPr>
          <w:rFonts w:hint="eastAsia" w:asciiTheme="minorEastAsia" w:hAnsiTheme="minorEastAsia"/>
          <w:sz w:val="24"/>
          <w:szCs w:val="24"/>
        </w:rPr>
        <w:t xml:space="preserve">10</w:t>
      </w:r>
      <w:r>
        <w:rPr>
          <w:rFonts w:hint="eastAsia" w:asciiTheme="minorEastAsia" w:hAnsiTheme="minorEastAsia"/>
          <w:sz w:val="24"/>
          <w:szCs w:val="24"/>
        </w:rPr>
        <w:t xml:space="preserve">日（北京时间）</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地点：在“江苏政府采购网”自行免费下载招标文件</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方式：投标人办理江苏省政府采购交易系统CA数字证书，登录“苏采云”政府采购交易系统，自行下载。</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售价：0.00元</w:t>
      </w:r>
      <w:r/>
    </w:p>
    <w:p>
      <w:pPr>
        <w:pStyle w:val="844"/>
        <w:spacing w:before="0" w:after="0" w:line="500" w:lineRule="exact"/>
        <w:rPr>
          <w:rFonts w:asciiTheme="minorEastAsia" w:hAnsiTheme="minorEastAsia" w:eastAsiaTheme="minorEastAsia" w:cstheme="minorBidi"/>
          <w:bCs w:val="0"/>
          <w:szCs w:val="22"/>
        </w:rPr>
      </w:pPr>
      <w:r>
        <w:rPr>
          <w:rFonts w:hint="eastAsia" w:asciiTheme="minorEastAsia" w:hAnsiTheme="minorEastAsia" w:eastAsiaTheme="minorEastAsia" w:cstheme="minorBidi"/>
          <w:bCs w:val="0"/>
          <w:szCs w:val="22"/>
        </w:rPr>
        <w:t xml:space="preserve">四、提交投标文件截止时间、开标时间和地点</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提交投标文件截止时间：2026年10月</w:t>
      </w:r>
      <w:r>
        <w:rPr>
          <w:rFonts w:hint="eastAsia" w:asciiTheme="minorEastAsia" w:hAnsiTheme="minorEastAsia"/>
          <w:sz w:val="24"/>
          <w:szCs w:val="24"/>
        </w:rPr>
        <w:t xml:space="preserve">19</w:t>
      </w:r>
      <w:r>
        <w:rPr>
          <w:rFonts w:hint="eastAsia" w:asciiTheme="minorEastAsia" w:hAnsiTheme="minorEastAsia"/>
          <w:sz w:val="24"/>
          <w:szCs w:val="24"/>
        </w:rPr>
        <w:t xml:space="preserve">日10:30:00（北京时间）</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开标时间：2026年10月</w:t>
      </w:r>
      <w:r>
        <w:rPr>
          <w:rFonts w:hint="eastAsia" w:asciiTheme="minorEastAsia" w:hAnsiTheme="minorEastAsia"/>
          <w:sz w:val="24"/>
          <w:szCs w:val="24"/>
        </w:rPr>
        <w:t xml:space="preserve">19</w:t>
      </w:r>
      <w:r>
        <w:rPr>
          <w:rFonts w:hint="eastAsia" w:asciiTheme="minorEastAsia" w:hAnsiTheme="minorEastAsia"/>
          <w:sz w:val="24"/>
          <w:szCs w:val="24"/>
        </w:rPr>
        <w:t xml:space="preserve">日10:30:00（北京时间）</w:t>
      </w:r>
      <w:r/>
    </w:p>
    <w:p>
      <w:pPr>
        <w:ind w:firstLine="480"/>
        <w:spacing w:line="500" w:lineRule="exact"/>
        <w:rPr>
          <w:rFonts w:asciiTheme="minorEastAsia" w:hAnsiTheme="minorEastAsia"/>
        </w:rPr>
      </w:pPr>
      <w:r>
        <w:rPr>
          <w:rFonts w:hint="eastAsia" w:asciiTheme="minorEastAsia" w:hAnsiTheme="minorEastAsia"/>
          <w:sz w:val="24"/>
          <w:szCs w:val="24"/>
        </w:rPr>
        <w:t xml:space="preserve">开标地点：“苏采云”政府采购交易系统网上开标大厅</w:t>
      </w:r>
      <w:r/>
    </w:p>
    <w:p>
      <w:pPr>
        <w:pStyle w:val="844"/>
        <w:spacing w:before="0" w:after="0" w:line="500" w:lineRule="exact"/>
        <w:rPr>
          <w:rFonts w:asciiTheme="minorEastAsia" w:hAnsiTheme="minorEastAsia" w:eastAsiaTheme="minorEastAsia" w:cstheme="minorBidi"/>
          <w:bCs w:val="0"/>
          <w:szCs w:val="22"/>
        </w:rPr>
      </w:pPr>
      <w:r>
        <w:rPr>
          <w:rFonts w:hint="eastAsia" w:asciiTheme="minorEastAsia" w:hAnsiTheme="minorEastAsia" w:eastAsiaTheme="minorEastAsia" w:cstheme="minorBidi"/>
          <w:bCs w:val="0"/>
          <w:szCs w:val="22"/>
        </w:rPr>
        <w:t xml:space="preserve">五、公告期限</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自本公告发布之日起5个工作日。</w:t>
      </w:r>
      <w:r/>
    </w:p>
    <w:p>
      <w:pPr>
        <w:pStyle w:val="844"/>
        <w:spacing w:before="0" w:after="0" w:line="500" w:lineRule="exact"/>
        <w:rPr>
          <w:rFonts w:asciiTheme="minorEastAsia" w:hAnsiTheme="minorEastAsia" w:eastAsiaTheme="minorEastAsia" w:cstheme="minorBidi"/>
          <w:bCs w:val="0"/>
          <w:szCs w:val="22"/>
        </w:rPr>
      </w:pPr>
      <w:r>
        <w:rPr>
          <w:rFonts w:hint="eastAsia" w:asciiTheme="minorEastAsia" w:hAnsiTheme="minorEastAsia" w:eastAsiaTheme="minorEastAsia" w:cstheme="minorBidi"/>
          <w:bCs w:val="0"/>
          <w:szCs w:val="22"/>
        </w:rPr>
        <w:t xml:space="preserve">六、其他补充事宜</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1.本次招标不收取投标保证金。</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2.本招标文件中斜体且有下划线部分为实质性要求和条件，投标人须逐条做出满足实质性要求和条件的响应，否则将按无效响应处理。</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无论出于何种原因，采购人及其委托的采购代理机构在采购活动开始前可对招标文件进行修改、补充或者变更，其内容作为招标文件的重要组成部分，请各投标人关注江苏政府采购网。若因投标人自身原因未及时关注本项目有关修改、补充或者变更信息，导致投标文件编制</w:t>
      </w:r>
      <w:r>
        <w:rPr>
          <w:rFonts w:hint="eastAsia" w:asciiTheme="minorEastAsia" w:hAnsiTheme="minorEastAsia"/>
          <w:sz w:val="24"/>
          <w:szCs w:val="24"/>
        </w:rPr>
        <w:t xml:space="preserve">或者</w:t>
      </w:r>
      <w:r>
        <w:rPr>
          <w:rFonts w:hint="eastAsia" w:asciiTheme="minorEastAsia" w:hAnsiTheme="minorEastAsia"/>
          <w:sz w:val="24"/>
          <w:szCs w:val="24"/>
        </w:rPr>
        <w:t xml:space="preserve">提交失误，由此造成的一切损失由投标人自行承担。</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4.根据江苏省财政厅《关于更换全省政府采购交易系统C A数字证书和电子签章的通知》（苏财购〔2023〕101号）要求，“苏采云”政府采购交易系统的CA数字证书、电子签章已更换为江苏省电子政务证书认证中心CA和方正国际软件（北京）有限公司电子签章。投标人通过“苏采云”系统参与政府采购项目，需要办理（更换）CA数字证书和电子签章。具体办理指南和操作手册见链接：</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http://www.ccgp-jiangsu.gov.cn/jiangsu/zlxz/ee/ee3a4bc5a3454aa2b0d9312230633ce9.html</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请投标人按照《操作手册》要求获取招标文件，制作、递交（上传）电子投标文件，参加开标，澄清、说明或者补正。因投标人未按要求操作原因导致电子投标文件被拒绝、造成无效响应的，</w:t>
      </w:r>
      <w:r>
        <w:rPr>
          <w:rFonts w:hint="eastAsia" w:cs="Times New Roman" w:asciiTheme="minorEastAsia" w:hAnsiTheme="minorEastAsia"/>
          <w:sz w:val="24"/>
          <w:szCs w:val="24"/>
        </w:rPr>
        <w:t xml:space="preserve">自行承担一切损失。</w:t>
      </w:r>
      <w:r/>
    </w:p>
    <w:p>
      <w:pPr>
        <w:pStyle w:val="844"/>
        <w:spacing w:before="0" w:after="0" w:line="500" w:lineRule="exact"/>
        <w:rPr>
          <w:rFonts w:asciiTheme="minorEastAsia" w:hAnsiTheme="minorEastAsia" w:eastAsiaTheme="minorEastAsia" w:cstheme="minorBidi"/>
          <w:bCs w:val="0"/>
          <w:szCs w:val="22"/>
        </w:rPr>
      </w:pPr>
      <w:r>
        <w:rPr>
          <w:rFonts w:hint="eastAsia" w:asciiTheme="minorEastAsia" w:hAnsiTheme="minorEastAsia" w:eastAsiaTheme="minorEastAsia" w:cstheme="minorBidi"/>
          <w:bCs w:val="0"/>
          <w:szCs w:val="22"/>
        </w:rPr>
        <w:t xml:space="preserve">七、对本次招标提出询问，请按以下方式联系</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1.采购人信息</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名    称：连云港市大数据管理中心</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地    址：连云港市海州区凌州东路9号政务服务中心4楼</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联系方式：</w:t>
      </w:r>
      <w:r>
        <w:rPr>
          <w:rFonts w:hint="eastAsia" w:ascii="宋体" w:hAnsi="宋体" w:eastAsia="宋体" w:cs="Times New Roman"/>
          <w:sz w:val="24"/>
          <w:szCs w:val="24"/>
        </w:rPr>
        <w:t xml:space="preserve">0518-</w:t>
      </w:r>
      <w:r>
        <w:rPr>
          <w:rFonts w:hint="eastAsia" w:ascii="宋体" w:hAnsi="宋体" w:eastAsia="宋体" w:cs="宋体"/>
          <w:sz w:val="24"/>
          <w:szCs w:val="24"/>
        </w:rPr>
        <w:t xml:space="preserve">85825190</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2.采购代理机构信息</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名    称：连云港市公共资源交易中心</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地    址：连云港市海州区凌洲东路9号2号楼419室</w:t>
      </w:r>
      <w:r/>
    </w:p>
    <w:p>
      <w:pPr>
        <w:ind w:firstLine="480"/>
        <w:spacing w:line="500" w:lineRule="exact"/>
        <w:rPr>
          <w:rFonts w:cs="Times New Roman" w:asciiTheme="minorEastAsia" w:hAnsiTheme="minorEastAsia"/>
          <w:sz w:val="24"/>
          <w:szCs w:val="24"/>
        </w:rPr>
      </w:pPr>
      <w:r>
        <w:rPr>
          <w:rFonts w:hint="eastAsia" w:asciiTheme="minorEastAsia" w:hAnsiTheme="minorEastAsia"/>
          <w:sz w:val="24"/>
          <w:szCs w:val="24"/>
        </w:rPr>
        <w:t xml:space="preserve">联系方式：李俊怡 </w:t>
      </w:r>
      <w:r>
        <w:rPr>
          <w:rFonts w:cs="Times New Roman" w:asciiTheme="minorEastAsia" w:hAnsiTheme="minorEastAsia"/>
          <w:sz w:val="24"/>
          <w:szCs w:val="24"/>
        </w:rPr>
        <w:t xml:space="preserve">  0518-85868290</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3.项目联系方式</w:t>
      </w:r>
      <w:r/>
    </w:p>
    <w:p>
      <w:pPr>
        <w:ind w:firstLine="480"/>
        <w:spacing w:line="500" w:lineRule="exact"/>
      </w:pPr>
      <w:r>
        <w:rPr>
          <w:rFonts w:hint="eastAsia" w:asciiTheme="minorEastAsia" w:hAnsiTheme="minorEastAsia"/>
          <w:sz w:val="24"/>
          <w:szCs w:val="24"/>
        </w:rPr>
        <w:t xml:space="preserve">项目联系人：高毓辰</w:t>
      </w:r>
      <w:r/>
    </w:p>
    <w:p>
      <w:pPr>
        <w:ind w:firstLine="480"/>
        <w:spacing w:line="500" w:lineRule="exact"/>
        <w:rPr>
          <w:rFonts w:hint="eastAsia" w:asciiTheme="minorEastAsia" w:hAnsiTheme="minorEastAsia"/>
          <w:sz w:val="24"/>
          <w:szCs w:val="24"/>
          <w:highlight w:val="none"/>
        </w:rPr>
      </w:pPr>
      <w:r>
        <w:rPr>
          <w:rFonts w:hint="eastAsia" w:asciiTheme="minorEastAsia" w:hAnsiTheme="minorEastAsia"/>
          <w:sz w:val="24"/>
          <w:szCs w:val="24"/>
        </w:rPr>
        <w:t xml:space="preserve">电      话：0518-85825170</w:t>
      </w:r>
      <w:r/>
    </w:p>
    <w:p>
      <w:pPr>
        <w:ind w:firstLine="480"/>
        <w:spacing w:line="500" w:lineRule="exact"/>
        <w:rPr>
          <w:sz w:val="24"/>
          <w:szCs w:val="24"/>
        </w:rPr>
      </w:pPr>
      <w:r>
        <w:rPr>
          <w:sz w:val="24"/>
          <w:szCs w:val="24"/>
        </w:rPr>
      </w:r>
      <w:r>
        <w:rPr>
          <w:sz w:val="24"/>
          <w:szCs w:val="24"/>
        </w:rPr>
      </w:r>
      <w:r/>
    </w:p>
    <w:p>
      <w:pPr>
        <w:ind w:firstLine="480"/>
        <w:spacing w:line="500" w:lineRule="exact"/>
        <w:rPr>
          <w:sz w:val="24"/>
          <w:szCs w:val="24"/>
        </w:rPr>
      </w:pPr>
      <w:r>
        <w:rPr>
          <w:sz w:val="24"/>
          <w:szCs w:val="24"/>
        </w:rPr>
      </w:r>
      <w:r>
        <w:rPr>
          <w:sz w:val="24"/>
          <w:szCs w:val="24"/>
        </w:rPr>
      </w:r>
      <w:r/>
    </w:p>
    <w:p>
      <w:pPr>
        <w:ind w:firstLine="480"/>
        <w:spacing w:line="500" w:lineRule="exact"/>
        <w:rPr>
          <w:sz w:val="24"/>
          <w:szCs w:val="24"/>
        </w:rPr>
      </w:pPr>
      <w:r>
        <w:rPr>
          <w:sz w:val="24"/>
          <w:szCs w:val="24"/>
        </w:rPr>
      </w:r>
      <w:r>
        <w:rPr>
          <w:sz w:val="24"/>
          <w:szCs w:val="24"/>
        </w:rPr>
      </w:r>
      <w:r/>
    </w:p>
    <w:p>
      <w:pPr>
        <w:ind w:firstLine="480"/>
        <w:spacing w:line="500" w:lineRule="exact"/>
        <w:rPr>
          <w:sz w:val="24"/>
          <w:szCs w:val="24"/>
        </w:rPr>
      </w:pPr>
      <w:r>
        <w:rPr>
          <w:sz w:val="24"/>
          <w:szCs w:val="24"/>
        </w:rPr>
      </w:r>
      <w:r>
        <w:rPr>
          <w:sz w:val="24"/>
          <w:szCs w:val="24"/>
        </w:rPr>
      </w:r>
      <w:r/>
    </w:p>
    <w:p>
      <w:pPr>
        <w:ind w:firstLine="480"/>
        <w:spacing w:line="500" w:lineRule="exact"/>
        <w:rPr>
          <w:sz w:val="24"/>
          <w:szCs w:val="24"/>
        </w:rPr>
      </w:pPr>
      <w:r>
        <w:rPr>
          <w:sz w:val="24"/>
          <w:szCs w:val="24"/>
        </w:rPr>
      </w:r>
      <w:r>
        <w:rPr>
          <w:sz w:val="24"/>
          <w:szCs w:val="24"/>
        </w:rPr>
      </w:r>
      <w:r/>
    </w:p>
    <w:p>
      <w:pPr>
        <w:ind w:firstLine="480"/>
        <w:spacing w:line="500" w:lineRule="exact"/>
        <w:rPr>
          <w:sz w:val="24"/>
          <w:szCs w:val="24"/>
        </w:rPr>
      </w:pPr>
      <w:r>
        <w:rPr>
          <w:sz w:val="24"/>
          <w:szCs w:val="24"/>
        </w:rPr>
      </w:r>
      <w:r>
        <w:rPr>
          <w:sz w:val="24"/>
          <w:szCs w:val="24"/>
        </w:rPr>
      </w:r>
      <w:r/>
    </w:p>
    <w:p>
      <w:pPr>
        <w:ind w:firstLine="480"/>
        <w:spacing w:line="500" w:lineRule="exact"/>
        <w:rPr>
          <w:sz w:val="24"/>
          <w:szCs w:val="24"/>
        </w:rPr>
      </w:pPr>
      <w:r>
        <w:rPr>
          <w:sz w:val="24"/>
          <w:szCs w:val="24"/>
        </w:rPr>
      </w:r>
      <w:r>
        <w:rPr>
          <w:sz w:val="24"/>
          <w:szCs w:val="24"/>
        </w:rPr>
      </w:r>
      <w:r/>
    </w:p>
    <w:p>
      <w:pPr>
        <w:ind w:firstLine="480"/>
        <w:spacing w:line="500" w:lineRule="exact"/>
        <w:rPr>
          <w:sz w:val="24"/>
          <w:szCs w:val="24"/>
        </w:rPr>
      </w:pPr>
      <w:r>
        <w:rPr>
          <w:sz w:val="24"/>
          <w:szCs w:val="24"/>
        </w:rPr>
      </w:r>
      <w:r>
        <w:rPr>
          <w:sz w:val="24"/>
          <w:szCs w:val="24"/>
        </w:rPr>
      </w:r>
      <w:r/>
    </w:p>
    <w:p>
      <w:pPr>
        <w:ind w:firstLine="480"/>
        <w:spacing w:line="500" w:lineRule="exact"/>
        <w:rPr>
          <w:sz w:val="24"/>
          <w:szCs w:val="24"/>
        </w:rPr>
      </w:pPr>
      <w:r>
        <w:rPr>
          <w:sz w:val="24"/>
          <w:szCs w:val="24"/>
        </w:rPr>
      </w:r>
      <w:r>
        <w:rPr>
          <w:sz w:val="24"/>
          <w:szCs w:val="24"/>
        </w:rPr>
      </w:r>
      <w:r/>
    </w:p>
    <w:p>
      <w:pPr>
        <w:ind w:firstLine="480"/>
        <w:spacing w:line="500" w:lineRule="exact"/>
        <w:rPr>
          <w:sz w:val="24"/>
          <w:szCs w:val="24"/>
        </w:rPr>
      </w:pPr>
      <w:r>
        <w:rPr>
          <w:sz w:val="24"/>
          <w:szCs w:val="24"/>
        </w:rPr>
      </w:r>
      <w:r>
        <w:rPr>
          <w:sz w:val="24"/>
          <w:szCs w:val="24"/>
        </w:rPr>
      </w:r>
      <w:r/>
    </w:p>
    <w:p>
      <w:pPr>
        <w:ind w:firstLine="480"/>
        <w:spacing w:line="500" w:lineRule="exact"/>
        <w:rPr>
          <w:sz w:val="24"/>
          <w:szCs w:val="24"/>
        </w:rPr>
      </w:pPr>
      <w:r>
        <w:rPr>
          <w:sz w:val="24"/>
          <w:szCs w:val="24"/>
        </w:rPr>
      </w:r>
      <w:r>
        <w:rPr>
          <w:sz w:val="24"/>
          <w:szCs w:val="24"/>
        </w:rPr>
      </w:r>
      <w:r/>
    </w:p>
    <w:p>
      <w:pPr>
        <w:ind w:firstLine="480"/>
        <w:spacing w:line="500" w:lineRule="exact"/>
        <w:rPr>
          <w:sz w:val="24"/>
          <w:szCs w:val="24"/>
        </w:rPr>
      </w:pPr>
      <w:r>
        <w:rPr>
          <w:sz w:val="24"/>
          <w:szCs w:val="24"/>
        </w:rPr>
      </w:r>
      <w:r>
        <w:rPr>
          <w:sz w:val="24"/>
          <w:szCs w:val="24"/>
        </w:rPr>
      </w:r>
      <w:r/>
    </w:p>
    <w:p>
      <w:pPr>
        <w:ind w:firstLine="480"/>
        <w:spacing w:line="500" w:lineRule="exact"/>
        <w:rPr>
          <w:sz w:val="24"/>
          <w:szCs w:val="24"/>
        </w:rPr>
      </w:pPr>
      <w:r>
        <w:rPr>
          <w:sz w:val="24"/>
          <w:szCs w:val="24"/>
        </w:rPr>
      </w:r>
      <w:r>
        <w:rPr>
          <w:sz w:val="24"/>
          <w:szCs w:val="24"/>
        </w:rPr>
      </w:r>
      <w:r/>
    </w:p>
    <w:p>
      <w:pPr>
        <w:ind w:firstLine="480"/>
        <w:spacing w:line="500" w:lineRule="exact"/>
        <w:rPr>
          <w:sz w:val="24"/>
          <w:szCs w:val="24"/>
        </w:rPr>
      </w:pPr>
      <w:r>
        <w:rPr>
          <w:sz w:val="24"/>
          <w:szCs w:val="24"/>
        </w:rPr>
      </w:r>
      <w:r>
        <w:rPr>
          <w:sz w:val="24"/>
          <w:szCs w:val="24"/>
        </w:rPr>
      </w:r>
      <w:r/>
    </w:p>
    <w:p>
      <w:pPr>
        <w:ind w:firstLine="480"/>
        <w:spacing w:line="500" w:lineRule="exact"/>
        <w:rPr>
          <w:sz w:val="24"/>
          <w:szCs w:val="24"/>
        </w:rPr>
      </w:pPr>
      <w:r>
        <w:rPr>
          <w:sz w:val="24"/>
          <w:szCs w:val="24"/>
        </w:rPr>
      </w:r>
      <w:r>
        <w:rPr>
          <w:sz w:val="24"/>
          <w:szCs w:val="24"/>
        </w:rPr>
      </w:r>
      <w:r/>
    </w:p>
    <w:p>
      <w:pPr>
        <w:ind w:firstLine="480"/>
        <w:spacing w:line="500" w:lineRule="exact"/>
        <w:rPr>
          <w:sz w:val="24"/>
          <w:szCs w:val="24"/>
        </w:rPr>
      </w:pPr>
      <w:r>
        <w:rPr>
          <w:sz w:val="24"/>
          <w:szCs w:val="24"/>
        </w:rPr>
      </w:r>
      <w:r>
        <w:rPr>
          <w:sz w:val="24"/>
          <w:szCs w:val="24"/>
        </w:rPr>
      </w:r>
      <w:r/>
    </w:p>
    <w:p>
      <w:pPr>
        <w:ind w:firstLine="480"/>
        <w:spacing w:line="500" w:lineRule="exact"/>
        <w:rPr>
          <w:sz w:val="24"/>
          <w:szCs w:val="24"/>
        </w:rPr>
      </w:pPr>
      <w:r>
        <w:rPr>
          <w:sz w:val="24"/>
          <w:szCs w:val="24"/>
        </w:rPr>
      </w:r>
      <w:r>
        <w:rPr>
          <w:sz w:val="24"/>
          <w:szCs w:val="24"/>
        </w:rPr>
      </w:r>
      <w:r/>
    </w:p>
    <w:p>
      <w:pPr>
        <w:ind w:firstLine="480"/>
        <w:spacing w:line="500" w:lineRule="exact"/>
        <w:rPr>
          <w:sz w:val="24"/>
          <w:szCs w:val="24"/>
        </w:rPr>
      </w:pPr>
      <w:r>
        <w:rPr>
          <w:sz w:val="24"/>
          <w:szCs w:val="24"/>
        </w:rPr>
      </w:r>
      <w:r>
        <w:rPr>
          <w:sz w:val="24"/>
          <w:szCs w:val="24"/>
        </w:rPr>
      </w:r>
      <w:r/>
    </w:p>
    <w:p>
      <w:pPr>
        <w:ind w:firstLine="480"/>
        <w:spacing w:line="500" w:lineRule="exact"/>
        <w:rPr>
          <w:sz w:val="24"/>
          <w:szCs w:val="24"/>
        </w:rPr>
      </w:pPr>
      <w:r>
        <w:rPr>
          <w:sz w:val="24"/>
          <w:szCs w:val="24"/>
        </w:rPr>
      </w:r>
      <w:r>
        <w:rPr>
          <w:sz w:val="24"/>
          <w:szCs w:val="24"/>
        </w:rPr>
      </w:r>
      <w:r/>
    </w:p>
    <w:p>
      <w:pPr>
        <w:ind w:firstLine="480"/>
        <w:spacing w:line="500" w:lineRule="exact"/>
        <w:rPr>
          <w:sz w:val="24"/>
          <w:szCs w:val="24"/>
        </w:rPr>
      </w:pPr>
      <w:r>
        <w:rPr>
          <w:sz w:val="24"/>
          <w:szCs w:val="24"/>
        </w:rPr>
      </w:r>
      <w:r>
        <w:rPr>
          <w:sz w:val="24"/>
          <w:szCs w:val="24"/>
        </w:rPr>
      </w:r>
      <w:r/>
    </w:p>
    <w:p>
      <w:pPr>
        <w:ind w:firstLine="480"/>
        <w:spacing w:line="500" w:lineRule="exact"/>
        <w:rPr>
          <w:sz w:val="24"/>
          <w:szCs w:val="24"/>
        </w:rPr>
      </w:pPr>
      <w:r>
        <w:rPr>
          <w:rFonts w:hint="eastAsia" w:asciiTheme="minorEastAsia" w:hAnsiTheme="minorEastAsia"/>
          <w:sz w:val="24"/>
          <w:szCs w:val="24"/>
          <w:highlight w:val="none"/>
        </w:rPr>
      </w:r>
      <w:r>
        <w:rPr>
          <w:rFonts w:hint="eastAsia" w:asciiTheme="minorEastAsia" w:hAnsiTheme="minorEastAsia"/>
          <w:sz w:val="24"/>
          <w:szCs w:val="24"/>
          <w:highlight w:val="none"/>
        </w:rPr>
      </w:r>
      <w:r/>
    </w:p>
    <w:p>
      <w:pPr>
        <w:pStyle w:val="843"/>
        <w:jc w:val="center"/>
        <w:spacing w:line="360" w:lineRule="auto"/>
        <w:rPr>
          <w:rFonts w:ascii="黑体" w:hAnsi="黑体" w:eastAsia="黑体"/>
          <w:b w:val="0"/>
        </w:rPr>
      </w:pPr>
      <w:r/>
      <w:bookmarkStart w:id="1" w:name="_Toc162361611"/>
      <w:r>
        <w:rPr>
          <w:rFonts w:hint="eastAsia" w:ascii="黑体" w:hAnsi="黑体" w:eastAsia="黑体"/>
          <w:b w:val="0"/>
        </w:rPr>
        <w:t xml:space="preserve">第二章  投标人须知</w:t>
      </w:r>
      <w:bookmarkEnd w:id="1"/>
      <w:r/>
      <w:r/>
    </w:p>
    <w:p>
      <w:pPr>
        <w:pStyle w:val="844"/>
        <w:spacing w:before="0" w:after="0" w:line="500" w:lineRule="exact"/>
        <w:rPr>
          <w:rFonts w:asciiTheme="minorEastAsia" w:hAnsiTheme="minorEastAsia" w:eastAsiaTheme="minorEastAsia"/>
        </w:rPr>
      </w:pPr>
      <w:r>
        <w:rPr>
          <w:rFonts w:hint="eastAsia" w:asciiTheme="minorEastAsia" w:hAnsiTheme="minorEastAsia" w:eastAsiaTheme="minorEastAsia"/>
        </w:rPr>
        <w:t xml:space="preserve">一、总则</w:t>
      </w:r>
      <w:r/>
    </w:p>
    <w:p>
      <w:pPr>
        <w:ind w:firstLine="482"/>
        <w:spacing w:line="500" w:lineRule="exact"/>
        <w:rPr>
          <w:rFonts w:asciiTheme="minorEastAsia" w:hAnsiTheme="minorEastAsia"/>
          <w:b/>
          <w:sz w:val="24"/>
        </w:rPr>
      </w:pPr>
      <w:r>
        <w:rPr>
          <w:rFonts w:hint="eastAsia" w:asciiTheme="minorEastAsia" w:hAnsiTheme="minorEastAsia"/>
          <w:b/>
          <w:sz w:val="24"/>
        </w:rPr>
        <w:t xml:space="preserve">1.招标方式</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1.1 本次招标采取公开招标方式，本招标文件仅适用于招标公告中所述项目。</w:t>
      </w:r>
      <w:r/>
    </w:p>
    <w:p>
      <w:pPr>
        <w:ind w:firstLine="482"/>
        <w:spacing w:line="500" w:lineRule="exact"/>
        <w:rPr>
          <w:rFonts w:asciiTheme="minorEastAsia" w:hAnsiTheme="minorEastAsia"/>
          <w:b/>
          <w:sz w:val="24"/>
        </w:rPr>
      </w:pPr>
      <w:r>
        <w:rPr>
          <w:rFonts w:hint="eastAsia" w:asciiTheme="minorEastAsia" w:hAnsiTheme="minorEastAsia"/>
          <w:b/>
          <w:sz w:val="24"/>
        </w:rPr>
        <w:t xml:space="preserve">2.合格的投标人</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2.1 满足招标公告中供应商的资格要求的规定。</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2.2 银行、保险、石油石化、电力、电信等特殊行业法人的分支机构（不具有独立的法人资格）参加本项目政府采购活动的，应当提供总公司出具的愿为其参与政府采购活动以及履约行为承担民事责任的承诺书（或授权书）。</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2.3 满足本招标文件全部实质性要求和条件的规定。</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2.4 符合上述条件的投标人应承担投标及履约过程应承担的全部责任与义务。</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2.5单位负责人为同一人或者存在直接控股、管理关系的不同供应商，不得参加同一合同项下的政府采购活动。</w:t>
      </w:r>
      <w:r/>
    </w:p>
    <w:p>
      <w:pPr>
        <w:ind w:firstLine="480"/>
        <w:spacing w:line="360" w:lineRule="auto"/>
        <w:rPr>
          <w:rFonts w:asciiTheme="minorEastAsia" w:hAnsiTheme="minorEastAsia"/>
          <w:sz w:val="24"/>
          <w:szCs w:val="24"/>
        </w:rPr>
      </w:pPr>
      <w:r>
        <w:rPr>
          <w:rFonts w:hint="eastAsia" w:asciiTheme="minorEastAsia" w:hAnsiTheme="minorEastAsia"/>
          <w:sz w:val="24"/>
          <w:szCs w:val="24"/>
        </w:rPr>
        <w:t xml:space="preserve">2.6除单一来源采购项目外，为采购项目提供整体设计、规范编制或者项目管理、监理、检测等服务的供应商，不得再参加该采购项目的其他采购活动。</w:t>
      </w:r>
      <w:r/>
    </w:p>
    <w:p>
      <w:pPr>
        <w:pStyle w:val="849"/>
        <w:spacing w:line="360" w:lineRule="auto"/>
        <w:rPr>
          <w:sz w:val="24"/>
          <w:szCs w:val="24"/>
        </w:rPr>
      </w:pPr>
      <w:r>
        <w:rPr>
          <w:rFonts w:hint="eastAsia" w:asciiTheme="minorEastAsia" w:hAnsiTheme="minorEastAsia"/>
          <w:sz w:val="24"/>
          <w:szCs w:val="24"/>
        </w:rPr>
        <w:t xml:space="preserve">2.7以联合体形式参加政府采购活动的投标人须提交共同签署的《联合体协议》（详见招标文件第六章 投标文件格式），明确联合体的牵头单位，并载明联合体各方承担的工作和义务。联合体各方不得再单独参加或者与其他供应商另外组成联合体参加同一合同项下的政府采购活动。</w:t>
      </w:r>
      <w:r/>
    </w:p>
    <w:p>
      <w:pPr>
        <w:ind w:firstLine="482"/>
        <w:spacing w:line="500" w:lineRule="exact"/>
        <w:rPr>
          <w:rFonts w:asciiTheme="minorEastAsia" w:hAnsiTheme="minorEastAsia"/>
          <w:b/>
          <w:sz w:val="24"/>
        </w:rPr>
      </w:pPr>
      <w:r>
        <w:rPr>
          <w:rFonts w:hint="eastAsia" w:asciiTheme="minorEastAsia" w:hAnsiTheme="minorEastAsia"/>
          <w:b/>
          <w:sz w:val="24"/>
        </w:rPr>
        <w:t xml:space="preserve">3.适用法律</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3.1 本次招标及由此产生的合同受中华人民共和国有关的法律法规制约和保护。</w:t>
      </w:r>
      <w:r/>
    </w:p>
    <w:p>
      <w:pPr>
        <w:ind w:firstLine="482"/>
        <w:spacing w:line="500" w:lineRule="exact"/>
        <w:rPr>
          <w:rFonts w:asciiTheme="minorEastAsia" w:hAnsiTheme="minorEastAsia"/>
          <w:b/>
          <w:sz w:val="24"/>
        </w:rPr>
      </w:pPr>
      <w:r>
        <w:rPr>
          <w:rFonts w:hint="eastAsia" w:asciiTheme="minorEastAsia" w:hAnsiTheme="minorEastAsia"/>
          <w:b/>
          <w:sz w:val="24"/>
        </w:rPr>
        <w:t xml:space="preserve">4.投标费用</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4.1 投标人应自行承担所有与参加投标有关的费用，无论投标过程中的做法和结果如何，连云港市公共资源交易中心（以下简称交易中心）在任何情况下均无义务和责任承担这些费用。</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4.2 本次招标采购人和交易中心不收取标书工本费与中标服务费。</w:t>
      </w:r>
      <w:r/>
    </w:p>
    <w:p>
      <w:pPr>
        <w:ind w:firstLine="482"/>
        <w:spacing w:line="500" w:lineRule="exact"/>
        <w:rPr>
          <w:rFonts w:asciiTheme="minorEastAsia" w:hAnsiTheme="minorEastAsia"/>
          <w:b/>
          <w:sz w:val="24"/>
        </w:rPr>
      </w:pPr>
      <w:r>
        <w:rPr>
          <w:rFonts w:hint="eastAsia" w:asciiTheme="minorEastAsia" w:hAnsiTheme="minorEastAsia"/>
          <w:b/>
          <w:sz w:val="24"/>
        </w:rPr>
        <w:t xml:space="preserve">5.招标文件的约束力</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5.1 投标人一旦参加本项目采购活动，即被认为接受了本招标文件的规定和约束。</w:t>
      </w:r>
      <w:r/>
    </w:p>
    <w:p>
      <w:pPr>
        <w:pStyle w:val="844"/>
        <w:spacing w:before="0" w:after="0" w:line="500" w:lineRule="exact"/>
        <w:rPr>
          <w:rFonts w:asciiTheme="minorEastAsia" w:hAnsiTheme="minorEastAsia" w:eastAsiaTheme="minorEastAsia"/>
        </w:rPr>
      </w:pPr>
      <w:r>
        <w:rPr>
          <w:rFonts w:hint="eastAsia" w:asciiTheme="minorEastAsia" w:hAnsiTheme="minorEastAsia" w:eastAsiaTheme="minorEastAsia"/>
        </w:rPr>
        <w:t xml:space="preserve">二、招标文件</w:t>
      </w:r>
      <w:r/>
    </w:p>
    <w:p>
      <w:pPr>
        <w:ind w:firstLine="482"/>
        <w:spacing w:line="500" w:lineRule="exact"/>
        <w:rPr>
          <w:rFonts w:asciiTheme="minorEastAsia" w:hAnsiTheme="minorEastAsia"/>
          <w:b/>
          <w:sz w:val="24"/>
        </w:rPr>
      </w:pPr>
      <w:r>
        <w:rPr>
          <w:rFonts w:hint="eastAsia" w:asciiTheme="minorEastAsia" w:hAnsiTheme="minorEastAsia"/>
          <w:b/>
          <w:sz w:val="24"/>
        </w:rPr>
        <w:t xml:space="preserve">6.招标文件构成</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6.1 招标文件由以下部分组成：</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（1）投标邀请</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（2）投标人须知</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（3）合同文本</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（4）采购需求</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（5）评标方法与评标标准</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（6）投标文件格式</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请仔细检查招标文件是否齐全，如有缺漏请立即与交易中心联系解决。</w:t>
      </w:r>
      <w:r/>
    </w:p>
    <w:p>
      <w:pPr>
        <w:ind w:firstLine="482"/>
        <w:spacing w:line="500" w:lineRule="exact"/>
        <w:rPr>
          <w:rFonts w:asciiTheme="minorEastAsia" w:hAnsiTheme="minorEastAsia"/>
          <w:b/>
          <w:sz w:val="24"/>
        </w:rPr>
      </w:pPr>
      <w:r>
        <w:rPr>
          <w:rFonts w:hint="eastAsia" w:asciiTheme="minorEastAsia" w:hAnsiTheme="minorEastAsia"/>
          <w:b/>
          <w:sz w:val="24"/>
        </w:rPr>
        <w:t xml:space="preserve">7.招标文件的澄清</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7.1 任何要求对招标文件进行澄清的投标人，应在投标截止期十日前按招标公告中的通讯地址，以书面形式通知采购人或者交易中心。</w:t>
      </w:r>
      <w:r/>
    </w:p>
    <w:p>
      <w:pPr>
        <w:ind w:firstLine="482"/>
        <w:spacing w:line="500" w:lineRule="exact"/>
        <w:rPr>
          <w:rFonts w:asciiTheme="minorEastAsia" w:hAnsiTheme="minorEastAsia"/>
          <w:b/>
          <w:sz w:val="24"/>
        </w:rPr>
      </w:pPr>
      <w:r>
        <w:rPr>
          <w:rFonts w:hint="eastAsia" w:asciiTheme="minorEastAsia" w:hAnsiTheme="minorEastAsia"/>
          <w:b/>
          <w:sz w:val="24"/>
        </w:rPr>
        <w:t xml:space="preserve">8.招标文件的修改</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8.1 在投标截止时间前，交易中心可以对招标文件进行修改。</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8.2 交易中心有权按照法定的要求推迟投标截止日期和开标日期。</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8.3 招标文件的修改将在江苏政府采购网公布，补充文件将作为招标文件的组成部分，并对投标人具有约束力。</w:t>
      </w:r>
      <w:r/>
    </w:p>
    <w:p>
      <w:pPr>
        <w:pStyle w:val="844"/>
        <w:spacing w:before="0" w:after="0" w:line="500" w:lineRule="exact"/>
        <w:rPr>
          <w:rFonts w:asciiTheme="minorEastAsia" w:hAnsiTheme="minorEastAsia" w:eastAsiaTheme="minorEastAsia"/>
        </w:rPr>
      </w:pPr>
      <w:r>
        <w:rPr>
          <w:rFonts w:hint="eastAsia" w:asciiTheme="minorEastAsia" w:hAnsiTheme="minorEastAsia" w:eastAsiaTheme="minorEastAsia"/>
        </w:rPr>
        <w:t xml:space="preserve">三、投标文件的编制</w:t>
      </w:r>
      <w:r/>
    </w:p>
    <w:p>
      <w:pPr>
        <w:ind w:firstLine="482"/>
        <w:spacing w:line="500" w:lineRule="exact"/>
        <w:rPr>
          <w:rFonts w:asciiTheme="minorEastAsia" w:hAnsiTheme="minorEastAsia"/>
          <w:b/>
          <w:sz w:val="24"/>
        </w:rPr>
      </w:pPr>
      <w:r>
        <w:rPr>
          <w:rFonts w:hint="eastAsia" w:asciiTheme="minorEastAsia" w:hAnsiTheme="minorEastAsia"/>
          <w:b/>
          <w:sz w:val="24"/>
        </w:rPr>
        <w:t xml:space="preserve">9.投标文件编写注意事项</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9.1 投标人应当仔细阅读招标文件中所有的事项、格式、条款和规范等要求，在完全了解招标内容、技术性能要求和商务条件后，按照招标文件的要求编制投标文件。投标文件应当对招标文件提出的要求和条件作出明确响应，并保证所提</w:t>
      </w:r>
      <w:r>
        <w:rPr>
          <w:rFonts w:hint="eastAsia" w:asciiTheme="minorEastAsia" w:hAnsiTheme="minorEastAsia"/>
          <w:sz w:val="24"/>
          <w:szCs w:val="24"/>
        </w:rPr>
        <w:t xml:space="preserve">供的全部资料的真实性，否则作无效响应处理。</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9.2 对招标文件提出的实质性要求和条件作出响应是指投标人必须对招标文件中标明实质性要求和条件的技术参数及性能配置、数量、价格、售后服务、合同主要条款及其它要求等内容逐条作出满足原要求和条件的响应。</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9.3根据关于印发《连云港市本级优化政府采购领域营商环境2026年重点举措》的通知（连采购〔2026〕11号）规定，自2026年4月1日起，针对市本级全部集中采购项目实施暗标盲评。</w:t>
      </w:r>
      <w:r/>
    </w:p>
    <w:p>
      <w:pPr>
        <w:ind w:firstLine="480"/>
        <w:spacing w:line="500" w:lineRule="exact"/>
        <w:rPr>
          <w:rFonts w:ascii="宋体" w:hAnsi="宋体" w:eastAsia="宋体" w:cs="宋体"/>
          <w:bCs/>
          <w:color w:val="000000"/>
          <w:sz w:val="24"/>
          <w:szCs w:val="24"/>
        </w:rPr>
      </w:pPr>
      <w:r>
        <w:rPr>
          <w:rFonts w:hint="eastAsia" w:ascii="宋体" w:hAnsi="宋体" w:eastAsia="宋体" w:cs="宋体"/>
          <w:bCs/>
          <w:color w:val="000000"/>
          <w:sz w:val="24"/>
          <w:szCs w:val="24"/>
        </w:rPr>
        <w:t xml:space="preserve">本项目（两个采购包）评审因素中技术（方案）部分采用暗标评审。要求如下：方案内容、文字、各类型图表、框图均不得出现供应商名称、相关人员姓名和其他可识别供应商身份的字符、徽标、人员名称、投标人独享的企业标准或编号等内容；不得出现能显示企业特征或批注、底纹、阴影、水印等提示性的标记或标识；不得出现以前所承担过的项目名称，不得作任何标识或暗示该供应商单位名称或人员姓名的标记，相关人员姓名应以职务或职称代替。</w:t>
      </w:r>
      <w:r/>
    </w:p>
    <w:p>
      <w:pPr>
        <w:ind w:firstLine="480"/>
        <w:spacing w:line="500" w:lineRule="exact"/>
        <w:widowControl/>
        <w:rPr>
          <w:rFonts w:ascii="宋体" w:hAnsi="宋体" w:eastAsia="宋体" w:cs="宋体"/>
          <w:bCs/>
          <w:color w:val="000000"/>
          <w:sz w:val="24"/>
          <w:szCs w:val="24"/>
        </w:rPr>
      </w:pPr>
      <w:r>
        <w:rPr>
          <w:rFonts w:hint="eastAsia" w:ascii="宋体" w:hAnsi="宋体" w:eastAsia="宋体" w:cs="宋体"/>
          <w:bCs/>
          <w:color w:val="000000"/>
          <w:sz w:val="24"/>
          <w:szCs w:val="24"/>
        </w:rPr>
        <w:t xml:space="preserve">方案部分上传地址在“苏采云”系统响应文件制作工具（政府采购客户端）的带有“暗”标志的评分项节点。本项目在评审过程中，只要有任一家投标人方案部分能够正常显示的，即视为“苏采云”系统方案部分暗标功能运行无故障。投标人需按照上述要求编制方案，未按要求编制的本项不得分。</w:t>
      </w:r>
      <w:r/>
    </w:p>
    <w:p>
      <w:pPr>
        <w:ind w:firstLine="482"/>
        <w:spacing w:line="500" w:lineRule="exact"/>
        <w:rPr>
          <w:rFonts w:asciiTheme="minorEastAsia" w:hAnsiTheme="minorEastAsia"/>
          <w:b/>
          <w:sz w:val="24"/>
        </w:rPr>
      </w:pPr>
      <w:r>
        <w:rPr>
          <w:rFonts w:hint="eastAsia" w:asciiTheme="minorEastAsia" w:hAnsiTheme="minorEastAsia"/>
          <w:b/>
          <w:sz w:val="24"/>
        </w:rPr>
        <w:t xml:space="preserve">10.投标文件的语言及度量衡单位</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10.1 除专用术语外，投标人提交的投标文件以及投标人与采购人和交易中心就有关投标的所有来往通知、函件和文件均应使用简体中文。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10.2 除技术性能另有规定外，投标文件所使用的度量衡单位，均须采用国家法定计量单位。</w:t>
      </w:r>
      <w:r/>
    </w:p>
    <w:p>
      <w:pPr>
        <w:ind w:firstLine="482"/>
        <w:spacing w:line="500" w:lineRule="exact"/>
        <w:rPr>
          <w:rFonts w:asciiTheme="minorEastAsia" w:hAnsiTheme="minorEastAsia"/>
          <w:b/>
          <w:sz w:val="24"/>
        </w:rPr>
      </w:pPr>
      <w:r>
        <w:rPr>
          <w:rFonts w:hint="eastAsia" w:asciiTheme="minorEastAsia" w:hAnsiTheme="minorEastAsia"/>
          <w:b/>
          <w:sz w:val="24"/>
        </w:rPr>
        <w:t xml:space="preserve">11.投标文件构成</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11.1 投标人编写的投标文件应包括资格证明文件、符合性证明文件、投标</w:t>
      </w:r>
      <w:r>
        <w:rPr>
          <w:rFonts w:hint="eastAsia" w:asciiTheme="minorEastAsia" w:hAnsiTheme="minorEastAsia"/>
          <w:sz w:val="24"/>
          <w:szCs w:val="24"/>
        </w:rPr>
        <w:t xml:space="preserve">分项报价表、技术要求响应及偏离表（如有请提供）、商务要求响应及偏离表、其他证明文件、投标函、开标一览表等部分。</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11.2 如投标文件制作工具中格式和内容与江苏政府采购网发布的招标文件不一致，请以江苏政府采购网发布的招标文件为准。</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11.3 特别提醒投标人，混乱的编排导致投标文件被误读或评标委员会（以下简称评委会）查找不到有效文件是投标人的风险。</w:t>
      </w:r>
      <w:r/>
    </w:p>
    <w:p>
      <w:pPr>
        <w:ind w:firstLine="482"/>
        <w:spacing w:line="500" w:lineRule="exact"/>
        <w:rPr>
          <w:rFonts w:asciiTheme="minorEastAsia" w:hAnsiTheme="minorEastAsia"/>
          <w:b/>
          <w:sz w:val="24"/>
        </w:rPr>
      </w:pPr>
      <w:r>
        <w:rPr>
          <w:rFonts w:hint="eastAsia" w:asciiTheme="minorEastAsia" w:hAnsiTheme="minorEastAsia"/>
          <w:b/>
          <w:sz w:val="24"/>
        </w:rPr>
        <w:t xml:space="preserve">12.证明投标人及投标标的符合招标文件规定的文件</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12.1 投标人应按照招标文件要求提交证明文件，证明其及投标标的符合招标文件规定。</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12.2 招标文件对证明文件无明确形式要求的，证明文件可以以文字资料、图纸和数据等形式提交。</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12.3 投标人委托代理时应当提交授权委托书，请按招标文件第六章给定格式及要求填写并附法定代表人（单位负责人）与委托代理人身份证明。</w:t>
      </w:r>
      <w:r/>
    </w:p>
    <w:p>
      <w:pPr>
        <w:ind w:firstLine="482"/>
        <w:spacing w:line="500" w:lineRule="exact"/>
        <w:rPr>
          <w:rFonts w:asciiTheme="minorEastAsia" w:hAnsiTheme="minorEastAsia"/>
          <w:b/>
          <w:sz w:val="24"/>
        </w:rPr>
      </w:pPr>
      <w:r>
        <w:rPr>
          <w:rFonts w:hint="eastAsia" w:asciiTheme="minorEastAsia" w:hAnsiTheme="minorEastAsia"/>
          <w:b/>
          <w:sz w:val="24"/>
        </w:rPr>
        <w:t xml:space="preserve">13.投标分项报价表</w:t>
      </w:r>
      <w:r/>
    </w:p>
    <w:p>
      <w:pPr>
        <w:ind w:firstLine="480"/>
        <w:spacing w:line="500" w:lineRule="exact"/>
        <w:rPr>
          <w:rFonts w:asciiTheme="minorEastAsia" w:hAnsiTheme="minorEastAsia"/>
          <w:sz w:val="24"/>
          <w:szCs w:val="24"/>
        </w:rPr>
      </w:pPr>
      <w:r/>
      <w:bookmarkStart w:id="2" w:name="OLE_LINK149"/>
      <w:r>
        <w:rPr>
          <w:rFonts w:hint="eastAsia" w:asciiTheme="minorEastAsia" w:hAnsiTheme="minorEastAsia"/>
          <w:sz w:val="24"/>
          <w:szCs w:val="24"/>
        </w:rPr>
        <w:t xml:space="preserve">13.1 投标人应根据投标报价要求在投标分项报价表中列明各项投标单价、总价等，未全部列示的作无效响应处理。</w:t>
      </w:r>
      <w:bookmarkEnd w:id="2"/>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13.2 投标货币。投标文件中的单价和总价无特殊规定的采用人民币报价，以元为单位标注。招标文件中另有规定的按规定执行。</w:t>
      </w:r>
      <w:r/>
    </w:p>
    <w:p>
      <w:pPr>
        <w:ind w:firstLine="482"/>
        <w:spacing w:line="500" w:lineRule="exact"/>
        <w:rPr>
          <w:rFonts w:asciiTheme="minorEastAsia" w:hAnsiTheme="minorEastAsia"/>
          <w:b/>
          <w:sz w:val="24"/>
        </w:rPr>
      </w:pPr>
      <w:r>
        <w:rPr>
          <w:rFonts w:hint="eastAsia" w:asciiTheme="minorEastAsia" w:hAnsiTheme="minorEastAsia"/>
          <w:b/>
          <w:sz w:val="24"/>
        </w:rPr>
        <w:t xml:space="preserve">14.技术要求响应及偏离表、商务要求响应及偏离表</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14.1 技术要求是指对采购标的的功能和质量要求，包括性能、材料、结构、外观、安全，或者服务内容和标准等。商务要求是指取得采购标的的时间、地点、财务和服务要求，包括交付（实施）的时间（期限）和地点（范围），付款条件（进度和方式），包装和运输，售后服务，保险等。投标人需对招标文件中的技术要求与商务要求逐项作出响应或偏离。</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14.2 投标人可在投标文件中提供认为需要的其他技术文件或说明。</w:t>
      </w:r>
      <w:r/>
    </w:p>
    <w:p>
      <w:pPr>
        <w:ind w:firstLine="482"/>
        <w:spacing w:line="500" w:lineRule="exact"/>
        <w:rPr>
          <w:rFonts w:asciiTheme="minorEastAsia" w:hAnsiTheme="minorEastAsia"/>
          <w:b/>
          <w:sz w:val="24"/>
        </w:rPr>
      </w:pPr>
      <w:r>
        <w:rPr>
          <w:rFonts w:hint="eastAsia" w:asciiTheme="minorEastAsia" w:hAnsiTheme="minorEastAsia"/>
          <w:b/>
          <w:sz w:val="24"/>
        </w:rPr>
        <w:t xml:space="preserve">15.服务承诺、培训计划、人员安排及其他</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15.1 投标人需根据招标文件要求提供有关售后服务的管理制度，售后服务</w:t>
      </w:r>
      <w:r>
        <w:rPr>
          <w:rFonts w:hint="eastAsia" w:asciiTheme="minorEastAsia" w:hAnsiTheme="minorEastAsia"/>
          <w:sz w:val="24"/>
          <w:szCs w:val="24"/>
        </w:rPr>
        <w:t xml:space="preserve">机构的分布情况，售后服务人员的数量、素质、技术水平及售后服务的反应能力等。</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15.2 投标人需根据招标文件要求提供培训计划、人员安排等。</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15.3 投标人需根据招标文件要求提供所投标的的主要组成部分、功能设计、实现思路及关键技术等。</w:t>
      </w:r>
      <w:r/>
    </w:p>
    <w:p>
      <w:pPr>
        <w:ind w:firstLine="482"/>
        <w:spacing w:line="500" w:lineRule="exact"/>
        <w:rPr>
          <w:rFonts w:asciiTheme="minorEastAsia" w:hAnsiTheme="minorEastAsia"/>
          <w:b/>
          <w:sz w:val="24"/>
        </w:rPr>
      </w:pPr>
      <w:r>
        <w:rPr>
          <w:rFonts w:hint="eastAsia" w:asciiTheme="minorEastAsia" w:hAnsiTheme="minorEastAsia"/>
          <w:b/>
          <w:sz w:val="24"/>
        </w:rPr>
        <w:t xml:space="preserve">16.投标函和开标一览表</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16.1 投标人应按照招标文件中提供的格式完整、正确填写投标函、开标一览表。</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16.2 对于采用货币报价的项目，开标一览表中的投标总报价应与投标分项报价表中的投标总报价一致，如不一致，不做无效投标处理，但评标时以开标一览表中价格为准。</w:t>
      </w:r>
      <w:r/>
    </w:p>
    <w:p>
      <w:pPr>
        <w:ind w:firstLine="482"/>
        <w:spacing w:line="500" w:lineRule="exact"/>
        <w:rPr>
          <w:rFonts w:asciiTheme="minorEastAsia" w:hAnsiTheme="minorEastAsia"/>
          <w:b/>
          <w:sz w:val="24"/>
        </w:rPr>
      </w:pPr>
      <w:r>
        <w:rPr>
          <w:rFonts w:hint="eastAsia" w:asciiTheme="minorEastAsia" w:hAnsiTheme="minorEastAsia"/>
          <w:b/>
          <w:sz w:val="24"/>
        </w:rPr>
        <w:t xml:space="preserve">17.投标有效期</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17.1 投标有效期为交易中心规定的开标之日后六十（60）天。投标有效期比规定短的将被视为未实质性响应招标文件而予以拒绝。</w:t>
      </w:r>
      <w:r/>
    </w:p>
    <w:p>
      <w:pPr>
        <w:ind w:firstLine="480"/>
        <w:jc w:val="left"/>
        <w:spacing w:line="500" w:lineRule="exact"/>
        <w:rPr>
          <w:sz w:val="24"/>
          <w:szCs w:val="24"/>
        </w:rPr>
      </w:pPr>
      <w:r>
        <w:rPr>
          <w:rFonts w:hint="eastAsia" w:asciiTheme="minorEastAsia" w:hAnsiTheme="minorEastAsia"/>
          <w:sz w:val="24"/>
          <w:szCs w:val="24"/>
        </w:rPr>
        <w:t xml:space="preserve">17.2</w:t>
      </w:r>
      <w:r>
        <w:rPr>
          <w:rFonts w:hint="eastAsia"/>
          <w:sz w:val="24"/>
          <w:szCs w:val="24"/>
        </w:rPr>
        <w:t xml:space="preserve">在特殊情况下（法律法规另有规定的除外），经监管部门批准后，交易中心于原投标有效期满之前可向投标人提出延长投标有效期的要求。这种要求与答复均应采用书面形式。投标人可以拒绝交易中心的这一要求而放弃投标，同意延长投标有效期的投标人既不能要求也不允许修改其投标文件。受投标有效期约束的所有权利与义务均延长至新的有效期。</w:t>
      </w:r>
      <w:r/>
    </w:p>
    <w:p>
      <w:pPr>
        <w:pStyle w:val="844"/>
        <w:spacing w:before="0" w:after="0" w:line="500" w:lineRule="exact"/>
        <w:rPr>
          <w:rFonts w:asciiTheme="minorEastAsia" w:hAnsiTheme="minorEastAsia" w:eastAsiaTheme="minorEastAsia"/>
        </w:rPr>
      </w:pPr>
      <w:r>
        <w:rPr>
          <w:rFonts w:hint="eastAsia" w:asciiTheme="minorEastAsia" w:hAnsiTheme="minorEastAsia" w:eastAsiaTheme="minorEastAsia"/>
        </w:rPr>
        <w:t xml:space="preserve">四、投标文件的递交</w:t>
      </w:r>
      <w:r/>
    </w:p>
    <w:p>
      <w:pPr>
        <w:ind w:firstLine="482"/>
        <w:spacing w:line="500" w:lineRule="exact"/>
        <w:rPr>
          <w:rFonts w:asciiTheme="minorEastAsia" w:hAnsiTheme="minorEastAsia"/>
          <w:b/>
          <w:sz w:val="24"/>
        </w:rPr>
      </w:pPr>
      <w:r>
        <w:rPr>
          <w:rFonts w:hint="eastAsia" w:asciiTheme="minorEastAsia" w:hAnsiTheme="minorEastAsia"/>
          <w:b/>
          <w:sz w:val="24"/>
        </w:rPr>
        <w:t xml:space="preserve">18.电子投标文件的递交</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18.1 投标人应当按照《操作手册》规定，在投标截止时间前制作并递交（上传）电子投标文件。</w:t>
      </w:r>
      <w:r/>
    </w:p>
    <w:p>
      <w:pPr>
        <w:ind w:firstLine="482"/>
        <w:spacing w:line="500" w:lineRule="exact"/>
        <w:rPr>
          <w:rFonts w:asciiTheme="minorEastAsia" w:hAnsiTheme="minorEastAsia"/>
          <w:b/>
          <w:sz w:val="24"/>
        </w:rPr>
      </w:pPr>
      <w:r>
        <w:rPr>
          <w:rFonts w:hint="eastAsia" w:asciiTheme="minorEastAsia" w:hAnsiTheme="minorEastAsia"/>
          <w:b/>
          <w:sz w:val="24"/>
        </w:rPr>
        <w:t xml:space="preserve">19.投标截止时间</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19.1 投标人递交（上传）电子投标文件的时间不得迟于招标公告中规定的投标截止时间。</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投标人应充分考虑到计算机硬件、软件及网络环境等风险因素，如因投标人</w:t>
      </w:r>
      <w:r>
        <w:rPr>
          <w:rFonts w:hint="eastAsia" w:asciiTheme="minorEastAsia" w:hAnsiTheme="minorEastAsia"/>
          <w:sz w:val="24"/>
          <w:szCs w:val="24"/>
        </w:rPr>
        <w:t xml:space="preserve">自身原因造成电子投标文件递交（上传）不成功的按照本招标文件第二章第27.1条规定做无效投标处理。</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19.2 交易中心可以按照规定，通过修改招标文件酌情延长投标截止日期，在此情况下，投标人的所有权利和义务以及投标人受制的截止日期均应以延长后新的截止日期为准。</w:t>
      </w:r>
      <w:r/>
    </w:p>
    <w:p>
      <w:pPr>
        <w:ind w:firstLine="482"/>
        <w:spacing w:line="500" w:lineRule="exact"/>
        <w:rPr>
          <w:rFonts w:asciiTheme="minorEastAsia" w:hAnsiTheme="minorEastAsia"/>
          <w:b/>
          <w:sz w:val="24"/>
        </w:rPr>
      </w:pPr>
      <w:r>
        <w:rPr>
          <w:rFonts w:hint="eastAsia" w:asciiTheme="minorEastAsia" w:hAnsiTheme="minorEastAsia"/>
          <w:b/>
          <w:sz w:val="24"/>
        </w:rPr>
        <w:t xml:space="preserve">20.投标文件的拒收</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20.1 交易中心拒绝接收在其规定的投标截止时间后递交（上传）的任何投标文件。</w:t>
      </w:r>
      <w:r/>
    </w:p>
    <w:p>
      <w:pPr>
        <w:ind w:firstLine="482"/>
        <w:spacing w:line="500" w:lineRule="exact"/>
        <w:rPr>
          <w:rFonts w:asciiTheme="minorEastAsia" w:hAnsiTheme="minorEastAsia"/>
          <w:b/>
          <w:sz w:val="24"/>
        </w:rPr>
      </w:pPr>
      <w:r>
        <w:rPr>
          <w:rFonts w:hint="eastAsia" w:asciiTheme="minorEastAsia" w:hAnsiTheme="minorEastAsia"/>
          <w:b/>
          <w:sz w:val="24"/>
        </w:rPr>
        <w:t xml:space="preserve">21.投标文件的撤回和修改</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21.1 投标文件的撤回</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21.1.1 投标人可在投标截止时间前，撤回其电子投标文件，具体操作方法见《操作手册》。</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21.1.2 投标人撤回电子投标文件的，则认为其不再参与本项目投标活动。</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21.2 投标文件的修改</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21.2.1 投标人可在投标截止时间前，对其电子投标文件进行修改，具体操作方法见《操作手册》。</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21.2.2 在投标截止时间之后，投标人不得对其电子投标文件做任何修改。</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21.3 在投标截止时间至招标文件中规定的投标有效期满之间的这段时间内，投标人不得撤回其投标。</w:t>
      </w:r>
      <w:r/>
    </w:p>
    <w:p>
      <w:pPr>
        <w:pStyle w:val="844"/>
        <w:spacing w:before="0" w:after="0" w:line="500" w:lineRule="exact"/>
        <w:rPr>
          <w:rFonts w:asciiTheme="minorEastAsia" w:hAnsiTheme="minorEastAsia" w:eastAsiaTheme="minorEastAsia"/>
        </w:rPr>
      </w:pPr>
      <w:r>
        <w:rPr>
          <w:rFonts w:hint="eastAsia" w:asciiTheme="minorEastAsia" w:hAnsiTheme="minorEastAsia" w:eastAsiaTheme="minorEastAsia"/>
        </w:rPr>
        <w:t xml:space="preserve">五、开标与评标</w:t>
      </w:r>
      <w:r/>
    </w:p>
    <w:p>
      <w:pPr>
        <w:ind w:firstLine="482"/>
        <w:spacing w:line="500" w:lineRule="exact"/>
        <w:rPr>
          <w:rFonts w:asciiTheme="minorEastAsia" w:hAnsiTheme="minorEastAsia"/>
          <w:b/>
          <w:sz w:val="24"/>
        </w:rPr>
      </w:pPr>
      <w:r>
        <w:rPr>
          <w:rFonts w:hint="eastAsia" w:asciiTheme="minorEastAsia" w:hAnsiTheme="minorEastAsia"/>
          <w:b/>
          <w:sz w:val="24"/>
        </w:rPr>
        <w:t xml:space="preserve">22.开标</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22.1 交易中心将在招标公告中规定的时间和地点组织公开开标。投标人应当按时参加开标活动，并在“苏采云”系统规定的时间内对投标文件进行解密。</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22.2 开标仪式由交易中心组织。“苏采云”系统将自动对项目进行开标，并宣布各投标人名称和投标价格。</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22.3 投标人在开标过程中涉及到的投标文件解密、开标结果确认等工作，应当按照《操作手册》规定执行。</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22.4 投标人如果对开标过程和开标记录有疑义，应当按照《操作手册》规定提出，未在“苏采云”系统《开标记录表》宣布后5分钟内提出的，视同认可开标结果。</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22.5 投标人未参加开标的，视同认可开标结果。</w:t>
      </w:r>
      <w:r/>
    </w:p>
    <w:p>
      <w:pPr>
        <w:ind w:firstLine="482"/>
        <w:spacing w:line="500" w:lineRule="exact"/>
        <w:rPr>
          <w:rFonts w:asciiTheme="minorEastAsia" w:hAnsiTheme="minorEastAsia"/>
          <w:b/>
          <w:sz w:val="24"/>
        </w:rPr>
      </w:pPr>
      <w:r>
        <w:rPr>
          <w:rFonts w:hint="eastAsia" w:asciiTheme="minorEastAsia" w:hAnsiTheme="minorEastAsia"/>
          <w:b/>
          <w:sz w:val="24"/>
        </w:rPr>
        <w:t xml:space="preserve">23.评标委员会</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23.1 开标后，交易中心将立即组织评委会进行评标。</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23.2 评委会由采购人代表和有关技术、经济等方面的评审专家组成，且人员构成符合政府采购有关规定。</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23.3 评委会按照采购文件规定的评审程序、评审方法和评审标准进行独立评审并确定中标候选人。</w:t>
      </w:r>
      <w:r/>
    </w:p>
    <w:p>
      <w:pPr>
        <w:ind w:firstLine="482"/>
        <w:spacing w:line="500" w:lineRule="exact"/>
        <w:rPr>
          <w:rFonts w:asciiTheme="minorEastAsia" w:hAnsiTheme="minorEastAsia"/>
          <w:b/>
          <w:sz w:val="24"/>
        </w:rPr>
      </w:pPr>
      <w:r>
        <w:rPr>
          <w:rFonts w:hint="eastAsia" w:asciiTheme="minorEastAsia" w:hAnsiTheme="minorEastAsia"/>
          <w:b/>
          <w:sz w:val="24"/>
        </w:rPr>
        <w:t xml:space="preserve">24.评标过程的保密与公正</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24.1 凡是与审查、澄清、评价和比较投标的有关资料以及授标建议等，采购人、评审专家、交易中心均不得向投标人或与评标无关的其他人员透露。</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24.2 在评标过程中，投标人不得以任何行为影响评标过程，否则其投标文件将被作为无效投标文件。</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24.3 交易中心和评委会不向未中标的投标人解释未中标原因，也不公布评标过程中的相关细节。</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24.4 采用综合评分法的项目，未中标的投标人可于中标结果公告期限届满之日起通过“苏采云”系统查看自己的评审得分及排序情况。</w:t>
      </w:r>
      <w:r/>
    </w:p>
    <w:p>
      <w:pPr>
        <w:ind w:firstLine="482"/>
        <w:spacing w:line="500" w:lineRule="exact"/>
        <w:rPr>
          <w:rFonts w:asciiTheme="minorEastAsia" w:hAnsiTheme="minorEastAsia"/>
          <w:b/>
          <w:sz w:val="24"/>
        </w:rPr>
      </w:pPr>
      <w:r>
        <w:rPr>
          <w:rFonts w:hint="eastAsia" w:asciiTheme="minorEastAsia" w:hAnsiTheme="minorEastAsia"/>
          <w:b/>
          <w:sz w:val="24"/>
        </w:rPr>
        <w:t xml:space="preserve">25.投标文件的澄清</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25.1 评标期间，评委会对投标文件中含义不明确、同类问题表述不一致或者有明显文字和计算错误的内容 ，有权要求投标人作出必要的澄清、说明或者补正。</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投标人的澄清、说明或者补正应当采用书面形式，并加盖公章，或者由法定代表人或其授权的代表签字。投标人的澄清、说明或者补正不得超出投标文件的范围或者改变投标文件的实质性内容。</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评委会并非对每个投标人都做澄清、说明或者补正要求。</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25.2 需要供应商进行澄清、说明或者补正的，评委会将通过“苏采云”系统向供应商发出“澄清要求函”，接到“澄清要求函”的投标人应当按照要求在“苏采云”系统中提交“澄清响应函”并加盖CA电子公章。澄清、说明或者补正的内容作为投标文件的补充部分，具体操作方式见《操作手册》。</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25.3 接到评委会澄清、说明或者补正要求的投标人如未按规定响应，其风险由投标人自行承担。</w:t>
      </w:r>
      <w:r/>
    </w:p>
    <w:p>
      <w:pPr>
        <w:ind w:firstLine="482"/>
        <w:spacing w:line="500" w:lineRule="exact"/>
        <w:rPr>
          <w:rFonts w:asciiTheme="minorEastAsia" w:hAnsiTheme="minorEastAsia"/>
          <w:b/>
          <w:sz w:val="24"/>
        </w:rPr>
      </w:pPr>
      <w:r>
        <w:rPr>
          <w:rFonts w:hint="eastAsia" w:asciiTheme="minorEastAsia" w:hAnsiTheme="minorEastAsia"/>
          <w:b/>
          <w:sz w:val="24"/>
        </w:rPr>
        <w:t xml:space="preserve">26.对投标文件的审查</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26.1 投标文件审查分为资格审查和符合性审查。</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26.1.1资格审查：采购人依据法律法规和招标文件的规定，对投标文件中的资格证明文件进行审查。资格审查的结论，采购人以书面形式向评委会进行反馈。</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采购人进行资格审查的同时，在信用中国网站（www.creditchina.gov.cn）、查询投标人的信用记录，以确定投标人是否具备投标资格，查询结果留存并归档。</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接受联合体的项目，两个以上的自然人、法人或者其他组织组成一个联合体，以一个供应商的身份共同参与政府采购活动的，联合体成员中任何一方存在不良信用记录的，视同联合体存在不良信用记录。</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26.1.2符合性审查：评委会依据招标文件的规定，从投标文件的有效性、完整性和对招标文件的响应程度进行审查，以确定其是否实质性响应了招标文件要求。实质性响应是与招标文件要求的全部实质性要求和条件相符，且与招标文件的其余非实质性要求和条件没有重大偏离。</w:t>
      </w:r>
      <w:r/>
    </w:p>
    <w:p>
      <w:pPr>
        <w:ind w:firstLine="482"/>
        <w:spacing w:line="500" w:lineRule="exact"/>
        <w:rPr>
          <w:rFonts w:ascii="宋体" w:hAnsi="宋体" w:eastAsia="宋体" w:cs="宋体"/>
          <w:b/>
          <w:bCs/>
          <w:sz w:val="24"/>
          <w:szCs w:val="24"/>
        </w:rPr>
      </w:pPr>
      <w:r>
        <w:rPr>
          <w:rFonts w:hint="eastAsia" w:ascii="宋体" w:hAnsi="宋体" w:eastAsia="宋体" w:cs="宋体"/>
          <w:b/>
          <w:bCs/>
          <w:sz w:val="24"/>
          <w:szCs w:val="24"/>
        </w:rPr>
        <w:t xml:space="preserve">26.1.3政府采购异常低价审查：</w:t>
      </w:r>
      <w:r/>
    </w:p>
    <w:p>
      <w:pPr>
        <w:ind w:firstLine="480"/>
        <w:spacing w:line="500" w:lineRule="exact"/>
        <w:rPr>
          <w:rFonts w:ascii="宋体" w:hAnsi="宋体" w:eastAsia="宋体" w:cs="宋体"/>
          <w:bCs/>
          <w:sz w:val="24"/>
          <w:szCs w:val="24"/>
        </w:rPr>
      </w:pPr>
      <w:r>
        <w:rPr>
          <w:rFonts w:hint="eastAsia" w:ascii="宋体" w:hAnsi="宋体" w:eastAsia="宋体" w:cs="宋体"/>
          <w:bCs/>
          <w:sz w:val="24"/>
          <w:szCs w:val="24"/>
        </w:rPr>
        <w:t xml:space="preserve">（一）政府采购评审中出现下列情形之一的，评审委员会应当启动异常低价投标审查程序：</w:t>
      </w:r>
      <w:r/>
    </w:p>
    <w:p>
      <w:pPr>
        <w:ind w:firstLine="480"/>
        <w:spacing w:line="500" w:lineRule="exact"/>
        <w:rPr>
          <w:rFonts w:ascii="宋体" w:hAnsi="宋体" w:eastAsia="宋体" w:cs="宋体"/>
          <w:bCs/>
          <w:sz w:val="24"/>
          <w:szCs w:val="24"/>
        </w:rPr>
      </w:pPr>
      <w:r>
        <w:rPr>
          <w:rFonts w:hint="eastAsia" w:ascii="宋体" w:hAnsi="宋体" w:eastAsia="宋体" w:cs="宋体"/>
          <w:bCs/>
          <w:sz w:val="24"/>
          <w:szCs w:val="24"/>
        </w:rPr>
        <w:t xml:space="preserve">采购包1：</w:t>
      </w:r>
      <w:r/>
    </w:p>
    <w:p>
      <w:pPr>
        <w:ind w:firstLine="480"/>
        <w:spacing w:line="500" w:lineRule="exact"/>
        <w:rPr>
          <w:rFonts w:ascii="宋体" w:hAnsi="宋体" w:eastAsia="宋体" w:cs="宋体"/>
          <w:bCs/>
          <w:sz w:val="24"/>
          <w:szCs w:val="24"/>
        </w:rPr>
      </w:pPr>
      <w:r>
        <w:rPr>
          <w:rFonts w:hint="eastAsia" w:ascii="宋体" w:hAnsi="宋体" w:eastAsia="宋体" w:cs="宋体"/>
          <w:bCs/>
          <w:sz w:val="24"/>
          <w:szCs w:val="24"/>
        </w:rPr>
        <w:t xml:space="preserve">1.投标报价低于全部通过符合性审查供应商投标报价平均值65%的，即投标报价&lt;全部通过符合性审查供应商投标报价平均值×65%；</w:t>
      </w:r>
      <w:r/>
    </w:p>
    <w:p>
      <w:pPr>
        <w:ind w:firstLine="480"/>
        <w:spacing w:line="500" w:lineRule="exact"/>
        <w:rPr>
          <w:rFonts w:ascii="宋体" w:hAnsi="宋体" w:eastAsia="宋体" w:cs="宋体"/>
          <w:bCs/>
          <w:sz w:val="24"/>
          <w:szCs w:val="24"/>
        </w:rPr>
      </w:pPr>
      <w:r>
        <w:rPr>
          <w:rFonts w:hint="eastAsia" w:ascii="宋体" w:hAnsi="宋体" w:eastAsia="宋体" w:cs="宋体"/>
          <w:bCs/>
          <w:sz w:val="24"/>
          <w:szCs w:val="24"/>
        </w:rPr>
        <w:t xml:space="preserve">2.投标报价低于通过符合性审查的次低报价供应商投标报价65%的，即投标</w:t>
      </w:r>
      <w:r>
        <w:rPr>
          <w:rFonts w:hint="eastAsia" w:ascii="宋体" w:hAnsi="宋体" w:eastAsia="宋体" w:cs="宋体"/>
          <w:bCs/>
          <w:sz w:val="24"/>
          <w:szCs w:val="24"/>
        </w:rPr>
        <w:t xml:space="preserve">报价&lt;通过符合性审查的次低报价供应商投标报价×65%；</w:t>
      </w:r>
      <w:r/>
    </w:p>
    <w:p>
      <w:pPr>
        <w:ind w:firstLine="480"/>
        <w:spacing w:line="500" w:lineRule="exact"/>
        <w:rPr>
          <w:rFonts w:ascii="宋体" w:hAnsi="宋体" w:eastAsia="宋体" w:cs="宋体"/>
          <w:bCs/>
          <w:sz w:val="24"/>
          <w:szCs w:val="24"/>
        </w:rPr>
      </w:pPr>
      <w:r>
        <w:rPr>
          <w:rFonts w:hint="eastAsia" w:ascii="宋体" w:hAnsi="宋体" w:eastAsia="宋体" w:cs="宋体"/>
          <w:bCs/>
          <w:sz w:val="24"/>
          <w:szCs w:val="24"/>
        </w:rPr>
        <w:t xml:space="preserve">3.投标报价低于采购项目最高限价65%的，即投标报价&lt;采购项目最高限价×65%；</w:t>
      </w:r>
      <w:r/>
    </w:p>
    <w:p>
      <w:pPr>
        <w:ind w:firstLine="480"/>
        <w:spacing w:line="500" w:lineRule="exact"/>
        <w:rPr>
          <w:rFonts w:ascii="宋体" w:hAnsi="宋体" w:eastAsia="宋体" w:cs="宋体"/>
          <w:bCs/>
          <w:sz w:val="24"/>
          <w:szCs w:val="24"/>
        </w:rPr>
      </w:pPr>
      <w:r>
        <w:rPr>
          <w:rFonts w:hint="eastAsia" w:ascii="宋体" w:hAnsi="宋体" w:eastAsia="宋体" w:cs="宋体"/>
          <w:bCs/>
          <w:sz w:val="24"/>
          <w:szCs w:val="24"/>
        </w:rPr>
        <w:t xml:space="preserve">4.评审委员会基于专业判断，认为供应商报价过低，有可能影响产品质量或者不能诚信履约的其他情形。</w:t>
      </w:r>
      <w:r/>
    </w:p>
    <w:p>
      <w:pPr>
        <w:ind w:firstLine="480"/>
        <w:spacing w:line="500" w:lineRule="exact"/>
        <w:rPr>
          <w:rFonts w:ascii="宋体" w:hAnsi="宋体" w:eastAsia="宋体" w:cs="宋体"/>
          <w:bCs/>
          <w:sz w:val="24"/>
          <w:szCs w:val="24"/>
        </w:rPr>
      </w:pPr>
      <w:r>
        <w:rPr>
          <w:rFonts w:hint="eastAsia" w:ascii="宋体" w:hAnsi="宋体" w:eastAsia="宋体" w:cs="宋体"/>
          <w:bCs/>
          <w:sz w:val="24"/>
          <w:szCs w:val="24"/>
        </w:rPr>
        <w:t xml:space="preserve">采购包2：</w:t>
      </w:r>
      <w:r/>
    </w:p>
    <w:p>
      <w:pPr>
        <w:ind w:firstLine="480"/>
        <w:spacing w:line="500" w:lineRule="exact"/>
        <w:rPr>
          <w:rFonts w:ascii="宋体" w:hAnsi="宋体" w:eastAsia="宋体" w:cs="宋体"/>
          <w:bCs/>
          <w:sz w:val="24"/>
          <w:szCs w:val="24"/>
        </w:rPr>
      </w:pPr>
      <w:r>
        <w:rPr>
          <w:rFonts w:hint="eastAsia" w:ascii="宋体" w:hAnsi="宋体" w:eastAsia="宋体" w:cs="宋体"/>
          <w:bCs/>
          <w:sz w:val="24"/>
          <w:szCs w:val="24"/>
        </w:rPr>
        <w:t xml:space="preserve">1.投标报价低于全部通过符合性审查供应商投标报价平均值65%的，即投标报价&lt;全部通过符合性审查供应商投标报价平均值×65%；</w:t>
      </w:r>
      <w:r/>
    </w:p>
    <w:p>
      <w:pPr>
        <w:ind w:firstLine="480"/>
        <w:spacing w:line="500" w:lineRule="exact"/>
        <w:rPr>
          <w:rFonts w:ascii="宋体" w:hAnsi="宋体" w:eastAsia="宋体" w:cs="宋体"/>
          <w:bCs/>
          <w:sz w:val="24"/>
          <w:szCs w:val="24"/>
        </w:rPr>
      </w:pPr>
      <w:r>
        <w:rPr>
          <w:rFonts w:hint="eastAsia" w:ascii="宋体" w:hAnsi="宋体" w:eastAsia="宋体" w:cs="宋体"/>
          <w:bCs/>
          <w:sz w:val="24"/>
          <w:szCs w:val="24"/>
        </w:rPr>
        <w:t xml:space="preserve">2.投标报价低于通过符合性审查的次低报价供应商投标报价65%的，即投标报价&lt;通过符合性审查的次低报价供应商投标报价×65%；</w:t>
      </w:r>
      <w:r/>
    </w:p>
    <w:p>
      <w:pPr>
        <w:ind w:firstLine="480"/>
        <w:spacing w:line="500" w:lineRule="exact"/>
        <w:rPr>
          <w:rFonts w:ascii="宋体" w:hAnsi="宋体" w:eastAsia="宋体" w:cs="宋体"/>
          <w:bCs/>
          <w:sz w:val="24"/>
          <w:szCs w:val="24"/>
        </w:rPr>
      </w:pPr>
      <w:r>
        <w:rPr>
          <w:rFonts w:hint="eastAsia" w:ascii="宋体" w:hAnsi="宋体" w:eastAsia="宋体" w:cs="宋体"/>
          <w:bCs/>
          <w:sz w:val="24"/>
          <w:szCs w:val="24"/>
        </w:rPr>
        <w:t xml:space="preserve">3.投标报价低于采购项目最高限价65%的，即投标报价&lt;采购项目最高限价×65%；</w:t>
      </w:r>
      <w:r/>
    </w:p>
    <w:p>
      <w:pPr>
        <w:ind w:firstLine="480"/>
        <w:spacing w:line="500" w:lineRule="exact"/>
        <w:rPr>
          <w:rFonts w:ascii="宋体" w:hAnsi="宋体" w:eastAsia="宋体" w:cs="宋体"/>
          <w:bCs/>
          <w:sz w:val="24"/>
          <w:szCs w:val="24"/>
        </w:rPr>
      </w:pPr>
      <w:r>
        <w:rPr>
          <w:rFonts w:hint="eastAsia" w:ascii="宋体" w:hAnsi="宋体" w:eastAsia="宋体" w:cs="宋体"/>
          <w:bCs/>
          <w:sz w:val="24"/>
          <w:szCs w:val="24"/>
        </w:rPr>
        <w:t xml:space="preserve">4.评审委员会基于专业判断，认为供应商报价过低，有可能影响产品质量或者不能诚信履约的其他情形。</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二）评审委员会启动异常低价投标审查后，属于前述两个采购包（一）中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具体时间由评审委员会确定。其中，属于（一）中第3项情形，供应商已随投标文件一并提交相关书面说明及必要的证明材料的，在评审现场可不再重复提交。</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评审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审委员会应当将其作为无效投标处理。</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采购人、采购代理机构为评审委员会在评审现场及时获取同类项目中标价格、</w:t>
      </w:r>
      <w:r>
        <w:rPr>
          <w:rFonts w:hint="eastAsia" w:ascii="宋体" w:hAnsi="宋体" w:eastAsia="宋体" w:cs="宋体"/>
          <w:sz w:val="24"/>
          <w:szCs w:val="24"/>
        </w:rPr>
        <w:t xml:space="preserve">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异常低价投标审查的启动原因、审查意见和审查结果应当在评审报告中记录，并随供应商提供的相关书面说明及证明材料，以及评审委员会有关互联网浏览、查询历史一并归档。评委会将通过“苏采云”系统要求其在合理的时间内提供书面说明、证明材料。</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26.1.4未通过资格审查或符合性审查的投标人，将通过“苏采云”系统中告知其未通过的原因，评审结束后，将不再告知。</w:t>
      </w:r>
      <w:r/>
    </w:p>
    <w:p>
      <w:pPr>
        <w:ind w:firstLine="480"/>
        <w:spacing w:line="500" w:lineRule="exact"/>
        <w:rPr>
          <w:rFonts w:ascii="宋体" w:hAnsi="宋体" w:eastAsia="宋体" w:cs="Times New Roman"/>
          <w:sz w:val="24"/>
          <w:szCs w:val="24"/>
        </w:rPr>
      </w:pPr>
      <w:r>
        <w:rPr>
          <w:rFonts w:hint="eastAsia" w:ascii="宋体" w:hAnsi="宋体" w:eastAsia="宋体" w:cs="Times New Roman"/>
          <w:sz w:val="24"/>
          <w:szCs w:val="24"/>
        </w:rPr>
        <w:t xml:space="preserve">26.2 在符合性审查阶段，评委会将审查每份投标文件是否实质性响应了招标文件的要求。实质性响应的投标应当是与招标文件要求的全部条款、条件和规格相符，没有重大偏离或保留的投标。</w:t>
      </w:r>
      <w:r/>
    </w:p>
    <w:p>
      <w:pPr>
        <w:ind w:firstLine="480"/>
        <w:spacing w:line="500" w:lineRule="exact"/>
        <w:rPr>
          <w:rFonts w:ascii="宋体" w:hAnsi="宋体" w:eastAsia="宋体" w:cs="Times New Roman"/>
          <w:sz w:val="24"/>
          <w:szCs w:val="24"/>
        </w:rPr>
      </w:pPr>
      <w:r>
        <w:rPr>
          <w:rFonts w:hint="eastAsia" w:ascii="宋体" w:hAnsi="宋体" w:eastAsia="宋体" w:cs="Times New Roman"/>
          <w:sz w:val="24"/>
          <w:szCs w:val="24"/>
        </w:rPr>
        <w:t xml:space="preserve">所谓重大偏离或保留是指与招标文件规定的实质性要求存在负偏离，或者在实质上与招标文件不一致，</w:t>
      </w:r>
      <w:r>
        <w:rPr>
          <w:rFonts w:hint="eastAsia" w:ascii="Calibri" w:hAnsi="Calibri" w:eastAsia="宋体" w:cs="Times New Roman"/>
          <w:sz w:val="24"/>
          <w:szCs w:val="24"/>
        </w:rPr>
        <w:t xml:space="preserve">包含但不限于设备质量、技术规格、售后服务和履约能力等材料明显不能满足招标文件要求，有可能影响产品质量或者不能诚信履约，</w:t>
      </w:r>
      <w:r>
        <w:rPr>
          <w:rFonts w:hint="eastAsia" w:ascii="宋体" w:hAnsi="宋体" w:eastAsia="宋体" w:cs="Times New Roman"/>
          <w:sz w:val="24"/>
          <w:szCs w:val="24"/>
        </w:rPr>
        <w:t xml:space="preserve">限制了合同中买方和交易中心的权利或投标人的义务，纠正这些偏离或保留将会对其他实质性响应要求的投标人的竞争地位产生不公正的影响。</w:t>
      </w:r>
      <w:r/>
    </w:p>
    <w:p>
      <w:pPr>
        <w:ind w:firstLine="480"/>
        <w:spacing w:line="500" w:lineRule="exact"/>
        <w:rPr>
          <w:rFonts w:ascii="宋体" w:hAnsi="宋体" w:eastAsia="宋体" w:cs="Times New Roman"/>
          <w:sz w:val="24"/>
          <w:szCs w:val="24"/>
        </w:rPr>
      </w:pPr>
      <w:r>
        <w:rPr>
          <w:rFonts w:hint="eastAsia" w:ascii="宋体" w:hAnsi="宋体" w:eastAsia="宋体" w:cs="Times New Roman"/>
          <w:sz w:val="24"/>
          <w:szCs w:val="24"/>
        </w:rPr>
        <w:t xml:space="preserve">重大偏离的认定需经过评委会以少数服从多数的原则作出结论。评委决定投标文件的响应性只根据投标文件本身的内容，而不寻求外部的证据。</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26.3如果投标文件实质上没有响应招标文件的要求，评委会将予以拒绝，投标人不得通过修改或撤销不符合要求的偏离而使其投标成为实质性响应的投标。</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26.4 评委会将对确定为实质性响应的投标进行进一步审核，看其是否有计算上或累加上的算术错误，修正错误的原则如下：</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（1）投标文件中开标一览表内容与投标文件中相应内容不一致的，以开标一览表为准。</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（2）大写金额和小写金额不一致的，以大写金额为准。</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（3）单价金额小数点或者百分比有明显错位的，以开标一览表的总价为准，并修改单价。</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（4）总价金额与按单价汇总金额不一致的，以单价金额计算结果为准。</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同时出现两种以上错误的，按照前款规定的顺序修正。</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26.5 评委会将按上述修正错误的方法调整投标文件中的投标报价，并通过“苏采云”系统告知投标人，调整后的价格对投标人具有约束力。如果投标人不接受修正后的价格，则其投标将被拒绝。</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26.6采用综合评分法的采购项目，提供相同品牌产品且通过资格审查、符合性审查的不同投标人参加同一合同项下投标的，按一家投标人计算，评审后得分最高的同品牌投标人获得中标人推荐资格；评审得分相同的，由评委会按照招标文件规定的方式确定一个投标人获得中标人推荐资格，招标文件未规定的采取随机抽取方式确定，其他同品牌投标人不作为中标候选人。</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非单一产品采购项目，招标文件中将载明核心产品。多家投标人提供的核心产品品牌相同的，按前两款规定处理。</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26.7 投标人在开、评标全过程中应保持通讯畅通，及时登录“苏采云”系统查阅、答复相关信息，并安排专人与交易中心及评委会联系。</w:t>
      </w:r>
      <w:r/>
    </w:p>
    <w:p>
      <w:pPr>
        <w:ind w:firstLine="482"/>
        <w:spacing w:line="500" w:lineRule="exact"/>
        <w:rPr>
          <w:rFonts w:asciiTheme="minorEastAsia" w:hAnsiTheme="minorEastAsia"/>
          <w:b/>
          <w:sz w:val="24"/>
        </w:rPr>
      </w:pPr>
      <w:r>
        <w:rPr>
          <w:rFonts w:hint="eastAsia" w:asciiTheme="minorEastAsia" w:hAnsiTheme="minorEastAsia"/>
          <w:b/>
          <w:sz w:val="24"/>
        </w:rPr>
        <w:t xml:space="preserve">27.无效投标条款和废标条款</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27.1 无效投标条款</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（1）投标人未按照招标文件要求递交（上传）电子投标文件的。</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（2）投标人在“苏采云”系统规定的时间内未成功解密电子投标文件的。</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（3）投标人不具备招标文件中规定的资格要求的。</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（4）投标人被信用中国网站（www.creditchina.gov.cn）列入失信被执行人、重大税收违法案件当事人名单、政府采购严重违法失信行为记录名单及其他不符合《中华人民共和国政府采购法》第二十二条规定情形的。</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（5）投标人提交两个（含两个）以上不同的投标报价的。</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（6）投标人的报价超过了采购预算或者最高限价的。</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（7）评委会认为投标人的报价明显低于其他通过符合性审查投标人的报价，</w:t>
      </w:r>
      <w:r>
        <w:rPr>
          <w:rFonts w:hint="eastAsia" w:asciiTheme="minorEastAsia" w:hAnsiTheme="minorEastAsia"/>
          <w:sz w:val="24"/>
          <w:szCs w:val="24"/>
        </w:rPr>
        <w:t xml:space="preserve">有可能影响产品质量或者不能诚信履约的，或者符合政府采购异常低价认定标准的，将通过“苏采云”系统要求其在合理的时间内提供说明，必要时提交相关证明材料，投标人不能证明其报价合理性的。</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（8）不符合招标文件中规定的实质性要求和条件的（本招标文件中斜体且有下划线部分为实质性要求和条件）。</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9）本项目采购产品（如有）被财政部、国家发改委、生态环境部等列入“节能产品品目清单”“环境标志产品品目清单”强制采购范围，而投标人所投标产品不在强制采购范围内或者未按要求提供国家确定的认证机构出具的、处于有效期之内的节能产品认证证书的。</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（10）投标人未通过符合性审查的。</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（11）投标文件含有采购人不能接受的附加条件的。</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（12）投标文件未按照招标文件要求加盖公章（CA电子公章）的。</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（13）其他法律、法规及本招标文件规定的属于无效投标的情形。</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27.2 有下列情形之一的，视为投标人串通投标，投标无效：</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（1）不同投标人的投标文件由同一单位或者个人编制。</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（2）不同投标人委托同一单位或者个人办理投标事宜。</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（3）不同投标人的投标文件载明的项目管理成员或者联系人员为同一人。</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（4）不同投标人的投标文件异常一致或者投标报价呈规律性差异。</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27.3 废标条款</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（1）因“苏采云”系统系统故障原因造成开标不成功的。</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（2）评委会认定招标文件存在歧义、重大缺陷导致评审工作无法进行的。</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（3）符合专业条件的供应商或者对招标文件作实质响应的供应商不足三家的。</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（4）出现影响采购公正的违法、违规行为的。</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（5）因重大变故，采购任务取消的。</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27.4 出现投标截止时间结束后参加投标的供应商或者在评标期间对招标文件做出实质响应的供应商不足三家情况的，按照政府采购相关规定执行。</w:t>
      </w:r>
      <w:r/>
    </w:p>
    <w:p>
      <w:pPr>
        <w:pStyle w:val="844"/>
        <w:spacing w:before="0" w:after="0" w:line="500" w:lineRule="exact"/>
        <w:rPr>
          <w:rFonts w:asciiTheme="minorEastAsia" w:hAnsiTheme="minorEastAsia" w:eastAsiaTheme="minorEastAsia"/>
        </w:rPr>
      </w:pPr>
      <w:r>
        <w:rPr>
          <w:rFonts w:hint="eastAsia" w:asciiTheme="minorEastAsia" w:hAnsiTheme="minorEastAsia" w:eastAsiaTheme="minorEastAsia"/>
        </w:rPr>
        <w:t xml:space="preserve">六、定标</w:t>
      </w:r>
      <w:r/>
    </w:p>
    <w:p>
      <w:pPr>
        <w:ind w:firstLine="482"/>
        <w:spacing w:line="500" w:lineRule="exact"/>
        <w:rPr>
          <w:rFonts w:asciiTheme="minorEastAsia" w:hAnsiTheme="minorEastAsia"/>
          <w:b/>
          <w:sz w:val="24"/>
        </w:rPr>
      </w:pPr>
      <w:r>
        <w:rPr>
          <w:rFonts w:hint="eastAsia" w:asciiTheme="minorEastAsia" w:hAnsiTheme="minorEastAsia"/>
          <w:b/>
          <w:sz w:val="24"/>
        </w:rPr>
        <w:t xml:space="preserve">28.确定中标单位</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28.1 中标候选人的选取原则和数量详见招标文件第五章规定。 </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28.2 采购人应根据评委会推荐的中标候选人确定中标人。</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28.3 交易中心将在江苏政府采购网发布中标公告，公告期限为1个工作日。</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28.4 若有充分证据证明，中标人存在下列情况之一的，一经查实，将被取消中标资格：</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（1）提供虚假材料谋取中标、成交的。</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（2）采取不正当手段诋毁、排挤其他供应商的。</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（3）与采购人、其他供应商或者采购代理机构恶意串通的。</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（4）向采购人、交易中心行贿或者提供其他不正当利益的。</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（5）在招标采购过程中与采购人进行协商谈判的。</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（6）属于本文件规定的无效条件，但在评标过程中又未被评委会发现的。</w:t>
      </w:r>
      <w:r/>
    </w:p>
    <w:p>
      <w:pPr>
        <w:ind w:firstLine="482"/>
        <w:spacing w:line="500" w:lineRule="exact"/>
        <w:rPr>
          <w:rFonts w:asciiTheme="minorEastAsia" w:hAnsiTheme="minorEastAsia"/>
          <w:b/>
          <w:sz w:val="24"/>
        </w:rPr>
      </w:pPr>
      <w:r>
        <w:rPr>
          <w:rFonts w:hint="eastAsia" w:asciiTheme="minorEastAsia" w:hAnsiTheme="minorEastAsia"/>
          <w:b/>
          <w:sz w:val="24"/>
        </w:rPr>
        <w:t xml:space="preserve">29.中标通知书</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29.1 中标结果确定后，交易中心将向中标人发出中标通知书。请中标人在中标结果公告届满之日起30日内，登录“苏采云”系统及时领取（下载）中标通知书。因系统存储空间有限，自中标结果公告届满之日起30日后，“苏采云”系统不再保证提供下载中标通知书服务，因未及时下载而造成的不利后果由中标人自行承担。</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29.2 中标通知书将是合同的一个组成部分。对采购人和中标人均具有法律效力。中标通知书发出后，采购人改变中标结果的，或者中标人放弃中标项目的，应当依法承担法律责任。</w:t>
      </w:r>
      <w:r/>
    </w:p>
    <w:p>
      <w:pPr>
        <w:pStyle w:val="844"/>
        <w:spacing w:before="0" w:after="0" w:line="500" w:lineRule="exact"/>
        <w:rPr>
          <w:rFonts w:asciiTheme="minorEastAsia" w:hAnsiTheme="minorEastAsia" w:eastAsiaTheme="minorEastAsia"/>
        </w:rPr>
      </w:pPr>
      <w:r>
        <w:rPr>
          <w:rFonts w:hint="eastAsia" w:asciiTheme="minorEastAsia" w:hAnsiTheme="minorEastAsia" w:eastAsiaTheme="minorEastAsia"/>
        </w:rPr>
        <w:t xml:space="preserve">七、履约保证金及授予合同</w:t>
      </w:r>
      <w:r/>
    </w:p>
    <w:p>
      <w:pPr>
        <w:ind w:firstLine="482"/>
        <w:spacing w:line="500" w:lineRule="exact"/>
        <w:rPr>
          <w:rFonts w:asciiTheme="minorEastAsia" w:hAnsiTheme="minorEastAsia"/>
          <w:b/>
          <w:sz w:val="24"/>
        </w:rPr>
      </w:pPr>
      <w:r>
        <w:rPr>
          <w:rFonts w:hint="eastAsia" w:asciiTheme="minorEastAsia" w:hAnsiTheme="minorEastAsia"/>
          <w:b/>
          <w:sz w:val="24"/>
        </w:rPr>
        <w:t xml:space="preserve">30.履约保证金</w:t>
      </w:r>
      <w:r/>
    </w:p>
    <w:p>
      <w:pPr>
        <w:ind w:firstLine="480"/>
        <w:spacing w:line="500" w:lineRule="exact"/>
        <w:rPr>
          <w:rFonts w:asciiTheme="minorEastAsia" w:hAnsiTheme="minorEastAsia"/>
          <w:bCs/>
          <w:sz w:val="24"/>
          <w:szCs w:val="24"/>
        </w:rPr>
      </w:pPr>
      <w:r>
        <w:rPr>
          <w:rFonts w:hint="eastAsia" w:asciiTheme="minorEastAsia" w:hAnsiTheme="minorEastAsia"/>
          <w:sz w:val="24"/>
          <w:szCs w:val="24"/>
        </w:rPr>
        <w:t xml:space="preserve">30.1 履约保证金的数额不得超过政府采购合同金额的10%。中标人应当以支票、汇票、本票或者金融机构、担保机构出具的保函等非现金形式提交。</w:t>
      </w:r>
      <w:r>
        <w:rPr>
          <w:rFonts w:hint="eastAsia" w:asciiTheme="minorEastAsia" w:hAnsiTheme="minorEastAsia"/>
          <w:bCs/>
          <w:sz w:val="24"/>
          <w:szCs w:val="24"/>
        </w:rPr>
        <w:t xml:space="preserve">中标人可自愿使用履约保函（保险）代替交纳履约保证金，详情请见《关于在全省政</w:t>
      </w:r>
      <w:r>
        <w:rPr>
          <w:rFonts w:hint="eastAsia" w:asciiTheme="minorEastAsia" w:hAnsiTheme="minorEastAsia"/>
          <w:bCs/>
          <w:sz w:val="24"/>
          <w:szCs w:val="24"/>
        </w:rPr>
        <w:t xml:space="preserve">府采购领域推行电子履约保函（保险）的通知》（苏财购〔2023〕150号）规定。</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30.2 中标人违约的，采购人将按照合同约定扣除其全部或部分履约保证金。如中标人违约给采购人造成的损失超过履约保证金的，应当依法赔偿超过部分的损失。</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30.3 履约保证金自合同生效之日起至合同约定的中标人主要义务履行完毕止，采购人应当按合同约定及时退还履约保证金。</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30.4 逾期退还履约保证金的采购人承担违约责任，按照中国人民银行同期贷款基准利率向中标人支付超期资金占用费。</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30.5 本项目履约保证金要求详见招标文件第四章 采购需求。</w:t>
      </w:r>
      <w:r/>
    </w:p>
    <w:p>
      <w:pPr>
        <w:ind w:firstLine="482"/>
        <w:spacing w:line="500" w:lineRule="exact"/>
        <w:rPr>
          <w:rFonts w:asciiTheme="minorEastAsia" w:hAnsiTheme="minorEastAsia"/>
          <w:b/>
          <w:sz w:val="24"/>
        </w:rPr>
      </w:pPr>
      <w:r>
        <w:rPr>
          <w:rFonts w:hint="eastAsia" w:asciiTheme="minorEastAsia" w:hAnsiTheme="minorEastAsia"/>
          <w:b/>
          <w:sz w:val="24"/>
        </w:rPr>
        <w:t xml:space="preserve">31.签订合同</w:t>
      </w:r>
      <w:r/>
    </w:p>
    <w:p>
      <w:pPr>
        <w:ind w:firstLine="480"/>
        <w:spacing w:line="500" w:lineRule="exact"/>
        <w:rPr>
          <w:rFonts w:asciiTheme="minorEastAsia" w:hAnsiTheme="minorEastAsia"/>
          <w:sz w:val="24"/>
        </w:rPr>
      </w:pPr>
      <w:r>
        <w:rPr>
          <w:rFonts w:hint="eastAsia" w:asciiTheme="minorEastAsia" w:hAnsiTheme="minorEastAsia"/>
          <w:sz w:val="24"/>
        </w:rPr>
        <w:t xml:space="preserve">31.1 中标人应当在中标通知书发出之日起三十日内，按照招标文件和中标人投标文件的规定，与采购人签订政府采购合同。</w:t>
      </w:r>
      <w:r/>
    </w:p>
    <w:p>
      <w:pPr>
        <w:ind w:firstLine="480"/>
        <w:spacing w:line="500" w:lineRule="exact"/>
        <w:rPr>
          <w:rFonts w:asciiTheme="minorEastAsia" w:hAnsiTheme="minorEastAsia"/>
          <w:sz w:val="24"/>
        </w:rPr>
      </w:pPr>
      <w:r>
        <w:rPr>
          <w:rFonts w:hint="eastAsia" w:asciiTheme="minorEastAsia" w:hAnsiTheme="minorEastAsia"/>
          <w:sz w:val="24"/>
        </w:rPr>
        <w:t xml:space="preserve">31.2 招标文件、中标人的投标文件及招标过程中有关澄清、承诺等文件均应作为合同附件。</w:t>
      </w:r>
      <w:r/>
    </w:p>
    <w:p>
      <w:pPr>
        <w:ind w:firstLine="480"/>
        <w:spacing w:line="500" w:lineRule="exact"/>
        <w:rPr>
          <w:rFonts w:asciiTheme="minorEastAsia" w:hAnsiTheme="minorEastAsia"/>
          <w:sz w:val="24"/>
        </w:rPr>
      </w:pPr>
      <w:r>
        <w:rPr>
          <w:rFonts w:hint="eastAsia" w:asciiTheme="minorEastAsia" w:hAnsiTheme="minorEastAsia"/>
          <w:sz w:val="24"/>
        </w:rPr>
        <w:t xml:space="preserve">31.3 签订合同后，中标人不得将合同标的转包。未经采购人同意，中标人也不得采用分包的形式履行合同，否则采购人有权终止合同。转包或分包造成采购人损失的，中标人应承担相应赔偿责任。</w:t>
      </w:r>
      <w:r/>
    </w:p>
    <w:p>
      <w:pPr>
        <w:ind w:firstLine="482"/>
        <w:spacing w:line="500" w:lineRule="exact"/>
        <w:rPr>
          <w:rFonts w:asciiTheme="minorEastAsia" w:hAnsiTheme="minorEastAsia"/>
          <w:b/>
          <w:sz w:val="24"/>
        </w:rPr>
      </w:pPr>
      <w:r>
        <w:rPr>
          <w:rFonts w:hint="eastAsia" w:asciiTheme="minorEastAsia" w:hAnsiTheme="minorEastAsia"/>
          <w:b/>
          <w:sz w:val="24"/>
        </w:rPr>
        <w:t xml:space="preserve">32.合同标的的追加</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31.1 政府采购合同履行中，采购人需追加与合同标的相同的服务</w:t>
      </w:r>
      <w:bookmarkStart w:id="3" w:name="OLE_LINK150"/>
      <w:r>
        <w:rPr>
          <w:rFonts w:hint="eastAsia" w:asciiTheme="minorEastAsia" w:hAnsiTheme="minorEastAsia"/>
          <w:sz w:val="24"/>
          <w:szCs w:val="24"/>
        </w:rPr>
        <w:t xml:space="preserve">（包含与服务相关的货物）</w:t>
      </w:r>
      <w:bookmarkEnd w:id="3"/>
      <w:r>
        <w:rPr>
          <w:rFonts w:hint="eastAsia" w:asciiTheme="minorEastAsia" w:hAnsiTheme="minorEastAsia"/>
          <w:sz w:val="24"/>
          <w:szCs w:val="24"/>
        </w:rPr>
        <w:t xml:space="preserve">的，在不改变合同其他条款的前提下，可以与中标人协商签订补充合同，但所有补充合同的采购金额不超过原合同金额10%。</w:t>
      </w:r>
      <w:r/>
    </w:p>
    <w:p>
      <w:pPr>
        <w:ind w:firstLine="482"/>
        <w:spacing w:line="500" w:lineRule="exact"/>
        <w:rPr>
          <w:rFonts w:asciiTheme="minorEastAsia" w:hAnsiTheme="minorEastAsia"/>
          <w:b/>
          <w:sz w:val="24"/>
        </w:rPr>
      </w:pPr>
      <w:r>
        <w:rPr>
          <w:rFonts w:hint="eastAsia" w:asciiTheme="minorEastAsia" w:hAnsiTheme="minorEastAsia"/>
          <w:b/>
          <w:sz w:val="24"/>
        </w:rPr>
        <w:t xml:space="preserve">33.政府采购履约资金扶持政策</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32.1 中标人可凭政府采购合同办理融资贷款，详情请见江苏政府采购网“政采贷”专栏。</w:t>
      </w:r>
      <w:r/>
    </w:p>
    <w:p>
      <w:pPr>
        <w:pStyle w:val="844"/>
        <w:spacing w:before="0" w:after="0" w:line="500" w:lineRule="exact"/>
        <w:rPr>
          <w:rFonts w:asciiTheme="minorEastAsia" w:hAnsiTheme="minorEastAsia" w:eastAsiaTheme="minorEastAsia"/>
        </w:rPr>
      </w:pPr>
      <w:r>
        <w:rPr>
          <w:rFonts w:hint="eastAsia" w:asciiTheme="minorEastAsia" w:hAnsiTheme="minorEastAsia" w:eastAsiaTheme="minorEastAsia"/>
        </w:rPr>
        <w:t xml:space="preserve">八、询问与质疑</w:t>
      </w:r>
      <w:r/>
    </w:p>
    <w:p>
      <w:pPr>
        <w:ind w:firstLine="482"/>
        <w:spacing w:line="500" w:lineRule="exact"/>
        <w:rPr>
          <w:rFonts w:asciiTheme="minorEastAsia" w:hAnsiTheme="minorEastAsia"/>
          <w:b/>
          <w:sz w:val="24"/>
        </w:rPr>
      </w:pPr>
      <w:r>
        <w:rPr>
          <w:rFonts w:hint="eastAsia" w:asciiTheme="minorEastAsia" w:hAnsiTheme="minorEastAsia"/>
          <w:b/>
          <w:sz w:val="24"/>
        </w:rPr>
        <w:t xml:space="preserve">34.询问</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33.1 供应商对政府采购活动事项有疑问的，可以提出询问，采购人或者交</w:t>
      </w:r>
      <w:r>
        <w:rPr>
          <w:rFonts w:hint="eastAsia" w:asciiTheme="minorEastAsia" w:hAnsiTheme="minorEastAsia"/>
          <w:sz w:val="24"/>
          <w:szCs w:val="24"/>
        </w:rPr>
        <w:t xml:space="preserve">易中心应当在3个工作日内对投标人依法提出的询问作出答复，但答复的内容不得涉及商业秘密。供应商提出的询问超出采购人对交易中心委托授权范围的，交易中心应当告知供应商向采购人提出。</w:t>
      </w:r>
      <w:r/>
    </w:p>
    <w:p>
      <w:pPr>
        <w:ind w:firstLine="482"/>
        <w:spacing w:line="500" w:lineRule="exact"/>
        <w:rPr>
          <w:rFonts w:asciiTheme="minorEastAsia" w:hAnsiTheme="minorEastAsia"/>
          <w:b/>
          <w:sz w:val="24"/>
        </w:rPr>
      </w:pPr>
      <w:r>
        <w:rPr>
          <w:rFonts w:hint="eastAsia" w:asciiTheme="minorEastAsia" w:hAnsiTheme="minorEastAsia"/>
          <w:b/>
          <w:sz w:val="24"/>
        </w:rPr>
        <w:t xml:space="preserve">35.质疑提出</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35.1 提出质疑的供应商应当是参与所质疑项目采购活动的供应商。</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35.2 供应商认为采购文件、采购过程、采购结果使自己的权益受到损害的，可以在知道或者应知其权益受到损害之日（获取采购文件之日、采购公告发布之日）起七个工作日内以书面形式向采购人、交易中心提出质疑。</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供应商应当在法定质疑期内一次性提出针对同一采购程序环节的质疑，供应商如在法定期限内对同一采购程序环节提出多次质疑的，采购人、交易中心将只对供应商第一次质疑作出答复。</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未依照采购公告要求获取采购文件的供应商，视为未参与该项目的采购活动，不具备对该采购文件提出质疑的法定权利。</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35.3 提出质疑时，必须坚持“实事求是”的原则，不能臆测。属于须由法定部门调查、侦查或先行作出相关认定的事项，质疑供应商应当依法申请具有法定职权的部门查清、认定，并将相关结果提供给采购人、交易中心。采购人、交易中心不具有法定调查、认定权限。</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35.4 质疑函的接收方式为供应商书面原件提交。联系部门、联系电话和通讯地址详见招标文件第一章。质疑实行实名制，不得进行虚假、恶意质疑。</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35.5 质疑函应当使用范本，详见招标文件第六章。供应商提出质疑应当提交质疑函和必要的证明材料，应当包括下列内容：</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（1）供应商的姓名或者名称、地址、邮编、联系人及联系电话；</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（2）质疑项目的名称、编号；</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（3）具体、明确的质疑事项和与质疑事项相关的请求；</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（4）事实依据；</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（5）必要的法律依据；</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（6）提出质疑的日期；</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（7）必要的证明材料；</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（8）营业执照复印件及授权委托书原件、法定代表人（单位负责人）身份证复印件、委托代理人身份证复印件。</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供应商为自然人的，应当由本人签字；供应商为法人或者其他组织的，应当由法定代表人、主要负责人，或者其委托代理人签字或者盖章，并加盖单位公章。</w:t>
      </w:r>
      <w:r/>
    </w:p>
    <w:p>
      <w:pPr>
        <w:ind w:firstLine="480"/>
        <w:jc w:val="left"/>
        <w:spacing w:line="500" w:lineRule="exact"/>
        <w:widowControl/>
        <w:rPr>
          <w:rFonts w:ascii="宋体" w:hAnsi="宋体" w:eastAsia="宋体" w:cs="Times New Roman"/>
          <w:sz w:val="24"/>
          <w:szCs w:val="24"/>
        </w:rPr>
      </w:pPr>
      <w:r>
        <w:rPr>
          <w:rFonts w:hint="eastAsia" w:ascii="宋体" w:hAnsi="宋体" w:eastAsia="宋体" w:cs="Times New Roman"/>
          <w:sz w:val="24"/>
          <w:szCs w:val="24"/>
        </w:rPr>
        <w:t xml:space="preserve">供应商插入CA证书登陆“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ind w:firstLine="482"/>
        <w:spacing w:line="500" w:lineRule="exact"/>
        <w:rPr>
          <w:rFonts w:asciiTheme="minorEastAsia" w:hAnsiTheme="minorEastAsia"/>
          <w:b/>
          <w:sz w:val="24"/>
        </w:rPr>
      </w:pPr>
      <w:r>
        <w:rPr>
          <w:rFonts w:hint="eastAsia" w:asciiTheme="minorEastAsia" w:hAnsiTheme="minorEastAsia"/>
          <w:b/>
          <w:sz w:val="24"/>
        </w:rPr>
        <w:t xml:space="preserve">36.质疑函的受理和答复</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36.1 质疑供应商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采购人、交易中心不负责搜集必要的证明材料等工作。</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36.2 对符合质疑要求的，采购人、交易中心接收并登记《质疑函登记表》。在处理过程中，发现需要质疑供应商进一步补充必要的证明材料的，质疑供应商应在法定的时间内提供，质疑答复时间相应顺延。质疑供应商不能按时提供必要的证明材料的，视同放弃质疑。</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36.3 对不符合质疑要求的，采购人、交易中心有权要求其补充必要的证明材料，质疑供应商未在法定的时间内提供补充必要的证明材料的，视同放弃质疑。</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36.4 以下情形的质疑不予受理</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（1）内容不符合《政府采购质疑和投诉办法》第十二条规定的质疑。</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（2）超出政府采购法定期限的质疑。</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（3）以传真、电子邮件等方式递交的非原件形式的质疑。</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（4）未参加采购活动的供应商或在采购活动中自身权益未受到损害的供应商所提出的质疑。</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（5）供应商组成联合体，联合体中任何一方或多方未按要求签字（盖章）、加盖公章的质疑。</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36.5 采购人、交易中心依法受理的质疑，将按照政府采购有关规定，在法定期限内答复。</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37.1 未尽事宜，依照有关法律、法规执行。</w:t>
      </w:r>
      <w:r/>
    </w:p>
    <w:p>
      <w:pPr>
        <w:pStyle w:val="844"/>
        <w:spacing w:before="0" w:after="0" w:line="500" w:lineRule="exact"/>
        <w:rPr>
          <w:rFonts w:asciiTheme="minorEastAsia" w:hAnsiTheme="minorEastAsia" w:eastAsiaTheme="minorEastAsia"/>
        </w:rPr>
      </w:pPr>
      <w:r>
        <w:rPr>
          <w:rFonts w:hint="eastAsia" w:asciiTheme="minorEastAsia" w:hAnsiTheme="minorEastAsia" w:eastAsiaTheme="minorEastAsia"/>
        </w:rPr>
        <w:t xml:space="preserve">九、政府采购政策功能</w:t>
      </w:r>
      <w:r/>
    </w:p>
    <w:p>
      <w:pPr>
        <w:ind w:firstLine="482"/>
        <w:spacing w:line="500" w:lineRule="exact"/>
        <w:rPr>
          <w:rFonts w:asciiTheme="minorEastAsia" w:hAnsiTheme="minorEastAsia"/>
          <w:b/>
          <w:sz w:val="24"/>
        </w:rPr>
      </w:pPr>
      <w:r>
        <w:rPr>
          <w:rFonts w:hint="eastAsia" w:asciiTheme="minorEastAsia" w:hAnsiTheme="minorEastAsia"/>
          <w:b/>
          <w:sz w:val="24"/>
        </w:rPr>
        <w:t xml:space="preserve">38.促进中小企业发展</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38.1</w:t>
      </w:r>
      <w:bookmarkStart w:id="4" w:name="OLE_LINK151"/>
      <w:r>
        <w:rPr>
          <w:rFonts w:hint="eastAsia" w:asciiTheme="minorEastAsia" w:hAnsiTheme="minorEastAsia"/>
          <w:sz w:val="24"/>
          <w:szCs w:val="24"/>
        </w:rPr>
        <w:t xml:space="preserve"> 本项目（采购包1、采购包2）执行《关于印发&lt;政府采购促进中小企业发展管理办法&gt;的通知》（财库〔2020〕</w:t>
      </w:r>
      <w:r>
        <w:rPr>
          <w:rFonts w:hint="eastAsia" w:asciiTheme="minorEastAsia" w:hAnsiTheme="minorEastAsia"/>
          <w:sz w:val="24"/>
          <w:szCs w:val="24"/>
        </w:rPr>
        <w:t xml:space="preserve">46号，以下简称《办法》）、《关于印发中小企业划型标准规定的通知》（工信部联企业〔2011〕300号，以下简称《通知》）、《关于政府采购支持监狱企业发展有关问题的通知》（财库〔2014〕68号）、《关于促进残疾人就业政府采购政策的通知》（财库〔2017〕141号）、《关于进一步加大政府采购支持中小企业力度的通知》（财库〔2022〕19号）的规定。对于小型企业、微型企业、监狱企业、残疾人福利性单位报价以扣除优惠比率后的价格参与评审，但不作为中标价和合同签约价。中标价和合同签约价仍以其投标文件中的投标报价为准。</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38.2 本项目（采购包1、采购包2）对提供的服务全部由小型企业、微型企业、残疾人福利性单位和监狱企业承接的报价给予10%的扣除，用扣除后的价格参与评审。</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本项目采购包2同意联合体投标，大中型企业与小微型企业（残疾人福利单位、监狱企业）组成联合体或者大中型企业向一家或多家小微型企业分包，联合协议中约定小微型企业（残疾人福利单位、监狱企业）的合同份额占到合同总金额30%以上的，给予联合体4%的价格扣除，用扣除后的价格参与评审。联合体各方均为小型、微型企业（残疾人福利单位、监狱企业）的，联合体视同小型、微</w:t>
      </w:r>
      <w:r>
        <w:rPr>
          <w:rFonts w:hint="eastAsia" w:asciiTheme="minorEastAsia" w:hAnsiTheme="minorEastAsia"/>
          <w:sz w:val="24"/>
          <w:szCs w:val="24"/>
        </w:rPr>
        <w:t xml:space="preserve">型企业。</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38.3 参加本项目政府采购活动的供应商享受价格评审优惠的应当提供的材料： </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（1）投标人为小型企业、微型企业的，提供《中小企业声明函》（第六章 投标文件格式）。</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（2）符合《关于促进残疾人就业政府采购政策的通知》（财库〔2017〕141号）规定的条件并提供《残疾人福利性单位声明函》（第六章 投标文件格式）的残疾人福利性单位视同小型、微型企业。</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符合《关于政府采购支持监狱企业发展有关问题的通知》（财库〔2014〕68号）规定的监狱企业并提供由省级以上监狱管理局、戒毒管理局（含新疆生产建设兵团）出具的属于监狱企业证明文件的，视同小型、微型企业。</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38.4 残疾人福利单位、监狱企业属于小型企业、微型企业的，不重复享受政策。</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38.5 享受扶持政策获得政府采购合同的，小微企业不得将合同分包给大中型企业，中型企业不得将合同分包给大型企业。</w:t>
      </w:r>
      <w:bookmarkEnd w:id="4"/>
      <w:r/>
      <w:r/>
    </w:p>
    <w:p>
      <w:pPr>
        <w:ind w:firstLine="482"/>
        <w:spacing w:line="500" w:lineRule="exact"/>
        <w:rPr>
          <w:rFonts w:asciiTheme="minorEastAsia" w:hAnsiTheme="minorEastAsia"/>
          <w:b/>
          <w:sz w:val="24"/>
        </w:rPr>
      </w:pPr>
      <w:r>
        <w:rPr>
          <w:rFonts w:hint="eastAsia" w:asciiTheme="minorEastAsia" w:hAnsiTheme="minorEastAsia"/>
          <w:b/>
          <w:sz w:val="24"/>
        </w:rPr>
        <w:t xml:space="preserve">39.支持绿色发展</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39.1 本项目执行《关于印发环境标志产品政府采购品目清单的通知》（财库〔2019〕18号）、《关于印发节能产品政府采购品目清单的通知》（财库〔2019〕19号）等有关规定，采购产品属于品目清单范围的，采购人及其委托的采购代理机构将依据国家确定的认证机构出具的、处于有效期之内的节能产品、环境标志产品认证证书，对获得证书的产品实施政府优先采购或强制采购。投标人须按招标文件要求提供相关产品认证证书。</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39.2 为助力打好污染防治攻坚战，推广使用绿色包装，政府采购货物、工程和服务项目中涉及商品包装和快递包装的，投标人提供产品及相关快递服务的具体包装要求要参考《商品包装政府采购需求标准（试行）》、《快递包装政府采购需求标准（试行）》。</w:t>
      </w:r>
      <w:r/>
    </w:p>
    <w:p>
      <w:pPr>
        <w:ind w:firstLine="480"/>
        <w:spacing w:line="500" w:lineRule="exact"/>
        <w:rPr>
          <w:rFonts w:asciiTheme="minorEastAsia" w:hAnsiTheme="minorEastAsia"/>
          <w:sz w:val="24"/>
        </w:rPr>
      </w:pPr>
      <w:r>
        <w:rPr>
          <w:rFonts w:hint="eastAsia" w:asciiTheme="minorEastAsia" w:hAnsiTheme="minorEastAsia"/>
          <w:sz w:val="24"/>
        </w:rPr>
        <w:t xml:space="preserve">39.3 为落实挥发性有机化合物（VOCs）治理要求，本项目采购标的如涉及</w:t>
      </w:r>
      <w:r>
        <w:rPr>
          <w:rFonts w:hint="eastAsia" w:asciiTheme="minorEastAsia" w:hAnsiTheme="minorEastAsia"/>
          <w:sz w:val="24"/>
        </w:rPr>
        <w:t xml:space="preserve">涂料、胶黏剂、油墨、清洗剂等挥发性有机物产品的，投标人应当执行国家和我省VOCs含量限制标准，并优先使用低挥发性原辅材料。投标人使用低VOCs含量的涂料、胶黏剂等将纳入政府采购合同条款。</w:t>
      </w:r>
      <w:r/>
    </w:p>
    <w:p>
      <w:pPr>
        <w:ind w:firstLine="482"/>
        <w:spacing w:line="500" w:lineRule="exact"/>
        <w:rPr>
          <w:rFonts w:asciiTheme="minorEastAsia" w:hAnsiTheme="minorEastAsia"/>
          <w:b/>
          <w:sz w:val="24"/>
        </w:rPr>
      </w:pPr>
      <w:r>
        <w:rPr>
          <w:rFonts w:hint="eastAsia" w:asciiTheme="minorEastAsia" w:hAnsiTheme="minorEastAsia"/>
          <w:b/>
          <w:sz w:val="24"/>
        </w:rPr>
        <w:t xml:space="preserve">40.政府采购需求标准</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40.1 本项目执行《绿色数据中心政府采购需求</w:t>
      </w:r>
      <w:r>
        <w:rPr>
          <w:rFonts w:hint="eastAsia" w:asciiTheme="minorEastAsia" w:hAnsiTheme="minorEastAsia"/>
          <w:sz w:val="24"/>
          <w:szCs w:val="24"/>
        </w:rPr>
        <w:t xml:space="preserve">标准（试行）》、《台式计算机政府采购需求标准（2023年版）》、《便携式计算机政府采购需求标准（2023年版）》、《一体式计算机政府采购需求标准（2023年版）》、《工作站政府采购需求标准（2023年版）》、《通用服务器政府采购需求标准（2023年版）》、《操作系统政府采购需求标准（2023年版）》、《数据库政府采购需求标准（2023年版）》等政府采购需求标准。采购标的如涉及数据中心相关设备及运维服务、台式计算机、便携式计算机、一体式计算机、工作站、通用服务器、操作系统、数据库的，执行相关政府采购需求标准。</w:t>
      </w:r>
      <w:r/>
    </w:p>
    <w:p>
      <w:pPr>
        <w:jc w:val="left"/>
        <w:widowControl/>
        <w:rPr>
          <w:sz w:val="24"/>
          <w:szCs w:val="24"/>
        </w:rPr>
      </w:pPr>
      <w:r>
        <w:rPr>
          <w:sz w:val="24"/>
          <w:szCs w:val="24"/>
        </w:rPr>
        <w:br w:type="page" w:clear="all"/>
      </w:r>
      <w:r/>
    </w:p>
    <w:p>
      <w:pPr>
        <w:pStyle w:val="843"/>
        <w:jc w:val="center"/>
        <w:spacing w:line="360" w:lineRule="auto"/>
        <w:rPr>
          <w:rFonts w:ascii="黑体" w:hAnsi="黑体" w:eastAsia="黑体"/>
          <w:b w:val="0"/>
        </w:rPr>
      </w:pPr>
      <w:r/>
      <w:bookmarkStart w:id="5" w:name="_Toc162361612"/>
      <w:r>
        <w:rPr>
          <w:rFonts w:hint="eastAsia" w:ascii="黑体" w:hAnsi="黑体" w:eastAsia="黑体"/>
          <w:b w:val="0"/>
        </w:rPr>
        <w:t xml:space="preserve">第三章  合同文本</w:t>
      </w:r>
      <w:bookmarkEnd w:id="5"/>
      <w:r/>
      <w:r/>
    </w:p>
    <w:p>
      <w:pPr>
        <w:ind w:firstLine="480"/>
        <w:jc w:val="left"/>
        <w:spacing w:line="500" w:lineRule="exact"/>
        <w:rPr>
          <w:sz w:val="24"/>
          <w:szCs w:val="24"/>
        </w:rPr>
      </w:pPr>
      <w:r>
        <w:rPr>
          <w:sz w:val="24"/>
          <w:szCs w:val="24"/>
        </w:rPr>
      </w:r>
      <w:r/>
    </w:p>
    <w:p>
      <w:pPr>
        <w:jc w:val="center"/>
        <w:spacing w:line="500" w:lineRule="exact"/>
        <w:rPr>
          <w:rFonts w:ascii="黑体" w:hAnsi="黑体" w:eastAsia="黑体"/>
          <w:sz w:val="32"/>
          <w:szCs w:val="24"/>
        </w:rPr>
      </w:pPr>
      <w:r/>
      <w:bookmarkStart w:id="6" w:name="OLE_LINK154"/>
      <w:r/>
      <w:bookmarkStart w:id="7" w:name="OLE_LINK155"/>
      <w:r>
        <w:rPr>
          <w:rFonts w:hint="eastAsia" w:ascii="黑体" w:hAnsi="黑体" w:eastAsia="黑体"/>
          <w:sz w:val="32"/>
          <w:szCs w:val="24"/>
        </w:rPr>
        <w:t xml:space="preserve">连云港市政府采购合同（服务）</w:t>
      </w:r>
      <w:r/>
    </w:p>
    <w:p>
      <w:pPr>
        <w:jc w:val="center"/>
        <w:spacing w:line="500" w:lineRule="exact"/>
        <w:rPr>
          <w:rFonts w:ascii="黑体" w:hAnsi="黑体" w:eastAsia="黑体"/>
          <w:sz w:val="28"/>
          <w:szCs w:val="24"/>
        </w:rPr>
      </w:pPr>
      <w:r>
        <w:rPr>
          <w:rFonts w:hint="eastAsia" w:ascii="黑体" w:hAnsi="黑体" w:eastAsia="黑体"/>
          <w:sz w:val="28"/>
          <w:szCs w:val="24"/>
        </w:rPr>
        <w:t xml:space="preserve">（合同编号：***）</w:t>
      </w:r>
      <w:r/>
    </w:p>
    <w:p>
      <w:pPr>
        <w:jc w:val="left"/>
        <w:spacing w:line="500" w:lineRule="exact"/>
        <w:rPr>
          <w:sz w:val="24"/>
          <w:szCs w:val="24"/>
        </w:rPr>
      </w:pPr>
      <w:r>
        <w:rPr>
          <w:rFonts w:hint="eastAsia"/>
          <w:sz w:val="24"/>
          <w:szCs w:val="24"/>
        </w:rPr>
        <w:t xml:space="preserve">甲方：（买方）</w:t>
      </w:r>
      <w:r>
        <w:rPr>
          <w:rFonts w:hint="eastAsia"/>
          <w:sz w:val="24"/>
          <w:szCs w:val="24"/>
        </w:rPr>
        <w:t xml:space="preserve">_________</w:t>
      </w:r>
      <w:r/>
    </w:p>
    <w:p>
      <w:pPr>
        <w:jc w:val="left"/>
        <w:spacing w:line="500" w:lineRule="exact"/>
        <w:rPr>
          <w:sz w:val="24"/>
          <w:szCs w:val="24"/>
        </w:rPr>
      </w:pPr>
      <w:r>
        <w:rPr>
          <w:rFonts w:hint="eastAsia"/>
          <w:sz w:val="24"/>
          <w:szCs w:val="24"/>
        </w:rPr>
        <w:t xml:space="preserve">乙方：（卖方）</w:t>
      </w:r>
      <w:r>
        <w:rPr>
          <w:rFonts w:hint="eastAsia"/>
          <w:sz w:val="24"/>
          <w:szCs w:val="24"/>
        </w:rPr>
        <w:t xml:space="preserve">_________</w:t>
      </w:r>
      <w:r>
        <w:rPr>
          <w:rFonts w:hint="eastAsia"/>
          <w:sz w:val="24"/>
          <w:szCs w:val="24"/>
        </w:rPr>
        <w:t xml:space="preserve">（联合体共同签订）</w:t>
      </w:r>
      <w:r/>
    </w:p>
    <w:p>
      <w:pPr>
        <w:ind w:firstLine="480"/>
        <w:jc w:val="left"/>
        <w:spacing w:line="500" w:lineRule="exact"/>
        <w:rPr>
          <w:sz w:val="24"/>
          <w:szCs w:val="24"/>
        </w:rPr>
      </w:pPr>
      <w:r>
        <w:rPr>
          <w:rFonts w:hint="eastAsia"/>
          <w:sz w:val="24"/>
          <w:szCs w:val="24"/>
        </w:rPr>
        <w:t xml:space="preserve">甲、乙双方根据</w:t>
      </w:r>
      <w:r>
        <w:rPr>
          <w:rFonts w:hint="eastAsia" w:ascii="宋体" w:hAnsi="宋体"/>
          <w:color w:val="000000"/>
          <w:sz w:val="24"/>
        </w:rPr>
        <w:t xml:space="preserve">年月日</w:t>
      </w:r>
      <w:r>
        <w:rPr>
          <w:rFonts w:hint="eastAsia"/>
          <w:sz w:val="24"/>
          <w:szCs w:val="24"/>
        </w:rPr>
        <w:t xml:space="preserve">项目（项目编号：）公开招标的结果，签订本合同。</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一、合同内容</w:t>
      </w:r>
      <w:r/>
    </w:p>
    <w:p>
      <w:pPr>
        <w:ind w:firstLine="480"/>
        <w:jc w:val="left"/>
        <w:spacing w:line="500" w:lineRule="exact"/>
        <w:rPr>
          <w:sz w:val="24"/>
          <w:szCs w:val="24"/>
        </w:rPr>
      </w:pPr>
      <w:r>
        <w:rPr>
          <w:sz w:val="24"/>
          <w:szCs w:val="24"/>
        </w:rPr>
        <w:t xml:space="preserve">1.1 </w:t>
      </w:r>
      <w:r>
        <w:rPr>
          <w:sz w:val="24"/>
          <w:szCs w:val="24"/>
        </w:rPr>
        <w:t xml:space="preserve">服务内容：。</w:t>
      </w:r>
      <w:r/>
    </w:p>
    <w:p>
      <w:pPr>
        <w:ind w:firstLine="480"/>
        <w:jc w:val="left"/>
        <w:spacing w:line="500" w:lineRule="exact"/>
        <w:rPr>
          <w:sz w:val="24"/>
          <w:szCs w:val="24"/>
        </w:rPr>
      </w:pPr>
      <w:r>
        <w:rPr>
          <w:sz w:val="24"/>
          <w:szCs w:val="24"/>
        </w:rPr>
        <w:t xml:space="preserve">1.2 </w:t>
      </w:r>
      <w:r>
        <w:rPr>
          <w:sz w:val="24"/>
          <w:szCs w:val="24"/>
        </w:rPr>
        <w:t xml:space="preserve">服务要求：。</w:t>
      </w:r>
      <w:r/>
    </w:p>
    <w:p>
      <w:pPr>
        <w:ind w:firstLine="480"/>
        <w:jc w:val="left"/>
        <w:spacing w:line="500" w:lineRule="exact"/>
        <w:rPr>
          <w:sz w:val="24"/>
          <w:szCs w:val="24"/>
        </w:rPr>
      </w:pPr>
      <w:r>
        <w:rPr>
          <w:rFonts w:hint="eastAsia"/>
          <w:sz w:val="24"/>
          <w:szCs w:val="24"/>
        </w:rPr>
        <w:t xml:space="preserve">1.3 </w:t>
      </w:r>
      <w:r>
        <w:rPr>
          <w:rFonts w:hint="eastAsia"/>
          <w:sz w:val="24"/>
          <w:szCs w:val="24"/>
        </w:rPr>
        <w:t xml:space="preserve">服务标准：</w:t>
      </w:r>
      <w:r>
        <w:rPr>
          <w:sz w:val="24"/>
          <w:szCs w:val="24"/>
        </w:rPr>
        <w:t xml:space="preserve">。</w:t>
      </w:r>
      <w:r/>
    </w:p>
    <w:p>
      <w:pPr>
        <w:ind w:firstLine="480"/>
        <w:jc w:val="left"/>
        <w:spacing w:line="500" w:lineRule="exact"/>
        <w:rPr>
          <w:sz w:val="24"/>
          <w:szCs w:val="24"/>
        </w:rPr>
      </w:pPr>
      <w:r>
        <w:rPr>
          <w:sz w:val="24"/>
          <w:szCs w:val="24"/>
        </w:rPr>
        <w:t xml:space="preserve">1.</w:t>
      </w:r>
      <w:r>
        <w:rPr>
          <w:rFonts w:hint="eastAsia"/>
          <w:sz w:val="24"/>
          <w:szCs w:val="24"/>
        </w:rPr>
        <w:t xml:space="preserve">4</w:t>
      </w:r>
      <w:r>
        <w:rPr>
          <w:sz w:val="24"/>
          <w:szCs w:val="24"/>
        </w:rPr>
        <w:t xml:space="preserve"> </w:t>
      </w:r>
      <w:r>
        <w:rPr>
          <w:sz w:val="24"/>
          <w:szCs w:val="24"/>
        </w:rPr>
        <w:t xml:space="preserve">补充条款：。</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二、合同金额</w:t>
      </w:r>
      <w:r/>
    </w:p>
    <w:p>
      <w:pPr>
        <w:ind w:firstLine="480"/>
        <w:jc w:val="left"/>
        <w:spacing w:line="500" w:lineRule="exact"/>
        <w:rPr>
          <w:sz w:val="24"/>
          <w:szCs w:val="24"/>
        </w:rPr>
      </w:pPr>
      <w:r>
        <w:rPr>
          <w:rFonts w:hint="eastAsia"/>
          <w:sz w:val="24"/>
          <w:szCs w:val="24"/>
        </w:rPr>
        <w:t xml:space="preserve">2.1 </w:t>
      </w:r>
      <w:r>
        <w:rPr>
          <w:rFonts w:hint="eastAsia"/>
          <w:sz w:val="24"/>
          <w:szCs w:val="24"/>
        </w:rPr>
        <w:t xml:space="preserve">本合同金额为人民币（大写）：元（</w:t>
      </w:r>
      <w:r>
        <w:rPr>
          <w:rFonts w:hint="eastAsia"/>
          <w:sz w:val="24"/>
          <w:szCs w:val="24"/>
        </w:rPr>
        <w:t xml:space="preserve">¥</w:t>
      </w:r>
      <w:r>
        <w:rPr>
          <w:rFonts w:hint="eastAsia"/>
          <w:sz w:val="24"/>
          <w:szCs w:val="24"/>
        </w:rPr>
        <w:t xml:space="preserve">）。</w:t>
      </w:r>
      <w:r/>
    </w:p>
    <w:p>
      <w:pPr>
        <w:ind w:firstLine="480"/>
        <w:jc w:val="left"/>
        <w:spacing w:line="500" w:lineRule="exact"/>
        <w:rPr>
          <w:sz w:val="24"/>
          <w:szCs w:val="24"/>
        </w:rPr>
      </w:pPr>
      <w:r>
        <w:rPr>
          <w:rFonts w:hint="eastAsia"/>
          <w:sz w:val="24"/>
          <w:szCs w:val="24"/>
        </w:rPr>
        <w:t xml:space="preserve">2.2 </w:t>
      </w:r>
      <w:r>
        <w:rPr>
          <w:rFonts w:hint="eastAsia"/>
          <w:sz w:val="24"/>
          <w:szCs w:val="24"/>
        </w:rPr>
        <w:t xml:space="preserve">本合同价款包含所有乙方提供合同约定产品和服务的报酬及乙方提供合同中产品和服务所支出的必要费用，甲方在上述合同价款之外不再向乙方支付其他任何费用。</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三、技术资料</w:t>
      </w:r>
      <w:r/>
    </w:p>
    <w:p>
      <w:pPr>
        <w:ind w:firstLine="480"/>
        <w:jc w:val="left"/>
        <w:spacing w:line="500" w:lineRule="exact"/>
        <w:rPr>
          <w:sz w:val="24"/>
          <w:szCs w:val="24"/>
        </w:rPr>
      </w:pPr>
      <w:r>
        <w:rPr>
          <w:rFonts w:hint="eastAsia"/>
          <w:sz w:val="24"/>
          <w:szCs w:val="24"/>
        </w:rPr>
        <w:t xml:space="preserve">3.1 </w:t>
      </w:r>
      <w:r>
        <w:rPr>
          <w:rFonts w:hint="eastAsia"/>
          <w:sz w:val="24"/>
          <w:szCs w:val="24"/>
        </w:rPr>
        <w:t xml:space="preserve">乙方应按招标文件规定的时间向甲方提供有关技术资料。</w:t>
      </w:r>
      <w:r/>
    </w:p>
    <w:p>
      <w:pPr>
        <w:ind w:firstLine="480"/>
        <w:jc w:val="left"/>
        <w:spacing w:line="500" w:lineRule="exact"/>
        <w:rPr>
          <w:sz w:val="24"/>
          <w:szCs w:val="24"/>
        </w:rPr>
      </w:pPr>
      <w:r>
        <w:rPr>
          <w:rFonts w:hint="eastAsia"/>
          <w:sz w:val="24"/>
          <w:szCs w:val="24"/>
        </w:rPr>
        <w:t xml:space="preserve">3.2 </w:t>
      </w:r>
      <w:r>
        <w:rPr>
          <w:rFonts w:hint="eastAsia"/>
          <w:sz w:val="24"/>
          <w:szCs w:val="24"/>
        </w:rPr>
        <w:t xml:space="preserve">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四、知识产权</w:t>
      </w:r>
      <w:r/>
    </w:p>
    <w:p>
      <w:pPr>
        <w:ind w:firstLine="480"/>
        <w:jc w:val="left"/>
        <w:spacing w:line="500" w:lineRule="exact"/>
        <w:rPr>
          <w:sz w:val="24"/>
          <w:szCs w:val="24"/>
        </w:rPr>
      </w:pPr>
      <w:r>
        <w:rPr>
          <w:rFonts w:hint="eastAsia"/>
          <w:sz w:val="24"/>
          <w:szCs w:val="24"/>
        </w:rPr>
        <w:t xml:space="preserve">4.1 </w:t>
      </w:r>
      <w:r>
        <w:rPr>
          <w:rFonts w:hint="eastAsia"/>
          <w:sz w:val="24"/>
          <w:szCs w:val="24"/>
        </w:rPr>
        <w:t xml:space="preserve">乙方应保证甲方在使用、接受本合同产品和服务或其任何一部分时不受第三方提出侵犯其专利权、版权、商标权和工业设计权等知识产权的起诉。一旦出现侵权，由乙方负全部责任。</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五、产权担保</w:t>
      </w:r>
      <w:r/>
    </w:p>
    <w:p>
      <w:pPr>
        <w:ind w:firstLine="480"/>
        <w:jc w:val="left"/>
        <w:spacing w:line="500" w:lineRule="exact"/>
        <w:rPr>
          <w:sz w:val="24"/>
          <w:szCs w:val="24"/>
        </w:rPr>
      </w:pPr>
      <w:r>
        <w:rPr>
          <w:rFonts w:hint="eastAsia"/>
          <w:sz w:val="24"/>
          <w:szCs w:val="24"/>
        </w:rPr>
        <w:t xml:space="preserve">5.1 </w:t>
      </w:r>
      <w:r>
        <w:rPr>
          <w:rFonts w:hint="eastAsia"/>
          <w:sz w:val="24"/>
          <w:szCs w:val="24"/>
        </w:rPr>
        <w:t xml:space="preserve">乙方保证所交付标的的所有权完全属于乙方且无任何抵押、查封等产权瑕疵。</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六、履约保证金</w:t>
      </w:r>
      <w:r/>
    </w:p>
    <w:p>
      <w:pPr>
        <w:ind w:firstLine="480"/>
        <w:jc w:val="left"/>
        <w:spacing w:line="500" w:lineRule="exact"/>
        <w:rPr>
          <w:sz w:val="24"/>
          <w:szCs w:val="24"/>
        </w:rPr>
      </w:pPr>
      <w:r>
        <w:rPr>
          <w:rFonts w:hint="eastAsia"/>
          <w:sz w:val="24"/>
          <w:szCs w:val="24"/>
        </w:rPr>
        <w:t xml:space="preserve">6.1 </w:t>
      </w:r>
      <w:r>
        <w:rPr>
          <w:rFonts w:hint="eastAsia"/>
          <w:sz w:val="24"/>
          <w:szCs w:val="24"/>
        </w:rPr>
        <w:t xml:space="preserve">本合同不收取履约保证金。</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七、合同转包或分包</w:t>
      </w:r>
      <w:r/>
    </w:p>
    <w:p>
      <w:pPr>
        <w:ind w:firstLine="480"/>
        <w:jc w:val="left"/>
        <w:spacing w:line="500" w:lineRule="exact"/>
        <w:rPr>
          <w:sz w:val="24"/>
          <w:szCs w:val="24"/>
        </w:rPr>
      </w:pPr>
      <w:r>
        <w:rPr>
          <w:rFonts w:hint="eastAsia"/>
          <w:sz w:val="24"/>
          <w:szCs w:val="24"/>
        </w:rPr>
        <w:t xml:space="preserve">7.1 </w:t>
      </w:r>
      <w:r>
        <w:rPr>
          <w:rFonts w:hint="eastAsia"/>
          <w:sz w:val="24"/>
          <w:szCs w:val="24"/>
        </w:rPr>
        <w:t xml:space="preserve">本合同范围内产品或服务，应由乙方直接供应，不得转让他人供应或部分分包给他人供应。</w:t>
      </w:r>
      <w:r/>
    </w:p>
    <w:p>
      <w:pPr>
        <w:ind w:firstLine="480"/>
        <w:jc w:val="left"/>
        <w:spacing w:line="500" w:lineRule="exact"/>
        <w:rPr>
          <w:sz w:val="24"/>
          <w:szCs w:val="24"/>
        </w:rPr>
      </w:pPr>
      <w:r>
        <w:rPr>
          <w:rFonts w:hint="eastAsia"/>
          <w:sz w:val="24"/>
          <w:szCs w:val="24"/>
        </w:rPr>
        <w:t xml:space="preserve">7.2 </w:t>
      </w:r>
      <w:r>
        <w:rPr>
          <w:rFonts w:hint="eastAsia"/>
          <w:sz w:val="24"/>
          <w:szCs w:val="24"/>
        </w:rPr>
        <w:t xml:space="preserve">如有转让和未经甲方同意的分包行为，甲方有权终止合同。</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八、服务时间</w:t>
      </w:r>
      <w:r/>
    </w:p>
    <w:p>
      <w:pPr>
        <w:ind w:firstLine="480"/>
        <w:jc w:val="left"/>
        <w:spacing w:line="500" w:lineRule="exact"/>
        <w:rPr>
          <w:rFonts w:ascii="黑体" w:hAnsi="黑体" w:eastAsia="黑体"/>
          <w:sz w:val="24"/>
          <w:szCs w:val="24"/>
        </w:rPr>
      </w:pPr>
      <w:r>
        <w:rPr>
          <w:rFonts w:hint="eastAsia"/>
          <w:sz w:val="24"/>
          <w:szCs w:val="24"/>
        </w:rPr>
        <w:t xml:space="preserve">8.1 </w:t>
      </w:r>
      <w:r>
        <w:rPr>
          <w:rFonts w:hint="eastAsia"/>
          <w:sz w:val="24"/>
          <w:szCs w:val="24"/>
        </w:rPr>
        <w:t xml:space="preserve">服务时间：</w:t>
      </w:r>
      <w:r>
        <w:rPr>
          <w:rFonts w:hint="eastAsia" w:ascii="黑体" w:hAnsi="黑体" w:eastAsia="黑体"/>
          <w:sz w:val="24"/>
          <w:szCs w:val="24"/>
        </w:rPr>
        <w:t xml:space="preserve">。</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九、交付期、交付方式及交付地点</w:t>
      </w:r>
      <w:r/>
    </w:p>
    <w:p>
      <w:pPr>
        <w:ind w:firstLine="480"/>
        <w:jc w:val="left"/>
        <w:spacing w:line="500" w:lineRule="exact"/>
        <w:rPr>
          <w:sz w:val="24"/>
          <w:szCs w:val="24"/>
        </w:rPr>
      </w:pPr>
      <w:r>
        <w:rPr>
          <w:rFonts w:hint="eastAsia"/>
          <w:sz w:val="24"/>
          <w:szCs w:val="24"/>
        </w:rPr>
        <w:t xml:space="preserve">9.1 </w:t>
      </w:r>
      <w:r>
        <w:rPr>
          <w:rFonts w:hint="eastAsia"/>
          <w:sz w:val="24"/>
          <w:szCs w:val="24"/>
        </w:rPr>
        <w:t xml:space="preserve">交</w:t>
      </w:r>
      <w:r>
        <w:rPr>
          <w:rFonts w:hint="eastAsia"/>
          <w:sz w:val="24"/>
          <w:szCs w:val="24"/>
        </w:rPr>
        <w:t xml:space="preserve"> </w:t>
      </w:r>
      <w:r>
        <w:rPr>
          <w:rFonts w:hint="eastAsia"/>
          <w:sz w:val="24"/>
          <w:szCs w:val="24"/>
        </w:rPr>
        <w:t xml:space="preserve">付</w:t>
      </w:r>
      <w:r>
        <w:rPr>
          <w:rFonts w:hint="eastAsia"/>
          <w:sz w:val="24"/>
          <w:szCs w:val="24"/>
        </w:rPr>
        <w:t xml:space="preserve"> </w:t>
      </w:r>
      <w:r>
        <w:rPr>
          <w:rFonts w:hint="eastAsia"/>
          <w:sz w:val="24"/>
          <w:szCs w:val="24"/>
        </w:rPr>
        <w:t xml:space="preserve">期：</w:t>
      </w:r>
      <w:r>
        <w:rPr>
          <w:rFonts w:hint="eastAsia"/>
          <w:sz w:val="24"/>
          <w:szCs w:val="24"/>
        </w:rPr>
        <w:t xml:space="preserve">_________</w:t>
      </w:r>
      <w:r>
        <w:rPr>
          <w:rFonts w:hint="eastAsia"/>
          <w:sz w:val="24"/>
          <w:szCs w:val="24"/>
        </w:rPr>
        <w:t xml:space="preserve">。</w:t>
      </w:r>
      <w:r/>
    </w:p>
    <w:p>
      <w:pPr>
        <w:ind w:firstLine="480"/>
        <w:jc w:val="left"/>
        <w:spacing w:line="500" w:lineRule="exact"/>
        <w:rPr>
          <w:sz w:val="24"/>
          <w:szCs w:val="24"/>
        </w:rPr>
      </w:pPr>
      <w:r>
        <w:rPr>
          <w:rFonts w:hint="eastAsia"/>
          <w:sz w:val="24"/>
          <w:szCs w:val="24"/>
        </w:rPr>
        <w:t xml:space="preserve">9.2 </w:t>
      </w:r>
      <w:r>
        <w:rPr>
          <w:rFonts w:hint="eastAsia"/>
          <w:sz w:val="24"/>
          <w:szCs w:val="24"/>
        </w:rPr>
        <w:t xml:space="preserve">交付方式：</w:t>
      </w:r>
      <w:r>
        <w:rPr>
          <w:rFonts w:hint="eastAsia"/>
          <w:sz w:val="24"/>
          <w:szCs w:val="24"/>
        </w:rPr>
        <w:t xml:space="preserve">_________</w:t>
      </w:r>
      <w:r>
        <w:rPr>
          <w:rFonts w:hint="eastAsia"/>
          <w:sz w:val="24"/>
          <w:szCs w:val="24"/>
        </w:rPr>
        <w:t xml:space="preserve">。</w:t>
      </w:r>
      <w:r/>
    </w:p>
    <w:p>
      <w:pPr>
        <w:ind w:firstLine="480"/>
        <w:jc w:val="left"/>
        <w:spacing w:line="500" w:lineRule="exact"/>
        <w:rPr>
          <w:sz w:val="24"/>
          <w:szCs w:val="24"/>
        </w:rPr>
      </w:pPr>
      <w:r>
        <w:rPr>
          <w:rFonts w:hint="eastAsia"/>
          <w:sz w:val="24"/>
          <w:szCs w:val="24"/>
        </w:rPr>
        <w:t xml:space="preserve">9.3 </w:t>
      </w:r>
      <w:r>
        <w:rPr>
          <w:rFonts w:hint="eastAsia"/>
          <w:sz w:val="24"/>
          <w:szCs w:val="24"/>
        </w:rPr>
        <w:t xml:space="preserve">交付地点：</w:t>
      </w:r>
      <w:r>
        <w:rPr>
          <w:rFonts w:hint="eastAsia"/>
          <w:sz w:val="24"/>
          <w:szCs w:val="24"/>
        </w:rPr>
        <w:t xml:space="preserve">_________</w:t>
      </w:r>
      <w:r>
        <w:rPr>
          <w:rFonts w:hint="eastAsia"/>
          <w:sz w:val="24"/>
          <w:szCs w:val="24"/>
        </w:rPr>
        <w:t xml:space="preserve">。</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十、合同款支付</w:t>
      </w:r>
      <w:r/>
    </w:p>
    <w:p>
      <w:pPr>
        <w:ind w:firstLine="480"/>
        <w:jc w:val="left"/>
        <w:spacing w:line="500" w:lineRule="exact"/>
        <w:rPr>
          <w:sz w:val="24"/>
          <w:szCs w:val="24"/>
        </w:rPr>
      </w:pPr>
      <w:r>
        <w:rPr>
          <w:rFonts w:hint="eastAsia"/>
          <w:sz w:val="24"/>
          <w:szCs w:val="24"/>
        </w:rPr>
        <w:t xml:space="preserve">10.1 </w:t>
      </w:r>
      <w:r>
        <w:rPr>
          <w:rFonts w:hint="eastAsia"/>
          <w:sz w:val="24"/>
          <w:szCs w:val="24"/>
        </w:rPr>
        <w:t xml:space="preserve">付款方式：</w:t>
      </w:r>
      <w:r>
        <w:rPr>
          <w:rFonts w:hint="eastAsia"/>
          <w:sz w:val="24"/>
          <w:szCs w:val="24"/>
        </w:rPr>
        <w:t xml:space="preserve">_________</w:t>
      </w:r>
      <w:r>
        <w:rPr>
          <w:rFonts w:hint="eastAsia"/>
          <w:sz w:val="24"/>
          <w:szCs w:val="24"/>
        </w:rPr>
        <w:t xml:space="preserve">。</w:t>
      </w:r>
      <w:r/>
    </w:p>
    <w:p>
      <w:pPr>
        <w:ind w:firstLine="480"/>
        <w:jc w:val="left"/>
        <w:spacing w:line="500" w:lineRule="exact"/>
        <w:rPr>
          <w:sz w:val="24"/>
          <w:szCs w:val="24"/>
        </w:rPr>
      </w:pPr>
      <w:r>
        <w:rPr>
          <w:rFonts w:hint="eastAsia"/>
          <w:sz w:val="24"/>
          <w:szCs w:val="24"/>
        </w:rPr>
        <w:t xml:space="preserve">10.2 </w:t>
      </w:r>
      <w:r>
        <w:rPr>
          <w:rFonts w:hint="eastAsia"/>
          <w:sz w:val="24"/>
          <w:szCs w:val="24"/>
        </w:rPr>
        <w:t xml:space="preserve">当采购数量与实际使用数量不一致时，乙方应根据实际使用量提供产品和服务，合同的最终结算金额按实际使用量乘以中标单价进行计算。</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十一、税费</w:t>
      </w:r>
      <w:r/>
    </w:p>
    <w:p>
      <w:pPr>
        <w:ind w:firstLine="480"/>
        <w:jc w:val="left"/>
        <w:spacing w:line="500" w:lineRule="exact"/>
        <w:rPr>
          <w:sz w:val="24"/>
          <w:szCs w:val="24"/>
        </w:rPr>
      </w:pPr>
      <w:r>
        <w:rPr>
          <w:rFonts w:hint="eastAsia"/>
          <w:sz w:val="24"/>
          <w:szCs w:val="24"/>
        </w:rPr>
        <w:t xml:space="preserve">11.1 </w:t>
      </w:r>
      <w:r>
        <w:rPr>
          <w:rFonts w:hint="eastAsia"/>
          <w:sz w:val="24"/>
          <w:szCs w:val="24"/>
        </w:rPr>
        <w:t xml:space="preserve">本合同执行中相关的一切税费均由乙方负担。</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十二、质量保证及售后服务</w:t>
      </w:r>
      <w:r/>
    </w:p>
    <w:p>
      <w:pPr>
        <w:ind w:firstLine="480"/>
        <w:jc w:val="left"/>
        <w:spacing w:line="500" w:lineRule="exact"/>
        <w:rPr>
          <w:sz w:val="24"/>
          <w:szCs w:val="24"/>
        </w:rPr>
      </w:pPr>
      <w:r>
        <w:rPr>
          <w:rFonts w:hint="eastAsia"/>
          <w:sz w:val="24"/>
          <w:szCs w:val="24"/>
        </w:rPr>
        <w:t xml:space="preserve">12.1 </w:t>
      </w:r>
      <w:r>
        <w:rPr>
          <w:rFonts w:hint="eastAsia"/>
          <w:sz w:val="24"/>
          <w:szCs w:val="24"/>
        </w:rPr>
        <w:t xml:space="preserve">乙方应按招标文件规定和投标文件承诺的性能、技术要求、质量标准向甲方提供产品或服务。</w:t>
      </w:r>
      <w:r/>
    </w:p>
    <w:p>
      <w:pPr>
        <w:ind w:firstLine="480"/>
        <w:jc w:val="left"/>
        <w:spacing w:line="500" w:lineRule="exact"/>
        <w:rPr>
          <w:sz w:val="24"/>
          <w:szCs w:val="24"/>
        </w:rPr>
      </w:pPr>
      <w:r>
        <w:rPr>
          <w:rFonts w:hint="eastAsia"/>
          <w:sz w:val="24"/>
          <w:szCs w:val="24"/>
        </w:rPr>
        <w:t xml:space="preserve">12.2 </w:t>
      </w:r>
      <w:r>
        <w:rPr>
          <w:rFonts w:hint="eastAsia"/>
          <w:sz w:val="24"/>
          <w:szCs w:val="24"/>
        </w:rPr>
        <w:t xml:space="preserve">乙方提供的产品或服务在服务期内因其本身出现质量问题，根据实际情况，经双方协商，可按以下办法处理：</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1</w:t>
      </w:r>
      <w:r>
        <w:rPr>
          <w:rFonts w:hint="eastAsia"/>
          <w:sz w:val="24"/>
          <w:szCs w:val="24"/>
        </w:rPr>
        <w:t xml:space="preserve">）更换：由乙方承担所产生的全部费用。</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2</w:t>
      </w:r>
      <w:r>
        <w:rPr>
          <w:rFonts w:hint="eastAsia"/>
          <w:sz w:val="24"/>
          <w:szCs w:val="24"/>
        </w:rPr>
        <w:t xml:space="preserve">）合同终止处理：合同终止，乙方退还甲方支付的合同款，同时承担由</w:t>
      </w:r>
      <w:r>
        <w:rPr>
          <w:rFonts w:hint="eastAsia"/>
          <w:sz w:val="24"/>
          <w:szCs w:val="24"/>
        </w:rPr>
        <w:t xml:space="preserve">此产生的全部费用，甲方不承担任何产生费用。</w:t>
      </w:r>
      <w:r/>
    </w:p>
    <w:p>
      <w:pPr>
        <w:ind w:firstLine="480"/>
        <w:jc w:val="left"/>
        <w:spacing w:line="500" w:lineRule="exact"/>
        <w:rPr>
          <w:sz w:val="24"/>
          <w:szCs w:val="24"/>
        </w:rPr>
      </w:pPr>
      <w:r>
        <w:rPr>
          <w:rFonts w:hint="eastAsia"/>
          <w:sz w:val="24"/>
          <w:szCs w:val="24"/>
        </w:rPr>
        <w:t xml:space="preserve">12.3 </w:t>
      </w:r>
      <w:r>
        <w:rPr>
          <w:rFonts w:hint="eastAsia"/>
          <w:sz w:val="24"/>
          <w:szCs w:val="24"/>
        </w:rPr>
        <w:t xml:space="preserve">如在使用过程中发生质量问题，乙方在接到甲方通知后在小时内到达甲方现场。</w:t>
      </w:r>
      <w:r/>
    </w:p>
    <w:p>
      <w:pPr>
        <w:ind w:firstLine="480"/>
        <w:jc w:val="left"/>
        <w:spacing w:line="500" w:lineRule="exact"/>
        <w:rPr>
          <w:sz w:val="24"/>
          <w:szCs w:val="24"/>
        </w:rPr>
      </w:pPr>
      <w:r>
        <w:rPr>
          <w:rFonts w:hint="eastAsia"/>
          <w:sz w:val="24"/>
          <w:szCs w:val="24"/>
        </w:rPr>
        <w:t xml:space="preserve">12.4 </w:t>
      </w:r>
      <w:r>
        <w:rPr>
          <w:rFonts w:hint="eastAsia"/>
          <w:sz w:val="24"/>
          <w:szCs w:val="24"/>
        </w:rPr>
        <w:t xml:space="preserve">在服务期内，乙方应对产品或服务出现的质量及安全问题负责处理解决并承担一切费用。</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十三、项目验收</w:t>
      </w:r>
      <w:r/>
    </w:p>
    <w:p>
      <w:pPr>
        <w:ind w:firstLine="480"/>
        <w:jc w:val="left"/>
        <w:spacing w:line="500" w:lineRule="exact"/>
        <w:rPr>
          <w:sz w:val="24"/>
          <w:szCs w:val="24"/>
        </w:rPr>
      </w:pPr>
      <w:r>
        <w:rPr>
          <w:rFonts w:hint="eastAsia"/>
          <w:sz w:val="24"/>
          <w:szCs w:val="24"/>
        </w:rPr>
        <w:t xml:space="preserve">13.1 </w:t>
      </w:r>
      <w:r>
        <w:rPr>
          <w:rFonts w:hint="eastAsia"/>
          <w:sz w:val="24"/>
          <w:szCs w:val="24"/>
        </w:rPr>
        <w:t xml:space="preserve">甲方依法组织履约验收工作。</w:t>
      </w:r>
      <w:r/>
    </w:p>
    <w:p>
      <w:pPr>
        <w:ind w:firstLine="480"/>
        <w:jc w:val="left"/>
        <w:spacing w:line="500" w:lineRule="exact"/>
        <w:rPr>
          <w:sz w:val="24"/>
          <w:szCs w:val="24"/>
        </w:rPr>
      </w:pPr>
      <w:r>
        <w:rPr>
          <w:rFonts w:hint="eastAsia"/>
          <w:sz w:val="24"/>
          <w:szCs w:val="24"/>
        </w:rPr>
        <w:t xml:space="preserve">13.2 </w:t>
      </w:r>
      <w:r>
        <w:rPr>
          <w:rFonts w:hint="eastAsia"/>
          <w:sz w:val="24"/>
          <w:szCs w:val="24"/>
        </w:rPr>
        <w:t xml:space="preserve">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firstLine="480"/>
        <w:jc w:val="left"/>
        <w:spacing w:line="500" w:lineRule="exact"/>
        <w:rPr>
          <w:sz w:val="24"/>
          <w:szCs w:val="24"/>
        </w:rPr>
      </w:pPr>
      <w:r>
        <w:rPr>
          <w:rFonts w:hint="eastAsia"/>
          <w:sz w:val="24"/>
          <w:szCs w:val="24"/>
        </w:rPr>
        <w:t xml:space="preserve">13.3 </w:t>
      </w:r>
      <w:r>
        <w:rPr>
          <w:rFonts w:hint="eastAsia"/>
          <w:sz w:val="24"/>
          <w:szCs w:val="24"/>
        </w:rPr>
        <w:t xml:space="preserve">对于实际使用人和甲方分离的项目，甲方邀请实际使用人参与验收。</w:t>
      </w:r>
      <w:r/>
    </w:p>
    <w:p>
      <w:pPr>
        <w:ind w:firstLine="480"/>
        <w:jc w:val="left"/>
        <w:spacing w:line="500" w:lineRule="exact"/>
        <w:rPr>
          <w:sz w:val="24"/>
          <w:szCs w:val="24"/>
        </w:rPr>
      </w:pPr>
      <w:r>
        <w:rPr>
          <w:rFonts w:hint="eastAsia"/>
          <w:sz w:val="24"/>
          <w:szCs w:val="24"/>
        </w:rPr>
        <w:t xml:space="preserve">13.4 </w:t>
      </w:r>
      <w:r>
        <w:rPr>
          <w:rFonts w:hint="eastAsia"/>
          <w:sz w:val="24"/>
          <w:szCs w:val="24"/>
        </w:rPr>
        <w:t xml:space="preserve">如有必要，甲方邀请参加本项目的其他供应商或第三方专业机构及专家参与验收，相关意见将作为验收书的参考资料。</w:t>
      </w:r>
      <w:r/>
    </w:p>
    <w:p>
      <w:pPr>
        <w:ind w:firstLine="480"/>
        <w:jc w:val="left"/>
        <w:spacing w:line="500" w:lineRule="exact"/>
        <w:rPr>
          <w:sz w:val="24"/>
          <w:szCs w:val="24"/>
        </w:rPr>
      </w:pPr>
      <w:r>
        <w:rPr>
          <w:rFonts w:hint="eastAsia"/>
          <w:sz w:val="24"/>
          <w:szCs w:val="24"/>
        </w:rPr>
        <w:t xml:space="preserve">13.5 </w:t>
      </w:r>
      <w:r>
        <w:rPr>
          <w:rFonts w:hint="eastAsia"/>
          <w:sz w:val="24"/>
          <w:szCs w:val="24"/>
        </w:rPr>
        <w:t xml:space="preserve">甲方成立验收小组，按照采购合同的约定对乙方的履约情况进行验收。验收时间、验收标准见招标文件验收内容。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firstLine="480"/>
        <w:jc w:val="left"/>
        <w:spacing w:line="500" w:lineRule="exact"/>
        <w:rPr>
          <w:sz w:val="24"/>
          <w:szCs w:val="24"/>
        </w:rPr>
      </w:pPr>
      <w:r>
        <w:rPr>
          <w:rFonts w:hint="eastAsia"/>
          <w:sz w:val="24"/>
          <w:szCs w:val="24"/>
        </w:rPr>
        <w:t xml:space="preserve">13.6 </w:t>
      </w:r>
      <w:r>
        <w:rPr>
          <w:rFonts w:hint="eastAsia"/>
          <w:sz w:val="24"/>
          <w:szCs w:val="24"/>
        </w:rPr>
        <w:t xml:space="preserve">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十四、合同内容的交付</w:t>
      </w:r>
      <w:r/>
    </w:p>
    <w:p>
      <w:pPr>
        <w:ind w:firstLine="480"/>
        <w:jc w:val="left"/>
        <w:spacing w:line="500" w:lineRule="exact"/>
        <w:rPr>
          <w:sz w:val="24"/>
          <w:szCs w:val="24"/>
        </w:rPr>
      </w:pPr>
      <w:r>
        <w:rPr>
          <w:rFonts w:hint="eastAsia"/>
          <w:sz w:val="24"/>
          <w:szCs w:val="24"/>
        </w:rPr>
        <w:t xml:space="preserve">14.1 </w:t>
      </w:r>
      <w:r>
        <w:rPr>
          <w:rFonts w:hint="eastAsia"/>
          <w:sz w:val="24"/>
          <w:szCs w:val="24"/>
        </w:rPr>
        <w:t xml:space="preserve">乙方应保证合同标的安全运达甲方指定地点。合同标的涉及包装的应符合《商品包装政府采购需求标准（试行）》、《快递包装政府采购需求标准（试</w:t>
      </w:r>
      <w:r>
        <w:rPr>
          <w:rFonts w:hint="eastAsia"/>
          <w:sz w:val="24"/>
          <w:szCs w:val="24"/>
        </w:rPr>
        <w:t xml:space="preserve">行）》的规定。</w:t>
      </w:r>
      <w:r/>
    </w:p>
    <w:p>
      <w:pPr>
        <w:ind w:firstLine="480"/>
        <w:jc w:val="left"/>
        <w:spacing w:line="500" w:lineRule="exact"/>
        <w:rPr>
          <w:sz w:val="24"/>
          <w:szCs w:val="24"/>
        </w:rPr>
      </w:pPr>
      <w:r>
        <w:rPr>
          <w:rFonts w:hint="eastAsia"/>
          <w:sz w:val="24"/>
          <w:szCs w:val="24"/>
        </w:rPr>
        <w:t xml:space="preserve">14.2 </w:t>
      </w:r>
      <w:r>
        <w:rPr>
          <w:rFonts w:hint="eastAsia"/>
          <w:sz w:val="24"/>
          <w:szCs w:val="24"/>
        </w:rPr>
        <w:t xml:space="preserve">使用说明书、质量检验证明书等一并提交甲方。</w:t>
      </w:r>
      <w:r/>
    </w:p>
    <w:p>
      <w:pPr>
        <w:ind w:firstLine="480"/>
        <w:jc w:val="left"/>
        <w:spacing w:line="500" w:lineRule="exact"/>
        <w:rPr>
          <w:sz w:val="24"/>
          <w:szCs w:val="24"/>
        </w:rPr>
      </w:pPr>
      <w:r>
        <w:rPr>
          <w:rFonts w:hint="eastAsia"/>
          <w:sz w:val="24"/>
          <w:szCs w:val="24"/>
        </w:rPr>
        <w:t xml:space="preserve">14.3 </w:t>
      </w:r>
      <w:r>
        <w:rPr>
          <w:rFonts w:hint="eastAsia"/>
          <w:sz w:val="24"/>
          <w:szCs w:val="24"/>
        </w:rPr>
        <w:t xml:space="preserve">乙方在合同标的交付甲方</w:t>
      </w:r>
      <w:r>
        <w:rPr>
          <w:rFonts w:hint="eastAsia"/>
          <w:sz w:val="24"/>
          <w:szCs w:val="24"/>
        </w:rPr>
        <w:t xml:space="preserve">48</w:t>
      </w:r>
      <w:r>
        <w:rPr>
          <w:rFonts w:hint="eastAsia"/>
          <w:sz w:val="24"/>
          <w:szCs w:val="24"/>
        </w:rPr>
        <w:t xml:space="preserve">小时前通知甲方准备接收。</w:t>
      </w:r>
      <w:r/>
    </w:p>
    <w:p>
      <w:pPr>
        <w:ind w:firstLine="480"/>
        <w:jc w:val="left"/>
        <w:spacing w:line="500" w:lineRule="exact"/>
        <w:rPr>
          <w:sz w:val="24"/>
          <w:szCs w:val="24"/>
        </w:rPr>
      </w:pPr>
      <w:r>
        <w:rPr>
          <w:rFonts w:hint="eastAsia"/>
          <w:sz w:val="24"/>
          <w:szCs w:val="24"/>
        </w:rPr>
        <w:t xml:space="preserve">14.4 </w:t>
      </w:r>
      <w:r>
        <w:rPr>
          <w:rFonts w:hint="eastAsia"/>
          <w:sz w:val="24"/>
          <w:szCs w:val="24"/>
        </w:rPr>
        <w:t xml:space="preserve">合同标的在交付甲方前发生的风险均由乙方负责。</w:t>
      </w:r>
      <w:r/>
    </w:p>
    <w:p>
      <w:pPr>
        <w:ind w:firstLine="480"/>
        <w:jc w:val="left"/>
        <w:spacing w:line="500" w:lineRule="exact"/>
        <w:rPr>
          <w:sz w:val="24"/>
          <w:szCs w:val="24"/>
        </w:rPr>
      </w:pPr>
      <w:r>
        <w:rPr>
          <w:rFonts w:hint="eastAsia"/>
          <w:sz w:val="24"/>
          <w:szCs w:val="24"/>
        </w:rPr>
        <w:t xml:space="preserve">14.5 </w:t>
      </w:r>
      <w:r>
        <w:rPr>
          <w:rFonts w:hint="eastAsia"/>
          <w:sz w:val="24"/>
          <w:szCs w:val="24"/>
        </w:rPr>
        <w:t xml:space="preserve">合同标的在规定的交付期限内由乙方送达甲方指定的地点视为交付，乙方同时需通知甲方已送达。</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十五、违约责任</w:t>
      </w:r>
      <w:r/>
    </w:p>
    <w:p>
      <w:pPr>
        <w:ind w:firstLine="480"/>
        <w:jc w:val="left"/>
        <w:spacing w:line="500" w:lineRule="exact"/>
        <w:rPr>
          <w:sz w:val="24"/>
          <w:szCs w:val="24"/>
        </w:rPr>
      </w:pPr>
      <w:r>
        <w:rPr>
          <w:rFonts w:hint="eastAsia"/>
          <w:sz w:val="24"/>
          <w:szCs w:val="24"/>
        </w:rPr>
        <w:t xml:space="preserve">15.1 </w:t>
      </w:r>
      <w:r>
        <w:rPr>
          <w:rFonts w:hint="eastAsia"/>
          <w:sz w:val="24"/>
          <w:szCs w:val="24"/>
        </w:rPr>
        <w:t xml:space="preserve">甲方无正当理由拒收的，甲方向乙方偿付拒收标的总值的违约金。</w:t>
      </w:r>
      <w:r/>
    </w:p>
    <w:p>
      <w:pPr>
        <w:ind w:firstLine="480"/>
        <w:jc w:val="left"/>
        <w:spacing w:line="500" w:lineRule="exact"/>
        <w:rPr>
          <w:sz w:val="24"/>
          <w:szCs w:val="24"/>
        </w:rPr>
      </w:pPr>
      <w:r>
        <w:rPr>
          <w:rFonts w:hint="eastAsia"/>
          <w:sz w:val="24"/>
          <w:szCs w:val="24"/>
        </w:rPr>
        <w:t xml:space="preserve">15.2 </w:t>
      </w:r>
      <w:r>
        <w:rPr>
          <w:rFonts w:hint="eastAsia"/>
          <w:sz w:val="24"/>
          <w:szCs w:val="24"/>
        </w:rPr>
        <w:t xml:space="preserve">甲方无故逾期验收和办理合同款支付手续的，甲方应按逾期付款总额每日向乙方支付违约金，</w:t>
      </w:r>
      <w:r>
        <w:rPr>
          <w:rFonts w:hint="eastAsia" w:ascii="Times New Roman" w:hAnsi="Times New Roman"/>
          <w:color w:val="000000"/>
          <w:sz w:val="24"/>
          <w:szCs w:val="24"/>
        </w:rPr>
        <w:t xml:space="preserve">最高限额为本合同总额的</w:t>
      </w:r>
      <w:r>
        <w:rPr>
          <w:rFonts w:hint="eastAsia"/>
          <w:sz w:val="24"/>
          <w:szCs w:val="24"/>
        </w:rPr>
        <w:t xml:space="preserve">。</w:t>
      </w:r>
      <w:r/>
    </w:p>
    <w:p>
      <w:pPr>
        <w:ind w:firstLine="480"/>
        <w:jc w:val="left"/>
        <w:spacing w:line="500" w:lineRule="exact"/>
        <w:rPr>
          <w:sz w:val="24"/>
          <w:szCs w:val="24"/>
        </w:rPr>
      </w:pPr>
      <w:r>
        <w:rPr>
          <w:rFonts w:hint="eastAsia"/>
          <w:sz w:val="24"/>
          <w:szCs w:val="24"/>
        </w:rPr>
        <w:t xml:space="preserve">15.3 </w:t>
      </w:r>
      <w:r>
        <w:rPr>
          <w:rFonts w:hint="eastAsia"/>
          <w:sz w:val="24"/>
          <w:szCs w:val="24"/>
        </w:rPr>
        <w:t xml:space="preserve">乙方逾期交付合同标的的，乙方应按逾期交付总额每日千分之六向甲方支付违约金，由甲方从待付合同款中扣除。逾期超过约定日期</w:t>
      </w:r>
      <w:r>
        <w:rPr>
          <w:rFonts w:hint="eastAsia"/>
          <w:sz w:val="24"/>
          <w:szCs w:val="24"/>
        </w:rPr>
        <w:t xml:space="preserve">10</w:t>
      </w:r>
      <w:r>
        <w:rPr>
          <w:rFonts w:hint="eastAsia"/>
          <w:sz w:val="24"/>
          <w:szCs w:val="24"/>
        </w:rPr>
        <w:t xml:space="preserve">个工作日不能交付的，甲方可解除本合同。乙方因逾期交付或因其他违约行为导致甲方解除合同的，乙方应向甲方支付合同总值的违约金，如造成甲方损失超过违约金的，超出部分由乙方继续承担赔偿责任。</w:t>
      </w:r>
      <w:r>
        <w:rPr>
          <w:rFonts w:hint="eastAsia"/>
          <w:sz w:val="24"/>
          <w:szCs w:val="24"/>
        </w:rPr>
        <w:t xml:space="preserve"> </w:t>
      </w:r>
      <w:r/>
    </w:p>
    <w:p>
      <w:pPr>
        <w:ind w:firstLine="480"/>
        <w:jc w:val="left"/>
        <w:spacing w:line="500" w:lineRule="exact"/>
        <w:rPr>
          <w:sz w:val="24"/>
          <w:szCs w:val="24"/>
        </w:rPr>
      </w:pPr>
      <w:r>
        <w:rPr>
          <w:rFonts w:hint="eastAsia"/>
          <w:sz w:val="24"/>
          <w:szCs w:val="24"/>
        </w:rPr>
        <w:t xml:space="preserve">15.4 </w:t>
      </w:r>
      <w:r>
        <w:rPr>
          <w:rFonts w:hint="eastAsia"/>
          <w:sz w:val="24"/>
          <w:szCs w:val="24"/>
        </w:rPr>
        <w:t xml:space="preserve">乙方交付的产品或服务不符合项目需求要求、乙方投标文件承诺及国家有关质量标准的，甲方有权拒收，乙方愿意更换但逾期交付的，按乙方逾期交付处理。乙方拒绝更换的，甲方可单方面解除合同，并由乙方赔偿由此造成的甲方全部损失。</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十六、不可抗力事件处理</w:t>
      </w:r>
      <w:r/>
    </w:p>
    <w:p>
      <w:pPr>
        <w:ind w:firstLine="480"/>
        <w:jc w:val="left"/>
        <w:spacing w:line="500" w:lineRule="exact"/>
        <w:rPr>
          <w:sz w:val="24"/>
          <w:szCs w:val="24"/>
        </w:rPr>
      </w:pPr>
      <w:r>
        <w:rPr>
          <w:rFonts w:hint="eastAsia"/>
          <w:sz w:val="24"/>
          <w:szCs w:val="24"/>
        </w:rPr>
        <w:t xml:space="preserve">16.1 </w:t>
      </w:r>
      <w:r>
        <w:rPr>
          <w:rFonts w:hint="eastAsia"/>
          <w:sz w:val="24"/>
          <w:szCs w:val="24"/>
        </w:rPr>
        <w:t xml:space="preserve">在合同有效期内，任何一方因不可抗力事件导致不能履行合同，则合同履行期可延长，其延长期与不可抗力影响期相同。</w:t>
      </w:r>
      <w:r/>
    </w:p>
    <w:p>
      <w:pPr>
        <w:ind w:firstLine="480"/>
        <w:jc w:val="left"/>
        <w:spacing w:line="500" w:lineRule="exact"/>
        <w:rPr>
          <w:sz w:val="24"/>
          <w:szCs w:val="24"/>
        </w:rPr>
      </w:pPr>
      <w:r>
        <w:rPr>
          <w:rFonts w:hint="eastAsia"/>
          <w:sz w:val="24"/>
          <w:szCs w:val="24"/>
        </w:rPr>
        <w:t xml:space="preserve">16.2 </w:t>
      </w:r>
      <w:r>
        <w:rPr>
          <w:rFonts w:hint="eastAsia"/>
          <w:sz w:val="24"/>
          <w:szCs w:val="24"/>
        </w:rPr>
        <w:t xml:space="preserve">不可抗力事件发生后，应立即通知对方，并寄送有关权威机构出具的证明。</w:t>
      </w:r>
      <w:r/>
    </w:p>
    <w:p>
      <w:pPr>
        <w:ind w:firstLine="480"/>
        <w:jc w:val="left"/>
        <w:spacing w:line="500" w:lineRule="exact"/>
        <w:rPr>
          <w:sz w:val="24"/>
          <w:szCs w:val="24"/>
        </w:rPr>
      </w:pPr>
      <w:r>
        <w:rPr>
          <w:rFonts w:hint="eastAsia"/>
          <w:sz w:val="24"/>
          <w:szCs w:val="24"/>
        </w:rPr>
        <w:t xml:space="preserve">16.3 </w:t>
      </w:r>
      <w:r>
        <w:rPr>
          <w:rFonts w:hint="eastAsia"/>
          <w:sz w:val="24"/>
          <w:szCs w:val="24"/>
        </w:rPr>
        <w:t xml:space="preserve">不可抗力事件延续</w:t>
      </w:r>
      <w:r>
        <w:rPr>
          <w:rFonts w:hint="eastAsia"/>
          <w:sz w:val="24"/>
          <w:szCs w:val="24"/>
        </w:rPr>
        <w:t xml:space="preserve">120</w:t>
      </w:r>
      <w:r>
        <w:rPr>
          <w:rFonts w:hint="eastAsia"/>
          <w:sz w:val="24"/>
          <w:szCs w:val="24"/>
        </w:rPr>
        <w:t xml:space="preserve">天以上，双方应通过友好协商，确定是否继续履行合同。</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十七、解决争议的方法</w:t>
      </w:r>
      <w:r/>
    </w:p>
    <w:p>
      <w:pPr>
        <w:ind w:firstLine="480"/>
        <w:jc w:val="left"/>
        <w:spacing w:line="500" w:lineRule="exact"/>
        <w:rPr>
          <w:sz w:val="24"/>
          <w:szCs w:val="24"/>
        </w:rPr>
      </w:pPr>
      <w:r>
        <w:rPr>
          <w:rFonts w:hint="eastAsia"/>
          <w:sz w:val="24"/>
          <w:szCs w:val="24"/>
        </w:rPr>
        <w:t xml:space="preserve">17.1 </w:t>
      </w:r>
      <w:r>
        <w:rPr>
          <w:rFonts w:hint="eastAsia"/>
          <w:sz w:val="24"/>
          <w:szCs w:val="24"/>
        </w:rPr>
        <w:t xml:space="preserve">甲乙双方因合同签订、履行而发生的一切争议，应通过友好协商解决。如协商不成，按下列第</w:t>
      </w:r>
      <w:r>
        <w:rPr>
          <w:rFonts w:hint="eastAsia"/>
          <w:sz w:val="24"/>
          <w:szCs w:val="24"/>
          <w:u w:val="single"/>
        </w:rPr>
        <w:t xml:space="preserve">（</w:t>
      </w:r>
      <w:r>
        <w:rPr>
          <w:rFonts w:hint="eastAsia"/>
          <w:sz w:val="24"/>
          <w:szCs w:val="24"/>
          <w:u w:val="single"/>
        </w:rPr>
        <w:t xml:space="preserve">1</w:t>
      </w:r>
      <w:r>
        <w:rPr>
          <w:rFonts w:hint="eastAsia"/>
          <w:sz w:val="24"/>
          <w:szCs w:val="24"/>
          <w:u w:val="single"/>
        </w:rPr>
        <w:t xml:space="preserve">）</w:t>
      </w:r>
      <w:r>
        <w:rPr>
          <w:rFonts w:hint="eastAsia"/>
          <w:sz w:val="24"/>
          <w:szCs w:val="24"/>
        </w:rPr>
        <w:t xml:space="preserve">种方式解决：</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1</w:t>
      </w:r>
      <w:r>
        <w:rPr>
          <w:rFonts w:hint="eastAsia"/>
          <w:sz w:val="24"/>
          <w:szCs w:val="24"/>
        </w:rPr>
        <w:t xml:space="preserve">）向连云港仲裁委员会申请仲裁。</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2</w:t>
      </w:r>
      <w:r>
        <w:rPr>
          <w:rFonts w:hint="eastAsia"/>
          <w:sz w:val="24"/>
          <w:szCs w:val="24"/>
        </w:rPr>
        <w:t xml:space="preserve">）向合同签订地法院起诉，合同签订地在此约定为连云港市。</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十八、合同生效及其他</w:t>
      </w:r>
      <w:r/>
    </w:p>
    <w:p>
      <w:pPr>
        <w:ind w:firstLine="480"/>
        <w:jc w:val="left"/>
        <w:spacing w:line="500" w:lineRule="exact"/>
        <w:rPr>
          <w:sz w:val="24"/>
          <w:szCs w:val="24"/>
        </w:rPr>
      </w:pPr>
      <w:r>
        <w:rPr>
          <w:rFonts w:hint="eastAsia"/>
          <w:sz w:val="24"/>
          <w:szCs w:val="24"/>
        </w:rPr>
        <w:t xml:space="preserve">18.1 </w:t>
      </w:r>
      <w:r>
        <w:rPr>
          <w:rFonts w:hint="eastAsia"/>
          <w:sz w:val="24"/>
          <w:szCs w:val="24"/>
        </w:rPr>
        <w:t xml:space="preserve">合同经双方法定代表人或授权代表签字并加盖单位公章后生效。</w:t>
      </w:r>
      <w:r/>
    </w:p>
    <w:p>
      <w:pPr>
        <w:ind w:firstLine="480"/>
        <w:jc w:val="left"/>
        <w:spacing w:line="500" w:lineRule="exact"/>
        <w:rPr>
          <w:sz w:val="24"/>
          <w:szCs w:val="24"/>
        </w:rPr>
      </w:pPr>
      <w:r>
        <w:rPr>
          <w:rFonts w:hint="eastAsia"/>
          <w:sz w:val="24"/>
          <w:szCs w:val="24"/>
        </w:rPr>
        <w:t xml:space="preserve">18.2 </w:t>
      </w:r>
      <w:r>
        <w:rPr>
          <w:rFonts w:hint="eastAsia"/>
          <w:sz w:val="24"/>
          <w:szCs w:val="24"/>
        </w:rPr>
        <w:t xml:space="preserve">本合同未尽事宜，遵照</w:t>
      </w:r>
      <w:r>
        <w:rPr>
          <w:rFonts w:hint="eastAsia"/>
          <w:color w:val="000000"/>
          <w:sz w:val="24"/>
        </w:rPr>
        <w:t xml:space="preserve">《中华人民共和国民法典》</w:t>
      </w:r>
      <w:r>
        <w:rPr>
          <w:rFonts w:hint="eastAsia"/>
          <w:sz w:val="24"/>
          <w:szCs w:val="24"/>
        </w:rPr>
        <w:t xml:space="preserve">、《</w:t>
      </w:r>
      <w:r>
        <w:rPr>
          <w:rFonts w:hint="eastAsia"/>
          <w:color w:val="000000"/>
          <w:sz w:val="24"/>
        </w:rPr>
        <w:t xml:space="preserve">中华人民共和国</w:t>
      </w:r>
      <w:r>
        <w:rPr>
          <w:rFonts w:hint="eastAsia"/>
          <w:sz w:val="24"/>
          <w:szCs w:val="24"/>
        </w:rPr>
        <w:t xml:space="preserve">政府采购法》有关条文执行。</w:t>
      </w:r>
      <w:r/>
    </w:p>
    <w:p>
      <w:pPr>
        <w:ind w:firstLine="480"/>
        <w:jc w:val="left"/>
        <w:spacing w:line="500" w:lineRule="exact"/>
        <w:rPr>
          <w:sz w:val="24"/>
          <w:szCs w:val="24"/>
        </w:rPr>
      </w:pPr>
      <w:r>
        <w:rPr>
          <w:rFonts w:hint="eastAsia"/>
          <w:sz w:val="24"/>
          <w:szCs w:val="24"/>
        </w:rPr>
        <w:t xml:space="preserve">18.3 </w:t>
      </w:r>
      <w:r>
        <w:rPr>
          <w:rFonts w:hint="eastAsia"/>
          <w:sz w:val="24"/>
          <w:szCs w:val="24"/>
        </w:rPr>
        <w:t xml:space="preserve">本合同正本一式两份，具有同等法律效力，甲方、乙方各执一份。</w:t>
      </w:r>
      <w:r/>
    </w:p>
    <w:p>
      <w:pPr>
        <w:ind w:firstLine="480"/>
        <w:jc w:val="left"/>
        <w:spacing w:line="500" w:lineRule="exact"/>
        <w:rPr>
          <w:sz w:val="24"/>
          <w:szCs w:val="24"/>
        </w:rPr>
      </w:pPr>
      <w:r>
        <w:rPr>
          <w:sz w:val="24"/>
          <w:szCs w:val="24"/>
        </w:rPr>
      </w:r>
      <w:r/>
    </w:p>
    <w:p>
      <w:pPr>
        <w:ind w:firstLine="480"/>
        <w:jc w:val="left"/>
        <w:spacing w:line="500" w:lineRule="exact"/>
        <w:rPr>
          <w:sz w:val="24"/>
          <w:szCs w:val="24"/>
        </w:rPr>
      </w:pPr>
      <w:r>
        <w:rPr>
          <w:sz w:val="24"/>
          <w:szCs w:val="24"/>
        </w:rPr>
      </w:r>
      <w:r/>
    </w:p>
    <w:p>
      <w:pPr>
        <w:ind w:firstLine="480"/>
        <w:jc w:val="left"/>
        <w:spacing w:line="500" w:lineRule="exact"/>
        <w:rPr>
          <w:sz w:val="24"/>
          <w:szCs w:val="24"/>
        </w:rPr>
      </w:pPr>
      <w:r>
        <w:rPr>
          <w:rFonts w:hint="eastAsia"/>
          <w:sz w:val="24"/>
          <w:szCs w:val="24"/>
        </w:rPr>
        <w:t xml:space="preserve">甲方：</w:t>
      </w:r>
      <w:r>
        <w:rPr>
          <w:rFonts w:hint="eastAsia"/>
          <w:sz w:val="24"/>
          <w:szCs w:val="24"/>
        </w:rPr>
        <w:t xml:space="preserve">                        </w:t>
      </w:r>
      <w:r>
        <w:rPr>
          <w:rFonts w:hint="eastAsia"/>
          <w:sz w:val="24"/>
          <w:szCs w:val="24"/>
        </w:rPr>
        <w:t xml:space="preserve">乙方：</w:t>
      </w:r>
      <w:r>
        <w:rPr>
          <w:rFonts w:hint="eastAsia"/>
          <w:sz w:val="24"/>
          <w:szCs w:val="24"/>
        </w:rPr>
        <w:t xml:space="preserve"> </w:t>
      </w:r>
      <w:r/>
    </w:p>
    <w:p>
      <w:pPr>
        <w:ind w:firstLine="480"/>
        <w:jc w:val="left"/>
        <w:spacing w:line="500" w:lineRule="exact"/>
        <w:rPr>
          <w:sz w:val="24"/>
          <w:szCs w:val="24"/>
        </w:rPr>
      </w:pPr>
      <w:r>
        <w:rPr>
          <w:rFonts w:hint="eastAsia"/>
          <w:sz w:val="24"/>
          <w:szCs w:val="24"/>
        </w:rPr>
        <w:t xml:space="preserve">地址：</w:t>
      </w:r>
      <w:r>
        <w:rPr>
          <w:rFonts w:hint="eastAsia"/>
          <w:sz w:val="24"/>
          <w:szCs w:val="24"/>
        </w:rPr>
        <w:t xml:space="preserve">                        </w:t>
      </w:r>
      <w:r>
        <w:rPr>
          <w:rFonts w:hint="eastAsia"/>
          <w:sz w:val="24"/>
          <w:szCs w:val="24"/>
        </w:rPr>
        <w:t xml:space="preserve">地址：</w:t>
      </w:r>
      <w:r>
        <w:rPr>
          <w:rFonts w:hint="eastAsia"/>
          <w:sz w:val="24"/>
          <w:szCs w:val="24"/>
        </w:rPr>
        <w:t xml:space="preserve"> </w:t>
      </w:r>
      <w:r/>
    </w:p>
    <w:p>
      <w:pPr>
        <w:ind w:firstLine="480"/>
        <w:jc w:val="left"/>
        <w:spacing w:line="500" w:lineRule="exact"/>
        <w:rPr>
          <w:sz w:val="24"/>
          <w:szCs w:val="24"/>
        </w:rPr>
      </w:pPr>
      <w:r>
        <w:rPr>
          <w:rFonts w:hint="eastAsia"/>
          <w:sz w:val="24"/>
          <w:szCs w:val="24"/>
        </w:rPr>
        <w:t xml:space="preserve">法定代表人或授权代表：</w:t>
      </w:r>
      <w:r>
        <w:rPr>
          <w:rFonts w:hint="eastAsia"/>
          <w:sz w:val="24"/>
          <w:szCs w:val="24"/>
        </w:rPr>
        <w:t xml:space="preserve">        </w:t>
      </w:r>
      <w:r>
        <w:rPr>
          <w:rFonts w:hint="eastAsia"/>
          <w:sz w:val="24"/>
          <w:szCs w:val="24"/>
        </w:rPr>
        <w:t xml:space="preserve">法定代表人或授权代表：</w:t>
      </w:r>
      <w:r/>
    </w:p>
    <w:p>
      <w:pPr>
        <w:ind w:firstLine="480"/>
        <w:jc w:val="left"/>
        <w:spacing w:line="500" w:lineRule="exact"/>
        <w:rPr>
          <w:sz w:val="24"/>
          <w:szCs w:val="24"/>
        </w:rPr>
      </w:pPr>
      <w:r>
        <w:rPr>
          <w:rFonts w:hint="eastAsia"/>
          <w:sz w:val="24"/>
          <w:szCs w:val="24"/>
        </w:rPr>
        <w:t xml:space="preserve">联系电话：</w:t>
      </w:r>
      <w:r>
        <w:rPr>
          <w:rFonts w:hint="eastAsia"/>
          <w:sz w:val="24"/>
          <w:szCs w:val="24"/>
        </w:rPr>
        <w:t xml:space="preserve">                    </w:t>
      </w:r>
      <w:r>
        <w:rPr>
          <w:rFonts w:hint="eastAsia"/>
          <w:sz w:val="24"/>
          <w:szCs w:val="24"/>
        </w:rPr>
        <w:t xml:space="preserve">联系电话：</w:t>
      </w:r>
      <w:r>
        <w:rPr>
          <w:rFonts w:hint="eastAsia"/>
          <w:sz w:val="24"/>
          <w:szCs w:val="24"/>
        </w:rPr>
        <w:t xml:space="preserve">     </w:t>
      </w:r>
      <w:r/>
    </w:p>
    <w:p>
      <w:pPr>
        <w:ind w:firstLine="480"/>
        <w:jc w:val="left"/>
        <w:spacing w:line="500" w:lineRule="exact"/>
        <w:rPr>
          <w:sz w:val="24"/>
          <w:szCs w:val="24"/>
        </w:rPr>
      </w:pPr>
      <w:r>
        <w:rPr>
          <w:sz w:val="24"/>
          <w:szCs w:val="24"/>
        </w:rPr>
      </w:r>
      <w:r/>
    </w:p>
    <w:p>
      <w:pPr>
        <w:ind w:firstLine="480"/>
        <w:jc w:val="right"/>
        <w:spacing w:line="500" w:lineRule="exact"/>
        <w:rPr>
          <w:sz w:val="24"/>
          <w:szCs w:val="24"/>
        </w:rPr>
      </w:pPr>
      <w:r>
        <w:rPr>
          <w:rFonts w:hint="eastAsia"/>
          <w:sz w:val="24"/>
          <w:szCs w:val="24"/>
        </w:rPr>
        <w:t xml:space="preserve">签订日期：</w:t>
      </w:r>
      <w:r>
        <w:rPr>
          <w:rFonts w:hint="eastAsia"/>
          <w:sz w:val="24"/>
          <w:szCs w:val="24"/>
        </w:rPr>
        <w:t xml:space="preserve">       </w:t>
      </w:r>
      <w:r>
        <w:rPr>
          <w:rFonts w:hint="eastAsia"/>
          <w:sz w:val="24"/>
          <w:szCs w:val="24"/>
        </w:rPr>
        <w:t xml:space="preserve">年</w:t>
      </w:r>
      <w:r>
        <w:rPr>
          <w:rFonts w:hint="eastAsia"/>
          <w:sz w:val="24"/>
          <w:szCs w:val="24"/>
        </w:rPr>
        <w:t xml:space="preserve">    </w:t>
      </w:r>
      <w:r>
        <w:rPr>
          <w:rFonts w:hint="eastAsia"/>
          <w:sz w:val="24"/>
          <w:szCs w:val="24"/>
        </w:rPr>
        <w:t xml:space="preserve">月</w:t>
      </w:r>
      <w:r>
        <w:rPr>
          <w:rFonts w:hint="eastAsia"/>
          <w:sz w:val="24"/>
          <w:szCs w:val="24"/>
        </w:rPr>
        <w:t xml:space="preserve">    </w:t>
      </w:r>
      <w:r>
        <w:rPr>
          <w:rFonts w:hint="eastAsia"/>
          <w:sz w:val="24"/>
          <w:szCs w:val="24"/>
        </w:rPr>
        <w:t xml:space="preserve">日</w:t>
      </w:r>
      <w:bookmarkEnd w:id="6"/>
      <w:r/>
      <w:bookmarkEnd w:id="7"/>
      <w:r/>
      <w:r/>
    </w:p>
    <w:p>
      <w:pPr>
        <w:jc w:val="left"/>
        <w:widowControl/>
        <w:rPr>
          <w:sz w:val="24"/>
          <w:szCs w:val="24"/>
        </w:rPr>
      </w:pPr>
      <w:r>
        <w:rPr>
          <w:sz w:val="24"/>
          <w:szCs w:val="24"/>
        </w:rPr>
        <w:br w:type="page" w:clear="all"/>
      </w:r>
      <w:r/>
    </w:p>
    <w:p>
      <w:pPr>
        <w:pStyle w:val="843"/>
        <w:jc w:val="center"/>
        <w:spacing w:line="360" w:lineRule="auto"/>
        <w:rPr>
          <w:rFonts w:ascii="黑体" w:hAnsi="黑体" w:eastAsia="黑体"/>
          <w:b w:val="0"/>
        </w:rPr>
      </w:pPr>
      <w:r/>
      <w:bookmarkStart w:id="8" w:name="_Toc162361613"/>
      <w:r>
        <w:rPr>
          <w:rFonts w:hint="eastAsia" w:ascii="黑体" w:hAnsi="黑体" w:eastAsia="黑体"/>
          <w:b w:val="0"/>
        </w:rPr>
        <w:t xml:space="preserve">第四章  采购需求</w:t>
      </w:r>
      <w:bookmarkEnd w:id="8"/>
      <w:r/>
      <w:r/>
    </w:p>
    <w:p>
      <w:pPr>
        <w:ind w:firstLine="482"/>
        <w:jc w:val="left"/>
        <w:spacing w:line="500" w:lineRule="exact"/>
        <w:rPr>
          <w:b/>
          <w:sz w:val="24"/>
          <w:szCs w:val="24"/>
        </w:rPr>
      </w:pPr>
      <w:r>
        <w:rPr>
          <w:b/>
          <w:sz w:val="24"/>
          <w:szCs w:val="24"/>
        </w:rPr>
      </w:r>
      <w:r/>
    </w:p>
    <w:p>
      <w:pPr>
        <w:jc w:val="center"/>
        <w:spacing w:line="500" w:lineRule="exact"/>
        <w:rPr>
          <w:rFonts w:ascii="宋体" w:hAnsi="宋体" w:eastAsia="宋体" w:cs="宋体"/>
          <w:b/>
          <w:sz w:val="28"/>
          <w:szCs w:val="28"/>
        </w:rPr>
      </w:pPr>
      <w:r>
        <w:rPr>
          <w:rFonts w:hint="eastAsia" w:ascii="宋体" w:hAnsi="宋体" w:eastAsia="宋体" w:cs="宋体"/>
          <w:b/>
          <w:sz w:val="28"/>
          <w:szCs w:val="28"/>
        </w:rPr>
        <w:t xml:space="preserve">采购包1</w:t>
      </w:r>
      <w:r/>
    </w:p>
    <w:p>
      <w:pPr>
        <w:spacing w:line="500" w:lineRule="exact"/>
        <w:rPr>
          <w:rFonts w:ascii="宋体" w:hAnsi="宋体" w:eastAsia="宋体" w:cs="宋体"/>
          <w:b/>
          <w:sz w:val="28"/>
          <w:szCs w:val="28"/>
        </w:rPr>
      </w:pPr>
      <w:r>
        <w:rPr>
          <w:rFonts w:ascii="宋体" w:hAnsi="宋体" w:eastAsia="宋体" w:cs="宋体"/>
          <w:b/>
          <w:sz w:val="28"/>
          <w:szCs w:val="28"/>
        </w:rPr>
      </w:r>
      <w:r/>
    </w:p>
    <w:p>
      <w:pPr>
        <w:ind w:firstLine="482"/>
        <w:jc w:val="left"/>
        <w:spacing w:line="500" w:lineRule="exact"/>
        <w:rPr>
          <w:b/>
          <w:sz w:val="24"/>
          <w:szCs w:val="24"/>
        </w:rPr>
      </w:pPr>
      <w:r>
        <w:rPr>
          <w:rFonts w:hint="eastAsia"/>
          <w:b/>
          <w:sz w:val="24"/>
          <w:szCs w:val="24"/>
        </w:rPr>
        <w:t xml:space="preserve">说明：本项目属性为服务，采购标的对应的中小企业划分标准所属行业为：</w:t>
      </w:r>
      <w:r>
        <w:rPr>
          <w:rFonts w:hint="eastAsia"/>
          <w:b/>
          <w:sz w:val="24"/>
          <w:szCs w:val="24"/>
          <w:u w:val="single"/>
        </w:rPr>
        <w:t xml:space="preserve">软件和信息技术服务业</w:t>
      </w:r>
      <w:r>
        <w:rPr>
          <w:rFonts w:hint="eastAsia"/>
          <w:b/>
          <w:sz w:val="24"/>
          <w:szCs w:val="24"/>
        </w:rPr>
        <w:t xml:space="preserve">。</w:t>
      </w:r>
      <w:r/>
    </w:p>
    <w:p>
      <w:pPr>
        <w:ind w:firstLine="480"/>
        <w:spacing w:line="500" w:lineRule="exact"/>
        <w:rPr>
          <w:rFonts w:asciiTheme="minorEastAsia" w:hAnsiTheme="minorEastAsia"/>
          <w:b/>
          <w:bCs/>
          <w:sz w:val="24"/>
          <w:szCs w:val="24"/>
        </w:rPr>
      </w:pPr>
      <w:r>
        <w:rPr>
          <w:rFonts w:hint="eastAsia" w:asciiTheme="minorEastAsia" w:hAnsiTheme="minorEastAsia"/>
          <w:b/>
          <w:sz w:val="24"/>
          <w:szCs w:val="24"/>
        </w:rPr>
        <w:t xml:space="preserve">依据《关于印发中小企业划型标准规定的通知》（工信部联企业〔2011〕300号）行业划型标准如下：（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82"/>
        <w:jc w:val="left"/>
        <w:spacing w:line="500" w:lineRule="exact"/>
        <w:rPr>
          <w:b/>
          <w:sz w:val="24"/>
          <w:szCs w:val="24"/>
        </w:rPr>
      </w:pPr>
      <w:r>
        <w:rPr>
          <w:b/>
          <w:sz w:val="24"/>
          <w:szCs w:val="24"/>
        </w:rPr>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1.根据《政府采购需求管理办法》等有关规定，采购人确定采购需求。</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2.本招标文件中斜体且有下划线部分为实质性要求和条件，由采购人根据实际情况设置，投标人必须逐条明确作出满足实质性要求和条件的响应，否则将按无效投标处理。</w:t>
      </w:r>
      <w:r/>
    </w:p>
    <w:p>
      <w:pPr>
        <w:pStyle w:val="849"/>
      </w:pPr>
      <w:r/>
      <w:r/>
    </w:p>
    <w:p>
      <w:pPr>
        <w:ind w:firstLine="482"/>
        <w:jc w:val="left"/>
        <w:spacing w:line="500" w:lineRule="exact"/>
        <w:rPr>
          <w:rFonts w:asciiTheme="minorEastAsia" w:hAnsiTheme="minorEastAsia"/>
          <w:b/>
          <w:bCs/>
          <w:sz w:val="24"/>
          <w:szCs w:val="24"/>
        </w:rPr>
      </w:pPr>
      <w:r>
        <w:rPr>
          <w:rFonts w:hint="eastAsia" w:asciiTheme="minorEastAsia" w:hAnsiTheme="minorEastAsia"/>
          <w:b/>
          <w:bCs/>
          <w:sz w:val="24"/>
          <w:szCs w:val="24"/>
        </w:rPr>
        <w:t xml:space="preserve">一、项目概况</w:t>
      </w:r>
      <w:r/>
    </w:p>
    <w:p>
      <w:pPr>
        <w:ind w:firstLine="480"/>
        <w:spacing w:line="360" w:lineRule="auto"/>
        <w:rPr>
          <w:sz w:val="24"/>
        </w:rPr>
      </w:pPr>
      <w:r>
        <w:rPr>
          <w:rFonts w:hint="eastAsia"/>
          <w:sz w:val="24"/>
        </w:rPr>
        <w:t xml:space="preserve">在一期“斥候”系统首创“查人找物”数据演算、精准获取涉案当事人相关信息的基础上，二期系统以“有序数据共享、高效应用服务和可靠安全保障”为核心方向，通过构建法院数据平台、应用服务平台与统一安全防护体系，进一步打破数据壁垒、整合全量资源，实现数据的集中治理、精准关联与智能应用，为审判执行提质增效、统一裁判尺度、强化监督管理提供坚实的数据支撑。</w:t>
      </w:r>
      <w:r/>
    </w:p>
    <w:p>
      <w:pPr>
        <w:ind w:firstLine="480"/>
        <w:spacing w:line="360" w:lineRule="auto"/>
        <w:rPr>
          <w:sz w:val="24"/>
        </w:rPr>
      </w:pPr>
      <w:r>
        <w:rPr>
          <w:rFonts w:hint="eastAsia"/>
          <w:sz w:val="24"/>
        </w:rPr>
        <w:t xml:space="preserve">二期将在一期“查人找物”能力之上，依托统一数据资源池与统一应用服务，构建覆盖关键业务和主要流程的智慧执行支撑体系：在数据层面，通过统一数据交换平台，整合基础数据库、专题数据库与元数据库，形成标准统一、安全可控、按需共享的法院数据平台，实现内部审判执行数据、外部政务共享数据与合规互</w:t>
      </w:r>
      <w:r>
        <w:rPr>
          <w:rFonts w:hint="eastAsia"/>
          <w:sz w:val="24"/>
        </w:rPr>
        <w:t xml:space="preserve">联网数据的深度融合与高效流转；在应用层面，依托统一应用服务，集成执行辅助等核心应用，打造协同办理、智能支撑的应用服务平台，为送达、拘传、财产关联人查找、不动产清场、企业综合评估、反担保应用等场景提供更精准、更智能的行动指引与决策支撑；在安全层面，构建纵深防御、合规可控、安全稳定的统一安全防护体系，保障数据全生命周期安全与应用全流程可信。</w:t>
      </w:r>
      <w:r/>
    </w:p>
    <w:p>
      <w:pPr>
        <w:ind w:firstLine="480"/>
        <w:spacing w:line="360" w:lineRule="auto"/>
        <w:rPr>
          <w:sz w:val="24"/>
        </w:rPr>
      </w:pPr>
      <w:r>
        <w:rPr>
          <w:rFonts w:hint="eastAsia"/>
          <w:sz w:val="24"/>
        </w:rPr>
        <w:t xml:space="preserve">通过二期建设，将进一步深化“斥候”系统的智能演算能力，从“查人找物”单点突破升级为“数智赋能”的整体跃升，实现从线索发现到行动指引的全链条智能化支撑，全面提升执行质效，为群众提供更高效便捷的司法服务，为社会经济高质量发展提供更有力的司法保障。</w:t>
      </w:r>
      <w:r/>
    </w:p>
    <w:p>
      <w:pPr>
        <w:ind w:firstLine="482"/>
        <w:jc w:val="left"/>
        <w:spacing w:line="500" w:lineRule="exact"/>
        <w:rPr>
          <w:rFonts w:asciiTheme="minorEastAsia" w:hAnsiTheme="minorEastAsia"/>
          <w:b/>
          <w:bCs/>
          <w:sz w:val="24"/>
          <w:szCs w:val="24"/>
        </w:rPr>
      </w:pPr>
      <w:r>
        <w:rPr>
          <w:rFonts w:hint="eastAsia" w:asciiTheme="minorEastAsia" w:hAnsiTheme="minorEastAsia"/>
          <w:b/>
          <w:bCs/>
          <w:sz w:val="24"/>
          <w:szCs w:val="24"/>
        </w:rPr>
        <w:t xml:space="preserve">二、服务技术要求</w:t>
      </w:r>
      <w:r/>
    </w:p>
    <w:p>
      <w:pPr>
        <w:ind w:firstLine="482"/>
        <w:spacing w:line="360" w:lineRule="auto"/>
        <w:rPr>
          <w:rFonts w:asciiTheme="minorEastAsia" w:hAnsiTheme="minorEastAsia"/>
          <w:b/>
          <w:bCs/>
          <w:sz w:val="24"/>
        </w:rPr>
      </w:pPr>
      <w:r>
        <w:rPr>
          <w:rFonts w:hint="eastAsia" w:asciiTheme="minorEastAsia" w:hAnsiTheme="minorEastAsia"/>
          <w:b/>
          <w:bCs/>
          <w:sz w:val="24"/>
        </w:rPr>
        <w:t xml:space="preserve">1.服务范围</w:t>
      </w:r>
      <w:r/>
    </w:p>
    <w:p>
      <w:pPr>
        <w:ind w:firstLine="480"/>
        <w:spacing w:line="360" w:lineRule="auto"/>
        <w:rPr>
          <w:rFonts w:asciiTheme="minorEastAsia" w:hAnsiTheme="minorEastAsia"/>
          <w:sz w:val="24"/>
        </w:rPr>
      </w:pPr>
      <w:r>
        <w:rPr>
          <w:rFonts w:hint="eastAsia" w:asciiTheme="minorEastAsia" w:hAnsiTheme="minorEastAsia"/>
          <w:sz w:val="24"/>
        </w:rPr>
        <w:t xml:space="preserve">本项目围绕法院执行“查人找物”核心痛点，以提升执行完毕率、降低首执案件终本率、提高执行到位率为核心目标，依托大数据等技术，打造全流程智能化的执行查控体系，核心建设内容包括数据资源、核心应用场景开发等，具体如下：</w:t>
      </w:r>
      <w:r/>
    </w:p>
    <w:p>
      <w:pPr>
        <w:ind w:firstLine="480"/>
        <w:spacing w:line="360" w:lineRule="auto"/>
        <w:rPr>
          <w:rFonts w:asciiTheme="minorEastAsia" w:hAnsiTheme="minorEastAsia"/>
          <w:sz w:val="24"/>
        </w:rPr>
      </w:pPr>
      <w:r>
        <w:rPr>
          <w:rFonts w:hint="eastAsia" w:asciiTheme="minorEastAsia" w:hAnsiTheme="minorEastAsia"/>
          <w:sz w:val="24"/>
        </w:rPr>
        <w:t xml:space="preserve">1.1多源数据资源整合与治理建设拓展数据来源渠道，对接连云港市政务数据，同时整合法院内部执行查控数据、审判案件数据，构建覆盖被执行人身份标识、财产状况、社会行为、信用记录四大维度的立体数据体系；开展全量数据的标准化治理，包括数据清洗、去重、补录、脱敏、加密，建立标准地址库、标准人员库、标准企业库、标准财产库，搭建统一的执行数据资源池，实现数据的一数一源、全域共享、实时更新。</w:t>
      </w:r>
      <w:r/>
    </w:p>
    <w:p>
      <w:pPr>
        <w:ind w:firstLine="480"/>
        <w:spacing w:line="360" w:lineRule="auto"/>
        <w:rPr>
          <w:rFonts w:asciiTheme="minorEastAsia" w:hAnsiTheme="minorEastAsia"/>
          <w:sz w:val="24"/>
        </w:rPr>
      </w:pPr>
      <w:r>
        <w:rPr>
          <w:rFonts w:hint="eastAsia" w:asciiTheme="minorEastAsia" w:hAnsiTheme="minorEastAsia"/>
          <w:sz w:val="24"/>
        </w:rPr>
        <w:t xml:space="preserve">1.2执行核心应用场景智能化开发围绕法院执行实</w:t>
      </w:r>
      <w:r>
        <w:rPr>
          <w:rFonts w:hint="eastAsia" w:asciiTheme="minorEastAsia" w:hAnsiTheme="minorEastAsia"/>
          <w:sz w:val="24"/>
        </w:rPr>
        <w:t xml:space="preserve">际业务需求，开发六大核心智能化应用场景：一是查人送达指引场景，实现涉案当事人精准定位、最优送达路径推荐与最佳拘传时段推算；二是关联财产分析场景，挖掘财产代持、资金转移线索，生成资金穿透图谱；三是企业综合评估场景，构建涉诉企业多维度评价体系，实现企业经营状况、履约能力的自动化打分评级及担保权利瑕疵核验；四是执行风险评估场景，分析被执行人人员结构与特殊群体，制定个性化、善意文明的拘传清场布控方案；五是终本案件辅助场景，动态监控终本案件财产线索与程序要件，提升恢复执行能力；六是调查取证辅助场景，对书面及电子证据交</w:t>
      </w:r>
      <w:r>
        <w:rPr>
          <w:rFonts w:hint="eastAsia" w:asciiTheme="minorEastAsia" w:hAnsiTheme="minorEastAsia"/>
          <w:sz w:val="24"/>
        </w:rPr>
        <w:t xml:space="preserve">叉比对与事实补强，辅助夯实案件事实认定。</w:t>
      </w:r>
      <w:r/>
    </w:p>
    <w:p>
      <w:pPr>
        <w:ind w:firstLine="482"/>
        <w:spacing w:line="360" w:lineRule="auto"/>
        <w:rPr>
          <w:rFonts w:ascii="黑体" w:hAnsi="黑体"/>
          <w:b/>
          <w:bCs/>
          <w:sz w:val="24"/>
          <w:vertAlign w:val="subscript"/>
        </w:rPr>
      </w:pPr>
      <w:r>
        <w:rPr>
          <w:rFonts w:hint="eastAsia" w:asciiTheme="minorEastAsia" w:hAnsiTheme="minorEastAsia"/>
          <w:b/>
          <w:bCs/>
          <w:sz w:val="24"/>
        </w:rPr>
        <w:t xml:space="preserve">2.服务技术要求</w:t>
      </w:r>
      <w:r/>
    </w:p>
    <w:p>
      <w:pPr>
        <w:ind w:firstLine="482"/>
        <w:spacing w:line="360" w:lineRule="auto"/>
        <w:rPr>
          <w:rFonts w:asciiTheme="minorEastAsia" w:hAnsiTheme="minorEastAsia"/>
          <w:b/>
          <w:bCs/>
          <w:sz w:val="24"/>
        </w:rPr>
      </w:pPr>
      <w:r>
        <w:rPr>
          <w:rFonts w:hint="eastAsia" w:asciiTheme="minorEastAsia" w:hAnsiTheme="minorEastAsia"/>
          <w:b/>
          <w:bCs/>
          <w:sz w:val="24"/>
        </w:rPr>
        <w:t xml:space="preserve">2.1遵循的标准规范</w:t>
      </w:r>
      <w:r/>
    </w:p>
    <w:p>
      <w:pPr>
        <w:ind w:firstLine="480"/>
        <w:spacing w:line="360" w:lineRule="auto"/>
        <w:rPr>
          <w:rFonts w:asciiTheme="minorEastAsia" w:hAnsiTheme="minorEastAsia"/>
          <w:sz w:val="24"/>
        </w:rPr>
      </w:pPr>
      <w:r>
        <w:rPr>
          <w:rFonts w:hint="eastAsia" w:asciiTheme="minorEastAsia" w:hAnsiTheme="minorEastAsia"/>
          <w:sz w:val="24"/>
        </w:rPr>
        <w:t xml:space="preserve">本项目建设将严格执行国家及司法行业制定的标准规范，包括《中华人民共和国网络安全法》《中华人民共和国数据安全法》《人民法院数据安全管理办法》《最高人民法院关于规范和加强人工智能司法应用的意见》《人民法院案件信息业务标准》《信息安全技术网络安全等级保护基本要求》（GB/T22239-2019）、《政务信息资源交换体系》（GB21062-2007）等，以保障系统在技术架构、数据格式、安全防护、业务流程等方面的标准化、规范化，为实现法院系统内部、跨政务部门的数据交换共享和业务协同奠定坚实基础。</w:t>
      </w:r>
      <w:r/>
    </w:p>
    <w:p>
      <w:pPr>
        <w:ind w:firstLine="480"/>
        <w:spacing w:line="360" w:lineRule="auto"/>
        <w:rPr>
          <w:rFonts w:ascii="宋体" w:hAnsi="宋体" w:eastAsia="宋体" w:cs="宋体"/>
          <w:b/>
          <w:sz w:val="24"/>
          <w:szCs w:val="24"/>
        </w:rPr>
      </w:pPr>
      <w:r>
        <w:rPr>
          <w:rFonts w:hint="eastAsia" w:ascii="宋体" w:hAnsi="宋体" w:eastAsia="宋体" w:cs="宋体"/>
          <w:b/>
          <w:sz w:val="24"/>
          <w:szCs w:val="24"/>
        </w:rPr>
        <w:t xml:space="preserve">2.2系统架构要求</w:t>
      </w:r>
      <w:r/>
    </w:p>
    <w:p>
      <w:pPr>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系统架构应体现分层设计思想，按照“数据底座—支撑服务—业务应用”三层架构组织。数据层依托司法数据仓库统一汇聚、治理、存储各类司法数据资源，形成标准统一、安全可控、按需共享的数据资源体系；支撑层依托应用支撑平台提供统一的身份认证、权限管控与服务治理能力，将重复性高、通用性强的共性能力提炼至平台统一建设，满足各业务系统的复用；应用层面向查人送达、财产关联分析、企业信用评估、执行风险评估、终本案件辅助管理、调查取证辅助等执行核心场景构建智能应用。</w:t>
      </w:r>
      <w:r/>
    </w:p>
    <w:p>
      <w:pPr>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系统架构应支持微服务架构，便于服务的拆分与组合，提高系统的灵活性和可扩展性；应体现模块化设计理念，各模块职责清晰、耦合度低，模块间能够有效协作，并明确数据的来源、存储与使用方式。</w:t>
      </w:r>
      <w:r/>
    </w:p>
    <w:p>
      <w:pPr>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部署架构应以项目需求为导向，在满足等保三级网络安全与数据安全要求的基础上，明确部署系统所需的服务器、数据库、存储等硬件资源及网络环境，支持横向和纵向扩展，可根据业务量增长与数据来源拓展灵活增加硬件节点、扩展数据处理能力与存储容量。</w:t>
      </w:r>
      <w:r/>
    </w:p>
    <w:p>
      <w:pPr>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技术路线方面，系统采用微服务技术架构与前后端分离设计，数据处理与存储系统支持多源异构司法数据的实时与离线采集、清洗与转换，满足执行干警在拘传、财产查控、清场等场景下的实时数据需求。</w:t>
      </w:r>
      <w:r/>
    </w:p>
    <w:p>
      <w:pPr>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界面设计应兼顾人机交互、操作逻辑与视觉美观，设计风格简洁大气、易于</w:t>
      </w:r>
      <w:r>
        <w:rPr>
          <w:rFonts w:hint="eastAsia" w:ascii="宋体" w:hAnsi="宋体" w:eastAsia="宋体" w:cs="宋体"/>
          <w:bCs/>
          <w:sz w:val="24"/>
          <w:szCs w:val="24"/>
        </w:rPr>
        <w:t xml:space="preserve">使用，减少使用单位的适应时间。</w:t>
      </w:r>
      <w:r/>
    </w:p>
    <w:p>
      <w:pPr>
        <w:ind w:firstLine="480"/>
        <w:spacing w:line="360" w:lineRule="auto"/>
        <w:rPr>
          <w:rFonts w:ascii="宋体" w:hAnsi="宋体" w:eastAsia="宋体" w:cs="宋体"/>
          <w:b/>
          <w:sz w:val="24"/>
          <w:szCs w:val="24"/>
        </w:rPr>
      </w:pPr>
      <w:r>
        <w:rPr>
          <w:rFonts w:hint="eastAsia" w:ascii="宋体" w:hAnsi="宋体" w:eastAsia="宋体" w:cs="宋体"/>
          <w:b/>
          <w:sz w:val="24"/>
          <w:szCs w:val="24"/>
        </w:rPr>
        <w:t xml:space="preserve">2.3 技术路线与部署要求</w:t>
      </w:r>
      <w:r/>
    </w:p>
    <w:p>
      <w:pPr>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为确保本项目软件能在一段时间内保持其整体先进性、稳定性及可扩展性的要求，在进行系统设计时，采用微服务技术架构。</w:t>
      </w:r>
      <w:r/>
    </w:p>
    <w:p>
      <w:pPr>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系统部署架构需要以项目需求为导向，在满足基础网络安全、信息安全基础上，明确部署基层治理信息系统所需的硬件资源种类、数量、网络环境，包括但不限于服务器、数据库、存储设备等硬件资源，以及确保系统稳定运行所需的网络线路、安全设备等。</w:t>
      </w:r>
      <w:r/>
    </w:p>
    <w:p>
      <w:pPr>
        <w:ind w:firstLine="480"/>
        <w:spacing w:line="360" w:lineRule="auto"/>
        <w:rPr>
          <w:rFonts w:ascii="宋体" w:hAnsi="宋体" w:eastAsia="宋体" w:cs="宋体"/>
          <w:b/>
          <w:sz w:val="24"/>
          <w:szCs w:val="24"/>
        </w:rPr>
      </w:pPr>
      <w:r>
        <w:rPr>
          <w:rFonts w:hint="eastAsia" w:ascii="宋体" w:hAnsi="宋体" w:eastAsia="宋体" w:cs="宋体"/>
          <w:b/>
          <w:sz w:val="24"/>
          <w:szCs w:val="24"/>
        </w:rPr>
        <w:t xml:space="preserve">2.4应用支撑平台</w:t>
      </w:r>
      <w:r/>
    </w:p>
    <w:p>
      <w:pPr>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应用支撑平台是支撑"斥候"二期系统及各执行业务场景运行的基础服务设施，为上层业务应用提供统一的身份认证、权限管控与服务治理能力，有效减少重复开发、提升系统复用性。平台主要包括统一用户管理和统一服务管理两部分。</w:t>
      </w:r>
      <w:r/>
    </w:p>
    <w:p>
      <w:pPr>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（1）统一用户管理</w:t>
      </w:r>
      <w:r/>
    </w:p>
    <w:p>
      <w:pPr>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统一用户管理建立连云港市中级人民法院统一的用户管理体系，实现多个部门、不同层级、不同应用间用户身份信息的统一维护与授权认证管理，支持用户身份全生命周期管理，实现"一次认证、多应用通行"。</w:t>
      </w:r>
      <w:r/>
    </w:p>
    <w:p>
      <w:pPr>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①角色管理：提供角色基本信息的新增、修改、删除、检索和授权等功能，支持角色自定义及权限分配，实现最小权限管控。</w:t>
      </w:r>
      <w:r/>
    </w:p>
    <w:p>
      <w:pPr>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②人员管理：提供人员基本信息的新增、修改、删除、检索和授权等功能，支持人员账号全生命周期管理，账号状态实时可控。</w:t>
      </w:r>
      <w:r/>
    </w:p>
    <w:p>
      <w:pPr>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③登录验证：基于统一用户管理体系提供登录、登出、密码验证和权限认证等功能，提供统一服务接口便于各应用集成，支持密码复杂度校验与登录失败锁定策略。</w:t>
      </w:r>
      <w:r/>
    </w:p>
    <w:p>
      <w:pPr>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（2）统一服务管理</w:t>
      </w:r>
      <w:r/>
    </w:p>
    <w:p>
      <w:pPr>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统一服务管理通过服务管理、日志管理、业务监控、远程监控等能力建设，实现对各类离散服务的统一管理和监控，实现服务统一注册、监控与治理，服务运行状态实时可视。</w:t>
      </w:r>
      <w:r/>
    </w:p>
    <w:p>
      <w:pPr>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①服务治理：提供服务网关的管理以及各种能力引擎的注册、监控、日志等功能，支持服务注册发现、调用监控与日志留痕，异常服务可告警。</w:t>
      </w:r>
      <w:r/>
    </w:p>
    <w:p>
      <w:pPr>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②服务网关：以标准服务方式统一对外发布接口服务及应用服务，通过安全认证、流量控制、负载均衡等多种措施保障服务的可用性和可靠性，接口调用全链路日志留痕。</w:t>
      </w:r>
      <w:r/>
    </w:p>
    <w:p>
      <w:pPr>
        <w:ind w:firstLine="480"/>
        <w:spacing w:line="360" w:lineRule="auto"/>
        <w:rPr>
          <w:rFonts w:ascii="宋体" w:hAnsi="宋体" w:eastAsia="宋体" w:cs="宋体"/>
          <w:b/>
          <w:sz w:val="24"/>
          <w:szCs w:val="24"/>
        </w:rPr>
      </w:pPr>
      <w:r>
        <w:rPr>
          <w:rFonts w:hint="eastAsia"/>
        </w:rPr>
        <w:t xml:space="preserve">▲</w:t>
      </w:r>
      <w:r>
        <w:rPr>
          <w:rFonts w:hint="eastAsia" w:ascii="宋体" w:hAnsi="宋体" w:eastAsia="宋体" w:cs="宋体"/>
          <w:b/>
          <w:sz w:val="24"/>
          <w:szCs w:val="24"/>
        </w:rPr>
        <w:t xml:space="preserve">2.5司法数据仓库/统一数据资源池</w:t>
      </w:r>
      <w:r/>
    </w:p>
    <w:p>
      <w:pPr>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司法数据仓库是"斥候"二期系统的数据底座与核心支撑平台，通过对法院内部数据、外部共享数据、社会公共数据及互联网可信数据进行统一汇聚、清洗、治理、标签化与标准化存储，形成覆盖全市法院执行工作的数据资源体系，从根本上解决执行工作中长期存在的数据分散、口径不一、调取困难、使用低效等突出问题。数据仓库主要包括司法数据集成、司法数据资产管理和数据共享交换三部分，依据 GB/T 36073-2018、GB/T 34960.5-2018、GB/T 35274-2023 等标准建设。</w:t>
      </w:r>
      <w:r/>
    </w:p>
    <w:p>
      <w:pPr>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（1）司法数据集成</w:t>
      </w:r>
      <w:r/>
    </w:p>
    <w:p>
      <w:pPr>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提供离线数据集成工具，支持结构化、半结构化及非结构化多源异构数据的统一接入、转换与装载，支持全量、增量两种集成模式，实现跨部门、跨委办局数据的汇聚与标准化处理。数据集成对接不少于15家政务单位和企业单位的数据接口或库表，集成结构化数据落库条目不少于10亿条，数据库表不少于100张。</w:t>
      </w:r>
      <w:r/>
    </w:p>
    <w:p>
      <w:pPr>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（2）司法数据资产管理</w:t>
      </w:r>
      <w:r/>
    </w:p>
    <w:p>
      <w:pPr>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司法数据资产管理包含数据资源目录、数据共享交换、数据资产可视化等功能，参照 GB/T 40685-2021 实现数据资产的全生命周期管理，基于集成完成的数据开展数据清洗、分类、归纳，完成数据表、文件的全量梳理编目。</w:t>
      </w:r>
      <w:r/>
    </w:p>
    <w:p>
      <w:pPr>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①数据资源目录：包含数据资源门户、资源目录管理、数据资源管理等功能，实现数据资源的统一编目、发布与检索。按统一元数据标准完成数据资源全量编目，编目覆盖全部已接入数据表与文件，支持目录分级授权与多维度检索。</w:t>
      </w:r>
      <w:r/>
    </w:p>
    <w:p>
      <w:pPr>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数据资源门户：包含资源目录检索、资源目录共享等功能，面向业务用户提供统一的数据资源入口，支持按目录导航、关键词、多维条件等组合检索，常规检索响应时间不超过3秒。其中资源检索支持关键词、标签、数据类型、更新时间等多维组合检索，检索结果支持排序、筛选与导出；资源共享通过标准化 API 服务对外共享数据表和文件资源，支持接口鉴权、限流与调用统计，调用日志全</w:t>
      </w:r>
      <w:r>
        <w:rPr>
          <w:rFonts w:hint="eastAsia" w:ascii="宋体" w:hAnsi="宋体" w:eastAsia="宋体" w:cs="宋体"/>
          <w:bCs/>
          <w:sz w:val="24"/>
          <w:szCs w:val="24"/>
        </w:rPr>
        <w:t xml:space="preserve">程留痕，具备权限校验与访问审计能力；个人工作台提供数据申请、审批、使用跟踪的一体化入口，支持数据资源申请、审批、授权、回收的全流程管理，审批流程可配置、全过程可追踪。</w:t>
      </w:r>
      <w:r/>
    </w:p>
    <w:p>
      <w:pPr>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资源目录管理：包含资源目录树管理、资源目录节点管理等功能，支持多层级目录体系的自定义配置，支持目录节点的新增、修改、删除、排序、迁移等全生命周期管理，目录层级支持不少于3级。支持数据标签类型与数据标签的自定义管理，可依据 GB/T 43697-2024《数据安全技术 数据分类分级规则》开展数据分类分级，支持标签自定义与批量打标。</w:t>
      </w:r>
      <w:r/>
    </w:p>
    <w:p>
      <w:pPr>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数据资源管理：包含数据资源维护、数据目录关联、数据资源授权等功能，实现数据表与文件资源的统一维护、目录关联与授权管理，操作全程留痕、可追溯。支持数据表、文件的新增、修改、删除、发布、变更、下架等全生命周期管理及版本管理；支持跨目录树关联实现"一表多目录复用、一处维护多处引用"；支持表级、文件级访问授权，授权审批全流程留痕、权限变更可审计。</w:t>
      </w:r>
      <w:r/>
    </w:p>
    <w:p>
      <w:pPr>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②数据共享交换：提供以数据库、文件、API 服务等多种方式获取外部数据或对外共享数据的功能，实现内外部数据的双向交换与共享，交换过程具备完整性校验与日志审计，交换数据安全符合 GB/T 39477-2020 及 GB/T 41479-2022 要求。</w:t>
      </w:r>
      <w:r/>
    </w:p>
    <w:p>
      <w:pPr>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数据交换服务：提供数据库导入导出数据、文件导入等方式交换数据，支持批量数据交换作业调度，具备异常重试与执行状态监控能力，支持定时、手动两种调度方式；支持 CSV 等常见格式文件导入与批量校验，覆盖主流关系型数据库库表数据的全量、增量导入导出，导出操作留痕可审计。</w:t>
      </w:r>
      <w:r/>
    </w:p>
    <w:p>
      <w:pPr>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文件交换服务：支持文件上传下载服务，实现跨部门文件的可靠传输，支持大文件分片上传与断点续传，保障文件传输的完整性与可靠性。</w:t>
      </w:r>
      <w:r/>
    </w:p>
    <w:p>
      <w:pPr>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数据源管理：支持 MySQL、SQLServer、PostgreSQL、MongoDB、Oracle 等主流数据库的数据源配置管理，实现异构数据源的统一注册、连接管理与状态监控，支持不少于3类主流数据库的数据源接入，连接参数加密存储。</w:t>
      </w:r>
      <w:r/>
    </w:p>
    <w:p>
      <w:pPr>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③数据资产可视化：以全局视角对数据接入、校验、清洗、服务等全过程信息进行提取和汇总，动态展现整体或局部数据资源情况。提供数据接入可视化，动态展示已接入数据总量、日增量、月增量、同比、环比、数据分类等信息；提</w:t>
      </w:r>
      <w:r>
        <w:rPr>
          <w:rFonts w:hint="eastAsia" w:ascii="宋体" w:hAnsi="宋体" w:eastAsia="宋体" w:cs="宋体"/>
          <w:bCs/>
          <w:sz w:val="24"/>
          <w:szCs w:val="24"/>
        </w:rPr>
        <w:t xml:space="preserve">供数据清洗可视化，动态展示批量和实时清洗任务执行情况，异常任务可告警提示；提供数据治理可视化，依据 GB/T 34960.5-2018 展示数据治理全过程关键指标；提供数据服务可视化，展示数据共享服务统计、库表导入导出服务统计、数据订阅服务统计等对外开放数据服务的使用情况。</w:t>
      </w:r>
      <w:r/>
    </w:p>
    <w:p>
      <w:pPr>
        <w:ind w:firstLine="480"/>
        <w:spacing w:line="360" w:lineRule="auto"/>
        <w:rPr>
          <w:rFonts w:ascii="宋体" w:hAnsi="宋体" w:eastAsia="宋体" w:cs="宋体"/>
          <w:b/>
          <w:sz w:val="24"/>
          <w:szCs w:val="24"/>
        </w:rPr>
      </w:pPr>
      <w:r>
        <w:rPr>
          <w:rFonts w:hint="eastAsia"/>
        </w:rPr>
        <w:t xml:space="preserve">▲</w:t>
      </w:r>
      <w:r>
        <w:rPr>
          <w:rFonts w:hint="eastAsia" w:ascii="宋体" w:hAnsi="宋体" w:eastAsia="宋体" w:cs="宋体"/>
          <w:b/>
          <w:sz w:val="24"/>
          <w:szCs w:val="24"/>
        </w:rPr>
        <w:t xml:space="preserve">2.6统一应用平台设计</w:t>
      </w:r>
      <w:r/>
    </w:p>
    <w:p>
      <w:pPr>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统一应用平台是面向法院干警、管理人员、技术运维人员打造的一站式工作入口</w:t>
      </w:r>
      <w:r>
        <w:rPr>
          <w:rFonts w:hint="eastAsia" w:ascii="宋体" w:hAnsi="宋体" w:eastAsia="宋体" w:cs="宋体"/>
          <w:bCs/>
          <w:sz w:val="24"/>
          <w:szCs w:val="24"/>
        </w:rPr>
        <w:t xml:space="preserve">平台，有效解决传统执行系统入口分散、操作繁琐、权限混乱、数据不通等现实问题。平台集成查人送达指引、财产关联分析、企业信用评估、执行风险评估、终本案件辅助管理、调查取证辅助、指挥调度等智能应用，提供统一登录、统一待办、统一消息提醒与统一权限管理。其中指挥调度实现上下级法院业务协同，支持中院向下级法院下发任务、核查指令与涉案线索，下级反馈处置进展，实现任务督办、跨院线索流转，完整记录协同处置全过程。统一数据资源池与统一应用平台共同构成本项目一体化架构，为后续各智能执行场景提供稳定、高效、安全、可扩展的底层支撑。</w:t>
      </w:r>
      <w:r/>
    </w:p>
    <w:p>
      <w:pPr>
        <w:ind w:firstLine="480"/>
        <w:spacing w:line="360" w:lineRule="auto"/>
        <w:rPr>
          <w:rFonts w:ascii="宋体" w:hAnsi="宋体" w:eastAsia="宋体" w:cs="宋体"/>
          <w:b/>
          <w:sz w:val="24"/>
          <w:szCs w:val="24"/>
        </w:rPr>
      </w:pPr>
      <w:r>
        <w:rPr>
          <w:rFonts w:hint="eastAsia"/>
        </w:rPr>
        <w:t xml:space="preserve">▲</w:t>
      </w:r>
      <w:r>
        <w:rPr>
          <w:rFonts w:hint="eastAsia" w:ascii="宋体" w:hAnsi="宋体" w:eastAsia="宋体" w:cs="宋体"/>
          <w:b/>
          <w:sz w:val="24"/>
          <w:szCs w:val="24"/>
        </w:rPr>
        <w:t xml:space="preserve">2.7综合态势监测大屏</w:t>
      </w:r>
      <w:r/>
    </w:p>
    <w:p>
      <w:pPr>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综合态势监测大屏作为统一应用平台的可视化展示模块，面向法院管理决策人员，依托统一数据资源池汇聚的多源执行业务数据，采用图表、统计看板等可视化形式完成执行业务关键指标、数据资源情况、场景应用运行状态的直观可视化展示，支撑管理人员宏观掌握全市法院执行工作态势，大屏不改变原有业务系</w:t>
      </w:r>
      <w:r>
        <w:rPr>
          <w:rFonts w:hint="eastAsia" w:ascii="宋体" w:hAnsi="宋体" w:eastAsia="宋体" w:cs="宋体"/>
          <w:bCs/>
          <w:sz w:val="24"/>
          <w:szCs w:val="24"/>
        </w:rPr>
        <w:t xml:space="preserve">统业务逻辑，仅做信息聚合直观展示，可对案件总量、终本案件数量、财产线索发现数量、送达指引应用次数等核心执行业务指标统计展示，支持按法院单位、时间维度筛选查看，直观反映各单位执行业务工作开展总体情况，同时可视化展示已接入数据源数量、接口调用统计情况，直观掌握司法数据资源池的数据接入、治理等，便于运维人员及时发现平台运行问题。该大屏与统一应用平台身份体系、权限体系深度打通，作为平台的可视化能力组件和六大业务场景功能联动，大屏展示的数据全部来源于司法数据仓库，不新增独立的数据存储，保障数据口径和业务系统保持一致。</w:t>
      </w:r>
      <w:r/>
    </w:p>
    <w:p>
      <w:pPr>
        <w:ind w:firstLine="480"/>
        <w:spacing w:line="360" w:lineRule="auto"/>
        <w:rPr>
          <w:rFonts w:ascii="宋体" w:hAnsi="宋体" w:eastAsia="宋体" w:cs="宋体"/>
          <w:b/>
          <w:sz w:val="24"/>
          <w:szCs w:val="24"/>
          <w:highlight w:val="green"/>
        </w:rPr>
      </w:pPr>
      <w:r>
        <w:rPr>
          <w:rFonts w:hint="eastAsia"/>
        </w:rPr>
        <w:t xml:space="preserve">▲</w:t>
      </w:r>
      <w:r>
        <w:rPr>
          <w:rFonts w:hint="eastAsia" w:ascii="宋体" w:hAnsi="宋体" w:eastAsia="宋体" w:cs="宋体"/>
          <w:b/>
          <w:sz w:val="24"/>
          <w:szCs w:val="24"/>
        </w:rPr>
        <w:t xml:space="preserve">2.8六大业务场景功能</w:t>
      </w:r>
      <w:r/>
    </w:p>
    <w:p>
      <w:pPr>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面向执行办案核心场景，围绕"查人送达、财产关联、企业信用评估、执行</w:t>
      </w:r>
      <w:r>
        <w:rPr>
          <w:rFonts w:hint="eastAsia" w:ascii="宋体" w:hAnsi="宋体" w:eastAsia="宋体" w:cs="宋体"/>
          <w:bCs/>
          <w:sz w:val="24"/>
          <w:szCs w:val="24"/>
        </w:rPr>
        <w:t xml:space="preserve">风险研判、辅助终本案件、调查取证"六大场景构建智能应用能力，为执行工作提供数据与算法支撑。</w:t>
      </w:r>
      <w:r/>
    </w:p>
    <w:p>
      <w:pPr>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（1）查人送达指引系统</w:t>
      </w:r>
      <w:r/>
    </w:p>
    <w:p>
      <w:pPr>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强制执行拘传是破解"查人找物"难题的核心突破口，司法辅助送达是提升审判质效的基础环节。本场景依托统一数据资源池汇聚的政务、社会等多类数据源，通过智能算法对涉案当事人地址进行校验、修正与归集，生成被查找人有效地址序列；依据失联状态与地址有效性，智能推荐直接送达、电子送达、邮寄送达等最优送达路径，精准识别涉案当事人实际居所，辅助精准执行，提升法律文书送达成功率。</w:t>
      </w:r>
      <w:r/>
    </w:p>
    <w:p>
      <w:pPr>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（2）财产关联分析系统</w:t>
      </w:r>
      <w:r/>
    </w:p>
    <w:p>
      <w:pPr>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规避执行往往伴随复杂的财产转移与代持行为。本场景旨在通过智能算法对被执行人近亲属、企业股东、实际控制人、交易往来主体等关联主体进行穿透分析，生成可视化关联图谱，筛查隐匿财产、异常财产变动及规避执行线索；对被执行人及其关联主体名下不动产、车辆、股权等财产线索做统一归集，输出标准化财产核查清单，实现"一次申请、多源财产线索归集"，支持多案件、多被执行人批量筛查，线索结果可直接供办案人员线下核实使用。</w:t>
      </w:r>
      <w:r/>
    </w:p>
    <w:p>
      <w:pPr>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（3）企业信用评估系统</w:t>
      </w:r>
      <w:r/>
    </w:p>
    <w:p>
      <w:pPr>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本场景以统一数据资源池为底座，基于涉案企业涉诉、财产、经营、纳税、用工、信用等多维数据，构建涉案企业"一户一档"画像，辅助研判空壳、歇业、经营困难、正常经营等企业状态，输出企业信用与偿债能力评估；针对不同状态提示差异化执行措施，辅助核验担保人资质与担保物权属、抵押查封、重复担保等权利瑕疵，为反担保解封等延伸司法职能的应用提供数据支撑。系统对被执行企业进行动态分级分类评估，评估结果随外部数据动态刷新，定制化推送执行智能提示，支撑善意执行提示与担保风险核验，评估报告可导出。</w:t>
      </w:r>
      <w:r/>
    </w:p>
    <w:p>
      <w:pPr>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（4）执行风险评估系统</w:t>
      </w:r>
      <w:r/>
    </w:p>
    <w:p>
      <w:pPr>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强制清场是执行工作中最容易引发突发事件与涉执信访的高风险环节。本场景基于多类数据源，通过智能算法识别高龄、重病等特殊人群，对待拘传人开展行为风险研判，输出拘传出警风险提示，对被清场对象的人身健康、行为风险等进行评估研判，输出清场风险分级与应急处置参考建议，释明清场利弊及注意事</w:t>
      </w:r>
      <w:r>
        <w:rPr>
          <w:rFonts w:hint="eastAsia" w:ascii="宋体" w:hAnsi="宋体" w:eastAsia="宋体" w:cs="宋体"/>
          <w:bCs/>
          <w:sz w:val="24"/>
          <w:szCs w:val="24"/>
        </w:rPr>
        <w:t xml:space="preserve">项，制定个性化、善意文明的拘传清场布控方案，最大限度降低执法风险，辅助督促被执行人主动履行。风险分级覆盖高、中、低三级，覆盖拘传、腾退清场等场景的风险分级研判。评估报告可导出。</w:t>
      </w:r>
      <w:r/>
    </w:p>
    <w:p>
      <w:pPr>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（5）终本案件辅助管理系统</w:t>
      </w:r>
      <w:r/>
    </w:p>
    <w:p>
      <w:pPr>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本场景对终本案件开展动态监控，监测被执行人新增财产、企业恢复经营、新增可供执行线索并主动增补，线索预警可自动推送；归集终本案件的数据核查过程、线索情况、风险情况，形成终本案件智能档案；分析终本案件财产线索发现率、程序完备度，输出质量分析视图。通过程序要件辅助校验与新增财产线索主动增补，提升终本案件的动态管理与后续恢复执行能力。</w:t>
      </w:r>
      <w:r/>
    </w:p>
    <w:p>
      <w:pPr>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（6）调查取证辅助系统</w:t>
      </w:r>
      <w:r/>
    </w:p>
    <w:p>
      <w:pPr>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本场景利用汇集的跨部门数据，对当事人提交的转账凭证、财产证明、居住证明、亲属关系证明、交易合同等书面及电子证据进行大数据交叉比对，辅助识别证据虚假、变造、过期、内容不一致等问题；通过多源数据分析并补足财产变动时间线、交易往来轨迹、身份关系、经营存续状态等情况，夯实案件事实认定。覆盖财产类、身份关系类、交易类核心办案证据的数据核验支撑，输出证据核验线索与事实补强材料，辅助夯实证据链条。</w:t>
      </w:r>
      <w:r/>
    </w:p>
    <w:p>
      <w:pPr>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（7）安全保障</w:t>
      </w:r>
      <w:r/>
    </w:p>
    <w:p>
      <w:pPr>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从网络安全、数据安全、应用安全、运维安全等维度系统性保护数据的保密性、完整性与可用性，满足系统安全合规运行要求。系统建设符合 GB/T 22239-2019、GB/T 35273-2020 及 GB/T 41479-2022 相关要求，建立数据分级分类与访问控制机制，安全事件可追溯。</w:t>
      </w:r>
      <w:r/>
    </w:p>
    <w:p>
      <w:pPr>
        <w:ind w:firstLine="480"/>
        <w:spacing w:line="360" w:lineRule="auto"/>
        <w:rPr>
          <w:rFonts w:ascii="宋体" w:hAnsi="宋体" w:eastAsia="宋体" w:cs="宋体"/>
          <w:b/>
          <w:sz w:val="24"/>
          <w:szCs w:val="24"/>
        </w:rPr>
      </w:pPr>
      <w:r>
        <w:rPr>
          <w:rFonts w:hint="eastAsia"/>
        </w:rPr>
        <w:t xml:space="preserve">▲</w:t>
      </w:r>
      <w:r>
        <w:rPr>
          <w:rFonts w:hint="eastAsia" w:ascii="宋体" w:hAnsi="宋体" w:eastAsia="宋体" w:cs="宋体"/>
          <w:b/>
          <w:sz w:val="24"/>
          <w:szCs w:val="24"/>
        </w:rPr>
        <w:t xml:space="preserve">2.9人工智能模型微调与测试优化</w:t>
      </w:r>
      <w:r/>
    </w:p>
    <w:p>
      <w:pPr>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面向查人找物等执行业务场景，需提供人工智能赋能应用能力，实现基于人工智能的问答、智能分析业务功能，依托大模型能力对接平台执行业务数据、业务知识库，面向办案人员提供自然语言交互的问答服务，支持对案件材料、平台业务数据进行智能问答查询，可针对被执行人线索、财产关联信息、案件材料内容开展要素抽取、问题研判分析，辅助办案人员快速梳理案件关键信息、输出分析参考意见；在此基础上构建测试与训练数据集，开展模型评估、数据标注与训练优化，持续提升智能模型的业务适配能力与效果，形成覆盖查人找物场景的测</w:t>
      </w:r>
      <w:r>
        <w:rPr>
          <w:rFonts w:hint="eastAsia" w:ascii="宋体" w:hAnsi="宋体" w:eastAsia="宋体" w:cs="宋体"/>
          <w:bCs/>
          <w:sz w:val="24"/>
          <w:szCs w:val="24"/>
        </w:rPr>
        <w:t xml:space="preserve">试集与训练数据集，建立模型评估与迭代优化机制。</w:t>
      </w:r>
      <w:r/>
    </w:p>
    <w:p>
      <w:pPr>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1）模型评估与分析：构建测试集，对基础模型在支撑查人找物具体业务方面的准确率、召回率、响应时间等指标进行测试，形成模型评估报告。构建业务测试样本不少于1万条，覆盖查人找物相关场景；搭建业务相关知识库，收录有效向量数不少于2万条。</w:t>
      </w:r>
      <w:r/>
    </w:p>
    <w:p>
      <w:pPr>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（2）数据标注：收集足量的司法场景相关数据，进行标注和整理，形成适合模型优化的训练数据集，完成业务相关标注数据不少于2万条，含实体、关系、意图多维度标注。</w:t>
      </w:r>
      <w:r/>
    </w:p>
    <w:p>
      <w:pPr>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3）模型训练与优化：对智能模型进行优化训练，调整模型参数和超参数，优化模型网络结构，使其更好适应司法场景的数据特点和业务需求；建立模型版本管理与效果对比机制，形成可持续迭代优化的训练流程，支持模型多版本并存与一键回退，模型迭代过程留痕可追溯。</w:t>
      </w:r>
      <w:r/>
    </w:p>
    <w:p>
      <w:pPr>
        <w:ind w:firstLine="480"/>
        <w:spacing w:line="360" w:lineRule="auto"/>
        <w:rPr>
          <w:rFonts w:ascii="宋体" w:hAnsi="宋体" w:eastAsia="宋体" w:cs="宋体"/>
          <w:b/>
          <w:sz w:val="24"/>
          <w:szCs w:val="24"/>
        </w:rPr>
      </w:pPr>
      <w:r>
        <w:rPr>
          <w:rFonts w:hint="eastAsia"/>
        </w:rPr>
        <w:t xml:space="preserve">▲</w:t>
      </w:r>
      <w:r>
        <w:rPr>
          <w:rFonts w:hint="eastAsia" w:ascii="宋体" w:hAnsi="宋体" w:eastAsia="宋体" w:cs="宋体"/>
          <w:b/>
          <w:sz w:val="24"/>
          <w:szCs w:val="24"/>
        </w:rPr>
        <w:t xml:space="preserve">2.10数据处理和存储系统设计</w:t>
      </w:r>
      <w:r/>
    </w:p>
    <w:p>
      <w:pPr>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高效性：适配法院“查人找物”等核心业务的实时数据处理需求，支持多源异构司法数据的快速采集、清洗与转换，满足执行干警在拘传、财产查控、清场等场景下的实时数据需求，提升系统整体业务支撑性能。</w:t>
      </w:r>
      <w:r/>
    </w:p>
    <w:p>
      <w:pPr>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可靠性：契合司法数据的严肃性和重要性要求，建立多层级数据安全保障机制，保证数据在传输、存储、处理过程中的保密性、完整性和不可篡改，防止数据丢失、损坏或泄露，确保所有司法数据可追溯、可核查，符合司法工作规范。</w:t>
      </w:r>
      <w:r/>
    </w:p>
    <w:p>
      <w:pPr>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可扩展性：系统架构采用松耦合设计，支持横向和纵向扩展，可根据连云港市法院系统业务量增长、数据来源拓展（如新增政务数据、社会数据对接）需求，灵活增加硬件节点、扩展数据处理能力和存储容量。</w:t>
      </w:r>
      <w:r/>
    </w:p>
    <w:p>
      <w:pPr>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易用性：简化数据管理和维护操作流程，提供可视化的运维管理界面，降低技术人员的学习和操作成本；同时统一数据访问接口，便于业务系统快速对接，减少开发适配工作量。</w:t>
      </w:r>
      <w:r/>
    </w:p>
    <w:p>
      <w:pPr>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合规性：严格遵循《人民法院数据安全管理办法》《网络安全法》《数据安全法》等法律法规要求，数据处理和存储全流程符合司法数据分级分类管理标准，满足等保三级及司法行业数据安全规范。</w:t>
      </w:r>
      <w:r/>
    </w:p>
    <w:p>
      <w:pPr>
        <w:ind w:firstLine="480"/>
        <w:spacing w:line="360" w:lineRule="auto"/>
        <w:rPr>
          <w:rFonts w:ascii="宋体" w:hAnsi="宋体" w:eastAsia="宋体" w:cs="宋体"/>
          <w:b/>
          <w:sz w:val="24"/>
          <w:szCs w:val="24"/>
        </w:rPr>
      </w:pPr>
      <w:r>
        <w:rPr>
          <w:rFonts w:hint="eastAsia" w:ascii="宋体" w:hAnsi="宋体" w:eastAsia="宋体" w:cs="宋体"/>
          <w:b/>
          <w:sz w:val="24"/>
          <w:szCs w:val="24"/>
        </w:rPr>
        <w:t xml:space="preserve">2.11网络安全与数据共享</w:t>
      </w:r>
      <w:r/>
    </w:p>
    <w:p>
      <w:pPr>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遵循《网络安全法》、《信息安全技术网络安全等级保护基本要求》、《连云港市政务信息化项目建设网络安全管理规定〉实施指南（试行）》等法律法规及相关要求，构建全方位、多层次的统一安全防护体系，实现对“斥候”系统从网络边界到数据核心的全链路保护，确保在引入互联网及政务外网多源数据的情况下，法院核心内网及敏感司法数据的绝对安全，实现“合规可控、安全稳定”的安全目标。</w:t>
      </w:r>
      <w:r/>
    </w:p>
    <w:p>
      <w:pPr>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数据共享方面，通过标准化的目录编制，明确共享数据的来源、内容、共享规则与更新要求，为跨部门、跨机构数据共享提供统一依据。编制严格遵循《人民法院数据共享管理办法》《政务数据共享开放条例》等相关规定，结合连云港市中级人民法院“斥候”系统二期业务需求，形成规范的数据资源目录。</w:t>
      </w:r>
      <w:r/>
    </w:p>
    <w:p>
      <w:pPr>
        <w:ind w:firstLine="480"/>
        <w:spacing w:line="360" w:lineRule="auto"/>
        <w:rPr>
          <w:rFonts w:ascii="宋体" w:hAnsi="宋体" w:eastAsia="宋体" w:cs="宋体"/>
          <w:b/>
          <w:sz w:val="24"/>
          <w:szCs w:val="24"/>
        </w:rPr>
      </w:pPr>
      <w:r>
        <w:rPr>
          <w:rFonts w:hint="eastAsia" w:ascii="宋体" w:hAnsi="宋体" w:eastAsia="宋体" w:cs="宋体"/>
          <w:b/>
          <w:sz w:val="24"/>
          <w:szCs w:val="24"/>
        </w:rPr>
        <w:t xml:space="preserve">3.需求清单</w:t>
      </w:r>
      <w:r/>
    </w:p>
    <w:tbl>
      <w:tblPr>
        <w:tblW w:w="847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04"/>
        <w:gridCol w:w="1866"/>
        <w:gridCol w:w="3148"/>
        <w:gridCol w:w="2758"/>
      </w:tblGrid>
      <w:tr>
        <w:trPr>
          <w:trHeight w:val="540"/>
        </w:trPr>
        <w:tc>
          <w:tcPr>
            <w:tcW w:w="704" w:type="dxa"/>
            <w:textDirection w:val="lrTb"/>
            <w:noWrap w:val="false"/>
          </w:tcPr>
          <w:p>
            <w:pPr>
              <w:jc w:val="center"/>
              <w:spacing w:line="440" w:lineRule="exact"/>
              <w:rPr>
                <w:rFonts w:asciiTheme="minorEastAsia" w:hAnsiTheme="minorEastAsia" w:cstheme="minorEastAsia"/>
                <w:b/>
                <w:bCs/>
                <w:sz w:val="24"/>
                <w:szCs w:val="24"/>
              </w:rPr>
            </w:pPr>
            <w:r>
              <w:rPr>
                <w:rFonts w:hint="eastAsia" w:asciiTheme="minorEastAsia" w:hAnsiTheme="minorEastAsia" w:cstheme="minorEastAsia"/>
                <w:b/>
                <w:bCs/>
                <w:sz w:val="24"/>
                <w:szCs w:val="24"/>
              </w:rPr>
              <w:t xml:space="preserve">序号</w:t>
            </w:r>
            <w:r/>
          </w:p>
        </w:tc>
        <w:tc>
          <w:tcPr>
            <w:tcW w:w="1866" w:type="dxa"/>
            <w:textDirection w:val="lrTb"/>
            <w:noWrap w:val="false"/>
          </w:tcPr>
          <w:p>
            <w:pPr>
              <w:jc w:val="center"/>
              <w:spacing w:line="440" w:lineRule="exact"/>
              <w:rPr>
                <w:rFonts w:asciiTheme="minorEastAsia" w:hAnsiTheme="minorEastAsia" w:cstheme="minorEastAsia"/>
                <w:b/>
                <w:bCs/>
                <w:sz w:val="24"/>
                <w:szCs w:val="24"/>
              </w:rPr>
            </w:pPr>
            <w:r>
              <w:rPr>
                <w:rFonts w:hint="eastAsia" w:asciiTheme="minorEastAsia" w:hAnsiTheme="minorEastAsia" w:cstheme="minorEastAsia"/>
                <w:b/>
                <w:bCs/>
                <w:sz w:val="24"/>
                <w:szCs w:val="24"/>
              </w:rPr>
              <w:t xml:space="preserve">细目名称</w:t>
            </w:r>
            <w:r/>
          </w:p>
        </w:tc>
        <w:tc>
          <w:tcPr>
            <w:tcW w:w="3148" w:type="dxa"/>
            <w:textDirection w:val="lrTb"/>
            <w:noWrap w:val="false"/>
          </w:tcPr>
          <w:p>
            <w:pPr>
              <w:jc w:val="center"/>
              <w:spacing w:line="440" w:lineRule="exact"/>
              <w:rPr>
                <w:rFonts w:asciiTheme="minorEastAsia" w:hAnsiTheme="minorEastAsia" w:cstheme="minorEastAsia"/>
                <w:b/>
                <w:bCs/>
                <w:sz w:val="24"/>
                <w:szCs w:val="24"/>
              </w:rPr>
            </w:pPr>
            <w:r>
              <w:rPr>
                <w:rFonts w:hint="eastAsia" w:asciiTheme="minorEastAsia" w:hAnsiTheme="minorEastAsia" w:cstheme="minorEastAsia"/>
                <w:b/>
                <w:bCs/>
                <w:sz w:val="24"/>
                <w:szCs w:val="24"/>
              </w:rPr>
              <w:t xml:space="preserve">功能描述</w:t>
            </w:r>
            <w:r/>
          </w:p>
        </w:tc>
        <w:tc>
          <w:tcPr>
            <w:tcW w:w="2758" w:type="dxa"/>
            <w:textDirection w:val="lrTb"/>
            <w:noWrap w:val="false"/>
          </w:tcPr>
          <w:p>
            <w:pPr>
              <w:jc w:val="center"/>
              <w:spacing w:line="440" w:lineRule="exact"/>
              <w:rPr>
                <w:rFonts w:asciiTheme="minorEastAsia" w:hAnsiTheme="minorEastAsia" w:cstheme="minorEastAsia"/>
                <w:b/>
                <w:bCs/>
                <w:sz w:val="24"/>
                <w:szCs w:val="24"/>
              </w:rPr>
            </w:pPr>
            <w:r>
              <w:rPr>
                <w:rFonts w:hint="eastAsia" w:asciiTheme="minorEastAsia" w:hAnsiTheme="minorEastAsia" w:cstheme="minorEastAsia"/>
                <w:b/>
                <w:bCs/>
                <w:sz w:val="24"/>
                <w:szCs w:val="24"/>
              </w:rPr>
              <w:t xml:space="preserve">技术标准</w:t>
            </w:r>
            <w:r/>
          </w:p>
        </w:tc>
      </w:tr>
      <w:tr>
        <w:trPr>
          <w:trHeight w:val="1968"/>
        </w:trPr>
        <w:tc>
          <w:tcPr>
            <w:tcW w:w="704" w:type="dxa"/>
            <w:vAlign w:val="center"/>
            <w:textDirection w:val="lrTb"/>
            <w:noWrap w:val="false"/>
          </w:tcPr>
          <w:p>
            <w:pPr>
              <w:spacing w:line="44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一</w:t>
            </w:r>
            <w:r/>
          </w:p>
        </w:tc>
        <w:tc>
          <w:tcPr>
            <w:tcW w:w="1866" w:type="dxa"/>
            <w:vAlign w:val="center"/>
            <w:textDirection w:val="lrTb"/>
            <w:noWrap w:val="false"/>
          </w:tcPr>
          <w:p>
            <w:pPr>
              <w:spacing w:line="44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司法数据仓库</w:t>
            </w:r>
            <w:r/>
          </w:p>
        </w:tc>
        <w:tc>
          <w:tcPr>
            <w:tcW w:w="3148" w:type="dxa"/>
            <w:vAlign w:val="center"/>
            <w:textDirection w:val="lrTb"/>
            <w:noWrap w:val="false"/>
          </w:tcPr>
          <w:p>
            <w:pPr>
              <w:spacing w:line="44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建设司法数据仓库，夯实大数据平台基础能力，进一步整合连云港市两级法院数据资源，充分共享其他部门及委办局数据，以执行局业务需求驱动数据治理，建立统一数据标准与元数据规范，形成高质量的数据资产，提供统一的数据共享服务。</w:t>
            </w:r>
            <w:r/>
          </w:p>
        </w:tc>
        <w:tc>
          <w:tcPr>
            <w:tcW w:w="2758" w:type="dxa"/>
            <w:vAlign w:val="center"/>
            <w:textDirection w:val="lrTb"/>
            <w:noWrap w:val="false"/>
          </w:tcPr>
          <w:p>
            <w:pPr>
              <w:spacing w:line="44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依据GB/T 36073-2018《数据管理能力成熟度评估模型》、GB/T 34960.5-2018《信息技术服务治理第5部分：数据治理规范》、GB/T 35274-2023《数据安全技术大数据服务安全能力要求》等标准建设；形成统一数据标准、元数据与数据治理体系，支撑多源数据汇聚与数据资产化沉淀。</w:t>
            </w:r>
            <w:r/>
          </w:p>
        </w:tc>
      </w:tr>
      <w:tr>
        <w:trPr>
          <w:trHeight w:val="1188"/>
        </w:trPr>
        <w:tc>
          <w:tcPr>
            <w:tcW w:w="704" w:type="dxa"/>
            <w:vAlign w:val="center"/>
            <w:textDirection w:val="lrTb"/>
            <w:noWrap w:val="false"/>
          </w:tcPr>
          <w:p>
            <w:pPr>
              <w:spacing w:line="44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1</w:t>
            </w:r>
            <w:r/>
          </w:p>
        </w:tc>
        <w:tc>
          <w:tcPr>
            <w:tcW w:w="1866" w:type="dxa"/>
            <w:vAlign w:val="center"/>
            <w:textDirection w:val="lrTb"/>
            <w:noWrap w:val="false"/>
          </w:tcPr>
          <w:p>
            <w:pPr>
              <w:spacing w:line="44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司法数据集成</w:t>
            </w:r>
            <w:r/>
          </w:p>
        </w:tc>
        <w:tc>
          <w:tcPr>
            <w:tcW w:w="3148" w:type="dxa"/>
            <w:vAlign w:val="center"/>
            <w:textDirection w:val="lrTb"/>
            <w:noWrap w:val="false"/>
          </w:tcPr>
          <w:p>
            <w:pPr>
              <w:spacing w:line="44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司法数据仓库提供的离线数据集成工具实施司法数据集成。支持结构化、半结构化及非结构化多源异构数据的统一接入、转换与装载，支</w:t>
            </w:r>
            <w:r>
              <w:rPr>
                <w:rFonts w:hint="eastAsia" w:asciiTheme="minorEastAsia" w:hAnsiTheme="minorEastAsia" w:cstheme="minorEastAsia"/>
                <w:sz w:val="24"/>
                <w:szCs w:val="24"/>
              </w:rPr>
              <w:t xml:space="preserve">持全量、增量两种集成模式，实现跨部门、跨委办局数据的汇聚与标准化处理。</w:t>
            </w:r>
            <w:r/>
          </w:p>
        </w:tc>
        <w:tc>
          <w:tcPr>
            <w:tcW w:w="2758" w:type="dxa"/>
            <w:vAlign w:val="center"/>
            <w:textDirection w:val="lrTb"/>
            <w:noWrap w:val="false"/>
          </w:tcPr>
          <w:p>
            <w:pPr>
              <w:spacing w:line="44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对接不少于15家政务单位和企业单位的数据接口或库表，集成结构化数据落库条目不少于10亿条，数据库表不少于100</w:t>
            </w:r>
            <w:r>
              <w:rPr>
                <w:rFonts w:hint="eastAsia" w:asciiTheme="minorEastAsia" w:hAnsiTheme="minorEastAsia" w:cstheme="minorEastAsia"/>
                <w:sz w:val="24"/>
                <w:szCs w:val="24"/>
              </w:rPr>
              <w:t xml:space="preserve">张。</w:t>
            </w:r>
            <w:r/>
          </w:p>
        </w:tc>
      </w:tr>
      <w:tr>
        <w:trPr>
          <w:trHeight w:val="1080"/>
        </w:trPr>
        <w:tc>
          <w:tcPr>
            <w:tcW w:w="704" w:type="dxa"/>
            <w:vAlign w:val="center"/>
            <w:textDirection w:val="lrTb"/>
            <w:noWrap w:val="false"/>
          </w:tcPr>
          <w:p>
            <w:pPr>
              <w:spacing w:line="44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2</w:t>
            </w:r>
            <w:r/>
          </w:p>
        </w:tc>
        <w:tc>
          <w:tcPr>
            <w:tcW w:w="1866" w:type="dxa"/>
            <w:vAlign w:val="center"/>
            <w:textDirection w:val="lrTb"/>
            <w:noWrap w:val="false"/>
          </w:tcPr>
          <w:p>
            <w:pPr>
              <w:spacing w:line="44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司法数据资产管理 </w:t>
            </w:r>
            <w:r/>
          </w:p>
        </w:tc>
        <w:tc>
          <w:tcPr>
            <w:tcW w:w="3148" w:type="dxa"/>
            <w:vAlign w:val="center"/>
            <w:textDirection w:val="lrTb"/>
            <w:noWrap w:val="false"/>
          </w:tcPr>
          <w:p>
            <w:pPr>
              <w:spacing w:line="44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司法数据资产管理包含数据资源目录、数据共享交换、数据资产可视化等功能，参照GB/T 40685-2021《信息技术服务数据资产管理要求》实现数据资产的全生命周期管理。</w:t>
            </w:r>
            <w:r/>
          </w:p>
        </w:tc>
        <w:tc>
          <w:tcPr>
            <w:tcW w:w="2758" w:type="dxa"/>
            <w:vAlign w:val="center"/>
            <w:textDirection w:val="lrTb"/>
            <w:noWrap w:val="false"/>
          </w:tcPr>
          <w:p>
            <w:pPr>
              <w:spacing w:line="44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基于集成完成的数据，进行数据清洗、分类、归纳，完成数据表、文件全量梳理编目。</w:t>
            </w:r>
            <w:r/>
          </w:p>
        </w:tc>
      </w:tr>
      <w:tr>
        <w:trPr>
          <w:trHeight w:val="990"/>
        </w:trPr>
        <w:tc>
          <w:tcPr>
            <w:tcW w:w="704" w:type="dxa"/>
            <w:vAlign w:val="center"/>
            <w:textDirection w:val="lrTb"/>
            <w:noWrap w:val="false"/>
          </w:tcPr>
          <w:p>
            <w:pPr>
              <w:spacing w:line="44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（1）</w:t>
            </w:r>
            <w:r/>
          </w:p>
        </w:tc>
        <w:tc>
          <w:tcPr>
            <w:tcW w:w="1866" w:type="dxa"/>
            <w:vAlign w:val="center"/>
            <w:textDirection w:val="lrTb"/>
            <w:noWrap w:val="false"/>
          </w:tcPr>
          <w:p>
            <w:pPr>
              <w:spacing w:line="44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数据资源目录</w:t>
            </w:r>
            <w:r/>
          </w:p>
        </w:tc>
        <w:tc>
          <w:tcPr>
            <w:tcW w:w="3148" w:type="dxa"/>
            <w:vAlign w:val="center"/>
            <w:textDirection w:val="lrTb"/>
            <w:noWrap w:val="false"/>
          </w:tcPr>
          <w:p>
            <w:pPr>
              <w:spacing w:line="44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数据资源目录包含数据资源门户、资源目录管理、数据资源管理等功能，实现数据资源的统一编目、发布与检索。</w:t>
            </w:r>
            <w:r/>
          </w:p>
        </w:tc>
        <w:tc>
          <w:tcPr>
            <w:tcW w:w="2758" w:type="dxa"/>
            <w:vAlign w:val="center"/>
            <w:textDirection w:val="lrTb"/>
            <w:noWrap w:val="false"/>
          </w:tcPr>
          <w:p>
            <w:pPr>
              <w:spacing w:line="44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按统一元数据标准完成数据资源全量编目，编目覆盖全部已接入数据表与文件；支持目录分级授权与多维度检索。</w:t>
            </w:r>
            <w:r/>
          </w:p>
        </w:tc>
      </w:tr>
      <w:tr>
        <w:trPr>
          <w:trHeight w:val="905"/>
        </w:trPr>
        <w:tc>
          <w:tcPr>
            <w:tcW w:w="704" w:type="dxa"/>
            <w:vAlign w:val="center"/>
            <w:textDirection w:val="lrTb"/>
            <w:noWrap w:val="false"/>
          </w:tcPr>
          <w:p>
            <w:pPr>
              <w:spacing w:line="44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1）</w:t>
            </w:r>
            <w:r/>
          </w:p>
        </w:tc>
        <w:tc>
          <w:tcPr>
            <w:tcW w:w="1866" w:type="dxa"/>
            <w:vAlign w:val="center"/>
            <w:textDirection w:val="lrTb"/>
            <w:noWrap w:val="false"/>
          </w:tcPr>
          <w:p>
            <w:pPr>
              <w:spacing w:line="44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数据资源门户</w:t>
            </w:r>
            <w:r/>
          </w:p>
        </w:tc>
        <w:tc>
          <w:tcPr>
            <w:tcW w:w="3148" w:type="dxa"/>
            <w:vAlign w:val="center"/>
            <w:textDirection w:val="lrTb"/>
            <w:noWrap w:val="false"/>
          </w:tcPr>
          <w:p>
            <w:pPr>
              <w:spacing w:line="44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数据资源门户包含资源目录检索、资源目录共享等功能，面向业务用户提供统一的数据资源入口。</w:t>
            </w:r>
            <w:r/>
          </w:p>
        </w:tc>
        <w:tc>
          <w:tcPr>
            <w:tcW w:w="2758" w:type="dxa"/>
            <w:vAlign w:val="center"/>
            <w:textDirection w:val="lrTb"/>
            <w:noWrap w:val="false"/>
          </w:tcPr>
          <w:p>
            <w:pPr>
              <w:spacing w:line="44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支持按目录导航、关键词、多维条件等组合检索，常规检索响应时间不超过3秒；检索支持多字段组合与模糊匹配。</w:t>
            </w:r>
            <w:r/>
          </w:p>
        </w:tc>
      </w:tr>
      <w:tr>
        <w:trPr>
          <w:trHeight w:val="945"/>
        </w:trPr>
        <w:tc>
          <w:tcPr>
            <w:tcW w:w="704" w:type="dxa"/>
            <w:vAlign w:val="center"/>
            <w:textDirection w:val="lrTb"/>
            <w:noWrap w:val="false"/>
          </w:tcPr>
          <w:p>
            <w:pPr>
              <w:spacing w:line="44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①</w:t>
            </w:r>
            <w:r/>
          </w:p>
        </w:tc>
        <w:tc>
          <w:tcPr>
            <w:tcW w:w="1866" w:type="dxa"/>
            <w:vAlign w:val="center"/>
            <w:textDirection w:val="lrTb"/>
            <w:noWrap w:val="false"/>
          </w:tcPr>
          <w:p>
            <w:pPr>
              <w:spacing w:line="44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资源检索</w:t>
            </w:r>
            <w:r/>
          </w:p>
        </w:tc>
        <w:tc>
          <w:tcPr>
            <w:tcW w:w="3148" w:type="dxa"/>
            <w:vAlign w:val="center"/>
            <w:textDirection w:val="lrTb"/>
            <w:noWrap w:val="false"/>
          </w:tcPr>
          <w:p>
            <w:pPr>
              <w:spacing w:line="44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按目录导航或多维条件检索方式发现和定位数据资源，支持关键词、标签、数据类型、更新时间等多维组合检索。</w:t>
            </w:r>
            <w:r/>
          </w:p>
        </w:tc>
        <w:tc>
          <w:tcPr>
            <w:tcW w:w="2758" w:type="dxa"/>
            <w:vAlign w:val="center"/>
            <w:textDirection w:val="lrTb"/>
            <w:noWrap w:val="false"/>
          </w:tcPr>
          <w:p>
            <w:pPr>
              <w:spacing w:line="44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支持模糊检索与精确检索，检索结果支持排序、筛选与导出；常规检索响应时间不超过3秒。</w:t>
            </w:r>
            <w:r/>
          </w:p>
        </w:tc>
      </w:tr>
      <w:tr>
        <w:trPr>
          <w:trHeight w:val="675"/>
        </w:trPr>
        <w:tc>
          <w:tcPr>
            <w:tcW w:w="704" w:type="dxa"/>
            <w:vAlign w:val="center"/>
            <w:textDirection w:val="lrTb"/>
            <w:noWrap w:val="false"/>
          </w:tcPr>
          <w:p>
            <w:pPr>
              <w:spacing w:line="44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②</w:t>
            </w:r>
            <w:r/>
          </w:p>
        </w:tc>
        <w:tc>
          <w:tcPr>
            <w:tcW w:w="1866" w:type="dxa"/>
            <w:vAlign w:val="center"/>
            <w:textDirection w:val="lrTb"/>
            <w:noWrap w:val="false"/>
          </w:tcPr>
          <w:p>
            <w:pPr>
              <w:spacing w:line="44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资源共享-数据表</w:t>
            </w:r>
            <w:r/>
          </w:p>
        </w:tc>
        <w:tc>
          <w:tcPr>
            <w:tcW w:w="3148" w:type="dxa"/>
            <w:vAlign w:val="center"/>
            <w:textDirection w:val="lrTb"/>
            <w:noWrap w:val="false"/>
          </w:tcPr>
          <w:p>
            <w:pPr>
              <w:spacing w:line="44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通过标准化API服务对外共享数据表资源，支持接口鉴权、限流与调用统计。</w:t>
            </w:r>
            <w:r/>
          </w:p>
        </w:tc>
        <w:tc>
          <w:tcPr>
            <w:tcW w:w="2758" w:type="dxa"/>
            <w:vAlign w:val="center"/>
            <w:textDirection w:val="lrTb"/>
            <w:noWrap w:val="false"/>
          </w:tcPr>
          <w:p>
            <w:pPr>
              <w:spacing w:line="44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支持RESTfulAPI方式发布数据表，接口鉴权与调用频次可控，调用日志全程留痕。</w:t>
            </w:r>
            <w:r/>
          </w:p>
        </w:tc>
      </w:tr>
      <w:tr>
        <w:trPr>
          <w:trHeight w:val="810"/>
        </w:trPr>
        <w:tc>
          <w:tcPr>
            <w:tcW w:w="704" w:type="dxa"/>
            <w:vAlign w:val="center"/>
            <w:textDirection w:val="lrTb"/>
            <w:noWrap w:val="false"/>
          </w:tcPr>
          <w:p>
            <w:pPr>
              <w:spacing w:line="44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③</w:t>
            </w:r>
            <w:r/>
          </w:p>
        </w:tc>
        <w:tc>
          <w:tcPr>
            <w:tcW w:w="1866" w:type="dxa"/>
            <w:vAlign w:val="center"/>
            <w:textDirection w:val="lrTb"/>
            <w:noWrap w:val="false"/>
          </w:tcPr>
          <w:p>
            <w:pPr>
              <w:spacing w:line="44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资源共享-文件</w:t>
            </w:r>
            <w:r/>
          </w:p>
        </w:tc>
        <w:tc>
          <w:tcPr>
            <w:tcW w:w="3148" w:type="dxa"/>
            <w:vAlign w:val="center"/>
            <w:textDirection w:val="lrTb"/>
            <w:noWrap w:val="false"/>
          </w:tcPr>
          <w:p>
            <w:pPr>
              <w:spacing w:line="44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通过标准化API服务对外共享文件资源，支持文件检索、</w:t>
            </w:r>
            <w:r>
              <w:rPr>
                <w:rFonts w:hint="eastAsia" w:asciiTheme="minorEastAsia" w:hAnsiTheme="minorEastAsia" w:cstheme="minorEastAsia"/>
                <w:sz w:val="24"/>
                <w:szCs w:val="24"/>
              </w:rPr>
              <w:t xml:space="preserve">下载与权限控制。</w:t>
            </w:r>
            <w:r/>
          </w:p>
        </w:tc>
        <w:tc>
          <w:tcPr>
            <w:tcW w:w="2758" w:type="dxa"/>
            <w:vAlign w:val="center"/>
            <w:textDirection w:val="lrTb"/>
            <w:noWrap w:val="false"/>
          </w:tcPr>
          <w:p>
            <w:pPr>
              <w:spacing w:line="44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支持文件资源API化共享，具备权限校验与访问</w:t>
            </w:r>
            <w:r>
              <w:rPr>
                <w:rFonts w:hint="eastAsia" w:asciiTheme="minorEastAsia" w:hAnsiTheme="minorEastAsia" w:cstheme="minorEastAsia"/>
                <w:sz w:val="24"/>
                <w:szCs w:val="24"/>
              </w:rPr>
              <w:t xml:space="preserve">审计能力。</w:t>
            </w:r>
            <w:r/>
          </w:p>
        </w:tc>
      </w:tr>
      <w:tr>
        <w:trPr>
          <w:trHeight w:val="685"/>
        </w:trPr>
        <w:tc>
          <w:tcPr>
            <w:tcW w:w="704" w:type="dxa"/>
            <w:vAlign w:val="center"/>
            <w:textDirection w:val="lrTb"/>
            <w:noWrap w:val="false"/>
          </w:tcPr>
          <w:p>
            <w:pPr>
              <w:spacing w:line="44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④</w:t>
            </w:r>
            <w:r/>
          </w:p>
        </w:tc>
        <w:tc>
          <w:tcPr>
            <w:tcW w:w="1866" w:type="dxa"/>
            <w:vAlign w:val="center"/>
            <w:textDirection w:val="lrTb"/>
            <w:noWrap w:val="false"/>
          </w:tcPr>
          <w:p>
            <w:pPr>
              <w:spacing w:line="44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个人工作台</w:t>
            </w:r>
            <w:r/>
          </w:p>
        </w:tc>
        <w:tc>
          <w:tcPr>
            <w:tcW w:w="3148" w:type="dxa"/>
            <w:vAlign w:val="center"/>
            <w:textDirection w:val="lrTb"/>
            <w:noWrap w:val="false"/>
          </w:tcPr>
          <w:p>
            <w:pPr>
              <w:spacing w:line="44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提供数据申请、审批、使用跟踪的一体化个人工作台，支持数据资源申请、审批、授权、回收的全流程管理。</w:t>
            </w:r>
            <w:r/>
          </w:p>
        </w:tc>
        <w:tc>
          <w:tcPr>
            <w:tcW w:w="2758" w:type="dxa"/>
            <w:vAlign w:val="center"/>
            <w:textDirection w:val="lrTb"/>
            <w:noWrap w:val="false"/>
          </w:tcPr>
          <w:p>
            <w:pPr>
              <w:spacing w:line="44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支持申请、审批、授权、回收全流程线上留痕，审批流程可配置；审批全过程可追踪。</w:t>
            </w:r>
            <w:r/>
          </w:p>
        </w:tc>
      </w:tr>
      <w:tr>
        <w:trPr>
          <w:trHeight w:val="798"/>
        </w:trPr>
        <w:tc>
          <w:tcPr>
            <w:tcW w:w="704" w:type="dxa"/>
            <w:vAlign w:val="center"/>
            <w:textDirection w:val="lrTb"/>
            <w:noWrap w:val="false"/>
          </w:tcPr>
          <w:p>
            <w:pPr>
              <w:spacing w:line="44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2）</w:t>
            </w:r>
            <w:r/>
          </w:p>
        </w:tc>
        <w:tc>
          <w:tcPr>
            <w:tcW w:w="1866" w:type="dxa"/>
            <w:vAlign w:val="center"/>
            <w:textDirection w:val="lrTb"/>
            <w:noWrap w:val="false"/>
          </w:tcPr>
          <w:p>
            <w:pPr>
              <w:spacing w:line="44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资源目录管理 </w:t>
            </w:r>
            <w:r/>
          </w:p>
        </w:tc>
        <w:tc>
          <w:tcPr>
            <w:tcW w:w="3148" w:type="dxa"/>
            <w:vAlign w:val="center"/>
            <w:textDirection w:val="lrTb"/>
            <w:noWrap w:val="false"/>
          </w:tcPr>
          <w:p>
            <w:pPr>
              <w:spacing w:line="44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包含资源目录树管理、资源目录节点管理等功能，支持多层级目录体系的自定义配置。</w:t>
            </w:r>
            <w:r/>
          </w:p>
        </w:tc>
        <w:tc>
          <w:tcPr>
            <w:tcW w:w="2758" w:type="dxa"/>
            <w:vAlign w:val="center"/>
            <w:textDirection w:val="lrTb"/>
            <w:noWrap w:val="false"/>
          </w:tcPr>
          <w:p>
            <w:pPr>
              <w:spacing w:line="44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支持多级目录树自定义配置，目录层级可按业务域灵活扩展，目录层级支持不少于3级。</w:t>
            </w:r>
            <w:r/>
          </w:p>
        </w:tc>
      </w:tr>
      <w:tr>
        <w:trPr>
          <w:trHeight w:val="660"/>
        </w:trPr>
        <w:tc>
          <w:tcPr>
            <w:tcW w:w="704" w:type="dxa"/>
            <w:vAlign w:val="center"/>
            <w:textDirection w:val="lrTb"/>
            <w:noWrap w:val="false"/>
          </w:tcPr>
          <w:p>
            <w:pPr>
              <w:spacing w:line="44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①</w:t>
            </w:r>
            <w:r/>
          </w:p>
        </w:tc>
        <w:tc>
          <w:tcPr>
            <w:tcW w:w="1866" w:type="dxa"/>
            <w:vAlign w:val="center"/>
            <w:textDirection w:val="lrTb"/>
            <w:noWrap w:val="false"/>
          </w:tcPr>
          <w:p>
            <w:pPr>
              <w:spacing w:line="44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目录</w:t>
            </w:r>
            <w:r/>
          </w:p>
        </w:tc>
        <w:tc>
          <w:tcPr>
            <w:tcW w:w="3148" w:type="dxa"/>
            <w:vAlign w:val="center"/>
            <w:textDirection w:val="lrTb"/>
            <w:noWrap w:val="false"/>
          </w:tcPr>
          <w:p>
            <w:pPr>
              <w:spacing w:line="44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提供目录节点的新增、修改、删除、排序、迁移等自定义管理。</w:t>
            </w:r>
            <w:r/>
          </w:p>
        </w:tc>
        <w:tc>
          <w:tcPr>
            <w:tcW w:w="2758" w:type="dxa"/>
            <w:vAlign w:val="center"/>
            <w:textDirection w:val="lrTb"/>
            <w:noWrap w:val="false"/>
          </w:tcPr>
          <w:p>
            <w:pPr>
              <w:spacing w:line="44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支持目录节点全生命周期管理，操作留痕可追溯。</w:t>
            </w:r>
            <w:r/>
          </w:p>
        </w:tc>
      </w:tr>
      <w:tr>
        <w:trPr>
          <w:trHeight w:val="775"/>
        </w:trPr>
        <w:tc>
          <w:tcPr>
            <w:tcW w:w="704" w:type="dxa"/>
            <w:vAlign w:val="center"/>
            <w:textDirection w:val="lrTb"/>
            <w:noWrap w:val="false"/>
          </w:tcPr>
          <w:p>
            <w:pPr>
              <w:spacing w:line="44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②</w:t>
            </w:r>
            <w:r/>
          </w:p>
        </w:tc>
        <w:tc>
          <w:tcPr>
            <w:tcW w:w="1866" w:type="dxa"/>
            <w:vAlign w:val="center"/>
            <w:textDirection w:val="lrTb"/>
            <w:noWrap w:val="false"/>
          </w:tcPr>
          <w:p>
            <w:pPr>
              <w:spacing w:line="44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目录树</w:t>
            </w:r>
            <w:r/>
          </w:p>
        </w:tc>
        <w:tc>
          <w:tcPr>
            <w:tcW w:w="3148" w:type="dxa"/>
            <w:vAlign w:val="center"/>
            <w:textDirection w:val="lrTb"/>
            <w:noWrap w:val="false"/>
          </w:tcPr>
          <w:p>
            <w:pPr>
              <w:spacing w:line="44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提供目录树的构建、调整、合并、拆分等自定义管理。</w:t>
            </w:r>
            <w:r/>
          </w:p>
        </w:tc>
        <w:tc>
          <w:tcPr>
            <w:tcW w:w="2758" w:type="dxa"/>
            <w:vAlign w:val="center"/>
            <w:textDirection w:val="lrTb"/>
            <w:noWrap w:val="false"/>
          </w:tcPr>
          <w:p>
            <w:pPr>
              <w:spacing w:line="44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支持多级目录树灵活调整，适应业务分类变化。</w:t>
            </w:r>
            <w:r/>
          </w:p>
        </w:tc>
      </w:tr>
      <w:tr>
        <w:trPr>
          <w:trHeight w:val="1110"/>
        </w:trPr>
        <w:tc>
          <w:tcPr>
            <w:tcW w:w="704" w:type="dxa"/>
            <w:vAlign w:val="center"/>
            <w:textDirection w:val="lrTb"/>
            <w:noWrap w:val="false"/>
          </w:tcPr>
          <w:p>
            <w:pPr>
              <w:spacing w:line="44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③</w:t>
            </w:r>
            <w:r/>
          </w:p>
        </w:tc>
        <w:tc>
          <w:tcPr>
            <w:tcW w:w="1866" w:type="dxa"/>
            <w:vAlign w:val="center"/>
            <w:textDirection w:val="lrTb"/>
            <w:noWrap w:val="false"/>
          </w:tcPr>
          <w:p>
            <w:pPr>
              <w:spacing w:line="44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标签类型</w:t>
            </w:r>
            <w:r/>
          </w:p>
        </w:tc>
        <w:tc>
          <w:tcPr>
            <w:tcW w:w="3148" w:type="dxa"/>
            <w:vAlign w:val="center"/>
            <w:textDirection w:val="lrTb"/>
            <w:noWrap w:val="false"/>
          </w:tcPr>
          <w:p>
            <w:pPr>
              <w:spacing w:line="44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支持数据标签类型的自定义管理，可按业务域、安全分级、数据来源等维度灵活配置。</w:t>
            </w:r>
            <w:r/>
          </w:p>
        </w:tc>
        <w:tc>
          <w:tcPr>
            <w:tcW w:w="2758" w:type="dxa"/>
            <w:vAlign w:val="center"/>
            <w:textDirection w:val="lrTb"/>
            <w:noWrap w:val="false"/>
          </w:tcPr>
          <w:p>
            <w:pPr>
              <w:spacing w:line="44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依据GB/T 43697-2024《数据安全技术数据分类分级规则》开展数据分类分级；支持标签类型自定义扩展，满足多维数据分类需求。</w:t>
            </w:r>
            <w:r/>
          </w:p>
        </w:tc>
      </w:tr>
      <w:tr>
        <w:trPr>
          <w:trHeight w:val="810"/>
        </w:trPr>
        <w:tc>
          <w:tcPr>
            <w:tcW w:w="704" w:type="dxa"/>
            <w:vAlign w:val="center"/>
            <w:textDirection w:val="lrTb"/>
            <w:noWrap w:val="false"/>
          </w:tcPr>
          <w:p>
            <w:pPr>
              <w:spacing w:line="44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④</w:t>
            </w:r>
            <w:r/>
          </w:p>
        </w:tc>
        <w:tc>
          <w:tcPr>
            <w:tcW w:w="1866" w:type="dxa"/>
            <w:vAlign w:val="center"/>
            <w:textDirection w:val="lrTb"/>
            <w:noWrap w:val="false"/>
          </w:tcPr>
          <w:p>
            <w:pPr>
              <w:spacing w:line="44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标签</w:t>
            </w:r>
            <w:r/>
          </w:p>
        </w:tc>
        <w:tc>
          <w:tcPr>
            <w:tcW w:w="3148" w:type="dxa"/>
            <w:vAlign w:val="center"/>
            <w:textDirection w:val="lrTb"/>
            <w:noWrap w:val="false"/>
          </w:tcPr>
          <w:p>
            <w:pPr>
              <w:spacing w:line="44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支持数据标签的自定义管理，可定义数据分级分类、敏感程度等标签。</w:t>
            </w:r>
            <w:r/>
          </w:p>
        </w:tc>
        <w:tc>
          <w:tcPr>
            <w:tcW w:w="2758" w:type="dxa"/>
            <w:vAlign w:val="center"/>
            <w:textDirection w:val="lrTb"/>
            <w:noWrap w:val="false"/>
          </w:tcPr>
          <w:p>
            <w:pPr>
              <w:spacing w:line="44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依据GB/T 43697-2024《数据安全技术数据分类分级规则》设置数据分级分类标签；支持标签自定义与批量打标。</w:t>
            </w:r>
            <w:r/>
          </w:p>
        </w:tc>
      </w:tr>
      <w:tr>
        <w:trPr>
          <w:trHeight w:val="840"/>
        </w:trPr>
        <w:tc>
          <w:tcPr>
            <w:tcW w:w="704" w:type="dxa"/>
            <w:vAlign w:val="center"/>
            <w:textDirection w:val="lrTb"/>
            <w:noWrap w:val="false"/>
          </w:tcPr>
          <w:p>
            <w:pPr>
              <w:spacing w:line="44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3）</w:t>
            </w:r>
            <w:r/>
          </w:p>
        </w:tc>
        <w:tc>
          <w:tcPr>
            <w:tcW w:w="1866" w:type="dxa"/>
            <w:vAlign w:val="center"/>
            <w:textDirection w:val="lrTb"/>
            <w:noWrap w:val="false"/>
          </w:tcPr>
          <w:p>
            <w:pPr>
              <w:spacing w:line="44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数据资源管理</w:t>
            </w:r>
            <w:r/>
          </w:p>
        </w:tc>
        <w:tc>
          <w:tcPr>
            <w:tcW w:w="3148" w:type="dxa"/>
            <w:vAlign w:val="center"/>
            <w:textDirection w:val="lrTb"/>
            <w:noWrap w:val="false"/>
          </w:tcPr>
          <w:p>
            <w:pPr>
              <w:spacing w:line="44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包含数据资源维护、数据目录关联、数据资源授权等功能，实现数据表与文件资源的统一维护、目录关联与授权管理。</w:t>
            </w:r>
            <w:r/>
          </w:p>
        </w:tc>
        <w:tc>
          <w:tcPr>
            <w:tcW w:w="2758" w:type="dxa"/>
            <w:vAlign w:val="center"/>
            <w:textDirection w:val="lrTb"/>
            <w:noWrap w:val="false"/>
          </w:tcPr>
          <w:p>
            <w:pPr>
              <w:spacing w:line="44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参照GB/T 40685-2021《信息技术服务数据资产管理要求》开展数据资源全生命周期管理，操作全程留痕、可追溯。</w:t>
            </w:r>
            <w:r/>
          </w:p>
        </w:tc>
      </w:tr>
      <w:tr>
        <w:trPr>
          <w:trHeight w:val="1000"/>
        </w:trPr>
        <w:tc>
          <w:tcPr>
            <w:tcW w:w="704" w:type="dxa"/>
            <w:vAlign w:val="center"/>
            <w:textDirection w:val="lrTb"/>
            <w:noWrap w:val="false"/>
          </w:tcPr>
          <w:p>
            <w:pPr>
              <w:spacing w:line="44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①</w:t>
            </w:r>
            <w:r/>
          </w:p>
        </w:tc>
        <w:tc>
          <w:tcPr>
            <w:tcW w:w="1866" w:type="dxa"/>
            <w:vAlign w:val="center"/>
            <w:textDirection w:val="lrTb"/>
            <w:noWrap w:val="false"/>
          </w:tcPr>
          <w:p>
            <w:pPr>
              <w:spacing w:line="44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数据表维护</w:t>
            </w:r>
            <w:r/>
          </w:p>
        </w:tc>
        <w:tc>
          <w:tcPr>
            <w:tcW w:w="3148" w:type="dxa"/>
            <w:vAlign w:val="center"/>
            <w:textDirection w:val="lrTb"/>
            <w:noWrap w:val="false"/>
          </w:tcPr>
          <w:p>
            <w:pPr>
              <w:spacing w:line="44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数据资源的新增、修改、删除、发布、变更、下架等操作。</w:t>
            </w:r>
            <w:r/>
          </w:p>
        </w:tc>
        <w:tc>
          <w:tcPr>
            <w:tcW w:w="2758" w:type="dxa"/>
            <w:vAlign w:val="center"/>
            <w:textDirection w:val="lrTb"/>
            <w:noWrap w:val="false"/>
          </w:tcPr>
          <w:p>
            <w:pPr>
              <w:spacing w:line="44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支持数据表全生命周期管理及版本管理，变更过程留痕。</w:t>
            </w:r>
            <w:r/>
          </w:p>
        </w:tc>
      </w:tr>
      <w:tr>
        <w:trPr>
          <w:trHeight w:val="1000"/>
        </w:trPr>
        <w:tc>
          <w:tcPr>
            <w:tcW w:w="704" w:type="dxa"/>
            <w:vAlign w:val="center"/>
            <w:textDirection w:val="lrTb"/>
            <w:noWrap w:val="false"/>
          </w:tcPr>
          <w:p>
            <w:pPr>
              <w:spacing w:line="44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②</w:t>
            </w:r>
            <w:r/>
          </w:p>
        </w:tc>
        <w:tc>
          <w:tcPr>
            <w:tcW w:w="1866" w:type="dxa"/>
            <w:vAlign w:val="center"/>
            <w:textDirection w:val="lrTb"/>
            <w:noWrap w:val="false"/>
          </w:tcPr>
          <w:p>
            <w:pPr>
              <w:spacing w:line="44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关联数据表目录  </w:t>
            </w:r>
            <w:r/>
          </w:p>
        </w:tc>
        <w:tc>
          <w:tcPr>
            <w:tcW w:w="3148" w:type="dxa"/>
            <w:vAlign w:val="center"/>
            <w:textDirection w:val="lrTb"/>
            <w:noWrap w:val="false"/>
          </w:tcPr>
          <w:p>
            <w:pPr>
              <w:spacing w:line="44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对已发布的数据资源通过关联目录申请实现跨目录树关联数据资源。</w:t>
            </w:r>
            <w:r/>
          </w:p>
        </w:tc>
        <w:tc>
          <w:tcPr>
            <w:tcW w:w="2758" w:type="dxa"/>
            <w:vAlign w:val="center"/>
            <w:textDirection w:val="lrTb"/>
            <w:noWrap w:val="false"/>
          </w:tcPr>
          <w:p>
            <w:pPr>
              <w:spacing w:line="44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支持数据表跨目录关联，实现一表多目录复用。</w:t>
            </w:r>
            <w:r/>
          </w:p>
        </w:tc>
      </w:tr>
      <w:tr>
        <w:trPr>
          <w:trHeight w:val="1000"/>
        </w:trPr>
        <w:tc>
          <w:tcPr>
            <w:tcW w:w="704" w:type="dxa"/>
            <w:vAlign w:val="center"/>
            <w:textDirection w:val="lrTb"/>
            <w:noWrap w:val="false"/>
          </w:tcPr>
          <w:p>
            <w:pPr>
              <w:spacing w:line="44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③</w:t>
            </w:r>
            <w:r/>
          </w:p>
        </w:tc>
        <w:tc>
          <w:tcPr>
            <w:tcW w:w="1866" w:type="dxa"/>
            <w:vAlign w:val="center"/>
            <w:textDirection w:val="lrTb"/>
            <w:noWrap w:val="false"/>
          </w:tcPr>
          <w:p>
            <w:pPr>
              <w:spacing w:line="44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授权数据表访问用户</w:t>
            </w:r>
            <w:r/>
          </w:p>
        </w:tc>
        <w:tc>
          <w:tcPr>
            <w:tcW w:w="3148" w:type="dxa"/>
            <w:vAlign w:val="center"/>
            <w:textDirection w:val="lrTb"/>
            <w:noWrap w:val="false"/>
          </w:tcPr>
          <w:p>
            <w:pPr>
              <w:spacing w:line="44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支持数据资源访问权限在线申请、审批、回收等操作。</w:t>
            </w:r>
            <w:r/>
          </w:p>
        </w:tc>
        <w:tc>
          <w:tcPr>
            <w:tcW w:w="2758" w:type="dxa"/>
            <w:vAlign w:val="center"/>
            <w:textDirection w:val="lrTb"/>
            <w:noWrap w:val="false"/>
          </w:tcPr>
          <w:p>
            <w:pPr>
              <w:spacing w:line="44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支持表级访问授权，授权审批全流程留痕，权限变更可审计。</w:t>
            </w:r>
            <w:r/>
          </w:p>
        </w:tc>
      </w:tr>
      <w:tr>
        <w:trPr>
          <w:trHeight w:val="1000"/>
        </w:trPr>
        <w:tc>
          <w:tcPr>
            <w:tcW w:w="704" w:type="dxa"/>
            <w:vAlign w:val="center"/>
            <w:textDirection w:val="lrTb"/>
            <w:noWrap w:val="false"/>
          </w:tcPr>
          <w:p>
            <w:pPr>
              <w:spacing w:line="44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④</w:t>
            </w:r>
            <w:r/>
          </w:p>
        </w:tc>
        <w:tc>
          <w:tcPr>
            <w:tcW w:w="1866" w:type="dxa"/>
            <w:vAlign w:val="center"/>
            <w:textDirection w:val="lrTb"/>
            <w:noWrap w:val="false"/>
          </w:tcPr>
          <w:p>
            <w:pPr>
              <w:spacing w:line="44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文件夹维护</w:t>
            </w:r>
            <w:r/>
          </w:p>
        </w:tc>
        <w:tc>
          <w:tcPr>
            <w:tcW w:w="3148" w:type="dxa"/>
            <w:vAlign w:val="center"/>
            <w:textDirection w:val="lrTb"/>
            <w:noWrap w:val="false"/>
          </w:tcPr>
          <w:p>
            <w:pPr>
              <w:spacing w:line="44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文件资源的新增、修改、删除、发布、变更、下架等操作。</w:t>
            </w:r>
            <w:r/>
          </w:p>
        </w:tc>
        <w:tc>
          <w:tcPr>
            <w:tcW w:w="2758" w:type="dxa"/>
            <w:vAlign w:val="center"/>
            <w:textDirection w:val="lrTb"/>
            <w:noWrap w:val="false"/>
          </w:tcPr>
          <w:p>
            <w:pPr>
              <w:spacing w:line="44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支持文件资源全生命周期管理，操作留痕可追溯。</w:t>
            </w:r>
            <w:r/>
          </w:p>
        </w:tc>
      </w:tr>
      <w:tr>
        <w:trPr>
          <w:trHeight w:val="1000"/>
        </w:trPr>
        <w:tc>
          <w:tcPr>
            <w:tcW w:w="704" w:type="dxa"/>
            <w:vAlign w:val="center"/>
            <w:textDirection w:val="lrTb"/>
            <w:noWrap w:val="false"/>
          </w:tcPr>
          <w:p>
            <w:pPr>
              <w:spacing w:line="44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⑤</w:t>
            </w:r>
            <w:r/>
          </w:p>
        </w:tc>
        <w:tc>
          <w:tcPr>
            <w:tcW w:w="1866" w:type="dxa"/>
            <w:vAlign w:val="center"/>
            <w:textDirection w:val="lrTb"/>
            <w:noWrap w:val="false"/>
          </w:tcPr>
          <w:p>
            <w:pPr>
              <w:spacing w:line="44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关联文件夹目录</w:t>
            </w:r>
            <w:r/>
          </w:p>
        </w:tc>
        <w:tc>
          <w:tcPr>
            <w:tcW w:w="3148" w:type="dxa"/>
            <w:vAlign w:val="center"/>
            <w:textDirection w:val="lrTb"/>
            <w:noWrap w:val="false"/>
          </w:tcPr>
          <w:p>
            <w:pPr>
              <w:spacing w:line="44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对已发布的文件资源通过关联目录申请实现跨目录树关联数据资源。</w:t>
            </w:r>
            <w:r/>
          </w:p>
        </w:tc>
        <w:tc>
          <w:tcPr>
            <w:tcW w:w="2758" w:type="dxa"/>
            <w:vAlign w:val="center"/>
            <w:textDirection w:val="lrTb"/>
            <w:noWrap w:val="false"/>
          </w:tcPr>
          <w:p>
            <w:pPr>
              <w:spacing w:line="44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支持文件资源跨目录关联，实现一处维护、多处引用。</w:t>
            </w:r>
            <w:r/>
          </w:p>
        </w:tc>
      </w:tr>
      <w:tr>
        <w:trPr>
          <w:trHeight w:val="1000"/>
        </w:trPr>
        <w:tc>
          <w:tcPr>
            <w:tcW w:w="704" w:type="dxa"/>
            <w:vAlign w:val="center"/>
            <w:textDirection w:val="lrTb"/>
            <w:noWrap w:val="false"/>
          </w:tcPr>
          <w:p>
            <w:pPr>
              <w:spacing w:line="44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⑥</w:t>
            </w:r>
            <w:r/>
          </w:p>
        </w:tc>
        <w:tc>
          <w:tcPr>
            <w:tcW w:w="1866" w:type="dxa"/>
            <w:vAlign w:val="center"/>
            <w:textDirection w:val="lrTb"/>
            <w:noWrap w:val="false"/>
          </w:tcPr>
          <w:p>
            <w:pPr>
              <w:spacing w:line="44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授权文件夹访问用户</w:t>
            </w:r>
            <w:r/>
          </w:p>
        </w:tc>
        <w:tc>
          <w:tcPr>
            <w:tcW w:w="3148" w:type="dxa"/>
            <w:vAlign w:val="center"/>
            <w:textDirection w:val="lrTb"/>
            <w:noWrap w:val="false"/>
          </w:tcPr>
          <w:p>
            <w:pPr>
              <w:spacing w:line="44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支持文件资源访问权限在线申请、审批、回收等操作。</w:t>
            </w:r>
            <w:r/>
          </w:p>
        </w:tc>
        <w:tc>
          <w:tcPr>
            <w:tcW w:w="2758" w:type="dxa"/>
            <w:vAlign w:val="center"/>
            <w:textDirection w:val="lrTb"/>
            <w:noWrap w:val="false"/>
          </w:tcPr>
          <w:p>
            <w:pPr>
              <w:spacing w:line="44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支持文件级访问授权与下载权限控制，授权审批留痕，下载操作可审计。</w:t>
            </w:r>
            <w:r/>
          </w:p>
        </w:tc>
      </w:tr>
      <w:tr>
        <w:trPr>
          <w:trHeight w:val="1000"/>
        </w:trPr>
        <w:tc>
          <w:tcPr>
            <w:tcW w:w="704" w:type="dxa"/>
            <w:vAlign w:val="center"/>
            <w:textDirection w:val="lrTb"/>
            <w:noWrap w:val="false"/>
          </w:tcPr>
          <w:p>
            <w:pPr>
              <w:spacing w:line="44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（2）</w:t>
            </w:r>
            <w:r/>
          </w:p>
        </w:tc>
        <w:tc>
          <w:tcPr>
            <w:tcW w:w="1866" w:type="dxa"/>
            <w:vAlign w:val="center"/>
            <w:textDirection w:val="lrTb"/>
            <w:noWrap w:val="false"/>
          </w:tcPr>
          <w:p>
            <w:pPr>
              <w:spacing w:line="44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数据共享交换</w:t>
            </w:r>
            <w:r/>
          </w:p>
        </w:tc>
        <w:tc>
          <w:tcPr>
            <w:tcW w:w="3148" w:type="dxa"/>
            <w:vAlign w:val="center"/>
            <w:textDirection w:val="lrTb"/>
            <w:noWrap w:val="false"/>
          </w:tcPr>
          <w:p>
            <w:pPr>
              <w:spacing w:line="44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提供以数据库、文件、API服务等多种方式获取外部数据或对外共享数据的功能，实现内外部数据的双向交换与共享。</w:t>
            </w:r>
            <w:r/>
          </w:p>
        </w:tc>
        <w:tc>
          <w:tcPr>
            <w:tcW w:w="2758" w:type="dxa"/>
            <w:vAlign w:val="center"/>
            <w:textDirection w:val="lrTb"/>
            <w:noWrap w:val="false"/>
          </w:tcPr>
          <w:p>
            <w:pPr>
              <w:spacing w:line="44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支持数据库、文件、API服务等多种交换方式，交换过程具备完整性校验与日志审计；交换数据安全符合GB/T 39477-2020《信息安全技术 政务信息共享 数据安全技术要求》及GB/T 41479-2022《信息安全技术 网络数据处理安全要求》。</w:t>
            </w:r>
            <w:r/>
          </w:p>
        </w:tc>
      </w:tr>
      <w:tr>
        <w:trPr>
          <w:trHeight w:val="1000"/>
        </w:trPr>
        <w:tc>
          <w:tcPr>
            <w:tcW w:w="704" w:type="dxa"/>
            <w:vAlign w:val="center"/>
            <w:textDirection w:val="lrTb"/>
            <w:noWrap w:val="false"/>
          </w:tcPr>
          <w:p>
            <w:pPr>
              <w:spacing w:line="44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1）</w:t>
            </w:r>
            <w:r/>
          </w:p>
        </w:tc>
        <w:tc>
          <w:tcPr>
            <w:tcW w:w="1866" w:type="dxa"/>
            <w:vAlign w:val="center"/>
            <w:textDirection w:val="lrTb"/>
            <w:noWrap w:val="false"/>
          </w:tcPr>
          <w:p>
            <w:pPr>
              <w:spacing w:line="44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数据交换服务</w:t>
            </w:r>
            <w:r/>
          </w:p>
        </w:tc>
        <w:tc>
          <w:tcPr>
            <w:tcW w:w="3148" w:type="dxa"/>
            <w:vAlign w:val="center"/>
            <w:textDirection w:val="lrTb"/>
            <w:noWrap w:val="false"/>
          </w:tcPr>
          <w:p>
            <w:pPr>
              <w:spacing w:line="44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提供数据库导入导出数据、文件导入等方式交换数据。</w:t>
            </w:r>
            <w:r/>
          </w:p>
        </w:tc>
        <w:tc>
          <w:tcPr>
            <w:tcW w:w="2758" w:type="dxa"/>
            <w:vAlign w:val="center"/>
            <w:textDirection w:val="lrTb"/>
            <w:noWrap w:val="false"/>
          </w:tcPr>
          <w:p>
            <w:pPr>
              <w:spacing w:line="44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支持批量数据交换作业调度，具备异常重试与执行状态监控能力；支持定</w:t>
            </w:r>
            <w:r>
              <w:rPr>
                <w:rFonts w:hint="eastAsia" w:asciiTheme="minorEastAsia" w:hAnsiTheme="minorEastAsia" w:cstheme="minorEastAsia"/>
                <w:sz w:val="24"/>
                <w:szCs w:val="24"/>
              </w:rPr>
              <w:t xml:space="preserve">时、手动两种调度方式。</w:t>
            </w:r>
            <w:r/>
          </w:p>
        </w:tc>
      </w:tr>
      <w:tr>
        <w:trPr>
          <w:trHeight w:val="1000"/>
        </w:trPr>
        <w:tc>
          <w:tcPr>
            <w:tcW w:w="704" w:type="dxa"/>
            <w:vAlign w:val="center"/>
            <w:textDirection w:val="lrTb"/>
            <w:noWrap w:val="false"/>
          </w:tcPr>
          <w:p>
            <w:pPr>
              <w:spacing w:line="44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①</w:t>
            </w:r>
            <w:r/>
          </w:p>
        </w:tc>
        <w:tc>
          <w:tcPr>
            <w:tcW w:w="1866" w:type="dxa"/>
            <w:vAlign w:val="center"/>
            <w:textDirection w:val="lrTb"/>
            <w:noWrap w:val="false"/>
          </w:tcPr>
          <w:p>
            <w:pPr>
              <w:spacing w:line="44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文件导入</w:t>
            </w:r>
            <w:r/>
          </w:p>
        </w:tc>
        <w:tc>
          <w:tcPr>
            <w:tcW w:w="3148" w:type="dxa"/>
            <w:vAlign w:val="center"/>
            <w:textDirection w:val="lrTb"/>
            <w:noWrap w:val="false"/>
          </w:tcPr>
          <w:p>
            <w:pPr>
              <w:spacing w:line="44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支持自定义文件导入数据作业，通过CSV文件导入数据。</w:t>
            </w:r>
            <w:r/>
          </w:p>
        </w:tc>
        <w:tc>
          <w:tcPr>
            <w:tcW w:w="2758" w:type="dxa"/>
            <w:vAlign w:val="center"/>
            <w:textDirection w:val="lrTb"/>
            <w:noWrap w:val="false"/>
          </w:tcPr>
          <w:p>
            <w:pPr>
              <w:spacing w:line="44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支持批量文件导入及数据校验；支持CSV等常见格式文件导入，单批次导入记录数满足业务规模要求。</w:t>
            </w:r>
            <w:r/>
          </w:p>
        </w:tc>
      </w:tr>
      <w:tr>
        <w:trPr>
          <w:trHeight w:val="768"/>
        </w:trPr>
        <w:tc>
          <w:tcPr>
            <w:tcW w:w="704" w:type="dxa"/>
            <w:vAlign w:val="center"/>
            <w:textDirection w:val="lrTb"/>
            <w:noWrap w:val="false"/>
          </w:tcPr>
          <w:p>
            <w:pPr>
              <w:spacing w:line="44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②</w:t>
            </w:r>
            <w:r/>
          </w:p>
        </w:tc>
        <w:tc>
          <w:tcPr>
            <w:tcW w:w="1866" w:type="dxa"/>
            <w:vAlign w:val="center"/>
            <w:textDirection w:val="lrTb"/>
            <w:noWrap w:val="false"/>
          </w:tcPr>
          <w:p>
            <w:pPr>
              <w:spacing w:line="44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库表导入</w:t>
            </w:r>
            <w:r/>
          </w:p>
        </w:tc>
        <w:tc>
          <w:tcPr>
            <w:tcW w:w="3148" w:type="dxa"/>
            <w:vAlign w:val="center"/>
            <w:textDirection w:val="lrTb"/>
            <w:noWrap w:val="false"/>
          </w:tcPr>
          <w:p>
            <w:pPr>
              <w:spacing w:line="44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支持自定义库表导入数据作业，覆盖主流关系型数据库库表数据导入。</w:t>
            </w:r>
            <w:r/>
          </w:p>
        </w:tc>
        <w:tc>
          <w:tcPr>
            <w:tcW w:w="2758" w:type="dxa"/>
            <w:vAlign w:val="center"/>
            <w:textDirection w:val="lrTb"/>
            <w:noWrap w:val="false"/>
          </w:tcPr>
          <w:p>
            <w:pPr>
              <w:spacing w:line="44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支持全量、增量两种导入模式，导入作业可配置调度。</w:t>
            </w:r>
            <w:r/>
          </w:p>
        </w:tc>
      </w:tr>
      <w:tr>
        <w:trPr>
          <w:trHeight w:val="690"/>
        </w:trPr>
        <w:tc>
          <w:tcPr>
            <w:tcW w:w="704" w:type="dxa"/>
            <w:vAlign w:val="center"/>
            <w:textDirection w:val="lrTb"/>
            <w:noWrap w:val="false"/>
          </w:tcPr>
          <w:p>
            <w:pPr>
              <w:spacing w:line="44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③</w:t>
            </w:r>
            <w:r/>
          </w:p>
        </w:tc>
        <w:tc>
          <w:tcPr>
            <w:tcW w:w="1866" w:type="dxa"/>
            <w:vAlign w:val="center"/>
            <w:textDirection w:val="lrTb"/>
            <w:noWrap w:val="false"/>
          </w:tcPr>
          <w:p>
            <w:pPr>
              <w:spacing w:line="44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库表导出</w:t>
            </w:r>
            <w:r/>
          </w:p>
        </w:tc>
        <w:tc>
          <w:tcPr>
            <w:tcW w:w="3148" w:type="dxa"/>
            <w:vAlign w:val="center"/>
            <w:textDirection w:val="lrTb"/>
            <w:noWrap w:val="false"/>
          </w:tcPr>
          <w:p>
            <w:pPr>
              <w:spacing w:line="44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支持自定义库表导出数据作业。</w:t>
            </w:r>
            <w:r/>
          </w:p>
        </w:tc>
        <w:tc>
          <w:tcPr>
            <w:tcW w:w="2758" w:type="dxa"/>
            <w:vAlign w:val="center"/>
            <w:textDirection w:val="lrTb"/>
            <w:noWrap w:val="false"/>
          </w:tcPr>
          <w:p>
            <w:pPr>
              <w:spacing w:line="44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支持按条件、按字段选择性导出，导出文件支持多种格式，导出操作留痕可审计。</w:t>
            </w:r>
            <w:r/>
          </w:p>
        </w:tc>
      </w:tr>
      <w:tr>
        <w:trPr>
          <w:trHeight w:val="588"/>
        </w:trPr>
        <w:tc>
          <w:tcPr>
            <w:tcW w:w="704" w:type="dxa"/>
            <w:vAlign w:val="center"/>
            <w:textDirection w:val="lrTb"/>
            <w:noWrap w:val="false"/>
          </w:tcPr>
          <w:p>
            <w:pPr>
              <w:spacing w:line="44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2）</w:t>
            </w:r>
            <w:r/>
          </w:p>
        </w:tc>
        <w:tc>
          <w:tcPr>
            <w:tcW w:w="1866" w:type="dxa"/>
            <w:vAlign w:val="center"/>
            <w:textDirection w:val="lrTb"/>
            <w:noWrap w:val="false"/>
          </w:tcPr>
          <w:p>
            <w:pPr>
              <w:spacing w:line="44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文件交换服务</w:t>
            </w:r>
            <w:r/>
          </w:p>
        </w:tc>
        <w:tc>
          <w:tcPr>
            <w:tcW w:w="3148" w:type="dxa"/>
            <w:vAlign w:val="center"/>
            <w:textDirection w:val="lrTb"/>
            <w:noWrap w:val="false"/>
          </w:tcPr>
          <w:p>
            <w:pPr>
              <w:spacing w:line="44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支持文件上传下载服务，实现跨部门文件的可靠传输。</w:t>
            </w:r>
            <w:r/>
          </w:p>
        </w:tc>
        <w:tc>
          <w:tcPr>
            <w:tcW w:w="2758" w:type="dxa"/>
            <w:vAlign w:val="center"/>
            <w:textDirection w:val="lrTb"/>
            <w:noWrap w:val="false"/>
          </w:tcPr>
          <w:p>
            <w:pPr>
              <w:spacing w:line="44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保障文件传输的完整性与可靠性，传输过程可追溯。</w:t>
            </w:r>
            <w:r/>
          </w:p>
        </w:tc>
      </w:tr>
      <w:tr>
        <w:trPr>
          <w:trHeight w:val="605"/>
        </w:trPr>
        <w:tc>
          <w:tcPr>
            <w:tcW w:w="704" w:type="dxa"/>
            <w:vAlign w:val="center"/>
            <w:textDirection w:val="lrTb"/>
            <w:noWrap w:val="false"/>
          </w:tcPr>
          <w:p>
            <w:pPr>
              <w:spacing w:line="44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①</w:t>
            </w:r>
            <w:r/>
          </w:p>
        </w:tc>
        <w:tc>
          <w:tcPr>
            <w:tcW w:w="1866" w:type="dxa"/>
            <w:vAlign w:val="center"/>
            <w:textDirection w:val="lrTb"/>
            <w:noWrap w:val="false"/>
          </w:tcPr>
          <w:p>
            <w:pPr>
              <w:spacing w:line="44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文件上传</w:t>
            </w:r>
            <w:r/>
          </w:p>
        </w:tc>
        <w:tc>
          <w:tcPr>
            <w:tcW w:w="3148" w:type="dxa"/>
            <w:vAlign w:val="center"/>
            <w:textDirection w:val="lrTb"/>
            <w:noWrap w:val="false"/>
          </w:tcPr>
          <w:p>
            <w:pPr>
              <w:spacing w:line="44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支持文件上传服务，覆盖多格式文件的批量上传。</w:t>
            </w:r>
            <w:r/>
          </w:p>
        </w:tc>
        <w:tc>
          <w:tcPr>
            <w:tcW w:w="2758" w:type="dxa"/>
            <w:vAlign w:val="center"/>
            <w:textDirection w:val="lrTb"/>
            <w:noWrap w:val="false"/>
          </w:tcPr>
          <w:p>
            <w:pPr>
              <w:spacing w:line="44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支持上传完整性校验，保障数据不缺失；支持大文件分片上传与断点续传。</w:t>
            </w:r>
            <w:r/>
          </w:p>
        </w:tc>
      </w:tr>
      <w:tr>
        <w:trPr>
          <w:trHeight w:val="660"/>
        </w:trPr>
        <w:tc>
          <w:tcPr>
            <w:tcW w:w="704" w:type="dxa"/>
            <w:vAlign w:val="center"/>
            <w:textDirection w:val="lrTb"/>
            <w:noWrap w:val="false"/>
          </w:tcPr>
          <w:p>
            <w:pPr>
              <w:spacing w:line="44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②</w:t>
            </w:r>
            <w:r/>
          </w:p>
        </w:tc>
        <w:tc>
          <w:tcPr>
            <w:tcW w:w="1866" w:type="dxa"/>
            <w:vAlign w:val="center"/>
            <w:textDirection w:val="lrTb"/>
            <w:noWrap w:val="false"/>
          </w:tcPr>
          <w:p>
            <w:pPr>
              <w:spacing w:line="44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文件下载</w:t>
            </w:r>
            <w:r/>
          </w:p>
        </w:tc>
        <w:tc>
          <w:tcPr>
            <w:tcW w:w="3148" w:type="dxa"/>
            <w:vAlign w:val="center"/>
            <w:textDirection w:val="lrTb"/>
            <w:noWrap w:val="false"/>
          </w:tcPr>
          <w:p>
            <w:pPr>
              <w:spacing w:line="44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支持文件下载服务。</w:t>
            </w:r>
            <w:r/>
          </w:p>
        </w:tc>
        <w:tc>
          <w:tcPr>
            <w:tcW w:w="2758" w:type="dxa"/>
            <w:vAlign w:val="center"/>
            <w:textDirection w:val="lrTb"/>
            <w:noWrap w:val="false"/>
          </w:tcPr>
          <w:p>
            <w:pPr>
              <w:spacing w:line="44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支持下载权限校验与操作审计。</w:t>
            </w:r>
            <w:r/>
          </w:p>
        </w:tc>
      </w:tr>
      <w:tr>
        <w:trPr>
          <w:trHeight w:val="1400"/>
        </w:trPr>
        <w:tc>
          <w:tcPr>
            <w:tcW w:w="704" w:type="dxa"/>
            <w:vAlign w:val="center"/>
            <w:textDirection w:val="lrTb"/>
            <w:noWrap w:val="false"/>
          </w:tcPr>
          <w:p>
            <w:pPr>
              <w:spacing w:line="44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3）</w:t>
            </w:r>
            <w:r/>
          </w:p>
        </w:tc>
        <w:tc>
          <w:tcPr>
            <w:tcW w:w="1866" w:type="dxa"/>
            <w:vAlign w:val="center"/>
            <w:textDirection w:val="lrTb"/>
            <w:noWrap w:val="false"/>
          </w:tcPr>
          <w:p>
            <w:pPr>
              <w:spacing w:line="44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数据源管理</w:t>
            </w:r>
            <w:r/>
          </w:p>
        </w:tc>
        <w:tc>
          <w:tcPr>
            <w:tcW w:w="3148" w:type="dxa"/>
            <w:vAlign w:val="center"/>
            <w:textDirection w:val="lrTb"/>
            <w:noWrap w:val="false"/>
          </w:tcPr>
          <w:p>
            <w:pPr>
              <w:spacing w:line="44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支持包含MySQL、SQLServer、PostgreSQL、MongoDB、Oracle等主流数据库在内的数据源配置管理，实现异构数据源的统一注册、连接管理与状态监控。</w:t>
            </w:r>
            <w:r/>
          </w:p>
        </w:tc>
        <w:tc>
          <w:tcPr>
            <w:tcW w:w="2758" w:type="dxa"/>
            <w:vAlign w:val="center"/>
            <w:textDirection w:val="lrTb"/>
            <w:noWrap w:val="false"/>
          </w:tcPr>
          <w:p>
            <w:pPr>
              <w:spacing w:line="44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支持不少于3类主流数据库的数据源接入，连接状态实时监控，连接参数加密存储。</w:t>
            </w:r>
            <w:r/>
          </w:p>
        </w:tc>
      </w:tr>
      <w:tr>
        <w:trPr>
          <w:trHeight w:val="1188"/>
        </w:trPr>
        <w:tc>
          <w:tcPr>
            <w:tcW w:w="704" w:type="dxa"/>
            <w:vAlign w:val="center"/>
            <w:textDirection w:val="lrTb"/>
            <w:noWrap w:val="false"/>
          </w:tcPr>
          <w:p>
            <w:pPr>
              <w:spacing w:line="44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①</w:t>
            </w:r>
            <w:r/>
          </w:p>
        </w:tc>
        <w:tc>
          <w:tcPr>
            <w:tcW w:w="1866" w:type="dxa"/>
            <w:vAlign w:val="center"/>
            <w:textDirection w:val="lrTb"/>
            <w:noWrap w:val="false"/>
          </w:tcPr>
          <w:p>
            <w:pPr>
              <w:spacing w:line="44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数据资产可视化 </w:t>
            </w:r>
            <w:r/>
          </w:p>
        </w:tc>
        <w:tc>
          <w:tcPr>
            <w:tcW w:w="3148" w:type="dxa"/>
            <w:vAlign w:val="center"/>
            <w:textDirection w:val="lrTb"/>
            <w:noWrap w:val="false"/>
          </w:tcPr>
          <w:p>
            <w:pPr>
              <w:spacing w:line="44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以全局视角对数据接入、校验、清洗、服务等全过程的信息进行提取和汇总，能够</w:t>
            </w:r>
            <w:r>
              <w:rPr>
                <w:rFonts w:hint="eastAsia" w:asciiTheme="minorEastAsia" w:hAnsiTheme="minorEastAsia" w:cstheme="minorEastAsia"/>
                <w:sz w:val="24"/>
                <w:szCs w:val="24"/>
              </w:rPr>
              <w:t xml:space="preserve">动态展现整体或局部数据资源情况。</w:t>
            </w:r>
            <w:r/>
          </w:p>
        </w:tc>
        <w:tc>
          <w:tcPr>
            <w:tcW w:w="2758" w:type="dxa"/>
            <w:vAlign w:val="center"/>
            <w:textDirection w:val="lrTb"/>
            <w:noWrap w:val="false"/>
          </w:tcPr>
          <w:p>
            <w:pPr>
              <w:spacing w:line="44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以图表形式动态呈现数据资产全貌，支持整体与局部视角切换。</w:t>
            </w:r>
            <w:r/>
          </w:p>
        </w:tc>
      </w:tr>
      <w:tr>
        <w:trPr>
          <w:trHeight w:val="1185"/>
        </w:trPr>
        <w:tc>
          <w:tcPr>
            <w:tcW w:w="704" w:type="dxa"/>
            <w:vAlign w:val="center"/>
            <w:textDirection w:val="lrTb"/>
            <w:noWrap w:val="false"/>
          </w:tcPr>
          <w:p>
            <w:pPr>
              <w:spacing w:line="44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②</w:t>
            </w:r>
            <w:r/>
          </w:p>
        </w:tc>
        <w:tc>
          <w:tcPr>
            <w:tcW w:w="1866" w:type="dxa"/>
            <w:vAlign w:val="center"/>
            <w:textDirection w:val="lrTb"/>
            <w:noWrap w:val="false"/>
          </w:tcPr>
          <w:p>
            <w:pPr>
              <w:spacing w:line="44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数据接入可视化</w:t>
            </w:r>
            <w:r/>
          </w:p>
        </w:tc>
        <w:tc>
          <w:tcPr>
            <w:tcW w:w="3148" w:type="dxa"/>
            <w:vAlign w:val="center"/>
            <w:textDirection w:val="lrTb"/>
            <w:noWrap w:val="false"/>
          </w:tcPr>
          <w:p>
            <w:pPr>
              <w:spacing w:line="44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动态展示已经接入的数据总量、日增量、月增量、同比、环比、数据分类等信息。</w:t>
            </w:r>
            <w:r/>
          </w:p>
        </w:tc>
        <w:tc>
          <w:tcPr>
            <w:tcW w:w="2758" w:type="dxa"/>
            <w:vAlign w:val="center"/>
            <w:textDirection w:val="lrTb"/>
            <w:noWrap w:val="false"/>
          </w:tcPr>
          <w:p>
            <w:pPr>
              <w:spacing w:line="44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支持接入量趋势、来源分布等指标动态展示，数据看板定时刷新，刷新频率可配置。</w:t>
            </w:r>
            <w:r/>
          </w:p>
        </w:tc>
      </w:tr>
      <w:tr>
        <w:trPr>
          <w:trHeight w:val="995"/>
        </w:trPr>
        <w:tc>
          <w:tcPr>
            <w:tcW w:w="704" w:type="dxa"/>
            <w:vAlign w:val="center"/>
            <w:textDirection w:val="lrTb"/>
            <w:noWrap w:val="false"/>
          </w:tcPr>
          <w:p>
            <w:pPr>
              <w:spacing w:line="44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③</w:t>
            </w:r>
            <w:r/>
          </w:p>
        </w:tc>
        <w:tc>
          <w:tcPr>
            <w:tcW w:w="1866" w:type="dxa"/>
            <w:vAlign w:val="center"/>
            <w:textDirection w:val="lrTb"/>
            <w:noWrap w:val="false"/>
          </w:tcPr>
          <w:p>
            <w:pPr>
              <w:spacing w:line="44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数据清洗可视化</w:t>
            </w:r>
            <w:r/>
          </w:p>
        </w:tc>
        <w:tc>
          <w:tcPr>
            <w:tcW w:w="3148" w:type="dxa"/>
            <w:vAlign w:val="center"/>
            <w:textDirection w:val="lrTb"/>
            <w:noWrap w:val="false"/>
          </w:tcPr>
          <w:p>
            <w:pPr>
              <w:spacing w:line="44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动态展示批量和实时清洗任务执行情况。</w:t>
            </w:r>
            <w:r/>
          </w:p>
        </w:tc>
        <w:tc>
          <w:tcPr>
            <w:tcW w:w="2758" w:type="dxa"/>
            <w:vAlign w:val="center"/>
            <w:textDirection w:val="lrTb"/>
            <w:noWrap w:val="false"/>
          </w:tcPr>
          <w:p>
            <w:pPr>
              <w:spacing w:line="44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展示清洗任务执行进度与成功失败统计，异常任务可告警提示。</w:t>
            </w:r>
            <w:r/>
          </w:p>
        </w:tc>
      </w:tr>
      <w:tr>
        <w:trPr>
          <w:trHeight w:val="1188"/>
        </w:trPr>
        <w:tc>
          <w:tcPr>
            <w:tcW w:w="704" w:type="dxa"/>
            <w:vAlign w:val="center"/>
            <w:textDirection w:val="lrTb"/>
            <w:noWrap w:val="false"/>
          </w:tcPr>
          <w:p>
            <w:pPr>
              <w:spacing w:line="44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④</w:t>
            </w:r>
            <w:r/>
          </w:p>
        </w:tc>
        <w:tc>
          <w:tcPr>
            <w:tcW w:w="1866" w:type="dxa"/>
            <w:vAlign w:val="center"/>
            <w:textDirection w:val="lrTb"/>
            <w:noWrap w:val="false"/>
          </w:tcPr>
          <w:p>
            <w:pPr>
              <w:spacing w:line="44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数据治理可视化</w:t>
            </w:r>
            <w:r/>
          </w:p>
        </w:tc>
        <w:tc>
          <w:tcPr>
            <w:tcW w:w="3148" w:type="dxa"/>
            <w:vAlign w:val="center"/>
            <w:textDirection w:val="lrTb"/>
            <w:noWrap w:val="false"/>
          </w:tcPr>
          <w:p>
            <w:pPr>
              <w:spacing w:line="44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提供资源目录、维护和查询统计、接口调用服务、权限管理、主题配置、模型使用情况等数据治理全过程信息。</w:t>
            </w:r>
            <w:r/>
          </w:p>
        </w:tc>
        <w:tc>
          <w:tcPr>
            <w:tcW w:w="2758" w:type="dxa"/>
            <w:vAlign w:val="center"/>
            <w:textDirection w:val="lrTb"/>
            <w:noWrap w:val="false"/>
          </w:tcPr>
          <w:p>
            <w:pPr>
              <w:spacing w:line="44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依据GB/T 34960.5-2018《信息技术服务 治理 第5部分：数据治理规范》展示数据治理全过程关键指标，支撑治理成效评估。</w:t>
            </w:r>
            <w:r/>
          </w:p>
        </w:tc>
      </w:tr>
      <w:tr>
        <w:trPr>
          <w:trHeight w:val="1400"/>
        </w:trPr>
        <w:tc>
          <w:tcPr>
            <w:tcW w:w="704" w:type="dxa"/>
            <w:vAlign w:val="center"/>
            <w:textDirection w:val="lrTb"/>
            <w:noWrap w:val="false"/>
          </w:tcPr>
          <w:p>
            <w:pPr>
              <w:spacing w:line="44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⑤</w:t>
            </w:r>
            <w:r/>
          </w:p>
        </w:tc>
        <w:tc>
          <w:tcPr>
            <w:tcW w:w="1866" w:type="dxa"/>
            <w:vAlign w:val="center"/>
            <w:textDirection w:val="lrTb"/>
            <w:noWrap w:val="false"/>
          </w:tcPr>
          <w:p>
            <w:pPr>
              <w:spacing w:line="44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数据服务可视化</w:t>
            </w:r>
            <w:r/>
          </w:p>
        </w:tc>
        <w:tc>
          <w:tcPr>
            <w:tcW w:w="3148" w:type="dxa"/>
            <w:vAlign w:val="center"/>
            <w:textDirection w:val="lrTb"/>
            <w:noWrap w:val="false"/>
          </w:tcPr>
          <w:p>
            <w:pPr>
              <w:spacing w:line="44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提供数据共享服务统计、库表导入导出服务统计、数据订阅服务统计以及服务的用户对象统计分析等对外开放的数据服务使用情况的综合可视化展示。</w:t>
            </w:r>
            <w:r/>
          </w:p>
        </w:tc>
        <w:tc>
          <w:tcPr>
            <w:tcW w:w="2758" w:type="dxa"/>
            <w:vAlign w:val="center"/>
            <w:textDirection w:val="lrTb"/>
            <w:noWrap w:val="false"/>
          </w:tcPr>
          <w:p>
            <w:pPr>
              <w:spacing w:line="44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展示服务调用量、调用对象等统计信息，支撑服务运营分析。</w:t>
            </w:r>
            <w:r/>
          </w:p>
        </w:tc>
      </w:tr>
      <w:tr>
        <w:trPr>
          <w:trHeight w:val="1305"/>
        </w:trPr>
        <w:tc>
          <w:tcPr>
            <w:tcW w:w="704" w:type="dxa"/>
            <w:vAlign w:val="center"/>
            <w:textDirection w:val="lrTb"/>
            <w:noWrap w:val="false"/>
          </w:tcPr>
          <w:p>
            <w:pPr>
              <w:spacing w:line="44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二</w:t>
            </w:r>
            <w:r/>
          </w:p>
        </w:tc>
        <w:tc>
          <w:tcPr>
            <w:tcW w:w="1866" w:type="dxa"/>
            <w:vAlign w:val="center"/>
            <w:textDirection w:val="lrTb"/>
            <w:noWrap w:val="false"/>
          </w:tcPr>
          <w:p>
            <w:pPr>
              <w:spacing w:line="44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应用支撑平台 </w:t>
            </w:r>
            <w:r/>
          </w:p>
        </w:tc>
        <w:tc>
          <w:tcPr>
            <w:tcW w:w="3148" w:type="dxa"/>
            <w:vAlign w:val="center"/>
            <w:textDirection w:val="lrTb"/>
            <w:noWrap w:val="false"/>
          </w:tcPr>
          <w:p>
            <w:pPr>
              <w:spacing w:line="44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应用支撑平台建设包含统一用户管理、统一服务管理等，为上层业务应用提供统一的身份认证、权限管控与服务治理支撑。</w:t>
            </w:r>
            <w:r/>
          </w:p>
        </w:tc>
        <w:tc>
          <w:tcPr>
            <w:tcW w:w="2758" w:type="dxa"/>
            <w:vAlign w:val="center"/>
            <w:textDirection w:val="lrTb"/>
            <w:noWrap w:val="false"/>
          </w:tcPr>
          <w:p>
            <w:pPr>
              <w:spacing w:line="44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遵循统一身份认证与服务治理相关标准，支撑多应用统一接入与集中管控；系统支持用户账户规模不少于100个，支撑在线用户日常并发使用。</w:t>
            </w:r>
            <w:r/>
          </w:p>
        </w:tc>
      </w:tr>
      <w:tr>
        <w:trPr>
          <w:trHeight w:val="1260"/>
        </w:trPr>
        <w:tc>
          <w:tcPr>
            <w:tcW w:w="704" w:type="dxa"/>
            <w:vAlign w:val="center"/>
            <w:textDirection w:val="lrTb"/>
            <w:noWrap w:val="false"/>
          </w:tcPr>
          <w:p>
            <w:pPr>
              <w:spacing w:line="44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1</w:t>
            </w:r>
            <w:r/>
          </w:p>
        </w:tc>
        <w:tc>
          <w:tcPr>
            <w:tcW w:w="1866" w:type="dxa"/>
            <w:vAlign w:val="center"/>
            <w:textDirection w:val="lrTb"/>
            <w:noWrap w:val="false"/>
          </w:tcPr>
          <w:p>
            <w:pPr>
              <w:spacing w:line="44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统一用户管理</w:t>
            </w:r>
            <w:r/>
          </w:p>
        </w:tc>
        <w:tc>
          <w:tcPr>
            <w:tcW w:w="3148" w:type="dxa"/>
            <w:vAlign w:val="center"/>
            <w:textDirection w:val="lrTb"/>
            <w:noWrap w:val="false"/>
          </w:tcPr>
          <w:p>
            <w:pPr>
              <w:spacing w:line="44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建立统一的用户管理体系，实现多个部门、不同层级、不同应用间用户身份信息的</w:t>
            </w:r>
            <w:r>
              <w:rPr>
                <w:rFonts w:hint="eastAsia" w:asciiTheme="minorEastAsia" w:hAnsiTheme="minorEastAsia" w:cstheme="minorEastAsia"/>
                <w:sz w:val="24"/>
                <w:szCs w:val="24"/>
              </w:rPr>
              <w:t xml:space="preserve">统一维护和授权认证管理。</w:t>
            </w:r>
            <w:r/>
          </w:p>
        </w:tc>
        <w:tc>
          <w:tcPr>
            <w:tcW w:w="2758" w:type="dxa"/>
            <w:vAlign w:val="center"/>
            <w:textDirection w:val="lrTb"/>
            <w:noWrap w:val="false"/>
          </w:tcPr>
          <w:p>
            <w:pPr>
              <w:spacing w:line="44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支持用户身份全生命周期管理，实现一次认证、多应用通行；支持用户账</w:t>
            </w:r>
            <w:r>
              <w:rPr>
                <w:rFonts w:hint="eastAsia" w:asciiTheme="minorEastAsia" w:hAnsiTheme="minorEastAsia" w:cstheme="minorEastAsia"/>
                <w:sz w:val="24"/>
                <w:szCs w:val="24"/>
              </w:rPr>
              <w:t xml:space="preserve">户规模不少于100个。</w:t>
            </w:r>
            <w:r/>
          </w:p>
        </w:tc>
      </w:tr>
      <w:tr>
        <w:trPr>
          <w:trHeight w:val="1000"/>
        </w:trPr>
        <w:tc>
          <w:tcPr>
            <w:tcW w:w="704" w:type="dxa"/>
            <w:vAlign w:val="center"/>
            <w:textDirection w:val="lrTb"/>
            <w:noWrap w:val="false"/>
          </w:tcPr>
          <w:p>
            <w:pPr>
              <w:spacing w:line="44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（1）</w:t>
            </w:r>
            <w:r/>
          </w:p>
        </w:tc>
        <w:tc>
          <w:tcPr>
            <w:tcW w:w="1866" w:type="dxa"/>
            <w:vAlign w:val="center"/>
            <w:textDirection w:val="lrTb"/>
            <w:noWrap w:val="false"/>
          </w:tcPr>
          <w:p>
            <w:pPr>
              <w:spacing w:line="44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部门管理 </w:t>
            </w:r>
            <w:r/>
          </w:p>
        </w:tc>
        <w:tc>
          <w:tcPr>
            <w:tcW w:w="3148" w:type="dxa"/>
            <w:vAlign w:val="center"/>
            <w:textDirection w:val="lrTb"/>
            <w:noWrap w:val="false"/>
          </w:tcPr>
          <w:p>
            <w:pPr>
              <w:spacing w:line="44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提供部门基本信息的新增、修改、删除、检索和授权等功能。</w:t>
            </w:r>
            <w:r/>
          </w:p>
        </w:tc>
        <w:tc>
          <w:tcPr>
            <w:tcW w:w="2758" w:type="dxa"/>
            <w:vAlign w:val="center"/>
            <w:textDirection w:val="lrTb"/>
            <w:noWrap w:val="false"/>
          </w:tcPr>
          <w:p>
            <w:pPr>
              <w:spacing w:line="44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支持多级部门树维护，部门信息变更实时同步。</w:t>
            </w:r>
            <w:r/>
          </w:p>
        </w:tc>
      </w:tr>
      <w:tr>
        <w:trPr>
          <w:trHeight w:val="1000"/>
        </w:trPr>
        <w:tc>
          <w:tcPr>
            <w:tcW w:w="704" w:type="dxa"/>
            <w:vAlign w:val="center"/>
            <w:textDirection w:val="lrTb"/>
            <w:noWrap w:val="false"/>
          </w:tcPr>
          <w:p>
            <w:pPr>
              <w:spacing w:line="44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（2）</w:t>
            </w:r>
            <w:r/>
          </w:p>
        </w:tc>
        <w:tc>
          <w:tcPr>
            <w:tcW w:w="1866" w:type="dxa"/>
            <w:vAlign w:val="center"/>
            <w:textDirection w:val="lrTb"/>
            <w:noWrap w:val="false"/>
          </w:tcPr>
          <w:p>
            <w:pPr>
              <w:spacing w:line="44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岗位管理</w:t>
            </w:r>
            <w:r/>
          </w:p>
        </w:tc>
        <w:tc>
          <w:tcPr>
            <w:tcW w:w="3148" w:type="dxa"/>
            <w:vAlign w:val="center"/>
            <w:textDirection w:val="lrTb"/>
            <w:noWrap w:val="false"/>
          </w:tcPr>
          <w:p>
            <w:pPr>
              <w:spacing w:line="44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提供岗位基本信息的新增、修改、删除、检索和授权等功能。</w:t>
            </w:r>
            <w:r/>
          </w:p>
        </w:tc>
        <w:tc>
          <w:tcPr>
            <w:tcW w:w="2758" w:type="dxa"/>
            <w:vAlign w:val="center"/>
            <w:textDirection w:val="lrTb"/>
            <w:noWrap w:val="false"/>
          </w:tcPr>
          <w:p>
            <w:pPr>
              <w:spacing w:line="44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支持岗位自定义配置，岗位与权限灵活关联。</w:t>
            </w:r>
            <w:r/>
          </w:p>
        </w:tc>
      </w:tr>
      <w:tr>
        <w:trPr>
          <w:trHeight w:val="1000"/>
        </w:trPr>
        <w:tc>
          <w:tcPr>
            <w:tcW w:w="704" w:type="dxa"/>
            <w:vAlign w:val="center"/>
            <w:textDirection w:val="lrTb"/>
            <w:noWrap w:val="false"/>
          </w:tcPr>
          <w:p>
            <w:pPr>
              <w:spacing w:line="44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（3）</w:t>
            </w:r>
            <w:r/>
          </w:p>
        </w:tc>
        <w:tc>
          <w:tcPr>
            <w:tcW w:w="1866" w:type="dxa"/>
            <w:vAlign w:val="center"/>
            <w:textDirection w:val="lrTb"/>
            <w:noWrap w:val="false"/>
          </w:tcPr>
          <w:p>
            <w:pPr>
              <w:spacing w:line="44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角色管理</w:t>
            </w:r>
            <w:r/>
          </w:p>
        </w:tc>
        <w:tc>
          <w:tcPr>
            <w:tcW w:w="3148" w:type="dxa"/>
            <w:vAlign w:val="center"/>
            <w:textDirection w:val="lrTb"/>
            <w:noWrap w:val="false"/>
          </w:tcPr>
          <w:p>
            <w:pPr>
              <w:spacing w:line="44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提供角色基本信息的新增、修改、删除、检索和授权等功能。</w:t>
            </w:r>
            <w:r/>
          </w:p>
        </w:tc>
        <w:tc>
          <w:tcPr>
            <w:tcW w:w="2758" w:type="dxa"/>
            <w:vAlign w:val="center"/>
            <w:textDirection w:val="lrTb"/>
            <w:noWrap w:val="false"/>
          </w:tcPr>
          <w:p>
            <w:pPr>
              <w:spacing w:line="44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支持角色自定义及权限分配，实现最小权限管控。</w:t>
            </w:r>
            <w:r/>
          </w:p>
        </w:tc>
      </w:tr>
      <w:tr>
        <w:trPr>
          <w:trHeight w:val="1000"/>
        </w:trPr>
        <w:tc>
          <w:tcPr>
            <w:tcW w:w="704" w:type="dxa"/>
            <w:vAlign w:val="center"/>
            <w:textDirection w:val="lrTb"/>
            <w:noWrap w:val="false"/>
          </w:tcPr>
          <w:p>
            <w:pPr>
              <w:spacing w:line="44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（4）</w:t>
            </w:r>
            <w:r/>
          </w:p>
        </w:tc>
        <w:tc>
          <w:tcPr>
            <w:tcW w:w="1866" w:type="dxa"/>
            <w:vAlign w:val="center"/>
            <w:textDirection w:val="lrTb"/>
            <w:noWrap w:val="false"/>
          </w:tcPr>
          <w:p>
            <w:pPr>
              <w:spacing w:line="44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人员管理</w:t>
            </w:r>
            <w:r/>
          </w:p>
        </w:tc>
        <w:tc>
          <w:tcPr>
            <w:tcW w:w="3148" w:type="dxa"/>
            <w:vAlign w:val="center"/>
            <w:textDirection w:val="lrTb"/>
            <w:noWrap w:val="false"/>
          </w:tcPr>
          <w:p>
            <w:pPr>
              <w:spacing w:line="44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提供人员基本信息的新增、修改、删除、检索和授权等功能。</w:t>
            </w:r>
            <w:r/>
          </w:p>
        </w:tc>
        <w:tc>
          <w:tcPr>
            <w:tcW w:w="2758" w:type="dxa"/>
            <w:vAlign w:val="center"/>
            <w:textDirection w:val="lrTb"/>
            <w:noWrap w:val="false"/>
          </w:tcPr>
          <w:p>
            <w:pPr>
              <w:spacing w:line="44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支持人员账号全生命周期管理，账号状态实时可控。</w:t>
            </w:r>
            <w:r/>
          </w:p>
        </w:tc>
      </w:tr>
      <w:tr>
        <w:trPr>
          <w:trHeight w:val="1000"/>
        </w:trPr>
        <w:tc>
          <w:tcPr>
            <w:tcW w:w="704" w:type="dxa"/>
            <w:vAlign w:val="center"/>
            <w:textDirection w:val="lrTb"/>
            <w:noWrap w:val="false"/>
          </w:tcPr>
          <w:p>
            <w:pPr>
              <w:spacing w:line="44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（5）</w:t>
            </w:r>
            <w:r/>
          </w:p>
        </w:tc>
        <w:tc>
          <w:tcPr>
            <w:tcW w:w="1866" w:type="dxa"/>
            <w:vAlign w:val="center"/>
            <w:textDirection w:val="lrTb"/>
            <w:noWrap w:val="false"/>
          </w:tcPr>
          <w:p>
            <w:pPr>
              <w:spacing w:line="44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登录验证</w:t>
            </w:r>
            <w:r/>
          </w:p>
        </w:tc>
        <w:tc>
          <w:tcPr>
            <w:tcW w:w="3148" w:type="dxa"/>
            <w:vAlign w:val="center"/>
            <w:textDirection w:val="lrTb"/>
            <w:noWrap w:val="false"/>
          </w:tcPr>
          <w:p>
            <w:pPr>
              <w:spacing w:line="44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基于统一用户管理体系提供登录、登出、密码验证和权限认证等功能，提供统一服务接口便于各应用集成。</w:t>
            </w:r>
            <w:r/>
          </w:p>
        </w:tc>
        <w:tc>
          <w:tcPr>
            <w:tcW w:w="2758" w:type="dxa"/>
            <w:vAlign w:val="center"/>
            <w:textDirection w:val="lrTb"/>
            <w:noWrap w:val="false"/>
          </w:tcPr>
          <w:p>
            <w:pPr>
              <w:spacing w:line="44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支持统一身份认证，提供标准认证接口供各应用集成；支持密码复杂度校验与登录失败锁定策略。</w:t>
            </w:r>
            <w:r/>
          </w:p>
        </w:tc>
      </w:tr>
      <w:tr>
        <w:trPr>
          <w:trHeight w:val="1000"/>
        </w:trPr>
        <w:tc>
          <w:tcPr>
            <w:tcW w:w="704" w:type="dxa"/>
            <w:vAlign w:val="center"/>
            <w:textDirection w:val="lrTb"/>
            <w:noWrap w:val="false"/>
          </w:tcPr>
          <w:p>
            <w:pPr>
              <w:spacing w:line="44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2</w:t>
            </w:r>
            <w:r/>
          </w:p>
        </w:tc>
        <w:tc>
          <w:tcPr>
            <w:tcW w:w="1866" w:type="dxa"/>
            <w:vAlign w:val="center"/>
            <w:textDirection w:val="lrTb"/>
            <w:noWrap w:val="false"/>
          </w:tcPr>
          <w:p>
            <w:pPr>
              <w:spacing w:line="44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统一服务管理</w:t>
            </w:r>
            <w:r/>
          </w:p>
        </w:tc>
        <w:tc>
          <w:tcPr>
            <w:tcW w:w="3148" w:type="dxa"/>
            <w:vAlign w:val="center"/>
            <w:textDirection w:val="lrTb"/>
            <w:noWrap w:val="false"/>
          </w:tcPr>
          <w:p>
            <w:pPr>
              <w:spacing w:line="44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通过服务管理、日志管理、业务监控、远程监控等能力的建设，实现对各类离散服务的统一管理和监控。</w:t>
            </w:r>
            <w:r/>
          </w:p>
        </w:tc>
        <w:tc>
          <w:tcPr>
            <w:tcW w:w="2758" w:type="dxa"/>
            <w:vAlign w:val="center"/>
            <w:textDirection w:val="lrTb"/>
            <w:noWrap w:val="false"/>
          </w:tcPr>
          <w:p>
            <w:pPr>
              <w:spacing w:line="44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实现服务统一注册、监控与治理，服务运行状态实时可视。</w:t>
            </w:r>
            <w:r/>
          </w:p>
        </w:tc>
      </w:tr>
      <w:tr>
        <w:trPr>
          <w:trHeight w:val="1000"/>
        </w:trPr>
        <w:tc>
          <w:tcPr>
            <w:tcW w:w="704" w:type="dxa"/>
            <w:vAlign w:val="center"/>
            <w:textDirection w:val="lrTb"/>
            <w:noWrap w:val="false"/>
          </w:tcPr>
          <w:p>
            <w:pPr>
              <w:spacing w:line="44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（1）</w:t>
            </w:r>
            <w:r/>
          </w:p>
        </w:tc>
        <w:tc>
          <w:tcPr>
            <w:tcW w:w="1866" w:type="dxa"/>
            <w:vAlign w:val="center"/>
            <w:textDirection w:val="lrTb"/>
            <w:noWrap w:val="false"/>
          </w:tcPr>
          <w:p>
            <w:pPr>
              <w:spacing w:line="44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服务治理</w:t>
            </w:r>
            <w:r/>
          </w:p>
        </w:tc>
        <w:tc>
          <w:tcPr>
            <w:tcW w:w="3148" w:type="dxa"/>
            <w:vAlign w:val="center"/>
            <w:textDirection w:val="lrTb"/>
            <w:noWrap w:val="false"/>
          </w:tcPr>
          <w:p>
            <w:pPr>
              <w:spacing w:line="44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提供服务网关的管理以及各种能力引擎的注册、监控、日志等功能。</w:t>
            </w:r>
            <w:r/>
          </w:p>
        </w:tc>
        <w:tc>
          <w:tcPr>
            <w:tcW w:w="2758" w:type="dxa"/>
            <w:vAlign w:val="center"/>
            <w:textDirection w:val="lrTb"/>
            <w:noWrap w:val="false"/>
          </w:tcPr>
          <w:p>
            <w:pPr>
              <w:spacing w:line="44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支持服务注册发现、调用监控与日志留痕，异常服务可告警。</w:t>
            </w:r>
            <w:r/>
          </w:p>
        </w:tc>
      </w:tr>
      <w:tr>
        <w:trPr>
          <w:trHeight w:val="515"/>
        </w:trPr>
        <w:tc>
          <w:tcPr>
            <w:tcW w:w="704" w:type="dxa"/>
            <w:vAlign w:val="center"/>
            <w:textDirection w:val="lrTb"/>
            <w:noWrap w:val="false"/>
          </w:tcPr>
          <w:p>
            <w:pPr>
              <w:spacing w:line="44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（2）</w:t>
            </w:r>
            <w:r/>
          </w:p>
        </w:tc>
        <w:tc>
          <w:tcPr>
            <w:tcW w:w="1866" w:type="dxa"/>
            <w:vAlign w:val="center"/>
            <w:textDirection w:val="lrTb"/>
            <w:noWrap w:val="false"/>
          </w:tcPr>
          <w:p>
            <w:pPr>
              <w:spacing w:line="44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服务网关</w:t>
            </w:r>
            <w:r/>
          </w:p>
        </w:tc>
        <w:tc>
          <w:tcPr>
            <w:tcW w:w="3148" w:type="dxa"/>
            <w:vAlign w:val="center"/>
            <w:textDirection w:val="lrTb"/>
            <w:noWrap w:val="false"/>
          </w:tcPr>
          <w:p>
            <w:pPr>
              <w:spacing w:line="44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以标准服务方式统一对外发布接口服务及应用服务。在服务的过程中，通过安全认证、流量控制、负载均衡等多种措施保障服务的可用性</w:t>
            </w:r>
            <w:r>
              <w:rPr>
                <w:rFonts w:hint="eastAsia" w:asciiTheme="minorEastAsia" w:hAnsiTheme="minorEastAsia" w:cstheme="minorEastAsia"/>
                <w:sz w:val="24"/>
                <w:szCs w:val="24"/>
              </w:rPr>
              <w:t xml:space="preserve">和可靠性。</w:t>
            </w:r>
            <w:r/>
          </w:p>
        </w:tc>
        <w:tc>
          <w:tcPr>
            <w:tcW w:w="2758" w:type="dxa"/>
            <w:vAlign w:val="center"/>
            <w:textDirection w:val="lrTb"/>
            <w:noWrap w:val="false"/>
          </w:tcPr>
          <w:p>
            <w:pPr>
              <w:spacing w:line="44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支持API鉴权、限流、熔断与负载均衡，保障服务高可用；接口调用全链路日志留痕。</w:t>
            </w:r>
            <w:r/>
          </w:p>
        </w:tc>
      </w:tr>
      <w:tr>
        <w:trPr>
          <w:trHeight w:val="1800"/>
        </w:trPr>
        <w:tc>
          <w:tcPr>
            <w:tcW w:w="704" w:type="dxa"/>
            <w:vAlign w:val="center"/>
            <w:textDirection w:val="lrTb"/>
            <w:noWrap w:val="false"/>
          </w:tcPr>
          <w:p>
            <w:pPr>
              <w:spacing w:line="44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三</w:t>
            </w:r>
            <w:r/>
          </w:p>
        </w:tc>
        <w:tc>
          <w:tcPr>
            <w:tcW w:w="1866" w:type="dxa"/>
            <w:vAlign w:val="center"/>
            <w:textDirection w:val="lrTb"/>
            <w:noWrap w:val="false"/>
          </w:tcPr>
          <w:p>
            <w:pPr>
              <w:spacing w:line="44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业务系统</w:t>
            </w:r>
            <w:r/>
          </w:p>
        </w:tc>
        <w:tc>
          <w:tcPr>
            <w:tcW w:w="3148" w:type="dxa"/>
            <w:vAlign w:val="center"/>
            <w:textDirection w:val="lrTb"/>
            <w:noWrap w:val="false"/>
          </w:tcPr>
          <w:p>
            <w:pPr>
              <w:spacing w:line="44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面向执行办案核心场景，建设送达拘传指引、财产关联人查找、执行风险研判、企业信用评估、终本案件辅助管理、调查取证辅助等智能应用，为执行工作提供数据与算法支撑。</w:t>
            </w:r>
            <w:r/>
          </w:p>
        </w:tc>
        <w:tc>
          <w:tcPr>
            <w:tcW w:w="2758" w:type="dxa"/>
            <w:vAlign w:val="center"/>
            <w:textDirection w:val="lrTb"/>
            <w:noWrap w:val="false"/>
          </w:tcPr>
          <w:p>
            <w:pPr>
              <w:spacing w:line="44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系统功能上围绕查人送达、财产关联、企业信用评估、执行风险研判、辅助终本案件、调查取证六大场景建设智能应用能力，支撑执行大数据中心二期场景落地，系统性能上满足多用户并发流畅使用。</w:t>
            </w:r>
            <w:r/>
          </w:p>
        </w:tc>
      </w:tr>
      <w:tr>
        <w:trPr>
          <w:trHeight w:val="1210"/>
        </w:trPr>
        <w:tc>
          <w:tcPr>
            <w:tcW w:w="704" w:type="dxa"/>
            <w:vAlign w:val="center"/>
            <w:textDirection w:val="lrTb"/>
            <w:noWrap w:val="false"/>
          </w:tcPr>
          <w:p>
            <w:pPr>
              <w:spacing w:line="44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1</w:t>
            </w:r>
            <w:r/>
          </w:p>
        </w:tc>
        <w:tc>
          <w:tcPr>
            <w:tcW w:w="1866" w:type="dxa"/>
            <w:vAlign w:val="center"/>
            <w:textDirection w:val="lrTb"/>
            <w:noWrap w:val="false"/>
          </w:tcPr>
          <w:p>
            <w:pPr>
              <w:spacing w:line="44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查人送达指引系统</w:t>
            </w:r>
            <w:r/>
          </w:p>
        </w:tc>
        <w:tc>
          <w:tcPr>
            <w:tcW w:w="3148" w:type="dxa"/>
            <w:vAlign w:val="center"/>
            <w:textDirection w:val="lrTb"/>
            <w:noWrap w:val="false"/>
          </w:tcPr>
          <w:p>
            <w:pPr>
              <w:spacing w:line="44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基于政务、社会等多类数据源，通过智能算法对涉案当事人地址进行校验、修正与归集，生成被查找人有效地址序列，并依据失联状态、地址有效性智能推荐直接送达、电子送达、邮寄送达等最优送达路径，辅助精准拘传。</w:t>
            </w:r>
            <w:r/>
          </w:p>
        </w:tc>
        <w:tc>
          <w:tcPr>
            <w:tcW w:w="2758" w:type="dxa"/>
            <w:vAlign w:val="center"/>
            <w:textDirection w:val="lrTb"/>
            <w:noWrap w:val="false"/>
          </w:tcPr>
          <w:p>
            <w:pPr>
              <w:spacing w:line="44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实现地址智能核验与联系方式多源归集；输出有效地址候选集并支持导出；支撑送达方案智能推荐、拘传场景行为风险分级研判与出警风险提示；地址核验覆盖执行业务主要场景。</w:t>
            </w:r>
            <w:r/>
          </w:p>
        </w:tc>
      </w:tr>
      <w:tr>
        <w:trPr>
          <w:trHeight w:val="1980"/>
        </w:trPr>
        <w:tc>
          <w:tcPr>
            <w:tcW w:w="704" w:type="dxa"/>
            <w:vAlign w:val="center"/>
            <w:textDirection w:val="lrTb"/>
            <w:noWrap w:val="false"/>
          </w:tcPr>
          <w:p>
            <w:pPr>
              <w:spacing w:line="44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2</w:t>
            </w:r>
            <w:r/>
          </w:p>
        </w:tc>
        <w:tc>
          <w:tcPr>
            <w:tcW w:w="1866" w:type="dxa"/>
            <w:vAlign w:val="center"/>
            <w:textDirection w:val="lrTb"/>
            <w:noWrap w:val="false"/>
          </w:tcPr>
          <w:p>
            <w:pPr>
              <w:spacing w:line="44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财产关联分析系统</w:t>
            </w:r>
            <w:r/>
          </w:p>
        </w:tc>
        <w:tc>
          <w:tcPr>
            <w:tcW w:w="3148" w:type="dxa"/>
            <w:vAlign w:val="center"/>
            <w:textDirection w:val="lrTb"/>
            <w:noWrap w:val="false"/>
          </w:tcPr>
          <w:p>
            <w:pPr>
              <w:spacing w:line="44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基于多类数据源，通过智能算法对被执行人近亲属、企业股东、实际控制人、交易往来主体等关联主体进行穿透分析，生成可视化关联图谱，筛查隐匿财产、异常财产变动及规避执行线索，对被执行人及其关联主体名下不动产、车辆、股权等财产线索做统一归集，输出标准化财产核查清单。</w:t>
            </w:r>
            <w:r/>
          </w:p>
        </w:tc>
        <w:tc>
          <w:tcPr>
            <w:tcW w:w="2758" w:type="dxa"/>
            <w:vAlign w:val="center"/>
            <w:textDirection w:val="lrTb"/>
            <w:noWrap w:val="false"/>
          </w:tcPr>
          <w:p>
            <w:pPr>
              <w:spacing w:line="44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支持关联关系穿透分析与隐匿财产线索筛查；输出关联图谱与财产核查清单；支持多案件、多被执行人批量筛查，统一异构数据，实现“一次申请，多源财产线索归集”，线索结果可直接供办案人员线下核实使用。</w:t>
            </w:r>
            <w:r/>
          </w:p>
        </w:tc>
      </w:tr>
      <w:tr>
        <w:trPr>
          <w:trHeight w:val="2100"/>
        </w:trPr>
        <w:tc>
          <w:tcPr>
            <w:tcW w:w="704" w:type="dxa"/>
            <w:vAlign w:val="center"/>
            <w:textDirection w:val="lrTb"/>
            <w:noWrap w:val="false"/>
          </w:tcPr>
          <w:p>
            <w:pPr>
              <w:spacing w:line="44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3</w:t>
            </w:r>
            <w:r/>
          </w:p>
        </w:tc>
        <w:tc>
          <w:tcPr>
            <w:tcW w:w="1866" w:type="dxa"/>
            <w:vAlign w:val="center"/>
            <w:textDirection w:val="lrTb"/>
            <w:noWrap w:val="false"/>
          </w:tcPr>
          <w:p>
            <w:pPr>
              <w:spacing w:line="44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企业信用评估系统</w:t>
            </w:r>
            <w:r/>
          </w:p>
        </w:tc>
        <w:tc>
          <w:tcPr>
            <w:tcW w:w="3148" w:type="dxa"/>
            <w:vAlign w:val="center"/>
            <w:textDirection w:val="lrTb"/>
            <w:noWrap w:val="false"/>
          </w:tcPr>
          <w:p>
            <w:pPr>
              <w:spacing w:line="44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基于涉案企业涉诉、财产、经营、纳税、用工、信用等多维数据，构建涉案企业一户一档画像，辅助研判空壳、歇业、经营困难、正常经营等企业状态，输出企业信用与偿债能力评估，针对不同状态提示差异化执行措施，辅助核验担保人资质与担保物权属、抵押查封、重复担保等权利瑕疵。对被执行企业进行动态分级分类评估，定制化推送执行智能提示。</w:t>
            </w:r>
            <w:r/>
          </w:p>
        </w:tc>
        <w:tc>
          <w:tcPr>
            <w:tcW w:w="2758" w:type="dxa"/>
            <w:vAlign w:val="center"/>
            <w:textDirection w:val="lrTb"/>
            <w:noWrap w:val="false"/>
          </w:tcPr>
          <w:p>
            <w:pPr>
              <w:spacing w:line="44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形成涉案企业一户一档；企业状态辅助分级研判，评估结果随外部数据动态刷新；支撑善意执行提示与担保风险核验，评估报告可导出。</w:t>
            </w:r>
            <w:r/>
          </w:p>
        </w:tc>
      </w:tr>
      <w:tr>
        <w:trPr>
          <w:trHeight w:val="2100"/>
        </w:trPr>
        <w:tc>
          <w:tcPr>
            <w:tcW w:w="704" w:type="dxa"/>
            <w:vAlign w:val="center"/>
            <w:textDirection w:val="lrTb"/>
            <w:noWrap w:val="false"/>
          </w:tcPr>
          <w:p>
            <w:pPr>
              <w:spacing w:line="44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4</w:t>
            </w:r>
            <w:r/>
          </w:p>
        </w:tc>
        <w:tc>
          <w:tcPr>
            <w:tcW w:w="1866" w:type="dxa"/>
            <w:vAlign w:val="center"/>
            <w:textDirection w:val="lrTb"/>
            <w:noWrap w:val="false"/>
          </w:tcPr>
          <w:p>
            <w:pPr>
              <w:spacing w:line="44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执行风险评估系统</w:t>
            </w:r>
            <w:r/>
          </w:p>
        </w:tc>
        <w:tc>
          <w:tcPr>
            <w:tcW w:w="3148" w:type="dxa"/>
            <w:vAlign w:val="center"/>
            <w:textDirection w:val="lrTb"/>
            <w:noWrap w:val="false"/>
          </w:tcPr>
          <w:p>
            <w:pPr>
              <w:spacing w:line="44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基于多类数据源，通过智能算法对被拘传、被清场对象的人身健康、行为风险等进行评估研判，输出拘传、清场风险分级与应急处置参考建议，释明清场利弊及注意事项，辅助督促被执行人主动履行。</w:t>
            </w:r>
            <w:r/>
          </w:p>
        </w:tc>
        <w:tc>
          <w:tcPr>
            <w:tcW w:w="2758" w:type="dxa"/>
            <w:vAlign w:val="center"/>
            <w:textDirection w:val="lrTb"/>
            <w:noWrap w:val="false"/>
          </w:tcPr>
          <w:p>
            <w:pPr>
              <w:spacing w:line="44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覆盖拘传、腾退清场等场景的风险分级研判；识别高龄、重病等特殊人群并输出安全风险评估与处置建议；风险分级覆盖高、中、低三级。</w:t>
            </w:r>
            <w:r/>
          </w:p>
        </w:tc>
      </w:tr>
      <w:tr>
        <w:trPr>
          <w:trHeight w:val="1990"/>
        </w:trPr>
        <w:tc>
          <w:tcPr>
            <w:tcW w:w="704" w:type="dxa"/>
            <w:vAlign w:val="center"/>
            <w:textDirection w:val="lrTb"/>
            <w:noWrap w:val="false"/>
          </w:tcPr>
          <w:p>
            <w:pPr>
              <w:spacing w:line="44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5</w:t>
            </w:r>
            <w:r/>
          </w:p>
        </w:tc>
        <w:tc>
          <w:tcPr>
            <w:tcW w:w="1866" w:type="dxa"/>
            <w:vAlign w:val="center"/>
            <w:textDirection w:val="lrTb"/>
            <w:noWrap w:val="false"/>
          </w:tcPr>
          <w:p>
            <w:pPr>
              <w:spacing w:line="44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终本案件辅助管理系统</w:t>
            </w:r>
            <w:r/>
          </w:p>
        </w:tc>
        <w:tc>
          <w:tcPr>
            <w:tcW w:w="3148" w:type="dxa"/>
            <w:vAlign w:val="center"/>
            <w:textDirection w:val="lrTb"/>
            <w:noWrap w:val="false"/>
          </w:tcPr>
          <w:p>
            <w:pPr>
              <w:spacing w:line="44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对终本案件开展动态监控，监测被执行人新增财产、企业恢复经营、新增可供执行线索并主动增补，线索预警可自动推送；归集终本案件的数据核查过程、线索情况、风险情况，形成终本案件智能档案；分析终本案件财产线索发现率、程序完备度，输出质量分析视图。</w:t>
            </w:r>
            <w:r/>
          </w:p>
        </w:tc>
        <w:tc>
          <w:tcPr>
            <w:tcW w:w="2758" w:type="dxa"/>
            <w:vAlign w:val="center"/>
            <w:textDirection w:val="lrTb"/>
            <w:noWrap w:val="false"/>
          </w:tcPr>
          <w:p>
            <w:pPr>
              <w:spacing w:line="44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实现终本案件程序要件辅助校验与新增财产线索主动增补，输出终本案件质量分析视图。</w:t>
            </w:r>
            <w:r/>
          </w:p>
        </w:tc>
      </w:tr>
      <w:tr>
        <w:trPr>
          <w:trHeight w:val="2400"/>
        </w:trPr>
        <w:tc>
          <w:tcPr>
            <w:tcW w:w="704" w:type="dxa"/>
            <w:vAlign w:val="center"/>
            <w:textDirection w:val="lrTb"/>
            <w:noWrap w:val="false"/>
          </w:tcPr>
          <w:p>
            <w:pPr>
              <w:spacing w:line="44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6</w:t>
            </w:r>
            <w:r/>
          </w:p>
        </w:tc>
        <w:tc>
          <w:tcPr>
            <w:tcW w:w="1866" w:type="dxa"/>
            <w:vAlign w:val="center"/>
            <w:textDirection w:val="lrTb"/>
            <w:noWrap w:val="false"/>
          </w:tcPr>
          <w:p>
            <w:pPr>
              <w:spacing w:line="44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调查取证辅助系统</w:t>
            </w:r>
            <w:r/>
          </w:p>
        </w:tc>
        <w:tc>
          <w:tcPr>
            <w:tcW w:w="3148" w:type="dxa"/>
            <w:vAlign w:val="center"/>
            <w:textDirection w:val="lrTb"/>
            <w:noWrap w:val="false"/>
          </w:tcPr>
          <w:p>
            <w:pPr>
              <w:spacing w:line="44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利用汇集的跨部门数据，对当事人提交的转账凭证、财产证明、居住证明、亲属关系证明、交易合同、合同协议等书面及电子证据进行大数据交叉比对，辅助识别证据虚假、变造、过期、内容不一致等问题，通过多源数据分析并补足财产变动时间线、交易往来轨迹、身份关系、经营存续状态等情况，夯实案件事实认定。</w:t>
            </w:r>
            <w:r/>
          </w:p>
        </w:tc>
        <w:tc>
          <w:tcPr>
            <w:tcW w:w="2758" w:type="dxa"/>
            <w:vAlign w:val="center"/>
            <w:textDirection w:val="lrTb"/>
            <w:noWrap w:val="false"/>
          </w:tcPr>
          <w:p>
            <w:pPr>
              <w:spacing w:line="44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覆盖财产类、身份关系类、交易类核心办案证据的数据核验支撑；输出证据核验线索与事实补强材料，辅助夯实证据链条。</w:t>
            </w:r>
            <w:r/>
          </w:p>
        </w:tc>
      </w:tr>
      <w:tr>
        <w:trPr>
          <w:trHeight w:val="1200"/>
        </w:trPr>
        <w:tc>
          <w:tcPr>
            <w:tcW w:w="704" w:type="dxa"/>
            <w:vAlign w:val="center"/>
            <w:textDirection w:val="lrTb"/>
            <w:noWrap w:val="false"/>
          </w:tcPr>
          <w:p>
            <w:pPr>
              <w:spacing w:line="44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7</w:t>
            </w:r>
            <w:r/>
          </w:p>
        </w:tc>
        <w:tc>
          <w:tcPr>
            <w:tcW w:w="1866" w:type="dxa"/>
            <w:vAlign w:val="center"/>
            <w:textDirection w:val="lrTb"/>
            <w:noWrap w:val="false"/>
          </w:tcPr>
          <w:p>
            <w:pPr>
              <w:spacing w:line="44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安全保障</w:t>
            </w:r>
            <w:r/>
          </w:p>
        </w:tc>
        <w:tc>
          <w:tcPr>
            <w:tcW w:w="3148" w:type="dxa"/>
            <w:vAlign w:val="center"/>
            <w:textDirection w:val="lrTb"/>
            <w:noWrap w:val="false"/>
          </w:tcPr>
          <w:p>
            <w:pPr>
              <w:spacing w:line="44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从网络安全、数据安全、应用安全、运维安全等维度系统性地保护数据的保密性、完整性与可用性，满足系统安全合规运行要求。</w:t>
            </w:r>
            <w:r/>
          </w:p>
        </w:tc>
        <w:tc>
          <w:tcPr>
            <w:tcW w:w="2758" w:type="dxa"/>
            <w:vAlign w:val="center"/>
            <w:textDirection w:val="lrTb"/>
            <w:noWrap w:val="false"/>
          </w:tcPr>
          <w:p>
            <w:pPr>
              <w:spacing w:line="44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符合GB/T 22239-2019《信息安全技术 网络安全等级保护基本要求》、GB/T 35273-2020《信息安全技术 个人信息安全规范》及GB/T 41479-2022《信息安全技术 网络数据处理安全要求》相关要求；建立数据分级分类与访问控制机制，安全事件可追溯。</w:t>
            </w:r>
            <w:r/>
          </w:p>
        </w:tc>
      </w:tr>
      <w:tr>
        <w:trPr>
          <w:trHeight w:val="1200"/>
        </w:trPr>
        <w:tc>
          <w:tcPr>
            <w:tcW w:w="704" w:type="dxa"/>
            <w:vAlign w:val="center"/>
            <w:textDirection w:val="lrTb"/>
            <w:noWrap w:val="false"/>
          </w:tcPr>
          <w:p>
            <w:pPr>
              <w:spacing w:line="44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四</w:t>
            </w:r>
            <w:r/>
          </w:p>
        </w:tc>
        <w:tc>
          <w:tcPr>
            <w:tcW w:w="1866" w:type="dxa"/>
            <w:vAlign w:val="center"/>
            <w:textDirection w:val="lrTb"/>
            <w:noWrap w:val="false"/>
          </w:tcPr>
          <w:p>
            <w:pPr>
              <w:spacing w:line="44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模型微调与测试优化</w:t>
            </w:r>
            <w:r/>
          </w:p>
        </w:tc>
        <w:tc>
          <w:tcPr>
            <w:tcW w:w="3148" w:type="dxa"/>
            <w:vAlign w:val="center"/>
            <w:textDirection w:val="lrTb"/>
            <w:noWrap w:val="false"/>
          </w:tcPr>
          <w:p>
            <w:pPr>
              <w:spacing w:line="44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面向查人找物等执行业务场景，构建测试与训练数据集，开展模型评估、数据标注与训练优化，持续提升智能模型的业务适配能力与效果。</w:t>
            </w:r>
            <w:r/>
          </w:p>
        </w:tc>
        <w:tc>
          <w:tcPr>
            <w:tcW w:w="2758" w:type="dxa"/>
            <w:vAlign w:val="center"/>
            <w:textDirection w:val="lrTb"/>
            <w:noWrap w:val="false"/>
          </w:tcPr>
          <w:p>
            <w:pPr>
              <w:spacing w:line="44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形成覆盖查人找物场景的测试集与训练数据集，建立模型评估与迭代优化机制；测试集、训练集、验证集按规范划分。</w:t>
            </w:r>
            <w:r/>
          </w:p>
        </w:tc>
      </w:tr>
      <w:tr>
        <w:trPr>
          <w:trHeight w:val="2277"/>
        </w:trPr>
        <w:tc>
          <w:tcPr>
            <w:tcW w:w="704" w:type="dxa"/>
            <w:vAlign w:val="center"/>
            <w:textDirection w:val="lrTb"/>
            <w:noWrap w:val="false"/>
          </w:tcPr>
          <w:p>
            <w:pPr>
              <w:spacing w:line="44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1</w:t>
            </w:r>
            <w:r/>
          </w:p>
        </w:tc>
        <w:tc>
          <w:tcPr>
            <w:tcW w:w="1866" w:type="dxa"/>
            <w:vAlign w:val="center"/>
            <w:textDirection w:val="lrTb"/>
            <w:noWrap w:val="false"/>
          </w:tcPr>
          <w:p>
            <w:pPr>
              <w:spacing w:line="44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模型评估与分析</w:t>
            </w:r>
            <w:r/>
          </w:p>
        </w:tc>
        <w:tc>
          <w:tcPr>
            <w:tcW w:w="3148" w:type="dxa"/>
            <w:vAlign w:val="center"/>
            <w:textDirection w:val="lrTb"/>
            <w:noWrap w:val="false"/>
          </w:tcPr>
          <w:p>
            <w:pPr>
              <w:spacing w:line="44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构建测试集，对基础模型在支撑查人找物具体业务方面的准确率、召回率、响应时间等指标进行测试，形成模型评估报告。</w:t>
            </w:r>
            <w:r/>
          </w:p>
        </w:tc>
        <w:tc>
          <w:tcPr>
            <w:tcW w:w="2758" w:type="dxa"/>
            <w:vAlign w:val="center"/>
            <w:textDirection w:val="lrTb"/>
            <w:noWrap w:val="false"/>
          </w:tcPr>
          <w:p>
            <w:pPr>
              <w:spacing w:line="44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测试集：构建业务测试样本不少于1万条，覆盖查人找物相关场景；搭建业务相关知识库，收录有效向量数不少于2万条</w:t>
            </w:r>
            <w:r/>
          </w:p>
        </w:tc>
      </w:tr>
      <w:tr>
        <w:trPr>
          <w:trHeight w:val="1748"/>
        </w:trPr>
        <w:tc>
          <w:tcPr>
            <w:tcW w:w="704" w:type="dxa"/>
            <w:vAlign w:val="center"/>
            <w:textDirection w:val="lrTb"/>
            <w:noWrap w:val="false"/>
          </w:tcPr>
          <w:p>
            <w:pPr>
              <w:spacing w:line="44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2</w:t>
            </w:r>
            <w:r/>
          </w:p>
        </w:tc>
        <w:tc>
          <w:tcPr>
            <w:tcW w:w="1866" w:type="dxa"/>
            <w:vAlign w:val="center"/>
            <w:textDirection w:val="lrTb"/>
            <w:noWrap w:val="false"/>
          </w:tcPr>
          <w:p>
            <w:pPr>
              <w:spacing w:line="44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数据标注</w:t>
            </w:r>
            <w:r/>
          </w:p>
        </w:tc>
        <w:tc>
          <w:tcPr>
            <w:tcW w:w="3148" w:type="dxa"/>
            <w:vAlign w:val="center"/>
            <w:textDirection w:val="lrTb"/>
            <w:noWrap w:val="false"/>
          </w:tcPr>
          <w:p>
            <w:pPr>
              <w:spacing w:line="44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收集足量的司法场景相关数据，进行标注和整理，形成适合模型优化的训练数据集。</w:t>
            </w:r>
            <w:r/>
          </w:p>
        </w:tc>
        <w:tc>
          <w:tcPr>
            <w:tcW w:w="2758" w:type="dxa"/>
            <w:vAlign w:val="center"/>
            <w:textDirection w:val="lrTb"/>
            <w:noWrap w:val="false"/>
          </w:tcPr>
          <w:p>
            <w:pPr>
              <w:spacing w:line="44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数据标注：完成业务相关标注数据不少于2万条，含实体、关系、意图多维度标注</w:t>
            </w:r>
            <w:r/>
          </w:p>
        </w:tc>
      </w:tr>
      <w:tr>
        <w:trPr>
          <w:trHeight w:val="3199"/>
        </w:trPr>
        <w:tc>
          <w:tcPr>
            <w:tcW w:w="704" w:type="dxa"/>
            <w:vAlign w:val="center"/>
            <w:textDirection w:val="lrTb"/>
            <w:noWrap w:val="false"/>
          </w:tcPr>
          <w:p>
            <w:pPr>
              <w:spacing w:line="44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3</w:t>
            </w:r>
            <w:r/>
          </w:p>
        </w:tc>
        <w:tc>
          <w:tcPr>
            <w:tcW w:w="1866" w:type="dxa"/>
            <w:vAlign w:val="center"/>
            <w:textDirection w:val="lrTb"/>
            <w:noWrap w:val="false"/>
          </w:tcPr>
          <w:p>
            <w:pPr>
              <w:spacing w:line="44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模型训练与优化</w:t>
            </w:r>
            <w:r/>
          </w:p>
        </w:tc>
        <w:tc>
          <w:tcPr>
            <w:tcW w:w="3148" w:type="dxa"/>
            <w:vAlign w:val="center"/>
            <w:textDirection w:val="lrTb"/>
            <w:noWrap w:val="false"/>
          </w:tcPr>
          <w:p>
            <w:pPr>
              <w:spacing w:line="44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对智能模型进行优化训练，调整模型的参数和超参数，优化模型的网络结构，使其更好地适应司法场景的数据特点和业务需求，建立模型版本管理与效果对比机制，形成可持续迭代优化的训练流程。</w:t>
            </w:r>
            <w:r/>
          </w:p>
        </w:tc>
        <w:tc>
          <w:tcPr>
            <w:tcW w:w="2758" w:type="dxa"/>
            <w:vAlign w:val="center"/>
            <w:textDirection w:val="lrTb"/>
            <w:noWrap w:val="false"/>
          </w:tcPr>
          <w:p>
            <w:pPr>
              <w:spacing w:line="440" w:lineRule="exact"/>
              <w:rPr>
                <w:rFonts w:hint="eastAsia" w:asciiTheme="minorEastAsia" w:hAnsiTheme="minorEastAsia" w:cstheme="minorEastAsia"/>
                <w:sz w:val="24"/>
                <w:szCs w:val="24"/>
              </w:rPr>
            </w:pPr>
            <w:r>
              <w:rPr>
                <w:rFonts w:hint="eastAsia" w:asciiTheme="minorEastAsia" w:hAnsiTheme="minorEastAsia" w:cstheme="minorEastAsia"/>
                <w:sz w:val="24"/>
                <w:szCs w:val="24"/>
              </w:rPr>
              <w:t xml:space="preserve">模型训练配套算力服务要求：本项目数据敏感，投标人须提供独占专用服务器承载模型训练任务；算力资源不低于 4P（FP16 稀疏算力），需保障算力运行稳定可靠、软硬件系统兼容性良好。算力资源独占使用时长不少于3个月。项目模型训练工作完成后，投标人应完成项目全部相关数据的清理、销毁处理，不得留存项目敏感数据。</w:t>
            </w:r>
            <w:r/>
          </w:p>
          <w:p>
            <w:pPr>
              <w:spacing w:line="44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建立模型版本管理与效果评估机制；模型迭代过程留痕可追溯，效果需满足业务应用要求；支持模型多版本并存与一键回退。</w:t>
            </w:r>
            <w:r/>
          </w:p>
        </w:tc>
      </w:tr>
    </w:tbl>
    <w:p>
      <w:pPr>
        <w:ind w:firstLine="482"/>
        <w:spacing w:line="360" w:lineRule="auto"/>
        <w:rPr>
          <w:rFonts w:asciiTheme="minorEastAsia" w:hAnsiTheme="minorEastAsia" w:cstheme="minorEastAsia"/>
          <w:b/>
          <w:bCs/>
          <w:sz w:val="24"/>
          <w:szCs w:val="24"/>
        </w:rPr>
      </w:pPr>
      <w:r>
        <w:rPr>
          <w:rFonts w:hint="eastAsia" w:asciiTheme="minorEastAsia" w:hAnsiTheme="minorEastAsia" w:cstheme="minorEastAsia"/>
          <w:b/>
          <w:bCs/>
          <w:sz w:val="24"/>
          <w:szCs w:val="24"/>
        </w:rPr>
        <w:t xml:space="preserve">三、人员配备要求</w:t>
      </w:r>
      <w:r/>
    </w:p>
    <w:p>
      <w:pPr>
        <w:ind w:firstLine="480"/>
        <w:spacing w:line="360" w:lineRule="auto"/>
        <w:rPr>
          <w:rFonts w:asciiTheme="minorEastAsia" w:hAnsiTheme="minorEastAsia" w:cstheme="minorEastAsia"/>
          <w:sz w:val="24"/>
          <w:szCs w:val="24"/>
        </w:rPr>
      </w:pPr>
      <w:r>
        <w:rPr>
          <w:rFonts w:hint="eastAsia" w:asciiTheme="minorEastAsia" w:hAnsiTheme="minorEastAsia" w:cstheme="minorEastAsia"/>
          <w:sz w:val="24"/>
          <w:szCs w:val="24"/>
        </w:rPr>
        <w:t xml:space="preserve">针对本项目组建技术服务团队，项目组成员不少于3人，包括项目负责人1</w:t>
      </w:r>
      <w:r>
        <w:rPr>
          <w:rFonts w:hint="eastAsia" w:asciiTheme="minorEastAsia" w:hAnsiTheme="minorEastAsia" w:cstheme="minorEastAsia"/>
          <w:sz w:val="24"/>
          <w:szCs w:val="24"/>
        </w:rPr>
        <w:t xml:space="preserve">人，具备信息系统架构设计能力；项目团队成员2人，具备系统开发和信息安全能力。</w:t>
      </w:r>
      <w:r/>
    </w:p>
    <w:p>
      <w:pPr>
        <w:ind w:firstLine="480"/>
        <w:spacing w:line="360" w:lineRule="auto"/>
        <w:rPr>
          <w:rFonts w:asciiTheme="minorEastAsia" w:hAnsiTheme="minorEastAsia" w:cstheme="minorEastAsia"/>
          <w:sz w:val="24"/>
          <w:szCs w:val="24"/>
        </w:rPr>
      </w:pPr>
      <w:r>
        <w:rPr>
          <w:rFonts w:hint="eastAsia" w:asciiTheme="minorEastAsia" w:hAnsiTheme="minorEastAsia" w:cstheme="minorEastAsia"/>
          <w:sz w:val="24"/>
          <w:szCs w:val="24"/>
        </w:rPr>
        <w:t xml:space="preserve">项目负责人1名，协调各种资源，对项目整体负责。包括负责制定项目计划、项目的管理、系统架构、质量保证过程，确保客户的成本、进度、绩效和质量目标。</w:t>
      </w:r>
      <w:r/>
    </w:p>
    <w:p>
      <w:pPr>
        <w:ind w:firstLine="480"/>
        <w:spacing w:line="360" w:lineRule="auto"/>
        <w:rPr>
          <w:rFonts w:asciiTheme="minorEastAsia" w:hAnsiTheme="minorEastAsia" w:cstheme="minorEastAsia"/>
          <w:sz w:val="24"/>
          <w:szCs w:val="24"/>
        </w:rPr>
      </w:pPr>
      <w:r>
        <w:rPr>
          <w:rFonts w:hint="eastAsia" w:asciiTheme="minorEastAsia" w:hAnsiTheme="minorEastAsia" w:cstheme="minorEastAsia"/>
          <w:sz w:val="24"/>
          <w:szCs w:val="24"/>
        </w:rPr>
        <w:t xml:space="preserve">项目实施团队人员2人，为专业技术人员，负责系统开发、系统测试、培训、试运行等，且配合项目管理团队人员完成项目验收工作，处理项目中的信息安全问题，节假日及重大活动期间的平台保障服务。其中包含现场驻场人员1名，负责系统需求、测试与运维。驻场服务已包含在预算金额内，采购人不另行支付。</w:t>
      </w:r>
      <w:r/>
    </w:p>
    <w:p>
      <w:pPr>
        <w:ind w:firstLine="482"/>
        <w:spacing w:line="360" w:lineRule="auto"/>
        <w:rPr>
          <w:rFonts w:asciiTheme="minorEastAsia" w:hAnsiTheme="minorEastAsia" w:cstheme="minorEastAsia"/>
          <w:b/>
          <w:bCs/>
          <w:sz w:val="24"/>
          <w:szCs w:val="24"/>
        </w:rPr>
      </w:pPr>
      <w:r>
        <w:rPr>
          <w:rFonts w:hint="eastAsia" w:asciiTheme="minorEastAsia" w:hAnsiTheme="minorEastAsia" w:cstheme="minorEastAsia"/>
          <w:b/>
          <w:bCs/>
          <w:sz w:val="24"/>
          <w:szCs w:val="24"/>
        </w:rPr>
        <w:t xml:space="preserve">四、服务期限</w:t>
      </w:r>
      <w:r/>
    </w:p>
    <w:p>
      <w:pPr>
        <w:ind w:firstLine="482"/>
        <w:spacing w:line="360" w:lineRule="auto"/>
        <w:rPr>
          <w:rFonts w:asciiTheme="minorEastAsia" w:hAnsiTheme="minorEastAsia" w:cstheme="minorEastAsia"/>
          <w:b/>
          <w:bCs/>
          <w:i/>
          <w:iCs/>
          <w:sz w:val="24"/>
          <w:szCs w:val="24"/>
          <w:u w:val="single"/>
        </w:rPr>
      </w:pPr>
      <w:r>
        <w:rPr>
          <w:rFonts w:hint="eastAsia" w:asciiTheme="minorEastAsia" w:hAnsiTheme="minorEastAsia" w:cstheme="minorEastAsia"/>
          <w:b/>
          <w:bCs/>
          <w:i/>
          <w:iCs/>
          <w:sz w:val="24"/>
          <w:szCs w:val="24"/>
          <w:u w:val="single"/>
        </w:rPr>
        <w:t xml:space="preserve">服务期限：合同签订后90日内完成平台研发及上线测试，并通过验收，验收通过后提供12个月驻场服务。</w:t>
      </w:r>
      <w:r/>
    </w:p>
    <w:p>
      <w:pPr>
        <w:ind w:firstLine="482"/>
        <w:spacing w:line="360" w:lineRule="auto"/>
        <w:rPr>
          <w:rFonts w:asciiTheme="minorEastAsia" w:hAnsiTheme="minorEastAsia" w:cstheme="minorEastAsia"/>
          <w:b/>
          <w:bCs/>
          <w:sz w:val="24"/>
          <w:szCs w:val="24"/>
        </w:rPr>
      </w:pPr>
      <w:r>
        <w:rPr>
          <w:rFonts w:hint="eastAsia" w:asciiTheme="minorEastAsia" w:hAnsiTheme="minorEastAsia" w:cstheme="minorEastAsia"/>
          <w:b/>
          <w:bCs/>
          <w:sz w:val="24"/>
          <w:szCs w:val="24"/>
        </w:rPr>
        <w:t xml:space="preserve">五、服务标准</w:t>
      </w:r>
      <w:r/>
    </w:p>
    <w:p>
      <w:pPr>
        <w:ind w:firstLine="482"/>
        <w:spacing w:line="360" w:lineRule="auto"/>
        <w:rPr>
          <w:rFonts w:asciiTheme="minorEastAsia" w:hAnsiTheme="minorEastAsia" w:cstheme="minorEastAsia"/>
          <w:b/>
          <w:bCs/>
          <w:sz w:val="24"/>
          <w:szCs w:val="24"/>
        </w:rPr>
      </w:pPr>
      <w:r>
        <w:rPr>
          <w:rFonts w:hint="eastAsia" w:asciiTheme="minorEastAsia" w:hAnsiTheme="minorEastAsia" w:cstheme="minorEastAsia"/>
          <w:b/>
          <w:bCs/>
          <w:i/>
          <w:iCs/>
          <w:sz w:val="24"/>
          <w:szCs w:val="24"/>
          <w:u w:val="single"/>
        </w:rPr>
        <w:t xml:space="preserve">维护服务期内，提供维护、技术支持及软件升级等售后服务，包括对各种故障及对各种突发事件采取应急措施等。</w:t>
      </w:r>
      <w:r/>
    </w:p>
    <w:p>
      <w:pPr>
        <w:ind w:firstLine="482"/>
        <w:spacing w:line="360" w:lineRule="auto"/>
        <w:rPr>
          <w:rFonts w:asciiTheme="minorEastAsia" w:hAnsiTheme="minorEastAsia" w:cstheme="minorEastAsia"/>
          <w:b/>
          <w:bCs/>
          <w:sz w:val="24"/>
          <w:szCs w:val="24"/>
        </w:rPr>
      </w:pPr>
      <w:r>
        <w:rPr>
          <w:rFonts w:hint="eastAsia" w:asciiTheme="minorEastAsia" w:hAnsiTheme="minorEastAsia" w:cstheme="minorEastAsia"/>
          <w:b/>
          <w:bCs/>
          <w:i/>
          <w:iCs/>
          <w:sz w:val="24"/>
          <w:szCs w:val="24"/>
          <w:u w:val="single"/>
        </w:rPr>
        <w:t xml:space="preserve">在维护期内须提供以下形式的技术支持及服务：</w:t>
      </w:r>
      <w:r/>
    </w:p>
    <w:p>
      <w:pPr>
        <w:ind w:firstLine="482"/>
        <w:spacing w:line="360" w:lineRule="auto"/>
        <w:rPr>
          <w:rFonts w:asciiTheme="minorEastAsia" w:hAnsiTheme="minorEastAsia" w:cstheme="minorEastAsia"/>
          <w:b/>
          <w:bCs/>
          <w:i/>
          <w:iCs/>
          <w:sz w:val="24"/>
          <w:szCs w:val="24"/>
          <w:u w:val="single"/>
        </w:rPr>
      </w:pPr>
      <w:r>
        <w:rPr>
          <w:rFonts w:hint="eastAsia" w:asciiTheme="minorEastAsia" w:hAnsiTheme="minorEastAsia" w:cstheme="minorEastAsia"/>
          <w:b/>
          <w:bCs/>
          <w:i/>
          <w:iCs/>
          <w:sz w:val="24"/>
          <w:szCs w:val="24"/>
          <w:u w:val="single"/>
        </w:rPr>
        <w:t xml:space="preserve">1.提供7*24小时技术援助电话或电子邮件等线上服务，解答用户在系统使用中遇到的问题，及时提出解决问题的建议和操作方法。</w:t>
      </w:r>
      <w:r/>
    </w:p>
    <w:p>
      <w:pPr>
        <w:ind w:firstLine="482"/>
        <w:spacing w:line="360" w:lineRule="auto"/>
        <w:rPr>
          <w:rFonts w:asciiTheme="minorEastAsia" w:hAnsiTheme="minorEastAsia" w:cstheme="minorEastAsia"/>
          <w:b/>
          <w:bCs/>
          <w:i/>
          <w:iCs/>
          <w:sz w:val="24"/>
          <w:szCs w:val="24"/>
          <w:u w:val="single"/>
        </w:rPr>
      </w:pPr>
      <w:r>
        <w:rPr>
          <w:rFonts w:hint="eastAsia" w:asciiTheme="minorEastAsia" w:hAnsiTheme="minorEastAsia" w:cstheme="minorEastAsia"/>
          <w:b/>
          <w:bCs/>
          <w:i/>
          <w:iCs/>
          <w:sz w:val="24"/>
          <w:szCs w:val="24"/>
          <w:u w:val="single"/>
        </w:rPr>
        <w:t xml:space="preserve">2.应建立故障分级处理机制，对影响业务办理的重大故障应立即升级处理，并持续向采购人反馈处置进展。</w:t>
      </w:r>
      <w:r/>
    </w:p>
    <w:p>
      <w:pPr>
        <w:ind w:firstLine="482"/>
        <w:spacing w:line="360" w:lineRule="auto"/>
        <w:rPr>
          <w:rFonts w:asciiTheme="minorEastAsia" w:hAnsiTheme="minorEastAsia" w:cstheme="minorEastAsia"/>
          <w:b/>
          <w:bCs/>
          <w:i/>
          <w:iCs/>
          <w:sz w:val="24"/>
          <w:szCs w:val="24"/>
          <w:u w:val="single"/>
        </w:rPr>
      </w:pPr>
      <w:r>
        <w:rPr>
          <w:rFonts w:hint="eastAsia" w:asciiTheme="minorEastAsia" w:hAnsiTheme="minorEastAsia" w:cstheme="minorEastAsia"/>
          <w:b/>
          <w:bCs/>
          <w:i/>
          <w:iCs/>
          <w:sz w:val="24"/>
          <w:szCs w:val="24"/>
          <w:u w:val="single"/>
        </w:rPr>
        <w:t xml:space="preserve">3.应定期开展系统巡检、日志检查、接口连通性检查、数据备份检查、性能检查和安全补丁建议，并形成维护服务记录。</w:t>
      </w:r>
      <w:r/>
    </w:p>
    <w:p>
      <w:pPr>
        <w:ind w:firstLine="482"/>
        <w:spacing w:line="360" w:lineRule="auto"/>
        <w:rPr>
          <w:rFonts w:asciiTheme="minorEastAsia" w:hAnsiTheme="minorEastAsia" w:cstheme="minorEastAsia"/>
          <w:b/>
          <w:bCs/>
          <w:i/>
          <w:iCs/>
          <w:sz w:val="24"/>
          <w:szCs w:val="24"/>
          <w:u w:val="single"/>
        </w:rPr>
      </w:pPr>
      <w:r>
        <w:rPr>
          <w:rFonts w:hint="eastAsia" w:asciiTheme="minorEastAsia" w:hAnsiTheme="minorEastAsia" w:cstheme="minorEastAsia"/>
          <w:b/>
          <w:bCs/>
          <w:i/>
          <w:iCs/>
          <w:sz w:val="24"/>
          <w:szCs w:val="24"/>
          <w:u w:val="single"/>
        </w:rPr>
        <w:t xml:space="preserve">4.维护期内因政策调整、材料模板优化、接口字段微调等引起的合理配置调整和缺陷修复，应纳入维护服务范围。</w:t>
      </w:r>
      <w:r/>
    </w:p>
    <w:p>
      <w:pPr>
        <w:ind w:firstLine="482"/>
        <w:spacing w:line="360" w:lineRule="auto"/>
        <w:rPr>
          <w:rFonts w:asciiTheme="minorEastAsia" w:hAnsiTheme="minorEastAsia" w:cstheme="minorEastAsia"/>
          <w:b/>
          <w:bCs/>
          <w:i/>
          <w:iCs/>
          <w:sz w:val="24"/>
          <w:szCs w:val="24"/>
          <w:u w:val="single"/>
        </w:rPr>
      </w:pPr>
      <w:r>
        <w:rPr>
          <w:rFonts w:hint="eastAsia" w:asciiTheme="minorEastAsia" w:hAnsiTheme="minorEastAsia" w:cstheme="minorEastAsia"/>
          <w:b/>
          <w:bCs/>
          <w:i/>
          <w:iCs/>
          <w:sz w:val="24"/>
          <w:szCs w:val="24"/>
          <w:u w:val="single"/>
        </w:rPr>
        <w:t xml:space="preserve">5.维护期满前，中标人应提交维护总结、版本清单、遗留问题清单、备份恢复说明和后续服务建议。</w:t>
      </w:r>
      <w:r/>
    </w:p>
    <w:p>
      <w:pPr>
        <w:ind w:firstLine="482"/>
        <w:spacing w:line="360" w:lineRule="auto"/>
        <w:rPr>
          <w:rFonts w:ascii="宋体" w:hAnsi="宋体" w:eastAsia="宋体" w:cs="宋体"/>
          <w:b/>
          <w:bCs/>
          <w:sz w:val="24"/>
          <w:szCs w:val="24"/>
        </w:rPr>
      </w:pPr>
      <w:r>
        <w:rPr>
          <w:rFonts w:hint="eastAsia" w:ascii="宋体" w:hAnsi="宋体" w:eastAsia="宋体" w:cs="宋体"/>
          <w:b/>
          <w:bCs/>
          <w:sz w:val="24"/>
          <w:szCs w:val="24"/>
        </w:rPr>
        <w:t xml:space="preserve">六、培训要求</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1.培训内容及目的</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对采购人单位相关使用人员进行全面的技术培训，主要内容侧重于系统的使</w:t>
      </w:r>
      <w:r>
        <w:rPr>
          <w:rFonts w:hint="eastAsia" w:ascii="宋体" w:hAnsi="宋体" w:eastAsia="宋体" w:cs="宋体"/>
          <w:sz w:val="24"/>
          <w:szCs w:val="24"/>
        </w:rPr>
        <w:t xml:space="preserve">用及系统的基本维护、常见问题及解决办法等，保证使用人员能独立进行日常维护管理和简易故障处理等工作，以便所使用的软件产品能够正常、安全地运行。 </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2.培训对象</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为系统管理员和系统使用人员，中标人需提供培训教材，并提供理论与实操相结合的多样化培训方式。采购人负责对培训质量的监控，并有权对培训内容提出改正意见。</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3.培训方式</w:t>
      </w:r>
      <w:r/>
    </w:p>
    <w:p>
      <w:pPr>
        <w:ind w:firstLine="480"/>
        <w:spacing w:line="360" w:lineRule="auto"/>
        <w:rPr>
          <w:rFonts w:ascii="宋体" w:hAnsi="宋体" w:eastAsia="宋体" w:cs="宋体"/>
          <w:b/>
          <w:bCs/>
          <w:sz w:val="24"/>
          <w:szCs w:val="24"/>
        </w:rPr>
      </w:pPr>
      <w:r>
        <w:rPr>
          <w:rFonts w:hint="eastAsia" w:ascii="宋体" w:hAnsi="宋体" w:eastAsia="宋体" w:cs="宋体"/>
          <w:sz w:val="24"/>
          <w:szCs w:val="24"/>
        </w:rPr>
        <w:t xml:space="preserve">培训方式采用集中培训、现场培训相结合的方式，针对不同层次的人员，开设不同的培训课程和确定培训方式。</w:t>
      </w:r>
      <w:r/>
    </w:p>
    <w:p>
      <w:pPr>
        <w:ind w:firstLine="482"/>
        <w:spacing w:line="360" w:lineRule="auto"/>
        <w:rPr>
          <w:rFonts w:ascii="宋体" w:hAnsi="宋体" w:eastAsia="宋体" w:cs="宋体"/>
          <w:b/>
          <w:bCs/>
          <w:sz w:val="24"/>
          <w:szCs w:val="24"/>
        </w:rPr>
      </w:pPr>
      <w:r>
        <w:rPr>
          <w:rFonts w:hint="eastAsia" w:ascii="宋体" w:hAnsi="宋体" w:eastAsia="宋体" w:cs="宋体"/>
          <w:b/>
          <w:bCs/>
          <w:sz w:val="24"/>
          <w:szCs w:val="24"/>
        </w:rPr>
        <w:t xml:space="preserve">七、系统对接要求</w:t>
      </w:r>
      <w:r/>
    </w:p>
    <w:p>
      <w:pPr>
        <w:ind w:firstLine="482"/>
        <w:spacing w:line="360" w:lineRule="auto"/>
        <w:rPr>
          <w:rFonts w:hint="eastAsia" w:asciiTheme="minorEastAsia" w:hAnsiTheme="minorEastAsia" w:cstheme="minorEastAsia"/>
          <w:sz w:val="24"/>
          <w:szCs w:val="24"/>
        </w:rPr>
      </w:pPr>
      <w:r>
        <w:rPr>
          <w:rFonts w:hint="eastAsia" w:asciiTheme="minorEastAsia" w:hAnsiTheme="minorEastAsia" w:cstheme="minorEastAsia"/>
          <w:sz w:val="24"/>
          <w:szCs w:val="24"/>
        </w:rPr>
        <w:t xml:space="preserve">本项目为“斥候”二期系统建设，须基于一期现有系统开展功能扩展与能力升级。投标人如需了解一期项目相关情况，可在报名后3个工作日内，联系采购人代表沈秋明（联系电话：0518-85295188）、谢媛媛（联系电话：0518-85295307）获取项目纸质材料，需提供投标人授权委托函并签订保密承诺书。</w:t>
      </w:r>
      <w:r/>
    </w:p>
    <w:p>
      <w:pPr>
        <w:ind w:firstLine="482"/>
        <w:spacing w:line="360" w:lineRule="auto"/>
        <w:rPr>
          <w:rFonts w:asciiTheme="minorEastAsia" w:hAnsiTheme="minorEastAsia" w:cstheme="minorEastAsia"/>
          <w:sz w:val="24"/>
          <w:szCs w:val="24"/>
        </w:rPr>
      </w:pPr>
      <w:r>
        <w:rPr>
          <w:rFonts w:hint="eastAsia" w:asciiTheme="minorEastAsia" w:hAnsiTheme="minorEastAsia" w:cstheme="minorEastAsia"/>
          <w:sz w:val="24"/>
          <w:szCs w:val="24"/>
        </w:rPr>
        <w:t xml:space="preserve">中标人应确保所开发的软件系统能够与一期“斥候”系统实现无缝对接，具体要求如下：</w:t>
      </w:r>
      <w:r/>
    </w:p>
    <w:p>
      <w:pPr>
        <w:ind w:firstLine="482"/>
        <w:spacing w:line="360" w:lineRule="auto"/>
        <w:rPr>
          <w:rFonts w:asciiTheme="minorEastAsia" w:hAnsiTheme="minorEastAsia" w:cstheme="minorEastAsia"/>
          <w:sz w:val="24"/>
          <w:szCs w:val="24"/>
        </w:rPr>
      </w:pPr>
      <w:r>
        <w:rPr>
          <w:rFonts w:hint="eastAsia" w:asciiTheme="minorEastAsia" w:hAnsiTheme="minorEastAsia" w:cstheme="minorEastAsia"/>
          <w:sz w:val="24"/>
          <w:szCs w:val="24"/>
        </w:rPr>
        <w:t xml:space="preserve">1.中标人应在合同签订后15日内，完成与一期“斥候”系统的对接方案设计，明确数据接口、服务接口、用户体系对接等技术路径，并提交采购人审核确认。</w:t>
      </w:r>
      <w:r/>
    </w:p>
    <w:p>
      <w:pPr>
        <w:ind w:firstLine="482"/>
        <w:spacing w:line="360" w:lineRule="auto"/>
        <w:rPr>
          <w:rFonts w:asciiTheme="minorEastAsia" w:hAnsiTheme="minorEastAsia" w:cstheme="minorEastAsia"/>
          <w:sz w:val="24"/>
          <w:szCs w:val="24"/>
        </w:rPr>
      </w:pPr>
      <w:r>
        <w:rPr>
          <w:rFonts w:hint="eastAsia" w:asciiTheme="minorEastAsia" w:hAnsiTheme="minorEastAsia" w:cstheme="minorEastAsia"/>
          <w:sz w:val="24"/>
          <w:szCs w:val="24"/>
        </w:rPr>
        <w:t xml:space="preserve">2.中标人应保证二期系统与一期系统在数据层面实现互通，包括但不限于被执行人基础数据、案件数据、查控结果数据等的双向交换与同步，确保数据一致性和完整性。</w:t>
      </w:r>
      <w:r/>
    </w:p>
    <w:p>
      <w:pPr>
        <w:ind w:firstLine="482"/>
        <w:spacing w:line="360" w:lineRule="auto"/>
        <w:rPr>
          <w:rFonts w:asciiTheme="minorEastAsia" w:hAnsiTheme="minorEastAsia" w:cstheme="minorEastAsia"/>
          <w:b/>
          <w:bCs/>
          <w:sz w:val="24"/>
          <w:szCs w:val="24"/>
        </w:rPr>
      </w:pPr>
      <w:r>
        <w:rPr>
          <w:rFonts w:hint="eastAsia" w:asciiTheme="minorEastAsia" w:hAnsiTheme="minorEastAsia" w:cstheme="minorEastAsia"/>
          <w:sz w:val="24"/>
          <w:szCs w:val="24"/>
        </w:rPr>
        <w:t xml:space="preserve">3.合同签订后15日内未能完成对接方案审核，或对接方案经采购人审核不通过且未在限期内完成整改的，采购人有权解除合同，中标人应向采购人支付合同总金额10%的违约金。因违约给采购人造成损失的，超出违约金部分由中标人继续承担赔偿责任。</w:t>
      </w:r>
      <w:r/>
    </w:p>
    <w:p>
      <w:pPr>
        <w:ind w:firstLine="482"/>
        <w:spacing w:line="360" w:lineRule="auto"/>
        <w:rPr>
          <w:rFonts w:ascii="宋体" w:hAnsi="宋体" w:eastAsia="宋体" w:cs="宋体"/>
          <w:b/>
          <w:bCs/>
          <w:sz w:val="24"/>
          <w:szCs w:val="24"/>
        </w:rPr>
      </w:pPr>
      <w:r>
        <w:rPr>
          <w:rFonts w:hint="eastAsia" w:ascii="宋体" w:hAnsi="宋体" w:eastAsia="宋体" w:cs="宋体"/>
          <w:b/>
          <w:bCs/>
          <w:sz w:val="24"/>
          <w:szCs w:val="24"/>
        </w:rPr>
        <w:t xml:space="preserve">八、知识产权归属和处理方式</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1.根据本合同产生的开发成果（包括但不限于软件产品、全部源代码、技术文档、设计文档、数据库结构、算法模型、接口规范及以此为基础研发出的其他</w:t>
      </w:r>
      <w:r>
        <w:rPr>
          <w:rFonts w:hint="eastAsia" w:ascii="宋体" w:hAnsi="宋体" w:eastAsia="宋体" w:cs="宋体"/>
          <w:sz w:val="24"/>
          <w:szCs w:val="24"/>
        </w:rPr>
        <w:t xml:space="preserve">技术成果）的知识产权（包括著作权、专利申请权、技术秘密等）全部归采购人所有。</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2.双方确定，采购人有权按照本合同约定提供的研究开发成果，进行后续改进。由此产生的具有实质性或创造性技术进步特征的新的技术成果及其权利归属，其知识产权亦归采购人所有。</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3.保证按照本合同约定提供的研究开发成果及其开发过程不侵犯第三方知识产权，任何第三方如果提出侵权指控时，中标人须与第三方交涉并承担可能发生的一切法律上和经济上的责任。因此给采购人造成损失的，由中标人承担相应的赔偿责任。</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4.项目验收时，中标人须交付全部源代码及相关技术文档，并配合采购人办理软件著作权登记等知识产权确权手续。</w:t>
      </w:r>
      <w:r/>
    </w:p>
    <w:p>
      <w:pPr>
        <w:ind w:firstLine="482"/>
        <w:spacing w:line="360" w:lineRule="auto"/>
        <w:rPr>
          <w:rFonts w:ascii="宋体" w:hAnsi="宋体" w:eastAsia="宋体" w:cs="宋体"/>
          <w:b/>
          <w:bCs/>
          <w:sz w:val="24"/>
          <w:szCs w:val="24"/>
        </w:rPr>
      </w:pPr>
      <w:r>
        <w:rPr>
          <w:rFonts w:hint="eastAsia" w:ascii="宋体" w:hAnsi="宋体" w:eastAsia="宋体" w:cs="宋体"/>
          <w:b/>
          <w:bCs/>
          <w:sz w:val="24"/>
          <w:szCs w:val="24"/>
        </w:rPr>
        <w:t xml:space="preserve">九、履约验收</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采购人依据采购需求、项目合同及中标人响应文件承诺进行验收。验收方式包括但不限于：中标人交付前自查并提交检查清单；针对六大核心业务场景逐一进行现场演示验证；组织业内专家评审或委托第三方测评机构出具检测报告；系统使用人员试用并出具使用意见。以上任何一项未通过的，视为验收不合格。</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2.中标人交付前应对产品或服务做出全面检查和对验收文件进行整理，并列出清单，作为采购人验收和使用的技术条件依据，检验的结果应随服务一起提交甲方。</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3.采购人对中标人提供的产品或服务在使用前，中标人需负责培训采购人的使用操作人员，并协助甲方一起试用，直到符合技术要求，采购人才做最终验收。</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4.采购人可请系统使用人员或组织业内专家进行项目验收，并出具验收报告。</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5.验收时中标人必须在现场，验收完毕后作出验收结果报告；招标文件规定以外的验收费用由招标人及中标人双方协商解决。</w:t>
      </w:r>
      <w:r/>
    </w:p>
    <w:p>
      <w:pPr>
        <w:ind w:firstLine="482"/>
        <w:spacing w:line="360" w:lineRule="auto"/>
        <w:rPr>
          <w:rFonts w:ascii="宋体" w:hAnsi="宋体" w:eastAsia="宋体" w:cs="宋体"/>
          <w:b/>
          <w:bCs/>
          <w:sz w:val="24"/>
          <w:szCs w:val="24"/>
        </w:rPr>
      </w:pPr>
      <w:r>
        <w:rPr>
          <w:rFonts w:hint="eastAsia" w:ascii="宋体" w:hAnsi="宋体" w:eastAsia="宋体" w:cs="宋体"/>
          <w:b/>
          <w:bCs/>
          <w:sz w:val="24"/>
          <w:szCs w:val="24"/>
        </w:rPr>
        <w:t xml:space="preserve">十、付款方式与履约保证金</w:t>
      </w:r>
      <w:r/>
    </w:p>
    <w:p>
      <w:pPr>
        <w:ind w:firstLine="482"/>
        <w:jc w:val="left"/>
        <w:spacing w:line="360" w:lineRule="auto"/>
        <w:rPr>
          <w:rFonts w:cs="Times New Roman" w:asciiTheme="minorEastAsia" w:hAnsiTheme="minorEastAsia"/>
          <w:b/>
          <w:bCs/>
          <w:sz w:val="24"/>
          <w:szCs w:val="24"/>
        </w:rPr>
      </w:pPr>
      <w:r>
        <w:rPr>
          <w:rFonts w:hint="eastAsia" w:cs="Times New Roman" w:asciiTheme="minorEastAsia" w:hAnsiTheme="minorEastAsia"/>
          <w:b/>
          <w:bCs/>
          <w:sz w:val="24"/>
          <w:szCs w:val="24"/>
        </w:rPr>
        <w:t xml:space="preserve">1.付款方式</w:t>
      </w:r>
      <w:r/>
    </w:p>
    <w:p>
      <w:pPr>
        <w:ind w:firstLine="482"/>
        <w:jc w:val="left"/>
        <w:spacing w:line="360" w:lineRule="auto"/>
        <w:rPr>
          <w:rFonts w:cs="Times New Roman" w:asciiTheme="minorEastAsia" w:hAnsiTheme="minorEastAsia"/>
          <w:b/>
          <w:bCs/>
          <w:sz w:val="24"/>
          <w:szCs w:val="24"/>
        </w:rPr>
      </w:pPr>
      <w:r>
        <w:rPr>
          <w:rFonts w:hint="eastAsia" w:ascii="宋体" w:hAnsi="宋体" w:eastAsia="宋体" w:cs="宋体"/>
          <w:b/>
          <w:bCs/>
          <w:i/>
          <w:iCs/>
          <w:color w:val="000000"/>
          <w:sz w:val="24"/>
          <w:szCs w:val="24"/>
          <w:u w:val="single"/>
        </w:rPr>
        <w:t xml:space="preserve">合同签订后</w:t>
      </w:r>
      <w:r>
        <w:rPr>
          <w:rFonts w:ascii="宋体" w:hAnsi="宋体" w:eastAsia="宋体" w:cs="宋体"/>
          <w:b/>
          <w:bCs/>
          <w:i/>
          <w:iCs/>
          <w:color w:val="000000"/>
          <w:sz w:val="24"/>
          <w:szCs w:val="24"/>
          <w:u w:val="single"/>
        </w:rPr>
        <w:t xml:space="preserve">7</w:t>
      </w:r>
      <w:r>
        <w:rPr>
          <w:rFonts w:hint="eastAsia" w:ascii="宋体" w:hAnsi="宋体" w:eastAsia="宋体" w:cs="宋体"/>
          <w:b/>
          <w:bCs/>
          <w:i/>
          <w:iCs/>
          <w:color w:val="000000"/>
          <w:sz w:val="24"/>
          <w:szCs w:val="24"/>
          <w:u w:val="single"/>
        </w:rPr>
        <w:t xml:space="preserve">个工作日内，支付合同金额的3</w:t>
      </w:r>
      <w:r>
        <w:rPr>
          <w:rFonts w:ascii="宋体" w:hAnsi="宋体" w:eastAsia="宋体" w:cs="宋体"/>
          <w:b/>
          <w:bCs/>
          <w:i/>
          <w:iCs/>
          <w:color w:val="000000"/>
          <w:sz w:val="24"/>
          <w:szCs w:val="24"/>
          <w:u w:val="single"/>
        </w:rPr>
        <w:t xml:space="preserve">0%</w:t>
      </w:r>
      <w:r>
        <w:rPr>
          <w:rFonts w:hint="eastAsia" w:ascii="宋体" w:hAnsi="宋体" w:eastAsia="宋体" w:cs="宋体"/>
          <w:b/>
          <w:bCs/>
          <w:i/>
          <w:iCs/>
          <w:color w:val="000000"/>
          <w:sz w:val="24"/>
          <w:szCs w:val="24"/>
          <w:u w:val="single"/>
        </w:rPr>
        <w:t xml:space="preserve">；平台研发初步完成经初步验收合格后支付合同金额的5</w:t>
      </w:r>
      <w:r>
        <w:rPr>
          <w:rFonts w:ascii="宋体" w:hAnsi="宋体" w:eastAsia="宋体" w:cs="宋体"/>
          <w:b/>
          <w:bCs/>
          <w:i/>
          <w:iCs/>
          <w:color w:val="000000"/>
          <w:sz w:val="24"/>
          <w:szCs w:val="24"/>
          <w:u w:val="single"/>
        </w:rPr>
        <w:t xml:space="preserve">0%</w:t>
      </w:r>
      <w:r>
        <w:rPr>
          <w:rFonts w:hint="eastAsia" w:ascii="宋体" w:hAnsi="宋体" w:eastAsia="宋体" w:cs="宋体"/>
          <w:b/>
          <w:bCs/>
          <w:i/>
          <w:iCs/>
          <w:color w:val="000000"/>
          <w:sz w:val="24"/>
          <w:szCs w:val="24"/>
          <w:u w:val="single"/>
        </w:rPr>
        <w:t xml:space="preserve">；正式验收合格后支付合同金额的2</w:t>
      </w:r>
      <w:r>
        <w:rPr>
          <w:rFonts w:ascii="宋体" w:hAnsi="宋体" w:eastAsia="宋体" w:cs="宋体"/>
          <w:b/>
          <w:bCs/>
          <w:i/>
          <w:iCs/>
          <w:color w:val="000000"/>
          <w:sz w:val="24"/>
          <w:szCs w:val="24"/>
          <w:u w:val="single"/>
        </w:rPr>
        <w:t xml:space="preserve">0%</w:t>
      </w:r>
      <w:r>
        <w:rPr>
          <w:rFonts w:hint="eastAsia" w:ascii="宋体" w:hAnsi="宋体" w:eastAsia="宋体" w:cs="宋体"/>
          <w:b/>
          <w:bCs/>
          <w:i/>
          <w:iCs/>
          <w:color w:val="000000"/>
          <w:sz w:val="24"/>
          <w:szCs w:val="24"/>
          <w:u w:val="single"/>
        </w:rPr>
        <w:t xml:space="preserve">。</w:t>
      </w:r>
      <w:r/>
    </w:p>
    <w:p>
      <w:pPr>
        <w:ind w:firstLine="480"/>
        <w:jc w:val="left"/>
        <w:spacing w:line="360" w:lineRule="auto"/>
        <w:rPr>
          <w:rFonts w:cs="Times New Roman" w:asciiTheme="minorEastAsia" w:hAnsiTheme="minorEastAsia"/>
          <w:sz w:val="24"/>
          <w:szCs w:val="24"/>
        </w:rPr>
      </w:pPr>
      <w:r>
        <w:rPr>
          <w:rFonts w:hint="eastAsia" w:cs="Times New Roman" w:asciiTheme="minorEastAsia" w:hAnsiTheme="minorEastAsia"/>
          <w:sz w:val="24"/>
          <w:szCs w:val="24"/>
        </w:rPr>
        <w:t xml:space="preserve">2.履约保证金：本项目不收取履约保证金。</w:t>
      </w:r>
      <w:r/>
    </w:p>
    <w:p>
      <w:pPr>
        <w:ind w:firstLine="482"/>
        <w:jc w:val="left"/>
        <w:spacing w:line="360" w:lineRule="auto"/>
        <w:rPr>
          <w:rFonts w:asciiTheme="minorEastAsia" w:hAnsiTheme="minorEastAsia" w:cstheme="minorEastAsia"/>
          <w:b/>
          <w:bCs/>
          <w:sz w:val="24"/>
          <w:szCs w:val="24"/>
        </w:rPr>
      </w:pPr>
      <w:r>
        <w:rPr>
          <w:rFonts w:hint="eastAsia" w:asciiTheme="minorEastAsia" w:hAnsiTheme="minorEastAsia" w:cstheme="minorEastAsia"/>
          <w:b/>
          <w:bCs/>
          <w:sz w:val="24"/>
          <w:szCs w:val="24"/>
        </w:rPr>
        <w:t xml:space="preserve">十一、报价要求及其他</w:t>
      </w:r>
      <w:r/>
    </w:p>
    <w:p>
      <w:pPr>
        <w:ind w:firstLine="480"/>
        <w:spacing w:line="360" w:lineRule="auto"/>
        <w:rPr>
          <w:rFonts w:asciiTheme="minorEastAsia" w:hAnsiTheme="minorEastAsia" w:cstheme="minorEastAsia"/>
          <w:sz w:val="24"/>
        </w:rPr>
      </w:pPr>
      <w:r>
        <w:rPr>
          <w:rFonts w:hint="eastAsia" w:asciiTheme="minorEastAsia" w:hAnsiTheme="minorEastAsia" w:cstheme="minorEastAsia"/>
          <w:sz w:val="24"/>
          <w:szCs w:val="24"/>
        </w:rPr>
        <w:t xml:space="preserve">1.</w:t>
      </w:r>
      <w:r>
        <w:rPr>
          <w:rFonts w:hint="eastAsia" w:asciiTheme="minorEastAsia" w:hAnsiTheme="minorEastAsia" w:cstheme="minorEastAsia"/>
          <w:sz w:val="24"/>
        </w:rPr>
        <w:t xml:space="preserve">本采购包报价不得超过预算价。应根据国家收费标准并结合市场实际进行报价，总价包干。</w:t>
      </w:r>
      <w:r/>
    </w:p>
    <w:p>
      <w:pPr>
        <w:pStyle w:val="878"/>
        <w:ind w:firstLine="48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报价内容应包括但不限于完成本项目工作所需人员开发投入及其配套的管理内容、软件系统、辅助材料、验收检测、运输仓储、劳保、技术支持与培训、专利技术、各种税费、人工、保险、维护、利润、政策性文件规定及合同包含的所有风险、责任等各项应有费用。同时，除非合同条款中另有规定，否则，本合同项下合同总金额在合同履行期间不因市场变化因素而变动。</w:t>
      </w:r>
      <w:r/>
    </w:p>
    <w:p>
      <w:pPr>
        <w:ind w:firstLine="480"/>
        <w:spacing w:line="360" w:lineRule="auto"/>
        <w:rPr>
          <w:rFonts w:asciiTheme="minorEastAsia" w:hAnsiTheme="minorEastAsia" w:cstheme="minorEastAsia"/>
          <w:sz w:val="24"/>
        </w:rPr>
      </w:pPr>
      <w:r>
        <w:rPr>
          <w:rFonts w:hint="eastAsia" w:asciiTheme="minorEastAsia" w:hAnsiTheme="minorEastAsia" w:cstheme="minorEastAsia"/>
          <w:sz w:val="24"/>
        </w:rPr>
        <w:t xml:space="preserve">3.工作中涉及的敏感资料、电子数据等相关信息，中标人应严格执行保密的相关规定，不得以任何方式向任何第三人披露、泄露或许可第三人使用，否则追究其相应法律责任。</w:t>
      </w:r>
      <w:r/>
    </w:p>
    <w:p>
      <w:pPr>
        <w:ind w:firstLine="480"/>
        <w:spacing w:line="360" w:lineRule="auto"/>
        <w:rPr>
          <w:rFonts w:asciiTheme="minorEastAsia" w:hAnsiTheme="minorEastAsia" w:cstheme="minorEastAsia"/>
          <w:bCs/>
          <w:sz w:val="24"/>
        </w:rPr>
      </w:pPr>
      <w:r>
        <w:rPr>
          <w:rFonts w:hint="eastAsia" w:asciiTheme="minorEastAsia" w:hAnsiTheme="minorEastAsia" w:cstheme="minorEastAsia"/>
          <w:bCs/>
          <w:sz w:val="24"/>
          <w:szCs w:val="24"/>
        </w:rPr>
        <w:t xml:space="preserve">4.项目分摊情况</w:t>
      </w:r>
      <w:r/>
    </w:p>
    <w:p>
      <w:pPr>
        <w:pStyle w:val="878"/>
        <w:ind w:firstLine="480"/>
        <w:spacing w:line="520" w:lineRule="exact"/>
        <w:rPr>
          <w:rFonts w:ascii="宋体" w:hAnsi="宋体" w:cs="宋体"/>
          <w:sz w:val="24"/>
        </w:rPr>
      </w:pPr>
      <w:r>
        <w:rPr>
          <w:rFonts w:hint="eastAsia" w:ascii="宋体" w:hAnsi="宋体" w:cs="宋体"/>
          <w:sz w:val="24"/>
        </w:rPr>
        <w:t xml:space="preserve">采购包1：中院已承担硬件及基础环境建设费用，本次129万元预算由7家基层法院分摊，具体金额如下。</w:t>
      </w:r>
      <w:r/>
    </w:p>
    <w:tbl>
      <w:tblPr>
        <w:tblW w:w="856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056"/>
        <w:gridCol w:w="5498"/>
        <w:gridCol w:w="2015"/>
      </w:tblGrid>
      <w:tr>
        <w:trPr>
          <w:jc w:val="center"/>
          <w:trHeight w:val="113"/>
        </w:trPr>
        <w:tc>
          <w:tcPr>
            <w:tcW w:w="1056" w:type="dxa"/>
            <w:vAlign w:val="center"/>
            <w:textDirection w:val="lrTb"/>
            <w:noWrap w:val="false"/>
          </w:tcPr>
          <w:p>
            <w:pPr>
              <w:jc w:val="center"/>
              <w:spacing w:line="360" w:lineRule="auto"/>
              <w:widowControl/>
              <w:rPr>
                <w:rFonts w:ascii="宋体" w:hAnsi="宋体" w:cs="宋体"/>
                <w:b/>
                <w:bCs/>
                <w:color w:val="000000"/>
                <w:sz w:val="24"/>
                <w:szCs w:val="24"/>
              </w:rPr>
            </w:pPr>
            <w:r>
              <w:rPr>
                <w:rFonts w:hint="eastAsia" w:ascii="宋体" w:hAnsi="宋体" w:cs="宋体"/>
                <w:b/>
                <w:bCs/>
                <w:color w:val="000000"/>
                <w:sz w:val="24"/>
                <w:szCs w:val="24"/>
              </w:rPr>
              <w:t xml:space="preserve">序号</w:t>
            </w:r>
            <w:r/>
          </w:p>
        </w:tc>
        <w:tc>
          <w:tcPr>
            <w:tcW w:w="5498" w:type="dxa"/>
            <w:vAlign w:val="center"/>
            <w:textDirection w:val="lrTb"/>
            <w:noWrap w:val="false"/>
          </w:tcPr>
          <w:p>
            <w:pPr>
              <w:jc w:val="center"/>
              <w:spacing w:line="360" w:lineRule="auto"/>
              <w:widowControl/>
              <w:rPr>
                <w:rFonts w:ascii="宋体" w:hAnsi="宋体" w:cs="宋体"/>
                <w:b/>
                <w:bCs/>
                <w:color w:val="000000"/>
                <w:sz w:val="24"/>
                <w:szCs w:val="24"/>
              </w:rPr>
            </w:pPr>
            <w:r>
              <w:rPr>
                <w:rFonts w:hint="eastAsia" w:ascii="宋体" w:hAnsi="宋体" w:cs="宋体"/>
                <w:b/>
                <w:bCs/>
                <w:color w:val="000000"/>
                <w:sz w:val="24"/>
                <w:szCs w:val="24"/>
              </w:rPr>
              <w:t xml:space="preserve">单位名称</w:t>
            </w:r>
            <w:r/>
          </w:p>
        </w:tc>
        <w:tc>
          <w:tcPr>
            <w:tcW w:w="2015" w:type="dxa"/>
            <w:vAlign w:val="center"/>
            <w:textDirection w:val="lrTb"/>
            <w:noWrap w:val="false"/>
          </w:tcPr>
          <w:p>
            <w:pPr>
              <w:jc w:val="center"/>
              <w:spacing w:line="360" w:lineRule="auto"/>
              <w:widowControl/>
              <w:rPr>
                <w:rFonts w:ascii="宋体" w:hAnsi="宋体" w:cs="宋体"/>
                <w:b/>
                <w:bCs/>
                <w:color w:val="000000"/>
                <w:sz w:val="24"/>
                <w:szCs w:val="24"/>
              </w:rPr>
            </w:pPr>
            <w:r>
              <w:rPr>
                <w:rFonts w:ascii="宋体" w:hAnsi="宋体"/>
                <w:b/>
                <w:bCs/>
                <w:sz w:val="24"/>
                <w:szCs w:val="24"/>
              </w:rPr>
              <w:t xml:space="preserve">预算金额（万元）</w:t>
            </w:r>
            <w:r/>
          </w:p>
        </w:tc>
      </w:tr>
      <w:tr>
        <w:trPr>
          <w:jc w:val="center"/>
          <w:trHeight w:val="113"/>
        </w:trPr>
        <w:tc>
          <w:tcPr>
            <w:tcW w:w="1056" w:type="dxa"/>
            <w:vAlign w:val="center"/>
            <w:textDirection w:val="lrTb"/>
            <w:noWrap w:val="false"/>
          </w:tcPr>
          <w:p>
            <w:pPr>
              <w:jc w:val="center"/>
              <w:spacing w:line="440" w:lineRule="exact"/>
              <w:widowControl/>
              <w:rPr>
                <w:rFonts w:ascii="Times New Roman" w:hAnsi="Times New Roman"/>
                <w:color w:val="000000"/>
                <w:sz w:val="24"/>
                <w:szCs w:val="24"/>
              </w:rPr>
            </w:pPr>
            <w:r>
              <w:rPr>
                <w:rFonts w:hint="eastAsia" w:ascii="Times New Roman" w:hAnsi="Times New Roman"/>
                <w:color w:val="000000"/>
                <w:sz w:val="24"/>
                <w:szCs w:val="24"/>
              </w:rPr>
              <w:t xml:space="preserve">1</w:t>
            </w:r>
            <w:r/>
          </w:p>
        </w:tc>
        <w:tc>
          <w:tcPr>
            <w:tcW w:w="5498" w:type="dxa"/>
            <w:vAlign w:val="center"/>
            <w:textDirection w:val="lrTb"/>
            <w:noWrap w:val="false"/>
          </w:tcPr>
          <w:p>
            <w:pPr>
              <w:jc w:val="center"/>
              <w:spacing w:line="440" w:lineRule="exact"/>
              <w:widowControl/>
              <w:rPr>
                <w:rFonts w:ascii="宋体" w:hAnsi="宋体" w:cs="宋体"/>
                <w:color w:val="000000"/>
                <w:sz w:val="24"/>
                <w:szCs w:val="24"/>
              </w:rPr>
            </w:pPr>
            <w:r>
              <w:rPr>
                <w:rFonts w:hint="eastAsia"/>
                <w:sz w:val="24"/>
                <w:szCs w:val="24"/>
              </w:rPr>
              <w:t xml:space="preserve">连云港市海州区人民法院</w:t>
            </w:r>
            <w:r/>
          </w:p>
        </w:tc>
        <w:tc>
          <w:tcPr>
            <w:tcW w:w="2015" w:type="dxa"/>
            <w:vAlign w:val="center"/>
            <w:textDirection w:val="lrTb"/>
            <w:noWrap w:val="false"/>
          </w:tcPr>
          <w:p>
            <w:pPr>
              <w:jc w:val="center"/>
              <w:spacing w:line="440" w:lineRule="exact"/>
              <w:widowControl/>
              <w:rPr>
                <w:rFonts w:asciiTheme="minorEastAsia" w:hAnsiTheme="minorEastAsia" w:cstheme="minorEastAsia"/>
                <w:sz w:val="24"/>
                <w:szCs w:val="24"/>
              </w:rPr>
            </w:pPr>
            <w:r>
              <w:rPr>
                <w:rFonts w:hint="eastAsia" w:asciiTheme="minorEastAsia" w:hAnsiTheme="minorEastAsia" w:cstheme="minorEastAsia"/>
                <w:sz w:val="24"/>
                <w:szCs w:val="24"/>
              </w:rPr>
              <w:t xml:space="preserve">20.1</w:t>
            </w:r>
            <w:r/>
          </w:p>
        </w:tc>
      </w:tr>
      <w:tr>
        <w:trPr>
          <w:jc w:val="center"/>
          <w:trHeight w:val="113"/>
        </w:trPr>
        <w:tc>
          <w:tcPr>
            <w:tcW w:w="1056" w:type="dxa"/>
            <w:vAlign w:val="center"/>
            <w:textDirection w:val="lrTb"/>
            <w:noWrap w:val="false"/>
          </w:tcPr>
          <w:p>
            <w:pPr>
              <w:jc w:val="center"/>
              <w:spacing w:line="440" w:lineRule="exact"/>
              <w:widowControl/>
              <w:rPr>
                <w:rFonts w:ascii="Times New Roman" w:hAnsi="Times New Roman"/>
                <w:color w:val="000000"/>
                <w:sz w:val="24"/>
                <w:szCs w:val="24"/>
              </w:rPr>
            </w:pPr>
            <w:r>
              <w:rPr>
                <w:rFonts w:hint="eastAsia" w:ascii="Times New Roman" w:hAnsi="Times New Roman"/>
                <w:color w:val="000000"/>
                <w:sz w:val="24"/>
                <w:szCs w:val="24"/>
              </w:rPr>
              <w:t xml:space="preserve">2</w:t>
            </w:r>
            <w:r/>
          </w:p>
        </w:tc>
        <w:tc>
          <w:tcPr>
            <w:tcW w:w="5498" w:type="dxa"/>
            <w:vAlign w:val="center"/>
            <w:textDirection w:val="lrTb"/>
            <w:noWrap w:val="false"/>
          </w:tcPr>
          <w:p>
            <w:pPr>
              <w:jc w:val="center"/>
              <w:spacing w:line="440" w:lineRule="exact"/>
              <w:widowControl/>
              <w:rPr>
                <w:rFonts w:ascii="宋体" w:hAnsi="宋体" w:cs="宋体"/>
                <w:color w:val="000000"/>
                <w:sz w:val="24"/>
                <w:szCs w:val="24"/>
              </w:rPr>
            </w:pPr>
            <w:r>
              <w:rPr>
                <w:rFonts w:hint="eastAsia"/>
                <w:sz w:val="24"/>
                <w:szCs w:val="24"/>
              </w:rPr>
              <w:t xml:space="preserve">连云港市赣榆区人民法院</w:t>
            </w:r>
            <w:r/>
          </w:p>
        </w:tc>
        <w:tc>
          <w:tcPr>
            <w:tcW w:w="2015" w:type="dxa"/>
            <w:vAlign w:val="center"/>
            <w:textDirection w:val="lrTb"/>
            <w:noWrap w:val="false"/>
          </w:tcPr>
          <w:p>
            <w:pPr>
              <w:jc w:val="center"/>
              <w:spacing w:line="440" w:lineRule="exact"/>
              <w:widowControl/>
              <w:rPr>
                <w:rFonts w:asciiTheme="minorEastAsia" w:hAnsiTheme="minorEastAsia" w:cstheme="minorEastAsia"/>
                <w:sz w:val="24"/>
                <w:szCs w:val="24"/>
              </w:rPr>
            </w:pPr>
            <w:r>
              <w:rPr>
                <w:rFonts w:hint="eastAsia" w:asciiTheme="minorEastAsia" w:hAnsiTheme="minorEastAsia" w:cstheme="minorEastAsia"/>
                <w:sz w:val="24"/>
                <w:szCs w:val="24"/>
              </w:rPr>
              <w:t xml:space="preserve">20.1</w:t>
            </w:r>
            <w:r/>
          </w:p>
        </w:tc>
      </w:tr>
      <w:tr>
        <w:trPr>
          <w:jc w:val="center"/>
          <w:trHeight w:val="113"/>
        </w:trPr>
        <w:tc>
          <w:tcPr>
            <w:tcW w:w="1056" w:type="dxa"/>
            <w:vAlign w:val="center"/>
            <w:textDirection w:val="lrTb"/>
            <w:noWrap w:val="false"/>
          </w:tcPr>
          <w:p>
            <w:pPr>
              <w:jc w:val="center"/>
              <w:spacing w:line="440" w:lineRule="exact"/>
              <w:widowControl/>
              <w:rPr>
                <w:rFonts w:ascii="Times New Roman" w:hAnsi="Times New Roman"/>
                <w:color w:val="000000"/>
                <w:sz w:val="24"/>
                <w:szCs w:val="24"/>
              </w:rPr>
            </w:pPr>
            <w:r>
              <w:rPr>
                <w:rFonts w:hint="eastAsia" w:ascii="Times New Roman" w:hAnsi="Times New Roman"/>
                <w:color w:val="000000"/>
                <w:sz w:val="24"/>
                <w:szCs w:val="24"/>
              </w:rPr>
              <w:t xml:space="preserve">3</w:t>
            </w:r>
            <w:r/>
          </w:p>
        </w:tc>
        <w:tc>
          <w:tcPr>
            <w:tcW w:w="5498" w:type="dxa"/>
            <w:vAlign w:val="center"/>
            <w:textDirection w:val="lrTb"/>
            <w:noWrap w:val="false"/>
          </w:tcPr>
          <w:p>
            <w:pPr>
              <w:jc w:val="center"/>
              <w:spacing w:line="440" w:lineRule="exact"/>
              <w:widowControl/>
              <w:rPr>
                <w:rFonts w:ascii="宋体" w:hAnsi="宋体" w:cs="宋体"/>
                <w:color w:val="000000"/>
                <w:sz w:val="24"/>
                <w:szCs w:val="24"/>
              </w:rPr>
            </w:pPr>
            <w:r>
              <w:rPr>
                <w:rFonts w:hint="eastAsia"/>
                <w:sz w:val="24"/>
                <w:szCs w:val="24"/>
              </w:rPr>
              <w:t xml:space="preserve">东海县人民法院</w:t>
            </w:r>
            <w:r/>
          </w:p>
        </w:tc>
        <w:tc>
          <w:tcPr>
            <w:tcW w:w="2015" w:type="dxa"/>
            <w:vAlign w:val="center"/>
            <w:textDirection w:val="lrTb"/>
            <w:noWrap w:val="false"/>
          </w:tcPr>
          <w:p>
            <w:pPr>
              <w:jc w:val="center"/>
              <w:spacing w:line="440" w:lineRule="exact"/>
              <w:widowControl/>
              <w:rPr>
                <w:rFonts w:asciiTheme="minorEastAsia" w:hAnsiTheme="minorEastAsia" w:cstheme="minorEastAsia"/>
                <w:sz w:val="24"/>
                <w:szCs w:val="24"/>
              </w:rPr>
            </w:pPr>
            <w:r>
              <w:rPr>
                <w:rFonts w:hint="eastAsia" w:asciiTheme="minorEastAsia" w:hAnsiTheme="minorEastAsia" w:cstheme="minorEastAsia"/>
                <w:sz w:val="24"/>
                <w:szCs w:val="24"/>
              </w:rPr>
              <w:t xml:space="preserve">20.1</w:t>
            </w:r>
            <w:r/>
          </w:p>
        </w:tc>
      </w:tr>
      <w:tr>
        <w:trPr>
          <w:jc w:val="center"/>
          <w:trHeight w:val="113"/>
        </w:trPr>
        <w:tc>
          <w:tcPr>
            <w:tcW w:w="1056" w:type="dxa"/>
            <w:vAlign w:val="center"/>
            <w:textDirection w:val="lrTb"/>
            <w:noWrap w:val="false"/>
          </w:tcPr>
          <w:p>
            <w:pPr>
              <w:jc w:val="center"/>
              <w:spacing w:line="440" w:lineRule="exact"/>
              <w:widowControl/>
              <w:rPr>
                <w:rFonts w:ascii="Times New Roman" w:hAnsi="Times New Roman"/>
                <w:color w:val="000000"/>
                <w:sz w:val="24"/>
                <w:szCs w:val="24"/>
              </w:rPr>
            </w:pPr>
            <w:r>
              <w:rPr>
                <w:rFonts w:hint="eastAsia" w:ascii="Times New Roman" w:hAnsi="Times New Roman"/>
                <w:color w:val="000000"/>
                <w:sz w:val="24"/>
                <w:szCs w:val="24"/>
              </w:rPr>
              <w:t xml:space="preserve">4</w:t>
            </w:r>
            <w:r/>
          </w:p>
        </w:tc>
        <w:tc>
          <w:tcPr>
            <w:tcW w:w="5498" w:type="dxa"/>
            <w:vAlign w:val="center"/>
            <w:textDirection w:val="lrTb"/>
            <w:noWrap w:val="false"/>
          </w:tcPr>
          <w:p>
            <w:pPr>
              <w:jc w:val="center"/>
              <w:spacing w:line="440" w:lineRule="exact"/>
              <w:widowControl/>
              <w:rPr>
                <w:rFonts w:ascii="宋体" w:hAnsi="宋体" w:cs="宋体"/>
                <w:color w:val="000000"/>
                <w:sz w:val="24"/>
                <w:szCs w:val="24"/>
              </w:rPr>
            </w:pPr>
            <w:r>
              <w:rPr>
                <w:rFonts w:hint="eastAsia"/>
                <w:sz w:val="24"/>
                <w:szCs w:val="24"/>
              </w:rPr>
              <w:t xml:space="preserve">灌云县人民法院</w:t>
            </w:r>
            <w:r/>
          </w:p>
        </w:tc>
        <w:tc>
          <w:tcPr>
            <w:tcW w:w="2015" w:type="dxa"/>
            <w:vAlign w:val="center"/>
            <w:textDirection w:val="lrTb"/>
            <w:noWrap w:val="false"/>
          </w:tcPr>
          <w:p>
            <w:pPr>
              <w:jc w:val="center"/>
              <w:spacing w:line="440" w:lineRule="exact"/>
              <w:widowControl/>
              <w:rPr>
                <w:rFonts w:asciiTheme="minorEastAsia" w:hAnsiTheme="minorEastAsia" w:cstheme="minorEastAsia"/>
                <w:sz w:val="24"/>
                <w:szCs w:val="24"/>
              </w:rPr>
            </w:pPr>
            <w:r>
              <w:rPr>
                <w:rFonts w:hint="eastAsia" w:asciiTheme="minorEastAsia" w:hAnsiTheme="minorEastAsia" w:cstheme="minorEastAsia"/>
                <w:sz w:val="24"/>
                <w:szCs w:val="24"/>
              </w:rPr>
              <w:t xml:space="preserve">18.6</w:t>
            </w:r>
            <w:r/>
          </w:p>
        </w:tc>
      </w:tr>
      <w:tr>
        <w:trPr>
          <w:jc w:val="center"/>
          <w:trHeight w:val="113"/>
        </w:trPr>
        <w:tc>
          <w:tcPr>
            <w:tcW w:w="1056" w:type="dxa"/>
            <w:vAlign w:val="center"/>
            <w:textDirection w:val="lrTb"/>
            <w:noWrap w:val="false"/>
          </w:tcPr>
          <w:p>
            <w:pPr>
              <w:jc w:val="center"/>
              <w:spacing w:line="440" w:lineRule="exact"/>
              <w:widowControl/>
              <w:rPr>
                <w:rFonts w:ascii="Times New Roman" w:hAnsi="Times New Roman"/>
                <w:color w:val="000000"/>
                <w:sz w:val="24"/>
                <w:szCs w:val="24"/>
              </w:rPr>
            </w:pPr>
            <w:r>
              <w:rPr>
                <w:rFonts w:hint="eastAsia" w:ascii="Times New Roman" w:hAnsi="Times New Roman"/>
                <w:color w:val="000000"/>
                <w:sz w:val="24"/>
                <w:szCs w:val="24"/>
              </w:rPr>
              <w:t xml:space="preserve">5</w:t>
            </w:r>
            <w:r/>
          </w:p>
        </w:tc>
        <w:tc>
          <w:tcPr>
            <w:tcW w:w="5498" w:type="dxa"/>
            <w:vAlign w:val="center"/>
            <w:textDirection w:val="lrTb"/>
            <w:noWrap w:val="false"/>
          </w:tcPr>
          <w:p>
            <w:pPr>
              <w:jc w:val="center"/>
              <w:spacing w:line="440" w:lineRule="exact"/>
              <w:widowControl/>
              <w:rPr>
                <w:rFonts w:ascii="宋体" w:hAnsi="宋体" w:cs="宋体"/>
                <w:color w:val="000000"/>
                <w:sz w:val="24"/>
                <w:szCs w:val="24"/>
              </w:rPr>
            </w:pPr>
            <w:r>
              <w:rPr>
                <w:rFonts w:hint="eastAsia"/>
                <w:sz w:val="24"/>
                <w:szCs w:val="24"/>
              </w:rPr>
              <w:t xml:space="preserve">灌南县人民法院</w:t>
            </w:r>
            <w:r/>
          </w:p>
        </w:tc>
        <w:tc>
          <w:tcPr>
            <w:tcW w:w="2015" w:type="dxa"/>
            <w:vAlign w:val="center"/>
            <w:textDirection w:val="lrTb"/>
            <w:noWrap w:val="false"/>
          </w:tcPr>
          <w:p>
            <w:pPr>
              <w:jc w:val="center"/>
              <w:spacing w:line="440" w:lineRule="exact"/>
              <w:widowControl/>
              <w:rPr>
                <w:rFonts w:asciiTheme="minorEastAsia" w:hAnsiTheme="minorEastAsia" w:cstheme="minorEastAsia"/>
                <w:sz w:val="24"/>
                <w:szCs w:val="24"/>
              </w:rPr>
            </w:pPr>
            <w:r>
              <w:rPr>
                <w:rFonts w:hint="eastAsia" w:asciiTheme="minorEastAsia" w:hAnsiTheme="minorEastAsia" w:cstheme="minorEastAsia"/>
                <w:sz w:val="24"/>
                <w:szCs w:val="24"/>
              </w:rPr>
              <w:t xml:space="preserve">18.6</w:t>
            </w:r>
            <w:r/>
          </w:p>
        </w:tc>
      </w:tr>
      <w:tr>
        <w:trPr>
          <w:jc w:val="center"/>
          <w:trHeight w:val="113"/>
        </w:trPr>
        <w:tc>
          <w:tcPr>
            <w:tcW w:w="1056" w:type="dxa"/>
            <w:vAlign w:val="center"/>
            <w:textDirection w:val="lrTb"/>
            <w:noWrap w:val="false"/>
          </w:tcPr>
          <w:p>
            <w:pPr>
              <w:jc w:val="center"/>
              <w:spacing w:line="440" w:lineRule="exact"/>
              <w:widowControl/>
              <w:rPr>
                <w:rFonts w:ascii="Times New Roman" w:hAnsi="Times New Roman"/>
                <w:color w:val="000000"/>
                <w:sz w:val="24"/>
                <w:szCs w:val="24"/>
              </w:rPr>
            </w:pPr>
            <w:r>
              <w:rPr>
                <w:rFonts w:hint="eastAsia" w:ascii="Times New Roman" w:hAnsi="Times New Roman"/>
                <w:color w:val="000000"/>
                <w:sz w:val="24"/>
                <w:szCs w:val="24"/>
              </w:rPr>
              <w:t xml:space="preserve">6</w:t>
            </w:r>
            <w:r/>
          </w:p>
        </w:tc>
        <w:tc>
          <w:tcPr>
            <w:tcW w:w="5498" w:type="dxa"/>
            <w:vAlign w:val="center"/>
            <w:textDirection w:val="lrTb"/>
            <w:noWrap w:val="false"/>
          </w:tcPr>
          <w:p>
            <w:pPr>
              <w:jc w:val="center"/>
              <w:spacing w:line="440" w:lineRule="exact"/>
              <w:widowControl/>
              <w:rPr>
                <w:rFonts w:ascii="宋体" w:hAnsi="宋体" w:cs="宋体"/>
                <w:color w:val="000000"/>
                <w:sz w:val="24"/>
                <w:szCs w:val="24"/>
              </w:rPr>
            </w:pPr>
            <w:r>
              <w:rPr>
                <w:rFonts w:hint="eastAsia"/>
                <w:sz w:val="24"/>
                <w:szCs w:val="24"/>
              </w:rPr>
              <w:t xml:space="preserve">连云港市连云区人民法院</w:t>
            </w:r>
            <w:r/>
          </w:p>
        </w:tc>
        <w:tc>
          <w:tcPr>
            <w:tcW w:w="2015" w:type="dxa"/>
            <w:vAlign w:val="center"/>
            <w:textDirection w:val="lrTb"/>
            <w:noWrap w:val="false"/>
          </w:tcPr>
          <w:p>
            <w:pPr>
              <w:jc w:val="center"/>
              <w:spacing w:line="440" w:lineRule="exact"/>
              <w:widowControl/>
              <w:rPr>
                <w:rFonts w:asciiTheme="minorEastAsia" w:hAnsiTheme="minorEastAsia" w:cstheme="minorEastAsia"/>
                <w:sz w:val="24"/>
                <w:szCs w:val="24"/>
              </w:rPr>
            </w:pPr>
            <w:r>
              <w:rPr>
                <w:rFonts w:hint="eastAsia" w:asciiTheme="minorEastAsia" w:hAnsiTheme="minorEastAsia" w:cstheme="minorEastAsia"/>
                <w:sz w:val="24"/>
                <w:szCs w:val="24"/>
              </w:rPr>
              <w:t xml:space="preserve">15.75</w:t>
            </w:r>
            <w:r/>
          </w:p>
        </w:tc>
      </w:tr>
      <w:tr>
        <w:trPr>
          <w:jc w:val="center"/>
          <w:trHeight w:val="113"/>
        </w:trPr>
        <w:tc>
          <w:tcPr>
            <w:tcW w:w="1056" w:type="dxa"/>
            <w:vAlign w:val="center"/>
            <w:textDirection w:val="lrTb"/>
            <w:noWrap w:val="false"/>
          </w:tcPr>
          <w:p>
            <w:pPr>
              <w:jc w:val="center"/>
              <w:spacing w:line="440" w:lineRule="exact"/>
              <w:widowControl/>
              <w:rPr>
                <w:rFonts w:ascii="Times New Roman" w:hAnsi="Times New Roman"/>
                <w:color w:val="000000"/>
                <w:sz w:val="24"/>
                <w:szCs w:val="24"/>
              </w:rPr>
            </w:pPr>
            <w:r>
              <w:rPr>
                <w:rFonts w:hint="eastAsia" w:ascii="Times New Roman" w:hAnsi="Times New Roman"/>
                <w:color w:val="000000"/>
                <w:sz w:val="24"/>
                <w:szCs w:val="24"/>
              </w:rPr>
              <w:t xml:space="preserve">7</w:t>
            </w:r>
            <w:r/>
          </w:p>
        </w:tc>
        <w:tc>
          <w:tcPr>
            <w:tcW w:w="5498" w:type="dxa"/>
            <w:vAlign w:val="center"/>
            <w:textDirection w:val="lrTb"/>
            <w:noWrap w:val="false"/>
          </w:tcPr>
          <w:p>
            <w:pPr>
              <w:jc w:val="center"/>
              <w:spacing w:line="440" w:lineRule="exact"/>
              <w:widowControl/>
              <w:rPr>
                <w:rFonts w:ascii="宋体" w:hAnsi="宋体" w:cs="宋体"/>
                <w:color w:val="000000"/>
                <w:sz w:val="24"/>
                <w:szCs w:val="24"/>
              </w:rPr>
            </w:pPr>
            <w:r>
              <w:rPr>
                <w:rFonts w:hint="eastAsia"/>
                <w:sz w:val="24"/>
                <w:szCs w:val="24"/>
              </w:rPr>
              <w:t xml:space="preserve">连云港经济技术开发区人民法院</w:t>
            </w:r>
            <w:r/>
          </w:p>
        </w:tc>
        <w:tc>
          <w:tcPr>
            <w:tcW w:w="2015" w:type="dxa"/>
            <w:vAlign w:val="center"/>
            <w:textDirection w:val="lrTb"/>
            <w:noWrap w:val="false"/>
          </w:tcPr>
          <w:p>
            <w:pPr>
              <w:jc w:val="center"/>
              <w:spacing w:line="440" w:lineRule="exact"/>
              <w:widowControl/>
              <w:rPr>
                <w:rFonts w:asciiTheme="minorEastAsia" w:hAnsiTheme="minorEastAsia" w:cstheme="minorEastAsia"/>
                <w:sz w:val="24"/>
                <w:szCs w:val="24"/>
              </w:rPr>
            </w:pPr>
            <w:r>
              <w:rPr>
                <w:rFonts w:hint="eastAsia" w:asciiTheme="minorEastAsia" w:hAnsiTheme="minorEastAsia" w:cstheme="minorEastAsia"/>
                <w:sz w:val="24"/>
                <w:szCs w:val="24"/>
              </w:rPr>
              <w:t xml:space="preserve">15.75</w:t>
            </w:r>
            <w:r/>
          </w:p>
        </w:tc>
      </w:tr>
      <w:tr>
        <w:trPr>
          <w:jc w:val="center"/>
          <w:trHeight w:val="113"/>
        </w:trPr>
        <w:tc>
          <w:tcPr>
            <w:gridSpan w:val="2"/>
            <w:tcW w:w="6554" w:type="dxa"/>
            <w:vAlign w:val="center"/>
            <w:textDirection w:val="lrTb"/>
            <w:noWrap w:val="false"/>
          </w:tcPr>
          <w:p>
            <w:pPr>
              <w:jc w:val="center"/>
              <w:spacing w:line="440" w:lineRule="exact"/>
              <w:widowControl/>
              <w:rPr>
                <w:rFonts w:ascii="等线" w:hAnsi="等线" w:eastAsia="等线" w:cs="宋体"/>
                <w:color w:val="000000"/>
                <w:sz w:val="24"/>
              </w:rPr>
            </w:pPr>
            <w:r>
              <w:rPr>
                <w:rFonts w:hint="eastAsia"/>
                <w:sz w:val="24"/>
                <w:szCs w:val="24"/>
              </w:rPr>
              <w:t xml:space="preserve">合计</w:t>
            </w:r>
            <w:r/>
          </w:p>
        </w:tc>
        <w:tc>
          <w:tcPr>
            <w:tcW w:w="2015" w:type="dxa"/>
            <w:vAlign w:val="center"/>
            <w:textDirection w:val="lrTb"/>
            <w:noWrap w:val="false"/>
          </w:tcPr>
          <w:p>
            <w:pPr>
              <w:jc w:val="center"/>
              <w:spacing w:line="440" w:lineRule="exact"/>
              <w:widowControl/>
              <w:rPr>
                <w:rFonts w:asciiTheme="minorEastAsia" w:hAnsiTheme="minorEastAsia" w:cstheme="minorEastAsia"/>
                <w:sz w:val="24"/>
                <w:szCs w:val="24"/>
              </w:rPr>
            </w:pPr>
            <w:r>
              <w:rPr>
                <w:rFonts w:hint="eastAsia" w:asciiTheme="minorEastAsia" w:hAnsiTheme="minorEastAsia" w:cstheme="minorEastAsia"/>
                <w:sz w:val="24"/>
                <w:szCs w:val="24"/>
              </w:rPr>
              <w:t xml:space="preserve">129</w:t>
            </w:r>
            <w:r/>
          </w:p>
        </w:tc>
      </w:tr>
    </w:tbl>
    <w:p>
      <w:pPr>
        <w:ind w:firstLine="480"/>
        <w:spacing w:line="500" w:lineRule="exact"/>
        <w:rPr>
          <w:rFonts w:ascii="宋体" w:hAnsi="宋体" w:cs="宋体"/>
          <w:sz w:val="24"/>
        </w:rPr>
      </w:pPr>
      <w:r>
        <w:rPr>
          <w:rFonts w:hint="eastAsia" w:ascii="宋体" w:hAnsi="宋体" w:cs="宋体"/>
          <w:sz w:val="24"/>
        </w:rPr>
        <w:t xml:space="preserve">经评审后确定的中标人需分别与各单位签订服务合同,合同金额根据中标金额等比例分签。</w:t>
      </w:r>
      <w:r/>
    </w:p>
    <w:p>
      <w:pPr>
        <w:pStyle w:val="849"/>
        <w:rPr>
          <w:rFonts w:asciiTheme="minorEastAsia" w:hAnsiTheme="minorEastAsia" w:cstheme="minorEastAsia"/>
          <w:sz w:val="24"/>
        </w:rPr>
      </w:pPr>
      <w:r>
        <w:rPr>
          <w:rFonts w:asciiTheme="minorEastAsia" w:hAnsiTheme="minorEastAsia" w:cstheme="minorEastAsia"/>
          <w:sz w:val="24"/>
        </w:rPr>
      </w:r>
      <w:r/>
    </w:p>
    <w:p>
      <w:pPr>
        <w:pStyle w:val="849"/>
        <w:rPr>
          <w:rFonts w:asciiTheme="minorEastAsia" w:hAnsiTheme="minorEastAsia" w:cstheme="minorEastAsia"/>
          <w:sz w:val="24"/>
        </w:rPr>
      </w:pPr>
      <w:r>
        <w:rPr>
          <w:rFonts w:asciiTheme="minorEastAsia" w:hAnsiTheme="minorEastAsia" w:cstheme="minorEastAsia"/>
          <w:sz w:val="24"/>
        </w:rPr>
      </w:r>
      <w:r/>
    </w:p>
    <w:p>
      <w:pPr>
        <w:pStyle w:val="849"/>
        <w:spacing w:line="360" w:lineRule="auto"/>
        <w:rPr>
          <w:rFonts w:asciiTheme="minorEastAsia" w:hAnsiTheme="minorEastAsia" w:cstheme="minorEastAsia"/>
          <w:sz w:val="24"/>
        </w:rPr>
      </w:pPr>
      <w:r>
        <w:rPr>
          <w:rFonts w:asciiTheme="minorEastAsia" w:hAnsiTheme="minorEastAsia" w:cstheme="minorEastAsia"/>
          <w:sz w:val="24"/>
        </w:rPr>
      </w:r>
      <w:r/>
    </w:p>
    <w:p>
      <w:pPr>
        <w:pStyle w:val="849"/>
      </w:pPr>
      <w:r/>
      <w:r/>
    </w:p>
    <w:p>
      <w:pPr>
        <w:pStyle w:val="849"/>
      </w:pPr>
      <w:r/>
      <w:r/>
    </w:p>
    <w:p>
      <w:pPr>
        <w:pStyle w:val="849"/>
      </w:pPr>
      <w:r/>
      <w:r/>
    </w:p>
    <w:p>
      <w:pPr>
        <w:jc w:val="center"/>
        <w:rPr>
          <w:rFonts w:asciiTheme="minorEastAsia" w:hAnsiTheme="minorEastAsia"/>
          <w:b/>
          <w:sz w:val="28"/>
        </w:rPr>
      </w:pPr>
      <w:r>
        <w:rPr>
          <w:rFonts w:hint="eastAsia" w:asciiTheme="minorEastAsia" w:hAnsiTheme="minorEastAsia"/>
          <w:b/>
          <w:sz w:val="28"/>
        </w:rPr>
        <w:t xml:space="preserve">采购包2</w:t>
      </w:r>
      <w:r/>
    </w:p>
    <w:p>
      <w:pPr>
        <w:ind w:firstLine="482"/>
        <w:jc w:val="left"/>
        <w:spacing w:line="500" w:lineRule="exact"/>
        <w:rPr>
          <w:b/>
          <w:sz w:val="24"/>
          <w:szCs w:val="24"/>
        </w:rPr>
      </w:pPr>
      <w:r>
        <w:rPr>
          <w:rFonts w:hint="eastAsia"/>
          <w:b/>
          <w:sz w:val="24"/>
          <w:szCs w:val="24"/>
        </w:rPr>
        <w:t xml:space="preserve">说明：本项目属性为服务，采购标的对应的中小企业划分标准所属行业为：</w:t>
      </w:r>
      <w:r>
        <w:rPr>
          <w:rFonts w:hint="eastAsia"/>
          <w:b/>
          <w:sz w:val="24"/>
          <w:szCs w:val="24"/>
          <w:u w:val="single"/>
        </w:rPr>
        <w:t xml:space="preserve">软件和信息技术服务业</w:t>
      </w:r>
      <w:r>
        <w:rPr>
          <w:rFonts w:hint="eastAsia"/>
          <w:b/>
          <w:sz w:val="24"/>
          <w:szCs w:val="24"/>
        </w:rPr>
        <w:t xml:space="preserve">。</w:t>
      </w:r>
      <w:r/>
    </w:p>
    <w:p>
      <w:pPr>
        <w:ind w:firstLine="480"/>
        <w:spacing w:line="500" w:lineRule="exact"/>
        <w:rPr>
          <w:rFonts w:asciiTheme="minorEastAsia" w:hAnsiTheme="minorEastAsia"/>
          <w:b/>
          <w:bCs/>
          <w:sz w:val="24"/>
          <w:szCs w:val="24"/>
        </w:rPr>
      </w:pPr>
      <w:r>
        <w:rPr>
          <w:rFonts w:hint="eastAsia" w:asciiTheme="minorEastAsia" w:hAnsiTheme="minorEastAsia"/>
          <w:b/>
          <w:sz w:val="24"/>
          <w:szCs w:val="24"/>
        </w:rPr>
        <w:t xml:space="preserve">依据《关于印发中小企业划型标准规定的通知》（工信部联企业〔2011〕300号）行业划型标准如下：（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82"/>
        <w:jc w:val="left"/>
        <w:spacing w:line="500" w:lineRule="exact"/>
        <w:rPr>
          <w:b/>
          <w:sz w:val="24"/>
          <w:szCs w:val="24"/>
        </w:rPr>
      </w:pPr>
      <w:r>
        <w:rPr>
          <w:b/>
          <w:sz w:val="24"/>
          <w:szCs w:val="24"/>
        </w:rPr>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1.根据《政府采购需求管理办法》等有关规定，采购人确定采购需求。</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2.本招标文件中斜体且有下划线部分为实质性要求和条件，由采购人根据实际情况设置，投标人必须逐条明确作出满足实质性要求和条件的响应，否则将按无效投标处理。</w:t>
      </w:r>
      <w:r/>
    </w:p>
    <w:p>
      <w:pPr>
        <w:pStyle w:val="849"/>
      </w:pPr>
      <w:r/>
      <w:r/>
    </w:p>
    <w:p>
      <w:pPr>
        <w:pStyle w:val="849"/>
      </w:pPr>
      <w:r/>
      <w:r/>
    </w:p>
    <w:p>
      <w:pPr>
        <w:pStyle w:val="849"/>
      </w:pPr>
      <w:r/>
      <w:r/>
    </w:p>
    <w:p>
      <w:pPr>
        <w:ind w:firstLine="482"/>
        <w:jc w:val="left"/>
        <w:spacing w:line="360" w:lineRule="auto"/>
        <w:rPr>
          <w:rFonts w:asciiTheme="minorEastAsia" w:hAnsiTheme="minorEastAsia"/>
          <w:b/>
          <w:sz w:val="24"/>
          <w:szCs w:val="24"/>
        </w:rPr>
      </w:pPr>
      <w:r>
        <w:rPr>
          <w:rFonts w:hint="eastAsia" w:asciiTheme="minorEastAsia" w:hAnsiTheme="minorEastAsia"/>
          <w:b/>
          <w:sz w:val="24"/>
          <w:szCs w:val="24"/>
        </w:rPr>
        <w:t xml:space="preserve">一、项目概况</w:t>
      </w:r>
      <w:r/>
    </w:p>
    <w:p>
      <w:pPr>
        <w:ind w:firstLine="480"/>
        <w:jc w:val="left"/>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为深入贯彻落实《中华人民共和国网络安全法》《中华人民共和国数据安全法》《中华人民共和国个人信息保护法》《关键信息基础设施安全保护条例》以及法院系统网络安全工作要求，持续提升连云港市中级人民法院及全市法院网络安全监测预警、风险发现、快速处置、行为管控</w:t>
      </w:r>
      <w:r>
        <w:rPr>
          <w:rFonts w:hint="eastAsia" w:ascii="宋体" w:hAnsi="宋体" w:eastAsia="宋体" w:cs="Times New Roman"/>
          <w:color w:val="000000"/>
          <w:sz w:val="24"/>
          <w:szCs w:val="24"/>
        </w:rPr>
        <w:t xml:space="preserve">和实战防守能力，结合2026年度法院行业网络安全工作的新形势、新任务和新要求，拟将网络安全专业服务与互联网行为管控能力统一纳入年度网络安全服务体系，形成“巡检发现问题、分析识别风险、联动协同处置、出口行为治理、实战检验能力、持续优化防线”的服务闭环。本项目服务对象为连云港市中级人民法院及辖区基层法院（含连云、开发区、赣榆、灌云、灌南等），服务周期为1年，坚持“统筹规划、分级负责、技术牵引、实战导向、闭环整改”的原则，构建覆盖“资产—漏洞—配置—用户—终端—流量—日志—事件—演练—整改”的一体化安全运营闭环。</w:t>
      </w:r>
      <w:r/>
    </w:p>
    <w:p>
      <w:pPr>
        <w:ind w:firstLine="482"/>
        <w:jc w:val="left"/>
        <w:spacing w:line="360" w:lineRule="auto"/>
        <w:rPr>
          <w:rFonts w:asciiTheme="minorEastAsia" w:hAnsiTheme="minorEastAsia"/>
          <w:b/>
          <w:sz w:val="24"/>
          <w:szCs w:val="24"/>
        </w:rPr>
      </w:pPr>
      <w:r>
        <w:rPr>
          <w:rFonts w:hint="eastAsia" w:asciiTheme="minorEastAsia" w:hAnsiTheme="minorEastAsia"/>
          <w:b/>
          <w:sz w:val="24"/>
          <w:szCs w:val="24"/>
        </w:rPr>
        <w:t xml:space="preserve">二、服务技术要求</w:t>
      </w:r>
      <w:r/>
    </w:p>
    <w:p>
      <w:pPr>
        <w:ind w:firstLine="480"/>
        <w:jc w:val="left"/>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本项目服务内容涵盖网络安全专业服务与互联网行为管控融合服务，具体包括以下十一项服务要求。其中涉及软硬件技术工具支撑的服务项，其技术工具的技术要求及功能指标表格按要求留空，由采购人后续补充确定。</w:t>
      </w:r>
      <w:r/>
    </w:p>
    <w:p>
      <w:pPr>
        <w:ind w:firstLine="482"/>
        <w:jc w:val="left"/>
        <w:spacing w:line="360" w:lineRule="auto"/>
        <w:rPr>
          <w:rFonts w:asciiTheme="minorEastAsia" w:hAnsiTheme="minorEastAsia"/>
          <w:b/>
          <w:sz w:val="24"/>
          <w:szCs w:val="24"/>
        </w:rPr>
      </w:pPr>
      <w:r>
        <w:rPr>
          <w:rFonts w:hint="eastAsia" w:asciiTheme="minorEastAsia" w:hAnsiTheme="minorEastAsia"/>
          <w:b/>
          <w:sz w:val="24"/>
          <w:szCs w:val="24"/>
        </w:rPr>
        <w:t xml:space="preserve">2.1 服务工具与统一运营能力要求</w:t>
      </w:r>
      <w:r/>
    </w:p>
    <w:p>
      <w:pPr>
        <w:ind w:firstLine="480"/>
        <w:jc w:val="left"/>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为保障年度服务工作顺利开展，服务供应商应配备满足项目实际需要的专业服务工具、分析平台和互</w:t>
      </w:r>
      <w:r>
        <w:rPr>
          <w:rFonts w:hint="eastAsia" w:ascii="宋体" w:hAnsi="宋体" w:eastAsia="宋体" w:cs="Times New Roman"/>
          <w:color w:val="000000"/>
          <w:sz w:val="24"/>
          <w:szCs w:val="24"/>
        </w:rPr>
        <w:t xml:space="preserve">联网行为管控支撑能力，能够支撑资产识别、漏洞发现、配置核查、流量检测、日志分析、威胁情报关联、出口行为审计、策略管理、事件处置和报告输出等工作。所使用工具应具备较强的兼容性、稳定性、可审计性和安全性，能够适应法院现有网络环境，避免对审判执行、办公办案、视频会议、远程接访等业务系统稳定运行造成影响。服务工具应支持对网络资产进行自动发现和人工校核，形成可持续更新的资产台账；应支持对接威胁情报、恶意URL库、应用识别库、病毒特征库和风险分类规则，对异常通信、违规外联、恶意下载、代理隧道和攻击源进行快速溯源与研判。</w:t>
      </w:r>
      <w:r/>
    </w:p>
    <w:p>
      <w:pPr>
        <w:ind w:firstLine="482"/>
        <w:jc w:val="left"/>
        <w:spacing w:line="360" w:lineRule="auto"/>
        <w:rPr>
          <w:rFonts w:ascii="宋体" w:hAnsi="宋体" w:eastAsia="宋体" w:cs="Times New Roman"/>
          <w:b/>
          <w:sz w:val="24"/>
          <w:szCs w:val="24"/>
        </w:rPr>
      </w:pPr>
      <w:r>
        <w:rPr>
          <w:rFonts w:hint="eastAsia" w:ascii="宋体" w:hAnsi="宋体" w:eastAsia="宋体" w:cs="Times New Roman"/>
          <w:b/>
          <w:color w:val="000000"/>
          <w:sz w:val="24"/>
          <w:szCs w:val="24"/>
        </w:rPr>
        <w:t xml:space="preserve">2.2 “两高一弱”专业巡检</w:t>
      </w:r>
      <w:r/>
    </w:p>
    <w:p>
      <w:pPr>
        <w:ind w:firstLine="480"/>
        <w:jc w:val="left"/>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对全市法院开展一次“两高一弱”（高危漏洞、高危配置、高危暴露面和弱口令弱防护）专业巡检，全年不少于4轮，必要时可根据重保要求、漏洞通报情况、攻防演练准备情况和甲方实际需要增加专项巡检频次。巡检范围覆盖中院及辖区基层法院重点业务系统、管理系统、办公终端、服务器、网络设备、安全设备、互联网出口、运维通道及相关支撑环境。巡检工作按照“准备—实施—验证—整改—复核—总结”的方式开展，形成问题台账，明确风险描述、影响范围、处置建议、整改优先级和整改时限，并对重点问题开展复核验证。</w:t>
      </w:r>
      <w:r/>
    </w:p>
    <w:p>
      <w:pPr>
        <w:ind w:firstLine="482"/>
        <w:jc w:val="left"/>
        <w:spacing w:line="360" w:lineRule="auto"/>
        <w:rPr>
          <w:rFonts w:ascii="宋体" w:hAnsi="宋体" w:eastAsia="宋体" w:cs="Times New Roman"/>
          <w:b/>
          <w:sz w:val="24"/>
          <w:szCs w:val="24"/>
        </w:rPr>
      </w:pPr>
      <w:r>
        <w:rPr>
          <w:rFonts w:hint="eastAsia" w:ascii="宋体" w:hAnsi="宋体" w:eastAsia="宋体" w:cs="Times New Roman"/>
          <w:b/>
          <w:color w:val="000000"/>
          <w:sz w:val="24"/>
          <w:szCs w:val="24"/>
        </w:rPr>
        <w:t xml:space="preserve">2.3 内网高危可利用漏洞防护与防护配置</w:t>
      </w:r>
      <w:r/>
    </w:p>
    <w:p>
      <w:pPr>
        <w:ind w:firstLine="480"/>
        <w:jc w:val="left"/>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围绕全市法院内网环境，服务供应商负</w:t>
      </w:r>
      <w:r>
        <w:rPr>
          <w:rFonts w:hint="eastAsia" w:ascii="宋体" w:hAnsi="宋体" w:eastAsia="宋体" w:cs="Times New Roman"/>
          <w:color w:val="000000"/>
          <w:sz w:val="24"/>
          <w:szCs w:val="24"/>
        </w:rPr>
        <w:t xml:space="preserve">责年度内发现的高危可利用漏洞防护工作。对国家、行业、厂商、监管部门以及自研检测发现的高危漏洞，及时开展影响面排查、利用条件分析、业务影响评估和风险级别判定，形成通报及处置建议。对于具备补丁或升级条件的漏洞，协助制定修复方案；对于暂不具备立即修复条件的漏洞，制定临时缓解和纵深防护措施（包括访问控制收紧、特征拦截、虚拟补丁、白名单限制、端口封禁、账号权限调整、互联网出口阻断、设备联动阻断等）。建立“发现—验证—加固—复测—留痕”的闭环处置机制，对已处置漏洞开展复测验证，并关注漏洞利用与互联网行为之间的关联风险。</w:t>
      </w:r>
      <w:r/>
    </w:p>
    <w:p>
      <w:pPr>
        <w:ind w:firstLine="482"/>
        <w:jc w:val="left"/>
        <w:spacing w:line="360" w:lineRule="auto"/>
        <w:rPr>
          <w:rFonts w:ascii="宋体" w:hAnsi="宋体" w:eastAsia="宋体" w:cs="Times New Roman"/>
          <w:b/>
          <w:sz w:val="24"/>
          <w:szCs w:val="24"/>
        </w:rPr>
      </w:pPr>
      <w:r>
        <w:rPr>
          <w:rFonts w:hint="eastAsia" w:ascii="宋体" w:hAnsi="宋体" w:eastAsia="宋体" w:cs="Times New Roman"/>
          <w:b/>
          <w:color w:val="000000"/>
          <w:sz w:val="24"/>
          <w:szCs w:val="24"/>
        </w:rPr>
        <w:t xml:space="preserve">2.4 内网脆弱性、异常流量与日志采集分析研判</w:t>
      </w:r>
      <w:r/>
    </w:p>
    <w:p>
      <w:pPr>
        <w:ind w:firstLine="480"/>
        <w:jc w:val="left"/>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服务供应商应协助甲方建立面向</w:t>
      </w:r>
      <w:r>
        <w:rPr>
          <w:rFonts w:hint="eastAsia" w:ascii="宋体" w:hAnsi="宋体" w:eastAsia="宋体" w:cs="Times New Roman"/>
          <w:color w:val="000000"/>
          <w:sz w:val="24"/>
          <w:szCs w:val="24"/>
        </w:rPr>
        <w:t xml:space="preserve">全市法院的内网安全数据采集与分析机制，对内网脆弱性、异常流量、攻击日志、病毒日志、互联网行为日志及其他网络安全相关数据进行归集、分析和研判。重点关注恶意扫描探测、异常访问、横向移动、僵木蠕活动、弱口令尝试、恶意代码传播、敏感端口异常开放、违规外联、异常DNS请求、可疑下载上传、病毒查杀异常、账号暴力破解、高风险网站访问、翻墙代理、非业务大流量下载和离网终端异常行为等安全信号，结合威胁情报、历史基线和业务特征开展关联分析，形成“采集—分析—研判—通报—处置—复盘”的工作机制，并按周、按月或按专项输出分析简报。</w:t>
      </w:r>
      <w:r/>
    </w:p>
    <w:p>
      <w:pPr>
        <w:ind w:firstLine="482"/>
        <w:jc w:val="left"/>
        <w:spacing w:line="360" w:lineRule="auto"/>
        <w:rPr>
          <w:rFonts w:ascii="宋体" w:hAnsi="宋体" w:eastAsia="宋体" w:cs="Times New Roman"/>
          <w:b/>
          <w:sz w:val="24"/>
          <w:szCs w:val="24"/>
        </w:rPr>
      </w:pPr>
      <w:r>
        <w:rPr>
          <w:rFonts w:hint="eastAsia" w:ascii="宋体" w:hAnsi="宋体" w:eastAsia="宋体" w:cs="Times New Roman"/>
          <w:b/>
          <w:color w:val="000000"/>
          <w:sz w:val="24"/>
          <w:szCs w:val="24"/>
        </w:rPr>
        <w:t xml:space="preserve">2.5 互联网行为管控融合服务</w:t>
      </w:r>
      <w:r/>
    </w:p>
    <w:p>
      <w:pPr>
        <w:ind w:firstLine="480"/>
        <w:jc w:val="left"/>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围绕全市法院互联网出口开展身份认证、应用识别、URL分类、内容过滤、动态流控、HTTPS审计、日志留存、集中策略管理、报表分析和运维保障，形成“中心统筹、节点执行、统一策略、分级处置”的服务模式。中院侧接入统一的</w:t>
      </w:r>
      <w:r>
        <w:rPr>
          <w:rFonts w:hint="eastAsia" w:ascii="宋体" w:hAnsi="宋体" w:eastAsia="宋体" w:cs="Times New Roman"/>
          <w:color w:val="000000"/>
          <w:sz w:val="24"/>
          <w:szCs w:val="24"/>
        </w:rPr>
        <w:t xml:space="preserve">互联网行为管控主控制能力，承担用户与组织架构管理、策略模板管理、日志汇聚分析、风险态势展示、报表输出、全网设备健康状态监测和统一运维管理等职能；基层法院节点侧承担本地互联网出口的访问控制、行为审计、带宽管理、异常告警和本地联动处置等职能。在身份合规、行为规范、加密流量审计、带宽保障和策略集中管理等方面，应满足法院业务正常访问保障与违规行为的识别、告警、阻断或限速要求。</w:t>
      </w:r>
      <w:r/>
    </w:p>
    <w:p>
      <w:pPr>
        <w:ind w:firstLine="482"/>
        <w:jc w:val="left"/>
        <w:spacing w:line="360" w:lineRule="auto"/>
        <w:rPr>
          <w:rFonts w:ascii="宋体" w:hAnsi="宋体" w:eastAsia="宋体" w:cs="Times New Roman"/>
          <w:b/>
          <w:sz w:val="24"/>
          <w:szCs w:val="24"/>
        </w:rPr>
      </w:pPr>
      <w:r>
        <w:rPr>
          <w:rFonts w:hint="eastAsia" w:ascii="宋体" w:hAnsi="宋体" w:eastAsia="宋体" w:cs="Times New Roman"/>
          <w:b/>
          <w:color w:val="000000"/>
          <w:sz w:val="24"/>
          <w:szCs w:val="24"/>
        </w:rPr>
        <w:t xml:space="preserve">2.6 安全事件监测、协助处置与应急响应</w:t>
      </w:r>
      <w:r/>
    </w:p>
    <w:p>
      <w:pPr>
        <w:ind w:firstLine="480"/>
        <w:jc w:val="left"/>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服务期内，服务供应商应协助全市法院开展网络安全事件监测与处置工作。对木马病毒感染、网页篡改、系统入侵、恶意外联、勒索攻击、账号失陷、数据异常访问、拒绝服务攻击、恶意脚本投递、异常提权、非法网站访问、疑似数据外传和违规代理等事件，在接到通报或发现线索后及时响应，协助开展事件确认、范围排查、证据固定、影响评估、处置建议制定和恢复验证等工作。根据事件等级和影响范围，采取远程支持、现场支撑、联合研判等方式处置；对紧急事件，协助实施账号禁用、主机隔离、流量阻断、恶意文件清除、策略加固、出口封堵和应急恢复等措施。</w:t>
      </w:r>
      <w:r/>
    </w:p>
    <w:p>
      <w:pPr>
        <w:ind w:firstLine="482"/>
        <w:jc w:val="left"/>
        <w:spacing w:line="360" w:lineRule="auto"/>
        <w:rPr>
          <w:rFonts w:ascii="宋体" w:hAnsi="宋体" w:eastAsia="宋体" w:cs="Times New Roman"/>
          <w:b/>
          <w:sz w:val="24"/>
          <w:szCs w:val="24"/>
        </w:rPr>
      </w:pPr>
      <w:r>
        <w:rPr>
          <w:rFonts w:hint="eastAsia" w:ascii="宋体" w:hAnsi="宋体" w:eastAsia="宋体" w:cs="Times New Roman"/>
          <w:b/>
          <w:color w:val="000000"/>
          <w:sz w:val="24"/>
          <w:szCs w:val="24"/>
        </w:rPr>
        <w:t xml:space="preserve">2.7 法院行业攻防演练实战支撑</w:t>
      </w:r>
      <w:r/>
    </w:p>
    <w:p>
      <w:pPr>
        <w:ind w:firstLine="480"/>
        <w:jc w:val="left"/>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服务供应商应深度参与2026年度法院行业攻防演练，围绕“赛前准备、赛中值守、赛后复盘”三个阶段提供实战支撑。赛前协助开展演练范围梳理、攻击面核查、风险排查、重点系统加固、账号权限梳理、边界暴露收敛、互联网出口策略核查、重点资产值守清单制定；演练期间提供现场或驻场支持，建立监测值守、告警研判、线索通报、事件升级、处置闭环和结果留痕机制；演练结束后形成实战复盘报告，总结暴露面管理、终端防护、账号安全、边界策略、日志审计、行为管控、协同响应等方面的问题，提出针对性提升建议并推动纳入后续巡检和整改计划。</w:t>
      </w:r>
      <w:r/>
    </w:p>
    <w:p>
      <w:pPr>
        <w:ind w:firstLine="480"/>
        <w:jc w:val="left"/>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（1）防守队</w:t>
      </w:r>
      <w:r/>
    </w:p>
    <w:p>
      <w:pPr>
        <w:ind w:firstLine="480"/>
        <w:jc w:val="left"/>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提供一组防守队，在网络安全攻防演练期间现场防守并结合大数据分析、人工智能等技术手段围绕资产、漏洞、威胁、事件提供7*24小时的在线值守和快速处置闭环服务，每天根据防守要求，出具当天防守报告，溯源报告等内容。防守的范围包括连云港市中级人民法院内外网以及7家区县法院互联网业务系统，</w:t>
      </w:r>
      <w:r>
        <w:rPr>
          <w:rFonts w:hint="eastAsia" w:ascii="宋体" w:hAnsi="宋体" w:eastAsia="宋体" w:cs="Times New Roman"/>
          <w:color w:val="000000"/>
          <w:sz w:val="24"/>
          <w:szCs w:val="24"/>
        </w:rPr>
        <w:t xml:space="preserve">并根据区县法院安全状况，出具加固方案及提供相应的安全防护设备。</w:t>
      </w:r>
      <w:r/>
    </w:p>
    <w:p>
      <w:pPr>
        <w:ind w:firstLine="480"/>
        <w:jc w:val="left"/>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（2）攻击队</w:t>
      </w:r>
      <w:r/>
    </w:p>
    <w:p>
      <w:pPr>
        <w:ind w:firstLine="480"/>
        <w:jc w:val="left"/>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提供一组攻击队，通过模拟攻击技术、防御体系渗透、验证安全设备有效性等多种安全测试手段检验防守方的安全防护能力、应急响应机制以及系统脆弱性，至少在一次全国网络安全攻防演练中保证中院在网络安全攻防演练中排名不低于省内前三。</w:t>
      </w:r>
      <w:r/>
    </w:p>
    <w:p>
      <w:pPr>
        <w:ind w:firstLine="480"/>
        <w:jc w:val="left"/>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（3）巡检队</w:t>
      </w:r>
      <w:r/>
    </w:p>
    <w:p>
      <w:pPr>
        <w:ind w:firstLine="480"/>
        <w:jc w:val="left"/>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提供一组巡检队，通过每季度至少对全市法院进行一次网络安全和数据安全巡检，并向中院提交巡检报告。巡检内容包括网络安全设备是否配备齐全，安全设备策略是否合规，内外网系统是否存在高危漏洞、高危端口、弱口令、病毒等问题。</w:t>
      </w:r>
      <w:r/>
    </w:p>
    <w:p>
      <w:pPr>
        <w:ind w:firstLine="482"/>
        <w:jc w:val="left"/>
        <w:spacing w:line="360" w:lineRule="auto"/>
        <w:rPr>
          <w:rFonts w:eastAsia="宋体"/>
        </w:rPr>
      </w:pPr>
      <w:r>
        <w:rPr>
          <w:rFonts w:hint="eastAsia" w:ascii="宋体" w:hAnsi="宋体" w:eastAsia="宋体" w:cs="Times New Roman"/>
          <w:b/>
          <w:color w:val="000000"/>
          <w:sz w:val="24"/>
          <w:szCs w:val="24"/>
        </w:rPr>
        <w:t xml:space="preserve">2.8配套服务工具要求</w:t>
      </w:r>
      <w:r/>
    </w:p>
    <w:p>
      <w:pPr>
        <w:ind w:firstLine="480"/>
        <w:spacing w:line="360" w:lineRule="auto"/>
        <w:rPr>
          <w:sz w:val="24"/>
          <w:szCs w:val="24"/>
        </w:rPr>
      </w:pPr>
      <w:r>
        <w:rPr>
          <w:rFonts w:hint="eastAsia" w:ascii="Times New Roman" w:hAnsi="Times New Roman"/>
          <w:sz w:val="24"/>
          <w:szCs w:val="24"/>
        </w:rPr>
        <w:t xml:space="preserve">在攻防演练期间，根据各级法院实际网络环境配备防火墙、潜伏威胁探针和终端安全防护软件部署在外网环境内</w:t>
      </w:r>
      <w:r>
        <w:rPr>
          <w:rFonts w:hint="eastAsia"/>
          <w:sz w:val="24"/>
          <w:szCs w:val="24"/>
        </w:rPr>
        <w:t xml:space="preserve">，提升整体攻防演练期间以及常态化安全运营过程中告警事件的检测时效性及处置效果。</w:t>
      </w:r>
      <w:r/>
    </w:p>
    <w:p>
      <w:pPr>
        <w:ind w:firstLine="480"/>
        <w:spacing w:line="360" w:lineRule="auto"/>
        <w:rPr>
          <w:rFonts w:ascii="Times New Roman" w:hAnsi="Times New Roman"/>
          <w:sz w:val="24"/>
          <w:szCs w:val="24"/>
        </w:rPr>
      </w:pPr>
      <w:r>
        <w:rPr>
          <w:rFonts w:hint="eastAsia" w:ascii="Times New Roman" w:hAnsi="Times New Roman"/>
          <w:sz w:val="24"/>
          <w:szCs w:val="24"/>
        </w:rPr>
        <w:t xml:space="preserve">（</w:t>
      </w:r>
      <w:r>
        <w:rPr>
          <w:rFonts w:hint="eastAsia" w:ascii="Times New Roman" w:hAnsi="Times New Roman"/>
          <w:sz w:val="24"/>
          <w:szCs w:val="24"/>
        </w:rPr>
        <w:t xml:space="preserve">1</w:t>
      </w:r>
      <w:r>
        <w:rPr>
          <w:rFonts w:hint="eastAsia" w:ascii="Times New Roman" w:hAnsi="Times New Roman"/>
          <w:sz w:val="24"/>
          <w:szCs w:val="24"/>
        </w:rPr>
        <w:t xml:space="preserve">）</w:t>
      </w:r>
      <w:r>
        <w:rPr>
          <w:rFonts w:hint="eastAsia"/>
          <w:sz w:val="24"/>
          <w:szCs w:val="24"/>
        </w:rPr>
        <w:t xml:space="preserve">防火墙</w:t>
      </w:r>
      <w:r/>
    </w:p>
    <w:p>
      <w:pPr>
        <w:ind w:firstLine="480"/>
        <w:spacing w:line="360" w:lineRule="auto"/>
        <w:rPr>
          <w:rFonts w:ascii="Times New Roman" w:hAnsi="Times New Roman"/>
          <w:sz w:val="24"/>
          <w:szCs w:val="24"/>
        </w:rPr>
      </w:pPr>
      <w:r>
        <w:rPr>
          <w:rFonts w:hint="eastAsia"/>
          <w:sz w:val="24"/>
          <w:szCs w:val="24"/>
        </w:rPr>
        <w:t xml:space="preserve">承担互联网流量以及内部威胁的检测拦截能力，针对外部的恶意攻击和请求（如：勒索攻击、未知威胁攻击）拦截管控以及内部主机存在异常外联的识别等工作。为安全检测与响应平台提供网络侧联动联防的闭环处置效果。</w:t>
      </w:r>
      <w:r/>
    </w:p>
    <w:p>
      <w:pPr>
        <w:ind w:firstLine="480"/>
        <w:spacing w:line="360" w:lineRule="auto"/>
        <w:rPr>
          <w:rFonts w:ascii="Times New Roman" w:hAnsi="Times New Roman"/>
          <w:sz w:val="24"/>
          <w:szCs w:val="24"/>
        </w:rPr>
      </w:pPr>
      <w:r>
        <w:rPr>
          <w:rFonts w:hint="eastAsia" w:ascii="Times New Roman" w:hAnsi="Times New Roman"/>
          <w:sz w:val="24"/>
          <w:szCs w:val="24"/>
        </w:rPr>
        <w:t xml:space="preserve">（</w:t>
      </w:r>
      <w:r>
        <w:rPr>
          <w:rFonts w:hint="eastAsia" w:ascii="Times New Roman" w:hAnsi="Times New Roman"/>
          <w:sz w:val="24"/>
          <w:szCs w:val="24"/>
        </w:rPr>
        <w:t xml:space="preserve">2</w:t>
      </w:r>
      <w:r>
        <w:rPr>
          <w:rFonts w:hint="eastAsia" w:ascii="Times New Roman" w:hAnsi="Times New Roman"/>
          <w:sz w:val="24"/>
          <w:szCs w:val="24"/>
        </w:rPr>
        <w:t xml:space="preserve">）</w:t>
      </w:r>
      <w:r>
        <w:rPr>
          <w:rFonts w:hint="eastAsia"/>
          <w:sz w:val="24"/>
          <w:szCs w:val="24"/>
        </w:rPr>
        <w:t xml:space="preserve">流量采集探针</w:t>
      </w:r>
      <w:r/>
    </w:p>
    <w:p>
      <w:pPr>
        <w:ind w:firstLine="480"/>
        <w:spacing w:line="360" w:lineRule="auto"/>
        <w:rPr>
          <w:rFonts w:ascii="Times New Roman" w:hAnsi="Times New Roman"/>
          <w:sz w:val="24"/>
          <w:szCs w:val="24"/>
        </w:rPr>
      </w:pPr>
      <w:r>
        <w:rPr>
          <w:rFonts w:hint="eastAsia" w:ascii="Times New Roman" w:hAnsi="Times New Roman"/>
          <w:sz w:val="24"/>
          <w:szCs w:val="24"/>
        </w:rPr>
        <w:t xml:space="preserve">承担</w:t>
      </w:r>
      <w:r>
        <w:rPr>
          <w:rFonts w:hint="eastAsia"/>
          <w:sz w:val="24"/>
          <w:szCs w:val="24"/>
        </w:rPr>
        <w:t xml:space="preserve">互联网流量的采集工作，为安全检测与响应平台提供流量分析依据以及完成攻击溯源闭环。</w:t>
      </w:r>
      <w:r/>
    </w:p>
    <w:p>
      <w:pPr>
        <w:ind w:firstLine="480"/>
        <w:spacing w:line="360" w:lineRule="auto"/>
        <w:rPr>
          <w:rFonts w:ascii="Times New Roman" w:hAnsi="Times New Roman"/>
          <w:sz w:val="24"/>
          <w:szCs w:val="24"/>
        </w:rPr>
      </w:pPr>
      <w:r>
        <w:rPr>
          <w:rFonts w:hint="eastAsia" w:ascii="Times New Roman" w:hAnsi="Times New Roman"/>
          <w:sz w:val="24"/>
          <w:szCs w:val="24"/>
        </w:rPr>
        <w:t xml:space="preserve">（</w:t>
      </w:r>
      <w:r>
        <w:rPr>
          <w:rFonts w:hint="eastAsia" w:ascii="Times New Roman" w:hAnsi="Times New Roman"/>
          <w:sz w:val="24"/>
          <w:szCs w:val="24"/>
        </w:rPr>
        <w:t xml:space="preserve">3</w:t>
      </w:r>
      <w:r>
        <w:rPr>
          <w:rFonts w:hint="eastAsia" w:ascii="Times New Roman" w:hAnsi="Times New Roman"/>
          <w:sz w:val="24"/>
          <w:szCs w:val="24"/>
        </w:rPr>
        <w:t xml:space="preserve">）</w:t>
      </w:r>
      <w:r>
        <w:rPr>
          <w:rFonts w:hint="eastAsia"/>
          <w:sz w:val="24"/>
          <w:szCs w:val="24"/>
        </w:rPr>
        <w:t xml:space="preserve">终端安全防护软件</w:t>
      </w:r>
      <w:r/>
    </w:p>
    <w:p>
      <w:pPr>
        <w:ind w:firstLine="480"/>
        <w:spacing w:line="360" w:lineRule="auto"/>
        <w:rPr>
          <w:sz w:val="24"/>
          <w:szCs w:val="24"/>
        </w:rPr>
      </w:pPr>
      <w:r>
        <w:rPr>
          <w:rFonts w:hint="eastAsia"/>
          <w:sz w:val="24"/>
          <w:szCs w:val="24"/>
        </w:rPr>
        <w:t xml:space="preserve">承担互联网业务主机侧的病毒检测和查杀能力，为安全检测与响应平台提供终端侧联动联防的闭环处置效果。</w:t>
      </w:r>
      <w:r/>
    </w:p>
    <w:p>
      <w:pPr>
        <w:ind w:firstLine="480"/>
        <w:spacing w:line="360" w:lineRule="auto"/>
        <w:rPr>
          <w:rFonts w:ascii="Times New Roman" w:hAnsi="Times New Roman"/>
          <w:sz w:val="24"/>
          <w:szCs w:val="24"/>
        </w:rPr>
      </w:pPr>
      <w:r>
        <w:rPr>
          <w:rFonts w:hint="eastAsia" w:ascii="Times New Roman" w:hAnsi="Times New Roman"/>
          <w:sz w:val="24"/>
          <w:szCs w:val="24"/>
        </w:rPr>
        <w:t xml:space="preserve">根据市委网信办要求，提供突发网络安全事件的现场技术支持服务。如某辖区或单位的网站或重要系统遇突发情况，造成了影响较大的安全事件，应急响应工程师须在半小时内响应，快速确定问题的根源，阻止或最小化安全事件带来的负面影响，有效遏制网络安全事件蔓延。</w:t>
      </w:r>
      <w:r/>
    </w:p>
    <w:p>
      <w:pPr>
        <w:ind w:firstLine="482"/>
        <w:jc w:val="left"/>
        <w:spacing w:line="360" w:lineRule="auto"/>
        <w:rPr>
          <w:rFonts w:ascii="宋体" w:hAnsi="宋体" w:eastAsia="宋体" w:cs="Times New Roman"/>
          <w:b/>
          <w:sz w:val="24"/>
          <w:szCs w:val="24"/>
        </w:rPr>
      </w:pPr>
      <w:r>
        <w:rPr>
          <w:rFonts w:hint="eastAsia" w:ascii="宋体" w:hAnsi="宋体" w:eastAsia="宋体" w:cs="Times New Roman"/>
          <w:b/>
          <w:color w:val="000000"/>
          <w:sz w:val="24"/>
          <w:szCs w:val="24"/>
        </w:rPr>
        <w:t xml:space="preserve">2.9 资产梳理、基线核查与新系统上线安全检查</w:t>
      </w:r>
      <w:r/>
    </w:p>
    <w:p>
      <w:pPr>
        <w:ind w:firstLine="480"/>
        <w:jc w:val="left"/>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在年度服务过程中，项目组应持续协助甲方开展资产梳理和基线核查，对IP地址、端口、主机名称、系统版本、部署位置、管理责任人、网络区域、开放服务、中间件组件、数据库类型、安全设备关联关系、互联网出口链路、行为管控节点和终端接入情况等信息进行摸排和更新，形成可维护、可查询、可支撑分析的资产清单。对拟上线的新系统，应在上线前开展安全测试和风险评估，避免系统“带病上线”。资产梳理和基线核查工作应与“两高一弱”巡检、漏洞防护和互联网行为管控工作相互衔接。</w:t>
      </w:r>
      <w:r/>
    </w:p>
    <w:p>
      <w:pPr>
        <w:ind w:firstLine="482"/>
        <w:jc w:val="left"/>
        <w:spacing w:line="360" w:lineRule="auto"/>
        <w:rPr>
          <w:rFonts w:ascii="宋体" w:hAnsi="宋体" w:eastAsia="宋体" w:cs="Times New Roman"/>
          <w:b/>
          <w:sz w:val="24"/>
          <w:szCs w:val="24"/>
        </w:rPr>
      </w:pPr>
      <w:r>
        <w:rPr>
          <w:rFonts w:hint="eastAsia" w:ascii="宋体" w:hAnsi="宋体" w:eastAsia="宋体" w:cs="Times New Roman"/>
          <w:b/>
          <w:color w:val="000000"/>
          <w:sz w:val="24"/>
          <w:szCs w:val="24"/>
        </w:rPr>
        <w:t xml:space="preserve">2.10 重点时期安全保障、应急演练与培训通报</w:t>
      </w:r>
      <w:r/>
    </w:p>
    <w:p>
      <w:pPr>
        <w:ind w:firstLine="480"/>
        <w:jc w:val="left"/>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在全国两会、重大节庆、重要会议、重大活动及法</w:t>
      </w:r>
      <w:r>
        <w:rPr>
          <w:rFonts w:hint="eastAsia" w:ascii="宋体" w:hAnsi="宋体" w:eastAsia="宋体" w:cs="Times New Roman"/>
          <w:color w:val="000000"/>
          <w:sz w:val="24"/>
          <w:szCs w:val="24"/>
        </w:rPr>
        <w:t xml:space="preserve">院系统重保时期，服务供应商应按甲方要求提供重点时期安全保障服务，强化预警监测、告警研判、值班值守、风险复核、互联网出口策略核查和应急处置支持，必要时开展7×24小时保障或关键时段现场驻守。结合年度工作安排组织开展安全应急演练或桌面推演，检验应急预案的可执行性、协同机制的顺畅性和技术措施的有效性。面向中院及基层法院相关人员开展网络安全培训、案例宣贯和风险通报，内容涵盖“两高一弱”问题防范、高危漏洞应对、钓鱼邮件识别、终端安全使用、账号口令管理、互联网访问规范、敏感数据保护、攻防演练经验总结和平台管理员操作等。</w:t>
      </w:r>
      <w:r/>
    </w:p>
    <w:p>
      <w:pPr>
        <w:ind w:firstLine="482"/>
        <w:jc w:val="left"/>
        <w:spacing w:line="360" w:lineRule="auto"/>
        <w:rPr>
          <w:rFonts w:ascii="宋体" w:hAnsi="宋体" w:eastAsia="宋体" w:cs="Times New Roman"/>
          <w:b/>
          <w:sz w:val="24"/>
          <w:szCs w:val="24"/>
        </w:rPr>
      </w:pPr>
      <w:r>
        <w:rPr>
          <w:rFonts w:hint="eastAsia" w:ascii="宋体" w:hAnsi="宋体" w:eastAsia="宋体" w:cs="Times New Roman"/>
          <w:b/>
          <w:color w:val="000000"/>
          <w:sz w:val="24"/>
          <w:szCs w:val="24"/>
        </w:rPr>
        <w:t xml:space="preserve">2.11 成果交付与服务要求</w:t>
      </w:r>
      <w:r/>
    </w:p>
    <w:p>
      <w:pPr>
        <w:ind w:firstLine="480"/>
        <w:jc w:val="left"/>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服务期内，</w:t>
      </w:r>
      <w:r>
        <w:rPr>
          <w:rFonts w:hint="eastAsia" w:ascii="宋体" w:hAnsi="宋体" w:eastAsia="宋体" w:cs="Times New Roman"/>
          <w:color w:val="000000"/>
          <w:sz w:val="24"/>
          <w:szCs w:val="24"/>
        </w:rPr>
        <w:t xml:space="preserve">服务供应商应按季度、按专项、按事件和按平台运维要求输出相应工作成果，包括季度“两高一弱”巡检报告、漏洞排查和防护处置清单、内网安全数据分析简报、互联网行为审计分析报告、安全事件处置记录、重点时期保障报告、攻防演练保障报告、平台试运行报告、策略配置记录、培训材料、专题分析报告和年度总结报告等。各类交付成果应做到问题描述准确、风险分级清晰、整改建议可执行、处置过程可追溯、数据引用有依据。供应商应建立项目经理负责制和专业团队支撑机制，确保沟通渠道畅通、响应及时、人员稳定、过程可控，所有项目参与人员应遵守保密要求。</w:t>
      </w:r>
      <w:r/>
    </w:p>
    <w:p>
      <w:pPr>
        <w:ind w:firstLine="482"/>
        <w:jc w:val="left"/>
        <w:spacing w:line="360" w:lineRule="auto"/>
        <w:rPr>
          <w:rFonts w:ascii="宋体" w:hAnsi="宋体" w:eastAsia="宋体" w:cs="Times New Roman"/>
          <w:b/>
          <w:color w:val="000000"/>
          <w:sz w:val="24"/>
          <w:szCs w:val="24"/>
        </w:rPr>
      </w:pPr>
      <w:r>
        <w:rPr>
          <w:rFonts w:hint="eastAsia" w:ascii="宋体" w:hAnsi="宋体" w:eastAsia="宋体" w:cs="Times New Roman"/>
          <w:b/>
          <w:color w:val="000000"/>
          <w:sz w:val="24"/>
          <w:szCs w:val="24"/>
        </w:rPr>
        <w:t xml:space="preserve">三、服务期间内配套软、硬件技术工具要求</w:t>
      </w:r>
      <w:r/>
    </w:p>
    <w:p>
      <w:pPr>
        <w:spacing w:line="360" w:lineRule="auto"/>
        <w:rPr>
          <w:rFonts w:cs="Times New Roman" w:asciiTheme="minorEastAsia" w:hAnsiTheme="minorEastAsia"/>
          <w:b/>
          <w:bCs/>
          <w:sz w:val="24"/>
        </w:rPr>
      </w:pPr>
      <w:r>
        <w:rPr>
          <w:rFonts w:hint="eastAsia" w:cs="Times New Roman" w:asciiTheme="minorEastAsia" w:hAnsiTheme="minorEastAsia"/>
          <w:b/>
          <w:bCs/>
          <w:sz w:val="24"/>
          <w:szCs w:val="24"/>
        </w:rPr>
        <w:t xml:space="preserve">3.1</w:t>
      </w:r>
      <w:r>
        <w:rPr>
          <w:rFonts w:hint="eastAsia" w:cs="Times New Roman" w:asciiTheme="minorEastAsia" w:hAnsiTheme="minorEastAsia"/>
          <w:b/>
          <w:bCs/>
          <w:sz w:val="24"/>
        </w:rPr>
        <w:t xml:space="preserve">技术服务工具清单</w:t>
      </w:r>
      <w:r/>
    </w:p>
    <w:tbl>
      <w:tblPr>
        <w:tblW w:w="4998" w:type="pct"/>
        <w:jc w:val="center"/>
        <w:tblLook w:val="04A0" w:firstRow="1" w:lastRow="0" w:firstColumn="1" w:lastColumn="0" w:noHBand="0" w:noVBand="1"/>
      </w:tblPr>
      <w:tblGrid>
        <w:gridCol w:w="1101"/>
        <w:gridCol w:w="4818"/>
        <w:gridCol w:w="1206"/>
        <w:gridCol w:w="1394"/>
      </w:tblGrid>
      <w:tr>
        <w:trPr>
          <w:jc w:val="center"/>
          <w:trHeight w:val="377"/>
        </w:trPr>
        <w:tc>
          <w:tcPr>
            <w:tcBorders>
              <w:top w:val="single" w:color="auto" w:sz="8" w:space="0"/>
              <w:left w:val="single" w:color="auto" w:sz="8" w:space="0"/>
              <w:bottom w:val="single" w:color="auto" w:sz="4" w:space="0"/>
              <w:right w:val="single" w:color="auto" w:sz="4" w:space="0"/>
            </w:tcBorders>
            <w:tcW w:w="646" w:type="pct"/>
            <w:vAlign w:val="center"/>
            <w:textDirection w:val="lrTb"/>
            <w:noWrap w:val="false"/>
          </w:tcPr>
          <w:p>
            <w:pPr>
              <w:jc w:val="center"/>
              <w:spacing w:line="360" w:lineRule="auto"/>
              <w:widowControl/>
              <w:rPr>
                <w:rFonts w:cs="Times New Roman" w:asciiTheme="minorEastAsia" w:hAnsiTheme="minorEastAsia"/>
                <w:b/>
                <w:color w:val="000000"/>
                <w:sz w:val="24"/>
                <w:szCs w:val="24"/>
              </w:rPr>
            </w:pPr>
            <w:r>
              <w:rPr>
                <w:rFonts w:cs="Times New Roman" w:asciiTheme="minorEastAsia" w:hAnsiTheme="minorEastAsia"/>
                <w:b/>
                <w:color w:val="000000"/>
                <w:sz w:val="24"/>
                <w:szCs w:val="24"/>
              </w:rPr>
              <w:t xml:space="preserve">序号</w:t>
            </w:r>
            <w:r/>
          </w:p>
        </w:tc>
        <w:tc>
          <w:tcPr>
            <w:tcBorders>
              <w:top w:val="single" w:color="auto" w:sz="8" w:space="0"/>
              <w:left w:val="none" w:color="000000" w:sz="4" w:space="0"/>
              <w:bottom w:val="single" w:color="auto" w:sz="4" w:space="0"/>
              <w:right w:val="single" w:color="auto" w:sz="4" w:space="0"/>
            </w:tcBorders>
            <w:tcW w:w="2828" w:type="pct"/>
            <w:vAlign w:val="center"/>
            <w:textDirection w:val="lrTb"/>
            <w:noWrap w:val="false"/>
          </w:tcPr>
          <w:p>
            <w:pPr>
              <w:jc w:val="center"/>
              <w:spacing w:line="360" w:lineRule="auto"/>
              <w:widowControl/>
              <w:rPr>
                <w:rFonts w:cs="Times New Roman" w:asciiTheme="minorEastAsia" w:hAnsiTheme="minorEastAsia"/>
                <w:b/>
                <w:color w:val="000000"/>
                <w:sz w:val="24"/>
                <w:szCs w:val="24"/>
              </w:rPr>
            </w:pPr>
            <w:r>
              <w:rPr>
                <w:rFonts w:cs="Times New Roman" w:asciiTheme="minorEastAsia" w:hAnsiTheme="minorEastAsia"/>
                <w:b/>
                <w:color w:val="000000"/>
                <w:sz w:val="24"/>
                <w:szCs w:val="24"/>
              </w:rPr>
              <w:t xml:space="preserve">货物名称</w:t>
            </w:r>
            <w:r/>
          </w:p>
        </w:tc>
        <w:tc>
          <w:tcPr>
            <w:tcBorders>
              <w:top w:val="single" w:color="auto" w:sz="8" w:space="0"/>
              <w:left w:val="none" w:color="000000" w:sz="4" w:space="0"/>
              <w:bottom w:val="single" w:color="auto" w:sz="4" w:space="0"/>
              <w:right w:val="single" w:color="auto" w:sz="4" w:space="0"/>
            </w:tcBorders>
            <w:tcW w:w="708" w:type="pct"/>
            <w:vAlign w:val="center"/>
            <w:textDirection w:val="lrTb"/>
            <w:noWrap w:val="false"/>
          </w:tcPr>
          <w:p>
            <w:pPr>
              <w:jc w:val="center"/>
              <w:spacing w:line="360" w:lineRule="auto"/>
              <w:widowControl/>
              <w:rPr>
                <w:rFonts w:cs="Times New Roman" w:asciiTheme="minorEastAsia" w:hAnsiTheme="minorEastAsia"/>
                <w:b/>
                <w:color w:val="000000"/>
                <w:sz w:val="24"/>
                <w:szCs w:val="24"/>
              </w:rPr>
            </w:pPr>
            <w:r>
              <w:rPr>
                <w:rFonts w:cs="Times New Roman" w:asciiTheme="minorEastAsia" w:hAnsiTheme="minorEastAsia"/>
                <w:b/>
                <w:color w:val="000000"/>
                <w:sz w:val="24"/>
                <w:szCs w:val="24"/>
              </w:rPr>
              <w:t xml:space="preserve">单位</w:t>
            </w:r>
            <w:r/>
          </w:p>
        </w:tc>
        <w:tc>
          <w:tcPr>
            <w:tcBorders>
              <w:top w:val="single" w:color="auto" w:sz="8" w:space="0"/>
              <w:left w:val="none" w:color="000000" w:sz="4" w:space="0"/>
              <w:bottom w:val="single" w:color="auto" w:sz="4" w:space="0"/>
              <w:right w:val="single" w:color="auto" w:sz="4" w:space="0"/>
            </w:tcBorders>
            <w:tcW w:w="818" w:type="pct"/>
            <w:vAlign w:val="center"/>
            <w:textDirection w:val="lrTb"/>
            <w:noWrap w:val="false"/>
          </w:tcPr>
          <w:p>
            <w:pPr>
              <w:jc w:val="center"/>
              <w:spacing w:line="360" w:lineRule="auto"/>
              <w:widowControl/>
              <w:rPr>
                <w:rFonts w:cs="Times New Roman" w:asciiTheme="minorEastAsia" w:hAnsiTheme="minorEastAsia"/>
                <w:b/>
                <w:color w:val="000000"/>
                <w:sz w:val="24"/>
                <w:szCs w:val="24"/>
              </w:rPr>
            </w:pPr>
            <w:r>
              <w:rPr>
                <w:rFonts w:cs="Times New Roman" w:asciiTheme="minorEastAsia" w:hAnsiTheme="minorEastAsia"/>
                <w:b/>
                <w:color w:val="000000"/>
                <w:sz w:val="24"/>
                <w:szCs w:val="24"/>
              </w:rPr>
              <w:t xml:space="preserve">数量</w:t>
            </w:r>
            <w:r/>
          </w:p>
        </w:tc>
      </w:tr>
      <w:tr>
        <w:trPr>
          <w:jc w:val="center"/>
          <w:trHeight w:val="385"/>
        </w:trPr>
        <w:tc>
          <w:tcPr>
            <w:tcBorders>
              <w:top w:val="single" w:color="auto" w:sz="4" w:space="0"/>
              <w:left w:val="single" w:color="auto" w:sz="4" w:space="0"/>
              <w:bottom w:val="single" w:color="auto" w:sz="4" w:space="0"/>
              <w:right w:val="single" w:color="auto" w:sz="4" w:space="0"/>
            </w:tcBorders>
            <w:tcW w:w="646" w:type="pct"/>
            <w:vAlign w:val="center"/>
            <w:textDirection w:val="lrTb"/>
            <w:noWrap w:val="false"/>
          </w:tcPr>
          <w:p>
            <w:pPr>
              <w:jc w:val="center"/>
              <w:spacing w:line="360" w:lineRule="auto"/>
              <w:widowControl/>
              <w:rPr>
                <w:rFonts w:cs="Times New Roman" w:asciiTheme="minorEastAsia" w:hAnsiTheme="minorEastAsia"/>
                <w:color w:val="000000"/>
                <w:sz w:val="24"/>
                <w:szCs w:val="24"/>
              </w:rPr>
            </w:pPr>
            <w:r>
              <w:rPr>
                <w:rFonts w:cs="Times New Roman" w:asciiTheme="minorEastAsia" w:hAnsiTheme="minorEastAsia"/>
                <w:color w:val="000000"/>
                <w:sz w:val="24"/>
                <w:szCs w:val="24"/>
              </w:rPr>
              <w:t xml:space="preserve">1</w:t>
            </w:r>
            <w:r/>
          </w:p>
        </w:tc>
        <w:tc>
          <w:tcPr>
            <w:tcBorders>
              <w:top w:val="single" w:color="auto" w:sz="4" w:space="0"/>
              <w:left w:val="none" w:color="000000" w:sz="4" w:space="0"/>
              <w:bottom w:val="single" w:color="auto" w:sz="4" w:space="0"/>
              <w:right w:val="single" w:color="auto" w:sz="4" w:space="0"/>
            </w:tcBorders>
            <w:tcW w:w="2828" w:type="pct"/>
            <w:vAlign w:val="center"/>
            <w:textDirection w:val="lrTb"/>
            <w:noWrap w:val="false"/>
          </w:tcPr>
          <w:p>
            <w:pPr>
              <w:jc w:val="center"/>
              <w:spacing w:line="360" w:lineRule="auto"/>
              <w:widowControl/>
              <w:rPr>
                <w:rFonts w:cs="Times New Roman" w:asciiTheme="minorEastAsia" w:hAnsiTheme="minorEastAsia"/>
                <w:color w:val="000000"/>
                <w:sz w:val="24"/>
                <w:szCs w:val="24"/>
              </w:rPr>
            </w:pPr>
            <w:r>
              <w:rPr>
                <w:rFonts w:hint="eastAsia" w:cs="宋体" w:asciiTheme="minorEastAsia" w:hAnsiTheme="minorEastAsia"/>
                <w:sz w:val="24"/>
                <w:szCs w:val="24"/>
              </w:rPr>
              <w:t xml:space="preserve">连云港市中级人民法院互联网行为管控平台</w:t>
            </w:r>
            <w:r/>
          </w:p>
        </w:tc>
        <w:tc>
          <w:tcPr>
            <w:tcBorders>
              <w:top w:val="single" w:color="auto" w:sz="4" w:space="0"/>
              <w:left w:val="single" w:color="auto" w:sz="4" w:space="0"/>
              <w:bottom w:val="single" w:color="auto" w:sz="4" w:space="0"/>
              <w:right w:val="single" w:color="auto" w:sz="4" w:space="0"/>
            </w:tcBorders>
            <w:tcW w:w="708" w:type="pct"/>
            <w:vAlign w:val="center"/>
            <w:textDirection w:val="lrTb"/>
            <w:noWrap w:val="false"/>
          </w:tcPr>
          <w:p>
            <w:pPr>
              <w:jc w:val="center"/>
              <w:spacing w:line="360" w:lineRule="auto"/>
              <w:widowControl/>
              <w:rPr>
                <w:rFonts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台</w:t>
            </w:r>
            <w:r/>
          </w:p>
        </w:tc>
        <w:tc>
          <w:tcPr>
            <w:tcBorders>
              <w:top w:val="single" w:color="auto" w:sz="4" w:space="0"/>
              <w:left w:val="none" w:color="000000" w:sz="4" w:space="0"/>
              <w:bottom w:val="single" w:color="auto" w:sz="4" w:space="0"/>
              <w:right w:val="single" w:color="auto" w:sz="4" w:space="0"/>
            </w:tcBorders>
            <w:tcW w:w="818" w:type="pct"/>
            <w:vAlign w:val="center"/>
            <w:textDirection w:val="lrTb"/>
            <w:noWrap w:val="false"/>
          </w:tcPr>
          <w:p>
            <w:pPr>
              <w:jc w:val="center"/>
              <w:spacing w:line="360" w:lineRule="auto"/>
              <w:widowControl/>
              <w:rPr>
                <w:rFonts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1</w:t>
            </w:r>
            <w:r/>
          </w:p>
        </w:tc>
      </w:tr>
      <w:tr>
        <w:trPr>
          <w:jc w:val="center"/>
          <w:trHeight w:val="385"/>
        </w:trPr>
        <w:tc>
          <w:tcPr>
            <w:tcBorders>
              <w:top w:val="single" w:color="auto" w:sz="4" w:space="0"/>
              <w:left w:val="single" w:color="auto" w:sz="4" w:space="0"/>
              <w:bottom w:val="single" w:color="auto" w:sz="4" w:space="0"/>
              <w:right w:val="single" w:color="auto" w:sz="4" w:space="0"/>
            </w:tcBorders>
            <w:tcW w:w="646" w:type="pct"/>
            <w:vAlign w:val="center"/>
            <w:textDirection w:val="lrTb"/>
            <w:noWrap w:val="false"/>
          </w:tcPr>
          <w:p>
            <w:pPr>
              <w:jc w:val="center"/>
              <w:spacing w:line="360" w:lineRule="auto"/>
              <w:widowControl/>
              <w:rPr>
                <w:rFonts w:cs="Times New Roman" w:asciiTheme="minorEastAsia" w:hAnsiTheme="minorEastAsia"/>
                <w:color w:val="000000"/>
                <w:sz w:val="24"/>
                <w:szCs w:val="24"/>
              </w:rPr>
            </w:pPr>
            <w:r>
              <w:rPr>
                <w:rFonts w:cs="Times New Roman" w:asciiTheme="minorEastAsia" w:hAnsiTheme="minorEastAsia"/>
                <w:color w:val="000000"/>
                <w:sz w:val="24"/>
                <w:szCs w:val="24"/>
              </w:rPr>
              <w:t xml:space="preserve">2</w:t>
            </w:r>
            <w:r/>
          </w:p>
        </w:tc>
        <w:tc>
          <w:tcPr>
            <w:tcBorders>
              <w:top w:val="single" w:color="auto" w:sz="4" w:space="0"/>
              <w:left w:val="none" w:color="000000" w:sz="4" w:space="0"/>
              <w:bottom w:val="single" w:color="auto" w:sz="4" w:space="0"/>
              <w:right w:val="single" w:color="auto" w:sz="4" w:space="0"/>
            </w:tcBorders>
            <w:tcW w:w="2828" w:type="pct"/>
            <w:vAlign w:val="center"/>
            <w:textDirection w:val="lrTb"/>
            <w:noWrap w:val="false"/>
          </w:tcPr>
          <w:p>
            <w:pPr>
              <w:jc w:val="center"/>
              <w:spacing w:line="360" w:lineRule="auto"/>
              <w:widowControl/>
              <w:rPr>
                <w:rFonts w:cs="Times New Roman" w:asciiTheme="minorEastAsia" w:hAnsiTheme="minorEastAsia"/>
                <w:color w:val="000000"/>
                <w:sz w:val="24"/>
                <w:szCs w:val="24"/>
              </w:rPr>
            </w:pPr>
            <w:r>
              <w:rPr>
                <w:rFonts w:hint="eastAsia" w:cs="宋体" w:asciiTheme="minorEastAsia" w:hAnsiTheme="minorEastAsia"/>
                <w:sz w:val="24"/>
                <w:szCs w:val="24"/>
              </w:rPr>
              <w:t xml:space="preserve">区县法院互联网行为管控平台</w:t>
            </w:r>
            <w:r/>
          </w:p>
        </w:tc>
        <w:tc>
          <w:tcPr>
            <w:tcBorders>
              <w:top w:val="single" w:color="auto" w:sz="4" w:space="0"/>
              <w:left w:val="single" w:color="auto" w:sz="4" w:space="0"/>
              <w:bottom w:val="single" w:color="auto" w:sz="4" w:space="0"/>
              <w:right w:val="single" w:color="auto" w:sz="4" w:space="0"/>
            </w:tcBorders>
            <w:tcW w:w="708" w:type="pct"/>
            <w:vAlign w:val="center"/>
            <w:textDirection w:val="lrTb"/>
            <w:noWrap w:val="false"/>
          </w:tcPr>
          <w:p>
            <w:pPr>
              <w:jc w:val="center"/>
              <w:spacing w:line="360" w:lineRule="auto"/>
              <w:widowControl/>
              <w:rPr>
                <w:rFonts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台</w:t>
            </w:r>
            <w:r/>
          </w:p>
        </w:tc>
        <w:tc>
          <w:tcPr>
            <w:tcBorders>
              <w:top w:val="single" w:color="auto" w:sz="4" w:space="0"/>
              <w:left w:val="none" w:color="000000" w:sz="4" w:space="0"/>
              <w:bottom w:val="single" w:color="auto" w:sz="4" w:space="0"/>
              <w:right w:val="single" w:color="auto" w:sz="4" w:space="0"/>
            </w:tcBorders>
            <w:tcW w:w="818" w:type="pct"/>
            <w:vAlign w:val="center"/>
            <w:textDirection w:val="lrTb"/>
            <w:noWrap w:val="false"/>
          </w:tcPr>
          <w:p>
            <w:pPr>
              <w:jc w:val="center"/>
              <w:spacing w:line="360" w:lineRule="auto"/>
              <w:widowControl/>
              <w:rPr>
                <w:rFonts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5</w:t>
            </w:r>
            <w:r/>
          </w:p>
        </w:tc>
      </w:tr>
      <w:tr>
        <w:trPr>
          <w:jc w:val="center"/>
          <w:trHeight w:val="385"/>
        </w:trPr>
        <w:tc>
          <w:tcPr>
            <w:tcBorders>
              <w:top w:val="single" w:color="auto" w:sz="4" w:space="0"/>
              <w:left w:val="single" w:color="auto" w:sz="4" w:space="0"/>
              <w:bottom w:val="single" w:color="auto" w:sz="4" w:space="0"/>
              <w:right w:val="single" w:color="auto" w:sz="4" w:space="0"/>
            </w:tcBorders>
            <w:tcW w:w="646" w:type="pct"/>
            <w:vAlign w:val="center"/>
            <w:textDirection w:val="lrTb"/>
            <w:noWrap w:val="false"/>
          </w:tcPr>
          <w:p>
            <w:pPr>
              <w:jc w:val="center"/>
              <w:spacing w:line="360" w:lineRule="auto"/>
              <w:widowControl/>
              <w:rPr>
                <w:rFonts w:cs="Times New Roman" w:asciiTheme="minorEastAsia" w:hAnsiTheme="minorEastAsia"/>
                <w:color w:val="000000"/>
                <w:sz w:val="24"/>
                <w:szCs w:val="24"/>
              </w:rPr>
            </w:pPr>
            <w:r>
              <w:rPr>
                <w:rFonts w:cs="Times New Roman" w:asciiTheme="minorEastAsia" w:hAnsiTheme="minorEastAsia"/>
                <w:color w:val="000000"/>
                <w:sz w:val="24"/>
                <w:szCs w:val="24"/>
              </w:rPr>
              <w:t xml:space="preserve">3</w:t>
            </w:r>
            <w:r/>
          </w:p>
        </w:tc>
        <w:tc>
          <w:tcPr>
            <w:tcBorders>
              <w:top w:val="single" w:color="auto" w:sz="4" w:space="0"/>
              <w:left w:val="none" w:color="000000" w:sz="4" w:space="0"/>
              <w:bottom w:val="single" w:color="auto" w:sz="4" w:space="0"/>
              <w:right w:val="single" w:color="auto" w:sz="4" w:space="0"/>
            </w:tcBorders>
            <w:tcW w:w="2828" w:type="pct"/>
            <w:vAlign w:val="center"/>
            <w:textDirection w:val="lrTb"/>
            <w:noWrap w:val="false"/>
          </w:tcPr>
          <w:p>
            <w:pPr>
              <w:jc w:val="center"/>
              <w:spacing w:line="360" w:lineRule="auto"/>
              <w:widowControl/>
              <w:rPr>
                <w:rFonts w:cs="Times New Roman" w:asciiTheme="minorEastAsia" w:hAnsiTheme="minorEastAsia"/>
                <w:sz w:val="24"/>
                <w:szCs w:val="24"/>
              </w:rPr>
            </w:pPr>
            <w:r>
              <w:rPr>
                <w:rFonts w:hint="eastAsia" w:cs="Times New Roman" w:asciiTheme="minorEastAsia" w:hAnsiTheme="minorEastAsia"/>
                <w:sz w:val="24"/>
                <w:szCs w:val="24"/>
              </w:rPr>
              <w:t xml:space="preserve">网络安全值守服务平台</w:t>
            </w:r>
            <w:r/>
          </w:p>
        </w:tc>
        <w:tc>
          <w:tcPr>
            <w:tcBorders>
              <w:top w:val="single" w:color="auto" w:sz="4" w:space="0"/>
              <w:left w:val="single" w:color="auto" w:sz="4" w:space="0"/>
              <w:bottom w:val="single" w:color="auto" w:sz="4" w:space="0"/>
              <w:right w:val="single" w:color="auto" w:sz="4" w:space="0"/>
            </w:tcBorders>
            <w:tcW w:w="708" w:type="pct"/>
            <w:vAlign w:val="center"/>
            <w:textDirection w:val="lrTb"/>
            <w:noWrap w:val="false"/>
          </w:tcPr>
          <w:p>
            <w:pPr>
              <w:jc w:val="center"/>
              <w:spacing w:line="360" w:lineRule="auto"/>
              <w:widowControl/>
              <w:rPr>
                <w:rFonts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套</w:t>
            </w:r>
            <w:r/>
          </w:p>
        </w:tc>
        <w:tc>
          <w:tcPr>
            <w:tcBorders>
              <w:top w:val="single" w:color="auto" w:sz="4" w:space="0"/>
              <w:left w:val="none" w:color="000000" w:sz="4" w:space="0"/>
              <w:bottom w:val="single" w:color="auto" w:sz="4" w:space="0"/>
              <w:right w:val="single" w:color="auto" w:sz="4" w:space="0"/>
            </w:tcBorders>
            <w:tcW w:w="818" w:type="pct"/>
            <w:vAlign w:val="center"/>
            <w:textDirection w:val="lrTb"/>
            <w:noWrap w:val="false"/>
          </w:tcPr>
          <w:p>
            <w:pPr>
              <w:jc w:val="center"/>
              <w:spacing w:line="360" w:lineRule="auto"/>
              <w:widowControl/>
              <w:rPr>
                <w:rFonts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1</w:t>
            </w:r>
            <w:r/>
          </w:p>
        </w:tc>
      </w:tr>
      <w:tr>
        <w:trPr>
          <w:jc w:val="center"/>
          <w:trHeight w:val="385"/>
        </w:trPr>
        <w:tc>
          <w:tcPr>
            <w:tcBorders>
              <w:top w:val="single" w:color="auto" w:sz="4" w:space="0"/>
              <w:left w:val="single" w:color="auto" w:sz="4" w:space="0"/>
              <w:bottom w:val="single" w:color="auto" w:sz="4" w:space="0"/>
              <w:right w:val="single" w:color="auto" w:sz="4" w:space="0"/>
            </w:tcBorders>
            <w:tcW w:w="646" w:type="pct"/>
            <w:vAlign w:val="center"/>
            <w:textDirection w:val="lrTb"/>
            <w:noWrap w:val="false"/>
          </w:tcPr>
          <w:p>
            <w:pPr>
              <w:jc w:val="center"/>
              <w:spacing w:line="360" w:lineRule="auto"/>
              <w:widowControl/>
              <w:rPr>
                <w:rFonts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4</w:t>
            </w:r>
            <w:r/>
          </w:p>
        </w:tc>
        <w:tc>
          <w:tcPr>
            <w:tcBorders>
              <w:top w:val="single" w:color="auto" w:sz="4" w:space="0"/>
              <w:left w:val="none" w:color="000000" w:sz="4" w:space="0"/>
              <w:bottom w:val="single" w:color="auto" w:sz="4" w:space="0"/>
              <w:right w:val="single" w:color="auto" w:sz="4" w:space="0"/>
            </w:tcBorders>
            <w:tcW w:w="2828" w:type="pct"/>
            <w:vAlign w:val="center"/>
            <w:textDirection w:val="lrTb"/>
            <w:noWrap w:val="false"/>
          </w:tcPr>
          <w:p>
            <w:pPr>
              <w:jc w:val="center"/>
              <w:spacing w:line="360" w:lineRule="auto"/>
              <w:widowControl/>
              <w:rPr>
                <w:rFonts w:cs="Times New Roman" w:asciiTheme="minorEastAsia" w:hAnsiTheme="minorEastAsia"/>
                <w:sz w:val="24"/>
                <w:szCs w:val="24"/>
              </w:rPr>
            </w:pPr>
            <w:r>
              <w:rPr>
                <w:rFonts w:hint="eastAsia" w:cs="Times New Roman" w:asciiTheme="minorEastAsia" w:hAnsiTheme="minorEastAsia"/>
                <w:sz w:val="24"/>
                <w:szCs w:val="24"/>
              </w:rPr>
              <w:t xml:space="preserve">服务工具及</w:t>
            </w:r>
            <w:r>
              <w:rPr>
                <w:rFonts w:asciiTheme="minorEastAsia" w:hAnsiTheme="minorEastAsia"/>
                <w:sz w:val="24"/>
                <w:szCs w:val="24"/>
              </w:rPr>
              <w:t xml:space="preserve">统一运营分析</w:t>
            </w:r>
            <w:r>
              <w:rPr>
                <w:rFonts w:hint="eastAsia" w:asciiTheme="minorEastAsia" w:hAnsiTheme="minorEastAsia"/>
                <w:sz w:val="24"/>
                <w:szCs w:val="24"/>
              </w:rPr>
              <w:t xml:space="preserve">平台</w:t>
            </w:r>
            <w:r/>
          </w:p>
        </w:tc>
        <w:tc>
          <w:tcPr>
            <w:tcBorders>
              <w:top w:val="single" w:color="auto" w:sz="4" w:space="0"/>
              <w:left w:val="single" w:color="auto" w:sz="4" w:space="0"/>
              <w:bottom w:val="single" w:color="auto" w:sz="4" w:space="0"/>
              <w:right w:val="single" w:color="auto" w:sz="4" w:space="0"/>
            </w:tcBorders>
            <w:tcW w:w="708" w:type="pct"/>
            <w:vAlign w:val="center"/>
            <w:textDirection w:val="lrTb"/>
            <w:noWrap w:val="false"/>
          </w:tcPr>
          <w:p>
            <w:pPr>
              <w:jc w:val="center"/>
              <w:spacing w:line="360" w:lineRule="auto"/>
              <w:widowControl/>
              <w:rPr>
                <w:rFonts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套</w:t>
            </w:r>
            <w:r/>
          </w:p>
        </w:tc>
        <w:tc>
          <w:tcPr>
            <w:tcBorders>
              <w:top w:val="single" w:color="auto" w:sz="4" w:space="0"/>
              <w:left w:val="none" w:color="000000" w:sz="4" w:space="0"/>
              <w:bottom w:val="single" w:color="auto" w:sz="4" w:space="0"/>
              <w:right w:val="single" w:color="auto" w:sz="4" w:space="0"/>
            </w:tcBorders>
            <w:tcW w:w="818" w:type="pct"/>
            <w:vAlign w:val="center"/>
            <w:textDirection w:val="lrTb"/>
            <w:noWrap w:val="false"/>
          </w:tcPr>
          <w:p>
            <w:pPr>
              <w:jc w:val="center"/>
              <w:spacing w:line="360" w:lineRule="auto"/>
              <w:widowControl/>
              <w:rPr>
                <w:rFonts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1</w:t>
            </w:r>
            <w:r/>
          </w:p>
        </w:tc>
      </w:tr>
      <w:tr>
        <w:trPr>
          <w:jc w:val="center"/>
          <w:trHeight w:val="385"/>
        </w:trPr>
        <w:tc>
          <w:tcPr>
            <w:tcBorders>
              <w:top w:val="single" w:color="auto" w:sz="4" w:space="0"/>
              <w:left w:val="single" w:color="auto" w:sz="4" w:space="0"/>
              <w:bottom w:val="single" w:color="auto" w:sz="4" w:space="0"/>
              <w:right w:val="single" w:color="auto" w:sz="4" w:space="0"/>
            </w:tcBorders>
            <w:tcW w:w="646" w:type="pct"/>
            <w:vAlign w:val="center"/>
            <w:textDirection w:val="lrTb"/>
            <w:noWrap w:val="false"/>
          </w:tcPr>
          <w:p>
            <w:pPr>
              <w:jc w:val="center"/>
              <w:spacing w:line="360" w:lineRule="auto"/>
              <w:widowControl/>
              <w:rPr>
                <w:rFonts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5</w:t>
            </w:r>
            <w:r/>
          </w:p>
        </w:tc>
        <w:tc>
          <w:tcPr>
            <w:tcBorders>
              <w:top w:val="single" w:color="auto" w:sz="4" w:space="0"/>
              <w:left w:val="none" w:color="000000" w:sz="4" w:space="0"/>
              <w:bottom w:val="single" w:color="auto" w:sz="4" w:space="0"/>
              <w:right w:val="single" w:color="auto" w:sz="4" w:space="0"/>
            </w:tcBorders>
            <w:tcW w:w="2828" w:type="pct"/>
            <w:vAlign w:val="center"/>
            <w:textDirection w:val="lrTb"/>
            <w:noWrap w:val="false"/>
          </w:tcPr>
          <w:p>
            <w:pPr>
              <w:jc w:val="center"/>
              <w:spacing w:line="360" w:lineRule="auto"/>
              <w:widowControl/>
              <w:rPr>
                <w:rFonts w:cs="Times New Roman" w:asciiTheme="minorEastAsia" w:hAnsiTheme="minorEastAsia"/>
                <w:sz w:val="24"/>
                <w:szCs w:val="24"/>
              </w:rPr>
            </w:pPr>
            <w:r>
              <w:rPr>
                <w:rFonts w:hint="eastAsia" w:cs="宋体" w:asciiTheme="minorEastAsia" w:hAnsiTheme="minorEastAsia"/>
                <w:sz w:val="24"/>
                <w:szCs w:val="24"/>
              </w:rPr>
              <w:t xml:space="preserve">连云港市中级人民法院终端防护软件</w:t>
            </w:r>
            <w:r/>
          </w:p>
        </w:tc>
        <w:tc>
          <w:tcPr>
            <w:tcBorders>
              <w:top w:val="single" w:color="auto" w:sz="4" w:space="0"/>
              <w:left w:val="single" w:color="auto" w:sz="4" w:space="0"/>
              <w:bottom w:val="single" w:color="auto" w:sz="4" w:space="0"/>
              <w:right w:val="single" w:color="auto" w:sz="4" w:space="0"/>
            </w:tcBorders>
            <w:tcW w:w="708" w:type="pct"/>
            <w:vAlign w:val="center"/>
            <w:textDirection w:val="lrTb"/>
            <w:noWrap w:val="false"/>
          </w:tcPr>
          <w:p>
            <w:pPr>
              <w:jc w:val="center"/>
              <w:spacing w:line="360" w:lineRule="auto"/>
              <w:widowControl/>
              <w:rPr>
                <w:rFonts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套</w:t>
            </w:r>
            <w:r/>
          </w:p>
        </w:tc>
        <w:tc>
          <w:tcPr>
            <w:tcBorders>
              <w:top w:val="single" w:color="auto" w:sz="4" w:space="0"/>
              <w:left w:val="none" w:color="000000" w:sz="4" w:space="0"/>
              <w:bottom w:val="single" w:color="auto" w:sz="4" w:space="0"/>
              <w:right w:val="single" w:color="auto" w:sz="4" w:space="0"/>
            </w:tcBorders>
            <w:tcW w:w="818" w:type="pct"/>
            <w:vAlign w:val="center"/>
            <w:textDirection w:val="lrTb"/>
            <w:noWrap w:val="false"/>
          </w:tcPr>
          <w:p>
            <w:pPr>
              <w:jc w:val="center"/>
              <w:spacing w:line="360" w:lineRule="auto"/>
              <w:widowControl/>
              <w:rPr>
                <w:rFonts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1</w:t>
            </w:r>
            <w:r/>
          </w:p>
        </w:tc>
      </w:tr>
      <w:tr>
        <w:trPr>
          <w:jc w:val="center"/>
          <w:trHeight w:val="385"/>
        </w:trPr>
        <w:tc>
          <w:tcPr>
            <w:tcBorders>
              <w:top w:val="single" w:color="auto" w:sz="4" w:space="0"/>
              <w:left w:val="single" w:color="auto" w:sz="4" w:space="0"/>
              <w:bottom w:val="single" w:color="auto" w:sz="4" w:space="0"/>
              <w:right w:val="single" w:color="auto" w:sz="4" w:space="0"/>
            </w:tcBorders>
            <w:tcW w:w="646" w:type="pct"/>
            <w:vAlign w:val="center"/>
            <w:textDirection w:val="lrTb"/>
            <w:noWrap w:val="false"/>
          </w:tcPr>
          <w:p>
            <w:pPr>
              <w:jc w:val="center"/>
              <w:spacing w:line="360" w:lineRule="auto"/>
              <w:widowControl/>
              <w:rPr>
                <w:rFonts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6</w:t>
            </w:r>
            <w:r/>
          </w:p>
        </w:tc>
        <w:tc>
          <w:tcPr>
            <w:tcBorders>
              <w:top w:val="single" w:color="auto" w:sz="4" w:space="0"/>
              <w:left w:val="none" w:color="000000" w:sz="4" w:space="0"/>
              <w:bottom w:val="single" w:color="auto" w:sz="4" w:space="0"/>
              <w:right w:val="single" w:color="auto" w:sz="4" w:space="0"/>
            </w:tcBorders>
            <w:tcW w:w="2828" w:type="pct"/>
            <w:vAlign w:val="center"/>
            <w:textDirection w:val="lrTb"/>
            <w:noWrap w:val="false"/>
          </w:tcPr>
          <w:p>
            <w:pPr>
              <w:jc w:val="center"/>
              <w:spacing w:line="360" w:lineRule="auto"/>
              <w:widowControl/>
              <w:rPr>
                <w:rFonts w:cs="宋体" w:asciiTheme="minorEastAsia" w:hAnsiTheme="minorEastAsia"/>
                <w:sz w:val="24"/>
                <w:szCs w:val="24"/>
              </w:rPr>
            </w:pPr>
            <w:r>
              <w:rPr>
                <w:rFonts w:hint="eastAsia" w:cs="宋体" w:asciiTheme="minorEastAsia" w:hAnsiTheme="minorEastAsia"/>
                <w:sz w:val="24"/>
                <w:szCs w:val="24"/>
              </w:rPr>
              <w:t xml:space="preserve">连云港市中级人民法院探针</w:t>
            </w:r>
            <w:r/>
          </w:p>
        </w:tc>
        <w:tc>
          <w:tcPr>
            <w:tcBorders>
              <w:top w:val="single" w:color="auto" w:sz="4" w:space="0"/>
              <w:left w:val="single" w:color="auto" w:sz="4" w:space="0"/>
              <w:bottom w:val="single" w:color="auto" w:sz="4" w:space="0"/>
              <w:right w:val="single" w:color="auto" w:sz="4" w:space="0"/>
            </w:tcBorders>
            <w:tcW w:w="708" w:type="pct"/>
            <w:vAlign w:val="center"/>
            <w:textDirection w:val="lrTb"/>
            <w:noWrap w:val="false"/>
          </w:tcPr>
          <w:p>
            <w:pPr>
              <w:jc w:val="center"/>
              <w:spacing w:line="360" w:lineRule="auto"/>
              <w:widowControl/>
              <w:rPr>
                <w:rFonts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台</w:t>
            </w:r>
            <w:r/>
          </w:p>
        </w:tc>
        <w:tc>
          <w:tcPr>
            <w:tcBorders>
              <w:top w:val="single" w:color="auto" w:sz="4" w:space="0"/>
              <w:left w:val="none" w:color="000000" w:sz="4" w:space="0"/>
              <w:bottom w:val="single" w:color="auto" w:sz="4" w:space="0"/>
              <w:right w:val="single" w:color="auto" w:sz="4" w:space="0"/>
            </w:tcBorders>
            <w:tcW w:w="818" w:type="pct"/>
            <w:vAlign w:val="center"/>
            <w:textDirection w:val="lrTb"/>
            <w:noWrap w:val="false"/>
          </w:tcPr>
          <w:p>
            <w:pPr>
              <w:jc w:val="center"/>
              <w:spacing w:line="360" w:lineRule="auto"/>
              <w:widowControl/>
              <w:rPr>
                <w:rFonts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1</w:t>
            </w:r>
            <w:r/>
          </w:p>
        </w:tc>
      </w:tr>
      <w:tr>
        <w:trPr>
          <w:jc w:val="center"/>
          <w:trHeight w:val="385"/>
        </w:trPr>
        <w:tc>
          <w:tcPr>
            <w:tcBorders>
              <w:top w:val="single" w:color="auto" w:sz="4" w:space="0"/>
              <w:left w:val="single" w:color="auto" w:sz="4" w:space="0"/>
              <w:bottom w:val="single" w:color="auto" w:sz="4" w:space="0"/>
              <w:right w:val="single" w:color="auto" w:sz="4" w:space="0"/>
            </w:tcBorders>
            <w:tcW w:w="646" w:type="pct"/>
            <w:vAlign w:val="center"/>
            <w:textDirection w:val="lrTb"/>
            <w:noWrap w:val="false"/>
          </w:tcPr>
          <w:p>
            <w:pPr>
              <w:jc w:val="center"/>
              <w:spacing w:line="360" w:lineRule="auto"/>
              <w:widowControl/>
              <w:rPr>
                <w:rFonts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7</w:t>
            </w:r>
            <w:r/>
          </w:p>
        </w:tc>
        <w:tc>
          <w:tcPr>
            <w:tcBorders>
              <w:top w:val="single" w:color="auto" w:sz="4" w:space="0"/>
              <w:left w:val="none" w:color="000000" w:sz="4" w:space="0"/>
              <w:bottom w:val="single" w:color="auto" w:sz="4" w:space="0"/>
              <w:right w:val="single" w:color="auto" w:sz="4" w:space="0"/>
            </w:tcBorders>
            <w:tcW w:w="2828" w:type="pct"/>
            <w:vAlign w:val="center"/>
            <w:textDirection w:val="lrTb"/>
            <w:noWrap w:val="false"/>
          </w:tcPr>
          <w:p>
            <w:pPr>
              <w:jc w:val="center"/>
              <w:spacing w:line="360" w:lineRule="auto"/>
              <w:widowControl/>
              <w:rPr>
                <w:rFonts w:cs="宋体" w:asciiTheme="minorEastAsia" w:hAnsiTheme="minorEastAsia"/>
                <w:sz w:val="24"/>
                <w:szCs w:val="24"/>
              </w:rPr>
            </w:pPr>
            <w:r>
              <w:rPr>
                <w:rFonts w:hint="eastAsia" w:cs="Times New Roman" w:asciiTheme="minorEastAsia" w:hAnsiTheme="minorEastAsia"/>
                <w:sz w:val="24"/>
                <w:szCs w:val="24"/>
              </w:rPr>
              <w:t xml:space="preserve">连云港市各区县法院防火墙</w:t>
            </w:r>
            <w:r/>
          </w:p>
        </w:tc>
        <w:tc>
          <w:tcPr>
            <w:tcBorders>
              <w:top w:val="single" w:color="auto" w:sz="4" w:space="0"/>
              <w:left w:val="single" w:color="auto" w:sz="4" w:space="0"/>
              <w:bottom w:val="single" w:color="auto" w:sz="4" w:space="0"/>
              <w:right w:val="single" w:color="auto" w:sz="4" w:space="0"/>
            </w:tcBorders>
            <w:tcW w:w="708" w:type="pct"/>
            <w:vAlign w:val="center"/>
            <w:textDirection w:val="lrTb"/>
            <w:noWrap w:val="false"/>
          </w:tcPr>
          <w:p>
            <w:pPr>
              <w:jc w:val="center"/>
              <w:spacing w:line="360" w:lineRule="auto"/>
              <w:widowControl/>
              <w:rPr>
                <w:rFonts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台</w:t>
            </w:r>
            <w:r/>
          </w:p>
        </w:tc>
        <w:tc>
          <w:tcPr>
            <w:tcBorders>
              <w:top w:val="single" w:color="auto" w:sz="4" w:space="0"/>
              <w:left w:val="none" w:color="000000" w:sz="4" w:space="0"/>
              <w:bottom w:val="single" w:color="auto" w:sz="4" w:space="0"/>
              <w:right w:val="single" w:color="auto" w:sz="4" w:space="0"/>
            </w:tcBorders>
            <w:tcW w:w="818" w:type="pct"/>
            <w:vAlign w:val="center"/>
            <w:textDirection w:val="lrTb"/>
            <w:noWrap w:val="false"/>
          </w:tcPr>
          <w:p>
            <w:pPr>
              <w:jc w:val="center"/>
              <w:spacing w:line="360" w:lineRule="auto"/>
              <w:widowControl/>
              <w:rPr>
                <w:rFonts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7</w:t>
            </w:r>
            <w:r/>
          </w:p>
        </w:tc>
      </w:tr>
      <w:tr>
        <w:trPr>
          <w:jc w:val="center"/>
          <w:trHeight w:val="385"/>
        </w:trPr>
        <w:tc>
          <w:tcPr>
            <w:tcBorders>
              <w:top w:val="single" w:color="auto" w:sz="4" w:space="0"/>
              <w:left w:val="single" w:color="auto" w:sz="4" w:space="0"/>
              <w:bottom w:val="single" w:color="auto" w:sz="4" w:space="0"/>
              <w:right w:val="single" w:color="auto" w:sz="4" w:space="0"/>
            </w:tcBorders>
            <w:tcW w:w="646" w:type="pct"/>
            <w:vAlign w:val="center"/>
            <w:textDirection w:val="lrTb"/>
            <w:noWrap w:val="false"/>
          </w:tcPr>
          <w:p>
            <w:pPr>
              <w:jc w:val="center"/>
              <w:spacing w:line="360" w:lineRule="auto"/>
              <w:widowControl/>
              <w:rPr>
                <w:rFonts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8</w:t>
            </w:r>
            <w:r/>
          </w:p>
        </w:tc>
        <w:tc>
          <w:tcPr>
            <w:tcBorders>
              <w:top w:val="single" w:color="auto" w:sz="4" w:space="0"/>
              <w:left w:val="none" w:color="000000" w:sz="4" w:space="0"/>
              <w:bottom w:val="single" w:color="auto" w:sz="4" w:space="0"/>
              <w:right w:val="single" w:color="auto" w:sz="4" w:space="0"/>
            </w:tcBorders>
            <w:tcW w:w="2828" w:type="pct"/>
            <w:vAlign w:val="center"/>
            <w:textDirection w:val="lrTb"/>
            <w:noWrap w:val="false"/>
          </w:tcPr>
          <w:p>
            <w:pPr>
              <w:jc w:val="center"/>
              <w:spacing w:line="360" w:lineRule="auto"/>
              <w:widowControl/>
              <w:rPr>
                <w:rFonts w:cs="Times New Roman" w:asciiTheme="minorEastAsia" w:hAnsiTheme="minorEastAsia"/>
                <w:sz w:val="24"/>
                <w:szCs w:val="24"/>
              </w:rPr>
            </w:pPr>
            <w:r>
              <w:rPr>
                <w:rFonts w:hint="eastAsia" w:cs="Times New Roman" w:asciiTheme="minorEastAsia" w:hAnsiTheme="minorEastAsia"/>
                <w:color w:val="000000"/>
                <w:sz w:val="24"/>
                <w:szCs w:val="24"/>
              </w:rPr>
              <w:t xml:space="preserve">连云港市</w:t>
            </w:r>
            <w:r>
              <w:rPr>
                <w:rFonts w:cs="Times New Roman" w:asciiTheme="minorEastAsia" w:hAnsiTheme="minorEastAsia"/>
                <w:color w:val="000000"/>
                <w:sz w:val="24"/>
                <w:szCs w:val="24"/>
              </w:rPr>
              <w:t xml:space="preserve">各区县法院探针</w:t>
            </w:r>
            <w:r/>
          </w:p>
        </w:tc>
        <w:tc>
          <w:tcPr>
            <w:tcBorders>
              <w:top w:val="single" w:color="auto" w:sz="4" w:space="0"/>
              <w:left w:val="single" w:color="auto" w:sz="4" w:space="0"/>
              <w:bottom w:val="single" w:color="auto" w:sz="4" w:space="0"/>
              <w:right w:val="single" w:color="auto" w:sz="4" w:space="0"/>
            </w:tcBorders>
            <w:tcW w:w="708" w:type="pct"/>
            <w:vAlign w:val="center"/>
            <w:textDirection w:val="lrTb"/>
            <w:noWrap w:val="false"/>
          </w:tcPr>
          <w:p>
            <w:pPr>
              <w:jc w:val="center"/>
              <w:spacing w:line="360" w:lineRule="auto"/>
              <w:widowControl/>
              <w:rPr>
                <w:rFonts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台</w:t>
            </w:r>
            <w:r/>
          </w:p>
        </w:tc>
        <w:tc>
          <w:tcPr>
            <w:tcBorders>
              <w:top w:val="single" w:color="auto" w:sz="4" w:space="0"/>
              <w:left w:val="none" w:color="000000" w:sz="4" w:space="0"/>
              <w:bottom w:val="single" w:color="auto" w:sz="4" w:space="0"/>
              <w:right w:val="single" w:color="auto" w:sz="4" w:space="0"/>
            </w:tcBorders>
            <w:tcW w:w="818" w:type="pct"/>
            <w:vAlign w:val="center"/>
            <w:textDirection w:val="lrTb"/>
            <w:noWrap w:val="false"/>
          </w:tcPr>
          <w:p>
            <w:pPr>
              <w:jc w:val="center"/>
              <w:spacing w:line="360" w:lineRule="auto"/>
              <w:widowControl/>
              <w:rPr>
                <w:rFonts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7</w:t>
            </w:r>
            <w:r/>
          </w:p>
        </w:tc>
      </w:tr>
      <w:tr>
        <w:trPr>
          <w:jc w:val="center"/>
          <w:trHeight w:val="385"/>
        </w:trPr>
        <w:tc>
          <w:tcPr>
            <w:tcBorders>
              <w:top w:val="single" w:color="auto" w:sz="4" w:space="0"/>
              <w:left w:val="single" w:color="auto" w:sz="4" w:space="0"/>
              <w:bottom w:val="single" w:color="auto" w:sz="4" w:space="0"/>
              <w:right w:val="single" w:color="auto" w:sz="4" w:space="0"/>
            </w:tcBorders>
            <w:tcW w:w="646" w:type="pct"/>
            <w:vAlign w:val="center"/>
            <w:textDirection w:val="lrTb"/>
            <w:noWrap w:val="false"/>
          </w:tcPr>
          <w:p>
            <w:pPr>
              <w:jc w:val="center"/>
              <w:spacing w:line="360" w:lineRule="auto"/>
              <w:widowControl/>
              <w:rPr>
                <w:rFonts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9</w:t>
            </w:r>
            <w:r/>
          </w:p>
        </w:tc>
        <w:tc>
          <w:tcPr>
            <w:tcBorders>
              <w:top w:val="single" w:color="auto" w:sz="4" w:space="0"/>
              <w:left w:val="none" w:color="000000" w:sz="4" w:space="0"/>
              <w:bottom w:val="single" w:color="auto" w:sz="4" w:space="0"/>
              <w:right w:val="single" w:color="auto" w:sz="4" w:space="0"/>
            </w:tcBorders>
            <w:tcW w:w="2828" w:type="pct"/>
            <w:vAlign w:val="center"/>
            <w:textDirection w:val="lrTb"/>
            <w:noWrap w:val="false"/>
          </w:tcPr>
          <w:p>
            <w:pPr>
              <w:jc w:val="center"/>
              <w:spacing w:line="360" w:lineRule="auto"/>
              <w:widowControl/>
              <w:rPr>
                <w:rFonts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各区县法院终端防护软件</w:t>
            </w:r>
            <w:r/>
          </w:p>
        </w:tc>
        <w:tc>
          <w:tcPr>
            <w:tcBorders>
              <w:top w:val="single" w:color="auto" w:sz="4" w:space="0"/>
              <w:left w:val="single" w:color="auto" w:sz="4" w:space="0"/>
              <w:bottom w:val="single" w:color="auto" w:sz="4" w:space="0"/>
              <w:right w:val="single" w:color="auto" w:sz="4" w:space="0"/>
            </w:tcBorders>
            <w:tcW w:w="708" w:type="pct"/>
            <w:vAlign w:val="center"/>
            <w:textDirection w:val="lrTb"/>
            <w:noWrap w:val="false"/>
          </w:tcPr>
          <w:p>
            <w:pPr>
              <w:jc w:val="center"/>
              <w:spacing w:line="360" w:lineRule="auto"/>
              <w:widowControl/>
              <w:rPr>
                <w:rFonts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套</w:t>
            </w:r>
            <w:r/>
          </w:p>
        </w:tc>
        <w:tc>
          <w:tcPr>
            <w:tcBorders>
              <w:top w:val="single" w:color="auto" w:sz="4" w:space="0"/>
              <w:left w:val="none" w:color="000000" w:sz="4" w:space="0"/>
              <w:bottom w:val="single" w:color="auto" w:sz="4" w:space="0"/>
              <w:right w:val="single" w:color="auto" w:sz="4" w:space="0"/>
            </w:tcBorders>
            <w:tcW w:w="818" w:type="pct"/>
            <w:vAlign w:val="center"/>
            <w:textDirection w:val="lrTb"/>
            <w:noWrap w:val="false"/>
          </w:tcPr>
          <w:p>
            <w:pPr>
              <w:jc w:val="center"/>
              <w:spacing w:line="360" w:lineRule="auto"/>
              <w:widowControl/>
              <w:rPr>
                <w:rFonts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7</w:t>
            </w:r>
            <w:r/>
          </w:p>
        </w:tc>
      </w:tr>
    </w:tbl>
    <w:p>
      <w:pPr>
        <w:ind w:firstLine="482"/>
        <w:spacing w:line="360" w:lineRule="auto"/>
        <w:rPr>
          <w:rFonts w:cs="Times New Roman" w:asciiTheme="minorEastAsia" w:hAnsiTheme="minorEastAsia"/>
          <w:b/>
          <w:bCs/>
          <w:sz w:val="24"/>
        </w:rPr>
      </w:pPr>
      <w:r>
        <w:rPr>
          <w:rFonts w:hint="eastAsia" w:cs="Times New Roman" w:asciiTheme="minorEastAsia" w:hAnsiTheme="minorEastAsia"/>
          <w:b/>
          <w:bCs/>
          <w:sz w:val="24"/>
        </w:rPr>
        <w:t xml:space="preserve">3.2软、硬件技术工具技术要求及功能指标</w:t>
      </w:r>
      <w:r/>
    </w:p>
    <w:tbl>
      <w:tblPr>
        <w:tblW w:w="4998" w:type="pct"/>
        <w:tblLook w:val="04A0" w:firstRow="1" w:lastRow="0" w:firstColumn="1" w:lastColumn="0" w:noHBand="0" w:noVBand="1"/>
      </w:tblPr>
      <w:tblGrid>
        <w:gridCol w:w="1100"/>
        <w:gridCol w:w="1653"/>
        <w:gridCol w:w="5766"/>
      </w:tblGrid>
      <w:tr>
        <w:trPr>
          <w:trHeight w:val="285"/>
        </w:trPr>
        <w:tc>
          <w:tcPr>
            <w:tcBorders>
              <w:top w:val="single" w:color="auto" w:sz="4" w:space="0"/>
              <w:left w:val="single" w:color="auto" w:sz="4" w:space="0"/>
              <w:bottom w:val="none" w:color="000000" w:sz="4" w:space="0"/>
              <w:right w:val="single" w:color="auto" w:sz="4" w:space="0"/>
            </w:tcBorders>
            <w:tcW w:w="646" w:type="pct"/>
            <w:vAlign w:val="center"/>
            <w:textDirection w:val="lrTb"/>
            <w:noWrap w:val="false"/>
          </w:tcPr>
          <w:p>
            <w:pPr>
              <w:jc w:val="center"/>
              <w:spacing w:line="360" w:lineRule="auto"/>
              <w:widowControl/>
              <w:rPr>
                <w:rFonts w:cs="Times New Roman" w:asciiTheme="minorEastAsia" w:hAnsiTheme="minorEastAsia"/>
                <w:b/>
                <w:bCs/>
                <w:color w:val="000000"/>
                <w:sz w:val="24"/>
                <w:szCs w:val="24"/>
              </w:rPr>
            </w:pPr>
            <w:r>
              <w:rPr>
                <w:rFonts w:cs="Times New Roman" w:asciiTheme="minorEastAsia" w:hAnsiTheme="minorEastAsia"/>
                <w:b/>
                <w:bCs/>
                <w:color w:val="000000"/>
                <w:sz w:val="24"/>
                <w:szCs w:val="24"/>
              </w:rPr>
              <w:t xml:space="preserve">序号</w:t>
            </w:r>
            <w:r/>
          </w:p>
        </w:tc>
        <w:tc>
          <w:tcPr>
            <w:tcBorders>
              <w:top w:val="single" w:color="auto" w:sz="8" w:space="0"/>
              <w:left w:val="single" w:color="auto" w:sz="8" w:space="0"/>
              <w:bottom w:val="none" w:color="000000" w:sz="4" w:space="0"/>
              <w:right w:val="single" w:color="auto" w:sz="8" w:space="0"/>
            </w:tcBorders>
            <w:tcW w:w="970" w:type="pct"/>
            <w:vAlign w:val="center"/>
            <w:textDirection w:val="lrTb"/>
            <w:noWrap w:val="false"/>
          </w:tcPr>
          <w:p>
            <w:pPr>
              <w:jc w:val="center"/>
              <w:spacing w:line="360" w:lineRule="auto"/>
              <w:widowControl/>
              <w:rPr>
                <w:rFonts w:cs="Times New Roman" w:asciiTheme="minorEastAsia" w:hAnsiTheme="minorEastAsia"/>
                <w:b/>
                <w:bCs/>
                <w:color w:val="000000"/>
                <w:sz w:val="24"/>
                <w:szCs w:val="24"/>
              </w:rPr>
            </w:pPr>
            <w:r>
              <w:rPr>
                <w:rFonts w:cs="Times New Roman" w:asciiTheme="minorEastAsia" w:hAnsiTheme="minorEastAsia"/>
                <w:b/>
                <w:bCs/>
                <w:color w:val="000000"/>
                <w:sz w:val="24"/>
                <w:szCs w:val="24"/>
              </w:rPr>
              <w:t xml:space="preserve">名称</w:t>
            </w:r>
            <w:r/>
          </w:p>
        </w:tc>
        <w:tc>
          <w:tcPr>
            <w:tcBorders>
              <w:top w:val="single" w:color="auto" w:sz="8" w:space="0"/>
              <w:left w:val="none" w:color="000000" w:sz="4" w:space="0"/>
              <w:bottom w:val="none" w:color="000000" w:sz="4" w:space="0"/>
              <w:right w:val="single" w:color="auto" w:sz="8" w:space="0"/>
            </w:tcBorders>
            <w:tcW w:w="3384" w:type="pct"/>
            <w:vAlign w:val="center"/>
            <w:textDirection w:val="lrTb"/>
            <w:noWrap w:val="false"/>
          </w:tcPr>
          <w:p>
            <w:pPr>
              <w:jc w:val="center"/>
              <w:spacing w:line="360" w:lineRule="auto"/>
              <w:widowControl/>
              <w:rPr>
                <w:rFonts w:cs="Times New Roman" w:asciiTheme="minorEastAsia" w:hAnsiTheme="minorEastAsia"/>
                <w:b/>
                <w:bCs/>
                <w:color w:val="000000"/>
                <w:sz w:val="24"/>
                <w:szCs w:val="24"/>
              </w:rPr>
            </w:pPr>
            <w:r>
              <w:rPr>
                <w:rFonts w:cs="Times New Roman" w:asciiTheme="minorEastAsia" w:hAnsiTheme="minorEastAsia"/>
                <w:b/>
                <w:bCs/>
                <w:color w:val="000000"/>
                <w:sz w:val="24"/>
                <w:szCs w:val="24"/>
              </w:rPr>
              <w:t xml:space="preserve">技术</w:t>
            </w:r>
            <w:r>
              <w:rPr>
                <w:rFonts w:hint="eastAsia" w:cs="Times New Roman" w:asciiTheme="minorEastAsia" w:hAnsiTheme="minorEastAsia"/>
                <w:b/>
                <w:bCs/>
                <w:color w:val="000000"/>
                <w:sz w:val="24"/>
                <w:szCs w:val="24"/>
              </w:rPr>
              <w:t xml:space="preserve">要求及功能指标</w:t>
            </w:r>
            <w:r/>
          </w:p>
        </w:tc>
      </w:tr>
      <w:tr>
        <w:trPr>
          <w:trHeight w:val="570"/>
        </w:trPr>
        <w:tc>
          <w:tcPr>
            <w:tcBorders>
              <w:top w:val="single" w:color="auto" w:sz="4" w:space="0"/>
              <w:left w:val="single" w:color="auto" w:sz="4" w:space="0"/>
              <w:bottom w:val="single" w:color="auto" w:sz="4" w:space="0"/>
              <w:right w:val="single" w:color="auto" w:sz="4" w:space="0"/>
            </w:tcBorders>
            <w:tcW w:w="646" w:type="pct"/>
            <w:vAlign w:val="center"/>
            <w:textDirection w:val="lrTb"/>
            <w:noWrap w:val="false"/>
          </w:tcPr>
          <w:p>
            <w:pPr>
              <w:jc w:val="center"/>
              <w:spacing w:line="400" w:lineRule="exact"/>
              <w:widowControl/>
              <w:rPr>
                <w:rFonts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1</w:t>
            </w:r>
            <w:r/>
          </w:p>
        </w:tc>
        <w:tc>
          <w:tcPr>
            <w:tcBorders>
              <w:top w:val="single" w:color="auto" w:sz="4" w:space="0"/>
              <w:left w:val="none" w:color="000000" w:sz="4" w:space="0"/>
              <w:bottom w:val="single" w:color="auto" w:sz="4" w:space="0"/>
              <w:right w:val="single" w:color="auto" w:sz="4" w:space="0"/>
            </w:tcBorders>
            <w:tcW w:w="970" w:type="pct"/>
            <w:vAlign w:val="center"/>
            <w:textDirection w:val="lrTb"/>
            <w:noWrap w:val="false"/>
          </w:tcPr>
          <w:p>
            <w:pPr>
              <w:jc w:val="center"/>
              <w:spacing w:line="400" w:lineRule="exact"/>
              <w:widowControl/>
              <w:rPr>
                <w:rFonts w:cs="宋体" w:asciiTheme="minorEastAsia" w:hAnsiTheme="minorEastAsia"/>
                <w:color w:val="000000"/>
                <w:sz w:val="24"/>
                <w:szCs w:val="24"/>
              </w:rPr>
            </w:pPr>
            <w:r>
              <w:rPr>
                <w:rFonts w:hint="eastAsia" w:cs="宋体" w:asciiTheme="minorEastAsia" w:hAnsiTheme="minorEastAsia"/>
                <w:sz w:val="24"/>
                <w:szCs w:val="24"/>
              </w:rPr>
              <w:t xml:space="preserve">连云港市中级人民法院互联网行为管控平台</w:t>
            </w:r>
            <w:r/>
          </w:p>
        </w:tc>
        <w:tc>
          <w:tcPr>
            <w:tcBorders>
              <w:top w:val="single" w:color="auto" w:sz="4" w:space="0"/>
              <w:left w:val="none" w:color="000000" w:sz="4" w:space="0"/>
              <w:bottom w:val="single" w:color="auto" w:sz="4" w:space="0"/>
              <w:right w:val="single" w:color="auto" w:sz="4" w:space="0"/>
            </w:tcBorders>
            <w:tcW w:w="3384" w:type="pct"/>
            <w:vAlign w:val="center"/>
            <w:textDirection w:val="lrTb"/>
            <w:noWrap w:val="false"/>
          </w:tcPr>
          <w:p>
            <w:pPr>
              <w:spacing w:line="400" w:lineRule="exact"/>
              <w:rPr>
                <w:rFonts w:cs="宋体" w:asciiTheme="minorEastAsia" w:hAnsiTheme="minorEastAsia"/>
                <w:color w:val="000000"/>
                <w:sz w:val="24"/>
                <w:szCs w:val="24"/>
              </w:rPr>
            </w:pPr>
            <w:r>
              <w:rPr>
                <w:rFonts w:hint="eastAsia" w:cs="宋体" w:asciiTheme="minorEastAsia" w:hAnsiTheme="minorEastAsia"/>
                <w:color w:val="000000"/>
                <w:sz w:val="24"/>
                <w:szCs w:val="24"/>
              </w:rPr>
              <w:t xml:space="preserve">1.支持可视化首页仪表盘展示，可实时呈现在线终端用户数量、全网流量统计分析、网络行为日志记录、应用流量排行、用户流量排行等核心运维数据，直观展示全网运行状态，便于管理员快速掌握网络整体使用情况。</w:t>
            </w:r>
            <w:r/>
          </w:p>
          <w:p>
            <w:pPr>
              <w:pStyle w:val="851"/>
              <w:ind w:firstLine="0"/>
              <w:jc w:val="both"/>
              <w:spacing w:line="400" w:lineRule="exact"/>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▲2.支持SSL解密技术，可对加密传输的网络流量进行合规解密与审计，有效实现加密流量的可视，保障数据传输的透明化、规范化与安全性。</w:t>
            </w:r>
            <w:r/>
          </w:p>
          <w:p>
            <w:pPr>
              <w:pStyle w:val="851"/>
              <w:ind w:firstLine="0"/>
              <w:jc w:val="both"/>
              <w:spacing w:line="400" w:lineRule="exact"/>
              <w:rPr>
                <w:rFonts w:cs="宋体" w:asciiTheme="minorEastAsia" w:hAnsiTheme="minorEastAsia" w:eastAsiaTheme="minorEastAsia"/>
                <w:b/>
                <w:color w:val="000000"/>
                <w:sz w:val="24"/>
              </w:rPr>
            </w:pPr>
            <w:r>
              <w:rPr>
                <w:rFonts w:hint="eastAsia" w:cs="宋体" w:asciiTheme="minorEastAsia" w:hAnsiTheme="minorEastAsia" w:eastAsiaTheme="minorEastAsia"/>
                <w:b/>
                <w:color w:val="000000"/>
                <w:sz w:val="24"/>
              </w:rPr>
              <w:t xml:space="preserve">（投标文件中提供国家认可的第三方检测机构出具的检测报告扫描件并加盖投标人公章）</w:t>
            </w:r>
            <w:r/>
          </w:p>
          <w:p>
            <w:pPr>
              <w:pStyle w:val="851"/>
              <w:ind w:firstLine="0"/>
              <w:jc w:val="both"/>
              <w:spacing w:line="400" w:lineRule="exact"/>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3.支持细致的管理员权限划分，包括对不同用户组的管理权限、对各种主要功能界面的配置和查看权限。</w:t>
            </w:r>
            <w:r/>
          </w:p>
          <w:p>
            <w:pPr>
              <w:pStyle w:val="851"/>
              <w:ind w:firstLine="0"/>
              <w:jc w:val="both"/>
              <w:spacing w:line="400" w:lineRule="exact"/>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4.支持Web访问质量审计检测功能，能够实时监测内网用户网页访问的各类质量指标，精准识别网页访问异常、网络卡顿、访问超时等问题，结合全网检测数据完成整体网络质量综合评级，为网络优化、运维调优提供数据支撑。</w:t>
            </w:r>
            <w:r/>
          </w:p>
          <w:p>
            <w:pPr>
              <w:pStyle w:val="861"/>
              <w:ind w:left="0" w:firstLine="0"/>
              <w:spacing w:after="0" w:line="400" w:lineRule="exact"/>
              <w:rPr>
                <w:rFonts w:asciiTheme="minorEastAsia" w:hAnsiTheme="minorEastAsia" w:eastAsiaTheme="minorEastAsia"/>
                <w:sz w:val="24"/>
                <w:szCs w:val="24"/>
              </w:rPr>
            </w:pPr>
            <w:r>
              <w:rPr>
                <w:rFonts w:hint="eastAsia" w:cs="宋体" w:asciiTheme="minorEastAsia" w:hAnsiTheme="minorEastAsia" w:eastAsiaTheme="minorEastAsia"/>
                <w:color w:val="000000"/>
                <w:sz w:val="24"/>
                <w:szCs w:val="24"/>
              </w:rPr>
              <w:t xml:space="preserve">▲5.支持提供对接</w:t>
            </w:r>
            <w:r>
              <w:rPr>
                <w:rFonts w:asciiTheme="minorEastAsia" w:hAnsiTheme="minorEastAsia" w:eastAsiaTheme="minorEastAsia"/>
                <w:sz w:val="24"/>
                <w:szCs w:val="24"/>
              </w:rPr>
              <w:t xml:space="preserve">统一运营分析</w:t>
            </w:r>
            <w:r>
              <w:rPr>
                <w:rFonts w:hint="eastAsia" w:asciiTheme="minorEastAsia" w:hAnsiTheme="minorEastAsia" w:eastAsiaTheme="minorEastAsia"/>
                <w:sz w:val="24"/>
                <w:szCs w:val="24"/>
              </w:rPr>
              <w:t xml:space="preserve">平台服务，实现数据的统一分析和治理，提高网络安全风险排查和处置的实效性。</w:t>
            </w:r>
            <w:r/>
          </w:p>
          <w:p>
            <w:pPr>
              <w:pStyle w:val="861"/>
              <w:ind w:left="0" w:firstLine="0"/>
              <w:spacing w:after="0" w:line="400" w:lineRule="exact"/>
              <w:rPr>
                <w:rFonts w:asciiTheme="minorEastAsia" w:hAnsiTheme="minorEastAsia" w:eastAsiaTheme="minorEastAsia"/>
                <w:sz w:val="24"/>
                <w:szCs w:val="24"/>
              </w:rPr>
            </w:pPr>
            <w:r>
              <w:rPr>
                <w:rFonts w:hint="eastAsia" w:asciiTheme="minorEastAsia" w:hAnsiTheme="minorEastAsia" w:eastAsiaTheme="minorEastAsia"/>
                <w:b/>
                <w:sz w:val="24"/>
                <w:szCs w:val="24"/>
              </w:rPr>
              <w:t xml:space="preserve">（</w:t>
            </w:r>
            <w:r>
              <w:rPr>
                <w:rFonts w:ascii="宋体" w:hAnsi="宋体"/>
                <w:b/>
                <w:sz w:val="24"/>
              </w:rPr>
              <w:t xml:space="preserve">投标文件中</w:t>
            </w:r>
            <w:r>
              <w:rPr>
                <w:rFonts w:hint="eastAsia" w:asciiTheme="minorEastAsia" w:hAnsiTheme="minorEastAsia" w:eastAsiaTheme="minorEastAsia"/>
                <w:b/>
                <w:sz w:val="24"/>
                <w:szCs w:val="24"/>
              </w:rPr>
              <w:t xml:space="preserve">提供对接服务承诺函并加盖投标人公</w:t>
            </w:r>
            <w:r>
              <w:rPr>
                <w:rFonts w:hint="eastAsia" w:asciiTheme="minorEastAsia" w:hAnsiTheme="minorEastAsia" w:eastAsiaTheme="minorEastAsia"/>
                <w:b/>
                <w:sz w:val="24"/>
                <w:szCs w:val="24"/>
              </w:rPr>
              <w:t xml:space="preserve">章）</w:t>
            </w:r>
            <w:r/>
          </w:p>
          <w:p>
            <w:pPr>
              <w:pStyle w:val="861"/>
              <w:ind w:left="0" w:firstLine="0"/>
              <w:spacing w:after="0" w:line="400" w:lineRule="exact"/>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 xml:space="preserve">6.支持根据不同的应用、目标IP、时间段、日期、用户/用户组、位置、终端类型来保证或者限制流量。</w:t>
            </w:r>
            <w:r/>
          </w:p>
        </w:tc>
      </w:tr>
      <w:tr>
        <w:trPr>
          <w:trHeight w:val="570"/>
        </w:trPr>
        <w:tc>
          <w:tcPr>
            <w:tcBorders>
              <w:top w:val="single" w:color="auto" w:sz="4" w:space="0"/>
              <w:left w:val="single" w:color="auto" w:sz="4" w:space="0"/>
              <w:bottom w:val="single" w:color="auto" w:sz="4" w:space="0"/>
              <w:right w:val="single" w:color="auto" w:sz="4" w:space="0"/>
            </w:tcBorders>
            <w:tcW w:w="646" w:type="pct"/>
            <w:vAlign w:val="center"/>
            <w:textDirection w:val="lrTb"/>
            <w:noWrap w:val="false"/>
          </w:tcPr>
          <w:p>
            <w:pPr>
              <w:jc w:val="center"/>
              <w:spacing w:line="400" w:lineRule="exact"/>
              <w:widowControl/>
              <w:rPr>
                <w:rFonts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2</w:t>
            </w:r>
            <w:r/>
          </w:p>
        </w:tc>
        <w:tc>
          <w:tcPr>
            <w:tcBorders>
              <w:top w:val="single" w:color="auto" w:sz="4" w:space="0"/>
              <w:left w:val="none" w:color="000000" w:sz="4" w:space="0"/>
              <w:bottom w:val="single" w:color="auto" w:sz="4" w:space="0"/>
              <w:right w:val="single" w:color="auto" w:sz="4" w:space="0"/>
            </w:tcBorders>
            <w:tcW w:w="970" w:type="pct"/>
            <w:vAlign w:val="center"/>
            <w:textDirection w:val="lrTb"/>
            <w:noWrap w:val="false"/>
          </w:tcPr>
          <w:p>
            <w:pPr>
              <w:jc w:val="center"/>
              <w:spacing w:line="400" w:lineRule="exact"/>
              <w:widowControl/>
              <w:rPr>
                <w:rFonts w:cs="Times New Roman" w:asciiTheme="minorEastAsia" w:hAnsiTheme="minorEastAsia"/>
                <w:color w:val="000000"/>
                <w:sz w:val="24"/>
                <w:szCs w:val="24"/>
              </w:rPr>
            </w:pPr>
            <w:r>
              <w:rPr>
                <w:rFonts w:hint="eastAsia" w:cs="宋体" w:asciiTheme="minorEastAsia" w:hAnsiTheme="minorEastAsia"/>
                <w:sz w:val="24"/>
                <w:szCs w:val="24"/>
              </w:rPr>
              <w:t xml:space="preserve">区县法院互联网行为管控平台</w:t>
            </w:r>
            <w:r/>
          </w:p>
        </w:tc>
        <w:tc>
          <w:tcPr>
            <w:tcBorders>
              <w:top w:val="single" w:color="auto" w:sz="4" w:space="0"/>
              <w:left w:val="none" w:color="000000" w:sz="4" w:space="0"/>
              <w:bottom w:val="single" w:color="auto" w:sz="4" w:space="0"/>
              <w:right w:val="single" w:color="auto" w:sz="4" w:space="0"/>
            </w:tcBorders>
            <w:tcW w:w="3384" w:type="pct"/>
            <w:vAlign w:val="center"/>
            <w:textDirection w:val="lrTb"/>
            <w:noWrap w:val="false"/>
          </w:tcPr>
          <w:p>
            <w:pPr>
              <w:spacing w:line="400" w:lineRule="exact"/>
              <w:rPr>
                <w:rFonts w:cs="宋体" w:asciiTheme="minorEastAsia" w:hAnsiTheme="minorEastAsia"/>
                <w:color w:val="000000"/>
                <w:sz w:val="24"/>
                <w:szCs w:val="24"/>
              </w:rPr>
            </w:pPr>
            <w:r>
              <w:rPr>
                <w:rFonts w:hint="eastAsia" w:cs="宋体" w:asciiTheme="minorEastAsia" w:hAnsiTheme="minorEastAsia"/>
                <w:color w:val="000000"/>
                <w:sz w:val="24"/>
                <w:szCs w:val="24"/>
              </w:rPr>
              <w:t xml:space="preserve">1.支持分析显示接入用户人数、终端类型、资产类型分布、终端违规用户排行等内容。</w:t>
            </w:r>
            <w:r/>
          </w:p>
          <w:p>
            <w:pPr>
              <w:pStyle w:val="851"/>
              <w:ind w:firstLine="0"/>
              <w:spacing w:line="400" w:lineRule="exact"/>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▲2.支持SSL加密网页的内容检查，可对SSL加密网页进行解密并识别、过滤其内容，针对加密后的钓鱼网站、非法网站，可对用户进行重定向告警。</w:t>
            </w:r>
            <w:r/>
          </w:p>
          <w:p>
            <w:pPr>
              <w:pStyle w:val="851"/>
              <w:ind w:firstLine="0"/>
              <w:spacing w:line="400" w:lineRule="exact"/>
              <w:rPr>
                <w:rFonts w:cs="宋体" w:asciiTheme="minorEastAsia" w:hAnsiTheme="minorEastAsia" w:eastAsiaTheme="minorEastAsia"/>
                <w:b/>
                <w:color w:val="000000"/>
                <w:sz w:val="24"/>
              </w:rPr>
            </w:pPr>
            <w:r>
              <w:rPr>
                <w:rFonts w:hint="eastAsia" w:cs="宋体" w:asciiTheme="minorEastAsia" w:hAnsiTheme="minorEastAsia" w:eastAsiaTheme="minorEastAsia"/>
                <w:b/>
                <w:color w:val="000000"/>
                <w:sz w:val="24"/>
              </w:rPr>
              <w:t xml:space="preserve">（提供自主知识产权证明等材料并加盖投标人公章。证明材料须体现符合上述技术指标要求）</w:t>
            </w:r>
            <w:r/>
          </w:p>
          <w:p>
            <w:pPr>
              <w:spacing w:line="400" w:lineRule="exact"/>
              <w:rPr>
                <w:rFonts w:cs="宋体" w:asciiTheme="minorEastAsia" w:hAnsiTheme="minorEastAsia"/>
                <w:color w:val="000000"/>
                <w:sz w:val="24"/>
                <w:szCs w:val="24"/>
              </w:rPr>
            </w:pPr>
            <w:r>
              <w:rPr>
                <w:rFonts w:hint="eastAsia" w:cs="宋体" w:asciiTheme="minorEastAsia" w:hAnsiTheme="minorEastAsia"/>
                <w:color w:val="000000"/>
                <w:sz w:val="24"/>
                <w:szCs w:val="24"/>
              </w:rPr>
              <w:t xml:space="preserve">3.支持Web访问质量审计检测功能，能够实时监测内网用户网页访问的各类质量指标，精准识别网页访问异常、网络卡顿、访问超时等问题，结合全网检测数据完成整体网络质量综合评级，为网络优化、运维调优提供数据支撑。</w:t>
            </w:r>
            <w:r/>
          </w:p>
          <w:p>
            <w:pPr>
              <w:pStyle w:val="861"/>
              <w:ind w:left="0" w:firstLine="0"/>
              <w:spacing w:after="0" w:line="400" w:lineRule="exact"/>
              <w:rPr>
                <w:rFonts w:asciiTheme="minorEastAsia" w:hAnsiTheme="minorEastAsia" w:eastAsiaTheme="minorEastAsia"/>
                <w:sz w:val="24"/>
                <w:szCs w:val="24"/>
              </w:rPr>
            </w:pPr>
            <w:r>
              <w:rPr>
                <w:rFonts w:hint="eastAsia" w:cs="宋体" w:asciiTheme="minorEastAsia" w:hAnsiTheme="minorEastAsia" w:eastAsiaTheme="minorEastAsia"/>
                <w:color w:val="000000"/>
                <w:sz w:val="24"/>
                <w:szCs w:val="24"/>
              </w:rPr>
              <w:t xml:space="preserve">▲4.支持提供对接</w:t>
            </w:r>
            <w:r>
              <w:rPr>
                <w:rFonts w:asciiTheme="minorEastAsia" w:hAnsiTheme="minorEastAsia" w:eastAsiaTheme="minorEastAsia"/>
                <w:sz w:val="24"/>
                <w:szCs w:val="24"/>
              </w:rPr>
              <w:t xml:space="preserve">统一运营分析</w:t>
            </w:r>
            <w:r>
              <w:rPr>
                <w:rFonts w:hint="eastAsia" w:asciiTheme="minorEastAsia" w:hAnsiTheme="minorEastAsia" w:eastAsiaTheme="minorEastAsia"/>
                <w:sz w:val="24"/>
                <w:szCs w:val="24"/>
              </w:rPr>
              <w:t xml:space="preserve">平台服务，实现数据的统一分析和治理，提高网络安全风险排查和处置的实效性。</w:t>
            </w:r>
            <w:r/>
          </w:p>
          <w:p>
            <w:pPr>
              <w:pStyle w:val="861"/>
              <w:ind w:left="0" w:firstLine="0"/>
              <w:spacing w:after="0" w:line="400" w:lineRule="exact"/>
              <w:rPr>
                <w:rFonts w:cs="宋体" w:asciiTheme="minorEastAsia" w:hAnsiTheme="minorEastAsia" w:eastAsiaTheme="minorEastAsia"/>
                <w:color w:val="000000"/>
                <w:sz w:val="24"/>
                <w:szCs w:val="24"/>
              </w:rPr>
            </w:pPr>
            <w:r>
              <w:rPr>
                <w:rFonts w:hint="eastAsia" w:asciiTheme="minorEastAsia" w:hAnsiTheme="minorEastAsia" w:eastAsiaTheme="minorEastAsia"/>
                <w:b/>
                <w:sz w:val="24"/>
                <w:szCs w:val="24"/>
              </w:rPr>
              <w:t xml:space="preserve">（</w:t>
            </w:r>
            <w:r>
              <w:rPr>
                <w:rFonts w:ascii="宋体" w:hAnsi="宋体"/>
                <w:b/>
                <w:sz w:val="24"/>
              </w:rPr>
              <w:t xml:space="preserve">投标文件中</w:t>
            </w:r>
            <w:r>
              <w:rPr>
                <w:rFonts w:hint="eastAsia" w:asciiTheme="minorEastAsia" w:hAnsiTheme="minorEastAsia" w:eastAsiaTheme="minorEastAsia"/>
                <w:b/>
                <w:sz w:val="24"/>
                <w:szCs w:val="24"/>
              </w:rPr>
              <w:t xml:space="preserve">提供对接服务承诺函并加盖投标人公章）</w:t>
            </w:r>
            <w:r/>
          </w:p>
          <w:p>
            <w:pPr>
              <w:jc w:val="left"/>
              <w:spacing w:line="400" w:lineRule="exact"/>
              <w:widowControl/>
              <w:rPr>
                <w:rFonts w:asciiTheme="minorEastAsia" w:hAnsiTheme="minorEastAsia"/>
                <w:sz w:val="24"/>
                <w:szCs w:val="24"/>
              </w:rPr>
            </w:pPr>
            <w:r>
              <w:rPr>
                <w:rFonts w:hint="eastAsia" w:cs="宋体" w:asciiTheme="minorEastAsia" w:hAnsiTheme="minorEastAsia"/>
                <w:color w:val="000000"/>
                <w:sz w:val="24"/>
                <w:szCs w:val="24"/>
              </w:rPr>
              <w:t xml:space="preserve">5.支持根据不同的应用、目标IP、时间段、日期、用户/用户组、位置、终端类型来保证或者限制流量。</w:t>
            </w:r>
            <w:r/>
          </w:p>
        </w:tc>
      </w:tr>
      <w:tr>
        <w:trPr>
          <w:trHeight w:val="570"/>
        </w:trPr>
        <w:tc>
          <w:tcPr>
            <w:tcBorders>
              <w:top w:val="single" w:color="auto" w:sz="4" w:space="0"/>
              <w:left w:val="single" w:color="auto" w:sz="4" w:space="0"/>
              <w:bottom w:val="single" w:color="auto" w:sz="4" w:space="0"/>
              <w:right w:val="single" w:color="auto" w:sz="4" w:space="0"/>
            </w:tcBorders>
            <w:tcW w:w="646" w:type="pct"/>
            <w:vAlign w:val="center"/>
            <w:textDirection w:val="lrTb"/>
            <w:noWrap w:val="false"/>
          </w:tcPr>
          <w:p>
            <w:pPr>
              <w:jc w:val="center"/>
              <w:spacing w:line="400" w:lineRule="exact"/>
              <w:widowControl/>
              <w:rPr>
                <w:rFonts w:cs="Times New Roman" w:asciiTheme="minorEastAsia" w:hAnsiTheme="minorEastAsia"/>
                <w:sz w:val="24"/>
                <w:szCs w:val="24"/>
              </w:rPr>
            </w:pPr>
            <w:r>
              <w:rPr>
                <w:rFonts w:hint="eastAsia" w:cs="Times New Roman" w:asciiTheme="minorEastAsia" w:hAnsiTheme="minorEastAsia"/>
                <w:sz w:val="24"/>
                <w:szCs w:val="24"/>
              </w:rPr>
              <w:t xml:space="preserve">4</w:t>
            </w:r>
            <w:r/>
          </w:p>
        </w:tc>
        <w:tc>
          <w:tcPr>
            <w:tcBorders>
              <w:top w:val="single" w:color="auto" w:sz="4" w:space="0"/>
              <w:left w:val="none" w:color="000000" w:sz="4" w:space="0"/>
              <w:bottom w:val="single" w:color="auto" w:sz="4" w:space="0"/>
              <w:right w:val="single" w:color="auto" w:sz="4" w:space="0"/>
            </w:tcBorders>
            <w:tcW w:w="970" w:type="pct"/>
            <w:vAlign w:val="center"/>
            <w:textDirection w:val="lrTb"/>
            <w:noWrap w:val="false"/>
          </w:tcPr>
          <w:p>
            <w:pPr>
              <w:jc w:val="center"/>
              <w:spacing w:line="400" w:lineRule="exact"/>
              <w:widowControl/>
              <w:rPr>
                <w:rFonts w:cs="Times New Roman" w:asciiTheme="minorEastAsia" w:hAnsiTheme="minorEastAsia"/>
                <w:sz w:val="24"/>
                <w:szCs w:val="24"/>
              </w:rPr>
            </w:pPr>
            <w:r>
              <w:rPr>
                <w:rFonts w:hint="eastAsia" w:cs="Times New Roman" w:asciiTheme="minorEastAsia" w:hAnsiTheme="minorEastAsia"/>
                <w:sz w:val="24"/>
                <w:szCs w:val="24"/>
              </w:rPr>
              <w:t xml:space="preserve">网络安全值守服务</w:t>
            </w:r>
            <w:r/>
          </w:p>
        </w:tc>
        <w:tc>
          <w:tcPr>
            <w:tcBorders>
              <w:top w:val="single" w:color="auto" w:sz="4" w:space="0"/>
              <w:left w:val="none" w:color="000000" w:sz="4" w:space="0"/>
              <w:bottom w:val="single" w:color="auto" w:sz="4" w:space="0"/>
              <w:right w:val="single" w:color="auto" w:sz="4" w:space="0"/>
            </w:tcBorders>
            <w:tcW w:w="3384" w:type="pct"/>
            <w:vAlign w:val="center"/>
            <w:textDirection w:val="lrTb"/>
            <w:noWrap w:val="false"/>
          </w:tcPr>
          <w:p>
            <w:pPr>
              <w:spacing w:line="400" w:lineRule="exact"/>
              <w:rPr>
                <w:rFonts w:cs="宋体" w:asciiTheme="minorEastAsia" w:hAnsiTheme="minorEastAsia"/>
                <w:color w:val="000000"/>
                <w:sz w:val="24"/>
                <w:szCs w:val="24"/>
              </w:rPr>
            </w:pPr>
            <w:r>
              <w:rPr>
                <w:rFonts w:hint="eastAsia" w:cs="宋体" w:asciiTheme="minorEastAsia" w:hAnsiTheme="minorEastAsia"/>
                <w:color w:val="000000"/>
                <w:sz w:val="24"/>
                <w:szCs w:val="24"/>
              </w:rPr>
              <w:t xml:space="preserve">1.攻防演练期间提供全市法院互联网侧资产的安全托管服务，提供7*24小时值守服务。</w:t>
            </w:r>
            <w:r/>
          </w:p>
          <w:p>
            <w:pPr>
              <w:spacing w:line="400" w:lineRule="exact"/>
              <w:rPr>
                <w:rFonts w:cs="宋体" w:asciiTheme="minorEastAsia" w:hAnsiTheme="minorEastAsia"/>
                <w:color w:val="000000"/>
                <w:sz w:val="24"/>
                <w:szCs w:val="24"/>
              </w:rPr>
            </w:pPr>
            <w:r>
              <w:rPr>
                <w:rFonts w:hint="eastAsia" w:asciiTheme="minorEastAsia" w:hAnsiTheme="minorEastAsia"/>
                <w:b/>
                <w:bCs/>
                <w:sz w:val="24"/>
                <w:szCs w:val="24"/>
              </w:rPr>
              <w:t xml:space="preserve">▲</w:t>
            </w:r>
            <w:r>
              <w:rPr>
                <w:rFonts w:hint="eastAsia" w:cs="宋体" w:asciiTheme="minorEastAsia" w:hAnsiTheme="minorEastAsia"/>
                <w:color w:val="000000"/>
                <w:sz w:val="24"/>
                <w:szCs w:val="24"/>
              </w:rPr>
              <w:t xml:space="preserve">2.针对对法院服务资产开展互联网暴露面探测，以梳理资产面向互联网的开放情况，快速发现违规暴露在互联网中的资产及存在的风险并进行处置，实现对暴露面资产可管可控，降低暴露面资产的风险。</w:t>
            </w:r>
            <w:r/>
          </w:p>
          <w:p>
            <w:pPr>
              <w:spacing w:line="400" w:lineRule="exact"/>
              <w:rPr>
                <w:rFonts w:cs="宋体" w:asciiTheme="minorEastAsia" w:hAnsiTheme="minorEastAsia"/>
                <w:b/>
                <w:color w:val="000000"/>
                <w:sz w:val="24"/>
                <w:szCs w:val="24"/>
              </w:rPr>
            </w:pPr>
            <w:r>
              <w:rPr>
                <w:rFonts w:hint="eastAsia" w:cs="宋体" w:asciiTheme="minorEastAsia" w:hAnsiTheme="minorEastAsia"/>
                <w:b/>
                <w:color w:val="000000"/>
                <w:sz w:val="24"/>
                <w:szCs w:val="24"/>
              </w:rPr>
              <w:t xml:space="preserve">（</w:t>
            </w:r>
            <w:r>
              <w:rPr>
                <w:rFonts w:hint="eastAsia" w:asciiTheme="minorEastAsia" w:hAnsiTheme="minorEastAsia"/>
                <w:b/>
                <w:sz w:val="24"/>
                <w:szCs w:val="24"/>
              </w:rPr>
              <w:t xml:space="preserve">投标文件中提供功能截图并加盖投标人公章</w:t>
            </w:r>
            <w:r>
              <w:rPr>
                <w:rFonts w:hint="eastAsia" w:cs="宋体" w:asciiTheme="minorEastAsia" w:hAnsiTheme="minorEastAsia"/>
                <w:b/>
                <w:color w:val="000000"/>
                <w:sz w:val="24"/>
                <w:szCs w:val="24"/>
              </w:rPr>
              <w:t xml:space="preserve">）</w:t>
            </w:r>
            <w:r/>
          </w:p>
          <w:p>
            <w:pPr>
              <w:pStyle w:val="851"/>
              <w:ind w:firstLine="0"/>
              <w:jc w:val="both"/>
              <w:spacing w:line="400" w:lineRule="exact"/>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3.针对服务范围内资产扫描到的高危可利用漏洞，应当为法院做好每一个高危可利用漏洞的防护工作，包括但不限于为法院提供漏洞修复方案和安全设备防护策略，以及帮助法院配置防护规则，保证法院不因此出现重大事件和损失；</w:t>
            </w:r>
            <w:r/>
          </w:p>
          <w:p>
            <w:pPr>
              <w:spacing w:line="400" w:lineRule="exact"/>
              <w:rPr>
                <w:rFonts w:cs="宋体" w:asciiTheme="minorEastAsia" w:hAnsiTheme="minorEastAsia"/>
                <w:color w:val="000000"/>
                <w:sz w:val="24"/>
                <w:szCs w:val="24"/>
              </w:rPr>
            </w:pPr>
            <w:r>
              <w:rPr>
                <w:rFonts w:hint="eastAsia" w:cs="宋体" w:asciiTheme="minorEastAsia" w:hAnsiTheme="minorEastAsia"/>
                <w:color w:val="000000"/>
                <w:sz w:val="24"/>
                <w:szCs w:val="24"/>
              </w:rPr>
              <w:t xml:space="preserve">4.为了保证安全监测的准确率和服务质量，所投厂商应当支持为法院自定义配置安全规则，以满足日益复杂的安全趋势所带来的安全监测需求；</w:t>
            </w:r>
            <w:r/>
          </w:p>
          <w:p>
            <w:pPr>
              <w:spacing w:line="400" w:lineRule="exact"/>
              <w:rPr>
                <w:rFonts w:cs="宋体" w:asciiTheme="minorEastAsia" w:hAnsiTheme="minorEastAsia"/>
                <w:color w:val="000000"/>
                <w:sz w:val="24"/>
                <w:szCs w:val="24"/>
              </w:rPr>
            </w:pPr>
            <w:r>
              <w:rPr>
                <w:rFonts w:hint="eastAsia" w:cs="宋体" w:asciiTheme="minorEastAsia" w:hAnsiTheme="minorEastAsia"/>
                <w:color w:val="000000"/>
                <w:sz w:val="24"/>
                <w:szCs w:val="24"/>
              </w:rPr>
              <w:t xml:space="preserve">5.提供安全专家每月对法院的安全设备的防护策略进行检查，确保安全设备上的安全策略始终处于最优水平，针对威胁能起到最好的防护效果。</w:t>
            </w:r>
            <w:r/>
          </w:p>
          <w:p>
            <w:pPr>
              <w:spacing w:line="400" w:lineRule="exact"/>
              <w:rPr>
                <w:rFonts w:cs="宋体" w:asciiTheme="minorEastAsia" w:hAnsiTheme="minorEastAsia"/>
                <w:color w:val="000000"/>
                <w:sz w:val="24"/>
                <w:szCs w:val="24"/>
              </w:rPr>
            </w:pPr>
            <w:r>
              <w:rPr>
                <w:rFonts w:hint="eastAsia" w:cs="宋体" w:asciiTheme="minorEastAsia" w:hAnsiTheme="minorEastAsia"/>
                <w:color w:val="000000"/>
                <w:sz w:val="24"/>
                <w:szCs w:val="24"/>
              </w:rPr>
              <w:t xml:space="preserve">6.为了保障服务质量和加强与法院的沟通，为法院配置一名经验丰富的安全专家作为专属服务经理，并且实时响应咨询的网络安全相关问题。</w:t>
            </w:r>
            <w:r/>
          </w:p>
          <w:p>
            <w:pPr>
              <w:spacing w:line="400" w:lineRule="exact"/>
              <w:rPr>
                <w:rFonts w:cs="宋体" w:asciiTheme="minorEastAsia" w:hAnsiTheme="minorEastAsia"/>
                <w:color w:val="000000"/>
                <w:sz w:val="24"/>
                <w:szCs w:val="24"/>
              </w:rPr>
            </w:pPr>
            <w:r>
              <w:rPr>
                <w:rFonts w:hint="eastAsia" w:cs="宋体" w:asciiTheme="minorEastAsia" w:hAnsiTheme="minorEastAsia"/>
                <w:color w:val="000000"/>
                <w:sz w:val="24"/>
                <w:szCs w:val="24"/>
              </w:rPr>
              <w:t xml:space="preserve">7.为法院提供的服务成果展示门户，可以直观的管理服务过程中生产的服务报告和交付物，包括但不限于《准备阶段文件》、《特殊时期值守报告》、《运营周报》、《运营月报》、《运营季报》、《威胁情报》、《年度汇报》、《事件总结报告》。</w:t>
            </w:r>
            <w:r/>
          </w:p>
          <w:p>
            <w:pPr>
              <w:pStyle w:val="851"/>
              <w:ind w:firstLine="0"/>
              <w:jc w:val="both"/>
              <w:spacing w:line="400" w:lineRule="exact"/>
              <w:rPr>
                <w:rFonts w:cs="宋体" w:asciiTheme="minorEastAsia" w:hAnsiTheme="minorEastAsia" w:eastAsiaTheme="minorEastAsia"/>
                <w:color w:val="000000"/>
                <w:sz w:val="24"/>
              </w:rPr>
            </w:pPr>
            <w:r>
              <w:rPr>
                <w:rFonts w:hint="eastAsia" w:asciiTheme="minorEastAsia" w:hAnsiTheme="minorEastAsia" w:eastAsiaTheme="minorEastAsia"/>
                <w:b/>
                <w:bCs/>
                <w:sz w:val="24"/>
              </w:rPr>
              <w:t xml:space="preserve">▲</w:t>
            </w:r>
            <w:r>
              <w:rPr>
                <w:rFonts w:hint="eastAsia" w:cs="宋体" w:asciiTheme="minorEastAsia" w:hAnsiTheme="minorEastAsia" w:eastAsiaTheme="minorEastAsia"/>
                <w:color w:val="000000"/>
                <w:sz w:val="24"/>
              </w:rPr>
              <w:t xml:space="preserve">8.支持实时接收法院现有的安全设备</w:t>
            </w:r>
            <w:r>
              <w:rPr>
                <w:rFonts w:hint="eastAsia" w:ascii="宋体" w:hAnsi="宋体" w:cs="宋体"/>
                <w:color w:val="000000"/>
                <w:sz w:val="24"/>
              </w:rPr>
              <w:t xml:space="preserve">（包括</w:t>
            </w:r>
            <w:r>
              <w:rPr>
                <w:rFonts w:ascii="宋体" w:hAnsi="宋体" w:cs="宋体"/>
                <w:color w:val="000000"/>
                <w:sz w:val="24"/>
              </w:rPr>
              <w:t xml:space="preserve">天融信防火墙、深信服态势感知、网御光闸等设备</w:t>
            </w:r>
            <w:r>
              <w:rPr>
                <w:rFonts w:hint="eastAsia" w:ascii="宋体" w:hAnsi="宋体" w:cs="宋体"/>
                <w:color w:val="000000"/>
                <w:sz w:val="24"/>
              </w:rPr>
              <w:t xml:space="preserve">）</w:t>
            </w:r>
            <w:r>
              <w:rPr>
                <w:rFonts w:hint="eastAsia" w:cs="宋体" w:asciiTheme="minorEastAsia" w:hAnsiTheme="minorEastAsia" w:eastAsiaTheme="minorEastAsia"/>
                <w:color w:val="000000"/>
                <w:sz w:val="24"/>
              </w:rPr>
              <w:t xml:space="preserve">检测到的安全事件信息以及安全日志数据，并提供7*24小时的分析、监测、处置等服务。</w:t>
            </w:r>
            <w:r/>
          </w:p>
          <w:p>
            <w:pPr>
              <w:pStyle w:val="851"/>
              <w:ind w:firstLine="0"/>
              <w:jc w:val="both"/>
              <w:spacing w:line="400" w:lineRule="exact"/>
              <w:rPr>
                <w:rFonts w:asciiTheme="minorEastAsia" w:hAnsiTheme="minorEastAsia" w:eastAsiaTheme="minorEastAsia"/>
                <w:sz w:val="24"/>
              </w:rPr>
            </w:pPr>
            <w:r>
              <w:rPr>
                <w:rFonts w:hint="eastAsia" w:ascii="宋体" w:hAnsi="宋体" w:cs="宋体"/>
                <w:b/>
                <w:color w:val="000000"/>
                <w:sz w:val="24"/>
              </w:rPr>
              <w:t xml:space="preserve">（</w:t>
            </w:r>
            <w:r>
              <w:rPr>
                <w:rFonts w:ascii="宋体" w:hAnsi="宋体"/>
                <w:b/>
                <w:sz w:val="24"/>
              </w:rPr>
              <w:t xml:space="preserve">投标文件中提供对接支持的服务承诺函并加盖投标人公章</w:t>
            </w:r>
            <w:r>
              <w:rPr>
                <w:rFonts w:hint="eastAsia" w:ascii="宋体" w:hAnsi="宋体" w:cs="宋体"/>
                <w:b/>
                <w:color w:val="000000"/>
                <w:sz w:val="24"/>
              </w:rPr>
              <w:t xml:space="preserve">）</w:t>
            </w:r>
            <w:r/>
          </w:p>
        </w:tc>
      </w:tr>
      <w:tr>
        <w:trPr>
          <w:trHeight w:val="570"/>
        </w:trPr>
        <w:tc>
          <w:tcPr>
            <w:tcBorders>
              <w:top w:val="single" w:color="auto" w:sz="4" w:space="0"/>
              <w:left w:val="single" w:color="auto" w:sz="4" w:space="0"/>
              <w:bottom w:val="single" w:color="auto" w:sz="4" w:space="0"/>
              <w:right w:val="single" w:color="auto" w:sz="4" w:space="0"/>
            </w:tcBorders>
            <w:tcW w:w="646" w:type="pct"/>
            <w:vAlign w:val="center"/>
            <w:textDirection w:val="lrTb"/>
            <w:noWrap w:val="false"/>
          </w:tcPr>
          <w:p>
            <w:pPr>
              <w:jc w:val="center"/>
              <w:spacing w:line="400" w:lineRule="exact"/>
              <w:widowControl/>
              <w:rPr>
                <w:rFonts w:cs="Times New Roman" w:asciiTheme="minorEastAsia" w:hAnsiTheme="minorEastAsia"/>
                <w:sz w:val="24"/>
                <w:szCs w:val="24"/>
              </w:rPr>
            </w:pPr>
            <w:r>
              <w:rPr>
                <w:rFonts w:hint="eastAsia" w:cs="Times New Roman" w:asciiTheme="minorEastAsia" w:hAnsiTheme="minorEastAsia"/>
                <w:sz w:val="24"/>
                <w:szCs w:val="24"/>
              </w:rPr>
              <w:t xml:space="preserve">5</w:t>
            </w:r>
            <w:r/>
          </w:p>
        </w:tc>
        <w:tc>
          <w:tcPr>
            <w:tcBorders>
              <w:top w:val="single" w:color="auto" w:sz="4" w:space="0"/>
              <w:left w:val="none" w:color="000000" w:sz="4" w:space="0"/>
              <w:bottom w:val="single" w:color="auto" w:sz="4" w:space="0"/>
              <w:right w:val="single" w:color="auto" w:sz="4" w:space="0"/>
            </w:tcBorders>
            <w:tcW w:w="970" w:type="pct"/>
            <w:vAlign w:val="center"/>
            <w:textDirection w:val="lrTb"/>
            <w:noWrap w:val="false"/>
          </w:tcPr>
          <w:p>
            <w:pPr>
              <w:jc w:val="center"/>
              <w:spacing w:line="400" w:lineRule="exact"/>
              <w:widowControl/>
              <w:rPr>
                <w:rFonts w:cs="Times New Roman" w:asciiTheme="minorEastAsia" w:hAnsiTheme="minorEastAsia"/>
                <w:sz w:val="24"/>
                <w:szCs w:val="24"/>
              </w:rPr>
            </w:pPr>
            <w:r>
              <w:rPr>
                <w:rFonts w:hint="eastAsia" w:cs="Times New Roman" w:asciiTheme="minorEastAsia" w:hAnsiTheme="minorEastAsia"/>
                <w:sz w:val="24"/>
                <w:szCs w:val="24"/>
              </w:rPr>
              <w:t xml:space="preserve">统一运营分析平台</w:t>
            </w:r>
            <w:r/>
          </w:p>
        </w:tc>
        <w:tc>
          <w:tcPr>
            <w:tcBorders>
              <w:top w:val="single" w:color="auto" w:sz="4" w:space="0"/>
              <w:left w:val="none" w:color="000000" w:sz="4" w:space="0"/>
              <w:bottom w:val="single" w:color="auto" w:sz="4" w:space="0"/>
              <w:right w:val="single" w:color="auto" w:sz="4" w:space="0"/>
            </w:tcBorders>
            <w:tcW w:w="3384" w:type="pct"/>
            <w:vAlign w:val="center"/>
            <w:textDirection w:val="lrTb"/>
            <w:noWrap w:val="false"/>
          </w:tcPr>
          <w:p>
            <w:pPr>
              <w:spacing w:line="400" w:lineRule="exact"/>
              <w:rPr>
                <w:rFonts w:cs="宋体" w:asciiTheme="minorEastAsia" w:hAnsiTheme="minorEastAsia"/>
                <w:sz w:val="24"/>
                <w:szCs w:val="24"/>
              </w:rPr>
            </w:pPr>
            <w:r>
              <w:rPr>
                <w:rFonts w:hint="eastAsia" w:cs="宋体" w:asciiTheme="minorEastAsia" w:hAnsiTheme="minorEastAsia"/>
                <w:sz w:val="24"/>
                <w:szCs w:val="24"/>
              </w:rPr>
              <w:t xml:space="preserve">1.平台接入流量≥2000Mbps</w:t>
            </w:r>
            <w:r/>
          </w:p>
          <w:p>
            <w:pPr>
              <w:spacing w:line="400" w:lineRule="exact"/>
              <w:rPr>
                <w:rFonts w:cs="宋体" w:asciiTheme="minorEastAsia" w:hAnsiTheme="minorEastAsia"/>
                <w:color w:val="000000"/>
                <w:sz w:val="24"/>
                <w:szCs w:val="24"/>
              </w:rPr>
            </w:pPr>
            <w:r>
              <w:rPr>
                <w:rFonts w:hint="eastAsia" w:cs="宋体" w:asciiTheme="minorEastAsia" w:hAnsiTheme="minorEastAsia"/>
                <w:color w:val="000000"/>
                <w:sz w:val="24"/>
                <w:szCs w:val="24"/>
              </w:rPr>
              <w:t xml:space="preserve">2.服务工具应当提供不少于40种策略检查工具，具备丰富的策略检查，能够排查安全设备防护策略配置的合理性。</w:t>
            </w:r>
            <w:r/>
          </w:p>
          <w:p>
            <w:pPr>
              <w:spacing w:line="400" w:lineRule="exact"/>
              <w:rPr>
                <w:rFonts w:cs="宋体" w:asciiTheme="minorEastAsia" w:hAnsiTheme="minorEastAsia"/>
                <w:color w:val="000000"/>
                <w:sz w:val="24"/>
                <w:szCs w:val="24"/>
              </w:rPr>
            </w:pPr>
            <w:r>
              <w:rPr>
                <w:rFonts w:hint="eastAsia" w:cs="宋体" w:asciiTheme="minorEastAsia" w:hAnsiTheme="minorEastAsia"/>
                <w:color w:val="000000"/>
                <w:sz w:val="24"/>
                <w:szCs w:val="24"/>
              </w:rPr>
              <w:t xml:space="preserve">3.支持按日、周、月等时间周期展示风险总览、包括安全事件总览、资产统计、接入设备展示包括不仅限于防火墙、探针、终端安全防护、CWPP，待处置安全事件TOP5、XTH云端威胁狩猎报告总览、攻击面TOP5、脆弱性资产TOP5、风险资产分布及风险资产发生趋势、待处置安全事件分布及安全事件发生趋势。智能对抗统计及对抗场景分析，可展示智能对抗记录，清楚明晰下一步处置方向。</w:t>
            </w:r>
            <w:r/>
          </w:p>
          <w:p>
            <w:pPr>
              <w:spacing w:line="400" w:lineRule="exact"/>
              <w:rPr>
                <w:rFonts w:cs="宋体" w:asciiTheme="minorEastAsia" w:hAnsiTheme="minorEastAsia"/>
                <w:color w:val="000000"/>
                <w:sz w:val="24"/>
                <w:szCs w:val="24"/>
              </w:rPr>
            </w:pPr>
            <w:r>
              <w:rPr>
                <w:rFonts w:hint="eastAsia" w:cs="宋体" w:asciiTheme="minorEastAsia" w:hAnsiTheme="minorEastAsia"/>
                <w:color w:val="000000"/>
                <w:sz w:val="24"/>
                <w:szCs w:val="24"/>
              </w:rPr>
              <w:t xml:space="preserve">4.支持不同安全视角展示7个独立的大屏展示功能 ，包括全网安全能力监控大屏、安全运维大屏、告警态</w:t>
            </w:r>
            <w:r>
              <w:rPr>
                <w:rFonts w:hint="eastAsia" w:cs="宋体" w:asciiTheme="minorEastAsia" w:hAnsiTheme="minorEastAsia"/>
                <w:color w:val="000000"/>
                <w:sz w:val="24"/>
                <w:szCs w:val="24"/>
              </w:rPr>
              <w:t xml:space="preserve">势大屏、资产态势大屏等，支持配置大屏统计周期。</w:t>
            </w:r>
            <w:r/>
          </w:p>
          <w:p>
            <w:pPr>
              <w:spacing w:line="400" w:lineRule="exact"/>
              <w:rPr>
                <w:rFonts w:cs="宋体" w:asciiTheme="minorEastAsia" w:hAnsiTheme="minorEastAsia"/>
                <w:color w:val="000000"/>
                <w:sz w:val="24"/>
                <w:szCs w:val="24"/>
              </w:rPr>
            </w:pPr>
            <w:r>
              <w:rPr>
                <w:rFonts w:hint="eastAsia" w:cs="宋体" w:asciiTheme="minorEastAsia" w:hAnsiTheme="minorEastAsia"/>
                <w:color w:val="000000"/>
                <w:sz w:val="24"/>
                <w:szCs w:val="24"/>
              </w:rPr>
              <w:t xml:space="preserve">5.支持对Windows终端采集：进程、网络、注册表、文件、服务、计划任务、账号、WMI、应用漏洞利用探针、API等信息。对Linux终端采集：文件、进程、驱动、系统调用、模块事件等信息。</w:t>
            </w:r>
            <w:r/>
          </w:p>
          <w:p>
            <w:pPr>
              <w:spacing w:line="400" w:lineRule="exact"/>
              <w:rPr>
                <w:rFonts w:cs="宋体" w:asciiTheme="minorEastAsia" w:hAnsiTheme="minorEastAsia"/>
                <w:color w:val="000000"/>
                <w:sz w:val="24"/>
                <w:szCs w:val="24"/>
              </w:rPr>
            </w:pPr>
            <w:r>
              <w:rPr>
                <w:rFonts w:hint="eastAsia" w:cs="宋体" w:asciiTheme="minorEastAsia" w:hAnsiTheme="minorEastAsia"/>
                <w:color w:val="000000"/>
                <w:sz w:val="24"/>
                <w:szCs w:val="24"/>
              </w:rPr>
              <w:t xml:space="preserve">支持终端防护遥测数据采集：包含传统杀毒类日志、IOA类日志；</w:t>
            </w:r>
            <w:r/>
          </w:p>
          <w:p>
            <w:pPr>
              <w:spacing w:line="400" w:lineRule="exact"/>
              <w:rPr>
                <w:rFonts w:cs="宋体" w:asciiTheme="minorEastAsia" w:hAnsiTheme="minorEastAsia"/>
                <w:color w:val="000000"/>
                <w:sz w:val="24"/>
                <w:szCs w:val="24"/>
              </w:rPr>
            </w:pPr>
            <w:r>
              <w:rPr>
                <w:rFonts w:hint="eastAsia" w:cs="宋体" w:asciiTheme="minorEastAsia" w:hAnsiTheme="minorEastAsia"/>
                <w:color w:val="000000"/>
                <w:sz w:val="24"/>
                <w:szCs w:val="24"/>
              </w:rPr>
              <w:t xml:space="preserve">6.为了确保安全事件的真实性，避免误报的可能，需提供云端专家轻量安全服务，进行持续的威胁狩猎，发现潜在威胁；在有攻击事件生成后，进行二次确认，通过Threat Hunting标签进行辨别，对热门威胁进行响应；</w:t>
            </w:r>
            <w:r/>
          </w:p>
          <w:p>
            <w:pPr>
              <w:spacing w:line="400" w:lineRule="exact"/>
              <w:rPr>
                <w:rFonts w:cs="宋体" w:asciiTheme="minorEastAsia" w:hAnsiTheme="minorEastAsia"/>
                <w:color w:val="000000"/>
                <w:sz w:val="24"/>
                <w:szCs w:val="24"/>
              </w:rPr>
            </w:pPr>
            <w:r>
              <w:rPr>
                <w:rFonts w:hint="eastAsia" w:asciiTheme="minorEastAsia" w:hAnsiTheme="minorEastAsia"/>
                <w:b/>
                <w:bCs/>
                <w:sz w:val="24"/>
                <w:szCs w:val="24"/>
              </w:rPr>
              <w:t xml:space="preserve">▲</w:t>
            </w:r>
            <w:r>
              <w:rPr>
                <w:rFonts w:hint="eastAsia" w:asciiTheme="minorEastAsia" w:hAnsiTheme="minorEastAsia"/>
                <w:bCs/>
                <w:sz w:val="24"/>
                <w:szCs w:val="24"/>
              </w:rPr>
              <w:t xml:space="preserve">7</w:t>
            </w:r>
            <w:r>
              <w:rPr>
                <w:rFonts w:hint="eastAsia" w:cs="宋体" w:asciiTheme="minorEastAsia" w:hAnsiTheme="minorEastAsia"/>
                <w:color w:val="000000"/>
                <w:sz w:val="24"/>
                <w:szCs w:val="24"/>
              </w:rPr>
              <w:t xml:space="preserve">.为了更好的解读安全事件，方便运维人员快速处理，检测与响应平台平台支持对安全事件推送处置和响应建议，响应建议包括原理介绍、危害影响、处置建议。通过建议描述、业务影响标签和安全效果标签清晰明确指导下一步响应动作，可一键封禁IP、隔离主机等。支持安全GPT在线解读事件。</w:t>
            </w:r>
            <w:r/>
          </w:p>
          <w:p>
            <w:pPr>
              <w:spacing w:line="400" w:lineRule="exact"/>
              <w:rPr>
                <w:rFonts w:cs="宋体" w:asciiTheme="minorEastAsia" w:hAnsiTheme="minorEastAsia"/>
                <w:b/>
                <w:color w:val="000000"/>
                <w:sz w:val="24"/>
                <w:szCs w:val="24"/>
              </w:rPr>
            </w:pPr>
            <w:r>
              <w:rPr>
                <w:rFonts w:hint="eastAsia" w:cs="宋体" w:asciiTheme="minorEastAsia" w:hAnsiTheme="minorEastAsia"/>
                <w:b/>
                <w:color w:val="000000"/>
                <w:sz w:val="24"/>
                <w:szCs w:val="24"/>
              </w:rPr>
              <w:t xml:space="preserve">（</w:t>
            </w:r>
            <w:r>
              <w:rPr>
                <w:rFonts w:hint="eastAsia" w:asciiTheme="minorEastAsia" w:hAnsiTheme="minorEastAsia"/>
                <w:b/>
                <w:sz w:val="24"/>
                <w:szCs w:val="24"/>
              </w:rPr>
              <w:t xml:space="preserve">投标文件中提供功能截图并加盖投标人公章</w:t>
            </w:r>
            <w:r>
              <w:rPr>
                <w:rFonts w:hint="eastAsia" w:cs="宋体" w:asciiTheme="minorEastAsia" w:hAnsiTheme="minorEastAsia"/>
                <w:b/>
                <w:color w:val="000000"/>
                <w:sz w:val="24"/>
                <w:szCs w:val="24"/>
              </w:rPr>
              <w:t xml:space="preserve">）</w:t>
            </w:r>
            <w:r/>
          </w:p>
          <w:p>
            <w:pPr>
              <w:spacing w:line="400" w:lineRule="exact"/>
              <w:rPr>
                <w:rFonts w:cs="宋体" w:asciiTheme="minorEastAsia" w:hAnsiTheme="minorEastAsia"/>
                <w:color w:val="000000"/>
                <w:sz w:val="24"/>
                <w:szCs w:val="24"/>
              </w:rPr>
            </w:pPr>
            <w:r>
              <w:rPr>
                <w:rFonts w:hint="eastAsia" w:asciiTheme="minorEastAsia" w:hAnsiTheme="minorEastAsia"/>
                <w:b/>
                <w:bCs/>
                <w:sz w:val="24"/>
                <w:szCs w:val="24"/>
              </w:rPr>
              <w:t xml:space="preserve">▲</w:t>
            </w:r>
            <w:r>
              <w:rPr>
                <w:rFonts w:hint="eastAsia" w:asciiTheme="minorEastAsia" w:hAnsiTheme="minorEastAsia"/>
                <w:sz w:val="24"/>
                <w:szCs w:val="24"/>
              </w:rPr>
              <w:t xml:space="preserve">8</w:t>
            </w:r>
            <w:r>
              <w:rPr>
                <w:rFonts w:hint="eastAsia" w:cs="宋体" w:asciiTheme="minorEastAsia" w:hAnsiTheme="minorEastAsia"/>
                <w:color w:val="000000"/>
                <w:sz w:val="24"/>
                <w:szCs w:val="24"/>
              </w:rPr>
              <w:t xml:space="preserve">.为了更为精准的溯源和可视化，支持通过安全事件详情查看攻击故事线。安全事件按照攻击入口和进程树的视角进行安全分析。可详细点开进程链中任意进程查看进程详情，包括基础信息、威胁告警、网络连接行为、文件行为、域名访问行为、模块加载行为，并且自带解码工具。</w:t>
            </w:r>
            <w:r/>
          </w:p>
          <w:p>
            <w:pPr>
              <w:spacing w:line="400" w:lineRule="exact"/>
              <w:rPr>
                <w:rFonts w:cs="宋体" w:asciiTheme="minorEastAsia" w:hAnsiTheme="minorEastAsia"/>
                <w:b/>
                <w:color w:val="000000"/>
                <w:sz w:val="24"/>
                <w:szCs w:val="24"/>
              </w:rPr>
            </w:pPr>
            <w:r>
              <w:rPr>
                <w:rFonts w:hint="eastAsia" w:cs="宋体" w:asciiTheme="minorEastAsia" w:hAnsiTheme="minorEastAsia"/>
                <w:b/>
                <w:color w:val="000000"/>
                <w:sz w:val="24"/>
                <w:szCs w:val="24"/>
              </w:rPr>
              <w:t xml:space="preserve">（</w:t>
            </w:r>
            <w:r>
              <w:rPr>
                <w:rFonts w:hint="eastAsia" w:asciiTheme="minorEastAsia" w:hAnsiTheme="minorEastAsia"/>
                <w:b/>
                <w:sz w:val="24"/>
                <w:szCs w:val="24"/>
              </w:rPr>
              <w:t xml:space="preserve">投标文件中提供功能截图并加盖投标人公章</w:t>
            </w:r>
            <w:r>
              <w:rPr>
                <w:rFonts w:hint="eastAsia" w:cs="宋体" w:asciiTheme="minorEastAsia" w:hAnsiTheme="minorEastAsia"/>
                <w:b/>
                <w:color w:val="000000"/>
                <w:sz w:val="24"/>
                <w:szCs w:val="24"/>
              </w:rPr>
              <w:t xml:space="preserve">）</w:t>
            </w:r>
            <w:r/>
          </w:p>
          <w:p>
            <w:pPr>
              <w:spacing w:line="400" w:lineRule="exact"/>
              <w:rPr>
                <w:rFonts w:cs="宋体" w:asciiTheme="minorEastAsia" w:hAnsiTheme="minorEastAsia"/>
                <w:color w:val="000000"/>
                <w:sz w:val="24"/>
                <w:szCs w:val="24"/>
              </w:rPr>
            </w:pPr>
            <w:r>
              <w:rPr>
                <w:rFonts w:hint="eastAsia" w:cs="宋体" w:asciiTheme="minorEastAsia" w:hAnsiTheme="minorEastAsia"/>
                <w:color w:val="000000"/>
                <w:sz w:val="24"/>
                <w:szCs w:val="24"/>
              </w:rPr>
              <w:t xml:space="preserve">9.支持威胁模拟功能， 可以可通过“威胁模拟”功能生成样例事件或运行测试脚本产生告警、事件，从而体验安全事件的分析、研判功能。</w:t>
            </w:r>
            <w:r/>
          </w:p>
          <w:p>
            <w:pPr>
              <w:spacing w:line="400" w:lineRule="exact"/>
              <w:rPr>
                <w:rFonts w:cs="宋体" w:asciiTheme="minorEastAsia" w:hAnsiTheme="minorEastAsia"/>
                <w:color w:val="000000"/>
                <w:sz w:val="24"/>
                <w:szCs w:val="24"/>
              </w:rPr>
            </w:pPr>
            <w:r>
              <w:rPr>
                <w:rFonts w:hint="eastAsia" w:cs="宋体" w:asciiTheme="minorEastAsia" w:hAnsiTheme="minorEastAsia"/>
                <w:color w:val="000000"/>
                <w:sz w:val="24"/>
                <w:szCs w:val="24"/>
              </w:rPr>
              <w:t xml:space="preserve">10.支持告警智能定性分析，通过分析告警的上下文关联、时序关系、历史告警发生的频率规律性，结合威胁情报与安全专家经验对当前的安全告警进行目的性确认、从而确认安全告警的优先级顺序，帮助安全人员高效的完成攻击告警的运营工作。</w:t>
            </w:r>
            <w:r/>
          </w:p>
          <w:p>
            <w:pPr>
              <w:spacing w:line="400" w:lineRule="exact"/>
              <w:rPr>
                <w:rFonts w:cs="宋体" w:asciiTheme="minorEastAsia" w:hAnsiTheme="minorEastAsia"/>
                <w:color w:val="000000"/>
                <w:sz w:val="24"/>
                <w:szCs w:val="24"/>
              </w:rPr>
            </w:pPr>
            <w:r>
              <w:rPr>
                <w:rFonts w:hint="eastAsia" w:cs="宋体" w:asciiTheme="minorEastAsia" w:hAnsiTheme="minorEastAsia"/>
                <w:color w:val="000000"/>
                <w:sz w:val="24"/>
                <w:szCs w:val="24"/>
              </w:rPr>
              <w:t xml:space="preserve">11.支持对漏洞详情进行展示、包括危害程度、漏洞爆发时间、CVE-ID、CNNVD-ID、威胁标签、漏洞介绍、影响组件、情报来源、漏洞活跃趋势及官方修复处置建议、处置建议。</w:t>
            </w:r>
            <w:r/>
          </w:p>
          <w:p>
            <w:pPr>
              <w:spacing w:line="400" w:lineRule="exact"/>
              <w:rPr>
                <w:rFonts w:cs="宋体" w:asciiTheme="minorEastAsia" w:hAnsiTheme="minorEastAsia"/>
                <w:color w:val="000000"/>
                <w:sz w:val="24"/>
                <w:szCs w:val="24"/>
              </w:rPr>
            </w:pPr>
            <w:r>
              <w:rPr>
                <w:rFonts w:hint="eastAsia" w:cs="宋体" w:asciiTheme="minorEastAsia" w:hAnsiTheme="minorEastAsia"/>
                <w:color w:val="000000"/>
                <w:sz w:val="24"/>
                <w:szCs w:val="24"/>
              </w:rPr>
              <w:t xml:space="preserve">12.支持智能调查功能，通过对威胁情报以及威胁实体IP、域名、MD5的检索，自动进行统计分析，提供全局威胁狩猎，进行快速调查溯源。</w:t>
            </w:r>
            <w:r/>
          </w:p>
          <w:p>
            <w:pPr>
              <w:spacing w:line="400" w:lineRule="exact"/>
              <w:rPr>
                <w:rFonts w:cs="宋体" w:asciiTheme="minorEastAsia" w:hAnsiTheme="minorEastAsia"/>
                <w:color w:val="000000"/>
                <w:sz w:val="24"/>
                <w:szCs w:val="24"/>
              </w:rPr>
            </w:pPr>
            <w:r>
              <w:rPr>
                <w:rFonts w:hint="eastAsia" w:asciiTheme="minorEastAsia" w:hAnsiTheme="minorEastAsia"/>
                <w:b/>
                <w:bCs/>
                <w:sz w:val="24"/>
                <w:szCs w:val="24"/>
              </w:rPr>
              <w:t xml:space="preserve">▲</w:t>
            </w:r>
            <w:r>
              <w:rPr>
                <w:rFonts w:hint="eastAsia" w:cs="宋体" w:asciiTheme="minorEastAsia" w:hAnsiTheme="minorEastAsia"/>
                <w:color w:val="000000"/>
                <w:sz w:val="24"/>
                <w:szCs w:val="24"/>
              </w:rPr>
              <w:t xml:space="preserve">13.为了提高人员的安全防范意识，平台支持可视化、免费的钓鱼演练工具。根据钓鱼演练的性质以及组织属性选择合适的钓鱼邮件模版，常见的钓鱼邮件种类可大致分为财务钓鱼、放假通知钓鱼、漏洞自检钓鱼、简历钓鱼等。</w:t>
            </w:r>
            <w:r/>
          </w:p>
          <w:p>
            <w:pPr>
              <w:spacing w:line="400" w:lineRule="exact"/>
              <w:rPr>
                <w:rFonts w:asciiTheme="minorEastAsia" w:hAnsiTheme="minorEastAsia"/>
                <w:b/>
                <w:sz w:val="24"/>
                <w:szCs w:val="24"/>
              </w:rPr>
            </w:pPr>
            <w:r>
              <w:rPr>
                <w:rFonts w:hint="eastAsia" w:cs="宋体" w:asciiTheme="minorEastAsia" w:hAnsiTheme="minorEastAsia"/>
                <w:b/>
                <w:color w:val="000000"/>
                <w:sz w:val="24"/>
                <w:szCs w:val="24"/>
              </w:rPr>
              <w:t xml:space="preserve">（</w:t>
            </w:r>
            <w:r>
              <w:rPr>
                <w:rFonts w:hint="eastAsia" w:asciiTheme="minorEastAsia" w:hAnsiTheme="minorEastAsia"/>
                <w:b/>
                <w:sz w:val="24"/>
                <w:szCs w:val="24"/>
              </w:rPr>
              <w:t xml:space="preserve">投标文件中提供功能截图并加盖投标人公章</w:t>
            </w:r>
            <w:r>
              <w:rPr>
                <w:rFonts w:hint="eastAsia" w:cs="宋体" w:asciiTheme="minorEastAsia" w:hAnsiTheme="minorEastAsia"/>
                <w:b/>
                <w:color w:val="000000"/>
                <w:sz w:val="24"/>
                <w:szCs w:val="24"/>
              </w:rPr>
              <w:t xml:space="preserve">）</w:t>
            </w:r>
            <w:r/>
          </w:p>
        </w:tc>
      </w:tr>
      <w:tr>
        <w:trPr>
          <w:trHeight w:val="570"/>
        </w:trPr>
        <w:tc>
          <w:tcPr>
            <w:tcBorders>
              <w:top w:val="single" w:color="auto" w:sz="4" w:space="0"/>
              <w:left w:val="single" w:color="auto" w:sz="4" w:space="0"/>
              <w:bottom w:val="single" w:color="auto" w:sz="4" w:space="0"/>
              <w:right w:val="single" w:color="auto" w:sz="4" w:space="0"/>
            </w:tcBorders>
            <w:tcW w:w="646" w:type="pct"/>
            <w:vAlign w:val="center"/>
            <w:textDirection w:val="lrTb"/>
            <w:noWrap w:val="false"/>
          </w:tcPr>
          <w:p>
            <w:pPr>
              <w:jc w:val="center"/>
              <w:spacing w:line="400" w:lineRule="exact"/>
              <w:widowControl/>
              <w:rPr>
                <w:rFonts w:cs="Times New Roman" w:asciiTheme="minorEastAsia" w:hAnsiTheme="minorEastAsia"/>
                <w:sz w:val="24"/>
                <w:szCs w:val="24"/>
              </w:rPr>
            </w:pPr>
            <w:r>
              <w:rPr>
                <w:rFonts w:hint="eastAsia" w:cs="Times New Roman" w:asciiTheme="minorEastAsia" w:hAnsiTheme="minorEastAsia"/>
                <w:sz w:val="24"/>
                <w:szCs w:val="24"/>
              </w:rPr>
              <w:t xml:space="preserve">6</w:t>
            </w:r>
            <w:r/>
          </w:p>
        </w:tc>
        <w:tc>
          <w:tcPr>
            <w:tcBorders>
              <w:top w:val="single" w:color="auto" w:sz="4" w:space="0"/>
              <w:left w:val="none" w:color="000000" w:sz="4" w:space="0"/>
              <w:bottom w:val="single" w:color="auto" w:sz="4" w:space="0"/>
              <w:right w:val="single" w:color="auto" w:sz="4" w:space="0"/>
            </w:tcBorders>
            <w:tcW w:w="970" w:type="pct"/>
            <w:vAlign w:val="center"/>
            <w:textDirection w:val="lrTb"/>
            <w:noWrap w:val="false"/>
          </w:tcPr>
          <w:p>
            <w:pPr>
              <w:jc w:val="center"/>
              <w:spacing w:line="400" w:lineRule="exact"/>
              <w:widowControl/>
              <w:rPr>
                <w:rFonts w:cs="Times New Roman" w:asciiTheme="minorEastAsia" w:hAnsiTheme="minorEastAsia"/>
                <w:sz w:val="24"/>
                <w:szCs w:val="24"/>
              </w:rPr>
            </w:pPr>
            <w:r>
              <w:rPr>
                <w:rFonts w:hint="eastAsia" w:cs="宋体" w:asciiTheme="minorEastAsia" w:hAnsiTheme="minorEastAsia"/>
                <w:sz w:val="24"/>
                <w:szCs w:val="24"/>
              </w:rPr>
              <w:t xml:space="preserve">终端防护软件</w:t>
            </w:r>
            <w:r/>
          </w:p>
        </w:tc>
        <w:tc>
          <w:tcPr>
            <w:tcBorders>
              <w:top w:val="single" w:color="auto" w:sz="4" w:space="0"/>
              <w:left w:val="none" w:color="000000" w:sz="4" w:space="0"/>
              <w:bottom w:val="single" w:color="auto" w:sz="4" w:space="0"/>
              <w:right w:val="single" w:color="auto" w:sz="4" w:space="0"/>
            </w:tcBorders>
            <w:tcW w:w="3384" w:type="pct"/>
            <w:vAlign w:val="center"/>
            <w:textDirection w:val="lrTb"/>
            <w:noWrap w:val="false"/>
          </w:tcPr>
          <w:p>
            <w:pPr>
              <w:spacing w:line="400" w:lineRule="exact"/>
              <w:rPr>
                <w:rFonts w:cs="宋体" w:asciiTheme="minorEastAsia" w:hAnsiTheme="minorEastAsia"/>
                <w:color w:val="000000"/>
                <w:sz w:val="24"/>
                <w:szCs w:val="24"/>
              </w:rPr>
            </w:pPr>
            <w:r>
              <w:rPr>
                <w:rFonts w:hint="eastAsia" w:cs="宋体" w:asciiTheme="minorEastAsia" w:hAnsiTheme="minorEastAsia"/>
                <w:color w:val="000000"/>
                <w:sz w:val="24"/>
                <w:szCs w:val="24"/>
              </w:rPr>
              <w:t xml:space="preserve">1.需能够对法院外网业务系统账号信息进行梳理，了解账号权限分布概况以及风险账号分布情况，可按照隐藏账号、弱密码账号、可疑root权限账号、长期未使用账号、夜间登录、多IP登录进行账号分类查看，支持统计最近一年未修改密码的账户。</w:t>
            </w:r>
            <w:r/>
          </w:p>
          <w:p>
            <w:pPr>
              <w:spacing w:line="400" w:lineRule="exact"/>
              <w:rPr>
                <w:rFonts w:cs="宋体" w:asciiTheme="minorEastAsia" w:hAnsiTheme="minorEastAsia"/>
                <w:color w:val="000000"/>
                <w:sz w:val="24"/>
                <w:szCs w:val="24"/>
              </w:rPr>
            </w:pPr>
            <w:r>
              <w:rPr>
                <w:rFonts w:hint="eastAsia" w:cs="宋体" w:asciiTheme="minorEastAsia" w:hAnsiTheme="minorEastAsia"/>
                <w:color w:val="000000"/>
                <w:sz w:val="24"/>
                <w:szCs w:val="24"/>
              </w:rPr>
              <w:t xml:space="preserve">2.支持对攻击事件深度分析，展示每步关键进程相关的文件行为、域名访问行为、进程操作行为、命令行参数等攻击相关的关键行为，帮助用户快速了解攻击者操作，洞悉目的和危害面。</w:t>
            </w:r>
            <w:r/>
          </w:p>
          <w:p>
            <w:pPr>
              <w:pStyle w:val="851"/>
              <w:ind w:firstLine="0"/>
              <w:jc w:val="both"/>
              <w:spacing w:line="400" w:lineRule="exact"/>
              <w:rPr>
                <w:rFonts w:cs="宋体" w:asciiTheme="minorEastAsia" w:hAnsiTheme="minorEastAsia" w:eastAsiaTheme="minorEastAsia"/>
                <w:color w:val="000000"/>
                <w:sz w:val="24"/>
              </w:rPr>
            </w:pPr>
            <w:r>
              <w:rPr>
                <w:rFonts w:hint="eastAsia" w:asciiTheme="minorEastAsia" w:hAnsiTheme="minorEastAsia" w:eastAsiaTheme="minorEastAsia"/>
                <w:b/>
                <w:bCs/>
                <w:sz w:val="24"/>
              </w:rPr>
              <w:t xml:space="preserve">▲</w:t>
            </w:r>
            <w:r>
              <w:rPr>
                <w:rFonts w:hint="eastAsia" w:cs="宋体" w:asciiTheme="minorEastAsia" w:hAnsiTheme="minorEastAsia" w:eastAsiaTheme="minorEastAsia"/>
                <w:color w:val="000000"/>
                <w:sz w:val="24"/>
              </w:rPr>
              <w:t xml:space="preserve">3.支持为同厂商的防火墙提供溯源举证功能，即本产品检测到僵木蠕毒的恶意域名访问时，会共享事件信息给同厂商的防火墙，且可以在防火墙侧进行威胁事件的溯源分析。</w:t>
            </w:r>
            <w:r/>
          </w:p>
          <w:p>
            <w:pPr>
              <w:pStyle w:val="851"/>
              <w:ind w:firstLine="0"/>
              <w:jc w:val="both"/>
              <w:spacing w:line="400" w:lineRule="exact"/>
              <w:rPr>
                <w:rFonts w:cs="宋体" w:asciiTheme="minorEastAsia" w:hAnsiTheme="minorEastAsia" w:eastAsiaTheme="minorEastAsia"/>
                <w:color w:val="000000"/>
                <w:sz w:val="24"/>
              </w:rPr>
            </w:pPr>
            <w:r>
              <w:rPr>
                <w:rFonts w:hint="eastAsia" w:cs="宋体" w:asciiTheme="minorEastAsia" w:hAnsiTheme="minorEastAsia" w:eastAsiaTheme="minorEastAsia"/>
                <w:b/>
                <w:color w:val="000000"/>
                <w:sz w:val="24"/>
              </w:rPr>
              <w:t xml:space="preserve">（</w:t>
            </w:r>
            <w:r>
              <w:rPr>
                <w:rFonts w:hint="eastAsia" w:asciiTheme="minorEastAsia" w:hAnsiTheme="minorEastAsia" w:eastAsiaTheme="minorEastAsia"/>
                <w:b/>
                <w:sz w:val="24"/>
              </w:rPr>
              <w:t xml:space="preserve">投标文件中提供</w:t>
            </w:r>
            <w:r>
              <w:rPr>
                <w:rFonts w:hint="eastAsia" w:cs="宋体" w:asciiTheme="minorEastAsia" w:hAnsiTheme="minorEastAsia" w:eastAsiaTheme="minorEastAsia"/>
                <w:b/>
                <w:color w:val="000000"/>
                <w:sz w:val="24"/>
              </w:rPr>
              <w:t xml:space="preserve">防火墙产品的联动溯源举证</w:t>
            </w:r>
            <w:r>
              <w:rPr>
                <w:rFonts w:hint="eastAsia" w:asciiTheme="minorEastAsia" w:hAnsiTheme="minorEastAsia" w:eastAsiaTheme="minorEastAsia"/>
                <w:b/>
                <w:sz w:val="24"/>
              </w:rPr>
              <w:t xml:space="preserve">功能截图并加盖投标人公章</w:t>
            </w:r>
            <w:r>
              <w:rPr>
                <w:rFonts w:hint="eastAsia" w:cs="宋体" w:asciiTheme="minorEastAsia" w:hAnsiTheme="minorEastAsia" w:eastAsiaTheme="minorEastAsia"/>
                <w:b/>
                <w:color w:val="000000"/>
                <w:sz w:val="24"/>
              </w:rPr>
              <w:t xml:space="preserve">）</w:t>
            </w:r>
            <w:r/>
          </w:p>
          <w:p>
            <w:pPr>
              <w:spacing w:line="400" w:lineRule="exact"/>
              <w:rPr>
                <w:rFonts w:asciiTheme="minorEastAsia" w:hAnsiTheme="minorEastAsia"/>
                <w:b/>
                <w:bCs/>
                <w:sz w:val="24"/>
                <w:szCs w:val="24"/>
              </w:rPr>
            </w:pPr>
            <w:r>
              <w:rPr>
                <w:rFonts w:hint="eastAsia" w:cs="宋体" w:asciiTheme="minorEastAsia" w:hAnsiTheme="minorEastAsia"/>
                <w:color w:val="000000"/>
                <w:sz w:val="24"/>
                <w:szCs w:val="24"/>
              </w:rPr>
              <w:t xml:space="preserve">4.通过智能识别终端环境情况（低配硬件、老旧设备等）和当前终端资源占用，在闲时实时监控和病毒扫描场景，智能调整客户端的资源占用（CPU、IO等），保障业务资源运行优先。</w:t>
            </w:r>
            <w:r/>
          </w:p>
        </w:tc>
      </w:tr>
      <w:tr>
        <w:trPr>
          <w:trHeight w:val="570"/>
        </w:trPr>
        <w:tc>
          <w:tcPr>
            <w:tcBorders>
              <w:top w:val="single" w:color="auto" w:sz="4" w:space="0"/>
              <w:left w:val="single" w:color="auto" w:sz="4" w:space="0"/>
              <w:bottom w:val="single" w:color="auto" w:sz="4" w:space="0"/>
              <w:right w:val="single" w:color="auto" w:sz="4" w:space="0"/>
            </w:tcBorders>
            <w:tcW w:w="646" w:type="pct"/>
            <w:vAlign w:val="center"/>
            <w:textDirection w:val="lrTb"/>
            <w:noWrap w:val="false"/>
          </w:tcPr>
          <w:p>
            <w:pPr>
              <w:jc w:val="center"/>
              <w:spacing w:line="400" w:lineRule="exact"/>
              <w:widowControl/>
              <w:rPr>
                <w:rFonts w:cs="Times New Roman" w:asciiTheme="minorEastAsia" w:hAnsiTheme="minorEastAsia"/>
                <w:sz w:val="24"/>
                <w:szCs w:val="24"/>
              </w:rPr>
            </w:pPr>
            <w:r>
              <w:rPr>
                <w:rFonts w:hint="eastAsia" w:cs="Times New Roman" w:asciiTheme="minorEastAsia" w:hAnsiTheme="minorEastAsia"/>
                <w:sz w:val="24"/>
                <w:szCs w:val="24"/>
              </w:rPr>
              <w:t xml:space="preserve">7</w:t>
            </w:r>
            <w:r/>
          </w:p>
        </w:tc>
        <w:tc>
          <w:tcPr>
            <w:tcBorders>
              <w:top w:val="single" w:color="auto" w:sz="4" w:space="0"/>
              <w:left w:val="none" w:color="000000" w:sz="4" w:space="0"/>
              <w:bottom w:val="single" w:color="auto" w:sz="4" w:space="0"/>
              <w:right w:val="single" w:color="auto" w:sz="4" w:space="0"/>
            </w:tcBorders>
            <w:tcW w:w="970" w:type="pct"/>
            <w:vAlign w:val="center"/>
            <w:textDirection w:val="lrTb"/>
            <w:noWrap w:val="false"/>
          </w:tcPr>
          <w:p>
            <w:pPr>
              <w:jc w:val="center"/>
              <w:spacing w:line="400" w:lineRule="exact"/>
              <w:widowControl/>
              <w:rPr>
                <w:rFonts w:cs="宋体" w:asciiTheme="minorEastAsia" w:hAnsiTheme="minorEastAsia"/>
                <w:sz w:val="24"/>
                <w:szCs w:val="24"/>
              </w:rPr>
            </w:pPr>
            <w:r>
              <w:rPr>
                <w:rFonts w:hint="eastAsia" w:cs="宋体" w:asciiTheme="minorEastAsia" w:hAnsiTheme="minorEastAsia"/>
                <w:sz w:val="24"/>
                <w:szCs w:val="24"/>
              </w:rPr>
              <w:t xml:space="preserve">防火墙</w:t>
            </w:r>
            <w:r/>
          </w:p>
        </w:tc>
        <w:tc>
          <w:tcPr>
            <w:tcBorders>
              <w:top w:val="single" w:color="auto" w:sz="4" w:space="0"/>
              <w:left w:val="none" w:color="000000" w:sz="4" w:space="0"/>
              <w:bottom w:val="single" w:color="auto" w:sz="4" w:space="0"/>
              <w:right w:val="single" w:color="auto" w:sz="4" w:space="0"/>
            </w:tcBorders>
            <w:tcW w:w="3384" w:type="pct"/>
            <w:vAlign w:val="center"/>
            <w:textDirection w:val="lrTb"/>
            <w:noWrap w:val="false"/>
          </w:tcPr>
          <w:p>
            <w:pPr>
              <w:spacing w:line="400" w:lineRule="exact"/>
              <w:rPr>
                <w:rFonts w:cs="宋体" w:asciiTheme="minorEastAsia" w:hAnsiTheme="minorEastAsia"/>
                <w:color w:val="000000"/>
                <w:sz w:val="24"/>
                <w:szCs w:val="24"/>
              </w:rPr>
            </w:pPr>
            <w:r>
              <w:rPr>
                <w:rFonts w:hint="eastAsia" w:cs="宋体" w:asciiTheme="minorEastAsia" w:hAnsiTheme="minorEastAsia"/>
                <w:color w:val="000000"/>
                <w:sz w:val="24"/>
                <w:szCs w:val="24"/>
              </w:rPr>
              <w:t xml:space="preserve">1.产品需支持路由类型、协议类型、网络对象、国家地区等条件进行自动选路的策略路由，支持不少于3</w:t>
            </w:r>
            <w:r>
              <w:rPr>
                <w:rFonts w:hint="eastAsia" w:cs="宋体" w:asciiTheme="minorEastAsia" w:hAnsiTheme="minorEastAsia"/>
                <w:color w:val="000000"/>
                <w:sz w:val="24"/>
                <w:szCs w:val="24"/>
              </w:rPr>
              <w:t xml:space="preserve">种的调度算法，至少包括带宽比例、加权流量、线路优先等。</w:t>
            </w:r>
            <w:r/>
          </w:p>
          <w:p>
            <w:pPr>
              <w:spacing w:line="400" w:lineRule="exact"/>
              <w:rPr>
                <w:rFonts w:cs="宋体" w:asciiTheme="minorEastAsia" w:hAnsiTheme="minorEastAsia"/>
                <w:color w:val="000000"/>
                <w:sz w:val="24"/>
                <w:szCs w:val="24"/>
              </w:rPr>
            </w:pPr>
            <w:r>
              <w:rPr>
                <w:rFonts w:hint="eastAsia" w:cs="宋体" w:asciiTheme="minorEastAsia" w:hAnsiTheme="minorEastAsia"/>
                <w:color w:val="000000"/>
                <w:sz w:val="24"/>
                <w:szCs w:val="24"/>
              </w:rPr>
              <w:t xml:space="preserve">2.在防病毒方面，需支持对SMTP、HTTP、FTP、SMB、POP3、HTTPS、IMAP等协议进行病毒防御。</w:t>
            </w:r>
            <w:r/>
          </w:p>
          <w:p>
            <w:pPr>
              <w:pStyle w:val="851"/>
              <w:ind w:firstLine="0"/>
              <w:jc w:val="both"/>
              <w:spacing w:line="400" w:lineRule="exact"/>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▲3.为确保防火墙具备人工智能引擎能力，能够快速拦截已知和未知的威胁，防火墙需支持云端未知威胁主动探测技术，实现5min内未知威胁情报全网设备下发。</w:t>
            </w:r>
            <w:r/>
          </w:p>
          <w:p>
            <w:pPr>
              <w:pStyle w:val="851"/>
              <w:ind w:firstLine="0"/>
              <w:jc w:val="both"/>
              <w:spacing w:line="400" w:lineRule="exact"/>
              <w:rPr>
                <w:rFonts w:cs="宋体" w:asciiTheme="minorEastAsia" w:hAnsiTheme="minorEastAsia" w:eastAsiaTheme="minorEastAsia"/>
                <w:b/>
                <w:color w:val="000000"/>
                <w:sz w:val="24"/>
              </w:rPr>
            </w:pPr>
            <w:r>
              <w:rPr>
                <w:rFonts w:hint="eastAsia" w:cs="宋体" w:asciiTheme="minorEastAsia" w:hAnsiTheme="minorEastAsia" w:eastAsiaTheme="minorEastAsia"/>
                <w:b/>
                <w:color w:val="000000"/>
                <w:sz w:val="24"/>
              </w:rPr>
              <w:t xml:space="preserve">（投标文件中提供国家认可的第三方检测机构出具的检测报告扫描件并加盖投标人公章）</w:t>
            </w:r>
            <w:r/>
          </w:p>
          <w:p>
            <w:pPr>
              <w:spacing w:line="400" w:lineRule="exact"/>
              <w:rPr>
                <w:rFonts w:cs="宋体" w:asciiTheme="minorEastAsia" w:hAnsiTheme="minorEastAsia"/>
                <w:color w:val="000000"/>
                <w:sz w:val="24"/>
                <w:szCs w:val="24"/>
              </w:rPr>
            </w:pPr>
            <w:r>
              <w:rPr>
                <w:rFonts w:hint="eastAsia" w:cs="宋体" w:asciiTheme="minorEastAsia" w:hAnsiTheme="minorEastAsia"/>
                <w:color w:val="000000"/>
                <w:sz w:val="24"/>
                <w:szCs w:val="24"/>
              </w:rPr>
              <w:t xml:space="preserve">4.支持异常数据包攻击防御，防护类型包括IP数据块分片传输防护、Teardrop攻击防护、Smurf攻击防护、Land攻击防护、WinNuke攻击防护等攻击类型。产品支持对ICMP、UDP、DNS、SYN等协议进行DDOS防护。</w:t>
            </w:r>
            <w:r/>
          </w:p>
          <w:p>
            <w:pPr>
              <w:spacing w:line="400" w:lineRule="exact"/>
              <w:rPr>
                <w:rFonts w:cs="宋体" w:asciiTheme="minorEastAsia" w:hAnsiTheme="minorEastAsia"/>
                <w:color w:val="000000"/>
                <w:sz w:val="24"/>
                <w:szCs w:val="24"/>
              </w:rPr>
            </w:pPr>
            <w:r>
              <w:rPr>
                <w:rFonts w:hint="eastAsia" w:cs="宋体" w:asciiTheme="minorEastAsia" w:hAnsiTheme="minorEastAsia"/>
                <w:color w:val="000000"/>
                <w:sz w:val="24"/>
                <w:szCs w:val="24"/>
              </w:rPr>
              <w:t xml:space="preserve">5.为确保法院核心系统的安全性，防火墙需支持勒索病毒检测与防御功能，能够应对大部分的勒索病毒攻击。</w:t>
            </w:r>
            <w:r/>
          </w:p>
          <w:p>
            <w:pPr>
              <w:spacing w:line="400" w:lineRule="exact"/>
              <w:rPr>
                <w:rFonts w:cs="宋体" w:asciiTheme="minorEastAsia" w:hAnsiTheme="minorEastAsia"/>
                <w:color w:val="000000"/>
                <w:sz w:val="24"/>
                <w:szCs w:val="24"/>
              </w:rPr>
            </w:pPr>
            <w:r>
              <w:rPr>
                <w:rFonts w:hint="eastAsia" w:cs="宋体" w:asciiTheme="minorEastAsia" w:hAnsiTheme="minorEastAsia"/>
                <w:color w:val="000000"/>
                <w:sz w:val="24"/>
                <w:szCs w:val="24"/>
              </w:rPr>
              <w:t xml:space="preserve">6.支持僵尸主机检测功能，产品内置僵尸网络特征库超过百万种，可识别主机的异常外联行为。</w:t>
            </w:r>
            <w:r/>
          </w:p>
        </w:tc>
      </w:tr>
      <w:tr>
        <w:trPr>
          <w:trHeight w:val="570"/>
        </w:trPr>
        <w:tc>
          <w:tcPr>
            <w:tcBorders>
              <w:top w:val="single" w:color="auto" w:sz="4" w:space="0"/>
              <w:left w:val="single" w:color="auto" w:sz="4" w:space="0"/>
              <w:bottom w:val="single" w:color="auto" w:sz="4" w:space="0"/>
              <w:right w:val="single" w:color="auto" w:sz="4" w:space="0"/>
            </w:tcBorders>
            <w:tcW w:w="646" w:type="pct"/>
            <w:vAlign w:val="center"/>
            <w:textDirection w:val="lrTb"/>
            <w:noWrap w:val="false"/>
          </w:tcPr>
          <w:p>
            <w:pPr>
              <w:jc w:val="center"/>
              <w:spacing w:line="400" w:lineRule="exact"/>
              <w:widowControl/>
              <w:rPr>
                <w:rFonts w:cs="Times New Roman" w:asciiTheme="minorEastAsia" w:hAnsiTheme="minorEastAsia"/>
                <w:sz w:val="24"/>
                <w:szCs w:val="24"/>
              </w:rPr>
            </w:pPr>
            <w:r>
              <w:rPr>
                <w:rFonts w:hint="eastAsia" w:cs="Times New Roman" w:asciiTheme="minorEastAsia" w:hAnsiTheme="minorEastAsia"/>
                <w:sz w:val="24"/>
                <w:szCs w:val="24"/>
              </w:rPr>
              <w:t xml:space="preserve">8</w:t>
            </w:r>
            <w:r/>
          </w:p>
        </w:tc>
        <w:tc>
          <w:tcPr>
            <w:tcBorders>
              <w:top w:val="single" w:color="auto" w:sz="4" w:space="0"/>
              <w:left w:val="none" w:color="000000" w:sz="4" w:space="0"/>
              <w:bottom w:val="single" w:color="auto" w:sz="4" w:space="0"/>
              <w:right w:val="single" w:color="auto" w:sz="4" w:space="0"/>
            </w:tcBorders>
            <w:tcW w:w="970" w:type="pct"/>
            <w:vAlign w:val="center"/>
            <w:textDirection w:val="lrTb"/>
            <w:noWrap w:val="false"/>
          </w:tcPr>
          <w:p>
            <w:pPr>
              <w:jc w:val="center"/>
              <w:spacing w:line="400" w:lineRule="exact"/>
              <w:widowControl/>
              <w:rPr>
                <w:rFonts w:cs="宋体" w:asciiTheme="minorEastAsia" w:hAnsiTheme="minorEastAsia"/>
                <w:sz w:val="24"/>
                <w:szCs w:val="24"/>
              </w:rPr>
            </w:pPr>
            <w:r>
              <w:rPr>
                <w:rFonts w:hint="eastAsia" w:cs="宋体" w:asciiTheme="minorEastAsia" w:hAnsiTheme="minorEastAsia"/>
                <w:sz w:val="24"/>
                <w:szCs w:val="24"/>
              </w:rPr>
              <w:t xml:space="preserve">流量采集探针</w:t>
            </w:r>
            <w:r/>
          </w:p>
        </w:tc>
        <w:tc>
          <w:tcPr>
            <w:tcBorders>
              <w:top w:val="single" w:color="auto" w:sz="4" w:space="0"/>
              <w:left w:val="none" w:color="000000" w:sz="4" w:space="0"/>
              <w:bottom w:val="single" w:color="auto" w:sz="4" w:space="0"/>
              <w:right w:val="single" w:color="auto" w:sz="4" w:space="0"/>
            </w:tcBorders>
            <w:tcW w:w="3384" w:type="pct"/>
            <w:vAlign w:val="center"/>
            <w:textDirection w:val="lrTb"/>
            <w:noWrap w:val="false"/>
          </w:tcPr>
          <w:p>
            <w:pPr>
              <w:spacing w:line="400" w:lineRule="exact"/>
              <w:rPr>
                <w:rFonts w:cs="宋体" w:asciiTheme="minorEastAsia" w:hAnsiTheme="minorEastAsia"/>
                <w:color w:val="000000"/>
                <w:sz w:val="24"/>
                <w:szCs w:val="24"/>
              </w:rPr>
            </w:pPr>
            <w:r>
              <w:rPr>
                <w:rFonts w:hint="eastAsia" w:cs="宋体" w:asciiTheme="minorEastAsia" w:hAnsiTheme="minorEastAsia"/>
                <w:color w:val="000000"/>
                <w:sz w:val="24"/>
                <w:szCs w:val="24"/>
              </w:rPr>
              <w:t xml:space="preserve">1、具备主动发送少量探测报文，发现潜在的服务器（影子资产）以及学习服务器的基础信息，如：操作系统、开放的端口号等。</w:t>
            </w:r>
            <w:r/>
          </w:p>
          <w:p>
            <w:pPr>
              <w:spacing w:line="400" w:lineRule="exact"/>
              <w:rPr>
                <w:rFonts w:cs="宋体" w:asciiTheme="minorEastAsia" w:hAnsiTheme="minorEastAsia"/>
                <w:color w:val="000000"/>
                <w:sz w:val="24"/>
                <w:szCs w:val="24"/>
              </w:rPr>
            </w:pPr>
            <w:r>
              <w:rPr>
                <w:rFonts w:hint="eastAsia" w:cs="宋体" w:asciiTheme="minorEastAsia" w:hAnsiTheme="minorEastAsia"/>
                <w:color w:val="000000"/>
                <w:sz w:val="24"/>
                <w:szCs w:val="24"/>
              </w:rPr>
              <w:t xml:space="preserve">2.支持IP，IP组，服务，访问时间等定义违规访问策略，主动建立针对性的业务和应用访问逻辑规则，针对目标IP（组）已开放的服务，白名单策略只允许白名单里的IP（组）在指定的时间内访问，其他时间或其他IP的访问均被视为违规，黑名单策略禁止黑名单里的IP（组）在指定的时间内访问，否则将被视为违规。</w:t>
            </w:r>
            <w:r/>
          </w:p>
          <w:p>
            <w:pPr>
              <w:spacing w:line="400" w:lineRule="exact"/>
              <w:rPr>
                <w:rFonts w:cs="宋体" w:asciiTheme="minorEastAsia" w:hAnsiTheme="minorEastAsia"/>
                <w:color w:val="000000"/>
                <w:sz w:val="24"/>
                <w:szCs w:val="24"/>
              </w:rPr>
            </w:pPr>
            <w:r>
              <w:rPr>
                <w:rFonts w:hint="eastAsia" w:cs="宋体" w:asciiTheme="minorEastAsia" w:hAnsiTheme="minorEastAsia"/>
                <w:color w:val="000000"/>
                <w:sz w:val="24"/>
                <w:szCs w:val="24"/>
              </w:rPr>
              <w:t xml:space="preserve">3.具备报文检测引擎,可实现IP碎片重组、TCP流重组、应用层协议识别与解析等；具备多种的入侵攻击模式或恶意URL监测模式，可完成模式匹配并生成事件，可提取URL记录和域名记录。</w:t>
            </w:r>
            <w:r/>
          </w:p>
          <w:p>
            <w:pPr>
              <w:spacing w:line="400" w:lineRule="exact"/>
              <w:rPr>
                <w:rFonts w:cs="宋体" w:asciiTheme="minorEastAsia" w:hAnsiTheme="minorEastAsia"/>
                <w:color w:val="000000"/>
                <w:sz w:val="24"/>
                <w:szCs w:val="24"/>
              </w:rPr>
            </w:pPr>
            <w:r>
              <w:rPr>
                <w:rFonts w:hint="eastAsia" w:cs="宋体" w:asciiTheme="minorEastAsia" w:hAnsiTheme="minorEastAsia"/>
                <w:color w:val="000000"/>
                <w:sz w:val="24"/>
                <w:szCs w:val="24"/>
              </w:rPr>
              <w:t xml:space="preserve">4.支持命令注入检测、PHP代码检测、XSS攻击检测、</w:t>
            </w:r>
            <w:r>
              <w:rPr>
                <w:rFonts w:hint="eastAsia" w:cs="宋体" w:asciiTheme="minorEastAsia" w:hAnsiTheme="minorEastAsia"/>
                <w:color w:val="000000"/>
                <w:sz w:val="24"/>
                <w:szCs w:val="24"/>
              </w:rPr>
              <w:t xml:space="preserve">Webshell上传检测、SQL注入检测、XXE攻击检测、JAVA代码检测、SQL非注入型检测、MYSQL解析增强、php反序列化检测等自定义配置启用，针对命令注入检测、SQL注入检测等类型支持自定义高检出、低误报模式。</w:t>
            </w:r>
            <w:r/>
          </w:p>
          <w:p>
            <w:pPr>
              <w:pStyle w:val="851"/>
              <w:ind w:firstLine="0"/>
              <w:jc w:val="both"/>
              <w:spacing w:line="400" w:lineRule="exact"/>
              <w:rPr>
                <w:rFonts w:cs="宋体" w:asciiTheme="minorEastAsia" w:hAnsiTheme="minorEastAsia" w:eastAsiaTheme="minorEastAsia"/>
                <w:color w:val="000000"/>
                <w:sz w:val="24"/>
              </w:rPr>
            </w:pPr>
            <w:r>
              <w:rPr>
                <w:rFonts w:hint="eastAsia" w:asciiTheme="minorEastAsia" w:hAnsiTheme="minorEastAsia" w:eastAsiaTheme="minorEastAsia"/>
                <w:b/>
                <w:bCs/>
                <w:sz w:val="24"/>
              </w:rPr>
              <w:t xml:space="preserve">▲</w:t>
            </w:r>
            <w:r>
              <w:rPr>
                <w:rFonts w:hint="eastAsia" w:cs="宋体" w:asciiTheme="minorEastAsia" w:hAnsiTheme="minorEastAsia" w:eastAsiaTheme="minorEastAsia"/>
                <w:color w:val="000000"/>
                <w:sz w:val="24"/>
              </w:rPr>
              <w:t xml:space="preserve">5.支持多种类型日志传输模式,包括标准模式、精简模式、高级模式、局域网模式、自定义模式等，以适应不同应用场景需求。</w:t>
            </w:r>
            <w:r/>
          </w:p>
          <w:p>
            <w:pPr>
              <w:pStyle w:val="851"/>
              <w:ind w:firstLine="0"/>
              <w:jc w:val="both"/>
              <w:spacing w:line="400" w:lineRule="exact"/>
              <w:rPr>
                <w:rFonts w:cs="宋体" w:asciiTheme="minorEastAsia" w:hAnsiTheme="minorEastAsia" w:eastAsiaTheme="minorEastAsia"/>
                <w:b/>
                <w:color w:val="000000"/>
                <w:sz w:val="24"/>
              </w:rPr>
            </w:pPr>
            <w:r>
              <w:rPr>
                <w:rFonts w:hint="eastAsia" w:cs="宋体" w:asciiTheme="minorEastAsia" w:hAnsiTheme="minorEastAsia" w:eastAsiaTheme="minorEastAsia"/>
                <w:b/>
                <w:color w:val="000000"/>
                <w:sz w:val="24"/>
              </w:rPr>
              <w:t xml:space="preserve">（</w:t>
            </w:r>
            <w:r>
              <w:rPr>
                <w:rFonts w:hint="eastAsia" w:asciiTheme="minorEastAsia" w:hAnsiTheme="minorEastAsia" w:eastAsiaTheme="minorEastAsia"/>
                <w:b/>
                <w:sz w:val="24"/>
              </w:rPr>
              <w:t xml:space="preserve">投标文件中提供功能截图并加盖投标人公章</w:t>
            </w:r>
            <w:r>
              <w:rPr>
                <w:rFonts w:hint="eastAsia" w:cs="宋体" w:asciiTheme="minorEastAsia" w:hAnsiTheme="minorEastAsia" w:eastAsiaTheme="minorEastAsia"/>
                <w:b/>
                <w:color w:val="000000"/>
                <w:sz w:val="24"/>
              </w:rPr>
              <w:t xml:space="preserve">）</w:t>
            </w:r>
            <w:r/>
          </w:p>
          <w:p>
            <w:pPr>
              <w:spacing w:line="400" w:lineRule="exact"/>
              <w:rPr>
                <w:rFonts w:cs="宋体" w:asciiTheme="minorEastAsia" w:hAnsiTheme="minorEastAsia"/>
                <w:color w:val="000000"/>
                <w:sz w:val="24"/>
                <w:szCs w:val="24"/>
              </w:rPr>
            </w:pPr>
            <w:r>
              <w:rPr>
                <w:rFonts w:hint="eastAsia" w:cs="宋体" w:asciiTheme="minorEastAsia" w:hAnsiTheme="minorEastAsia"/>
                <w:color w:val="000000"/>
                <w:sz w:val="24"/>
                <w:szCs w:val="24"/>
              </w:rPr>
              <w:t xml:space="preserve">6.支持传输安全检测日志，包括网络攻击检测日志、漏洞利用攻击检测日志、僵尸网络检测日志、业务弱点发现日志。</w:t>
            </w:r>
            <w:r/>
          </w:p>
        </w:tc>
      </w:tr>
    </w:tbl>
    <w:p>
      <w:pPr>
        <w:spacing w:line="360" w:lineRule="auto"/>
        <w:rPr>
          <w:rFonts w:asciiTheme="minorEastAsia" w:hAnsiTheme="minorEastAsia"/>
          <w:sz w:val="24"/>
          <w:szCs w:val="24"/>
        </w:rPr>
      </w:pPr>
      <w:r>
        <w:rPr>
          <w:rFonts w:hint="eastAsia" w:asciiTheme="minorEastAsia" w:hAnsiTheme="minorEastAsia"/>
          <w:sz w:val="24"/>
          <w:szCs w:val="24"/>
        </w:rPr>
        <w:t xml:space="preserve">注：上述所有技术参数及功能指标中所要求的检测报告检测项与技术参数及功能指标中所列要求表述不完全一致，功能相近的，由评标委员会统一认定。</w:t>
      </w:r>
      <w:r/>
    </w:p>
    <w:p>
      <w:pPr>
        <w:ind w:firstLine="482"/>
        <w:spacing w:line="360" w:lineRule="auto"/>
        <w:rPr>
          <w:rFonts w:asciiTheme="minorEastAsia" w:hAnsiTheme="minorEastAsia"/>
          <w:sz w:val="24"/>
          <w:szCs w:val="24"/>
        </w:rPr>
      </w:pPr>
      <w:r>
        <w:rPr>
          <w:rFonts w:hint="eastAsia" w:cs="Times New Roman" w:asciiTheme="minorEastAsia" w:hAnsiTheme="minorEastAsia"/>
          <w:b/>
          <w:sz w:val="24"/>
        </w:rPr>
        <w:t xml:space="preserve">四、人员配备要求</w:t>
      </w:r>
      <w:r/>
    </w:p>
    <w:p>
      <w:pPr>
        <w:ind w:firstLine="480"/>
        <w:spacing w:line="360" w:lineRule="auto"/>
        <w:rPr>
          <w:rFonts w:cs="Times New Roman" w:asciiTheme="minorEastAsia" w:hAnsiTheme="minorEastAsia"/>
          <w:sz w:val="24"/>
        </w:rPr>
      </w:pPr>
      <w:r>
        <w:rPr>
          <w:rFonts w:hint="eastAsia" w:cs="Times New Roman" w:asciiTheme="minorEastAsia" w:hAnsiTheme="minorEastAsia"/>
          <w:sz w:val="24"/>
        </w:rPr>
        <w:t xml:space="preserve">1.本项目实施团队需配备项目经理1人，其他技术人员不少于11人。项目团队成员要求如下：</w:t>
      </w:r>
      <w:r/>
    </w:p>
    <w:p>
      <w:pPr>
        <w:ind w:firstLine="480"/>
        <w:jc w:val="left"/>
        <w:spacing w:line="360" w:lineRule="auto"/>
        <w:rPr>
          <w:rFonts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1.1项目经理</w:t>
      </w:r>
      <w:r/>
    </w:p>
    <w:p>
      <w:pPr>
        <w:ind w:firstLine="480"/>
        <w:jc w:val="left"/>
        <w:spacing w:line="360" w:lineRule="auto"/>
        <w:rPr>
          <w:rFonts w:cs="Times New Roman" w:asciiTheme="minorEastAsia" w:hAnsiTheme="minorEastAsia"/>
          <w:color w:val="000000"/>
          <w:sz w:val="24"/>
          <w:szCs w:val="24"/>
        </w:rPr>
      </w:pPr>
      <w:r>
        <w:rPr>
          <w:rFonts w:cs="Times New Roman" w:asciiTheme="minorEastAsia" w:hAnsiTheme="minorEastAsia"/>
          <w:color w:val="000000"/>
          <w:sz w:val="24"/>
          <w:szCs w:val="24"/>
        </w:rPr>
        <w:t xml:space="preserve">中标人拟派项目经理需具有项目管理和网络安全相关工作经验，熟悉相关法规、行业标准，具备项目管理所需技能，负责对整个项目的进度及验收培训进行整体管理并协助采购人完成验收。</w:t>
      </w:r>
      <w:r/>
    </w:p>
    <w:p>
      <w:pPr>
        <w:ind w:firstLine="480"/>
        <w:jc w:val="left"/>
        <w:spacing w:line="360" w:lineRule="auto"/>
        <w:rPr>
          <w:rFonts w:cs="Times New Roman" w:asciiTheme="minorEastAsia" w:hAnsiTheme="minorEastAsia"/>
          <w:color w:val="000000"/>
          <w:sz w:val="24"/>
          <w:szCs w:val="24"/>
        </w:rPr>
      </w:pPr>
      <w:r>
        <w:rPr>
          <w:rFonts w:cs="Times New Roman" w:asciiTheme="minorEastAsia" w:hAnsiTheme="minorEastAsia"/>
          <w:color w:val="000000"/>
          <w:sz w:val="24"/>
          <w:szCs w:val="24"/>
        </w:rPr>
        <w:t xml:space="preserve">项目经理应具有信息系统安全技术测试的基本知识，具有组织信息安全风险评估、信息安全风险管理、攻防策略、安全服务实施、网络安全策略制度制定和监督落实的知识和能力。</w:t>
      </w:r>
      <w:r/>
    </w:p>
    <w:p>
      <w:pPr>
        <w:ind w:firstLine="480"/>
        <w:jc w:val="left"/>
        <w:spacing w:line="360" w:lineRule="auto"/>
        <w:rPr>
          <w:rFonts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1.2团队成员</w:t>
      </w:r>
      <w:r/>
    </w:p>
    <w:p>
      <w:pPr>
        <w:ind w:firstLine="480"/>
        <w:jc w:val="left"/>
        <w:spacing w:line="360" w:lineRule="auto"/>
        <w:rPr>
          <w:rFonts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中标人拟派团队成员均应具备网络安全相关工作经验，具备信息安全和数据安全保护工作的知识和技能，熟练掌握渗透测试相关知识和实践操作能力，能够履行合同中各项商务技术要求，能够在合同约定的时间内完成安装、调试、验收交付以及对应的服务内容，包括：</w:t>
      </w:r>
      <w:r/>
    </w:p>
    <w:p>
      <w:pPr>
        <w:ind w:firstLine="480"/>
        <w:jc w:val="left"/>
        <w:spacing w:line="360" w:lineRule="auto"/>
        <w:rPr>
          <w:rFonts w:cs="Times New Roman" w:asciiTheme="minorEastAsia" w:hAnsiTheme="minorEastAsia"/>
          <w:color w:val="000000"/>
          <w:sz w:val="24"/>
          <w:szCs w:val="24"/>
        </w:rPr>
      </w:pPr>
      <w:r>
        <w:rPr>
          <w:rFonts w:cs="Times New Roman" w:asciiTheme="minorEastAsia" w:hAnsiTheme="minorEastAsia"/>
          <w:color w:val="000000"/>
          <w:sz w:val="24"/>
          <w:szCs w:val="24"/>
        </w:rPr>
        <w:t xml:space="preserve">（</w:t>
      </w:r>
      <w:r>
        <w:rPr>
          <w:rFonts w:hint="eastAsia" w:cs="Times New Roman" w:asciiTheme="minorEastAsia" w:hAnsiTheme="minorEastAsia"/>
          <w:color w:val="000000"/>
          <w:sz w:val="24"/>
          <w:szCs w:val="24"/>
        </w:rPr>
        <w:t xml:space="preserve">1</w:t>
      </w:r>
      <w:r>
        <w:rPr>
          <w:rFonts w:cs="Times New Roman" w:asciiTheme="minorEastAsia" w:hAnsiTheme="minorEastAsia"/>
          <w:color w:val="000000"/>
          <w:sz w:val="24"/>
          <w:szCs w:val="24"/>
        </w:rPr>
        <w:t xml:space="preserve">）每次</w:t>
      </w:r>
      <w:r>
        <w:rPr>
          <w:rFonts w:hint="eastAsia" w:cs="Times New Roman" w:asciiTheme="minorEastAsia" w:hAnsiTheme="minorEastAsia"/>
          <w:color w:val="000000"/>
          <w:sz w:val="24"/>
          <w:szCs w:val="24"/>
        </w:rPr>
        <w:t xml:space="preserve">攻</w:t>
      </w:r>
      <w:r>
        <w:rPr>
          <w:rFonts w:cs="Times New Roman" w:asciiTheme="minorEastAsia" w:hAnsiTheme="minorEastAsia"/>
          <w:color w:val="000000"/>
          <w:sz w:val="24"/>
          <w:szCs w:val="24"/>
        </w:rPr>
        <w:t xml:space="preserve">防实战演练工作开展前，需制定保障工作整体方案及工作计划</w:t>
      </w:r>
      <w:r>
        <w:rPr>
          <w:rFonts w:hint="eastAsia" w:cs="Times New Roman" w:asciiTheme="minorEastAsia" w:hAnsiTheme="minorEastAsia"/>
          <w:color w:val="000000"/>
          <w:sz w:val="24"/>
          <w:szCs w:val="24"/>
        </w:rPr>
        <w:t xml:space="preserve">，</w:t>
      </w:r>
      <w:r>
        <w:rPr>
          <w:rFonts w:cs="Times New Roman" w:asciiTheme="minorEastAsia" w:hAnsiTheme="minorEastAsia"/>
          <w:color w:val="000000"/>
          <w:sz w:val="24"/>
          <w:szCs w:val="24"/>
        </w:rPr>
        <w:t xml:space="preserve">并制定应急预案以及应急预案演练；</w:t>
      </w:r>
      <w:r/>
    </w:p>
    <w:p>
      <w:pPr>
        <w:ind w:firstLine="480"/>
        <w:jc w:val="left"/>
        <w:spacing w:line="360" w:lineRule="auto"/>
        <w:rPr>
          <w:rFonts w:cs="Times New Roman" w:asciiTheme="minorEastAsia" w:hAnsiTheme="minorEastAsia"/>
          <w:color w:val="000000"/>
          <w:sz w:val="24"/>
          <w:szCs w:val="24"/>
        </w:rPr>
      </w:pPr>
      <w:r>
        <w:rPr>
          <w:rFonts w:cs="Times New Roman" w:asciiTheme="minorEastAsia" w:hAnsiTheme="minorEastAsia"/>
          <w:color w:val="000000"/>
          <w:sz w:val="24"/>
          <w:szCs w:val="24"/>
        </w:rPr>
        <w:t xml:space="preserve">（</w:t>
      </w:r>
      <w:r>
        <w:rPr>
          <w:rFonts w:hint="eastAsia" w:cs="Times New Roman" w:asciiTheme="minorEastAsia" w:hAnsiTheme="minorEastAsia"/>
          <w:color w:val="000000"/>
          <w:sz w:val="24"/>
          <w:szCs w:val="24"/>
        </w:rPr>
        <w:t xml:space="preserve">2</w:t>
      </w:r>
      <w:r>
        <w:rPr>
          <w:rFonts w:cs="Times New Roman" w:asciiTheme="minorEastAsia" w:hAnsiTheme="minorEastAsia"/>
          <w:color w:val="000000"/>
          <w:sz w:val="24"/>
          <w:szCs w:val="24"/>
        </w:rPr>
        <w:t xml:space="preserve">）对</w:t>
      </w:r>
      <w:r>
        <w:rPr>
          <w:rFonts w:hint="eastAsia" w:cs="Times New Roman" w:asciiTheme="minorEastAsia" w:hAnsiTheme="minorEastAsia"/>
          <w:color w:val="000000"/>
          <w:sz w:val="24"/>
          <w:szCs w:val="24"/>
        </w:rPr>
        <w:t xml:space="preserve">法院体系</w:t>
      </w:r>
      <w:r>
        <w:rPr>
          <w:rFonts w:cs="Times New Roman" w:asciiTheme="minorEastAsia" w:hAnsiTheme="minorEastAsia"/>
          <w:color w:val="000000"/>
          <w:sz w:val="24"/>
          <w:szCs w:val="24"/>
        </w:rPr>
        <w:t xml:space="preserve">内</w:t>
      </w:r>
      <w:r>
        <w:rPr>
          <w:rFonts w:hint="eastAsia" w:cs="Times New Roman" w:asciiTheme="minorEastAsia" w:hAnsiTheme="minorEastAsia"/>
          <w:color w:val="000000"/>
          <w:sz w:val="24"/>
          <w:szCs w:val="24"/>
        </w:rPr>
        <w:t xml:space="preserve">现有</w:t>
      </w:r>
      <w:r>
        <w:rPr>
          <w:rFonts w:cs="Times New Roman" w:asciiTheme="minorEastAsia" w:hAnsiTheme="minorEastAsia"/>
          <w:color w:val="000000"/>
          <w:sz w:val="24"/>
          <w:szCs w:val="24"/>
        </w:rPr>
        <w:t xml:space="preserve">网络、资产进行梳理，在已有梳理结果上进行补充完善；</w:t>
      </w:r>
      <w:r/>
    </w:p>
    <w:p>
      <w:pPr>
        <w:ind w:firstLine="480"/>
        <w:jc w:val="left"/>
        <w:spacing w:line="360" w:lineRule="auto"/>
        <w:rPr>
          <w:rFonts w:cs="Times New Roman" w:asciiTheme="minorEastAsia" w:hAnsiTheme="minorEastAsia"/>
          <w:color w:val="000000"/>
          <w:sz w:val="24"/>
          <w:szCs w:val="24"/>
        </w:rPr>
      </w:pPr>
      <w:r>
        <w:rPr>
          <w:rFonts w:cs="Times New Roman" w:asciiTheme="minorEastAsia" w:hAnsiTheme="minorEastAsia"/>
          <w:color w:val="000000"/>
          <w:sz w:val="24"/>
          <w:szCs w:val="24"/>
        </w:rPr>
        <w:t xml:space="preserve">（</w:t>
      </w:r>
      <w:r>
        <w:rPr>
          <w:rFonts w:hint="eastAsia" w:cs="Times New Roman" w:asciiTheme="minorEastAsia" w:hAnsiTheme="minorEastAsia"/>
          <w:color w:val="000000"/>
          <w:sz w:val="24"/>
          <w:szCs w:val="24"/>
        </w:rPr>
        <w:t xml:space="preserve">3</w:t>
      </w:r>
      <w:r>
        <w:rPr>
          <w:rFonts w:cs="Times New Roman" w:asciiTheme="minorEastAsia" w:hAnsiTheme="minorEastAsia"/>
          <w:color w:val="000000"/>
          <w:sz w:val="24"/>
          <w:szCs w:val="24"/>
        </w:rPr>
        <w:t xml:space="preserve">）开展漏洞扫描、渗透测试、入侵排查，</w:t>
      </w:r>
      <w:r>
        <w:rPr>
          <w:rFonts w:hint="eastAsia" w:cs="Times New Roman" w:asciiTheme="minorEastAsia" w:hAnsiTheme="minorEastAsia"/>
          <w:color w:val="000000"/>
          <w:sz w:val="24"/>
          <w:szCs w:val="24"/>
        </w:rPr>
        <w:t xml:space="preserve">同时</w:t>
      </w:r>
      <w:r>
        <w:rPr>
          <w:rFonts w:cs="Times New Roman" w:asciiTheme="minorEastAsia" w:hAnsiTheme="minorEastAsia"/>
          <w:color w:val="000000"/>
          <w:sz w:val="24"/>
          <w:szCs w:val="24"/>
        </w:rPr>
        <w:t xml:space="preserve">进行防护能力评估和安全加固开展，</w:t>
      </w:r>
      <w:r>
        <w:rPr>
          <w:rFonts w:hint="eastAsia" w:cs="Times New Roman" w:asciiTheme="minorEastAsia" w:hAnsiTheme="minorEastAsia"/>
          <w:color w:val="000000"/>
          <w:sz w:val="24"/>
          <w:szCs w:val="24"/>
        </w:rPr>
        <w:t xml:space="preserve">以及本次服务期间的</w:t>
      </w:r>
      <w:r>
        <w:rPr>
          <w:rFonts w:cs="Times New Roman" w:asciiTheme="minorEastAsia" w:hAnsiTheme="minorEastAsia"/>
          <w:color w:val="000000"/>
          <w:sz w:val="24"/>
          <w:szCs w:val="24"/>
        </w:rPr>
        <w:t xml:space="preserve">安全设备和防护系统部署；</w:t>
      </w:r>
      <w:r/>
    </w:p>
    <w:p>
      <w:pPr>
        <w:ind w:firstLine="480"/>
        <w:jc w:val="left"/>
        <w:spacing w:line="360" w:lineRule="auto"/>
        <w:rPr>
          <w:rFonts w:cs="Times New Roman" w:asciiTheme="minorEastAsia" w:hAnsiTheme="minorEastAsia"/>
          <w:color w:val="000000"/>
          <w:sz w:val="24"/>
          <w:szCs w:val="24"/>
        </w:rPr>
      </w:pPr>
      <w:r>
        <w:rPr>
          <w:rFonts w:cs="Times New Roman" w:asciiTheme="minorEastAsia" w:hAnsiTheme="minorEastAsia"/>
          <w:color w:val="000000"/>
          <w:sz w:val="24"/>
          <w:szCs w:val="24"/>
        </w:rPr>
        <w:t xml:space="preserve">（</w:t>
      </w:r>
      <w:r>
        <w:rPr>
          <w:rFonts w:hint="eastAsia" w:cs="Times New Roman" w:asciiTheme="minorEastAsia" w:hAnsiTheme="minorEastAsia"/>
          <w:color w:val="000000"/>
          <w:sz w:val="24"/>
          <w:szCs w:val="24"/>
        </w:rPr>
        <w:t xml:space="preserve">4</w:t>
      </w:r>
      <w:r>
        <w:rPr>
          <w:rFonts w:cs="Times New Roman" w:asciiTheme="minorEastAsia" w:hAnsiTheme="minorEastAsia"/>
          <w:color w:val="000000"/>
          <w:sz w:val="24"/>
          <w:szCs w:val="24"/>
        </w:rPr>
        <w:t xml:space="preserve">）建立协同防守团队，在演练开展期间，提供7*24H人员安全值守、入侵攻击监测，做到攻击研判，开展入侵事件应急处置，并按应急预案开展应急处置；</w:t>
      </w:r>
      <w:r/>
    </w:p>
    <w:p>
      <w:pPr>
        <w:ind w:firstLine="480"/>
        <w:jc w:val="left"/>
        <w:spacing w:line="360" w:lineRule="auto"/>
        <w:rPr>
          <w:rFonts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（5）根据</w:t>
      </w:r>
      <w:r>
        <w:rPr>
          <w:rFonts w:cs="Times New Roman" w:asciiTheme="minorEastAsia" w:hAnsiTheme="minorEastAsia"/>
          <w:color w:val="000000"/>
          <w:sz w:val="24"/>
          <w:szCs w:val="24"/>
        </w:rPr>
        <w:t xml:space="preserve">实战</w:t>
      </w:r>
      <w:r>
        <w:rPr>
          <w:rFonts w:hint="eastAsia" w:cs="Times New Roman" w:asciiTheme="minorEastAsia" w:hAnsiTheme="minorEastAsia"/>
          <w:color w:val="000000"/>
          <w:sz w:val="24"/>
          <w:szCs w:val="24"/>
        </w:rPr>
        <w:t xml:space="preserve">情况</w:t>
      </w:r>
      <w:r>
        <w:rPr>
          <w:rFonts w:cs="Times New Roman" w:asciiTheme="minorEastAsia" w:hAnsiTheme="minorEastAsia"/>
          <w:color w:val="000000"/>
          <w:sz w:val="24"/>
          <w:szCs w:val="24"/>
        </w:rPr>
        <w:t xml:space="preserve">，总结攻击方式方法，分析安全防护缺陷，指导安全建设和安全防护能力提升。</w:t>
      </w:r>
      <w:r/>
    </w:p>
    <w:p>
      <w:pPr>
        <w:ind w:firstLine="480"/>
        <w:jc w:val="left"/>
        <w:spacing w:line="360" w:lineRule="auto"/>
        <w:rPr>
          <w:rFonts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2.项目团队成员分工</w:t>
      </w:r>
      <w:r/>
    </w:p>
    <w:p>
      <w:pPr>
        <w:ind w:firstLine="480"/>
        <w:jc w:val="left"/>
        <w:spacing w:line="360" w:lineRule="auto"/>
        <w:rPr>
          <w:rFonts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（1）攻防演练期间提供一组防守队，配备至少3名防守成员。</w:t>
      </w:r>
      <w:r/>
    </w:p>
    <w:p>
      <w:pPr>
        <w:ind w:firstLine="480"/>
        <w:jc w:val="left"/>
        <w:spacing w:line="360" w:lineRule="auto"/>
        <w:rPr>
          <w:rFonts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（2）攻防演练期间提供一组攻击队，配备至少6名攻击成员。</w:t>
      </w:r>
      <w:r/>
    </w:p>
    <w:p>
      <w:pPr>
        <w:ind w:firstLine="480"/>
        <w:jc w:val="left"/>
        <w:spacing w:line="360" w:lineRule="auto"/>
        <w:rPr>
          <w:rFonts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（3）提供一组巡检队，配备至少2名成员，每季度至少对全市法院进行一次网络安全和数据安全巡检。</w:t>
      </w:r>
      <w:r/>
    </w:p>
    <w:p>
      <w:pPr>
        <w:ind w:firstLine="482"/>
        <w:spacing w:line="360" w:lineRule="auto"/>
        <w:rPr>
          <w:rFonts w:cs="Times New Roman" w:asciiTheme="minorEastAsia" w:hAnsiTheme="minorEastAsia"/>
          <w:b/>
          <w:sz w:val="24"/>
        </w:rPr>
      </w:pPr>
      <w:r>
        <w:rPr>
          <w:rFonts w:hint="eastAsia" w:cs="Times New Roman" w:asciiTheme="minorEastAsia" w:hAnsiTheme="minorEastAsia"/>
          <w:b/>
          <w:sz w:val="24"/>
        </w:rPr>
        <w:t xml:space="preserve">五、服务期限与项目进度安排</w:t>
      </w:r>
      <w:r/>
    </w:p>
    <w:p>
      <w:pPr>
        <w:ind w:firstLine="480"/>
        <w:jc w:val="left"/>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服务期限：</w:t>
      </w:r>
      <w:r>
        <w:rPr>
          <w:rFonts w:hint="eastAsia" w:asciiTheme="minorEastAsia" w:hAnsiTheme="minorEastAsia"/>
          <w:sz w:val="24"/>
          <w:szCs w:val="24"/>
        </w:rPr>
        <w:t xml:space="preserve">12个月（合同约定时间为准）</w:t>
      </w:r>
      <w:r>
        <w:rPr>
          <w:rFonts w:hint="eastAsia" w:ascii="宋体" w:hAnsi="宋体" w:eastAsia="宋体" w:cs="Times New Roman"/>
          <w:color w:val="000000"/>
          <w:sz w:val="24"/>
          <w:szCs w:val="24"/>
        </w:rPr>
        <w:t xml:space="preserve">。服务供应商应在合同签订后按季度、按专项、按事件输出相应工作成果，全年组织开展不少于4轮“两高一弱”专业巡检，并按采购人要求保障重点时期、攻防演练等专项工作，确保各项服务按时、保质完成。</w:t>
      </w:r>
      <w:r/>
    </w:p>
    <w:p>
      <w:pPr>
        <w:ind w:firstLine="482"/>
        <w:jc w:val="left"/>
        <w:spacing w:line="360" w:lineRule="auto"/>
        <w:rPr>
          <w:rFonts w:cs="Times New Roman" w:asciiTheme="minorEastAsia" w:hAnsiTheme="minorEastAsia"/>
          <w:b/>
          <w:sz w:val="24"/>
        </w:rPr>
      </w:pPr>
      <w:r>
        <w:rPr>
          <w:rFonts w:hint="eastAsia" w:cs="Times New Roman" w:asciiTheme="minorEastAsia" w:hAnsiTheme="minorEastAsia"/>
          <w:b/>
          <w:sz w:val="24"/>
        </w:rPr>
        <w:t xml:space="preserve">六、服务标准</w:t>
      </w:r>
      <w:r/>
    </w:p>
    <w:p>
      <w:pPr>
        <w:ind w:firstLine="480"/>
        <w:jc w:val="left"/>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服务成果应达到以下标准：问题描述准确、风险分级清晰、整改建议可执行、处置过程可追溯、数据引用有依据、结论建议有针对性。对整改类问题形成台账并跟踪闭环；对互联网行为管控类问题明确涉及用户、终端、访问对象、策略动作和处置结果；对实战演练和重大事件形成复盘分析和能力提升建议；对全市法院共性风险提出统一的制度化、机制化和技术化改进方向。常规成果包括季度巡检报告、漏洞防护处置清单、数据分析简报、行为审计分析报告、事件处置记录、保障报告、演练报告、培训材料、专题分析报告和年度总结报告等。</w:t>
      </w:r>
      <w:r/>
    </w:p>
    <w:p>
      <w:pPr>
        <w:ind w:firstLine="482"/>
        <w:jc w:val="left"/>
        <w:spacing w:line="360" w:lineRule="auto"/>
        <w:rPr>
          <w:rFonts w:cs="Times New Roman" w:asciiTheme="minorEastAsia" w:hAnsiTheme="minorEastAsia"/>
          <w:b/>
          <w:sz w:val="24"/>
        </w:rPr>
      </w:pPr>
      <w:r>
        <w:rPr>
          <w:rFonts w:hint="eastAsia" w:cs="Times New Roman" w:asciiTheme="minorEastAsia" w:hAnsiTheme="minorEastAsia"/>
          <w:b/>
          <w:sz w:val="24"/>
        </w:rPr>
        <w:t xml:space="preserve">七、培训要求</w:t>
      </w:r>
      <w:r/>
    </w:p>
    <w:p>
      <w:pPr>
        <w:ind w:firstLine="480"/>
        <w:jc w:val="left"/>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面向中院及基层法院管理人员、技术人员和普通用户开展网络安全培训与案</w:t>
      </w:r>
      <w:r>
        <w:rPr>
          <w:rFonts w:hint="eastAsia" w:ascii="宋体" w:hAnsi="宋体" w:eastAsia="宋体" w:cs="Times New Roman"/>
          <w:color w:val="000000"/>
          <w:sz w:val="24"/>
          <w:szCs w:val="24"/>
        </w:rPr>
        <w:t xml:space="preserve">例宣贯，每年不少于1次，内容涵盖“两高一弱”防范、高危漏洞应对、钓鱼邮件识别、终端安全使用、账号口令管理、互联网访问规范、敏感数据保护和攻防演练经验总结等，促进人员安全意识和管理水平共同提升。</w:t>
      </w:r>
      <w:r/>
    </w:p>
    <w:p>
      <w:pPr>
        <w:ind w:firstLine="482"/>
        <w:jc w:val="left"/>
        <w:spacing w:line="360" w:lineRule="auto"/>
        <w:rPr>
          <w:rFonts w:cs="Times New Roman" w:asciiTheme="minorEastAsia" w:hAnsiTheme="minorEastAsia"/>
          <w:b/>
          <w:sz w:val="24"/>
        </w:rPr>
      </w:pPr>
      <w:r>
        <w:rPr>
          <w:rFonts w:hint="eastAsia" w:cs="Times New Roman" w:asciiTheme="minorEastAsia" w:hAnsiTheme="minorEastAsia"/>
          <w:b/>
          <w:sz w:val="24"/>
        </w:rPr>
        <w:t xml:space="preserve">八、知识产权归属和处理方式</w:t>
      </w:r>
      <w:r/>
    </w:p>
    <w:p>
      <w:pPr>
        <w:ind w:firstLine="480"/>
        <w:jc w:val="left"/>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本项目服务过程中形成的资产台账、漏洞数据、日志、分析报告等资料，其所有权及知识产权归采购人所有。</w:t>
      </w:r>
      <w:r/>
    </w:p>
    <w:p>
      <w:pPr>
        <w:ind w:firstLine="482"/>
        <w:jc w:val="left"/>
        <w:spacing w:line="360" w:lineRule="auto"/>
        <w:rPr>
          <w:rFonts w:cs="Times New Roman" w:asciiTheme="minorEastAsia" w:hAnsiTheme="minorEastAsia"/>
          <w:b/>
          <w:sz w:val="24"/>
        </w:rPr>
      </w:pPr>
      <w:r>
        <w:rPr>
          <w:rFonts w:hint="eastAsia" w:cs="Times New Roman" w:asciiTheme="minorEastAsia" w:hAnsiTheme="minorEastAsia"/>
          <w:b/>
          <w:sz w:val="24"/>
        </w:rPr>
        <w:t xml:space="preserve">九、履约验收</w:t>
      </w:r>
      <w:r/>
    </w:p>
    <w:p>
      <w:pPr>
        <w:ind w:firstLine="480"/>
        <w:jc w:val="left"/>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采购人结合分期考核情况对服务供应商进行绩效评价。考核内容包括：巡检频次与覆盖面、漏洞发现与处置闭环率、安全事件响应时效、互联网行为管控效果、数据分析与通报质量、攻防演练支撑表现、培训与成果交付情况等。对季度巡检、漏洞处置、互联网行为治理、重点保障和实战演练中形成的有效做法，应及时沉淀为标准化工作模板、检查清单和处置流程；对重复性问题、长期未整改问题、跨单位共性问题和互联网出口高频违规行为进行持续跟踪，定期反馈整改进度与风险变化情况。</w:t>
      </w:r>
      <w:r/>
    </w:p>
    <w:p>
      <w:pPr>
        <w:ind w:firstLine="480"/>
        <w:jc w:val="left"/>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服务期满或按合同约定阶段，由采购人组织履约验收，依据服务成果（各类报告、台账、记录等）及本文件规定的服务标准进行考核，验收合格后方可支付相应款项。分期实施的，结合分期考核情况履约验收。</w:t>
      </w:r>
      <w:r/>
    </w:p>
    <w:p>
      <w:pPr>
        <w:ind w:firstLine="482"/>
        <w:jc w:val="left"/>
        <w:spacing w:line="360" w:lineRule="auto"/>
        <w:rPr>
          <w:rFonts w:cs="Times New Roman" w:asciiTheme="minorEastAsia" w:hAnsiTheme="minorEastAsia"/>
          <w:b/>
          <w:sz w:val="24"/>
        </w:rPr>
      </w:pPr>
      <w:r>
        <w:rPr>
          <w:rFonts w:hint="eastAsia" w:cs="Times New Roman" w:asciiTheme="minorEastAsia" w:hAnsiTheme="minorEastAsia"/>
          <w:b/>
          <w:sz w:val="24"/>
        </w:rPr>
        <w:t xml:space="preserve">十、付款方式与履约保证金</w:t>
      </w:r>
      <w:r/>
    </w:p>
    <w:p>
      <w:pPr>
        <w:ind w:firstLine="480"/>
        <w:jc w:val="left"/>
        <w:spacing w:line="360" w:lineRule="auto"/>
        <w:rPr>
          <w:rFonts w:ascii="宋体" w:hAnsi="宋体"/>
          <w:color w:val="000000"/>
          <w:sz w:val="24"/>
          <w:szCs w:val="24"/>
        </w:rPr>
      </w:pPr>
      <w:r>
        <w:rPr>
          <w:rFonts w:hint="eastAsia" w:ascii="宋体" w:hAnsi="宋体" w:eastAsia="宋体" w:cs="Times New Roman"/>
          <w:color w:val="000000"/>
          <w:sz w:val="24"/>
          <w:szCs w:val="24"/>
        </w:rPr>
        <w:t xml:space="preserve">1.付款方式：</w:t>
      </w:r>
      <w:r>
        <w:rPr>
          <w:rFonts w:hint="eastAsia" w:ascii="宋体" w:hAnsi="宋体"/>
          <w:color w:val="000000"/>
          <w:sz w:val="24"/>
          <w:szCs w:val="24"/>
        </w:rPr>
        <w:t xml:space="preserve">本项目服务费按服务进度及考核结果分期支付，合同签订后一个月内支付至合同价的30%，服务6个月后支付至合同价的60%，服务期满一个月内支付至合同价的100%。</w:t>
      </w:r>
      <w:r/>
    </w:p>
    <w:p>
      <w:pPr>
        <w:ind w:firstLine="480"/>
        <w:jc w:val="left"/>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2.履约保证金：本项目不收取履约保证金。</w:t>
      </w:r>
      <w:r/>
    </w:p>
    <w:p>
      <w:pPr>
        <w:ind w:firstLine="482"/>
        <w:jc w:val="left"/>
        <w:spacing w:line="360" w:lineRule="auto"/>
        <w:rPr>
          <w:rFonts w:cs="Times New Roman" w:asciiTheme="minorEastAsia" w:hAnsiTheme="minorEastAsia"/>
          <w:b/>
          <w:sz w:val="24"/>
        </w:rPr>
      </w:pPr>
      <w:r>
        <w:rPr>
          <w:rFonts w:hint="eastAsia" w:cs="Times New Roman" w:asciiTheme="minorEastAsia" w:hAnsiTheme="minorEastAsia"/>
          <w:b/>
          <w:sz w:val="24"/>
        </w:rPr>
        <w:t xml:space="preserve">十三、报价要求及其他</w:t>
      </w:r>
      <w:r/>
    </w:p>
    <w:p>
      <w:pPr>
        <w:ind w:firstLine="480"/>
        <w:jc w:val="left"/>
        <w:spacing w:line="360" w:lineRule="auto"/>
        <w:rPr>
          <w:rFonts w:ascii="宋体" w:hAnsi="宋体" w:eastAsia="宋体" w:cs="Times New Roman"/>
          <w:color w:val="000000"/>
          <w:sz w:val="24"/>
          <w:szCs w:val="24"/>
        </w:rPr>
      </w:pPr>
      <w:r>
        <w:rPr>
          <w:rFonts w:hint="eastAsia" w:cs="Times New Roman" w:asciiTheme="minorEastAsia" w:hAnsiTheme="minorEastAsia"/>
          <w:bCs/>
          <w:sz w:val="24"/>
          <w:szCs w:val="24"/>
        </w:rPr>
        <w:t xml:space="preserve">1.报价币种为人民币，投标总价不能超过预算金额。</w:t>
      </w:r>
      <w:r>
        <w:rPr>
          <w:rFonts w:hint="eastAsia" w:ascii="宋体" w:hAnsi="宋体" w:eastAsia="宋体" w:cs="Times New Roman"/>
          <w:color w:val="000000"/>
          <w:sz w:val="24"/>
          <w:szCs w:val="24"/>
        </w:rPr>
        <w:t xml:space="preserve">应根据国家收费标准并结合市场实际进行报价，总价包干。</w:t>
      </w:r>
      <w:r/>
    </w:p>
    <w:p>
      <w:pPr>
        <w:ind w:firstLine="480"/>
        <w:jc w:val="left"/>
        <w:spacing w:line="360" w:lineRule="auto"/>
        <w:rPr>
          <w:rFonts w:cs="Times New Roman" w:asciiTheme="minorEastAsia" w:hAnsiTheme="minorEastAsia"/>
          <w:b/>
          <w:color w:val="000000"/>
          <w:sz w:val="28"/>
          <w:szCs w:val="28"/>
        </w:rPr>
      </w:pPr>
      <w:r>
        <w:rPr>
          <w:rFonts w:hint="eastAsia" w:cs="Times New Roman" w:asciiTheme="minorEastAsia" w:hAnsiTheme="minorEastAsia"/>
          <w:bCs/>
          <w:sz w:val="24"/>
          <w:szCs w:val="24"/>
        </w:rPr>
        <w:t xml:space="preserve">2.投标报价须包含但不限于软件系统运维、人员、网络安全监测、调试、管理、售后、培训、保险、利润、税金、政策性文件规定及合同包含的所有风险及责任等各项应有费用，直至交付至采购人使用时所需要的各种费用（包含所有隐含的内容）。</w:t>
      </w:r>
      <w:r/>
    </w:p>
    <w:p>
      <w:pPr>
        <w:ind w:firstLine="480"/>
        <w:jc w:val="left"/>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3.工作中涉及的敏感资料、电子数据等相关信息，中标人应严格执行保密的相关规定，不得以任何方式向任何第三人披露、泄露或许可第三人使用，否则追究其相应法律责任。</w:t>
      </w:r>
      <w:r/>
    </w:p>
    <w:p>
      <w:pPr>
        <w:ind w:firstLine="480"/>
        <w:jc w:val="left"/>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4.本项目中标人不得将服务转包；未经采购人同意，不得将服务分包。服务过程中形成的资产台账、漏洞数据、日志、报告等资料所有权及知识产权归采购人所有，供应商应严格保密。</w:t>
      </w:r>
      <w:r/>
    </w:p>
    <w:p>
      <w:pPr>
        <w:ind w:firstLine="480"/>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5.市中院及各县、区法院分摊支付情况</w:t>
      </w:r>
      <w:r/>
    </w:p>
    <w:p>
      <w:pPr>
        <w:ind w:firstLine="482"/>
        <w:spacing w:line="360" w:lineRule="auto"/>
        <w:rPr>
          <w:rFonts w:ascii="宋体" w:hAnsi="宋体"/>
          <w:b/>
          <w:bCs/>
          <w:color w:val="000000"/>
          <w:sz w:val="24"/>
        </w:rPr>
      </w:pPr>
      <w:r>
        <w:rPr>
          <w:rFonts w:hint="eastAsia" w:ascii="宋体" w:hAnsi="宋体"/>
          <w:b/>
          <w:bCs/>
          <w:color w:val="000000"/>
          <w:sz w:val="24"/>
        </w:rPr>
        <w:t xml:space="preserve">具体</w:t>
      </w:r>
      <w:bookmarkStart w:id="10" w:name="OLE_LINK4"/>
      <w:r>
        <w:rPr>
          <w:rFonts w:hint="eastAsia" w:ascii="宋体" w:hAnsi="宋体"/>
          <w:b/>
          <w:bCs/>
          <w:color w:val="000000"/>
          <w:sz w:val="24"/>
        </w:rPr>
        <w:t xml:space="preserve">市中院及各县、区</w:t>
      </w:r>
      <w:bookmarkEnd w:id="10"/>
      <w:r>
        <w:rPr>
          <w:rFonts w:hint="eastAsia" w:ascii="宋体" w:hAnsi="宋体"/>
          <w:b/>
          <w:bCs/>
          <w:color w:val="000000"/>
          <w:sz w:val="24"/>
        </w:rPr>
        <w:t xml:space="preserve">法院采购项目预算金额如下：</w:t>
      </w:r>
      <w:r/>
    </w:p>
    <w:tbl>
      <w:tblPr>
        <w:tblW w:w="856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056"/>
        <w:gridCol w:w="5498"/>
        <w:gridCol w:w="2015"/>
      </w:tblGrid>
      <w:tr>
        <w:trPr>
          <w:jc w:val="center"/>
          <w:trHeight w:val="113"/>
        </w:trPr>
        <w:tc>
          <w:tcPr>
            <w:tcW w:w="1056" w:type="dxa"/>
            <w:vAlign w:val="center"/>
            <w:textDirection w:val="lrTb"/>
            <w:noWrap w:val="false"/>
          </w:tcPr>
          <w:p>
            <w:pPr>
              <w:jc w:val="center"/>
              <w:spacing w:line="360" w:lineRule="auto"/>
              <w:widowControl/>
              <w:rPr>
                <w:rFonts w:asciiTheme="minorEastAsia" w:hAnsiTheme="minorEastAsia" w:cstheme="minorEastAsia"/>
                <w:b/>
                <w:bCs/>
                <w:color w:val="000000"/>
                <w:sz w:val="24"/>
                <w:szCs w:val="24"/>
              </w:rPr>
            </w:pPr>
            <w:r>
              <w:rPr>
                <w:rFonts w:hint="eastAsia" w:asciiTheme="minorEastAsia" w:hAnsiTheme="minorEastAsia" w:cstheme="minorEastAsia"/>
                <w:b/>
                <w:bCs/>
                <w:color w:val="000000"/>
                <w:sz w:val="24"/>
                <w:szCs w:val="24"/>
              </w:rPr>
              <w:t xml:space="preserve">序号</w:t>
            </w:r>
            <w:r/>
          </w:p>
        </w:tc>
        <w:tc>
          <w:tcPr>
            <w:tcW w:w="5498" w:type="dxa"/>
            <w:vAlign w:val="center"/>
            <w:textDirection w:val="lrTb"/>
            <w:noWrap w:val="false"/>
          </w:tcPr>
          <w:p>
            <w:pPr>
              <w:jc w:val="center"/>
              <w:spacing w:line="360" w:lineRule="auto"/>
              <w:widowControl/>
              <w:rPr>
                <w:rFonts w:asciiTheme="minorEastAsia" w:hAnsiTheme="minorEastAsia" w:cstheme="minorEastAsia"/>
                <w:b/>
                <w:bCs/>
                <w:color w:val="000000"/>
                <w:sz w:val="24"/>
                <w:szCs w:val="24"/>
              </w:rPr>
            </w:pPr>
            <w:r>
              <w:rPr>
                <w:rFonts w:hint="eastAsia" w:asciiTheme="minorEastAsia" w:hAnsiTheme="minorEastAsia" w:cstheme="minorEastAsia"/>
                <w:b/>
                <w:bCs/>
                <w:color w:val="000000"/>
                <w:sz w:val="24"/>
                <w:szCs w:val="24"/>
              </w:rPr>
              <w:t xml:space="preserve">单位名称</w:t>
            </w:r>
            <w:r/>
          </w:p>
        </w:tc>
        <w:tc>
          <w:tcPr>
            <w:tcW w:w="2015" w:type="dxa"/>
            <w:vAlign w:val="center"/>
            <w:textDirection w:val="lrTb"/>
            <w:noWrap w:val="false"/>
          </w:tcPr>
          <w:p>
            <w:pPr>
              <w:jc w:val="center"/>
              <w:spacing w:line="360" w:lineRule="auto"/>
              <w:widowControl/>
              <w:rPr>
                <w:rFonts w:asciiTheme="minorEastAsia" w:hAnsiTheme="minorEastAsia" w:cstheme="minorEastAsia"/>
                <w:b/>
                <w:bCs/>
                <w:color w:val="000000"/>
                <w:sz w:val="24"/>
                <w:szCs w:val="24"/>
              </w:rPr>
            </w:pPr>
            <w:r>
              <w:rPr>
                <w:rFonts w:hint="eastAsia" w:asciiTheme="minorEastAsia" w:hAnsiTheme="minorEastAsia" w:cstheme="minorEastAsia"/>
                <w:b/>
                <w:bCs/>
                <w:sz w:val="24"/>
                <w:szCs w:val="24"/>
              </w:rPr>
              <w:t xml:space="preserve">预算金额（万元）</w:t>
            </w:r>
            <w:r/>
          </w:p>
        </w:tc>
      </w:tr>
      <w:tr>
        <w:trPr>
          <w:jc w:val="center"/>
          <w:trHeight w:val="113"/>
        </w:trPr>
        <w:tc>
          <w:tcPr>
            <w:tcW w:w="1056" w:type="dxa"/>
            <w:vAlign w:val="center"/>
            <w:textDirection w:val="lrTb"/>
            <w:noWrap w:val="false"/>
          </w:tcPr>
          <w:p>
            <w:pPr>
              <w:jc w:val="center"/>
              <w:spacing w:line="360" w:lineRule="auto"/>
              <w:widowControl/>
              <w:rPr>
                <w:rFonts w:asciiTheme="minorEastAsia" w:hAnsiTheme="minorEastAsia" w:cstheme="minorEastAsia"/>
                <w:color w:val="000000"/>
                <w:sz w:val="24"/>
                <w:szCs w:val="24"/>
              </w:rPr>
            </w:pPr>
            <w:r>
              <w:rPr>
                <w:rFonts w:hint="eastAsia" w:asciiTheme="minorEastAsia" w:hAnsiTheme="minorEastAsia" w:cstheme="minorEastAsia"/>
                <w:color w:val="000000"/>
                <w:sz w:val="24"/>
                <w:szCs w:val="24"/>
              </w:rPr>
              <w:t xml:space="preserve">1</w:t>
            </w:r>
            <w:r/>
          </w:p>
        </w:tc>
        <w:tc>
          <w:tcPr>
            <w:tcW w:w="5498" w:type="dxa"/>
            <w:vAlign w:val="center"/>
            <w:textDirection w:val="lrTb"/>
            <w:noWrap w:val="false"/>
          </w:tcPr>
          <w:p>
            <w:pPr>
              <w:jc w:val="center"/>
              <w:spacing w:line="360" w:lineRule="auto"/>
              <w:widowControl/>
              <w:rPr>
                <w:rFonts w:asciiTheme="minorEastAsia" w:hAnsiTheme="minorEastAsia" w:cstheme="minorEastAsia"/>
                <w:color w:val="000000"/>
                <w:sz w:val="24"/>
                <w:szCs w:val="24"/>
              </w:rPr>
            </w:pPr>
            <w:r>
              <w:rPr>
                <w:rFonts w:hint="eastAsia" w:asciiTheme="minorEastAsia" w:hAnsiTheme="minorEastAsia" w:cstheme="minorEastAsia"/>
                <w:sz w:val="24"/>
                <w:szCs w:val="24"/>
              </w:rPr>
              <w:t xml:space="preserve">江苏省连云港市中级人民法院</w:t>
            </w:r>
            <w:r/>
          </w:p>
        </w:tc>
        <w:tc>
          <w:tcPr>
            <w:tcW w:w="2015" w:type="dxa"/>
            <w:vAlign w:val="center"/>
            <w:textDirection w:val="lrTb"/>
            <w:noWrap w:val="false"/>
          </w:tcPr>
          <w:p>
            <w:pPr>
              <w:jc w:val="center"/>
              <w:spacing w:line="360" w:lineRule="auto"/>
              <w:widowControl/>
              <w:rPr>
                <w:rFonts w:asciiTheme="minorEastAsia" w:hAnsiTheme="minorEastAsia" w:cstheme="minorEastAsia"/>
                <w:color w:val="000000"/>
                <w:sz w:val="24"/>
                <w:szCs w:val="24"/>
              </w:rPr>
            </w:pPr>
            <w:r>
              <w:rPr>
                <w:rFonts w:hint="eastAsia" w:asciiTheme="minorEastAsia" w:hAnsiTheme="minorEastAsia" w:cstheme="minorEastAsia"/>
                <w:color w:val="000000"/>
                <w:sz w:val="24"/>
                <w:szCs w:val="24"/>
              </w:rPr>
              <w:t xml:space="preserve">27.5</w:t>
            </w:r>
            <w:r/>
          </w:p>
        </w:tc>
      </w:tr>
      <w:tr>
        <w:trPr>
          <w:jc w:val="center"/>
          <w:trHeight w:val="113"/>
        </w:trPr>
        <w:tc>
          <w:tcPr>
            <w:tcW w:w="1056" w:type="dxa"/>
            <w:vAlign w:val="center"/>
            <w:textDirection w:val="lrTb"/>
            <w:noWrap w:val="false"/>
          </w:tcPr>
          <w:p>
            <w:pPr>
              <w:jc w:val="center"/>
              <w:spacing w:line="360" w:lineRule="auto"/>
              <w:widowControl/>
              <w:rPr>
                <w:rFonts w:asciiTheme="minorEastAsia" w:hAnsiTheme="minorEastAsia" w:cstheme="minorEastAsia"/>
                <w:color w:val="000000"/>
                <w:sz w:val="24"/>
                <w:szCs w:val="24"/>
              </w:rPr>
            </w:pPr>
            <w:r>
              <w:rPr>
                <w:rFonts w:hint="eastAsia" w:asciiTheme="minorEastAsia" w:hAnsiTheme="minorEastAsia" w:cstheme="minorEastAsia"/>
                <w:color w:val="000000"/>
                <w:sz w:val="24"/>
                <w:szCs w:val="24"/>
              </w:rPr>
              <w:t xml:space="preserve">2</w:t>
            </w:r>
            <w:r/>
          </w:p>
        </w:tc>
        <w:tc>
          <w:tcPr>
            <w:tcW w:w="5498" w:type="dxa"/>
            <w:vAlign w:val="center"/>
            <w:textDirection w:val="lrTb"/>
            <w:noWrap w:val="false"/>
          </w:tcPr>
          <w:p>
            <w:pPr>
              <w:jc w:val="center"/>
              <w:spacing w:line="360" w:lineRule="auto"/>
              <w:widowControl/>
              <w:rPr>
                <w:rFonts w:asciiTheme="minorEastAsia" w:hAnsiTheme="minorEastAsia" w:cstheme="minorEastAsia"/>
                <w:color w:val="000000"/>
                <w:sz w:val="24"/>
                <w:szCs w:val="24"/>
              </w:rPr>
            </w:pPr>
            <w:r>
              <w:rPr>
                <w:rFonts w:hint="eastAsia" w:asciiTheme="minorEastAsia" w:hAnsiTheme="minorEastAsia" w:cstheme="minorEastAsia"/>
                <w:sz w:val="24"/>
                <w:szCs w:val="24"/>
              </w:rPr>
              <w:t xml:space="preserve">东海县人民法院</w:t>
            </w:r>
            <w:r/>
          </w:p>
        </w:tc>
        <w:tc>
          <w:tcPr>
            <w:tcW w:w="2015" w:type="dxa"/>
            <w:vAlign w:val="center"/>
            <w:textDirection w:val="lrTb"/>
            <w:noWrap w:val="false"/>
          </w:tcPr>
          <w:p>
            <w:pPr>
              <w:jc w:val="center"/>
              <w:spacing w:line="360" w:lineRule="auto"/>
              <w:widowControl/>
              <w:rPr>
                <w:rFonts w:asciiTheme="minorEastAsia" w:hAnsiTheme="minorEastAsia" w:cstheme="minorEastAsia"/>
                <w:color w:val="000000"/>
                <w:sz w:val="24"/>
                <w:szCs w:val="24"/>
              </w:rPr>
            </w:pPr>
            <w:r>
              <w:rPr>
                <w:rFonts w:hint="eastAsia" w:asciiTheme="minorEastAsia" w:hAnsiTheme="minorEastAsia" w:cstheme="minorEastAsia"/>
                <w:color w:val="000000"/>
                <w:sz w:val="24"/>
                <w:szCs w:val="24"/>
              </w:rPr>
              <w:t xml:space="preserve">6</w:t>
            </w:r>
            <w:r/>
          </w:p>
        </w:tc>
      </w:tr>
      <w:tr>
        <w:trPr>
          <w:jc w:val="center"/>
          <w:trHeight w:val="113"/>
        </w:trPr>
        <w:tc>
          <w:tcPr>
            <w:tcW w:w="1056" w:type="dxa"/>
            <w:vAlign w:val="center"/>
            <w:textDirection w:val="lrTb"/>
            <w:noWrap w:val="false"/>
          </w:tcPr>
          <w:p>
            <w:pPr>
              <w:jc w:val="center"/>
              <w:spacing w:line="360" w:lineRule="auto"/>
              <w:widowControl/>
              <w:rPr>
                <w:rFonts w:asciiTheme="minorEastAsia" w:hAnsiTheme="minorEastAsia" w:cstheme="minorEastAsia"/>
                <w:color w:val="000000"/>
                <w:sz w:val="24"/>
                <w:szCs w:val="24"/>
              </w:rPr>
            </w:pPr>
            <w:r>
              <w:rPr>
                <w:rFonts w:hint="eastAsia" w:asciiTheme="minorEastAsia" w:hAnsiTheme="minorEastAsia" w:cstheme="minorEastAsia"/>
                <w:color w:val="000000"/>
                <w:sz w:val="24"/>
                <w:szCs w:val="24"/>
              </w:rPr>
              <w:t xml:space="preserve">3</w:t>
            </w:r>
            <w:r/>
          </w:p>
        </w:tc>
        <w:tc>
          <w:tcPr>
            <w:tcW w:w="5498" w:type="dxa"/>
            <w:vAlign w:val="center"/>
            <w:textDirection w:val="lrTb"/>
            <w:noWrap w:val="false"/>
          </w:tcPr>
          <w:p>
            <w:pPr>
              <w:jc w:val="center"/>
              <w:spacing w:line="360" w:lineRule="auto"/>
              <w:widowControl/>
              <w:rPr>
                <w:rFonts w:asciiTheme="minorEastAsia" w:hAnsiTheme="minorEastAsia" w:cstheme="minorEastAsia"/>
                <w:color w:val="000000"/>
                <w:sz w:val="24"/>
                <w:szCs w:val="24"/>
              </w:rPr>
            </w:pPr>
            <w:r>
              <w:rPr>
                <w:rFonts w:hint="eastAsia" w:asciiTheme="minorEastAsia" w:hAnsiTheme="minorEastAsia" w:cstheme="minorEastAsia"/>
                <w:sz w:val="24"/>
                <w:szCs w:val="24"/>
              </w:rPr>
              <w:t xml:space="preserve">灌云县人民法院</w:t>
            </w:r>
            <w:r/>
          </w:p>
        </w:tc>
        <w:tc>
          <w:tcPr>
            <w:tcW w:w="2015" w:type="dxa"/>
            <w:vAlign w:val="center"/>
            <w:textDirection w:val="lrTb"/>
            <w:noWrap w:val="false"/>
          </w:tcPr>
          <w:p>
            <w:pPr>
              <w:jc w:val="center"/>
              <w:spacing w:line="360" w:lineRule="auto"/>
              <w:widowControl/>
              <w:rPr>
                <w:rFonts w:asciiTheme="minorEastAsia" w:hAnsiTheme="minorEastAsia" w:cstheme="minorEastAsia"/>
                <w:color w:val="000000"/>
                <w:sz w:val="24"/>
                <w:szCs w:val="24"/>
              </w:rPr>
            </w:pPr>
            <w:r>
              <w:rPr>
                <w:rFonts w:hint="eastAsia" w:asciiTheme="minorEastAsia" w:hAnsiTheme="minorEastAsia" w:cstheme="minorEastAsia"/>
                <w:color w:val="000000"/>
                <w:sz w:val="24"/>
                <w:szCs w:val="24"/>
              </w:rPr>
              <w:t xml:space="preserve">14</w:t>
            </w:r>
            <w:r/>
          </w:p>
        </w:tc>
      </w:tr>
      <w:tr>
        <w:trPr>
          <w:jc w:val="center"/>
          <w:trHeight w:val="113"/>
        </w:trPr>
        <w:tc>
          <w:tcPr>
            <w:tcW w:w="1056" w:type="dxa"/>
            <w:vAlign w:val="center"/>
            <w:textDirection w:val="lrTb"/>
            <w:noWrap w:val="false"/>
          </w:tcPr>
          <w:p>
            <w:pPr>
              <w:jc w:val="center"/>
              <w:spacing w:line="360" w:lineRule="auto"/>
              <w:widowControl/>
              <w:rPr>
                <w:rFonts w:asciiTheme="minorEastAsia" w:hAnsiTheme="minorEastAsia" w:cstheme="minorEastAsia"/>
                <w:color w:val="000000"/>
                <w:sz w:val="24"/>
                <w:szCs w:val="24"/>
              </w:rPr>
            </w:pPr>
            <w:r>
              <w:rPr>
                <w:rFonts w:hint="eastAsia" w:asciiTheme="minorEastAsia" w:hAnsiTheme="minorEastAsia" w:cstheme="minorEastAsia"/>
                <w:color w:val="000000"/>
                <w:sz w:val="24"/>
                <w:szCs w:val="24"/>
              </w:rPr>
              <w:t xml:space="preserve">4</w:t>
            </w:r>
            <w:r/>
          </w:p>
        </w:tc>
        <w:tc>
          <w:tcPr>
            <w:tcW w:w="5498" w:type="dxa"/>
            <w:vAlign w:val="center"/>
            <w:textDirection w:val="lrTb"/>
            <w:noWrap w:val="false"/>
          </w:tcPr>
          <w:p>
            <w:pPr>
              <w:jc w:val="center"/>
              <w:spacing w:line="360" w:lineRule="auto"/>
              <w:widowControl/>
              <w:rPr>
                <w:rFonts w:asciiTheme="minorEastAsia" w:hAnsiTheme="minorEastAsia" w:cstheme="minorEastAsia"/>
                <w:color w:val="000000"/>
                <w:sz w:val="24"/>
                <w:szCs w:val="24"/>
              </w:rPr>
            </w:pPr>
            <w:r>
              <w:rPr>
                <w:rFonts w:hint="eastAsia" w:asciiTheme="minorEastAsia" w:hAnsiTheme="minorEastAsia" w:cstheme="minorEastAsia"/>
                <w:sz w:val="24"/>
                <w:szCs w:val="24"/>
              </w:rPr>
              <w:t xml:space="preserve">灌南县人民法院</w:t>
            </w:r>
            <w:r/>
          </w:p>
        </w:tc>
        <w:tc>
          <w:tcPr>
            <w:tcW w:w="2015" w:type="dxa"/>
            <w:vAlign w:val="center"/>
            <w:textDirection w:val="lrTb"/>
            <w:noWrap w:val="false"/>
          </w:tcPr>
          <w:p>
            <w:pPr>
              <w:jc w:val="center"/>
              <w:spacing w:line="360" w:lineRule="auto"/>
              <w:widowControl/>
              <w:rPr>
                <w:rFonts w:asciiTheme="minorEastAsia" w:hAnsiTheme="minorEastAsia" w:cstheme="minorEastAsia"/>
                <w:color w:val="000000"/>
                <w:sz w:val="24"/>
                <w:szCs w:val="24"/>
              </w:rPr>
            </w:pPr>
            <w:r>
              <w:rPr>
                <w:rFonts w:hint="eastAsia" w:asciiTheme="minorEastAsia" w:hAnsiTheme="minorEastAsia" w:cstheme="minorEastAsia"/>
                <w:color w:val="000000"/>
                <w:sz w:val="24"/>
                <w:szCs w:val="24"/>
              </w:rPr>
              <w:t xml:space="preserve">14</w:t>
            </w:r>
            <w:r/>
          </w:p>
        </w:tc>
      </w:tr>
      <w:tr>
        <w:trPr>
          <w:jc w:val="center"/>
          <w:trHeight w:val="334"/>
        </w:trPr>
        <w:tc>
          <w:tcPr>
            <w:tcW w:w="1056" w:type="dxa"/>
            <w:vAlign w:val="center"/>
            <w:textDirection w:val="lrTb"/>
            <w:noWrap w:val="false"/>
          </w:tcPr>
          <w:p>
            <w:pPr>
              <w:jc w:val="center"/>
              <w:spacing w:line="360" w:lineRule="auto"/>
              <w:widowControl/>
              <w:rPr>
                <w:rFonts w:asciiTheme="minorEastAsia" w:hAnsiTheme="minorEastAsia" w:cstheme="minorEastAsia"/>
                <w:color w:val="000000"/>
                <w:sz w:val="24"/>
                <w:szCs w:val="24"/>
              </w:rPr>
            </w:pPr>
            <w:r>
              <w:rPr>
                <w:rFonts w:hint="eastAsia" w:asciiTheme="minorEastAsia" w:hAnsiTheme="minorEastAsia" w:cstheme="minorEastAsia"/>
                <w:color w:val="000000"/>
                <w:sz w:val="24"/>
                <w:szCs w:val="24"/>
              </w:rPr>
              <w:t xml:space="preserve">5</w:t>
            </w:r>
            <w:r/>
          </w:p>
        </w:tc>
        <w:tc>
          <w:tcPr>
            <w:tcW w:w="5498" w:type="dxa"/>
            <w:vAlign w:val="center"/>
            <w:textDirection w:val="lrTb"/>
            <w:noWrap w:val="false"/>
          </w:tcPr>
          <w:p>
            <w:pPr>
              <w:jc w:val="center"/>
              <w:spacing w:line="360" w:lineRule="auto"/>
              <w:widowControl/>
              <w:rPr>
                <w:rFonts w:asciiTheme="minorEastAsia" w:hAnsiTheme="minorEastAsia" w:cstheme="minorEastAsia"/>
                <w:color w:val="000000"/>
                <w:sz w:val="24"/>
                <w:szCs w:val="24"/>
              </w:rPr>
            </w:pPr>
            <w:r>
              <w:rPr>
                <w:rFonts w:hint="eastAsia" w:asciiTheme="minorEastAsia" w:hAnsiTheme="minorEastAsia" w:cstheme="minorEastAsia"/>
                <w:sz w:val="24"/>
                <w:szCs w:val="24"/>
              </w:rPr>
              <w:t xml:space="preserve">连云港市赣榆区人民法院</w:t>
            </w:r>
            <w:r/>
          </w:p>
        </w:tc>
        <w:tc>
          <w:tcPr>
            <w:tcW w:w="2015" w:type="dxa"/>
            <w:vAlign w:val="center"/>
            <w:textDirection w:val="lrTb"/>
            <w:noWrap w:val="false"/>
          </w:tcPr>
          <w:p>
            <w:pPr>
              <w:jc w:val="center"/>
              <w:spacing w:line="360" w:lineRule="auto"/>
              <w:widowControl/>
              <w:rPr>
                <w:rFonts w:asciiTheme="minorEastAsia" w:hAnsiTheme="minorEastAsia" w:cstheme="minorEastAsia"/>
                <w:color w:val="000000"/>
                <w:sz w:val="24"/>
                <w:szCs w:val="24"/>
              </w:rPr>
            </w:pPr>
            <w:r>
              <w:rPr>
                <w:rFonts w:hint="eastAsia" w:asciiTheme="minorEastAsia" w:hAnsiTheme="minorEastAsia" w:cstheme="minorEastAsia"/>
                <w:color w:val="000000"/>
                <w:sz w:val="24"/>
                <w:szCs w:val="24"/>
              </w:rPr>
              <w:t xml:space="preserve">14</w:t>
            </w:r>
            <w:r/>
          </w:p>
        </w:tc>
      </w:tr>
      <w:tr>
        <w:trPr>
          <w:jc w:val="center"/>
          <w:trHeight w:val="113"/>
        </w:trPr>
        <w:tc>
          <w:tcPr>
            <w:tcW w:w="1056" w:type="dxa"/>
            <w:vAlign w:val="center"/>
            <w:textDirection w:val="lrTb"/>
            <w:noWrap w:val="false"/>
          </w:tcPr>
          <w:p>
            <w:pPr>
              <w:jc w:val="center"/>
              <w:spacing w:line="360" w:lineRule="auto"/>
              <w:widowControl/>
              <w:rPr>
                <w:rFonts w:asciiTheme="minorEastAsia" w:hAnsiTheme="minorEastAsia" w:cstheme="minorEastAsia"/>
                <w:color w:val="000000"/>
                <w:sz w:val="24"/>
                <w:szCs w:val="24"/>
              </w:rPr>
            </w:pPr>
            <w:r>
              <w:rPr>
                <w:rFonts w:hint="eastAsia" w:asciiTheme="minorEastAsia" w:hAnsiTheme="minorEastAsia" w:cstheme="minorEastAsia"/>
                <w:color w:val="000000"/>
                <w:sz w:val="24"/>
                <w:szCs w:val="24"/>
              </w:rPr>
              <w:t xml:space="preserve">6</w:t>
            </w:r>
            <w:r/>
          </w:p>
        </w:tc>
        <w:tc>
          <w:tcPr>
            <w:tcW w:w="5498" w:type="dxa"/>
            <w:vAlign w:val="center"/>
            <w:textDirection w:val="lrTb"/>
            <w:noWrap w:val="false"/>
          </w:tcPr>
          <w:p>
            <w:pPr>
              <w:jc w:val="center"/>
              <w:spacing w:line="360" w:lineRule="auto"/>
              <w:widowControl/>
              <w:rPr>
                <w:rFonts w:asciiTheme="minorEastAsia" w:hAnsiTheme="minorEastAsia" w:cstheme="minorEastAsia"/>
                <w:color w:val="000000"/>
                <w:sz w:val="24"/>
                <w:szCs w:val="24"/>
              </w:rPr>
            </w:pPr>
            <w:r>
              <w:rPr>
                <w:rFonts w:hint="eastAsia" w:asciiTheme="minorEastAsia" w:hAnsiTheme="minorEastAsia" w:cstheme="minorEastAsia"/>
                <w:sz w:val="24"/>
                <w:szCs w:val="24"/>
              </w:rPr>
              <w:t xml:space="preserve">连云港市海州区人民法院</w:t>
            </w:r>
            <w:r/>
          </w:p>
        </w:tc>
        <w:tc>
          <w:tcPr>
            <w:tcW w:w="2015" w:type="dxa"/>
            <w:vAlign w:val="center"/>
            <w:textDirection w:val="lrTb"/>
            <w:noWrap w:val="false"/>
          </w:tcPr>
          <w:p>
            <w:pPr>
              <w:jc w:val="center"/>
              <w:spacing w:line="360" w:lineRule="auto"/>
              <w:widowControl/>
              <w:rPr>
                <w:rFonts w:asciiTheme="minorEastAsia" w:hAnsiTheme="minorEastAsia" w:cstheme="minorEastAsia"/>
                <w:color w:val="000000"/>
                <w:sz w:val="24"/>
                <w:szCs w:val="24"/>
              </w:rPr>
            </w:pPr>
            <w:r>
              <w:rPr>
                <w:rFonts w:hint="eastAsia" w:asciiTheme="minorEastAsia" w:hAnsiTheme="minorEastAsia" w:cstheme="minorEastAsia"/>
                <w:color w:val="000000"/>
                <w:sz w:val="24"/>
                <w:szCs w:val="24"/>
              </w:rPr>
              <w:t xml:space="preserve">6</w:t>
            </w:r>
            <w:r/>
          </w:p>
        </w:tc>
      </w:tr>
      <w:tr>
        <w:trPr>
          <w:jc w:val="center"/>
          <w:trHeight w:val="113"/>
        </w:trPr>
        <w:tc>
          <w:tcPr>
            <w:tcW w:w="1056" w:type="dxa"/>
            <w:vAlign w:val="center"/>
            <w:textDirection w:val="lrTb"/>
            <w:noWrap w:val="false"/>
          </w:tcPr>
          <w:p>
            <w:pPr>
              <w:jc w:val="center"/>
              <w:spacing w:line="360" w:lineRule="auto"/>
              <w:widowControl/>
              <w:rPr>
                <w:rFonts w:asciiTheme="minorEastAsia" w:hAnsiTheme="minorEastAsia" w:cstheme="minorEastAsia"/>
                <w:color w:val="000000"/>
                <w:sz w:val="24"/>
                <w:szCs w:val="24"/>
              </w:rPr>
            </w:pPr>
            <w:r>
              <w:rPr>
                <w:rFonts w:hint="eastAsia" w:asciiTheme="minorEastAsia" w:hAnsiTheme="minorEastAsia" w:cstheme="minorEastAsia"/>
                <w:color w:val="000000"/>
                <w:sz w:val="24"/>
                <w:szCs w:val="24"/>
              </w:rPr>
              <w:t xml:space="preserve">7</w:t>
            </w:r>
            <w:r/>
          </w:p>
        </w:tc>
        <w:tc>
          <w:tcPr>
            <w:tcW w:w="5498" w:type="dxa"/>
            <w:vAlign w:val="center"/>
            <w:textDirection w:val="lrTb"/>
            <w:noWrap w:val="false"/>
          </w:tcPr>
          <w:p>
            <w:pPr>
              <w:jc w:val="center"/>
              <w:spacing w:line="360" w:lineRule="auto"/>
              <w:widowControl/>
              <w:rPr>
                <w:rFonts w:asciiTheme="minorEastAsia" w:hAnsiTheme="minorEastAsia" w:cstheme="minorEastAsia"/>
                <w:color w:val="000000"/>
                <w:sz w:val="24"/>
                <w:szCs w:val="24"/>
              </w:rPr>
            </w:pPr>
            <w:r>
              <w:rPr>
                <w:rFonts w:hint="eastAsia" w:asciiTheme="minorEastAsia" w:hAnsiTheme="minorEastAsia" w:cstheme="minorEastAsia"/>
                <w:sz w:val="24"/>
                <w:szCs w:val="24"/>
              </w:rPr>
              <w:t xml:space="preserve">连云港市连云区人民法院</w:t>
            </w:r>
            <w:r/>
          </w:p>
        </w:tc>
        <w:tc>
          <w:tcPr>
            <w:tcW w:w="2015" w:type="dxa"/>
            <w:vAlign w:val="center"/>
            <w:textDirection w:val="lrTb"/>
            <w:noWrap w:val="false"/>
          </w:tcPr>
          <w:p>
            <w:pPr>
              <w:jc w:val="center"/>
              <w:spacing w:line="360" w:lineRule="auto"/>
              <w:widowControl/>
              <w:rPr>
                <w:rFonts w:asciiTheme="minorEastAsia" w:hAnsiTheme="minorEastAsia" w:cstheme="minorEastAsia"/>
                <w:color w:val="000000"/>
                <w:sz w:val="24"/>
                <w:szCs w:val="24"/>
              </w:rPr>
            </w:pPr>
            <w:r>
              <w:rPr>
                <w:rFonts w:hint="eastAsia" w:asciiTheme="minorEastAsia" w:hAnsiTheme="minorEastAsia" w:cstheme="minorEastAsia"/>
                <w:color w:val="000000"/>
                <w:sz w:val="24"/>
                <w:szCs w:val="24"/>
              </w:rPr>
              <w:t xml:space="preserve">14</w:t>
            </w:r>
            <w:r/>
          </w:p>
        </w:tc>
      </w:tr>
      <w:tr>
        <w:trPr>
          <w:jc w:val="center"/>
          <w:trHeight w:val="113"/>
        </w:trPr>
        <w:tc>
          <w:tcPr>
            <w:tcW w:w="1056" w:type="dxa"/>
            <w:vAlign w:val="center"/>
            <w:textDirection w:val="lrTb"/>
            <w:noWrap w:val="false"/>
          </w:tcPr>
          <w:p>
            <w:pPr>
              <w:jc w:val="center"/>
              <w:spacing w:line="360" w:lineRule="auto"/>
              <w:widowControl/>
              <w:rPr>
                <w:rFonts w:asciiTheme="minorEastAsia" w:hAnsiTheme="minorEastAsia" w:cstheme="minorEastAsia"/>
                <w:color w:val="000000"/>
                <w:sz w:val="24"/>
                <w:szCs w:val="24"/>
              </w:rPr>
            </w:pPr>
            <w:r>
              <w:rPr>
                <w:rFonts w:hint="eastAsia" w:asciiTheme="minorEastAsia" w:hAnsiTheme="minorEastAsia" w:cstheme="minorEastAsia"/>
                <w:color w:val="000000"/>
                <w:sz w:val="24"/>
                <w:szCs w:val="24"/>
              </w:rPr>
              <w:t xml:space="preserve">8</w:t>
            </w:r>
            <w:r/>
          </w:p>
        </w:tc>
        <w:tc>
          <w:tcPr>
            <w:tcW w:w="5498" w:type="dxa"/>
            <w:vAlign w:val="center"/>
            <w:textDirection w:val="lrTb"/>
            <w:noWrap w:val="false"/>
          </w:tcPr>
          <w:p>
            <w:pPr>
              <w:jc w:val="center"/>
              <w:spacing w:line="360" w:lineRule="auto"/>
              <w:widowControl/>
              <w:rPr>
                <w:rFonts w:asciiTheme="minorEastAsia" w:hAnsiTheme="minorEastAsia" w:cstheme="minorEastAsia"/>
                <w:color w:val="000000"/>
                <w:sz w:val="24"/>
                <w:szCs w:val="24"/>
              </w:rPr>
            </w:pPr>
            <w:r>
              <w:rPr>
                <w:rFonts w:hint="eastAsia" w:asciiTheme="minorEastAsia" w:hAnsiTheme="minorEastAsia" w:cstheme="minorEastAsia"/>
                <w:sz w:val="24"/>
                <w:szCs w:val="24"/>
              </w:rPr>
              <w:t xml:space="preserve">连云港经济技术开发区人民法院</w:t>
            </w:r>
            <w:r/>
          </w:p>
        </w:tc>
        <w:tc>
          <w:tcPr>
            <w:tcW w:w="2015" w:type="dxa"/>
            <w:vAlign w:val="center"/>
            <w:textDirection w:val="lrTb"/>
            <w:noWrap w:val="false"/>
          </w:tcPr>
          <w:p>
            <w:pPr>
              <w:jc w:val="center"/>
              <w:spacing w:line="360" w:lineRule="auto"/>
              <w:widowControl/>
              <w:rPr>
                <w:rFonts w:asciiTheme="minorEastAsia" w:hAnsiTheme="minorEastAsia" w:cstheme="minorEastAsia"/>
                <w:color w:val="000000"/>
                <w:sz w:val="24"/>
                <w:szCs w:val="24"/>
              </w:rPr>
            </w:pPr>
            <w:r>
              <w:rPr>
                <w:rFonts w:hint="eastAsia" w:asciiTheme="minorEastAsia" w:hAnsiTheme="minorEastAsia" w:cstheme="minorEastAsia"/>
                <w:color w:val="000000"/>
                <w:sz w:val="24"/>
                <w:szCs w:val="24"/>
              </w:rPr>
              <w:t xml:space="preserve">14</w:t>
            </w:r>
            <w:r/>
          </w:p>
        </w:tc>
      </w:tr>
      <w:tr>
        <w:trPr>
          <w:jc w:val="center"/>
          <w:trHeight w:val="113"/>
        </w:trPr>
        <w:tc>
          <w:tcPr>
            <w:gridSpan w:val="2"/>
            <w:tcW w:w="6554" w:type="dxa"/>
            <w:vAlign w:val="center"/>
            <w:textDirection w:val="lrTb"/>
            <w:noWrap w:val="false"/>
          </w:tcPr>
          <w:p>
            <w:pPr>
              <w:jc w:val="center"/>
              <w:spacing w:line="360" w:lineRule="auto"/>
              <w:widowControl/>
              <w:rPr>
                <w:rFonts w:asciiTheme="minorEastAsia" w:hAnsiTheme="minorEastAsia" w:cstheme="minorEastAsia"/>
                <w:color w:val="000000"/>
                <w:sz w:val="24"/>
                <w:szCs w:val="24"/>
              </w:rPr>
            </w:pPr>
            <w:r>
              <w:rPr>
                <w:rFonts w:hint="eastAsia" w:asciiTheme="minorEastAsia" w:hAnsiTheme="minorEastAsia" w:cstheme="minorEastAsia"/>
                <w:color w:val="000000"/>
                <w:sz w:val="24"/>
                <w:szCs w:val="24"/>
              </w:rPr>
              <w:t xml:space="preserve">合计</w:t>
            </w:r>
            <w:r/>
          </w:p>
        </w:tc>
        <w:tc>
          <w:tcPr>
            <w:tcW w:w="2015" w:type="dxa"/>
            <w:vAlign w:val="center"/>
            <w:textDirection w:val="lrTb"/>
            <w:noWrap w:val="false"/>
          </w:tcPr>
          <w:p>
            <w:pPr>
              <w:jc w:val="center"/>
              <w:spacing w:line="360" w:lineRule="auto"/>
              <w:widowControl/>
              <w:rPr>
                <w:rFonts w:asciiTheme="minorEastAsia" w:hAnsiTheme="minorEastAsia" w:cstheme="minorEastAsia"/>
                <w:color w:val="000000"/>
                <w:sz w:val="24"/>
                <w:szCs w:val="24"/>
              </w:rPr>
            </w:pPr>
            <w:r>
              <w:rPr>
                <w:rFonts w:hint="eastAsia" w:asciiTheme="minorEastAsia" w:hAnsiTheme="minorEastAsia" w:cstheme="minorEastAsia"/>
                <w:color w:val="000000"/>
                <w:sz w:val="24"/>
                <w:szCs w:val="24"/>
              </w:rPr>
              <w:t xml:space="preserve">109.5</w:t>
            </w:r>
            <w:r/>
          </w:p>
        </w:tc>
      </w:tr>
    </w:tbl>
    <w:p>
      <w:pPr>
        <w:ind w:firstLine="480"/>
        <w:spacing w:line="520" w:lineRule="exact"/>
        <w:rPr>
          <w:rFonts w:asciiTheme="minorEastAsia" w:hAnsiTheme="minorEastAsia" w:cstheme="minorEastAsia"/>
          <w:color w:val="000000"/>
          <w:sz w:val="24"/>
        </w:rPr>
      </w:pPr>
      <w:r>
        <w:rPr>
          <w:rFonts w:hint="eastAsia" w:asciiTheme="minorEastAsia" w:hAnsiTheme="minorEastAsia" w:cstheme="minorEastAsia"/>
          <w:color w:val="000000"/>
          <w:sz w:val="24"/>
        </w:rPr>
        <w:t xml:space="preserve">经评审后确定的中标人需分别与市中院及各县、区相关单位签订服务合同,合同金额根据中标金额等比例分签。</w:t>
      </w:r>
      <w:r/>
    </w:p>
    <w:p>
      <w:pPr>
        <w:pStyle w:val="849"/>
      </w:pPr>
      <w:r/>
      <w:r/>
    </w:p>
    <w:p>
      <w:pPr>
        <w:pStyle w:val="849"/>
        <w:rPr>
          <w:rFonts w:eastAsia="宋体"/>
        </w:rPr>
      </w:pPr>
      <w:r>
        <w:rPr>
          <w:rFonts w:eastAsia="宋体"/>
        </w:rPr>
      </w:r>
      <w:r/>
    </w:p>
    <w:p>
      <w:pPr>
        <w:pStyle w:val="849"/>
      </w:pPr>
      <w:r/>
      <w:r/>
    </w:p>
    <w:p>
      <w:pPr>
        <w:pStyle w:val="849"/>
      </w:pPr>
      <w:r/>
      <w:r/>
    </w:p>
    <w:p>
      <w:pPr>
        <w:pStyle w:val="849"/>
      </w:pPr>
      <w:r/>
      <w:r/>
    </w:p>
    <w:p>
      <w:pPr>
        <w:pStyle w:val="849"/>
      </w:pPr>
      <w:r/>
      <w:r/>
    </w:p>
    <w:p>
      <w:pPr>
        <w:pStyle w:val="849"/>
      </w:pPr>
      <w:r/>
      <w:r/>
    </w:p>
    <w:p>
      <w:pPr>
        <w:pStyle w:val="849"/>
      </w:pPr>
      <w:r/>
      <w:r/>
    </w:p>
    <w:p>
      <w:pPr>
        <w:pStyle w:val="849"/>
      </w:pPr>
      <w:r/>
      <w:r/>
    </w:p>
    <w:p>
      <w:pPr>
        <w:pStyle w:val="849"/>
      </w:pPr>
      <w:r/>
      <w:r/>
    </w:p>
    <w:p>
      <w:pPr>
        <w:pStyle w:val="849"/>
      </w:pPr>
      <w:r/>
      <w:r/>
    </w:p>
    <w:p>
      <w:pPr>
        <w:pStyle w:val="849"/>
      </w:pPr>
      <w:r/>
      <w:r/>
    </w:p>
    <w:p>
      <w:pPr>
        <w:pStyle w:val="849"/>
      </w:pPr>
      <w:r/>
      <w:r/>
    </w:p>
    <w:p>
      <w:pPr>
        <w:pStyle w:val="849"/>
      </w:pPr>
      <w:r/>
      <w:r/>
    </w:p>
    <w:p>
      <w:pPr>
        <w:pStyle w:val="849"/>
      </w:pPr>
      <w:r/>
      <w:r/>
    </w:p>
    <w:p>
      <w:pPr>
        <w:pStyle w:val="849"/>
      </w:pPr>
      <w:r/>
      <w:r/>
    </w:p>
    <w:p>
      <w:pPr>
        <w:pStyle w:val="849"/>
      </w:pPr>
      <w:r/>
      <w:r/>
    </w:p>
    <w:p>
      <w:pPr>
        <w:pStyle w:val="849"/>
      </w:pPr>
      <w:r/>
      <w:r/>
    </w:p>
    <w:p>
      <w:pPr>
        <w:pStyle w:val="849"/>
      </w:pPr>
      <w:r/>
      <w:r/>
    </w:p>
    <w:p>
      <w:pPr>
        <w:pStyle w:val="849"/>
      </w:pPr>
      <w:r/>
      <w:r/>
    </w:p>
    <w:p>
      <w:pPr>
        <w:pStyle w:val="849"/>
      </w:pPr>
      <w:r/>
      <w:r/>
    </w:p>
    <w:p>
      <w:pPr>
        <w:pStyle w:val="849"/>
      </w:pPr>
      <w:r/>
      <w:r/>
    </w:p>
    <w:p>
      <w:pPr>
        <w:pStyle w:val="849"/>
      </w:pPr>
      <w:r/>
      <w:r/>
    </w:p>
    <w:p>
      <w:pPr>
        <w:pStyle w:val="849"/>
      </w:pPr>
      <w:r/>
      <w:r/>
    </w:p>
    <w:p>
      <w:pPr>
        <w:pStyle w:val="849"/>
      </w:pPr>
      <w:r/>
      <w:r/>
    </w:p>
    <w:p>
      <w:pPr>
        <w:pStyle w:val="849"/>
      </w:pPr>
      <w:r/>
      <w:r/>
    </w:p>
    <w:p>
      <w:pPr>
        <w:pStyle w:val="849"/>
      </w:pPr>
      <w:r/>
      <w:r/>
    </w:p>
    <w:p>
      <w:pPr>
        <w:pStyle w:val="849"/>
      </w:pPr>
      <w:r/>
      <w:r/>
    </w:p>
    <w:p>
      <w:pPr>
        <w:pStyle w:val="849"/>
      </w:pPr>
      <w:r/>
      <w:r/>
    </w:p>
    <w:p>
      <w:pPr>
        <w:pStyle w:val="849"/>
      </w:pPr>
      <w:r/>
      <w:r/>
    </w:p>
    <w:p>
      <w:pPr>
        <w:pStyle w:val="849"/>
      </w:pPr>
      <w:r/>
      <w:r/>
    </w:p>
    <w:p>
      <w:pPr>
        <w:pStyle w:val="849"/>
      </w:pPr>
      <w:r/>
      <w:r/>
    </w:p>
    <w:p>
      <w:pPr>
        <w:pStyle w:val="849"/>
      </w:pPr>
      <w:r/>
      <w:r/>
    </w:p>
    <w:p>
      <w:pPr>
        <w:pStyle w:val="849"/>
      </w:pPr>
      <w:r/>
      <w:r/>
    </w:p>
    <w:p>
      <w:pPr>
        <w:pStyle w:val="849"/>
      </w:pPr>
      <w:r/>
      <w:r/>
    </w:p>
    <w:p>
      <w:pPr>
        <w:pStyle w:val="849"/>
      </w:pPr>
      <w:r/>
      <w:r/>
    </w:p>
    <w:p>
      <w:pPr>
        <w:pStyle w:val="843"/>
        <w:ind w:firstLine="880"/>
        <w:spacing w:line="360" w:lineRule="auto"/>
        <w:rPr>
          <w:rFonts w:ascii="黑体" w:hAnsi="黑体" w:eastAsia="黑体"/>
          <w:b w:val="0"/>
        </w:rPr>
      </w:pPr>
      <w:r>
        <w:rPr>
          <w:rFonts w:ascii="黑体" w:hAnsi="黑体" w:eastAsia="黑体"/>
          <w:b w:val="0"/>
        </w:rPr>
        <w:t xml:space="preserve">第五章</w:t>
      </w:r>
      <w:r>
        <w:rPr>
          <w:rFonts w:hint="eastAsia" w:ascii="黑体" w:hAnsi="黑体" w:eastAsia="黑体"/>
          <w:b w:val="0"/>
        </w:rPr>
        <w:t xml:space="preserve">  评标方法与评标标准</w:t>
      </w:r>
      <w:r/>
    </w:p>
    <w:p>
      <w:pPr>
        <w:ind w:firstLine="482"/>
        <w:jc w:val="left"/>
        <w:spacing w:line="500" w:lineRule="exact"/>
        <w:rPr>
          <w:rFonts w:asciiTheme="minorEastAsia" w:hAnsiTheme="minorEastAsia"/>
          <w:b/>
          <w:sz w:val="24"/>
          <w:szCs w:val="24"/>
        </w:rPr>
      </w:pPr>
      <w:r>
        <w:rPr>
          <w:rFonts w:asciiTheme="minorEastAsia" w:hAnsiTheme="minorEastAsia"/>
          <w:b/>
          <w:sz w:val="24"/>
          <w:szCs w:val="24"/>
        </w:rPr>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一、评标方法</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综合评分法：是指投标文件满足招标文件全部实质性要求，且按照评审因素的量化指标评审得分最高的投标人为中标候选人的评标办法。本项目两个采购包服务内容及要求不同，允许兼投兼中。评标的顺序按照一、二采购包依次进行，中标顺序根据评标顺序确定。</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二、评标标准</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（1）评标时，评委会以招标文件为评标依据，评委会各成员独立对每个投标人的投标文件进行评价，并汇总每个投标人的得分。评标过程中，不得去掉报价中的最高报价和最低报价。</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（2）本项目评分总分为100分，按四舍五入取至小数点后两位。</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（3）总得分=价格分+技术分+商务分。</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三、中标标准</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每个采购包评标结果按评审后得分由高到低顺序排列。得分相同的，按投标报价由低到高顺序排列。得分且投标报价相同的并列。评标委员会按照评审得分由高到低顺序推荐3名中标候选人。</w:t>
      </w:r>
      <w:r/>
    </w:p>
    <w:p>
      <w:pPr>
        <w:jc w:val="left"/>
        <w:spacing w:line="500" w:lineRule="exact"/>
        <w:rPr>
          <w:sz w:val="24"/>
          <w:szCs w:val="24"/>
        </w:rPr>
      </w:pPr>
      <w:r>
        <w:rPr>
          <w:sz w:val="24"/>
          <w:szCs w:val="24"/>
        </w:rPr>
      </w:r>
      <w:r/>
    </w:p>
    <w:p>
      <w:pPr>
        <w:jc w:val="center"/>
        <w:spacing w:line="500" w:lineRule="exact"/>
        <w:rPr>
          <w:rFonts w:ascii="宋体" w:hAnsi="宋体" w:eastAsia="宋体" w:cs="宋体"/>
          <w:b/>
          <w:bCs/>
          <w:sz w:val="28"/>
          <w:szCs w:val="28"/>
        </w:rPr>
      </w:pPr>
      <w:r>
        <w:rPr>
          <w:rFonts w:hint="eastAsia" w:ascii="宋体" w:hAnsi="宋体" w:eastAsia="宋体" w:cs="宋体"/>
          <w:b/>
          <w:bCs/>
          <w:sz w:val="28"/>
          <w:szCs w:val="28"/>
        </w:rPr>
        <w:t xml:space="preserve">采购包1</w:t>
      </w:r>
      <w:r/>
    </w:p>
    <w:p>
      <w:pPr>
        <w:pStyle w:val="849"/>
        <w:ind w:firstLine="0"/>
        <w:rPr>
          <w:rFonts w:ascii="宋体" w:hAnsi="宋体" w:eastAsia="宋体" w:cs="宋体"/>
          <w:b/>
          <w:bCs/>
          <w:sz w:val="28"/>
          <w:szCs w:val="28"/>
        </w:rPr>
      </w:pPr>
      <w:r>
        <w:rPr>
          <w:rFonts w:ascii="宋体" w:hAnsi="宋体" w:eastAsia="宋体" w:cs="宋体"/>
          <w:b/>
          <w:bCs/>
          <w:sz w:val="28"/>
          <w:szCs w:val="28"/>
        </w:rPr>
      </w:r>
      <w:r/>
    </w:p>
    <w:p>
      <w:pPr>
        <w:jc w:val="center"/>
        <w:spacing w:line="500" w:lineRule="exact"/>
        <w:rPr>
          <w:rFonts w:asciiTheme="minorEastAsia" w:hAnsiTheme="minorEastAsia"/>
          <w:b/>
          <w:sz w:val="24"/>
          <w:szCs w:val="24"/>
        </w:rPr>
      </w:pPr>
      <w:r>
        <w:rPr>
          <w:rFonts w:hint="eastAsia" w:ascii="黑体" w:hAnsi="黑体" w:eastAsia="黑体"/>
          <w:sz w:val="32"/>
          <w:szCs w:val="24"/>
        </w:rPr>
        <w:t xml:space="preserve">综合评分法</w:t>
      </w:r>
      <w:r/>
    </w:p>
    <w:p>
      <w:pPr>
        <w:ind w:firstLine="482"/>
        <w:jc w:val="left"/>
        <w:spacing w:line="500" w:lineRule="exact"/>
      </w:pPr>
      <w:r>
        <w:rPr>
          <w:rFonts w:hint="eastAsia" w:asciiTheme="minorEastAsia" w:hAnsiTheme="minorEastAsia"/>
          <w:b/>
          <w:sz w:val="24"/>
          <w:szCs w:val="24"/>
        </w:rPr>
        <w:t xml:space="preserve">1.价格分（20分）</w:t>
      </w:r>
      <w:r/>
    </w:p>
    <w:p>
      <w:pPr>
        <w:ind w:firstLine="480"/>
        <w:jc w:val="left"/>
        <w:spacing w:line="500" w:lineRule="exact"/>
        <w:rPr>
          <w:rFonts w:ascii="宋体" w:hAnsi="宋体" w:eastAsia="宋体" w:cs="宋体"/>
          <w:sz w:val="24"/>
          <w:szCs w:val="24"/>
        </w:rPr>
      </w:pPr>
      <w:r>
        <w:rPr>
          <w:rFonts w:hint="eastAsia" w:ascii="宋体" w:hAnsi="宋体" w:eastAsia="宋体" w:cs="宋体"/>
          <w:sz w:val="24"/>
          <w:szCs w:val="24"/>
        </w:rPr>
        <w:t xml:space="preserve">采用低价优先法计算，即满足招标文件要求且投标价格最低的投标报价为评标基准价，其价格分为满分。其他投标人的价格分统一按照下列公式计算：</w:t>
      </w:r>
      <w:r/>
    </w:p>
    <w:p>
      <w:pPr>
        <w:ind w:firstLine="480"/>
        <w:jc w:val="left"/>
        <w:spacing w:line="500" w:lineRule="exact"/>
        <w:rPr>
          <w:rFonts w:ascii="宋体" w:hAnsi="宋体" w:eastAsia="宋体" w:cs="宋体"/>
          <w:sz w:val="24"/>
          <w:szCs w:val="24"/>
        </w:rPr>
      </w:pPr>
      <w:r>
        <w:rPr>
          <w:rFonts w:hint="eastAsia" w:ascii="宋体" w:hAnsi="宋体" w:eastAsia="宋体" w:cs="宋体"/>
          <w:sz w:val="24"/>
          <w:szCs w:val="24"/>
        </w:rPr>
        <w:t xml:space="preserve">投标报价得分=（评标基准价/投标报价）×20分。</w:t>
      </w:r>
      <w:r/>
    </w:p>
    <w:p>
      <w:pPr>
        <w:ind w:firstLine="480"/>
        <w:jc w:val="left"/>
        <w:spacing w:line="500" w:lineRule="exact"/>
        <w:rPr>
          <w:rFonts w:ascii="宋体" w:hAnsi="宋体" w:eastAsia="宋体" w:cs="宋体"/>
          <w:sz w:val="24"/>
          <w:szCs w:val="24"/>
        </w:rPr>
      </w:pPr>
      <w:r>
        <w:rPr>
          <w:rFonts w:hint="eastAsia" w:ascii="宋体" w:hAnsi="宋体" w:eastAsia="宋体" w:cs="宋体"/>
          <w:sz w:val="24"/>
          <w:szCs w:val="24"/>
        </w:rPr>
        <w:t xml:space="preserve">因落实政府采购政策进行价格调整的，以调整后的价格计算评标基准价和投标报价，小数点后保留两位。</w:t>
      </w:r>
      <w:r/>
    </w:p>
    <w:p>
      <w:pPr>
        <w:ind w:firstLine="482"/>
        <w:jc w:val="left"/>
        <w:spacing w:line="360" w:lineRule="auto"/>
        <w:rPr>
          <w:rFonts w:ascii="宋体" w:hAnsi="宋体" w:eastAsia="宋体" w:cs="宋体"/>
          <w:b/>
          <w:sz w:val="24"/>
          <w:szCs w:val="24"/>
        </w:rPr>
      </w:pPr>
      <w:r>
        <w:rPr>
          <w:rFonts w:hint="eastAsia" w:ascii="宋体" w:hAnsi="宋体" w:eastAsia="宋体" w:cs="宋体"/>
          <w:b/>
          <w:sz w:val="24"/>
          <w:szCs w:val="24"/>
        </w:rPr>
        <w:t xml:space="preserve">2.商务分（38分）</w:t>
      </w:r>
      <w:r/>
    </w:p>
    <w:tbl>
      <w:tblPr>
        <w:tblW w:w="829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804"/>
        <w:gridCol w:w="6493"/>
      </w:tblGrid>
      <w:tr>
        <w:trPr>
          <w:jc w:val="center"/>
          <w:trHeight w:val="621"/>
        </w:trPr>
        <w:tc>
          <w:tcPr>
            <w:tcW w:w="1804"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cs="Times New Roman" w:asciiTheme="minorEastAsia" w:hAnsiTheme="minorEastAsia"/>
                <w:b/>
                <w:color w:val="000000"/>
                <w:sz w:val="24"/>
                <w:szCs w:val="24"/>
              </w:rPr>
            </w:pPr>
            <w:r>
              <w:rPr>
                <w:rFonts w:hint="eastAsia" w:cs="Times New Roman" w:asciiTheme="minorEastAsia" w:hAnsiTheme="minorEastAsia"/>
                <w:b/>
                <w:color w:val="000000"/>
                <w:sz w:val="24"/>
                <w:szCs w:val="24"/>
              </w:rPr>
              <w:t xml:space="preserve">评审因素</w:t>
            </w:r>
            <w:r/>
          </w:p>
        </w:tc>
        <w:tc>
          <w:tcPr>
            <w:tcW w:w="6493"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cs="Times New Roman" w:asciiTheme="minorEastAsia" w:hAnsiTheme="minorEastAsia"/>
                <w:b/>
                <w:color w:val="000000"/>
                <w:sz w:val="24"/>
                <w:szCs w:val="24"/>
              </w:rPr>
            </w:pPr>
            <w:r>
              <w:rPr>
                <w:rFonts w:hint="eastAsia" w:cs="Times New Roman" w:asciiTheme="minorEastAsia" w:hAnsiTheme="minorEastAsia"/>
                <w:b/>
                <w:color w:val="000000"/>
                <w:sz w:val="24"/>
                <w:szCs w:val="24"/>
              </w:rPr>
              <w:t xml:space="preserve">评审标准</w:t>
            </w:r>
            <w:r/>
          </w:p>
        </w:tc>
      </w:tr>
      <w:tr>
        <w:trPr>
          <w:jc w:val="center"/>
          <w:trHeight w:val="621"/>
        </w:trPr>
        <w:tc>
          <w:tcPr>
            <w:tcW w:w="1804" w:type="dxa"/>
            <w:vAlign w:val="center"/>
            <w:textDirection w:val="lrTb"/>
            <w:noWrap w:val="false"/>
          </w:tcPr>
          <w:p>
            <w:pPr>
              <w:jc w:val="center"/>
              <w:spacing w:line="44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项目负责人</w:t>
            </w:r>
            <w:r/>
          </w:p>
          <w:p>
            <w:pPr>
              <w:jc w:val="center"/>
              <w:spacing w:line="44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（3分）</w:t>
            </w:r>
            <w:r/>
          </w:p>
        </w:tc>
        <w:tc>
          <w:tcPr>
            <w:tcW w:w="6493" w:type="dxa"/>
            <w:vAlign w:val="center"/>
            <w:textDirection w:val="lrTb"/>
            <w:noWrap w:val="false"/>
          </w:tcPr>
          <w:p>
            <w:pPr>
              <w:spacing w:line="440" w:lineRule="exact"/>
              <w:tabs>
                <w:tab w:val="left" w:pos="829" w:leader="none"/>
              </w:tabs>
              <w:rPr>
                <w:rFonts w:asciiTheme="minorEastAsia" w:hAnsiTheme="minorEastAsia" w:cstheme="minorEastAsia"/>
                <w:sz w:val="24"/>
                <w:szCs w:val="24"/>
              </w:rPr>
            </w:pPr>
            <w:r>
              <w:rPr>
                <w:rFonts w:hint="eastAsia" w:asciiTheme="minorEastAsia" w:hAnsiTheme="minorEastAsia" w:cstheme="minorEastAsia"/>
                <w:sz w:val="24"/>
                <w:szCs w:val="24"/>
              </w:rPr>
              <w:t xml:space="preserve">拟派项目负责人须为供应商单位正式员工，具有计算机技术与软件专业技术资格（软考）证书高级或计算机类职称证书（高级）的</w:t>
            </w:r>
            <w:r>
              <w:rPr>
                <w:rFonts w:hint="eastAsia" w:asciiTheme="minorEastAsia" w:hAnsiTheme="minorEastAsia" w:cstheme="minorEastAsia"/>
                <w:b/>
                <w:bCs/>
                <w:sz w:val="24"/>
                <w:szCs w:val="24"/>
              </w:rPr>
              <w:t xml:space="preserve">得3分</w:t>
            </w:r>
            <w:r>
              <w:rPr>
                <w:rFonts w:hint="eastAsia" w:asciiTheme="minorEastAsia" w:hAnsiTheme="minorEastAsia" w:cstheme="minorEastAsia"/>
                <w:sz w:val="24"/>
                <w:szCs w:val="24"/>
              </w:rPr>
              <w:t xml:space="preserve">。</w:t>
            </w:r>
            <w:r/>
          </w:p>
          <w:p>
            <w:pPr>
              <w:spacing w:line="440" w:lineRule="exact"/>
              <w:tabs>
                <w:tab w:val="left" w:pos="829" w:leader="none"/>
              </w:tabs>
              <w:rPr>
                <w:rFonts w:asciiTheme="minorEastAsia" w:hAnsiTheme="minorEastAsia" w:cstheme="minorEastAsia"/>
                <w:b/>
                <w:bCs/>
                <w:sz w:val="24"/>
                <w:szCs w:val="24"/>
              </w:rPr>
            </w:pPr>
            <w:r>
              <w:rPr>
                <w:rFonts w:hint="eastAsia" w:asciiTheme="minorEastAsia" w:hAnsiTheme="minorEastAsia" w:cstheme="minorEastAsia"/>
                <w:b/>
                <w:bCs/>
                <w:sz w:val="24"/>
                <w:szCs w:val="24"/>
              </w:rPr>
              <w:t xml:space="preserve">（投标文件中同时提供如下证明材料：（1）2026年1月1日以来任意1个月由投标人为其缴纳的社保证明材料；（2）有效证书扫描件，上述证明材料加盖投标人公章，否则不得分）</w:t>
            </w:r>
            <w:r/>
          </w:p>
          <w:p>
            <w:pPr>
              <w:spacing w:line="440" w:lineRule="exact"/>
              <w:tabs>
                <w:tab w:val="left" w:pos="829" w:leader="none"/>
              </w:tabs>
              <w:rPr>
                <w:rFonts w:asciiTheme="minorEastAsia" w:hAnsiTheme="minorEastAsia" w:cstheme="minorEastAsia"/>
                <w:sz w:val="24"/>
                <w:szCs w:val="24"/>
              </w:rPr>
            </w:pPr>
            <w:r>
              <w:rPr>
                <w:rFonts w:hint="eastAsia" w:asciiTheme="minorEastAsia" w:hAnsiTheme="minorEastAsia" w:cstheme="minorEastAsia"/>
                <w:b/>
                <w:bCs/>
                <w:sz w:val="24"/>
                <w:szCs w:val="24"/>
              </w:rPr>
              <w:t xml:space="preserve">注：计算机技术与软</w:t>
            </w:r>
            <w:bookmarkStart w:id="11" w:name="_GoBack"/>
            <w:r/>
            <w:bookmarkEnd w:id="11"/>
            <w:r>
              <w:rPr>
                <w:rFonts w:hint="eastAsia" w:asciiTheme="minorEastAsia" w:hAnsiTheme="minorEastAsia" w:cstheme="minorEastAsia"/>
                <w:b/>
                <w:bCs/>
                <w:sz w:val="24"/>
                <w:szCs w:val="24"/>
              </w:rPr>
              <w:t xml:space="preserve">件专业技术资格（软考）证书高级包含：系统分析师、系统架构设计师、信息系统项目管理师、系统规划与管理师、网络规划设计师（网规）。计算机类职称证书由评委会统一认定后给予得分。</w:t>
            </w:r>
            <w:r/>
          </w:p>
        </w:tc>
      </w:tr>
      <w:tr>
        <w:trPr>
          <w:jc w:val="center"/>
          <w:trHeight w:val="621"/>
        </w:trPr>
        <w:tc>
          <w:tcPr>
            <w:tcW w:w="1804" w:type="dxa"/>
            <w:vAlign w:val="center"/>
            <w:textDirection w:val="lrTb"/>
            <w:noWrap w:val="false"/>
          </w:tcPr>
          <w:p>
            <w:pPr>
              <w:jc w:val="center"/>
              <w:spacing w:line="520" w:lineRule="exact"/>
              <w:rPr>
                <w:rFonts w:ascii="宋体" w:hAnsi="宋体" w:cs="宋体"/>
                <w:sz w:val="24"/>
                <w:szCs w:val="28"/>
              </w:rPr>
            </w:pPr>
            <w:r>
              <w:rPr>
                <w:rFonts w:hint="eastAsia" w:ascii="宋体" w:hAnsi="宋体" w:cs="宋体"/>
                <w:sz w:val="24"/>
                <w:szCs w:val="28"/>
              </w:rPr>
              <w:t xml:space="preserve">业绩</w:t>
            </w:r>
            <w:r/>
          </w:p>
          <w:p>
            <w:pPr>
              <w:jc w:val="center"/>
              <w:spacing w:line="520" w:lineRule="exact"/>
            </w:pPr>
            <w:r>
              <w:rPr>
                <w:rFonts w:hint="eastAsia" w:ascii="宋体" w:hAnsi="宋体" w:cs="宋体"/>
                <w:sz w:val="24"/>
                <w:szCs w:val="28"/>
              </w:rPr>
              <w:t xml:space="preserve">（15分）</w:t>
            </w:r>
            <w:r/>
          </w:p>
        </w:tc>
        <w:tc>
          <w:tcPr>
            <w:tcW w:w="6493" w:type="dxa"/>
            <w:vAlign w:val="center"/>
            <w:textDirection w:val="lrTb"/>
            <w:noWrap w:val="false"/>
          </w:tcPr>
          <w:p>
            <w:pPr>
              <w:spacing w:line="520" w:lineRule="exact"/>
              <w:tabs>
                <w:tab w:val="left" w:pos="829" w:leader="none"/>
              </w:tabs>
              <w:rPr>
                <w:rFonts w:ascii="宋体" w:hAnsi="宋体" w:cs="宋体"/>
                <w:b/>
                <w:bCs/>
                <w:sz w:val="24"/>
                <w:szCs w:val="24"/>
              </w:rPr>
            </w:pPr>
            <w:r>
              <w:rPr>
                <w:rFonts w:hint="eastAsia" w:ascii="宋体" w:hAnsi="宋体" w:cs="宋体"/>
                <w:sz w:val="24"/>
                <w:szCs w:val="24"/>
              </w:rPr>
              <w:t xml:space="preserve">自2023年1月1日以来，投标人承担过信息化技术服务（合同内容与AI+政务信息化相关）项目业绩的，每提供一个业绩得5分；承担过信息化技术服务（非AI+政务信息化相关）项目业绩的，每提供一个业绩得</w:t>
            </w:r>
            <w:r>
              <w:rPr>
                <w:rFonts w:ascii="宋体" w:hAnsi="宋体" w:cs="宋体"/>
                <w:sz w:val="24"/>
                <w:szCs w:val="24"/>
              </w:rPr>
              <w:t xml:space="preserve">2</w:t>
            </w:r>
            <w:r>
              <w:rPr>
                <w:rFonts w:hint="eastAsia" w:ascii="宋体" w:hAnsi="宋体" w:cs="宋体"/>
                <w:sz w:val="24"/>
                <w:szCs w:val="24"/>
              </w:rPr>
              <w:t xml:space="preserve">分；本项目最多提供3个业绩，</w:t>
            </w:r>
            <w:r>
              <w:rPr>
                <w:rFonts w:hint="eastAsia" w:ascii="宋体" w:hAnsi="宋体" w:cs="宋体"/>
                <w:b/>
                <w:bCs/>
                <w:sz w:val="24"/>
                <w:szCs w:val="24"/>
              </w:rPr>
              <w:t xml:space="preserve">最高得15分。</w:t>
            </w:r>
            <w:r/>
          </w:p>
          <w:p>
            <w:pPr>
              <w:spacing w:line="520" w:lineRule="exact"/>
              <w:tabs>
                <w:tab w:val="left" w:pos="829" w:leader="none"/>
              </w:tabs>
            </w:pPr>
            <w:r>
              <w:rPr>
                <w:rFonts w:hint="eastAsia" w:ascii="宋体" w:hAnsi="宋体" w:cs="宋体"/>
                <w:b/>
                <w:bCs/>
                <w:sz w:val="24"/>
                <w:szCs w:val="24"/>
              </w:rPr>
              <w:t xml:space="preserve">（投标文件中提供合同证明材料并加盖投标人公章，证明材料须能反映项目信息，合同内容、签订时间及签章清晰可见，未提供或提供信息不全均不得分。合同服务内容，由评委会统一认定后给予得分）</w:t>
            </w:r>
            <w:r/>
          </w:p>
        </w:tc>
      </w:tr>
      <w:tr>
        <w:trPr>
          <w:jc w:val="center"/>
          <w:trHeight w:val="621"/>
        </w:trPr>
        <w:tc>
          <w:tcPr>
            <w:tcW w:w="1804" w:type="dxa"/>
            <w:vAlign w:val="center"/>
            <w:textDirection w:val="lrTb"/>
            <w:noWrap w:val="false"/>
          </w:tcPr>
          <w:p>
            <w:pPr>
              <w:jc w:val="center"/>
              <w:spacing w:line="52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服务能力</w:t>
            </w:r>
            <w:r/>
          </w:p>
          <w:p>
            <w:pPr>
              <w:jc w:val="center"/>
              <w:spacing w:line="52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（15分）</w:t>
            </w:r>
            <w:r/>
          </w:p>
        </w:tc>
        <w:tc>
          <w:tcPr>
            <w:tcW w:w="6493" w:type="dxa"/>
            <w:vAlign w:val="center"/>
            <w:textDirection w:val="lrTb"/>
            <w:noWrap w:val="false"/>
          </w:tcPr>
          <w:p>
            <w:pPr>
              <w:jc w:val="left"/>
              <w:spacing w:line="520" w:lineRule="exact"/>
              <w:widowControl/>
              <w:rPr>
                <w:rFonts w:asciiTheme="minorEastAsia" w:hAnsiTheme="minorEastAsia" w:cstheme="minorEastAsia"/>
                <w:b/>
                <w:bCs/>
                <w:sz w:val="24"/>
                <w:szCs w:val="24"/>
              </w:rPr>
            </w:pPr>
            <w:r>
              <w:rPr>
                <w:rFonts w:hint="eastAsia" w:asciiTheme="minorEastAsia" w:hAnsiTheme="minorEastAsia" w:cstheme="minorEastAsia"/>
                <w:sz w:val="24"/>
                <w:szCs w:val="24"/>
              </w:rPr>
              <w:t xml:space="preserve">投标人具有“ AI模型”、“人工智能”相关计算机软件著作权登记证书的，每提供一个证书得3分，</w:t>
            </w:r>
            <w:r>
              <w:rPr>
                <w:rFonts w:hint="eastAsia" w:asciiTheme="minorEastAsia" w:hAnsiTheme="minorEastAsia" w:cstheme="minorEastAsia"/>
                <w:b/>
                <w:bCs/>
                <w:sz w:val="24"/>
                <w:szCs w:val="24"/>
              </w:rPr>
              <w:t xml:space="preserve">最高得15分。</w:t>
            </w:r>
            <w:r/>
          </w:p>
          <w:p>
            <w:pPr>
              <w:jc w:val="left"/>
              <w:spacing w:line="520" w:lineRule="exact"/>
              <w:widowControl/>
            </w:pPr>
            <w:r>
              <w:rPr>
                <w:rFonts w:hint="eastAsia" w:asciiTheme="minorEastAsia" w:hAnsiTheme="minorEastAsia"/>
                <w:b/>
                <w:bCs/>
                <w:sz w:val="24"/>
              </w:rPr>
              <w:t xml:space="preserve">（投标文件中提供相关证书证明材料并加盖投标人公章，否则不得分。名称或功能相近的，由评委会统一认定。投标人可提供相关说明等证明材料，便于评审）</w:t>
            </w:r>
            <w:r/>
          </w:p>
        </w:tc>
      </w:tr>
      <w:tr>
        <w:trPr>
          <w:jc w:val="center"/>
          <w:trHeight w:val="621"/>
        </w:trPr>
        <w:tc>
          <w:tcPr>
            <w:tcW w:w="1804" w:type="dxa"/>
            <w:vAlign w:val="center"/>
            <w:textDirection w:val="lrTb"/>
            <w:noWrap w:val="false"/>
          </w:tcPr>
          <w:p>
            <w:pPr>
              <w:jc w:val="center"/>
              <w:spacing w:line="52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服务承诺</w:t>
            </w:r>
            <w:r/>
          </w:p>
          <w:p>
            <w:pPr>
              <w:jc w:val="center"/>
              <w:spacing w:line="52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（5分）</w:t>
            </w:r>
            <w:r/>
          </w:p>
        </w:tc>
        <w:tc>
          <w:tcPr>
            <w:tcW w:w="6493" w:type="dxa"/>
            <w:vAlign w:val="center"/>
            <w:textDirection w:val="lrTb"/>
            <w:noWrap w:val="false"/>
          </w:tcPr>
          <w:p>
            <w:pPr>
              <w:spacing w:line="360" w:lineRule="auto"/>
              <w:widowControl/>
              <w:rPr>
                <w:rFonts w:hint="eastAsia" w:asciiTheme="minorEastAsia" w:hAnsiTheme="minorEastAsia" w:cstheme="minorEastAsia"/>
                <w:sz w:val="24"/>
                <w:szCs w:val="24"/>
              </w:rPr>
            </w:pPr>
            <w:r>
              <w:rPr>
                <w:rFonts w:hint="eastAsia" w:asciiTheme="minorEastAsia" w:hAnsiTheme="minorEastAsia" w:cstheme="minorEastAsia"/>
                <w:sz w:val="24"/>
                <w:szCs w:val="24"/>
              </w:rPr>
              <w:t xml:space="preserve">在满足项目需求（投标人提供</w:t>
            </w:r>
            <w:r>
              <w:rPr>
                <w:rFonts w:hint="eastAsia" w:asciiTheme="minorEastAsia" w:hAnsiTheme="minorEastAsia" w:cstheme="minorEastAsia"/>
                <w:sz w:val="24"/>
                <w:szCs w:val="24"/>
              </w:rPr>
              <w:t xml:space="preserve">独占专用服务器承载模型训练任务；算力资源不低于 4P（FP16 </w:t>
            </w:r>
            <w:r>
              <w:rPr>
                <w:rFonts w:hint="eastAsia" w:asciiTheme="minorEastAsia" w:hAnsiTheme="minorEastAsia" w:cstheme="minorEastAsia"/>
                <w:sz w:val="24"/>
                <w:szCs w:val="24"/>
              </w:rPr>
              <w:t xml:space="preserve">稀疏算力），</w:t>
            </w:r>
            <w:r>
              <w:rPr>
                <w:rFonts w:hint="eastAsia" w:asciiTheme="minorEastAsia" w:hAnsiTheme="minorEastAsia" w:cstheme="minorEastAsia"/>
                <w:sz w:val="24"/>
                <w:szCs w:val="24"/>
              </w:rPr>
              <w:t xml:space="preserve">保障算力运行稳定可靠、软硬件系统兼容性良好。算力资源独占使用时长不少于3</w:t>
            </w:r>
            <w:r>
              <w:rPr>
                <w:rFonts w:hint="eastAsia" w:asciiTheme="minorEastAsia" w:hAnsiTheme="minorEastAsia" w:cstheme="minorEastAsia"/>
                <w:sz w:val="24"/>
                <w:szCs w:val="24"/>
              </w:rPr>
              <w:t xml:space="preserve">个月）的基础上，投标人提供如下承诺：</w:t>
            </w:r>
            <w:r/>
          </w:p>
          <w:p>
            <w:pPr>
              <w:spacing w:line="360" w:lineRule="auto"/>
              <w:widowControl/>
              <w:rPr>
                <w:rFonts w:hint="eastAsia" w:asciiTheme="minorEastAsia" w:hAnsiTheme="minorEastAsia" w:cstheme="minorEastAsia"/>
                <w:sz w:val="24"/>
                <w:szCs w:val="24"/>
              </w:rPr>
            </w:pPr>
            <w:r>
              <w:rPr>
                <w:rFonts w:hint="eastAsia" w:asciiTheme="minorEastAsia" w:hAnsiTheme="minorEastAsia" w:cstheme="minorEastAsia"/>
                <w:sz w:val="24"/>
                <w:szCs w:val="24"/>
              </w:rPr>
              <w:t xml:space="preserve">1.</w:t>
            </w:r>
            <w:r>
              <w:rPr>
                <w:rFonts w:hint="eastAsia" w:asciiTheme="minorEastAsia" w:hAnsiTheme="minorEastAsia" w:cstheme="minorEastAsia"/>
                <w:sz w:val="24"/>
                <w:szCs w:val="24"/>
              </w:rPr>
              <w:t xml:space="preserve">承诺提供16P及以上（FP16稀疏算力）高性能GPU</w:t>
            </w:r>
            <w:r>
              <w:rPr>
                <w:rFonts w:hint="eastAsia" w:asciiTheme="minorEastAsia" w:hAnsiTheme="minorEastAsia" w:cstheme="minorEastAsia"/>
                <w:sz w:val="24"/>
                <w:szCs w:val="24"/>
              </w:rPr>
              <w:t xml:space="preserve">独占算力资源的</w:t>
            </w:r>
            <w:r>
              <w:rPr>
                <w:rFonts w:hint="eastAsia" w:asciiTheme="minorEastAsia" w:hAnsiTheme="minorEastAsia" w:cstheme="minorEastAsia"/>
                <w:sz w:val="24"/>
                <w:szCs w:val="24"/>
              </w:rPr>
              <w:t xml:space="preserve">得5分；</w:t>
            </w:r>
            <w:r/>
          </w:p>
          <w:p>
            <w:pPr>
              <w:spacing w:line="360" w:lineRule="auto"/>
              <w:widowControl/>
              <w:rPr>
                <w:rFonts w:hint="eastAsia" w:asciiTheme="minorEastAsia" w:hAnsiTheme="minorEastAsia" w:cstheme="minorEastAsia"/>
                <w:sz w:val="24"/>
                <w:szCs w:val="24"/>
              </w:rPr>
            </w:pPr>
            <w:r>
              <w:rPr>
                <w:rFonts w:hint="eastAsia" w:asciiTheme="minorEastAsia" w:hAnsiTheme="minorEastAsia" w:cstheme="minorEastAsia"/>
                <w:sz w:val="24"/>
                <w:szCs w:val="24"/>
              </w:rPr>
              <w:t xml:space="preserve">2.</w:t>
            </w:r>
            <w:r>
              <w:rPr>
                <w:rFonts w:hint="eastAsia" w:asciiTheme="minorEastAsia" w:hAnsiTheme="minorEastAsia" w:cstheme="minorEastAsia"/>
                <w:sz w:val="24"/>
                <w:szCs w:val="24"/>
              </w:rPr>
              <w:t xml:space="preserve">承诺提供8P及以上、不足16P（FP16稀疏算力）高性能GPU独占算力资源</w:t>
            </w:r>
            <w:r>
              <w:rPr>
                <w:rFonts w:hint="eastAsia" w:asciiTheme="minorEastAsia" w:hAnsiTheme="minorEastAsia" w:cstheme="minorEastAsia"/>
                <w:sz w:val="24"/>
                <w:szCs w:val="24"/>
              </w:rPr>
              <w:t xml:space="preserve">的</w:t>
            </w:r>
            <w:r>
              <w:rPr>
                <w:rFonts w:hint="eastAsia" w:asciiTheme="minorEastAsia" w:hAnsiTheme="minorEastAsia" w:cstheme="minorEastAsia"/>
                <w:sz w:val="24"/>
                <w:szCs w:val="24"/>
              </w:rPr>
              <w:t xml:space="preserve">得</w:t>
            </w:r>
            <w:r>
              <w:rPr>
                <w:rFonts w:hint="eastAsia" w:asciiTheme="minorEastAsia" w:hAnsiTheme="minorEastAsia" w:cstheme="minorEastAsia"/>
                <w:sz w:val="24"/>
                <w:szCs w:val="24"/>
              </w:rPr>
              <w:t xml:space="preserve">3</w:t>
            </w:r>
            <w:r>
              <w:rPr>
                <w:rFonts w:hint="eastAsia" w:asciiTheme="minorEastAsia" w:hAnsiTheme="minorEastAsia" w:cstheme="minorEastAsia"/>
                <w:sz w:val="24"/>
                <w:szCs w:val="24"/>
              </w:rPr>
              <w:t xml:space="preserve">分；</w:t>
            </w:r>
            <w:r/>
          </w:p>
          <w:p>
            <w:pPr>
              <w:spacing w:line="360" w:lineRule="auto"/>
              <w:widowControl/>
              <w:rPr>
                <w:rFonts w:hint="eastAsia" w:asciiTheme="minorEastAsia" w:hAnsiTheme="minorEastAsia" w:cstheme="minorEastAsia"/>
                <w:sz w:val="24"/>
                <w:szCs w:val="24"/>
              </w:rPr>
            </w:pPr>
            <w:r>
              <w:rPr>
                <w:rFonts w:hint="eastAsia" w:asciiTheme="minorEastAsia" w:hAnsiTheme="minorEastAsia" w:cstheme="minorEastAsia"/>
                <w:sz w:val="24"/>
                <w:szCs w:val="24"/>
              </w:rPr>
              <w:t xml:space="preserve">3.</w:t>
            </w:r>
            <w:r>
              <w:rPr>
                <w:rFonts w:hint="eastAsia" w:asciiTheme="minorEastAsia" w:hAnsiTheme="minorEastAsia" w:cstheme="minorEastAsia"/>
                <w:sz w:val="24"/>
                <w:szCs w:val="24"/>
              </w:rPr>
              <w:t xml:space="preserve">承诺提供4P及以上、不足8P（FP16稀疏算力）高性能GPU</w:t>
            </w:r>
            <w:r>
              <w:rPr>
                <w:rFonts w:hint="eastAsia" w:asciiTheme="minorEastAsia" w:hAnsiTheme="minorEastAsia" w:cstheme="minorEastAsia"/>
                <w:sz w:val="24"/>
                <w:szCs w:val="24"/>
              </w:rPr>
              <w:t xml:space="preserve">独占算力资源的</w:t>
            </w:r>
            <w:r>
              <w:rPr>
                <w:rFonts w:hint="eastAsia" w:asciiTheme="minorEastAsia" w:hAnsiTheme="minorEastAsia" w:cstheme="minorEastAsia"/>
                <w:sz w:val="24"/>
                <w:szCs w:val="24"/>
              </w:rPr>
              <w:t xml:space="preserve">得1分；</w:t>
            </w:r>
            <w:r/>
          </w:p>
          <w:p>
            <w:pPr>
              <w:spacing w:line="360" w:lineRule="auto"/>
              <w:widowControl/>
              <w:rPr>
                <w:rFonts w:hint="eastAsia" w:asciiTheme="minorEastAsia" w:hAnsiTheme="minorEastAsia" w:cstheme="minorEastAsia"/>
                <w:b/>
                <w:sz w:val="24"/>
                <w:szCs w:val="24"/>
              </w:rPr>
            </w:pPr>
            <w:r>
              <w:rPr>
                <w:rFonts w:hint="eastAsia" w:asciiTheme="minorEastAsia" w:hAnsiTheme="minorEastAsia" w:cstheme="minorEastAsia"/>
                <w:b/>
                <w:sz w:val="24"/>
                <w:szCs w:val="24"/>
              </w:rPr>
              <w:t xml:space="preserve">本项最高得5分。</w:t>
            </w:r>
            <w:r/>
          </w:p>
          <w:p>
            <w:pPr>
              <w:spacing w:line="360" w:lineRule="auto"/>
              <w:widowControl/>
              <w:rPr>
                <w:rFonts w:asciiTheme="minorEastAsia" w:hAnsiTheme="minorEastAsia" w:cstheme="minorEastAsia"/>
                <w:b/>
                <w:sz w:val="24"/>
                <w:szCs w:val="24"/>
              </w:rPr>
            </w:pPr>
            <w:r>
              <w:rPr>
                <w:rFonts w:hint="eastAsia" w:asciiTheme="minorEastAsia" w:hAnsiTheme="minorEastAsia" w:cstheme="minorEastAsia"/>
                <w:b/>
                <w:bCs/>
                <w:sz w:val="24"/>
                <w:szCs w:val="24"/>
              </w:rPr>
              <w:t xml:space="preserve">（投标文件中提供加盖投标人公章的承诺函，格式自拟，须明确承诺内容，否则不得分）</w:t>
            </w:r>
            <w:r/>
          </w:p>
        </w:tc>
      </w:tr>
    </w:tbl>
    <w:p>
      <w:pPr>
        <w:ind w:firstLine="482"/>
        <w:jc w:val="left"/>
        <w:spacing w:line="360" w:lineRule="auto"/>
        <w:rPr>
          <w:rFonts w:ascii="宋体" w:hAnsi="宋体" w:cs="宋体"/>
          <w:b/>
          <w:sz w:val="24"/>
          <w:szCs w:val="24"/>
        </w:rPr>
      </w:pPr>
      <w:r>
        <w:rPr>
          <w:rFonts w:hint="eastAsia" w:ascii="宋体" w:hAnsi="宋体" w:eastAsia="宋体" w:cs="宋体"/>
          <w:b/>
          <w:sz w:val="24"/>
          <w:szCs w:val="24"/>
        </w:rPr>
        <w:t xml:space="preserve">3.技术分（42分）（本部分</w:t>
      </w:r>
      <w:r>
        <w:rPr>
          <w:rFonts w:hint="eastAsia" w:ascii="宋体" w:hAnsi="宋体" w:cs="Calibri"/>
          <w:b/>
          <w:color w:val="000000"/>
          <w:sz w:val="24"/>
          <w:szCs w:val="24"/>
        </w:rPr>
        <w:t xml:space="preserve">采用暗标方式进行评审）</w:t>
      </w:r>
      <w:r/>
    </w:p>
    <w:tbl>
      <w:tblPr>
        <w:tblW w:w="833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820"/>
        <w:gridCol w:w="6510"/>
      </w:tblGrid>
      <w:tr>
        <w:trPr>
          <w:jc w:val="center"/>
          <w:trHeight w:val="621"/>
        </w:trPr>
        <w:tc>
          <w:tcPr>
            <w:tcW w:w="1820"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cs="Times New Roman" w:asciiTheme="minorEastAsia" w:hAnsiTheme="minorEastAsia"/>
                <w:b/>
                <w:color w:val="000000"/>
                <w:sz w:val="24"/>
                <w:szCs w:val="24"/>
              </w:rPr>
            </w:pPr>
            <w:r>
              <w:rPr>
                <w:rFonts w:hint="eastAsia" w:cs="Times New Roman" w:asciiTheme="minorEastAsia" w:hAnsiTheme="minorEastAsia"/>
                <w:b/>
                <w:color w:val="000000"/>
                <w:sz w:val="24"/>
                <w:szCs w:val="24"/>
              </w:rPr>
              <w:t xml:space="preserve">评审因素</w:t>
            </w:r>
            <w:r/>
          </w:p>
        </w:tc>
        <w:tc>
          <w:tcPr>
            <w:tcW w:w="6510"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cs="Times New Roman" w:asciiTheme="minorEastAsia" w:hAnsiTheme="minorEastAsia"/>
                <w:b/>
                <w:color w:val="000000"/>
                <w:sz w:val="24"/>
                <w:szCs w:val="24"/>
              </w:rPr>
            </w:pPr>
            <w:r>
              <w:rPr>
                <w:rFonts w:hint="eastAsia" w:cs="Times New Roman" w:asciiTheme="minorEastAsia" w:hAnsiTheme="minorEastAsia"/>
                <w:b/>
                <w:color w:val="000000"/>
                <w:sz w:val="24"/>
                <w:szCs w:val="24"/>
              </w:rPr>
              <w:t xml:space="preserve">评审标准</w:t>
            </w:r>
            <w:r/>
          </w:p>
        </w:tc>
      </w:tr>
      <w:tr>
        <w:trPr>
          <w:jc w:val="center"/>
          <w:trHeight w:val="621"/>
        </w:trPr>
        <w:tc>
          <w:tcPr>
            <w:tcW w:w="1820" w:type="dxa"/>
            <w:vAlign w:val="center"/>
            <w:textDirection w:val="lrTb"/>
            <w:noWrap w:val="false"/>
          </w:tcPr>
          <w:p>
            <w:pPr>
              <w:jc w:val="center"/>
              <w:spacing w:line="520" w:lineRule="exact"/>
              <w:rPr>
                <w:rFonts w:ascii="宋体" w:hAnsi="宋体" w:eastAsia="宋体" w:cs="宋体"/>
                <w:sz w:val="24"/>
                <w:szCs w:val="24"/>
              </w:rPr>
            </w:pPr>
            <w:r>
              <w:rPr>
                <w:rFonts w:hint="eastAsia" w:ascii="宋体" w:hAnsi="宋体" w:cs="宋体"/>
                <w:sz w:val="24"/>
                <w:szCs w:val="28"/>
              </w:rPr>
              <w:t xml:space="preserve">项目的理解和认识（6分）</w:t>
            </w:r>
            <w:r/>
          </w:p>
        </w:tc>
        <w:tc>
          <w:tcPr>
            <w:tcW w:w="6510" w:type="dxa"/>
            <w:vAlign w:val="center"/>
            <w:textDirection w:val="lrTb"/>
            <w:noWrap w:val="false"/>
          </w:tcPr>
          <w:p>
            <w:pPr>
              <w:spacing w:line="520" w:lineRule="exact"/>
              <w:tabs>
                <w:tab w:val="left" w:pos="829" w:leader="none"/>
              </w:tabs>
              <w:rPr>
                <w:rFonts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投标人提交对项目理解程度和重难点分析方案。方案包含但不限于项目基本概述、建设任务、对本项目的理解、项目实施流程等。</w:t>
            </w:r>
            <w:r/>
          </w:p>
          <w:p>
            <w:pPr>
              <w:spacing w:line="520" w:lineRule="exact"/>
              <w:tabs>
                <w:tab w:val="left" w:pos="829" w:leader="none"/>
              </w:tabs>
              <w:rPr>
                <w:rFonts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内容详细合理，包含上述内容，分析透彻，流程清晰，方案切实可行的得</w:t>
            </w:r>
            <w:r>
              <w:rPr>
                <w:rFonts w:hint="eastAsia" w:asciiTheme="majorEastAsia" w:hAnsiTheme="majorEastAsia" w:eastAsiaTheme="majorEastAsia" w:cstheme="majorEastAsia"/>
                <w:b/>
                <w:bCs/>
                <w:sz w:val="24"/>
                <w:szCs w:val="24"/>
              </w:rPr>
              <w:t xml:space="preserve">6分；</w:t>
            </w:r>
            <w:r/>
          </w:p>
          <w:p>
            <w:pPr>
              <w:spacing w:line="520" w:lineRule="exact"/>
              <w:tabs>
                <w:tab w:val="left" w:pos="829" w:leader="none"/>
              </w:tabs>
              <w:rPr>
                <w:rFonts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内容较详细合理，包含上述内容，分析较透彻，流程较清晰，方案较切实可行的</w:t>
            </w:r>
            <w:r>
              <w:rPr>
                <w:rFonts w:hint="eastAsia" w:asciiTheme="majorEastAsia" w:hAnsiTheme="majorEastAsia" w:eastAsiaTheme="majorEastAsia" w:cstheme="majorEastAsia"/>
                <w:b/>
                <w:bCs/>
                <w:sz w:val="24"/>
                <w:szCs w:val="24"/>
              </w:rPr>
              <w:t xml:space="preserve">得5分；</w:t>
            </w:r>
            <w:r/>
          </w:p>
          <w:p>
            <w:pPr>
              <w:spacing w:line="520" w:lineRule="exact"/>
              <w:tabs>
                <w:tab w:val="left" w:pos="829" w:leader="none"/>
              </w:tabs>
              <w:rPr>
                <w:rFonts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包含上述内容但内容简单粗糙，把握不够到位，合理性一般，对应措施解决方案实可行一般的</w:t>
            </w:r>
            <w:r>
              <w:rPr>
                <w:rFonts w:hint="eastAsia" w:asciiTheme="majorEastAsia" w:hAnsiTheme="majorEastAsia" w:eastAsiaTheme="majorEastAsia" w:cstheme="majorEastAsia"/>
                <w:b/>
                <w:bCs/>
                <w:sz w:val="24"/>
                <w:szCs w:val="24"/>
              </w:rPr>
              <w:t xml:space="preserve">得3分；</w:t>
            </w:r>
            <w:r/>
          </w:p>
          <w:p>
            <w:pPr>
              <w:spacing w:line="520" w:lineRule="exact"/>
              <w:tabs>
                <w:tab w:val="left" w:pos="829" w:leader="none"/>
              </w:tabs>
              <w:rPr>
                <w:rFonts w:asciiTheme="majorEastAsia" w:hAnsiTheme="majorEastAsia" w:eastAsiaTheme="majorEastAsia" w:cstheme="majorEastAsia"/>
                <w:b/>
                <w:bCs/>
                <w:sz w:val="24"/>
                <w:szCs w:val="24"/>
              </w:rPr>
            </w:pPr>
            <w:r>
              <w:rPr>
                <w:rFonts w:hint="eastAsia" w:asciiTheme="majorEastAsia" w:hAnsiTheme="majorEastAsia" w:eastAsiaTheme="majorEastAsia" w:cstheme="majorEastAsia"/>
                <w:sz w:val="24"/>
                <w:szCs w:val="24"/>
              </w:rPr>
              <w:t xml:space="preserve">上述内容有缺项，内容简单粗糙，整体流程不清晰，方案可行不强的</w:t>
            </w:r>
            <w:r>
              <w:rPr>
                <w:rFonts w:hint="eastAsia" w:asciiTheme="majorEastAsia" w:hAnsiTheme="majorEastAsia" w:eastAsiaTheme="majorEastAsia" w:cstheme="majorEastAsia"/>
                <w:b/>
                <w:bCs/>
                <w:sz w:val="24"/>
                <w:szCs w:val="24"/>
              </w:rPr>
              <w:t xml:space="preserve">得1分；</w:t>
            </w:r>
            <w:r/>
          </w:p>
          <w:p>
            <w:pPr>
              <w:spacing w:line="520" w:lineRule="exact"/>
              <w:tabs>
                <w:tab w:val="left" w:pos="829" w:leader="none"/>
              </w:tabs>
              <w:rPr>
                <w:rFonts w:ascii="宋体" w:hAnsi="宋体" w:eastAsia="宋体" w:cs="宋体"/>
                <w:sz w:val="24"/>
                <w:szCs w:val="24"/>
              </w:rPr>
            </w:pPr>
            <w:r>
              <w:rPr>
                <w:rFonts w:hint="eastAsia" w:asciiTheme="majorEastAsia" w:hAnsiTheme="majorEastAsia" w:eastAsiaTheme="majorEastAsia" w:cstheme="majorEastAsia"/>
                <w:b/>
                <w:bCs/>
                <w:sz w:val="24"/>
                <w:szCs w:val="24"/>
              </w:rPr>
              <w:t xml:space="preserve">该项未见阐述不得分。</w:t>
            </w:r>
            <w:r/>
          </w:p>
        </w:tc>
      </w:tr>
      <w:tr>
        <w:trPr>
          <w:jc w:val="center"/>
          <w:trHeight w:val="621"/>
        </w:trPr>
        <w:tc>
          <w:tcPr>
            <w:shd w:val="clear" w:color="auto" w:fill="auto"/>
            <w:tcW w:w="1820" w:type="dxa"/>
            <w:vAlign w:val="center"/>
            <w:textDirection w:val="lrTb"/>
            <w:noWrap w:val="false"/>
          </w:tcPr>
          <w:p>
            <w:pPr>
              <w:jc w:val="center"/>
              <w:spacing w:line="520" w:lineRule="exact"/>
              <w:rPr>
                <w:rFonts w:asciiTheme="minorEastAsia" w:hAnsiTheme="minorEastAsia" w:cstheme="minorEastAsia"/>
                <w:sz w:val="24"/>
                <w:szCs w:val="28"/>
              </w:rPr>
            </w:pPr>
            <w:r>
              <w:rPr>
                <w:rFonts w:hint="eastAsia" w:asciiTheme="minorEastAsia" w:hAnsiTheme="minorEastAsia" w:cstheme="minorEastAsia"/>
                <w:sz w:val="24"/>
                <w:szCs w:val="28"/>
              </w:rPr>
              <w:t xml:space="preserve">项目实施的重点、难点及关键过程分析</w:t>
            </w:r>
            <w:r/>
          </w:p>
          <w:p>
            <w:pPr>
              <w:jc w:val="center"/>
              <w:spacing w:line="520" w:lineRule="exact"/>
              <w:rPr>
                <w:rFonts w:asciiTheme="minorEastAsia" w:hAnsiTheme="minorEastAsia" w:cstheme="minorEastAsia"/>
                <w:sz w:val="24"/>
                <w:szCs w:val="28"/>
              </w:rPr>
            </w:pPr>
            <w:r>
              <w:rPr>
                <w:rFonts w:hint="eastAsia" w:asciiTheme="minorEastAsia" w:hAnsiTheme="minorEastAsia" w:cstheme="minorEastAsia"/>
                <w:sz w:val="24"/>
                <w:szCs w:val="28"/>
              </w:rPr>
              <w:t xml:space="preserve">（6分）</w:t>
            </w:r>
            <w:r/>
          </w:p>
          <w:p>
            <w:pPr>
              <w:spacing w:line="520" w:lineRule="exact"/>
              <w:rPr>
                <w:rFonts w:asciiTheme="minorEastAsia" w:hAnsiTheme="minorEastAsia" w:cstheme="minorEastAsia"/>
                <w:sz w:val="24"/>
                <w:szCs w:val="24"/>
              </w:rPr>
            </w:pPr>
            <w:r>
              <w:rPr>
                <w:rFonts w:asciiTheme="minorEastAsia" w:hAnsiTheme="minorEastAsia" w:cstheme="minorEastAsia"/>
                <w:sz w:val="24"/>
                <w:szCs w:val="24"/>
              </w:rPr>
            </w:r>
            <w:r/>
          </w:p>
        </w:tc>
        <w:tc>
          <w:tcPr>
            <w:shd w:val="clear" w:color="auto" w:fill="auto"/>
            <w:tcW w:w="6510" w:type="dxa"/>
            <w:vAlign w:val="center"/>
            <w:textDirection w:val="lrTb"/>
            <w:noWrap w:val="false"/>
          </w:tcPr>
          <w:p>
            <w:pPr>
              <w:spacing w:line="520" w:lineRule="exact"/>
              <w:tabs>
                <w:tab w:val="left" w:pos="829" w:leader="none"/>
              </w:tabs>
              <w:rPr>
                <w:rFonts w:asciiTheme="minorEastAsia" w:hAnsiTheme="minorEastAsia" w:cstheme="minorEastAsia"/>
                <w:sz w:val="24"/>
                <w:szCs w:val="24"/>
              </w:rPr>
            </w:pPr>
            <w:r>
              <w:rPr>
                <w:rFonts w:hint="eastAsia" w:asciiTheme="minorEastAsia" w:hAnsiTheme="minorEastAsia" w:cstheme="minorEastAsia"/>
                <w:sz w:val="24"/>
                <w:szCs w:val="24"/>
              </w:rPr>
              <w:t xml:space="preserve">投标人结合项目需求提供项目实施的重点、难点及关键过程分析方案。方案包含但不限于项目实施过程中可能遇到的重点、难点、关键过程分析、解决思路及合理化建议等。</w:t>
            </w:r>
            <w:r/>
          </w:p>
          <w:p>
            <w:pPr>
              <w:spacing w:line="520" w:lineRule="exact"/>
              <w:tabs>
                <w:tab w:val="left" w:pos="829" w:leader="none"/>
              </w:tabs>
              <w:rPr>
                <w:rFonts w:asciiTheme="minorEastAsia" w:hAnsiTheme="minorEastAsia" w:cstheme="minorEastAsia"/>
                <w:sz w:val="24"/>
                <w:szCs w:val="24"/>
              </w:rPr>
            </w:pPr>
            <w:r>
              <w:rPr>
                <w:rFonts w:hint="eastAsia" w:asciiTheme="minorEastAsia" w:hAnsiTheme="minorEastAsia" w:cstheme="minorEastAsia"/>
                <w:sz w:val="24"/>
                <w:szCs w:val="24"/>
              </w:rPr>
              <w:t xml:space="preserve">方案</w:t>
            </w:r>
            <w:r>
              <w:rPr>
                <w:rFonts w:hint="eastAsia" w:ascii="宋体" w:hAnsi="宋体" w:eastAsia="宋体" w:cs="宋体"/>
                <w:color w:val="000000"/>
                <w:sz w:val="24"/>
                <w:szCs w:val="24"/>
              </w:rPr>
              <w:t xml:space="preserve">关键点把握到位，</w:t>
            </w:r>
            <w:r>
              <w:rPr>
                <w:rFonts w:hint="eastAsia" w:asciiTheme="minorEastAsia" w:hAnsiTheme="minorEastAsia" w:cstheme="minorEastAsia"/>
                <w:sz w:val="24"/>
                <w:szCs w:val="24"/>
              </w:rPr>
              <w:t xml:space="preserve">分析科学合理，流程严密清晰，建议描述详细且具有针对性的</w:t>
            </w:r>
            <w:r>
              <w:rPr>
                <w:rFonts w:hint="eastAsia" w:asciiTheme="minorEastAsia" w:hAnsiTheme="minorEastAsia" w:cstheme="minorEastAsia"/>
                <w:b/>
                <w:bCs/>
                <w:sz w:val="24"/>
                <w:szCs w:val="24"/>
              </w:rPr>
              <w:t xml:space="preserve">得6分；</w:t>
            </w:r>
            <w:r/>
          </w:p>
          <w:p>
            <w:pPr>
              <w:spacing w:line="520" w:lineRule="exact"/>
              <w:tabs>
                <w:tab w:val="left" w:pos="829" w:leader="none"/>
              </w:tabs>
              <w:rPr>
                <w:rFonts w:asciiTheme="minorEastAsia" w:hAnsiTheme="minorEastAsia" w:cstheme="minorEastAsia"/>
                <w:sz w:val="24"/>
                <w:szCs w:val="24"/>
              </w:rPr>
            </w:pPr>
            <w:r>
              <w:rPr>
                <w:rFonts w:hint="eastAsia" w:asciiTheme="minorEastAsia" w:hAnsiTheme="minorEastAsia" w:cstheme="minorEastAsia"/>
                <w:sz w:val="24"/>
                <w:szCs w:val="24"/>
              </w:rPr>
              <w:t xml:space="preserve">方案</w:t>
            </w:r>
            <w:r>
              <w:rPr>
                <w:rFonts w:hint="eastAsia" w:ascii="宋体" w:hAnsi="宋体" w:eastAsia="宋体" w:cs="宋体"/>
                <w:color w:val="000000"/>
                <w:sz w:val="24"/>
                <w:szCs w:val="24"/>
              </w:rPr>
              <w:t xml:space="preserve">关键点把握较到位，</w:t>
            </w:r>
            <w:r>
              <w:rPr>
                <w:rFonts w:hint="eastAsia" w:asciiTheme="minorEastAsia" w:hAnsiTheme="minorEastAsia" w:cstheme="minorEastAsia"/>
                <w:sz w:val="24"/>
                <w:szCs w:val="24"/>
              </w:rPr>
              <w:t xml:space="preserve">分析较科学合理，流程较严密清晰，建议描述详细且较具有针对性的</w:t>
            </w:r>
            <w:r>
              <w:rPr>
                <w:rFonts w:hint="eastAsia" w:asciiTheme="minorEastAsia" w:hAnsiTheme="minorEastAsia" w:cstheme="minorEastAsia"/>
                <w:b/>
                <w:bCs/>
                <w:sz w:val="24"/>
                <w:szCs w:val="24"/>
              </w:rPr>
              <w:t xml:space="preserve">得5分；</w:t>
            </w:r>
            <w:r/>
          </w:p>
          <w:p>
            <w:pPr>
              <w:spacing w:line="520" w:lineRule="exact"/>
              <w:tabs>
                <w:tab w:val="left" w:pos="829" w:leader="none"/>
              </w:tabs>
              <w:rPr>
                <w:rFonts w:asciiTheme="minorEastAsia" w:hAnsiTheme="minorEastAsia" w:cstheme="minorEastAsia"/>
                <w:sz w:val="24"/>
                <w:szCs w:val="24"/>
              </w:rPr>
            </w:pPr>
            <w:r>
              <w:rPr>
                <w:rFonts w:hint="eastAsia" w:asciiTheme="minorEastAsia" w:hAnsiTheme="minorEastAsia" w:cstheme="minorEastAsia"/>
                <w:sz w:val="24"/>
                <w:szCs w:val="24"/>
              </w:rPr>
              <w:t xml:space="preserve">方案</w:t>
            </w:r>
            <w:r>
              <w:rPr>
                <w:rFonts w:hint="eastAsia" w:ascii="宋体" w:hAnsi="宋体" w:eastAsia="宋体" w:cs="宋体"/>
                <w:color w:val="000000"/>
                <w:sz w:val="24"/>
                <w:szCs w:val="24"/>
              </w:rPr>
              <w:t xml:space="preserve">关键点把握不够到位，</w:t>
            </w:r>
            <w:r>
              <w:rPr>
                <w:rFonts w:hint="eastAsia" w:asciiTheme="minorEastAsia" w:hAnsiTheme="minorEastAsia" w:cstheme="minorEastAsia"/>
                <w:sz w:val="24"/>
                <w:szCs w:val="24"/>
              </w:rPr>
              <w:t xml:space="preserve">科学合理性一般，流程不清晰，整体方案针对性一般的</w:t>
            </w:r>
            <w:r>
              <w:rPr>
                <w:rFonts w:hint="eastAsia" w:asciiTheme="minorEastAsia" w:hAnsiTheme="minorEastAsia" w:cstheme="minorEastAsia"/>
                <w:b/>
                <w:bCs/>
                <w:sz w:val="24"/>
                <w:szCs w:val="24"/>
              </w:rPr>
              <w:t xml:space="preserve">得3分；</w:t>
            </w:r>
            <w:r/>
          </w:p>
          <w:p>
            <w:pPr>
              <w:jc w:val="left"/>
              <w:spacing w:line="440" w:lineRule="atLeast"/>
              <w:rPr>
                <w:rFonts w:ascii="宋体" w:hAnsi="宋体" w:eastAsia="宋体" w:cs="宋体"/>
                <w:b/>
                <w:sz w:val="24"/>
                <w:szCs w:val="24"/>
              </w:rPr>
            </w:pPr>
            <w:r>
              <w:rPr>
                <w:rFonts w:hint="eastAsia" w:ascii="宋体" w:hAnsi="宋体" w:eastAsia="宋体" w:cs="宋体"/>
                <w:sz w:val="24"/>
                <w:szCs w:val="24"/>
              </w:rPr>
              <w:t xml:space="preserve">项目总体理解有偏差，结构及</w:t>
            </w:r>
            <w:r>
              <w:rPr>
                <w:rFonts w:hint="eastAsia" w:ascii="宋体" w:hAnsi="宋体" w:eastAsia="宋体" w:cs="宋体"/>
                <w:color w:val="000000"/>
                <w:sz w:val="24"/>
                <w:szCs w:val="24"/>
              </w:rPr>
              <w:t xml:space="preserve">内容简单粗糙，重难点把握不到位，可实施性一般的</w:t>
            </w:r>
            <w:r>
              <w:rPr>
                <w:rFonts w:hint="eastAsia" w:ascii="宋体" w:hAnsi="宋体" w:eastAsia="宋体" w:cs="宋体"/>
                <w:b/>
                <w:sz w:val="24"/>
                <w:szCs w:val="24"/>
              </w:rPr>
              <w:t xml:space="preserve">得1分；</w:t>
            </w:r>
            <w:r/>
          </w:p>
          <w:p>
            <w:pPr>
              <w:spacing w:line="520" w:lineRule="exact"/>
              <w:tabs>
                <w:tab w:val="left" w:pos="829" w:leader="none"/>
              </w:tabs>
              <w:rPr>
                <w:rFonts w:asciiTheme="minorEastAsia" w:hAnsiTheme="minorEastAsia" w:cstheme="minorEastAsia"/>
                <w:sz w:val="24"/>
                <w:szCs w:val="24"/>
              </w:rPr>
            </w:pPr>
            <w:r>
              <w:rPr>
                <w:rFonts w:hint="eastAsia" w:asciiTheme="minorEastAsia" w:hAnsiTheme="minorEastAsia" w:cstheme="minorEastAsia"/>
                <w:b/>
                <w:bCs/>
                <w:sz w:val="24"/>
                <w:szCs w:val="24"/>
              </w:rPr>
              <w:t xml:space="preserve">该项未见阐述不得分。</w:t>
            </w:r>
            <w:r/>
          </w:p>
        </w:tc>
      </w:tr>
      <w:tr>
        <w:trPr>
          <w:jc w:val="center"/>
          <w:trHeight w:val="621"/>
        </w:trPr>
        <w:tc>
          <w:tcPr>
            <w:shd w:val="clear" w:color="auto" w:fill="auto"/>
            <w:tcW w:w="1820" w:type="dxa"/>
            <w:vAlign w:val="center"/>
            <w:textDirection w:val="lrTb"/>
            <w:noWrap w:val="false"/>
          </w:tcPr>
          <w:p>
            <w:pPr>
              <w:jc w:val="center"/>
              <w:spacing w:line="360" w:lineRule="auto"/>
              <w:widowControl/>
              <w:rPr>
                <w:rFonts w:asciiTheme="minorEastAsia" w:hAnsiTheme="minorEastAsia" w:cstheme="minorEastAsia"/>
                <w:sz w:val="24"/>
                <w:szCs w:val="24"/>
              </w:rPr>
            </w:pPr>
            <w:r>
              <w:rPr>
                <w:rFonts w:hint="eastAsia" w:ascii="宋体" w:hAnsi="宋体" w:eastAsia="宋体" w:cs="宋体"/>
                <w:color w:val="000000"/>
                <w:sz w:val="24"/>
                <w:szCs w:val="24"/>
              </w:rPr>
              <w:t xml:space="preserve">项目实施方案（6分）</w:t>
            </w:r>
            <w:r/>
          </w:p>
        </w:tc>
        <w:tc>
          <w:tcPr>
            <w:tcW w:w="6510" w:type="dxa"/>
            <w:vAlign w:val="center"/>
            <w:textDirection w:val="lrTb"/>
            <w:noWrap w:val="false"/>
          </w:tcPr>
          <w:p>
            <w:pPr>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投标人结合项目需求提供本项目的组织实施方案，内容包括但不限于组织和实施流程、服务完善程度、平台建设进度安</w:t>
            </w:r>
            <w:r>
              <w:rPr>
                <w:rFonts w:hint="eastAsia" w:ascii="宋体" w:hAnsi="宋体" w:eastAsia="宋体" w:cs="Times New Roman"/>
                <w:sz w:val="24"/>
                <w:szCs w:val="24"/>
              </w:rPr>
              <w:t xml:space="preserve">排、各岗位人员职责等内容。</w:t>
            </w:r>
            <w:r/>
          </w:p>
          <w:p>
            <w:pPr>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方案包含上述全部内容，实施流程清晰，进度计划内容详细，服务措施完善，可操作性强，能够满足本项目需求的</w:t>
            </w:r>
            <w:r>
              <w:rPr>
                <w:rFonts w:hint="eastAsia" w:ascii="宋体" w:hAnsi="宋体" w:eastAsia="宋体" w:cs="Times New Roman"/>
                <w:b/>
                <w:sz w:val="24"/>
                <w:szCs w:val="24"/>
              </w:rPr>
              <w:t xml:space="preserve">得6分；</w:t>
            </w:r>
            <w:r/>
          </w:p>
          <w:p>
            <w:pPr>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方案包含上述全部内容，流程较清晰，进度计划内容较详细，服务流程较完善，可操作性较强，较能够满足本项目需求的</w:t>
            </w:r>
            <w:r>
              <w:rPr>
                <w:rFonts w:hint="eastAsia" w:ascii="宋体" w:hAnsi="宋体" w:eastAsia="宋体" w:cs="Times New Roman"/>
                <w:b/>
                <w:sz w:val="24"/>
                <w:szCs w:val="24"/>
              </w:rPr>
              <w:t xml:space="preserve">得5分；</w:t>
            </w:r>
            <w:r/>
          </w:p>
          <w:p>
            <w:pPr>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方案包含上述全部内容，流程简单，进度计划内容不够详细，服务流程完善度一般，可操作性一般，较能够满足本项目需求的</w:t>
            </w:r>
            <w:r>
              <w:rPr>
                <w:rFonts w:hint="eastAsia" w:ascii="宋体" w:hAnsi="宋体" w:eastAsia="宋体" w:cs="Times New Roman"/>
                <w:b/>
                <w:sz w:val="24"/>
                <w:szCs w:val="24"/>
              </w:rPr>
              <w:t xml:space="preserve">得3分；</w:t>
            </w:r>
            <w:r/>
          </w:p>
          <w:p>
            <w:pPr>
              <w:spacing w:line="360" w:lineRule="auto"/>
              <w:rPr>
                <w:rFonts w:ascii="宋体" w:hAnsi="宋体" w:eastAsia="宋体" w:cs="Times New Roman"/>
                <w:b/>
                <w:sz w:val="24"/>
                <w:szCs w:val="24"/>
              </w:rPr>
            </w:pPr>
            <w:r>
              <w:rPr>
                <w:rFonts w:hint="eastAsia" w:ascii="宋体" w:hAnsi="宋体" w:eastAsia="宋体" w:cs="Times New Roman"/>
                <w:sz w:val="24"/>
                <w:szCs w:val="24"/>
              </w:rPr>
              <w:t xml:space="preserve">上述内容有缺项，内容合理性一般，措施简单粗糙，可操作性不强，基本能够满足本项目需求的</w:t>
            </w:r>
            <w:r>
              <w:rPr>
                <w:rFonts w:hint="eastAsia" w:ascii="宋体" w:hAnsi="宋体" w:eastAsia="宋体" w:cs="Times New Roman"/>
                <w:b/>
                <w:sz w:val="24"/>
                <w:szCs w:val="24"/>
              </w:rPr>
              <w:t xml:space="preserve">得1分；</w:t>
            </w:r>
            <w:r/>
          </w:p>
          <w:p>
            <w:pPr>
              <w:spacing w:line="360" w:lineRule="auto"/>
              <w:widowControl/>
              <w:rPr>
                <w:sz w:val="24"/>
                <w:szCs w:val="24"/>
              </w:rPr>
            </w:pPr>
            <w:r>
              <w:rPr>
                <w:rFonts w:hint="eastAsia" w:ascii="宋体" w:hAnsi="宋体" w:eastAsia="宋体" w:cs="Times New Roman"/>
                <w:b/>
                <w:sz w:val="24"/>
                <w:szCs w:val="24"/>
              </w:rPr>
              <w:t xml:space="preserve">该项未见阐述不得分。</w:t>
            </w:r>
            <w:r/>
          </w:p>
        </w:tc>
      </w:tr>
      <w:tr>
        <w:trPr>
          <w:jc w:val="center"/>
          <w:trHeight w:val="621"/>
        </w:trPr>
        <w:tc>
          <w:tcPr>
            <w:shd w:val="clear" w:color="auto" w:fill="auto"/>
            <w:tcW w:w="1820" w:type="dxa"/>
            <w:vAlign w:val="center"/>
            <w:textDirection w:val="lrTb"/>
            <w:noWrap w:val="false"/>
          </w:tcPr>
          <w:p>
            <w:pPr>
              <w:jc w:val="center"/>
              <w:spacing w:line="520" w:lineRule="exact"/>
              <w:rPr>
                <w:rFonts w:asciiTheme="minorEastAsia" w:hAnsiTheme="minorEastAsia" w:cstheme="minorEastAsia"/>
                <w:sz w:val="24"/>
                <w:szCs w:val="24"/>
              </w:rPr>
            </w:pPr>
            <w:r>
              <w:rPr>
                <w:rFonts w:hint="eastAsia" w:ascii="宋体" w:hAnsi="宋体" w:cs="宋体"/>
                <w:sz w:val="24"/>
                <w:szCs w:val="24"/>
              </w:rPr>
              <w:t xml:space="preserve">项目维护服务方案</w:t>
            </w:r>
            <w:r>
              <w:rPr>
                <w:rFonts w:hint="eastAsia" w:ascii="宋体" w:hAnsi="宋体" w:cs="宋体"/>
                <w:sz w:val="24"/>
                <w:szCs w:val="28"/>
              </w:rPr>
              <w:t xml:space="preserve">（6分）</w:t>
            </w:r>
            <w:r/>
          </w:p>
        </w:tc>
        <w:tc>
          <w:tcPr>
            <w:tcW w:w="6510" w:type="dxa"/>
            <w:vAlign w:val="center"/>
            <w:textDirection w:val="lrTb"/>
            <w:noWrap w:val="false"/>
          </w:tcPr>
          <w:p>
            <w:pPr>
              <w:spacing w:line="520" w:lineRule="exact"/>
              <w:tabs>
                <w:tab w:val="left" w:pos="829" w:leader="none"/>
              </w:tabs>
              <w:rPr>
                <w:rFonts w:ascii="宋体" w:hAnsi="宋体" w:cs="宋体"/>
                <w:sz w:val="24"/>
                <w:szCs w:val="24"/>
              </w:rPr>
            </w:pPr>
            <w:r>
              <w:rPr>
                <w:rFonts w:hint="eastAsia" w:ascii="宋体" w:hAnsi="宋体" w:cs="宋体"/>
                <w:sz w:val="24"/>
                <w:szCs w:val="24"/>
              </w:rPr>
              <w:t xml:space="preserve">投标人结合项目需求提供维护服务方案，内容包括但不限于维护服务、响应时间、故障处理、恢复时效、支撑保障等。</w:t>
            </w:r>
            <w:r/>
          </w:p>
          <w:p>
            <w:pPr>
              <w:spacing w:line="520" w:lineRule="exact"/>
              <w:tabs>
                <w:tab w:val="left" w:pos="829" w:leader="none"/>
              </w:tabs>
              <w:rPr>
                <w:rFonts w:ascii="宋体" w:hAnsi="宋体" w:cs="宋体"/>
                <w:sz w:val="24"/>
                <w:szCs w:val="24"/>
              </w:rPr>
            </w:pPr>
            <w:r>
              <w:rPr>
                <w:rFonts w:hint="eastAsia" w:ascii="宋体" w:hAnsi="宋体" w:cs="宋体"/>
                <w:sz w:val="24"/>
                <w:szCs w:val="24"/>
              </w:rPr>
              <w:t xml:space="preserve">维护服务优于或贴合项目需求，阐述详细，流程清晰，响应时间及故障处理及时，支撑保障措施完善的</w:t>
            </w:r>
            <w:r>
              <w:rPr>
                <w:rFonts w:hint="eastAsia" w:ascii="宋体" w:hAnsi="宋体" w:cs="宋体"/>
                <w:b/>
                <w:bCs/>
                <w:sz w:val="24"/>
                <w:szCs w:val="24"/>
              </w:rPr>
              <w:t xml:space="preserve">得6分；</w:t>
            </w:r>
            <w:r/>
          </w:p>
          <w:p>
            <w:pPr>
              <w:spacing w:line="520" w:lineRule="exact"/>
              <w:tabs>
                <w:tab w:val="left" w:pos="829" w:leader="none"/>
              </w:tabs>
              <w:rPr>
                <w:rFonts w:ascii="宋体" w:hAnsi="宋体" w:cs="宋体"/>
                <w:sz w:val="24"/>
                <w:szCs w:val="24"/>
              </w:rPr>
            </w:pPr>
            <w:r>
              <w:rPr>
                <w:rFonts w:hint="eastAsia" w:ascii="宋体" w:hAnsi="宋体" w:cs="宋体"/>
                <w:sz w:val="24"/>
                <w:szCs w:val="24"/>
              </w:rPr>
              <w:t xml:space="preserve">维护服务较贴合项目需求，阐述较详细，流程较清晰，响应时间及故障处理较及时，支撑保障措施较完善的</w:t>
            </w:r>
            <w:r>
              <w:rPr>
                <w:rFonts w:hint="eastAsia" w:ascii="宋体" w:hAnsi="宋体" w:cs="宋体"/>
                <w:b/>
                <w:bCs/>
                <w:sz w:val="24"/>
                <w:szCs w:val="24"/>
              </w:rPr>
              <w:t xml:space="preserve">得5分；</w:t>
            </w:r>
            <w:r/>
          </w:p>
          <w:p>
            <w:pPr>
              <w:spacing w:line="520" w:lineRule="exact"/>
              <w:tabs>
                <w:tab w:val="left" w:pos="829" w:leader="none"/>
              </w:tabs>
              <w:rPr>
                <w:rFonts w:ascii="宋体" w:hAnsi="宋体" w:cs="宋体"/>
                <w:sz w:val="24"/>
                <w:szCs w:val="24"/>
              </w:rPr>
            </w:pPr>
            <w:r>
              <w:rPr>
                <w:rFonts w:hint="eastAsia" w:ascii="宋体" w:hAnsi="宋体" w:cs="宋体"/>
                <w:sz w:val="24"/>
                <w:szCs w:val="24"/>
              </w:rPr>
              <w:t xml:space="preserve">维护服务基本贴合项目需求，阐述不够详细，流程清晰性一般，响应时间及故障处理符合要求，支撑保障措施完善性一般的</w:t>
            </w:r>
            <w:r>
              <w:rPr>
                <w:rFonts w:hint="eastAsia" w:ascii="宋体" w:hAnsi="宋体" w:cs="宋体"/>
                <w:b/>
                <w:bCs/>
                <w:sz w:val="24"/>
                <w:szCs w:val="24"/>
              </w:rPr>
              <w:t xml:space="preserve">得3分；</w:t>
            </w:r>
            <w:r/>
          </w:p>
          <w:p>
            <w:pPr>
              <w:spacing w:line="520" w:lineRule="exact"/>
              <w:tabs>
                <w:tab w:val="left" w:pos="829" w:leader="none"/>
              </w:tabs>
              <w:rPr>
                <w:rFonts w:ascii="宋体" w:hAnsi="宋体" w:cs="宋体"/>
                <w:b/>
                <w:bCs/>
                <w:sz w:val="24"/>
                <w:szCs w:val="24"/>
              </w:rPr>
            </w:pPr>
            <w:r>
              <w:rPr>
                <w:rFonts w:hint="eastAsia" w:ascii="宋体" w:hAnsi="宋体" w:cs="宋体"/>
                <w:sz w:val="24"/>
                <w:szCs w:val="24"/>
              </w:rPr>
              <w:t xml:space="preserve">方案与项目需求有偏差，内容简单粗糙，支撑保障措施及可实施性一般的</w:t>
            </w:r>
            <w:r>
              <w:rPr>
                <w:rFonts w:hint="eastAsia" w:ascii="宋体" w:hAnsi="宋体" w:cs="宋体"/>
                <w:b/>
                <w:bCs/>
                <w:sz w:val="24"/>
                <w:szCs w:val="24"/>
              </w:rPr>
              <w:t xml:space="preserve">得1分；</w:t>
            </w:r>
            <w:r/>
          </w:p>
          <w:p>
            <w:pPr>
              <w:spacing w:line="520" w:lineRule="exact"/>
              <w:tabs>
                <w:tab w:val="left" w:pos="829" w:leader="none"/>
              </w:tabs>
            </w:pPr>
            <w:r>
              <w:rPr>
                <w:rFonts w:hint="eastAsia" w:ascii="宋体" w:hAnsi="宋体" w:cs="宋体"/>
                <w:b/>
                <w:bCs/>
                <w:sz w:val="24"/>
                <w:szCs w:val="24"/>
              </w:rPr>
              <w:t xml:space="preserve">该项未见阐述不得分。</w:t>
            </w:r>
            <w:r/>
          </w:p>
        </w:tc>
      </w:tr>
      <w:tr>
        <w:trPr>
          <w:jc w:val="center"/>
          <w:trHeight w:val="621"/>
        </w:trPr>
        <w:tc>
          <w:tcPr>
            <w:shd w:val="clear" w:color="auto" w:fill="auto"/>
            <w:tcW w:w="1820" w:type="dxa"/>
            <w:vAlign w:val="center"/>
            <w:textDirection w:val="lrTb"/>
            <w:noWrap w:val="false"/>
          </w:tcPr>
          <w:p>
            <w:pPr>
              <w:jc w:val="center"/>
              <w:spacing w:line="360" w:lineRule="auto"/>
              <w:tabs>
                <w:tab w:val="left" w:pos="829" w:leader="none"/>
              </w:tabs>
              <w:rPr>
                <w:rFonts w:asciiTheme="minorEastAsia" w:hAnsiTheme="minorEastAsia" w:cstheme="minorEastAsia"/>
                <w:sz w:val="24"/>
                <w:szCs w:val="24"/>
              </w:rPr>
            </w:pPr>
            <w:r>
              <w:rPr>
                <w:rFonts w:hint="eastAsia" w:asciiTheme="minorEastAsia" w:hAnsiTheme="minorEastAsia" w:cstheme="minorEastAsia"/>
                <w:sz w:val="24"/>
                <w:szCs w:val="24"/>
              </w:rPr>
              <w:t xml:space="preserve">项目实施能力（18分）</w:t>
            </w:r>
            <w:r/>
          </w:p>
        </w:tc>
        <w:tc>
          <w:tcPr>
            <w:tcW w:w="6510" w:type="dxa"/>
            <w:vAlign w:val="center"/>
            <w:textDirection w:val="lrTb"/>
            <w:noWrap w:val="false"/>
          </w:tcPr>
          <w:p>
            <w:pPr>
              <w:spacing w:line="440" w:lineRule="exact"/>
              <w:tabs>
                <w:tab w:val="left" w:pos="840" w:leader="none"/>
              </w:tabs>
              <w:rPr>
                <w:rFonts w:ascii="宋体" w:hAnsi="宋体" w:eastAsia="宋体" w:cs="宋体"/>
                <w:b/>
                <w:sz w:val="24"/>
              </w:rPr>
            </w:pPr>
            <w:r>
              <w:rPr>
                <w:rFonts w:hint="eastAsia"/>
                <w:b/>
                <w:sz w:val="24"/>
              </w:rPr>
              <w:t xml:space="preserve">投标人针对第四章</w:t>
            </w:r>
            <w:r>
              <w:rPr>
                <w:rFonts w:hint="eastAsia"/>
                <w:b/>
                <w:sz w:val="24"/>
              </w:rPr>
              <w:t xml:space="preserve"> </w:t>
            </w:r>
            <w:r>
              <w:rPr>
                <w:rFonts w:hint="eastAsia"/>
                <w:b/>
                <w:sz w:val="24"/>
              </w:rPr>
              <w:t xml:space="preserve">采购需求</w:t>
            </w:r>
            <w:r>
              <w:rPr>
                <w:rFonts w:hint="eastAsia"/>
                <w:b/>
                <w:sz w:val="24"/>
              </w:rPr>
              <w:t xml:space="preserve"> </w:t>
            </w:r>
            <w:r>
              <w:rPr>
                <w:rFonts w:hint="eastAsia"/>
                <w:b/>
                <w:sz w:val="24"/>
              </w:rPr>
              <w:t xml:space="preserve">二、服务技术要求</w:t>
            </w:r>
            <w:r>
              <w:rPr>
                <w:rFonts w:hint="eastAsia" w:asciiTheme="minorEastAsia" w:hAnsiTheme="minorEastAsia"/>
                <w:b/>
                <w:sz w:val="24"/>
              </w:rPr>
              <w:t xml:space="preserve">中</w:t>
            </w:r>
            <w:r>
              <w:rPr>
                <w:rFonts w:hint="eastAsia" w:ascii="宋体" w:hAnsi="宋体" w:eastAsia="宋体" w:cs="宋体"/>
                <w:b/>
                <w:sz w:val="24"/>
              </w:rPr>
              <w:t xml:space="preserve">加“▲”项提供建设方案，</w:t>
            </w:r>
            <w:bookmarkStart w:id="12" w:name="OLE_LINK38"/>
            <w:r>
              <w:rPr>
                <w:rFonts w:hint="eastAsia" w:ascii="宋体" w:hAnsi="宋体" w:eastAsia="宋体" w:cs="宋体"/>
                <w:b/>
                <w:sz w:val="24"/>
              </w:rPr>
              <w:t xml:space="preserve">方案内容不限于提供功能设计方案或原型设计界面截图（须配说明）或功能流程图及设计思路等，以证明其具有项目实施能力和技术基础。</w:t>
            </w:r>
            <w:bookmarkEnd w:id="12"/>
            <w:r/>
            <w:r/>
          </w:p>
          <w:p>
            <w:pPr>
              <w:spacing w:line="360" w:lineRule="auto"/>
              <w:rPr>
                <w:rFonts w:asciiTheme="minorEastAsia" w:hAnsiTheme="minorEastAsia" w:cstheme="minorEastAsia"/>
                <w:b/>
                <w:sz w:val="24"/>
                <w:szCs w:val="24"/>
              </w:rPr>
            </w:pPr>
            <w:r>
              <w:rPr>
                <w:rFonts w:hint="eastAsia" w:asciiTheme="minorEastAsia" w:hAnsiTheme="minorEastAsia" w:cstheme="minorEastAsia"/>
                <w:b/>
                <w:sz w:val="24"/>
                <w:szCs w:val="24"/>
              </w:rPr>
              <w:t xml:space="preserve">一、司法数据仓库/统一数据资源池 （详见第四章 采购需求 2.5）</w:t>
            </w:r>
            <w:r/>
          </w:p>
          <w:p>
            <w:pPr>
              <w:spacing w:line="360" w:lineRule="auto"/>
              <w:tabs>
                <w:tab w:val="left" w:pos="840" w:leader="none"/>
              </w:tabs>
              <w:rPr>
                <w:rFonts w:asciiTheme="minorEastAsia" w:hAnsiTheme="minorEastAsia" w:cstheme="minorEastAsia"/>
                <w:sz w:val="24"/>
                <w:szCs w:val="24"/>
              </w:rPr>
            </w:pPr>
            <w:r>
              <w:rPr>
                <w:rFonts w:hint="eastAsia" w:asciiTheme="minorEastAsia" w:hAnsiTheme="minorEastAsia" w:cstheme="minorEastAsia"/>
                <w:sz w:val="24"/>
                <w:szCs w:val="24"/>
              </w:rPr>
              <w:t xml:space="preserve">提供符合行业信息化环境的司法数据仓库设计与开发方案，明确开发具体框架与前后端设计，方案须结合司法领域的数据特点，阐述数据集成、数据资源目录、数据共享交换、数据资产可视化等功能的具体实现方法，体现对司法数据全生命周期的管理。</w:t>
            </w:r>
            <w:r/>
          </w:p>
          <w:p>
            <w:pPr>
              <w:spacing w:line="360" w:lineRule="auto"/>
              <w:tabs>
                <w:tab w:val="left" w:pos="840" w:leader="none"/>
              </w:tabs>
              <w:rPr>
                <w:rFonts w:asciiTheme="minorEastAsia" w:hAnsiTheme="minorEastAsia" w:cstheme="minorEastAsia"/>
                <w:b/>
                <w:bCs/>
                <w:sz w:val="24"/>
                <w:szCs w:val="24"/>
              </w:rPr>
            </w:pPr>
            <w:r>
              <w:rPr>
                <w:rFonts w:hint="eastAsia" w:asciiTheme="minorEastAsia" w:hAnsiTheme="minorEastAsia" w:cstheme="minorEastAsia"/>
                <w:sz w:val="24"/>
                <w:szCs w:val="24"/>
              </w:rPr>
              <w:t xml:space="preserve">提供设计方案或设计界面截图（须配说明）或设计思路等，且内容详细，能够贴合采购需求，阐述清晰的</w:t>
            </w:r>
            <w:r>
              <w:rPr>
                <w:rFonts w:hint="eastAsia" w:asciiTheme="minorEastAsia" w:hAnsiTheme="minorEastAsia" w:cstheme="minorEastAsia"/>
                <w:b/>
                <w:bCs/>
                <w:sz w:val="24"/>
                <w:szCs w:val="24"/>
              </w:rPr>
              <w:t xml:space="preserve">得3分；</w:t>
            </w:r>
            <w:r/>
          </w:p>
          <w:p>
            <w:pPr>
              <w:spacing w:line="360" w:lineRule="auto"/>
              <w:tabs>
                <w:tab w:val="left" w:pos="840" w:leader="none"/>
              </w:tabs>
              <w:rPr>
                <w:rFonts w:asciiTheme="minorEastAsia" w:hAnsiTheme="minorEastAsia" w:cstheme="minorEastAsia"/>
                <w:b/>
                <w:bCs/>
                <w:sz w:val="24"/>
                <w:szCs w:val="24"/>
              </w:rPr>
            </w:pPr>
            <w:r>
              <w:rPr>
                <w:rFonts w:hint="eastAsia" w:asciiTheme="minorEastAsia" w:hAnsiTheme="minorEastAsia" w:cstheme="minorEastAsia"/>
                <w:sz w:val="24"/>
                <w:szCs w:val="24"/>
              </w:rPr>
              <w:t xml:space="preserve">提供设计方案或设计界面截图（须配说明）或设计思路等，且内容较详细，基本能够贴合采购需求，阐述清晰条理性一般的</w:t>
            </w:r>
            <w:r>
              <w:rPr>
                <w:rFonts w:hint="eastAsia" w:asciiTheme="minorEastAsia" w:hAnsiTheme="minorEastAsia" w:cstheme="minorEastAsia"/>
                <w:b/>
                <w:bCs/>
                <w:sz w:val="24"/>
                <w:szCs w:val="24"/>
              </w:rPr>
              <w:t xml:space="preserve">得2分；</w:t>
            </w:r>
            <w:r/>
          </w:p>
          <w:p>
            <w:pPr>
              <w:spacing w:line="360" w:lineRule="auto"/>
              <w:tabs>
                <w:tab w:val="left" w:pos="840" w:leader="none"/>
              </w:tabs>
              <w:rPr>
                <w:rFonts w:asciiTheme="minorEastAsia" w:hAnsiTheme="minorEastAsia" w:cstheme="minorEastAsia"/>
                <w:sz w:val="24"/>
                <w:szCs w:val="24"/>
              </w:rPr>
            </w:pPr>
            <w:r>
              <w:rPr>
                <w:rFonts w:hint="eastAsia" w:asciiTheme="minorEastAsia" w:hAnsiTheme="minorEastAsia" w:cstheme="minorEastAsia"/>
                <w:sz w:val="24"/>
                <w:szCs w:val="24"/>
              </w:rPr>
              <w:t xml:space="preserve">提供设计方案或设计界面截图（须配说明）或设计思路等，但内容简单粗糙，与采购需求有偏差，阐述不清晰的</w:t>
            </w:r>
            <w:r>
              <w:rPr>
                <w:rFonts w:hint="eastAsia" w:asciiTheme="minorEastAsia" w:hAnsiTheme="minorEastAsia" w:cstheme="minorEastAsia"/>
                <w:b/>
                <w:bCs/>
                <w:sz w:val="24"/>
                <w:szCs w:val="24"/>
              </w:rPr>
              <w:t xml:space="preserve">得1分；</w:t>
            </w:r>
            <w:r/>
          </w:p>
          <w:p>
            <w:pPr>
              <w:spacing w:line="360" w:lineRule="auto"/>
              <w:rPr>
                <w:rFonts w:asciiTheme="minorEastAsia" w:hAnsiTheme="minorEastAsia" w:cstheme="minorEastAsia"/>
                <w:b/>
                <w:bCs/>
                <w:sz w:val="24"/>
                <w:szCs w:val="24"/>
              </w:rPr>
            </w:pPr>
            <w:r>
              <w:rPr>
                <w:rFonts w:hint="eastAsia" w:asciiTheme="minorEastAsia" w:hAnsiTheme="minorEastAsia" w:cstheme="minorEastAsia"/>
                <w:b/>
                <w:bCs/>
                <w:sz w:val="24"/>
                <w:szCs w:val="24"/>
              </w:rPr>
              <w:t xml:space="preserve">该项未见阐述不得分。</w:t>
            </w:r>
            <w:r/>
          </w:p>
          <w:p>
            <w:pPr>
              <w:spacing w:line="360" w:lineRule="auto"/>
              <w:rPr>
                <w:rFonts w:asciiTheme="minorEastAsia" w:hAnsiTheme="minorEastAsia" w:cstheme="minorEastAsia"/>
                <w:b/>
                <w:sz w:val="24"/>
                <w:szCs w:val="24"/>
              </w:rPr>
            </w:pPr>
            <w:r>
              <w:rPr>
                <w:rFonts w:hint="eastAsia" w:asciiTheme="minorEastAsia" w:hAnsiTheme="minorEastAsia" w:cstheme="minorEastAsia"/>
                <w:b/>
                <w:sz w:val="24"/>
                <w:szCs w:val="24"/>
              </w:rPr>
              <w:t xml:space="preserve">二、统一应用平台设计（详见第四章 采购需求 2.6）</w:t>
            </w:r>
            <w:r/>
          </w:p>
          <w:p>
            <w:pPr>
              <w:spacing w:line="360" w:lineRule="auto"/>
              <w:tabs>
                <w:tab w:val="left" w:pos="840" w:leader="none"/>
              </w:tabs>
              <w:rPr>
                <w:rFonts w:asciiTheme="minorEastAsia" w:hAnsiTheme="minorEastAsia" w:cstheme="minorEastAsia"/>
                <w:sz w:val="24"/>
                <w:szCs w:val="24"/>
              </w:rPr>
            </w:pPr>
            <w:r>
              <w:rPr>
                <w:rFonts w:hint="eastAsia" w:asciiTheme="minorEastAsia" w:hAnsiTheme="minorEastAsia" w:cstheme="minorEastAsia"/>
                <w:sz w:val="24"/>
                <w:szCs w:val="24"/>
              </w:rPr>
              <w:t xml:space="preserve">提供面向多层级管理指挥调度功能模块的设计与开发方案，须涵盖用户管理、权限分配、业务审批等涉及多层级协同的业务范畴。</w:t>
            </w:r>
            <w:r/>
          </w:p>
          <w:p>
            <w:pPr>
              <w:spacing w:line="360" w:lineRule="auto"/>
              <w:tabs>
                <w:tab w:val="left" w:pos="840" w:leader="none"/>
              </w:tabs>
              <w:rPr>
                <w:rFonts w:asciiTheme="minorEastAsia" w:hAnsiTheme="minorEastAsia" w:cstheme="minorEastAsia"/>
                <w:b/>
                <w:bCs/>
                <w:sz w:val="24"/>
                <w:szCs w:val="24"/>
              </w:rPr>
            </w:pPr>
            <w:r>
              <w:rPr>
                <w:rFonts w:hint="eastAsia" w:asciiTheme="minorEastAsia" w:hAnsiTheme="minorEastAsia" w:cstheme="minorEastAsia"/>
                <w:sz w:val="24"/>
                <w:szCs w:val="24"/>
              </w:rPr>
              <w:t xml:space="preserve">提供设计方案或设计界面截图（须配说明）或设计思路等，且内容详细，能够贴合采购需求，阐述清晰的</w:t>
            </w:r>
            <w:r>
              <w:rPr>
                <w:rFonts w:hint="eastAsia" w:asciiTheme="minorEastAsia" w:hAnsiTheme="minorEastAsia" w:cstheme="minorEastAsia"/>
                <w:b/>
                <w:bCs/>
                <w:sz w:val="24"/>
                <w:szCs w:val="24"/>
              </w:rPr>
              <w:t xml:space="preserve">得3分；</w:t>
            </w:r>
            <w:r/>
          </w:p>
          <w:p>
            <w:pPr>
              <w:spacing w:line="360" w:lineRule="auto"/>
              <w:tabs>
                <w:tab w:val="left" w:pos="840" w:leader="none"/>
              </w:tabs>
              <w:rPr>
                <w:rFonts w:asciiTheme="minorEastAsia" w:hAnsiTheme="minorEastAsia" w:cstheme="minorEastAsia"/>
                <w:b/>
                <w:bCs/>
                <w:sz w:val="24"/>
                <w:szCs w:val="24"/>
              </w:rPr>
            </w:pPr>
            <w:r>
              <w:rPr>
                <w:rFonts w:hint="eastAsia" w:asciiTheme="minorEastAsia" w:hAnsiTheme="minorEastAsia" w:cstheme="minorEastAsia"/>
                <w:sz w:val="24"/>
                <w:szCs w:val="24"/>
              </w:rPr>
              <w:t xml:space="preserve">提供设计方案或设计界面截图（须配说明）或设计思路等，且内容较详细，基本能够贴合采购需求，阐述清晰条理性一般的</w:t>
            </w:r>
            <w:r>
              <w:rPr>
                <w:rFonts w:hint="eastAsia" w:asciiTheme="minorEastAsia" w:hAnsiTheme="minorEastAsia" w:cstheme="minorEastAsia"/>
                <w:b/>
                <w:bCs/>
                <w:sz w:val="24"/>
                <w:szCs w:val="24"/>
              </w:rPr>
              <w:t xml:space="preserve">得2分；</w:t>
            </w:r>
            <w:r/>
          </w:p>
          <w:p>
            <w:pPr>
              <w:spacing w:line="360" w:lineRule="auto"/>
              <w:tabs>
                <w:tab w:val="left" w:pos="840" w:leader="none"/>
              </w:tabs>
              <w:rPr>
                <w:rFonts w:asciiTheme="minorEastAsia" w:hAnsiTheme="minorEastAsia" w:cstheme="minorEastAsia"/>
                <w:sz w:val="24"/>
                <w:szCs w:val="24"/>
              </w:rPr>
            </w:pPr>
            <w:r>
              <w:rPr>
                <w:rFonts w:hint="eastAsia" w:asciiTheme="minorEastAsia" w:hAnsiTheme="minorEastAsia" w:cstheme="minorEastAsia"/>
                <w:sz w:val="24"/>
                <w:szCs w:val="24"/>
              </w:rPr>
              <w:t xml:space="preserve">提供设计方案或设计界面截图（须配说明）或设计思路等，但内容简单粗糙，与采购需求有偏差，阐述不清晰的</w:t>
            </w:r>
            <w:r>
              <w:rPr>
                <w:rFonts w:hint="eastAsia" w:asciiTheme="minorEastAsia" w:hAnsiTheme="minorEastAsia" w:cstheme="minorEastAsia"/>
                <w:b/>
                <w:bCs/>
                <w:sz w:val="24"/>
                <w:szCs w:val="24"/>
              </w:rPr>
              <w:t xml:space="preserve">得1分；</w:t>
            </w:r>
            <w:r/>
          </w:p>
          <w:p>
            <w:pPr>
              <w:spacing w:line="360" w:lineRule="auto"/>
              <w:tabs>
                <w:tab w:val="left" w:pos="829" w:leader="none"/>
              </w:tabs>
              <w:rPr>
                <w:rFonts w:asciiTheme="minorEastAsia" w:hAnsiTheme="minorEastAsia" w:cstheme="minorEastAsia"/>
                <w:b/>
                <w:bCs/>
                <w:sz w:val="24"/>
                <w:szCs w:val="24"/>
              </w:rPr>
            </w:pPr>
            <w:r>
              <w:rPr>
                <w:rFonts w:hint="eastAsia" w:asciiTheme="minorEastAsia" w:hAnsiTheme="minorEastAsia" w:cstheme="minorEastAsia"/>
                <w:b/>
                <w:bCs/>
                <w:sz w:val="24"/>
                <w:szCs w:val="24"/>
              </w:rPr>
              <w:t xml:space="preserve">该项未见阐述不得分。</w:t>
            </w:r>
            <w:r/>
          </w:p>
          <w:p>
            <w:pPr>
              <w:spacing w:line="360" w:lineRule="auto"/>
              <w:rPr>
                <w:rFonts w:asciiTheme="minorEastAsia" w:hAnsiTheme="minorEastAsia" w:cstheme="minorEastAsia"/>
                <w:b/>
                <w:sz w:val="24"/>
                <w:szCs w:val="24"/>
              </w:rPr>
            </w:pPr>
            <w:r>
              <w:rPr>
                <w:rFonts w:hint="eastAsia" w:asciiTheme="minorEastAsia" w:hAnsiTheme="minorEastAsia" w:cstheme="minorEastAsia"/>
                <w:b/>
                <w:sz w:val="24"/>
                <w:szCs w:val="24"/>
              </w:rPr>
              <w:t xml:space="preserve">三、</w:t>
            </w:r>
            <w:bookmarkStart w:id="13" w:name="_Hlk239863417"/>
            <w:r>
              <w:rPr>
                <w:rFonts w:hint="eastAsia" w:asciiTheme="minorEastAsia" w:hAnsiTheme="minorEastAsia" w:cstheme="minorEastAsia"/>
                <w:b/>
                <w:sz w:val="24"/>
                <w:szCs w:val="24"/>
              </w:rPr>
              <w:t xml:space="preserve">综合态势监测大屏</w:t>
            </w:r>
            <w:bookmarkEnd w:id="13"/>
            <w:r>
              <w:rPr>
                <w:rFonts w:hint="eastAsia" w:asciiTheme="minorEastAsia" w:hAnsiTheme="minorEastAsia" w:cstheme="minorEastAsia"/>
                <w:b/>
                <w:sz w:val="24"/>
                <w:szCs w:val="24"/>
              </w:rPr>
              <w:t xml:space="preserve"> （详见第四章 采购需求 2.7）</w:t>
            </w:r>
            <w:r/>
          </w:p>
          <w:p>
            <w:pPr>
              <w:spacing w:line="360" w:lineRule="auto"/>
              <w:tabs>
                <w:tab w:val="left" w:pos="840" w:leader="none"/>
              </w:tabs>
              <w:rPr>
                <w:rFonts w:asciiTheme="minorEastAsia" w:hAnsiTheme="minorEastAsia" w:cstheme="minorEastAsia"/>
                <w:sz w:val="24"/>
                <w:szCs w:val="24"/>
              </w:rPr>
            </w:pPr>
            <w:r>
              <w:rPr>
                <w:rFonts w:hint="eastAsia" w:asciiTheme="minorEastAsia" w:hAnsiTheme="minorEastAsia" w:cstheme="minorEastAsia"/>
                <w:sz w:val="24"/>
                <w:szCs w:val="24"/>
              </w:rPr>
              <w:t xml:space="preserve">提供详细、贴合业务需求的界面设计方案或截图样例（须附</w:t>
            </w:r>
            <w:r>
              <w:rPr>
                <w:rFonts w:hint="eastAsia" w:asciiTheme="minorEastAsia" w:hAnsiTheme="minorEastAsia" w:cstheme="minorEastAsia"/>
                <w:sz w:val="24"/>
                <w:szCs w:val="24"/>
              </w:rPr>
              <w:t xml:space="preserve">具体的设计说明）。</w:t>
            </w:r>
            <w:r/>
          </w:p>
          <w:p>
            <w:pPr>
              <w:spacing w:line="360" w:lineRule="auto"/>
              <w:tabs>
                <w:tab w:val="left" w:pos="840" w:leader="none"/>
              </w:tabs>
              <w:rPr>
                <w:rFonts w:asciiTheme="minorEastAsia" w:hAnsiTheme="minorEastAsia" w:cstheme="minorEastAsia"/>
                <w:b/>
                <w:bCs/>
                <w:sz w:val="24"/>
                <w:szCs w:val="24"/>
              </w:rPr>
            </w:pPr>
            <w:r>
              <w:rPr>
                <w:rFonts w:hint="eastAsia" w:asciiTheme="minorEastAsia" w:hAnsiTheme="minorEastAsia" w:cstheme="minorEastAsia"/>
                <w:sz w:val="24"/>
                <w:szCs w:val="24"/>
              </w:rPr>
              <w:t xml:space="preserve">提供设计方案或设计界面截图（须配说明）或设计思路等，且内容详细，能够贴合采购需求，阐述清晰的</w:t>
            </w:r>
            <w:r>
              <w:rPr>
                <w:rFonts w:hint="eastAsia" w:asciiTheme="minorEastAsia" w:hAnsiTheme="minorEastAsia" w:cstheme="minorEastAsia"/>
                <w:b/>
                <w:bCs/>
                <w:sz w:val="24"/>
                <w:szCs w:val="24"/>
              </w:rPr>
              <w:t xml:space="preserve">得3分；</w:t>
            </w:r>
            <w:r/>
          </w:p>
          <w:p>
            <w:pPr>
              <w:spacing w:line="360" w:lineRule="auto"/>
              <w:tabs>
                <w:tab w:val="left" w:pos="840" w:leader="none"/>
              </w:tabs>
              <w:rPr>
                <w:rFonts w:asciiTheme="minorEastAsia" w:hAnsiTheme="minorEastAsia" w:cstheme="minorEastAsia"/>
                <w:b/>
                <w:bCs/>
                <w:sz w:val="24"/>
                <w:szCs w:val="24"/>
              </w:rPr>
            </w:pPr>
            <w:r>
              <w:rPr>
                <w:rFonts w:hint="eastAsia" w:asciiTheme="minorEastAsia" w:hAnsiTheme="minorEastAsia" w:cstheme="minorEastAsia"/>
                <w:sz w:val="24"/>
                <w:szCs w:val="24"/>
              </w:rPr>
              <w:t xml:space="preserve">提供设计方案或设计界面截图（须配说明）或设计思路等，且内容较详细，基本能够贴合采购需求，阐述清晰条理性一般的</w:t>
            </w:r>
            <w:r>
              <w:rPr>
                <w:rFonts w:hint="eastAsia" w:asciiTheme="minorEastAsia" w:hAnsiTheme="minorEastAsia" w:cstheme="minorEastAsia"/>
                <w:b/>
                <w:bCs/>
                <w:sz w:val="24"/>
                <w:szCs w:val="24"/>
              </w:rPr>
              <w:t xml:space="preserve">得2分；</w:t>
            </w:r>
            <w:r/>
          </w:p>
          <w:p>
            <w:pPr>
              <w:spacing w:line="360" w:lineRule="auto"/>
              <w:tabs>
                <w:tab w:val="left" w:pos="840" w:leader="none"/>
              </w:tabs>
              <w:rPr>
                <w:rFonts w:asciiTheme="minorEastAsia" w:hAnsiTheme="minorEastAsia" w:cstheme="minorEastAsia"/>
                <w:sz w:val="24"/>
                <w:szCs w:val="24"/>
              </w:rPr>
            </w:pPr>
            <w:r>
              <w:rPr>
                <w:rFonts w:hint="eastAsia" w:asciiTheme="minorEastAsia" w:hAnsiTheme="minorEastAsia" w:cstheme="minorEastAsia"/>
                <w:sz w:val="24"/>
                <w:szCs w:val="24"/>
              </w:rPr>
              <w:t xml:space="preserve">提供设计方案或设计界面截图（须配说明）或设计思路等，但内容简单粗糙，与采购需求有偏差，阐述不清晰的</w:t>
            </w:r>
            <w:r>
              <w:rPr>
                <w:rFonts w:hint="eastAsia" w:asciiTheme="minorEastAsia" w:hAnsiTheme="minorEastAsia" w:cstheme="minorEastAsia"/>
                <w:b/>
                <w:bCs/>
                <w:sz w:val="24"/>
                <w:szCs w:val="24"/>
              </w:rPr>
              <w:t xml:space="preserve">得1分；</w:t>
            </w:r>
            <w:r/>
          </w:p>
          <w:p>
            <w:pPr>
              <w:spacing w:line="360" w:lineRule="auto"/>
              <w:rPr>
                <w:rFonts w:asciiTheme="minorEastAsia" w:hAnsiTheme="minorEastAsia" w:cstheme="minorEastAsia"/>
                <w:b/>
                <w:bCs/>
                <w:sz w:val="24"/>
                <w:szCs w:val="24"/>
              </w:rPr>
            </w:pPr>
            <w:r>
              <w:rPr>
                <w:rFonts w:hint="eastAsia" w:asciiTheme="minorEastAsia" w:hAnsiTheme="minorEastAsia" w:cstheme="minorEastAsia"/>
                <w:b/>
                <w:bCs/>
                <w:sz w:val="24"/>
                <w:szCs w:val="24"/>
              </w:rPr>
              <w:t xml:space="preserve">该项未见阐述不得分。</w:t>
            </w:r>
            <w:r/>
          </w:p>
          <w:p>
            <w:pPr>
              <w:spacing w:line="360" w:lineRule="auto"/>
              <w:rPr>
                <w:rFonts w:asciiTheme="minorEastAsia" w:hAnsiTheme="minorEastAsia" w:cstheme="minorEastAsia"/>
                <w:b/>
                <w:bCs/>
                <w:sz w:val="24"/>
                <w:szCs w:val="24"/>
              </w:rPr>
            </w:pPr>
            <w:r>
              <w:rPr>
                <w:rFonts w:hint="eastAsia" w:asciiTheme="minorEastAsia" w:hAnsiTheme="minorEastAsia" w:cstheme="minorEastAsia"/>
                <w:b/>
                <w:bCs/>
                <w:sz w:val="24"/>
                <w:szCs w:val="24"/>
              </w:rPr>
              <w:t xml:space="preserve">四、六大业务场景功能</w:t>
            </w:r>
            <w:r>
              <w:rPr>
                <w:rFonts w:hint="eastAsia" w:asciiTheme="minorEastAsia" w:hAnsiTheme="minorEastAsia" w:cstheme="minorEastAsia"/>
                <w:b/>
                <w:sz w:val="24"/>
                <w:szCs w:val="24"/>
              </w:rPr>
              <w:t xml:space="preserve">（详见第四章 采购需求 2.8）</w:t>
            </w:r>
            <w:r/>
          </w:p>
          <w:p>
            <w:pPr>
              <w:spacing w:line="360" w:lineRule="auto"/>
              <w:tabs>
                <w:tab w:val="left" w:pos="840" w:leader="none"/>
              </w:tabs>
              <w:rPr>
                <w:rFonts w:asciiTheme="minorEastAsia" w:hAnsiTheme="minorEastAsia" w:cstheme="minorEastAsia"/>
                <w:sz w:val="24"/>
                <w:szCs w:val="24"/>
              </w:rPr>
            </w:pPr>
            <w:r>
              <w:rPr>
                <w:rFonts w:hint="eastAsia" w:asciiTheme="minorEastAsia" w:hAnsiTheme="minorEastAsia" w:cstheme="minorEastAsia"/>
                <w:sz w:val="24"/>
                <w:szCs w:val="24"/>
              </w:rPr>
              <w:t xml:space="preserve">提供针对2.8中前六大核心业务场景的功能模块设计，须体现清晰的业务逻辑，符合对应的执行需求。</w:t>
            </w:r>
            <w:r/>
          </w:p>
          <w:p>
            <w:pPr>
              <w:spacing w:line="360" w:lineRule="auto"/>
              <w:tabs>
                <w:tab w:val="left" w:pos="840" w:leader="none"/>
              </w:tabs>
              <w:rPr>
                <w:rFonts w:asciiTheme="minorEastAsia" w:hAnsiTheme="minorEastAsia" w:cstheme="minorEastAsia"/>
                <w:b/>
                <w:bCs/>
                <w:sz w:val="24"/>
                <w:szCs w:val="24"/>
              </w:rPr>
            </w:pPr>
            <w:r>
              <w:rPr>
                <w:rFonts w:hint="eastAsia" w:asciiTheme="minorEastAsia" w:hAnsiTheme="minorEastAsia" w:cstheme="minorEastAsia"/>
                <w:sz w:val="24"/>
                <w:szCs w:val="24"/>
              </w:rPr>
              <w:t xml:space="preserve">提供设计方案或设计界面截图（须配说明）或设计思路等，且内容详细，能够贴合采购需求，阐述清晰的</w:t>
            </w:r>
            <w:r>
              <w:rPr>
                <w:rFonts w:hint="eastAsia" w:asciiTheme="minorEastAsia" w:hAnsiTheme="minorEastAsia" w:cstheme="minorEastAsia"/>
                <w:b/>
                <w:bCs/>
                <w:sz w:val="24"/>
                <w:szCs w:val="24"/>
              </w:rPr>
              <w:t xml:space="preserve">得3分；</w:t>
            </w:r>
            <w:r/>
          </w:p>
          <w:p>
            <w:pPr>
              <w:spacing w:line="360" w:lineRule="auto"/>
              <w:tabs>
                <w:tab w:val="left" w:pos="840" w:leader="none"/>
              </w:tabs>
              <w:rPr>
                <w:rFonts w:asciiTheme="minorEastAsia" w:hAnsiTheme="minorEastAsia" w:cstheme="minorEastAsia"/>
                <w:b/>
                <w:bCs/>
                <w:sz w:val="24"/>
                <w:szCs w:val="24"/>
              </w:rPr>
            </w:pPr>
            <w:r>
              <w:rPr>
                <w:rFonts w:hint="eastAsia" w:asciiTheme="minorEastAsia" w:hAnsiTheme="minorEastAsia" w:cstheme="minorEastAsia"/>
                <w:sz w:val="24"/>
                <w:szCs w:val="24"/>
              </w:rPr>
              <w:t xml:space="preserve">提供设计方案或设计界面截图（须配说明）或设计思路等，且内容较详细，基本能够贴合采购需求，阐述清晰条理性一般的</w:t>
            </w:r>
            <w:r>
              <w:rPr>
                <w:rFonts w:hint="eastAsia" w:asciiTheme="minorEastAsia" w:hAnsiTheme="minorEastAsia" w:cstheme="minorEastAsia"/>
                <w:b/>
                <w:bCs/>
                <w:sz w:val="24"/>
                <w:szCs w:val="24"/>
              </w:rPr>
              <w:t xml:space="preserve">得2分；</w:t>
            </w:r>
            <w:r/>
          </w:p>
          <w:p>
            <w:pPr>
              <w:spacing w:line="360" w:lineRule="auto"/>
              <w:tabs>
                <w:tab w:val="left" w:pos="840" w:leader="none"/>
              </w:tabs>
              <w:rPr>
                <w:rFonts w:asciiTheme="minorEastAsia" w:hAnsiTheme="minorEastAsia" w:cstheme="minorEastAsia"/>
                <w:sz w:val="24"/>
                <w:szCs w:val="24"/>
              </w:rPr>
            </w:pPr>
            <w:r>
              <w:rPr>
                <w:rFonts w:hint="eastAsia" w:asciiTheme="minorEastAsia" w:hAnsiTheme="minorEastAsia" w:cstheme="minorEastAsia"/>
                <w:sz w:val="24"/>
                <w:szCs w:val="24"/>
              </w:rPr>
              <w:t xml:space="preserve">提供设计方案或设计界面截图（须配说明）或设计思路等，但内容简单粗糙，与采购需求有偏差，阐述不清晰的</w:t>
            </w:r>
            <w:r>
              <w:rPr>
                <w:rFonts w:hint="eastAsia" w:asciiTheme="minorEastAsia" w:hAnsiTheme="minorEastAsia" w:cstheme="minorEastAsia"/>
                <w:b/>
                <w:bCs/>
                <w:sz w:val="24"/>
                <w:szCs w:val="24"/>
              </w:rPr>
              <w:t xml:space="preserve">得1分；</w:t>
            </w:r>
            <w:r/>
          </w:p>
          <w:p>
            <w:pPr>
              <w:spacing w:line="360" w:lineRule="auto"/>
              <w:rPr>
                <w:rFonts w:asciiTheme="minorEastAsia" w:hAnsiTheme="minorEastAsia" w:cstheme="minorEastAsia"/>
                <w:b/>
                <w:bCs/>
                <w:sz w:val="24"/>
                <w:szCs w:val="24"/>
              </w:rPr>
            </w:pPr>
            <w:r>
              <w:rPr>
                <w:rFonts w:hint="eastAsia" w:asciiTheme="minorEastAsia" w:hAnsiTheme="minorEastAsia" w:cstheme="minorEastAsia"/>
                <w:b/>
                <w:bCs/>
                <w:sz w:val="24"/>
                <w:szCs w:val="24"/>
              </w:rPr>
              <w:t xml:space="preserve">该项未见阐述不得分。</w:t>
            </w:r>
            <w:r/>
          </w:p>
          <w:p>
            <w:pPr>
              <w:spacing w:line="360" w:lineRule="auto"/>
              <w:rPr>
                <w:rFonts w:asciiTheme="minorEastAsia" w:hAnsiTheme="minorEastAsia" w:cstheme="minorEastAsia"/>
                <w:b/>
                <w:sz w:val="24"/>
                <w:szCs w:val="24"/>
              </w:rPr>
            </w:pPr>
            <w:r>
              <w:rPr>
                <w:rFonts w:hint="eastAsia" w:asciiTheme="minorEastAsia" w:hAnsiTheme="minorEastAsia" w:cstheme="minorEastAsia"/>
                <w:b/>
                <w:sz w:val="24"/>
                <w:szCs w:val="24"/>
              </w:rPr>
              <w:t xml:space="preserve">五、人工智能模型微调与测试优化 （详见第四章 采购需求 2.9）</w:t>
            </w:r>
            <w:r/>
          </w:p>
          <w:p>
            <w:pPr>
              <w:spacing w:line="360" w:lineRule="auto"/>
              <w:tabs>
                <w:tab w:val="left" w:pos="840" w:leader="none"/>
              </w:tabs>
              <w:rPr>
                <w:rFonts w:asciiTheme="minorEastAsia" w:hAnsiTheme="minorEastAsia" w:cstheme="minorEastAsia"/>
                <w:sz w:val="24"/>
                <w:szCs w:val="24"/>
              </w:rPr>
            </w:pPr>
            <w:r>
              <w:rPr>
                <w:rFonts w:hint="eastAsia" w:asciiTheme="minorEastAsia" w:hAnsiTheme="minorEastAsia" w:cstheme="minorEastAsia"/>
                <w:sz w:val="24"/>
                <w:szCs w:val="24"/>
              </w:rPr>
              <w:t xml:space="preserve">提供AI模型赋能业务办理、人物画像、数据分析等智能助手的设计与研发方案，须贴合具体的业务需求，体现赋能后预期成效。</w:t>
            </w:r>
            <w:r/>
          </w:p>
          <w:p>
            <w:pPr>
              <w:spacing w:line="360" w:lineRule="auto"/>
              <w:tabs>
                <w:tab w:val="left" w:pos="840" w:leader="none"/>
              </w:tabs>
              <w:rPr>
                <w:rFonts w:asciiTheme="minorEastAsia" w:hAnsiTheme="minorEastAsia" w:cstheme="minorEastAsia"/>
                <w:b/>
                <w:bCs/>
                <w:sz w:val="24"/>
                <w:szCs w:val="24"/>
              </w:rPr>
            </w:pPr>
            <w:r>
              <w:rPr>
                <w:rFonts w:hint="eastAsia" w:asciiTheme="minorEastAsia" w:hAnsiTheme="minorEastAsia" w:cstheme="minorEastAsia"/>
                <w:sz w:val="24"/>
                <w:szCs w:val="24"/>
              </w:rPr>
              <w:t xml:space="preserve">提供设计方案或设计界面截图（须配说明）或设计思路等，且内容详细，能够贴合采购需求，阐述清晰的</w:t>
            </w:r>
            <w:r>
              <w:rPr>
                <w:rFonts w:hint="eastAsia" w:asciiTheme="minorEastAsia" w:hAnsiTheme="minorEastAsia" w:cstheme="minorEastAsia"/>
                <w:b/>
                <w:bCs/>
                <w:sz w:val="24"/>
                <w:szCs w:val="24"/>
              </w:rPr>
              <w:t xml:space="preserve">得3分；</w:t>
            </w:r>
            <w:r/>
          </w:p>
          <w:p>
            <w:pPr>
              <w:spacing w:line="360" w:lineRule="auto"/>
              <w:tabs>
                <w:tab w:val="left" w:pos="840" w:leader="none"/>
              </w:tabs>
              <w:rPr>
                <w:rFonts w:asciiTheme="minorEastAsia" w:hAnsiTheme="minorEastAsia" w:cstheme="minorEastAsia"/>
                <w:b/>
                <w:bCs/>
                <w:sz w:val="24"/>
                <w:szCs w:val="24"/>
              </w:rPr>
            </w:pPr>
            <w:r>
              <w:rPr>
                <w:rFonts w:hint="eastAsia" w:asciiTheme="minorEastAsia" w:hAnsiTheme="minorEastAsia" w:cstheme="minorEastAsia"/>
                <w:sz w:val="24"/>
                <w:szCs w:val="24"/>
              </w:rPr>
              <w:t xml:space="preserve">提供设计方案或设计界面截图（须配说明）或设计思路等，且内容较详细，基本能够贴合采购需求，阐述清晰条理性一</w:t>
            </w:r>
            <w:r>
              <w:rPr>
                <w:rFonts w:hint="eastAsia" w:asciiTheme="minorEastAsia" w:hAnsiTheme="minorEastAsia" w:cstheme="minorEastAsia"/>
                <w:sz w:val="24"/>
                <w:szCs w:val="24"/>
              </w:rPr>
              <w:t xml:space="preserve">般的</w:t>
            </w:r>
            <w:r>
              <w:rPr>
                <w:rFonts w:hint="eastAsia" w:asciiTheme="minorEastAsia" w:hAnsiTheme="minorEastAsia" w:cstheme="minorEastAsia"/>
                <w:b/>
                <w:bCs/>
                <w:sz w:val="24"/>
                <w:szCs w:val="24"/>
              </w:rPr>
              <w:t xml:space="preserve">得2分；</w:t>
            </w:r>
            <w:r/>
          </w:p>
          <w:p>
            <w:pPr>
              <w:spacing w:line="360" w:lineRule="auto"/>
              <w:tabs>
                <w:tab w:val="left" w:pos="840" w:leader="none"/>
              </w:tabs>
              <w:rPr>
                <w:rFonts w:asciiTheme="minorEastAsia" w:hAnsiTheme="minorEastAsia" w:cstheme="minorEastAsia"/>
                <w:sz w:val="24"/>
                <w:szCs w:val="24"/>
              </w:rPr>
            </w:pPr>
            <w:r>
              <w:rPr>
                <w:rFonts w:hint="eastAsia" w:asciiTheme="minorEastAsia" w:hAnsiTheme="minorEastAsia" w:cstheme="minorEastAsia"/>
                <w:sz w:val="24"/>
                <w:szCs w:val="24"/>
              </w:rPr>
              <w:t xml:space="preserve">提供设计方案或设计界面截图（须配说明）或设计思路等，但内容简单粗糙，与采购需求有偏差，阐述不清晰的</w:t>
            </w:r>
            <w:r>
              <w:rPr>
                <w:rFonts w:hint="eastAsia" w:asciiTheme="minorEastAsia" w:hAnsiTheme="minorEastAsia" w:cstheme="minorEastAsia"/>
                <w:b/>
                <w:bCs/>
                <w:sz w:val="24"/>
                <w:szCs w:val="24"/>
              </w:rPr>
              <w:t xml:space="preserve">得1分；</w:t>
            </w:r>
            <w:r/>
          </w:p>
          <w:p>
            <w:pPr>
              <w:spacing w:line="360" w:lineRule="auto"/>
              <w:rPr>
                <w:rFonts w:asciiTheme="minorEastAsia" w:hAnsiTheme="minorEastAsia" w:cstheme="minorEastAsia"/>
                <w:b/>
                <w:sz w:val="24"/>
                <w:szCs w:val="24"/>
              </w:rPr>
            </w:pPr>
            <w:r>
              <w:rPr>
                <w:rFonts w:hint="eastAsia" w:asciiTheme="minorEastAsia" w:hAnsiTheme="minorEastAsia" w:cstheme="minorEastAsia"/>
                <w:b/>
                <w:bCs/>
                <w:sz w:val="24"/>
                <w:szCs w:val="24"/>
              </w:rPr>
              <w:t xml:space="preserve">该项未见阐述不得分。</w:t>
            </w:r>
            <w:r/>
          </w:p>
          <w:p>
            <w:pPr>
              <w:spacing w:line="360" w:lineRule="auto"/>
              <w:rPr>
                <w:rFonts w:asciiTheme="minorEastAsia" w:hAnsiTheme="minorEastAsia" w:cstheme="minorEastAsia"/>
                <w:b/>
                <w:sz w:val="24"/>
                <w:szCs w:val="24"/>
              </w:rPr>
            </w:pPr>
            <w:r>
              <w:rPr>
                <w:rFonts w:hint="eastAsia" w:asciiTheme="minorEastAsia" w:hAnsiTheme="minorEastAsia" w:cstheme="minorEastAsia"/>
                <w:b/>
                <w:sz w:val="24"/>
                <w:szCs w:val="24"/>
              </w:rPr>
              <w:t xml:space="preserve">六、数据处理和存储系统设计 （详见第四章 采购需求 2.10）</w:t>
            </w:r>
            <w:r/>
          </w:p>
          <w:p>
            <w:pPr>
              <w:spacing w:line="360" w:lineRule="auto"/>
              <w:tabs>
                <w:tab w:val="left" w:pos="840" w:leader="none"/>
              </w:tabs>
              <w:rPr>
                <w:rFonts w:asciiTheme="minorEastAsia" w:hAnsiTheme="minorEastAsia" w:cstheme="minorEastAsia"/>
                <w:sz w:val="24"/>
                <w:szCs w:val="24"/>
              </w:rPr>
            </w:pPr>
            <w:r>
              <w:rPr>
                <w:rFonts w:hint="eastAsia" w:asciiTheme="minorEastAsia" w:hAnsiTheme="minorEastAsia" w:cstheme="minorEastAsia"/>
                <w:sz w:val="24"/>
                <w:szCs w:val="24"/>
              </w:rPr>
              <w:t xml:space="preserve">提供针对互联网、政务网、法院内网不同数据源的数据汇集方案，实现数据的高效汇入，并保证数据流通过程中的安全性。</w:t>
            </w:r>
            <w:r/>
          </w:p>
          <w:p>
            <w:pPr>
              <w:spacing w:line="360" w:lineRule="auto"/>
              <w:tabs>
                <w:tab w:val="left" w:pos="840" w:leader="none"/>
              </w:tabs>
              <w:rPr>
                <w:rFonts w:asciiTheme="minorEastAsia" w:hAnsiTheme="minorEastAsia" w:cstheme="minorEastAsia"/>
                <w:b/>
                <w:bCs/>
                <w:sz w:val="24"/>
                <w:szCs w:val="24"/>
              </w:rPr>
            </w:pPr>
            <w:r>
              <w:rPr>
                <w:rFonts w:hint="eastAsia" w:asciiTheme="minorEastAsia" w:hAnsiTheme="minorEastAsia" w:cstheme="minorEastAsia"/>
                <w:sz w:val="24"/>
                <w:szCs w:val="24"/>
              </w:rPr>
              <w:t xml:space="preserve">提供设计方案或设计界面截图（须配说明）或设计思路等，且内容详细，能够贴合采购需求，阐述清晰的</w:t>
            </w:r>
            <w:r>
              <w:rPr>
                <w:rFonts w:hint="eastAsia" w:asciiTheme="minorEastAsia" w:hAnsiTheme="minorEastAsia" w:cstheme="minorEastAsia"/>
                <w:b/>
                <w:bCs/>
                <w:sz w:val="24"/>
                <w:szCs w:val="24"/>
              </w:rPr>
              <w:t xml:space="preserve">得3分；</w:t>
            </w:r>
            <w:r/>
          </w:p>
          <w:p>
            <w:pPr>
              <w:spacing w:line="360" w:lineRule="auto"/>
              <w:tabs>
                <w:tab w:val="left" w:pos="840" w:leader="none"/>
              </w:tabs>
              <w:rPr>
                <w:rFonts w:asciiTheme="minorEastAsia" w:hAnsiTheme="minorEastAsia" w:cstheme="minorEastAsia"/>
                <w:b/>
                <w:bCs/>
                <w:sz w:val="24"/>
                <w:szCs w:val="24"/>
              </w:rPr>
            </w:pPr>
            <w:r>
              <w:rPr>
                <w:rFonts w:hint="eastAsia" w:asciiTheme="minorEastAsia" w:hAnsiTheme="minorEastAsia" w:cstheme="minorEastAsia"/>
                <w:sz w:val="24"/>
                <w:szCs w:val="24"/>
              </w:rPr>
              <w:t xml:space="preserve">提供设计方案或设计界面截图（须配说明）或设计思路等，且内容较详细，基本能够贴合采购需求，阐述清晰条理性一般的</w:t>
            </w:r>
            <w:r>
              <w:rPr>
                <w:rFonts w:hint="eastAsia" w:asciiTheme="minorEastAsia" w:hAnsiTheme="minorEastAsia" w:cstheme="minorEastAsia"/>
                <w:b/>
                <w:bCs/>
                <w:sz w:val="24"/>
                <w:szCs w:val="24"/>
              </w:rPr>
              <w:t xml:space="preserve">得2分；</w:t>
            </w:r>
            <w:r/>
          </w:p>
          <w:p>
            <w:pPr>
              <w:spacing w:line="360" w:lineRule="auto"/>
              <w:tabs>
                <w:tab w:val="left" w:pos="840" w:leader="none"/>
              </w:tabs>
              <w:rPr>
                <w:rFonts w:asciiTheme="minorEastAsia" w:hAnsiTheme="minorEastAsia" w:cstheme="minorEastAsia"/>
                <w:sz w:val="24"/>
                <w:szCs w:val="24"/>
              </w:rPr>
            </w:pPr>
            <w:r>
              <w:rPr>
                <w:rFonts w:hint="eastAsia" w:asciiTheme="minorEastAsia" w:hAnsiTheme="minorEastAsia" w:cstheme="minorEastAsia"/>
                <w:sz w:val="24"/>
                <w:szCs w:val="24"/>
              </w:rPr>
              <w:t xml:space="preserve">提供设计方案或设计界面截图（须配说明）或设计思路等，但内容简单粗糙，与采购需求有偏差，阐述不清晰的</w:t>
            </w:r>
            <w:r>
              <w:rPr>
                <w:rFonts w:hint="eastAsia" w:asciiTheme="minorEastAsia" w:hAnsiTheme="minorEastAsia" w:cstheme="minorEastAsia"/>
                <w:b/>
                <w:bCs/>
                <w:sz w:val="24"/>
                <w:szCs w:val="24"/>
              </w:rPr>
              <w:t xml:space="preserve">得1分；</w:t>
            </w:r>
            <w:r/>
          </w:p>
          <w:p>
            <w:pPr>
              <w:spacing w:line="360" w:lineRule="auto"/>
              <w:rPr>
                <w:rFonts w:asciiTheme="minorEastAsia" w:hAnsiTheme="minorEastAsia" w:cstheme="minorEastAsia"/>
                <w:sz w:val="24"/>
                <w:szCs w:val="24"/>
              </w:rPr>
            </w:pPr>
            <w:r>
              <w:rPr>
                <w:rFonts w:hint="eastAsia" w:asciiTheme="minorEastAsia" w:hAnsiTheme="minorEastAsia" w:cstheme="minorEastAsia"/>
                <w:b/>
                <w:bCs/>
                <w:sz w:val="24"/>
                <w:szCs w:val="24"/>
              </w:rPr>
              <w:t xml:space="preserve">该项未见阐述不得分。</w:t>
            </w:r>
            <w:r/>
          </w:p>
        </w:tc>
      </w:tr>
    </w:tbl>
    <w:p>
      <w:pPr>
        <w:spacing w:line="360" w:lineRule="auto"/>
        <w:rPr>
          <w:rFonts w:ascii="宋体" w:hAnsi="宋体" w:eastAsia="宋体" w:cs="Calibri"/>
          <w:b/>
          <w:color w:val="000000"/>
          <w:sz w:val="24"/>
          <w:szCs w:val="24"/>
        </w:rPr>
      </w:pPr>
      <w:r>
        <w:rPr>
          <w:rFonts w:hint="eastAsia" w:ascii="宋体" w:hAnsi="宋体" w:cs="Calibri"/>
          <w:b/>
          <w:color w:val="000000"/>
          <w:sz w:val="24"/>
          <w:szCs w:val="24"/>
        </w:rPr>
        <w:t xml:space="preserve">注;</w:t>
      </w:r>
      <w:r/>
    </w:p>
    <w:p>
      <w:pPr>
        <w:spacing w:line="360" w:lineRule="auto"/>
        <w:rPr>
          <w:rFonts w:ascii="宋体" w:hAnsi="宋体" w:cs="Calibri"/>
          <w:b/>
          <w:color w:val="000000"/>
          <w:sz w:val="24"/>
          <w:szCs w:val="24"/>
        </w:rPr>
      </w:pPr>
      <w:r>
        <w:rPr>
          <w:rFonts w:hint="eastAsia" w:ascii="宋体" w:hAnsi="宋体" w:cs="Calibri"/>
          <w:b/>
          <w:color w:val="000000"/>
          <w:sz w:val="24"/>
          <w:szCs w:val="24"/>
        </w:rPr>
        <w:t xml:space="preserve">1.本项目评标标准中的技术分（42分）采用暗标方式进行评审。</w:t>
      </w:r>
      <w:r/>
    </w:p>
    <w:p>
      <w:pPr>
        <w:spacing w:line="360" w:lineRule="auto"/>
        <w:rPr>
          <w:rFonts w:ascii="宋体" w:hAnsi="宋体" w:cs="Calibri"/>
          <w:b/>
          <w:color w:val="000000"/>
          <w:sz w:val="24"/>
          <w:szCs w:val="24"/>
        </w:rPr>
      </w:pPr>
      <w:r>
        <w:rPr>
          <w:rFonts w:hint="eastAsia" w:ascii="宋体" w:hAnsi="宋体" w:cs="Calibri"/>
          <w:b/>
          <w:color w:val="000000"/>
          <w:sz w:val="24"/>
          <w:szCs w:val="24"/>
        </w:rPr>
        <w:t xml:space="preserve">2.编制要求：</w:t>
      </w:r>
      <w:r/>
    </w:p>
    <w:p>
      <w:pPr>
        <w:spacing w:line="400" w:lineRule="exact"/>
        <w:rPr>
          <w:rFonts w:ascii="宋体" w:hAnsi="宋体" w:cs="Calibri"/>
          <w:b/>
          <w:color w:val="000000"/>
          <w:sz w:val="24"/>
          <w:szCs w:val="24"/>
        </w:rPr>
      </w:pPr>
      <w:r>
        <w:rPr>
          <w:rFonts w:hint="eastAsia" w:ascii="宋体" w:hAnsi="宋体" w:cs="Calibri"/>
          <w:b/>
          <w:color w:val="000000"/>
          <w:sz w:val="24"/>
          <w:szCs w:val="24"/>
        </w:rPr>
        <w:t xml:space="preserve">2.1方案内容、文字、各类型图表、框图均不得出现供应商名称、相关人员姓名和其他可识别供应商身份的字符、徽标、人员名称、</w:t>
      </w:r>
      <w:r>
        <w:rPr>
          <w:rFonts w:ascii="宋体" w:hAnsi="宋体" w:cs="Calibri"/>
          <w:b/>
          <w:color w:val="000000"/>
          <w:sz w:val="24"/>
          <w:szCs w:val="24"/>
        </w:rPr>
        <w:t xml:space="preserve">投标人独享的企业标准或编号</w:t>
      </w:r>
      <w:r>
        <w:rPr>
          <w:rFonts w:hint="eastAsia" w:ascii="宋体" w:hAnsi="宋体" w:cs="Calibri"/>
          <w:b/>
          <w:color w:val="000000"/>
          <w:sz w:val="24"/>
          <w:szCs w:val="24"/>
        </w:rPr>
        <w:t xml:space="preserve">等内容；不得出现能显示企业特征或批注、底纹、阴影、水印等提示性的标记或标识；不得出现以前所承担过的项目名称，不得作任何标识或暗示该供应商单位名称或人员姓名的标记，</w:t>
      </w:r>
      <w:r>
        <w:rPr>
          <w:rFonts w:ascii="宋体" w:hAnsi="宋体" w:cs="Calibri"/>
          <w:b/>
          <w:color w:val="000000"/>
          <w:sz w:val="24"/>
          <w:szCs w:val="24"/>
        </w:rPr>
        <w:t xml:space="preserve">相关人员姓名应以职务或职称代替</w:t>
      </w:r>
      <w:r>
        <w:rPr>
          <w:rFonts w:hint="eastAsia" w:ascii="宋体" w:hAnsi="宋体" w:cs="Calibri"/>
          <w:b/>
          <w:color w:val="000000"/>
          <w:sz w:val="24"/>
          <w:szCs w:val="24"/>
        </w:rPr>
        <w:t xml:space="preserve">。</w:t>
      </w:r>
      <w:r/>
    </w:p>
    <w:p>
      <w:pPr>
        <w:jc w:val="left"/>
        <w:spacing w:line="360" w:lineRule="auto"/>
        <w:widowControl/>
        <w:rPr>
          <w:rFonts w:ascii="宋体" w:hAnsi="宋体" w:cs="Calibri"/>
          <w:b/>
          <w:bCs/>
          <w:color w:val="000000"/>
          <w:sz w:val="24"/>
          <w:szCs w:val="24"/>
        </w:rPr>
      </w:pPr>
      <w:r>
        <w:rPr>
          <w:rFonts w:hint="eastAsia" w:ascii="宋体" w:hAnsi="宋体" w:cs="Calibri"/>
          <w:b/>
          <w:color w:val="000000"/>
          <w:sz w:val="24"/>
          <w:szCs w:val="24"/>
        </w:rPr>
        <w:t xml:space="preserve">2.2方案部分上传地址在“苏采云”系统响应文件制作工具（政府采购客户端）的带有“暗”标志的评分项节点。本项目在评审过程中，只要有任一家供应商方案部分能够正常显示的，即视为“苏采云”系统方案部分暗标功能运行无故障。</w:t>
      </w:r>
      <w:r/>
    </w:p>
    <w:p>
      <w:pPr>
        <w:jc w:val="left"/>
        <w:spacing w:line="360" w:lineRule="auto"/>
        <w:widowControl/>
        <w:rPr>
          <w:rFonts w:ascii="宋体" w:hAnsi="宋体" w:cs="Calibri"/>
          <w:b/>
          <w:color w:val="000000"/>
          <w:sz w:val="24"/>
          <w:szCs w:val="24"/>
        </w:rPr>
      </w:pPr>
      <w:r>
        <w:rPr>
          <w:rFonts w:hint="eastAsia" w:ascii="宋体" w:hAnsi="宋体" w:cs="Calibri"/>
          <w:b/>
          <w:color w:val="000000"/>
          <w:sz w:val="24"/>
          <w:szCs w:val="24"/>
        </w:rPr>
        <w:t xml:space="preserve">2.3供应商需按照上述要求编制方案，未按要求编制的本项（所有暗标项）不得分。</w:t>
      </w:r>
      <w:r/>
    </w:p>
    <w:p>
      <w:pPr>
        <w:ind w:firstLine="562"/>
        <w:jc w:val="center"/>
        <w:spacing w:line="500" w:lineRule="exact"/>
        <w:rPr>
          <w:rFonts w:asciiTheme="minorEastAsia" w:hAnsiTheme="minorEastAsia"/>
          <w:b/>
          <w:sz w:val="28"/>
          <w:szCs w:val="24"/>
        </w:rPr>
      </w:pPr>
      <w:r>
        <w:rPr>
          <w:rFonts w:asciiTheme="minorEastAsia" w:hAnsiTheme="minorEastAsia"/>
          <w:b/>
          <w:sz w:val="28"/>
          <w:szCs w:val="24"/>
        </w:rPr>
      </w:r>
      <w:r/>
    </w:p>
    <w:p>
      <w:pPr>
        <w:pStyle w:val="849"/>
        <w:rPr>
          <w:rFonts w:asciiTheme="minorEastAsia" w:hAnsiTheme="minorEastAsia"/>
          <w:b/>
          <w:sz w:val="28"/>
          <w:szCs w:val="24"/>
        </w:rPr>
      </w:pPr>
      <w:r>
        <w:rPr>
          <w:rFonts w:asciiTheme="minorEastAsia" w:hAnsiTheme="minorEastAsia"/>
          <w:b/>
          <w:sz w:val="28"/>
          <w:szCs w:val="24"/>
        </w:rPr>
      </w:r>
      <w:r/>
    </w:p>
    <w:p>
      <w:pPr>
        <w:pStyle w:val="849"/>
        <w:rPr>
          <w:rFonts w:asciiTheme="minorEastAsia" w:hAnsiTheme="minorEastAsia"/>
          <w:b/>
          <w:sz w:val="28"/>
          <w:szCs w:val="24"/>
        </w:rPr>
      </w:pPr>
      <w:r>
        <w:rPr>
          <w:rFonts w:asciiTheme="minorEastAsia" w:hAnsiTheme="minorEastAsia"/>
          <w:b/>
          <w:sz w:val="28"/>
          <w:szCs w:val="24"/>
        </w:rPr>
      </w:r>
      <w:r/>
    </w:p>
    <w:p>
      <w:pPr>
        <w:pStyle w:val="849"/>
        <w:rPr>
          <w:rFonts w:asciiTheme="minorEastAsia" w:hAnsiTheme="minorEastAsia"/>
          <w:b/>
          <w:sz w:val="28"/>
          <w:szCs w:val="24"/>
        </w:rPr>
      </w:pPr>
      <w:r>
        <w:rPr>
          <w:rFonts w:asciiTheme="minorEastAsia" w:hAnsiTheme="minorEastAsia"/>
          <w:b/>
          <w:sz w:val="28"/>
          <w:szCs w:val="24"/>
        </w:rPr>
      </w:r>
      <w:r/>
    </w:p>
    <w:p>
      <w:pPr>
        <w:pStyle w:val="849"/>
        <w:rPr>
          <w:rFonts w:asciiTheme="minorEastAsia" w:hAnsiTheme="minorEastAsia"/>
          <w:b/>
          <w:sz w:val="28"/>
          <w:szCs w:val="24"/>
        </w:rPr>
      </w:pPr>
      <w:r>
        <w:rPr>
          <w:rFonts w:asciiTheme="minorEastAsia" w:hAnsiTheme="minorEastAsia"/>
          <w:b/>
          <w:sz w:val="28"/>
          <w:szCs w:val="24"/>
        </w:rPr>
      </w:r>
      <w:r/>
    </w:p>
    <w:p>
      <w:pPr>
        <w:pStyle w:val="849"/>
        <w:rPr>
          <w:rFonts w:asciiTheme="minorEastAsia" w:hAnsiTheme="minorEastAsia"/>
          <w:b/>
          <w:sz w:val="28"/>
          <w:szCs w:val="24"/>
        </w:rPr>
      </w:pPr>
      <w:r>
        <w:rPr>
          <w:rFonts w:asciiTheme="minorEastAsia" w:hAnsiTheme="minorEastAsia"/>
          <w:b/>
          <w:sz w:val="28"/>
          <w:szCs w:val="24"/>
        </w:rPr>
      </w:r>
      <w:r/>
    </w:p>
    <w:p>
      <w:pPr>
        <w:pStyle w:val="849"/>
        <w:rPr>
          <w:rFonts w:asciiTheme="minorEastAsia" w:hAnsiTheme="minorEastAsia"/>
          <w:b/>
          <w:sz w:val="28"/>
          <w:szCs w:val="24"/>
        </w:rPr>
      </w:pPr>
      <w:r>
        <w:rPr>
          <w:rFonts w:asciiTheme="minorEastAsia" w:hAnsiTheme="minorEastAsia"/>
          <w:b/>
          <w:sz w:val="28"/>
          <w:szCs w:val="24"/>
        </w:rPr>
      </w:r>
      <w:r/>
    </w:p>
    <w:p>
      <w:pPr>
        <w:pStyle w:val="849"/>
        <w:rPr>
          <w:rFonts w:asciiTheme="minorEastAsia" w:hAnsiTheme="minorEastAsia"/>
          <w:b/>
          <w:sz w:val="28"/>
          <w:szCs w:val="24"/>
        </w:rPr>
      </w:pPr>
      <w:r>
        <w:rPr>
          <w:rFonts w:asciiTheme="minorEastAsia" w:hAnsiTheme="minorEastAsia"/>
          <w:b/>
          <w:sz w:val="28"/>
          <w:szCs w:val="24"/>
        </w:rPr>
      </w:r>
      <w:r/>
    </w:p>
    <w:p>
      <w:pPr>
        <w:pStyle w:val="849"/>
        <w:rPr>
          <w:rFonts w:asciiTheme="minorEastAsia" w:hAnsiTheme="minorEastAsia"/>
          <w:b/>
          <w:sz w:val="28"/>
          <w:szCs w:val="24"/>
        </w:rPr>
      </w:pPr>
      <w:r>
        <w:rPr>
          <w:rFonts w:asciiTheme="minorEastAsia" w:hAnsiTheme="minorEastAsia"/>
          <w:b/>
          <w:sz w:val="28"/>
          <w:szCs w:val="24"/>
        </w:rPr>
      </w:r>
      <w:r/>
    </w:p>
    <w:p>
      <w:pPr>
        <w:pStyle w:val="849"/>
        <w:rPr>
          <w:rFonts w:asciiTheme="minorEastAsia" w:hAnsiTheme="minorEastAsia"/>
          <w:b/>
          <w:sz w:val="28"/>
          <w:szCs w:val="24"/>
        </w:rPr>
      </w:pPr>
      <w:r>
        <w:rPr>
          <w:rFonts w:asciiTheme="minorEastAsia" w:hAnsiTheme="minorEastAsia"/>
          <w:b/>
          <w:sz w:val="28"/>
          <w:szCs w:val="24"/>
        </w:rPr>
      </w:r>
      <w:r/>
    </w:p>
    <w:p>
      <w:pPr>
        <w:pStyle w:val="849"/>
        <w:rPr>
          <w:rFonts w:asciiTheme="minorEastAsia" w:hAnsiTheme="minorEastAsia"/>
          <w:b/>
          <w:sz w:val="28"/>
          <w:szCs w:val="24"/>
        </w:rPr>
      </w:pPr>
      <w:r>
        <w:rPr>
          <w:rFonts w:asciiTheme="minorEastAsia" w:hAnsiTheme="minorEastAsia"/>
          <w:b/>
          <w:sz w:val="28"/>
          <w:szCs w:val="24"/>
        </w:rPr>
      </w:r>
      <w:r/>
    </w:p>
    <w:p>
      <w:pPr>
        <w:pStyle w:val="849"/>
        <w:rPr>
          <w:rFonts w:asciiTheme="minorEastAsia" w:hAnsiTheme="minorEastAsia"/>
          <w:b/>
          <w:sz w:val="28"/>
          <w:szCs w:val="24"/>
        </w:rPr>
      </w:pPr>
      <w:r>
        <w:rPr>
          <w:rFonts w:asciiTheme="minorEastAsia" w:hAnsiTheme="minorEastAsia"/>
          <w:b/>
          <w:sz w:val="28"/>
          <w:szCs w:val="24"/>
        </w:rPr>
      </w:r>
      <w:r/>
    </w:p>
    <w:p>
      <w:pPr>
        <w:pStyle w:val="849"/>
        <w:rPr>
          <w:rFonts w:asciiTheme="minorEastAsia" w:hAnsiTheme="minorEastAsia"/>
          <w:b/>
          <w:sz w:val="28"/>
          <w:szCs w:val="24"/>
        </w:rPr>
      </w:pPr>
      <w:r>
        <w:rPr>
          <w:rFonts w:asciiTheme="minorEastAsia" w:hAnsiTheme="minorEastAsia"/>
          <w:b/>
          <w:sz w:val="28"/>
          <w:szCs w:val="24"/>
        </w:rPr>
      </w:r>
      <w:r/>
    </w:p>
    <w:p>
      <w:pPr>
        <w:pStyle w:val="849"/>
        <w:rPr>
          <w:rFonts w:asciiTheme="minorEastAsia" w:hAnsiTheme="minorEastAsia"/>
          <w:b/>
          <w:sz w:val="28"/>
          <w:szCs w:val="24"/>
        </w:rPr>
      </w:pPr>
      <w:r>
        <w:rPr>
          <w:rFonts w:asciiTheme="minorEastAsia" w:hAnsiTheme="minorEastAsia"/>
          <w:b/>
          <w:sz w:val="28"/>
          <w:szCs w:val="24"/>
        </w:rPr>
      </w:r>
      <w:r/>
    </w:p>
    <w:p>
      <w:pPr>
        <w:pStyle w:val="849"/>
        <w:rPr>
          <w:rFonts w:asciiTheme="minorEastAsia" w:hAnsiTheme="minorEastAsia"/>
          <w:b/>
          <w:sz w:val="28"/>
          <w:szCs w:val="24"/>
        </w:rPr>
      </w:pPr>
      <w:r>
        <w:rPr>
          <w:rFonts w:asciiTheme="minorEastAsia" w:hAnsiTheme="minorEastAsia"/>
          <w:b/>
          <w:sz w:val="28"/>
          <w:szCs w:val="24"/>
        </w:rPr>
      </w:r>
      <w:r/>
    </w:p>
    <w:p>
      <w:pPr>
        <w:pStyle w:val="849"/>
        <w:rPr>
          <w:rFonts w:asciiTheme="minorEastAsia" w:hAnsiTheme="minorEastAsia"/>
          <w:b/>
          <w:sz w:val="28"/>
          <w:szCs w:val="24"/>
        </w:rPr>
      </w:pPr>
      <w:r>
        <w:rPr>
          <w:rFonts w:asciiTheme="minorEastAsia" w:hAnsiTheme="minorEastAsia"/>
          <w:b/>
          <w:sz w:val="28"/>
          <w:szCs w:val="24"/>
        </w:rPr>
      </w:r>
      <w:r/>
    </w:p>
    <w:p>
      <w:pPr>
        <w:pStyle w:val="849"/>
        <w:rPr>
          <w:rFonts w:asciiTheme="minorEastAsia" w:hAnsiTheme="minorEastAsia"/>
          <w:b/>
          <w:sz w:val="28"/>
          <w:szCs w:val="24"/>
        </w:rPr>
      </w:pPr>
      <w:r>
        <w:rPr>
          <w:rFonts w:asciiTheme="minorEastAsia" w:hAnsiTheme="minorEastAsia"/>
          <w:b/>
          <w:sz w:val="28"/>
          <w:szCs w:val="24"/>
        </w:rPr>
      </w:r>
      <w:r/>
    </w:p>
    <w:p>
      <w:pPr>
        <w:pStyle w:val="849"/>
        <w:ind w:firstLine="0"/>
      </w:pPr>
      <w:r/>
      <w:r/>
    </w:p>
    <w:p>
      <w:pPr>
        <w:jc w:val="center"/>
        <w:spacing w:line="500" w:lineRule="exact"/>
        <w:rPr>
          <w:rFonts w:asciiTheme="minorEastAsia" w:hAnsiTheme="minorEastAsia"/>
          <w:b/>
          <w:sz w:val="28"/>
          <w:szCs w:val="24"/>
        </w:rPr>
      </w:pPr>
      <w:r>
        <w:rPr>
          <w:rFonts w:asciiTheme="minorEastAsia" w:hAnsiTheme="minorEastAsia"/>
          <w:b/>
          <w:sz w:val="28"/>
          <w:szCs w:val="24"/>
        </w:rPr>
        <w:t xml:space="preserve">采购包</w:t>
      </w:r>
      <w:r>
        <w:rPr>
          <w:rFonts w:hint="eastAsia" w:asciiTheme="minorEastAsia" w:hAnsiTheme="minorEastAsia"/>
          <w:b/>
          <w:sz w:val="28"/>
          <w:szCs w:val="24"/>
        </w:rPr>
        <w:t xml:space="preserve">2</w:t>
      </w:r>
      <w:r/>
    </w:p>
    <w:p>
      <w:pPr>
        <w:jc w:val="center"/>
        <w:spacing w:line="500" w:lineRule="exact"/>
        <w:rPr>
          <w:rFonts w:ascii="黑体" w:hAnsi="黑体" w:eastAsia="黑体"/>
          <w:sz w:val="32"/>
          <w:szCs w:val="24"/>
        </w:rPr>
      </w:pPr>
      <w:r>
        <w:rPr>
          <w:rFonts w:ascii="黑体" w:hAnsi="黑体" w:eastAsia="黑体"/>
          <w:sz w:val="32"/>
          <w:szCs w:val="24"/>
        </w:rPr>
      </w:r>
      <w:r/>
    </w:p>
    <w:p>
      <w:pPr>
        <w:jc w:val="center"/>
        <w:spacing w:line="500" w:lineRule="exact"/>
        <w:rPr>
          <w:rFonts w:ascii="黑体" w:hAnsi="黑体" w:eastAsia="黑体"/>
          <w:sz w:val="32"/>
          <w:szCs w:val="24"/>
        </w:rPr>
      </w:pPr>
      <w:r>
        <w:rPr>
          <w:rFonts w:hint="eastAsia" w:ascii="黑体" w:hAnsi="黑体" w:eastAsia="黑体"/>
          <w:sz w:val="32"/>
          <w:szCs w:val="24"/>
        </w:rPr>
        <w:t xml:space="preserve">综合评分法</w:t>
      </w:r>
      <w:r/>
    </w:p>
    <w:p>
      <w:pPr>
        <w:ind w:firstLine="480"/>
        <w:jc w:val="left"/>
        <w:spacing w:line="500" w:lineRule="exact"/>
        <w:rPr>
          <w:sz w:val="24"/>
          <w:szCs w:val="24"/>
        </w:rPr>
      </w:pPr>
      <w:r>
        <w:rPr>
          <w:sz w:val="24"/>
          <w:szCs w:val="24"/>
        </w:rPr>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1.价格分（25分）</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采用低价优先法计算，即满足招标文件要求且投标价格最低的投标报价为评</w:t>
      </w:r>
      <w:r>
        <w:rPr>
          <w:rFonts w:hint="eastAsia" w:asciiTheme="minorEastAsia" w:hAnsiTheme="minorEastAsia"/>
          <w:sz w:val="24"/>
          <w:szCs w:val="24"/>
        </w:rPr>
        <w:t xml:space="preserve">标基准价，其价格分为满分。其他投标人的价格分统一按照下列公式计算：</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投标报价得分=（评标基准价／投标报价）×25分</w:t>
      </w:r>
      <w:r/>
    </w:p>
    <w:p>
      <w:pPr>
        <w:ind w:firstLine="480"/>
        <w:jc w:val="left"/>
        <w:spacing w:line="500" w:lineRule="exact"/>
        <w:rPr>
          <w:rFonts w:ascii="宋体" w:hAnsi="宋体" w:eastAsia="宋体" w:cs="宋体"/>
          <w:sz w:val="24"/>
          <w:szCs w:val="24"/>
        </w:rPr>
      </w:pPr>
      <w:r>
        <w:rPr>
          <w:rFonts w:hint="eastAsia" w:ascii="宋体" w:hAnsi="宋体" w:eastAsia="宋体" w:cs="宋体"/>
          <w:sz w:val="24"/>
          <w:szCs w:val="24"/>
        </w:rPr>
        <w:t xml:space="preserve">因落实政府采购政策进行价格调整的，以调整后的价格计算评标基准价和投标报价，小数点后保留两位。</w:t>
      </w:r>
      <w:r/>
    </w:p>
    <w:p>
      <w:pPr>
        <w:ind w:firstLine="482"/>
        <w:jc w:val="left"/>
        <w:spacing w:line="360" w:lineRule="auto"/>
        <w:rPr>
          <w:rFonts w:ascii="宋体" w:hAnsi="宋体" w:cs="宋体"/>
          <w:b/>
          <w:sz w:val="24"/>
          <w:szCs w:val="24"/>
        </w:rPr>
      </w:pPr>
      <w:r>
        <w:rPr>
          <w:rFonts w:hint="eastAsia" w:asciiTheme="minorEastAsia" w:hAnsiTheme="minorEastAsia"/>
          <w:b/>
          <w:sz w:val="24"/>
          <w:szCs w:val="24"/>
        </w:rPr>
        <w:t xml:space="preserve">2.技术分（30分）</w:t>
      </w:r>
      <w:r>
        <w:rPr>
          <w:rFonts w:hint="eastAsia" w:ascii="宋体" w:hAnsi="宋体" w:eastAsia="宋体" w:cs="宋体"/>
          <w:b/>
          <w:sz w:val="24"/>
          <w:szCs w:val="24"/>
        </w:rPr>
        <w:t xml:space="preserve">（本部分</w:t>
      </w:r>
      <w:r>
        <w:rPr>
          <w:rFonts w:hint="eastAsia" w:ascii="宋体" w:hAnsi="宋体" w:cs="Calibri"/>
          <w:b/>
          <w:color w:val="000000"/>
          <w:sz w:val="24"/>
          <w:szCs w:val="24"/>
        </w:rPr>
        <w:t xml:space="preserve">采用暗标方式进行评审）</w:t>
      </w:r>
      <w:r/>
    </w:p>
    <w:tbl>
      <w:tblPr>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660"/>
        <w:gridCol w:w="6845"/>
      </w:tblGrid>
      <w:tr>
        <w:trPr>
          <w:jc w:val="center"/>
          <w:trHeight w:val="621"/>
        </w:trPr>
        <w:tc>
          <w:tcPr>
            <w:tcW w:w="1660"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Theme="minorEastAsia" w:hAnsiTheme="minorEastAsia"/>
                <w:b/>
                <w:color w:val="000000"/>
                <w:sz w:val="24"/>
                <w:szCs w:val="24"/>
              </w:rPr>
            </w:pPr>
            <w:r>
              <w:rPr>
                <w:rFonts w:hint="eastAsia" w:asciiTheme="minorEastAsia" w:hAnsiTheme="minorEastAsia"/>
                <w:b/>
                <w:color w:val="000000"/>
                <w:sz w:val="24"/>
                <w:szCs w:val="24"/>
              </w:rPr>
              <w:t xml:space="preserve">评审因素</w:t>
            </w:r>
            <w:r/>
          </w:p>
        </w:tc>
        <w:tc>
          <w:tcPr>
            <w:tcW w:w="6845"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Theme="minorEastAsia" w:hAnsiTheme="minorEastAsia"/>
                <w:b/>
                <w:color w:val="000000"/>
                <w:sz w:val="24"/>
                <w:szCs w:val="24"/>
              </w:rPr>
            </w:pPr>
            <w:r>
              <w:rPr>
                <w:rFonts w:hint="eastAsia" w:asciiTheme="minorEastAsia" w:hAnsiTheme="minorEastAsia"/>
                <w:b/>
                <w:color w:val="000000"/>
                <w:sz w:val="24"/>
                <w:szCs w:val="24"/>
              </w:rPr>
              <w:t xml:space="preserve">评审标准</w:t>
            </w:r>
            <w:r/>
          </w:p>
        </w:tc>
      </w:tr>
      <w:tr>
        <w:trPr>
          <w:jc w:val="center"/>
          <w:trHeight w:val="621"/>
        </w:trPr>
        <w:tc>
          <w:tcPr>
            <w:tcW w:w="1660" w:type="dxa"/>
            <w:vAlign w:val="center"/>
            <w:textDirection w:val="lrTb"/>
            <w:noWrap w:val="false"/>
          </w:tcPr>
          <w:p>
            <w:pPr>
              <w:jc w:val="center"/>
              <w:spacing w:line="50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sz w:val="24"/>
                <w:szCs w:val="24"/>
              </w:rPr>
            </w:pPr>
            <w:r>
              <w:rPr>
                <w:rFonts w:hint="eastAsia" w:ascii="宋体" w:hAnsi="宋体" w:eastAsia="宋体" w:cs="宋体"/>
                <w:sz w:val="24"/>
                <w:szCs w:val="24"/>
              </w:rPr>
              <w:t xml:space="preserve">总体实施方案</w:t>
            </w:r>
            <w:r>
              <w:rPr>
                <w:rFonts w:hint="eastAsia" w:ascii="宋体" w:hAnsi="宋体"/>
                <w:sz w:val="24"/>
                <w:szCs w:val="24"/>
              </w:rPr>
              <w:t xml:space="preserve">（6分）</w:t>
            </w:r>
            <w:r/>
          </w:p>
        </w:tc>
        <w:tc>
          <w:tcPr>
            <w:tcW w:w="6845" w:type="dxa"/>
            <w:vAlign w:val="center"/>
            <w:textDirection w:val="lrTb"/>
            <w:noWrap w:val="false"/>
          </w:tcPr>
          <w:p>
            <w:pPr>
              <w:spacing w:line="360" w:lineRule="auto"/>
              <w:rPr>
                <w:rFonts w:ascii="宋体" w:hAnsi="宋体" w:eastAsia="宋体" w:cs="宋体"/>
                <w:sz w:val="24"/>
                <w:szCs w:val="24"/>
              </w:rPr>
            </w:pPr>
            <w:r/>
            <w:bookmarkStart w:id="14" w:name="OLE_LINK10"/>
            <w:r>
              <w:rPr>
                <w:rFonts w:hint="eastAsia" w:ascii="宋体" w:hAnsi="宋体" w:eastAsia="宋体" w:cs="宋体"/>
                <w:sz w:val="24"/>
                <w:szCs w:val="24"/>
              </w:rPr>
              <w:t xml:space="preserve">投标文件中提供总体实施方案，方案包括但不限于对总体安全规划、网络安全应急方式方法、前期整改加固、后期管理体系建设、安全检查等内容：</w:t>
            </w:r>
            <w:r/>
          </w:p>
          <w:p>
            <w:pPr>
              <w:spacing w:line="360" w:lineRule="auto"/>
              <w:rPr>
                <w:rFonts w:ascii="宋体" w:hAnsi="宋体" w:cs="宋体"/>
                <w:b/>
                <w:bCs/>
                <w:sz w:val="24"/>
                <w:szCs w:val="24"/>
              </w:rPr>
            </w:pPr>
            <w:r>
              <w:rPr>
                <w:rFonts w:hint="eastAsia" w:ascii="宋体" w:hAnsi="宋体" w:cs="宋体"/>
                <w:bCs/>
                <w:sz w:val="24"/>
                <w:szCs w:val="24"/>
              </w:rPr>
              <w:t xml:space="preserve">方案分析全面透彻，科学合理，全部满足采购需求的</w:t>
            </w:r>
            <w:r>
              <w:rPr>
                <w:rFonts w:hint="eastAsia" w:ascii="宋体" w:hAnsi="宋体" w:cs="宋体"/>
                <w:b/>
                <w:bCs/>
                <w:sz w:val="24"/>
                <w:szCs w:val="24"/>
              </w:rPr>
              <w:t xml:space="preserve">得6分；</w:t>
            </w:r>
            <w:r/>
          </w:p>
          <w:p>
            <w:pPr>
              <w:spacing w:line="360" w:lineRule="auto"/>
              <w:rPr>
                <w:rFonts w:ascii="宋体" w:hAnsi="宋体" w:cs="宋体"/>
                <w:bCs/>
                <w:sz w:val="24"/>
                <w:szCs w:val="24"/>
              </w:rPr>
            </w:pPr>
            <w:r>
              <w:rPr>
                <w:rFonts w:hint="eastAsia" w:ascii="宋体" w:hAnsi="宋体" w:cs="宋体"/>
                <w:bCs/>
                <w:sz w:val="24"/>
                <w:szCs w:val="24"/>
              </w:rPr>
              <w:t xml:space="preserve">方案分析较透彻，较科学合理，较满足采购需求的</w:t>
            </w:r>
            <w:r>
              <w:rPr>
                <w:rFonts w:hint="eastAsia" w:ascii="宋体" w:hAnsi="宋体" w:cs="宋体"/>
                <w:b/>
                <w:bCs/>
                <w:sz w:val="24"/>
                <w:szCs w:val="24"/>
              </w:rPr>
              <w:t xml:space="preserve">得5分；</w:t>
            </w:r>
            <w:r/>
          </w:p>
          <w:p>
            <w:pPr>
              <w:spacing w:line="360" w:lineRule="auto"/>
              <w:rPr>
                <w:rFonts w:ascii="宋体" w:hAnsi="宋体" w:cs="宋体"/>
                <w:bCs/>
                <w:sz w:val="24"/>
                <w:szCs w:val="24"/>
              </w:rPr>
            </w:pPr>
            <w:r>
              <w:rPr>
                <w:rFonts w:hint="eastAsia" w:ascii="宋体" w:hAnsi="宋体" w:cs="宋体"/>
                <w:bCs/>
                <w:sz w:val="24"/>
                <w:szCs w:val="24"/>
              </w:rPr>
              <w:t xml:space="preserve">方案分析能够满足需求但不全面、科学合理性一般的</w:t>
            </w:r>
            <w:r>
              <w:rPr>
                <w:rFonts w:hint="eastAsia" w:ascii="宋体" w:hAnsi="宋体" w:cs="宋体"/>
                <w:b/>
                <w:bCs/>
                <w:sz w:val="24"/>
                <w:szCs w:val="24"/>
              </w:rPr>
              <w:t xml:space="preserve">得3分</w:t>
            </w:r>
            <w:r>
              <w:rPr>
                <w:rFonts w:hint="eastAsia" w:ascii="宋体" w:hAnsi="宋体" w:cs="宋体"/>
                <w:bCs/>
                <w:sz w:val="24"/>
                <w:szCs w:val="24"/>
              </w:rPr>
              <w:t xml:space="preserve">；</w:t>
            </w:r>
            <w:r/>
          </w:p>
          <w:p>
            <w:pPr>
              <w:spacing w:line="360" w:lineRule="auto"/>
              <w:rPr>
                <w:rFonts w:ascii="宋体" w:hAnsi="宋体" w:cs="宋体"/>
                <w:b/>
                <w:bCs/>
                <w:sz w:val="24"/>
                <w:szCs w:val="24"/>
              </w:rPr>
            </w:pPr>
            <w:r>
              <w:rPr>
                <w:rFonts w:hint="eastAsia" w:ascii="宋体" w:hAnsi="宋体" w:cs="宋体"/>
                <w:bCs/>
                <w:sz w:val="24"/>
                <w:szCs w:val="24"/>
              </w:rPr>
              <w:t xml:space="preserve">方案理解模糊片面，部分满足需求的</w:t>
            </w:r>
            <w:r>
              <w:rPr>
                <w:rFonts w:hint="eastAsia" w:ascii="宋体" w:hAnsi="宋体" w:cs="宋体"/>
                <w:b/>
                <w:bCs/>
                <w:sz w:val="24"/>
                <w:szCs w:val="24"/>
              </w:rPr>
              <w:t xml:space="preserve">得2分；</w:t>
            </w:r>
            <w:r/>
          </w:p>
          <w:p>
            <w:pPr>
              <w:spacing w:line="360" w:lineRule="auto"/>
              <w:rPr>
                <w:sz w:val="24"/>
                <w:szCs w:val="24"/>
              </w:rPr>
            </w:pPr>
            <w:r>
              <w:rPr>
                <w:rFonts w:hint="eastAsia" w:ascii="宋体" w:hAnsi="宋体" w:eastAsia="宋体" w:cs="宋体"/>
                <w:b/>
                <w:sz w:val="24"/>
                <w:szCs w:val="24"/>
              </w:rPr>
              <w:t xml:space="preserve">该项未见阐述不得分。</w:t>
            </w:r>
            <w:bookmarkEnd w:id="14"/>
            <w:r/>
            <w:r/>
          </w:p>
        </w:tc>
      </w:tr>
      <w:tr>
        <w:trPr>
          <w:jc w:val="center"/>
          <w:trHeight w:val="621"/>
        </w:trPr>
        <w:tc>
          <w:tcPr>
            <w:tcW w:w="1660" w:type="dxa"/>
            <w:vAlign w:val="center"/>
            <w:textDirection w:val="lrTb"/>
            <w:noWrap w:val="false"/>
          </w:tcPr>
          <w:p>
            <w:pPr>
              <w:jc w:val="center"/>
              <w:spacing w:line="50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sz w:val="24"/>
                <w:szCs w:val="24"/>
              </w:rPr>
            </w:pPr>
            <w:r>
              <w:rPr>
                <w:rFonts w:hint="eastAsia" w:ascii="宋体" w:hAnsi="宋体" w:eastAsia="宋体" w:cs="宋体"/>
                <w:sz w:val="24"/>
                <w:szCs w:val="24"/>
              </w:rPr>
              <w:t xml:space="preserve">网络安全风险评估方案</w:t>
            </w:r>
            <w:r/>
          </w:p>
          <w:p>
            <w:pPr>
              <w:jc w:val="center"/>
              <w:spacing w:line="50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sz w:val="24"/>
                <w:szCs w:val="24"/>
              </w:rPr>
            </w:pPr>
            <w:r>
              <w:rPr>
                <w:rFonts w:hint="eastAsia" w:ascii="宋体" w:hAnsi="宋体"/>
                <w:sz w:val="24"/>
                <w:szCs w:val="24"/>
              </w:rPr>
              <w:t xml:space="preserve">（6分）</w:t>
            </w:r>
            <w:r/>
          </w:p>
        </w:tc>
        <w:tc>
          <w:tcPr>
            <w:tcW w:w="6845" w:type="dxa"/>
            <w:vAlign w:val="center"/>
            <w:textDirection w:val="lrTb"/>
            <w:noWrap w:val="false"/>
          </w:tcPr>
          <w:p>
            <w:pPr>
              <w:spacing w:line="360" w:lineRule="auto"/>
              <w:rPr>
                <w:rFonts w:ascii="宋体" w:hAnsi="宋体" w:eastAsia="宋体" w:cs="宋体"/>
                <w:sz w:val="24"/>
                <w:szCs w:val="24"/>
              </w:rPr>
            </w:pPr>
            <w:r>
              <w:rPr>
                <w:rFonts w:hint="eastAsia" w:ascii="宋体" w:hAnsi="宋体" w:eastAsia="宋体" w:cs="宋体"/>
                <w:sz w:val="24"/>
                <w:szCs w:val="24"/>
              </w:rPr>
              <w:t xml:space="preserve">投标文件中提供网络安全风险评估方案，方案包括但不限于评估方法、风险点识别、处置方案等内容：</w:t>
            </w:r>
            <w:r/>
          </w:p>
          <w:p>
            <w:pPr>
              <w:spacing w:line="360" w:lineRule="auto"/>
              <w:rPr>
                <w:rFonts w:ascii="宋体" w:hAnsi="宋体" w:eastAsia="宋体" w:cs="宋体"/>
                <w:b/>
                <w:sz w:val="24"/>
                <w:szCs w:val="24"/>
              </w:rPr>
            </w:pPr>
            <w:r>
              <w:rPr>
                <w:rFonts w:hint="eastAsia" w:ascii="宋体" w:hAnsi="宋体" w:eastAsia="宋体" w:cs="宋体"/>
                <w:sz w:val="24"/>
                <w:szCs w:val="24"/>
              </w:rPr>
              <w:t xml:space="preserve">方案完整，评估方法科学完善，风险点识别准确，处置方案针对性强的</w:t>
            </w:r>
            <w:r>
              <w:rPr>
                <w:rFonts w:hint="eastAsia" w:ascii="宋体" w:hAnsi="宋体" w:eastAsia="宋体" w:cs="宋体"/>
                <w:b/>
                <w:sz w:val="24"/>
                <w:szCs w:val="24"/>
              </w:rPr>
              <w:t xml:space="preserve">得6分；</w:t>
            </w:r>
            <w:r/>
          </w:p>
          <w:p>
            <w:pPr>
              <w:spacing w:line="360" w:lineRule="auto"/>
              <w:rPr>
                <w:rFonts w:ascii="宋体" w:hAnsi="宋体" w:eastAsia="宋体" w:cs="宋体"/>
                <w:b/>
                <w:sz w:val="24"/>
                <w:szCs w:val="24"/>
              </w:rPr>
            </w:pPr>
            <w:r>
              <w:rPr>
                <w:rFonts w:hint="eastAsia" w:ascii="宋体" w:hAnsi="宋体" w:eastAsia="宋体" w:cs="宋体"/>
                <w:sz w:val="24"/>
                <w:szCs w:val="24"/>
              </w:rPr>
              <w:t xml:space="preserve">方案比较完整，评估方法比较科学，风险点识别比较准确，处置方案针对性较强的</w:t>
            </w:r>
            <w:r>
              <w:rPr>
                <w:rFonts w:hint="eastAsia" w:ascii="宋体" w:hAnsi="宋体" w:eastAsia="宋体" w:cs="宋体"/>
                <w:b/>
                <w:sz w:val="24"/>
                <w:szCs w:val="24"/>
              </w:rPr>
              <w:t xml:space="preserve">得5分；</w:t>
            </w:r>
            <w:r/>
          </w:p>
          <w:p>
            <w:pPr>
              <w:spacing w:line="360" w:lineRule="auto"/>
              <w:rPr>
                <w:rFonts w:ascii="宋体" w:hAnsi="宋体" w:eastAsia="宋体" w:cs="宋体"/>
                <w:b/>
                <w:sz w:val="24"/>
                <w:szCs w:val="24"/>
              </w:rPr>
            </w:pPr>
            <w:r>
              <w:rPr>
                <w:rFonts w:hint="eastAsia" w:ascii="宋体" w:hAnsi="宋体" w:eastAsia="宋体" w:cs="宋体"/>
                <w:sz w:val="24"/>
                <w:szCs w:val="24"/>
              </w:rPr>
              <w:t xml:space="preserve">方案简单，评估方法一般，风险点识别准确性一般、处置方案针对性一般的</w:t>
            </w:r>
            <w:r>
              <w:rPr>
                <w:rFonts w:hint="eastAsia" w:ascii="宋体" w:hAnsi="宋体" w:eastAsia="宋体" w:cs="宋体"/>
                <w:b/>
                <w:sz w:val="24"/>
                <w:szCs w:val="24"/>
              </w:rPr>
              <w:t xml:space="preserve">得3分；</w:t>
            </w:r>
            <w:r/>
          </w:p>
          <w:p>
            <w:pPr>
              <w:spacing w:line="360" w:lineRule="auto"/>
              <w:rPr>
                <w:rFonts w:ascii="宋体" w:hAnsi="宋体" w:eastAsia="宋体" w:cs="宋体"/>
                <w:b/>
                <w:sz w:val="24"/>
                <w:szCs w:val="24"/>
              </w:rPr>
            </w:pPr>
            <w:r>
              <w:rPr>
                <w:rFonts w:hint="eastAsia" w:ascii="宋体" w:hAnsi="宋体" w:eastAsia="宋体" w:cs="宋体"/>
                <w:sz w:val="24"/>
                <w:szCs w:val="24"/>
              </w:rPr>
              <w:t xml:space="preserve">方案简单粗糙，评估方法可实施性不强，风险点识别及处置方案针对性不强的</w:t>
            </w:r>
            <w:r>
              <w:rPr>
                <w:rFonts w:hint="eastAsia" w:ascii="宋体" w:hAnsi="宋体" w:eastAsia="宋体" w:cs="宋体"/>
                <w:b/>
                <w:sz w:val="24"/>
                <w:szCs w:val="24"/>
              </w:rPr>
              <w:t xml:space="preserve">得1分；</w:t>
            </w:r>
            <w:r/>
          </w:p>
          <w:p>
            <w:pPr>
              <w:spacing w:line="360" w:lineRule="auto"/>
              <w:rPr>
                <w:b/>
                <w:sz w:val="24"/>
                <w:szCs w:val="24"/>
              </w:rPr>
            </w:pPr>
            <w:r>
              <w:rPr>
                <w:rFonts w:hint="eastAsia" w:ascii="宋体" w:hAnsi="宋体" w:eastAsia="宋体" w:cs="宋体"/>
                <w:b/>
                <w:sz w:val="24"/>
                <w:szCs w:val="24"/>
              </w:rPr>
              <w:t xml:space="preserve">该项未见阐述不得分。</w:t>
            </w:r>
            <w:r/>
          </w:p>
        </w:tc>
      </w:tr>
      <w:tr>
        <w:trPr>
          <w:jc w:val="center"/>
          <w:trHeight w:val="621"/>
        </w:trPr>
        <w:tc>
          <w:tcPr>
            <w:tcW w:w="1660" w:type="dxa"/>
            <w:vAlign w:val="center"/>
            <w:textDirection w:val="lrTb"/>
            <w:noWrap w:val="false"/>
          </w:tcPr>
          <w:p>
            <w:pPr>
              <w:jc w:val="center"/>
              <w:spacing w:line="50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sz w:val="24"/>
                <w:szCs w:val="24"/>
                <w:highlight w:val="yellow"/>
              </w:rPr>
            </w:pPr>
            <w:r>
              <w:rPr>
                <w:rFonts w:hint="eastAsia" w:ascii="宋体" w:hAnsi="宋体" w:eastAsia="宋体" w:cs="宋体"/>
                <w:sz w:val="24"/>
                <w:szCs w:val="24"/>
              </w:rPr>
              <w:t xml:space="preserve">应急演练方案</w:t>
            </w:r>
            <w:r>
              <w:rPr>
                <w:rFonts w:hint="eastAsia" w:ascii="宋体" w:hAnsi="宋体"/>
                <w:sz w:val="24"/>
                <w:szCs w:val="24"/>
              </w:rPr>
              <w:t xml:space="preserve">（6分）</w:t>
            </w:r>
            <w:r/>
          </w:p>
        </w:tc>
        <w:tc>
          <w:tcPr>
            <w:tcW w:w="6845" w:type="dxa"/>
            <w:vAlign w:val="center"/>
            <w:textDirection w:val="lrTb"/>
            <w:noWrap w:val="false"/>
          </w:tcPr>
          <w:p>
            <w:pPr>
              <w:spacing w:line="360" w:lineRule="auto"/>
              <w:rPr>
                <w:rFonts w:ascii="宋体" w:hAnsi="宋体" w:eastAsia="宋体" w:cs="宋体"/>
                <w:sz w:val="24"/>
                <w:szCs w:val="24"/>
              </w:rPr>
            </w:pPr>
            <w:r/>
            <w:bookmarkStart w:id="15" w:name="OLE_LINK11"/>
            <w:r>
              <w:rPr>
                <w:rFonts w:hint="eastAsia" w:ascii="宋体" w:hAnsi="宋体" w:eastAsia="宋体" w:cs="宋体"/>
                <w:sz w:val="24"/>
                <w:szCs w:val="24"/>
              </w:rPr>
              <w:t xml:space="preserve">投标文件中提供应急演练方案，方案包括但不限于演练场景、演练内容、演练人员职责分工等内容：</w:t>
            </w:r>
            <w:r/>
          </w:p>
          <w:p>
            <w:pPr>
              <w:spacing w:line="360" w:lineRule="auto"/>
              <w:rPr>
                <w:rFonts w:ascii="宋体" w:hAnsi="宋体" w:eastAsia="宋体" w:cs="宋体"/>
                <w:b/>
                <w:sz w:val="24"/>
                <w:szCs w:val="24"/>
              </w:rPr>
            </w:pPr>
            <w:r>
              <w:rPr>
                <w:rFonts w:hint="eastAsia" w:ascii="宋体" w:hAnsi="宋体" w:eastAsia="宋体" w:cs="宋体"/>
                <w:sz w:val="24"/>
                <w:szCs w:val="24"/>
              </w:rPr>
              <w:t xml:space="preserve">方案详细，演练场景合理，演练内容覆盖全面，练人员职责分工明确的</w:t>
            </w:r>
            <w:r>
              <w:rPr>
                <w:rFonts w:hint="eastAsia" w:ascii="宋体" w:hAnsi="宋体" w:eastAsia="宋体" w:cs="宋体"/>
                <w:b/>
                <w:sz w:val="24"/>
                <w:szCs w:val="24"/>
              </w:rPr>
              <w:t xml:space="preserve">得6分；</w:t>
            </w:r>
            <w:r/>
          </w:p>
          <w:p>
            <w:pPr>
              <w:spacing w:line="360" w:lineRule="auto"/>
              <w:rPr>
                <w:rFonts w:ascii="宋体" w:hAnsi="宋体" w:eastAsia="宋体" w:cs="宋体"/>
                <w:b/>
                <w:sz w:val="24"/>
                <w:szCs w:val="24"/>
              </w:rPr>
            </w:pPr>
            <w:r>
              <w:rPr>
                <w:rFonts w:hint="eastAsia" w:ascii="宋体" w:hAnsi="宋体" w:eastAsia="宋体" w:cs="宋体"/>
                <w:sz w:val="24"/>
                <w:szCs w:val="24"/>
              </w:rPr>
              <w:t xml:space="preserve">方案比较详细，演练场景比较合理，演练内容覆盖比较全面，演练人员职责分工比较明确的</w:t>
            </w:r>
            <w:r>
              <w:rPr>
                <w:rFonts w:hint="eastAsia" w:ascii="宋体" w:hAnsi="宋体" w:eastAsia="宋体" w:cs="宋体"/>
                <w:b/>
                <w:sz w:val="24"/>
                <w:szCs w:val="24"/>
              </w:rPr>
              <w:t xml:space="preserve">得5分；</w:t>
            </w:r>
            <w:r/>
          </w:p>
          <w:p>
            <w:pPr>
              <w:spacing w:line="360" w:lineRule="auto"/>
              <w:rPr>
                <w:rFonts w:ascii="宋体" w:hAnsi="宋体" w:eastAsia="宋体" w:cs="宋体"/>
                <w:b/>
                <w:sz w:val="24"/>
                <w:szCs w:val="24"/>
              </w:rPr>
            </w:pPr>
            <w:r>
              <w:rPr>
                <w:rFonts w:hint="eastAsia" w:ascii="宋体" w:hAnsi="宋体" w:eastAsia="宋体" w:cs="宋体"/>
                <w:sz w:val="24"/>
                <w:szCs w:val="24"/>
              </w:rPr>
              <w:t xml:space="preserve">方案内容一般，演练场景合理性一般，演练内容有缺失，演练人员职责分工合理性一般的</w:t>
            </w:r>
            <w:r>
              <w:rPr>
                <w:rFonts w:hint="eastAsia" w:ascii="宋体" w:hAnsi="宋体" w:eastAsia="宋体" w:cs="宋体"/>
                <w:b/>
                <w:sz w:val="24"/>
                <w:szCs w:val="24"/>
              </w:rPr>
              <w:t xml:space="preserve">得3分；</w:t>
            </w:r>
            <w:r/>
          </w:p>
          <w:p>
            <w:pPr>
              <w:spacing w:line="360" w:lineRule="auto"/>
              <w:rPr>
                <w:rFonts w:ascii="宋体" w:hAnsi="宋体" w:eastAsia="宋体" w:cs="宋体"/>
                <w:b/>
                <w:sz w:val="24"/>
                <w:szCs w:val="24"/>
              </w:rPr>
            </w:pPr>
            <w:r>
              <w:rPr>
                <w:rFonts w:hint="eastAsia" w:ascii="宋体" w:hAnsi="宋体" w:eastAsia="宋体" w:cs="宋体"/>
                <w:sz w:val="24"/>
                <w:szCs w:val="24"/>
              </w:rPr>
              <w:t xml:space="preserve">方案内容简单粗糙，演练场景合理性不高，演练内容有缺失，演练人员职责分工不明确的</w:t>
            </w:r>
            <w:r>
              <w:rPr>
                <w:rFonts w:hint="eastAsia" w:ascii="宋体" w:hAnsi="宋体" w:eastAsia="宋体" w:cs="宋体"/>
                <w:b/>
                <w:sz w:val="24"/>
                <w:szCs w:val="24"/>
              </w:rPr>
              <w:t xml:space="preserve">得1分；</w:t>
            </w:r>
            <w:r/>
          </w:p>
          <w:p>
            <w:pPr>
              <w:spacing w:line="360" w:lineRule="auto"/>
              <w:rPr>
                <w:b/>
                <w:sz w:val="24"/>
                <w:szCs w:val="24"/>
                <w:highlight w:val="yellow"/>
              </w:rPr>
            </w:pPr>
            <w:r>
              <w:rPr>
                <w:rFonts w:hint="eastAsia" w:ascii="宋体" w:hAnsi="宋体" w:eastAsia="宋体" w:cs="宋体"/>
                <w:b/>
                <w:sz w:val="24"/>
                <w:szCs w:val="24"/>
              </w:rPr>
              <w:t xml:space="preserve">该项未见阐述不得分。</w:t>
            </w:r>
            <w:bookmarkEnd w:id="15"/>
            <w:r/>
            <w:r/>
          </w:p>
        </w:tc>
      </w:tr>
      <w:tr>
        <w:trPr>
          <w:jc w:val="center"/>
          <w:trHeight w:val="621"/>
        </w:trPr>
        <w:tc>
          <w:tcPr>
            <w:tcW w:w="1660" w:type="dxa"/>
            <w:vAlign w:val="center"/>
            <w:textDirection w:val="lrTb"/>
            <w:noWrap w:val="false"/>
          </w:tcPr>
          <w:p>
            <w:pPr>
              <w:pStyle w:val="861"/>
              <w:ind w:left="0" w:firstLine="0"/>
              <w:jc w:val="center"/>
              <w:rPr>
                <w:sz w:val="24"/>
                <w:szCs w:val="24"/>
              </w:rPr>
            </w:pPr>
            <w:r>
              <w:rPr>
                <w:rFonts w:hint="eastAsia" w:ascii="宋体" w:hAnsi="宋体" w:cs="宋体"/>
                <w:sz w:val="24"/>
                <w:szCs w:val="24"/>
              </w:rPr>
              <w:t xml:space="preserve">网络防御方案</w:t>
            </w:r>
            <w:r>
              <w:rPr>
                <w:rFonts w:hint="eastAsia" w:ascii="宋体" w:hAnsi="宋体"/>
                <w:sz w:val="24"/>
                <w:szCs w:val="24"/>
              </w:rPr>
              <w:t xml:space="preserve">（4分）</w:t>
            </w:r>
            <w:r/>
          </w:p>
        </w:tc>
        <w:tc>
          <w:tcPr>
            <w:tcW w:w="6845" w:type="dxa"/>
            <w:vAlign w:val="center"/>
            <w:textDirection w:val="lrTb"/>
            <w:noWrap w:val="false"/>
          </w:tcPr>
          <w:p>
            <w:pPr>
              <w:spacing w:line="360" w:lineRule="auto"/>
              <w:rPr>
                <w:rFonts w:ascii="宋体" w:hAnsi="宋体" w:eastAsia="宋体" w:cs="宋体"/>
                <w:sz w:val="24"/>
                <w:szCs w:val="24"/>
              </w:rPr>
            </w:pPr>
            <w:r>
              <w:rPr>
                <w:rFonts w:hint="eastAsia" w:ascii="宋体" w:hAnsi="宋体" w:eastAsia="宋体" w:cs="宋体"/>
                <w:sz w:val="24"/>
                <w:szCs w:val="24"/>
              </w:rPr>
              <w:t xml:space="preserve">投标文件中提供网络防御方案，方案包括但不限于网络安全监测、安全防御措施、安全事件处理等内容：</w:t>
            </w:r>
            <w:r/>
          </w:p>
          <w:p>
            <w:pPr>
              <w:spacing w:line="360" w:lineRule="auto"/>
              <w:rPr>
                <w:rFonts w:ascii="宋体" w:hAnsi="宋体" w:eastAsia="宋体" w:cs="宋体"/>
                <w:b/>
                <w:sz w:val="24"/>
                <w:szCs w:val="24"/>
              </w:rPr>
            </w:pPr>
            <w:r>
              <w:rPr>
                <w:rFonts w:hint="eastAsia" w:ascii="宋体" w:hAnsi="宋体" w:eastAsia="宋体" w:cs="宋体"/>
                <w:sz w:val="24"/>
                <w:szCs w:val="24"/>
              </w:rPr>
              <w:t xml:space="preserve">方案内容完整，网络安全监测方法科学合理，安全防御措施可操作性强，安全事件处理响应及时的</w:t>
            </w:r>
            <w:r>
              <w:rPr>
                <w:rFonts w:hint="eastAsia" w:ascii="宋体" w:hAnsi="宋体" w:eastAsia="宋体" w:cs="宋体"/>
                <w:b/>
                <w:sz w:val="24"/>
                <w:szCs w:val="24"/>
              </w:rPr>
              <w:t xml:space="preserve">得4分；</w:t>
            </w:r>
            <w:r/>
          </w:p>
          <w:p>
            <w:pPr>
              <w:spacing w:line="360" w:lineRule="auto"/>
              <w:rPr>
                <w:rFonts w:ascii="宋体" w:hAnsi="宋体" w:eastAsia="宋体" w:cs="宋体"/>
                <w:sz w:val="24"/>
                <w:szCs w:val="24"/>
              </w:rPr>
            </w:pPr>
            <w:r>
              <w:rPr>
                <w:rFonts w:hint="eastAsia" w:ascii="宋体" w:hAnsi="宋体" w:eastAsia="宋体" w:cs="宋体"/>
                <w:sz w:val="24"/>
                <w:szCs w:val="24"/>
              </w:rPr>
              <w:t xml:space="preserve">方案内容比较完整，网络安全监测方法比较合理，安全防御措施可操作性较强，安全事件处理响应比较及时的</w:t>
            </w:r>
            <w:r>
              <w:rPr>
                <w:rFonts w:hint="eastAsia" w:ascii="宋体" w:hAnsi="宋体" w:eastAsia="宋体" w:cs="宋体"/>
                <w:b/>
                <w:sz w:val="24"/>
                <w:szCs w:val="24"/>
              </w:rPr>
              <w:t xml:space="preserve">得2分</w:t>
            </w:r>
            <w:r>
              <w:rPr>
                <w:rFonts w:hint="eastAsia" w:ascii="宋体" w:hAnsi="宋体" w:eastAsia="宋体" w:cs="宋体"/>
                <w:sz w:val="24"/>
                <w:szCs w:val="24"/>
              </w:rPr>
              <w:t xml:space="preserve">；</w:t>
            </w:r>
            <w:r/>
          </w:p>
          <w:p>
            <w:pPr>
              <w:spacing w:line="360" w:lineRule="auto"/>
              <w:rPr>
                <w:rFonts w:ascii="宋体" w:hAnsi="宋体" w:eastAsia="宋体" w:cs="宋体"/>
                <w:b/>
                <w:sz w:val="24"/>
                <w:szCs w:val="24"/>
              </w:rPr>
            </w:pPr>
            <w:r>
              <w:rPr>
                <w:rFonts w:hint="eastAsia" w:ascii="宋体" w:hAnsi="宋体" w:eastAsia="宋体" w:cs="宋体"/>
                <w:sz w:val="24"/>
                <w:szCs w:val="24"/>
              </w:rPr>
              <w:t xml:space="preserve">方案内容简单，网络安全监测方法合理性一般、安全防御措施可操作性一般的</w:t>
            </w:r>
            <w:r>
              <w:rPr>
                <w:rFonts w:hint="eastAsia" w:ascii="宋体" w:hAnsi="宋体" w:eastAsia="宋体" w:cs="宋体"/>
                <w:b/>
                <w:sz w:val="24"/>
                <w:szCs w:val="24"/>
              </w:rPr>
              <w:t xml:space="preserve">得1分；</w:t>
            </w:r>
            <w:r/>
          </w:p>
          <w:p>
            <w:pPr>
              <w:pStyle w:val="861"/>
              <w:ind w:left="0" w:firstLine="0"/>
              <w:rPr>
                <w:b/>
                <w:sz w:val="24"/>
                <w:szCs w:val="24"/>
              </w:rPr>
            </w:pPr>
            <w:r>
              <w:rPr>
                <w:rFonts w:hint="eastAsia" w:ascii="宋体" w:hAnsi="宋体" w:cs="宋体"/>
                <w:b/>
                <w:sz w:val="24"/>
                <w:szCs w:val="24"/>
              </w:rPr>
              <w:t xml:space="preserve">该项未见阐述不得分。</w:t>
            </w:r>
            <w:r/>
          </w:p>
        </w:tc>
      </w:tr>
      <w:tr>
        <w:trPr>
          <w:jc w:val="center"/>
          <w:trHeight w:val="621"/>
        </w:trPr>
        <w:tc>
          <w:tcPr>
            <w:tcW w:w="1660" w:type="dxa"/>
            <w:vAlign w:val="center"/>
            <w:textDirection w:val="lrTb"/>
            <w:noWrap w:val="false"/>
          </w:tcPr>
          <w:p>
            <w:pPr>
              <w:jc w:val="center"/>
              <w:spacing w:line="50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sz w:val="24"/>
                <w:szCs w:val="24"/>
              </w:rPr>
            </w:pPr>
            <w:r>
              <w:rPr>
                <w:rFonts w:hint="eastAsia" w:ascii="宋体" w:hAnsi="宋体" w:eastAsia="宋体" w:cs="宋体"/>
                <w:sz w:val="24"/>
                <w:szCs w:val="24"/>
              </w:rPr>
              <w:t xml:space="preserve">安全运维方案</w:t>
            </w:r>
            <w:r>
              <w:rPr>
                <w:rFonts w:hint="eastAsia" w:ascii="宋体" w:hAnsi="宋体"/>
                <w:sz w:val="24"/>
                <w:szCs w:val="24"/>
              </w:rPr>
              <w:t xml:space="preserve">（4分）</w:t>
            </w:r>
            <w:r/>
          </w:p>
        </w:tc>
        <w:tc>
          <w:tcPr>
            <w:tcW w:w="6845" w:type="dxa"/>
            <w:vAlign w:val="center"/>
            <w:textDirection w:val="lrTb"/>
            <w:noWrap w:val="false"/>
          </w:tcPr>
          <w:p>
            <w:pPr>
              <w:spacing w:line="360" w:lineRule="auto"/>
              <w:rPr>
                <w:rFonts w:ascii="宋体" w:hAnsi="宋体" w:eastAsia="宋体" w:cs="宋体"/>
                <w:sz w:val="24"/>
                <w:szCs w:val="24"/>
              </w:rPr>
            </w:pPr>
            <w:r/>
            <w:bookmarkStart w:id="16" w:name="OLE_LINK12"/>
            <w:r>
              <w:rPr>
                <w:rFonts w:hint="eastAsia" w:ascii="宋体" w:hAnsi="宋体" w:eastAsia="宋体" w:cs="宋体"/>
                <w:sz w:val="24"/>
                <w:szCs w:val="24"/>
              </w:rPr>
              <w:t xml:space="preserve">投标文件中提供安全运维方案，方案包括但不限于安全运维体系、运维内容、安全巡检、应急响应措施等内容：</w:t>
            </w:r>
            <w:r/>
          </w:p>
          <w:p>
            <w:pPr>
              <w:spacing w:line="360" w:lineRule="auto"/>
              <w:rPr>
                <w:b/>
                <w:sz w:val="24"/>
                <w:szCs w:val="24"/>
              </w:rPr>
            </w:pPr>
            <w:r>
              <w:rPr>
                <w:rFonts w:hint="eastAsia" w:ascii="宋体" w:hAnsi="宋体" w:eastAsia="宋体" w:cs="宋体"/>
                <w:sz w:val="24"/>
                <w:szCs w:val="24"/>
              </w:rPr>
              <w:t xml:space="preserve">方案包含上述内容，运维体系完善，运维内容详细，应急响应措施可行性强的</w:t>
            </w:r>
            <w:r>
              <w:rPr>
                <w:rFonts w:hint="eastAsia" w:ascii="宋体" w:hAnsi="宋体" w:eastAsia="宋体" w:cs="宋体"/>
                <w:b/>
                <w:sz w:val="24"/>
                <w:szCs w:val="24"/>
              </w:rPr>
              <w:t xml:space="preserve">得4分；</w:t>
            </w:r>
            <w:r/>
          </w:p>
          <w:p>
            <w:pPr>
              <w:spacing w:line="360" w:lineRule="auto"/>
              <w:rPr>
                <w:rFonts w:ascii="宋体" w:hAnsi="宋体" w:eastAsia="宋体" w:cs="宋体"/>
                <w:sz w:val="24"/>
                <w:szCs w:val="24"/>
              </w:rPr>
            </w:pPr>
            <w:r>
              <w:rPr>
                <w:rFonts w:hint="eastAsia" w:ascii="宋体" w:hAnsi="宋体" w:eastAsia="宋体" w:cs="宋体"/>
                <w:sz w:val="24"/>
                <w:szCs w:val="24"/>
              </w:rPr>
              <w:t xml:space="preserve">方案包含上述内容，运维体系比较完善，运维内容比较详细，应急响应措施可行性较强的</w:t>
            </w:r>
            <w:r>
              <w:rPr>
                <w:rFonts w:hint="eastAsia" w:ascii="宋体" w:hAnsi="宋体" w:eastAsia="宋体" w:cs="宋体"/>
                <w:b/>
                <w:sz w:val="24"/>
                <w:szCs w:val="24"/>
              </w:rPr>
              <w:t xml:space="preserve">得2分；</w:t>
            </w:r>
            <w:r/>
          </w:p>
          <w:p>
            <w:pPr>
              <w:spacing w:line="360" w:lineRule="auto"/>
              <w:rPr>
                <w:rFonts w:ascii="宋体" w:hAnsi="宋体" w:eastAsia="宋体" w:cs="宋体"/>
                <w:b/>
                <w:sz w:val="24"/>
                <w:szCs w:val="24"/>
              </w:rPr>
            </w:pPr>
            <w:r>
              <w:rPr>
                <w:rFonts w:hint="eastAsia" w:ascii="宋体" w:hAnsi="宋体" w:eastAsia="宋体" w:cs="宋体"/>
                <w:sz w:val="24"/>
                <w:szCs w:val="24"/>
              </w:rPr>
              <w:t xml:space="preserve">方案内容有缺项，运维体系一般，应急响应措施可行性一般的</w:t>
            </w:r>
            <w:r>
              <w:rPr>
                <w:rFonts w:hint="eastAsia" w:ascii="宋体" w:hAnsi="宋体" w:eastAsia="宋体" w:cs="宋体"/>
                <w:b/>
                <w:sz w:val="24"/>
                <w:szCs w:val="24"/>
              </w:rPr>
              <w:t xml:space="preserve">得1分；</w:t>
            </w:r>
            <w:r/>
          </w:p>
          <w:p>
            <w:pPr>
              <w:spacing w:line="360" w:lineRule="auto"/>
              <w:rPr>
                <w:b/>
                <w:sz w:val="24"/>
                <w:szCs w:val="24"/>
              </w:rPr>
            </w:pPr>
            <w:r>
              <w:rPr>
                <w:rFonts w:hint="eastAsia" w:ascii="宋体" w:hAnsi="宋体" w:eastAsia="宋体" w:cs="宋体"/>
                <w:b/>
                <w:sz w:val="24"/>
                <w:szCs w:val="24"/>
              </w:rPr>
              <w:t xml:space="preserve">该项未见阐述不得分。</w:t>
            </w:r>
            <w:bookmarkEnd w:id="16"/>
            <w:r/>
            <w:r/>
          </w:p>
        </w:tc>
      </w:tr>
      <w:tr>
        <w:trPr>
          <w:jc w:val="center"/>
          <w:trHeight w:val="621"/>
        </w:trPr>
        <w:tc>
          <w:tcPr>
            <w:tcW w:w="1660" w:type="dxa"/>
            <w:vAlign w:val="center"/>
            <w:textDirection w:val="lrTb"/>
            <w:noWrap w:val="false"/>
          </w:tcPr>
          <w:p>
            <w:pPr>
              <w:jc w:val="center"/>
              <w:spacing w:line="50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sz w:val="24"/>
                <w:szCs w:val="24"/>
              </w:rPr>
            </w:pPr>
            <w:r>
              <w:rPr>
                <w:rFonts w:hint="eastAsia" w:ascii="宋体" w:hAnsi="宋体" w:eastAsia="宋体" w:cs="宋体"/>
                <w:sz w:val="24"/>
                <w:szCs w:val="24"/>
              </w:rPr>
              <w:t xml:space="preserve">培训方案</w:t>
            </w:r>
            <w:r/>
          </w:p>
          <w:p>
            <w:pPr>
              <w:jc w:val="center"/>
              <w:spacing w:line="50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sz w:val="24"/>
                <w:szCs w:val="24"/>
              </w:rPr>
            </w:pPr>
            <w:r>
              <w:rPr>
                <w:rFonts w:hint="eastAsia" w:ascii="宋体" w:hAnsi="宋体" w:eastAsia="宋体" w:cs="宋体"/>
                <w:sz w:val="24"/>
                <w:szCs w:val="24"/>
              </w:rPr>
              <w:t xml:space="preserve">（4分）</w:t>
            </w:r>
            <w:r/>
          </w:p>
        </w:tc>
        <w:tc>
          <w:tcPr>
            <w:tcW w:w="6845" w:type="dxa"/>
            <w:vAlign w:val="center"/>
            <w:textDirection w:val="lrTb"/>
            <w:noWrap w:val="false"/>
          </w:tcPr>
          <w:p>
            <w:pPr>
              <w:spacing w:line="360" w:lineRule="auto"/>
              <w:rPr>
                <w:rFonts w:ascii="宋体" w:hAnsi="宋体" w:eastAsia="宋体" w:cs="宋体"/>
                <w:sz w:val="24"/>
                <w:szCs w:val="24"/>
              </w:rPr>
            </w:pPr>
            <w:r>
              <w:rPr>
                <w:rFonts w:hint="eastAsia" w:ascii="宋体" w:hAnsi="宋体" w:eastAsia="宋体" w:cs="宋体"/>
                <w:sz w:val="24"/>
                <w:szCs w:val="24"/>
              </w:rPr>
              <w:t xml:space="preserve">投标文件中提供培训方案，方案包含但不限于培训计划、培训内容、培训方式等内容：</w:t>
            </w:r>
            <w:r/>
          </w:p>
          <w:p>
            <w:pPr>
              <w:spacing w:line="360" w:lineRule="auto"/>
              <w:rPr>
                <w:rFonts w:ascii="宋体" w:hAnsi="宋体" w:eastAsia="宋体" w:cs="宋体"/>
                <w:b/>
                <w:sz w:val="24"/>
                <w:szCs w:val="24"/>
              </w:rPr>
            </w:pPr>
            <w:r>
              <w:rPr>
                <w:rFonts w:hint="eastAsia" w:ascii="宋体" w:hAnsi="宋体" w:eastAsia="宋体" w:cs="宋体"/>
                <w:sz w:val="24"/>
                <w:szCs w:val="24"/>
              </w:rPr>
              <w:t xml:space="preserve">方案内容详尽完善，培训计划安排合理性强、培训内容全面、培训方式切实可行的</w:t>
            </w:r>
            <w:r>
              <w:rPr>
                <w:rFonts w:hint="eastAsia" w:ascii="宋体" w:hAnsi="宋体" w:eastAsia="宋体" w:cs="宋体"/>
                <w:b/>
                <w:sz w:val="24"/>
                <w:szCs w:val="24"/>
              </w:rPr>
              <w:t xml:space="preserve">得4分；</w:t>
            </w:r>
            <w:r/>
          </w:p>
          <w:p>
            <w:pPr>
              <w:spacing w:line="360" w:lineRule="auto"/>
              <w:rPr>
                <w:rFonts w:ascii="宋体" w:hAnsi="宋体" w:eastAsia="宋体" w:cs="宋体"/>
                <w:b/>
                <w:sz w:val="24"/>
                <w:szCs w:val="24"/>
              </w:rPr>
            </w:pPr>
            <w:r>
              <w:rPr>
                <w:rFonts w:hint="eastAsia" w:ascii="宋体" w:hAnsi="宋体" w:eastAsia="宋体" w:cs="宋体"/>
                <w:sz w:val="24"/>
                <w:szCs w:val="24"/>
              </w:rPr>
              <w:t xml:space="preserve">方案内容比较完善，培训计划安排较合理、培训内容比较全面、培训方式可行性较强的</w:t>
            </w:r>
            <w:r>
              <w:rPr>
                <w:rFonts w:hint="eastAsia" w:ascii="宋体" w:hAnsi="宋体" w:eastAsia="宋体" w:cs="宋体"/>
                <w:b/>
                <w:sz w:val="24"/>
                <w:szCs w:val="24"/>
              </w:rPr>
              <w:t xml:space="preserve">得2分；</w:t>
            </w:r>
            <w:r/>
          </w:p>
          <w:p>
            <w:pPr>
              <w:spacing w:line="360" w:lineRule="auto"/>
              <w:rPr>
                <w:rFonts w:ascii="宋体" w:hAnsi="宋体" w:eastAsia="宋体" w:cs="宋体"/>
                <w:b/>
                <w:sz w:val="24"/>
                <w:szCs w:val="24"/>
              </w:rPr>
            </w:pPr>
            <w:r>
              <w:rPr>
                <w:rFonts w:hint="eastAsia" w:ascii="宋体" w:hAnsi="宋体" w:eastAsia="宋体" w:cs="宋体"/>
                <w:sz w:val="24"/>
                <w:szCs w:val="24"/>
              </w:rPr>
              <w:t xml:space="preserve">方案内容简单粗糙，培训计划安排合理性一般、培训内容单一、培训方式可行性一般的</w:t>
            </w:r>
            <w:r>
              <w:rPr>
                <w:rFonts w:hint="eastAsia" w:ascii="宋体" w:hAnsi="宋体" w:eastAsia="宋体" w:cs="宋体"/>
                <w:b/>
                <w:sz w:val="24"/>
                <w:szCs w:val="24"/>
              </w:rPr>
              <w:t xml:space="preserve">得1分；</w:t>
            </w:r>
            <w:r/>
          </w:p>
          <w:p>
            <w:pPr>
              <w:spacing w:line="360" w:lineRule="auto"/>
              <w:rPr>
                <w:b/>
                <w:sz w:val="24"/>
                <w:szCs w:val="24"/>
              </w:rPr>
            </w:pPr>
            <w:r>
              <w:rPr>
                <w:rFonts w:hint="eastAsia" w:ascii="宋体" w:hAnsi="宋体" w:eastAsia="宋体" w:cs="宋体"/>
                <w:b/>
                <w:sz w:val="24"/>
                <w:szCs w:val="24"/>
              </w:rPr>
              <w:t xml:space="preserve">该项未见阐述不得分。</w:t>
            </w:r>
            <w:r/>
          </w:p>
        </w:tc>
      </w:tr>
    </w:tbl>
    <w:p>
      <w:pPr>
        <w:ind w:firstLine="482"/>
        <w:spacing w:line="360" w:lineRule="auto"/>
        <w:rPr>
          <w:rFonts w:asciiTheme="minorEastAsia" w:hAnsiTheme="minorEastAsia"/>
          <w:b/>
          <w:sz w:val="24"/>
          <w:szCs w:val="24"/>
        </w:rPr>
      </w:pPr>
      <w:r>
        <w:rPr>
          <w:rFonts w:hint="eastAsia" w:asciiTheme="minorEastAsia" w:hAnsiTheme="minorEastAsia"/>
          <w:b/>
          <w:sz w:val="24"/>
          <w:szCs w:val="24"/>
        </w:rPr>
        <w:t xml:space="preserve">3.商务分（45分）</w:t>
      </w:r>
      <w:r/>
    </w:p>
    <w:tbl>
      <w:tblPr>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660"/>
        <w:gridCol w:w="6845"/>
      </w:tblGrid>
      <w:tr>
        <w:trPr>
          <w:jc w:val="center"/>
          <w:trHeight w:val="621"/>
        </w:trPr>
        <w:tc>
          <w:tcPr>
            <w:tcW w:w="1660"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Theme="minorEastAsia" w:hAnsiTheme="minorEastAsia"/>
                <w:b/>
                <w:color w:val="000000"/>
                <w:sz w:val="24"/>
                <w:szCs w:val="24"/>
              </w:rPr>
            </w:pPr>
            <w:r>
              <w:rPr>
                <w:rFonts w:hint="eastAsia" w:asciiTheme="minorEastAsia" w:hAnsiTheme="minorEastAsia"/>
                <w:b/>
                <w:color w:val="000000"/>
                <w:sz w:val="24"/>
                <w:szCs w:val="24"/>
              </w:rPr>
              <w:t xml:space="preserve">评审因素</w:t>
            </w:r>
            <w:r/>
          </w:p>
        </w:tc>
        <w:tc>
          <w:tcPr>
            <w:tcW w:w="6845"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Theme="minorEastAsia" w:hAnsiTheme="minorEastAsia"/>
                <w:b/>
                <w:color w:val="000000"/>
                <w:sz w:val="24"/>
                <w:szCs w:val="24"/>
              </w:rPr>
            </w:pPr>
            <w:r>
              <w:rPr>
                <w:rFonts w:hint="eastAsia" w:asciiTheme="minorEastAsia" w:hAnsiTheme="minorEastAsia"/>
                <w:b/>
                <w:color w:val="000000"/>
                <w:sz w:val="24"/>
                <w:szCs w:val="24"/>
              </w:rPr>
              <w:t xml:space="preserve">评审标准</w:t>
            </w:r>
            <w:r/>
          </w:p>
        </w:tc>
      </w:tr>
      <w:tr>
        <w:trPr>
          <w:jc w:val="center"/>
          <w:trHeight w:val="621"/>
        </w:trPr>
        <w:tc>
          <w:tcPr>
            <w:tcW w:w="1660"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cs="宋体" w:asciiTheme="minorEastAsia" w:hAnsiTheme="minorEastAsia"/>
                <w:sz w:val="24"/>
                <w:szCs w:val="24"/>
              </w:rPr>
            </w:pPr>
            <w:r>
              <w:rPr>
                <w:rFonts w:hint="eastAsia" w:cs="宋体" w:asciiTheme="minorEastAsia" w:hAnsiTheme="minorEastAsia"/>
                <w:sz w:val="24"/>
                <w:szCs w:val="24"/>
              </w:rPr>
              <w:t xml:space="preserve">技术参数响应</w:t>
            </w:r>
            <w:r/>
          </w:p>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cs="宋体" w:asciiTheme="minorEastAsia" w:hAnsiTheme="minorEastAsia"/>
                <w:sz w:val="24"/>
                <w:szCs w:val="24"/>
              </w:rPr>
            </w:pPr>
            <w:r>
              <w:rPr>
                <w:rFonts w:hint="eastAsia" w:cs="宋体" w:asciiTheme="minorEastAsia" w:hAnsiTheme="minorEastAsia"/>
                <w:sz w:val="24"/>
                <w:szCs w:val="24"/>
              </w:rPr>
              <w:t xml:space="preserve">（24分）</w:t>
            </w:r>
            <w:r/>
          </w:p>
        </w:tc>
        <w:tc>
          <w:tcPr>
            <w:tcW w:w="6845" w:type="dxa"/>
            <w:vAlign w:val="center"/>
            <w:textDirection w:val="lrTb"/>
            <w:noWrap w:val="false"/>
          </w:tcPr>
          <w:p>
            <w:pPr>
              <w:spacing w:line="360" w:lineRule="auto"/>
              <w:rPr>
                <w:rFonts w:cs="宋体" w:asciiTheme="minorEastAsia" w:hAnsiTheme="minorEastAsia"/>
                <w:sz w:val="24"/>
                <w:szCs w:val="24"/>
              </w:rPr>
            </w:pPr>
            <w:r>
              <w:rPr>
                <w:rFonts w:hint="eastAsia" w:cs="宋体" w:asciiTheme="minorEastAsia" w:hAnsiTheme="minorEastAsia"/>
                <w:sz w:val="24"/>
                <w:szCs w:val="24"/>
              </w:rPr>
              <w:t xml:space="preserve">技术参数指标评审基准分24分，标注“▲”的指标，每有一项负偏离的扣2分，扣完为止。</w:t>
            </w:r>
            <w:r/>
          </w:p>
          <w:p>
            <w:pPr>
              <w:spacing w:line="360" w:lineRule="auto"/>
              <w:rPr>
                <w:rFonts w:asciiTheme="minorEastAsia" w:hAnsiTheme="minorEastAsia"/>
                <w:color w:val="000000"/>
                <w:sz w:val="24"/>
                <w:szCs w:val="24"/>
              </w:rPr>
            </w:pPr>
            <w:r>
              <w:rPr>
                <w:rFonts w:hint="eastAsia" w:cs="宋体" w:asciiTheme="minorEastAsia" w:hAnsiTheme="minorEastAsia"/>
                <w:b/>
                <w:bCs/>
                <w:sz w:val="24"/>
                <w:szCs w:val="24"/>
              </w:rPr>
              <w:t xml:space="preserve">（</w:t>
            </w:r>
            <w:r>
              <w:rPr>
                <w:rFonts w:cs="宋体" w:asciiTheme="minorEastAsia" w:hAnsiTheme="minorEastAsia"/>
                <w:b/>
                <w:bCs/>
                <w:sz w:val="24"/>
                <w:szCs w:val="24"/>
              </w:rPr>
              <w:t xml:space="preserve">投标文件中详细填写《技术规格偏离表》，须逐条响应，对于需要提供证明材料的需提供相应材料并标明证明材料在投标文件中的具体位置并做明显标识，便于评审；证明材料未提供的或提供与要求不符的视为负偏离</w:t>
            </w:r>
            <w:r>
              <w:rPr>
                <w:rFonts w:hint="eastAsia" w:cs="宋体" w:asciiTheme="minorEastAsia" w:hAnsiTheme="minorEastAsia"/>
                <w:b/>
                <w:bCs/>
                <w:sz w:val="24"/>
                <w:szCs w:val="24"/>
              </w:rPr>
              <w:t xml:space="preserve">）</w:t>
            </w:r>
            <w:r/>
          </w:p>
        </w:tc>
      </w:tr>
      <w:tr>
        <w:trPr>
          <w:jc w:val="center"/>
          <w:trHeight w:val="621"/>
        </w:trPr>
        <w:tc>
          <w:tcPr>
            <w:tcW w:w="1660" w:type="dxa"/>
            <w:vAlign w:val="center"/>
            <w:textDirection w:val="lrTb"/>
            <w:noWrap w:val="false"/>
          </w:tcPr>
          <w:p>
            <w:pPr>
              <w:jc w:val="center"/>
              <w:spacing w:line="50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Theme="minorEastAsia" w:hAnsiTheme="minorEastAsia"/>
                <w:bCs/>
                <w:sz w:val="24"/>
                <w:szCs w:val="24"/>
              </w:rPr>
            </w:pPr>
            <w:r>
              <w:rPr>
                <w:rFonts w:hint="eastAsia" w:asciiTheme="minorEastAsia" w:hAnsiTheme="minorEastAsia"/>
                <w:bCs/>
                <w:sz w:val="24"/>
                <w:szCs w:val="24"/>
              </w:rPr>
              <w:t xml:space="preserve">项目实施保障</w:t>
            </w:r>
            <w:r/>
          </w:p>
          <w:p>
            <w:pPr>
              <w:jc w:val="center"/>
              <w:spacing w:line="50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Theme="minorEastAsia" w:hAnsiTheme="minorEastAsia"/>
                <w:sz w:val="24"/>
                <w:szCs w:val="24"/>
              </w:rPr>
            </w:pPr>
            <w:r>
              <w:rPr>
                <w:rFonts w:hint="eastAsia" w:asciiTheme="minorEastAsia" w:hAnsiTheme="minorEastAsia"/>
                <w:bCs/>
                <w:sz w:val="24"/>
                <w:szCs w:val="24"/>
              </w:rPr>
              <w:t xml:space="preserve">（11分）</w:t>
            </w:r>
            <w:r/>
          </w:p>
        </w:tc>
        <w:tc>
          <w:tcPr>
            <w:tcW w:w="6845" w:type="dxa"/>
            <w:vAlign w:val="center"/>
            <w:textDirection w:val="lrTb"/>
            <w:noWrap w:val="false"/>
          </w:tcPr>
          <w:p>
            <w:pPr>
              <w:jc w:val="left"/>
              <w:spacing w:line="50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b/>
                <w:color w:val="000000"/>
                <w:sz w:val="24"/>
                <w:szCs w:val="24"/>
              </w:rPr>
            </w:pPr>
            <w:r>
              <w:rPr>
                <w:rFonts w:ascii="宋体" w:hAnsi="宋体" w:eastAsia="宋体" w:cs="Times New Roman"/>
                <w:color w:val="000000"/>
                <w:sz w:val="24"/>
                <w:szCs w:val="24"/>
              </w:rPr>
              <w:t xml:space="preserve">1</w:t>
            </w:r>
            <w:r>
              <w:rPr>
                <w:rFonts w:hint="eastAsia" w:ascii="宋体" w:hAnsi="宋体" w:eastAsia="宋体" w:cs="Times New Roman"/>
                <w:color w:val="000000"/>
                <w:sz w:val="24"/>
                <w:szCs w:val="24"/>
              </w:rPr>
              <w:t xml:space="preserve">.</w:t>
            </w:r>
            <w:r>
              <w:rPr>
                <w:rFonts w:ascii="宋体" w:hAnsi="宋体" w:eastAsia="宋体" w:cs="Times New Roman"/>
                <w:color w:val="000000"/>
                <w:sz w:val="24"/>
                <w:szCs w:val="24"/>
              </w:rPr>
              <w:t xml:space="preserve">投标人具有</w:t>
            </w:r>
            <w:r>
              <w:rPr>
                <w:rFonts w:hint="eastAsia" w:ascii="宋体" w:hAnsi="宋体" w:eastAsia="宋体" w:cs="Times New Roman"/>
                <w:color w:val="000000"/>
                <w:sz w:val="24"/>
                <w:szCs w:val="24"/>
              </w:rPr>
              <w:t xml:space="preserve">信息安全管理体系认证</w:t>
            </w:r>
            <w:r>
              <w:rPr>
                <w:rFonts w:hint="eastAsia" w:ascii="宋体" w:hAnsi="宋体"/>
                <w:color w:val="000000"/>
                <w:sz w:val="24"/>
                <w:szCs w:val="24"/>
              </w:rPr>
              <w:t xml:space="preserve">的</w:t>
            </w:r>
            <w:r>
              <w:rPr>
                <w:rFonts w:hint="eastAsia" w:ascii="宋体" w:hAnsi="宋体"/>
                <w:b/>
                <w:color w:val="000000"/>
                <w:sz w:val="24"/>
                <w:szCs w:val="24"/>
              </w:rPr>
              <w:t xml:space="preserve">得1分。</w:t>
            </w:r>
            <w:r/>
          </w:p>
          <w:p>
            <w:pPr>
              <w:jc w:val="left"/>
              <w:spacing w:line="50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olor w:val="000000"/>
                <w:sz w:val="24"/>
                <w:szCs w:val="24"/>
              </w:rPr>
            </w:pPr>
            <w:r>
              <w:rPr>
                <w:rFonts w:hint="eastAsia" w:ascii="宋体" w:hAnsi="宋体"/>
                <w:color w:val="000000"/>
                <w:sz w:val="24"/>
                <w:szCs w:val="24"/>
              </w:rPr>
              <w:t xml:space="preserve">2.</w:t>
            </w:r>
            <w:r>
              <w:rPr>
                <w:rFonts w:ascii="宋体" w:hAnsi="宋体" w:eastAsia="宋体" w:cs="Times New Roman"/>
                <w:color w:val="000000"/>
                <w:sz w:val="24"/>
                <w:szCs w:val="24"/>
              </w:rPr>
              <w:t xml:space="preserve">投标人具有</w:t>
            </w:r>
            <w:r>
              <w:rPr>
                <w:rFonts w:hint="eastAsia" w:ascii="宋体" w:hAnsi="宋体" w:eastAsia="宋体" w:cs="Times New Roman"/>
                <w:color w:val="000000"/>
                <w:sz w:val="24"/>
                <w:szCs w:val="24"/>
              </w:rPr>
              <w:t xml:space="preserve">质量管理体系认证</w:t>
            </w:r>
            <w:r>
              <w:rPr>
                <w:rFonts w:hint="eastAsia" w:ascii="宋体" w:hAnsi="宋体"/>
                <w:color w:val="000000"/>
                <w:sz w:val="24"/>
                <w:szCs w:val="24"/>
              </w:rPr>
              <w:t xml:space="preserve">的</w:t>
            </w:r>
            <w:r>
              <w:rPr>
                <w:rFonts w:hint="eastAsia" w:ascii="宋体" w:hAnsi="宋体"/>
                <w:b/>
                <w:color w:val="000000"/>
                <w:sz w:val="24"/>
                <w:szCs w:val="24"/>
              </w:rPr>
              <w:t xml:space="preserve">得1分。</w:t>
            </w:r>
            <w:r/>
          </w:p>
          <w:p>
            <w:pPr>
              <w:jc w:val="left"/>
              <w:spacing w:line="50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olor w:val="000000"/>
                <w:sz w:val="24"/>
                <w:szCs w:val="24"/>
              </w:rPr>
            </w:pPr>
            <w:r>
              <w:rPr>
                <w:rFonts w:hint="eastAsia" w:ascii="宋体" w:hAnsi="宋体"/>
                <w:color w:val="000000"/>
                <w:sz w:val="24"/>
                <w:szCs w:val="24"/>
              </w:rPr>
              <w:t xml:space="preserve">3.</w:t>
            </w:r>
            <w:r>
              <w:rPr>
                <w:rFonts w:ascii="宋体" w:hAnsi="宋体" w:eastAsia="宋体" w:cs="Times New Roman"/>
                <w:color w:val="000000"/>
                <w:sz w:val="24"/>
                <w:szCs w:val="24"/>
              </w:rPr>
              <w:t xml:space="preserve">投标人具有</w:t>
            </w:r>
            <w:r>
              <w:rPr>
                <w:rFonts w:hint="eastAsia" w:ascii="宋体" w:hAnsi="宋体" w:eastAsia="宋体" w:cs="Times New Roman"/>
                <w:color w:val="000000"/>
                <w:sz w:val="24"/>
                <w:szCs w:val="24"/>
              </w:rPr>
              <w:t xml:space="preserve">信息服务管理体系认证</w:t>
            </w:r>
            <w:r>
              <w:rPr>
                <w:rFonts w:ascii="宋体" w:hAnsi="宋体" w:eastAsia="宋体" w:cs="Times New Roman"/>
                <w:color w:val="000000"/>
                <w:sz w:val="24"/>
                <w:szCs w:val="24"/>
              </w:rPr>
              <w:t xml:space="preserve">的</w:t>
            </w:r>
            <w:r>
              <w:rPr>
                <w:rFonts w:hint="eastAsia" w:ascii="宋体" w:hAnsi="宋体"/>
                <w:b/>
                <w:color w:val="000000"/>
                <w:sz w:val="24"/>
                <w:szCs w:val="24"/>
              </w:rPr>
              <w:t xml:space="preserve">得1分。</w:t>
            </w:r>
            <w:r/>
          </w:p>
          <w:p>
            <w:pPr>
              <w:jc w:val="left"/>
              <w:spacing w:line="50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Times New Roman"/>
                <w:b/>
                <w:color w:val="000000"/>
                <w:sz w:val="24"/>
                <w:szCs w:val="24"/>
              </w:rPr>
            </w:pPr>
            <w:r>
              <w:rPr>
                <w:rFonts w:hint="eastAsia" w:ascii="宋体" w:hAnsi="宋体"/>
                <w:color w:val="000000"/>
                <w:sz w:val="24"/>
                <w:szCs w:val="24"/>
              </w:rPr>
              <w:t xml:space="preserve">4</w:t>
            </w:r>
            <w:r>
              <w:rPr>
                <w:rFonts w:hint="eastAsia" w:ascii="宋体" w:hAnsi="宋体" w:eastAsia="宋体" w:cs="Times New Roman"/>
                <w:color w:val="000000"/>
                <w:sz w:val="24"/>
                <w:szCs w:val="24"/>
              </w:rPr>
              <w:t xml:space="preserve">.</w:t>
            </w:r>
            <w:r>
              <w:rPr>
                <w:rFonts w:ascii="宋体" w:hAnsi="宋体" w:eastAsia="宋体" w:cs="Times New Roman"/>
                <w:color w:val="000000"/>
                <w:sz w:val="24"/>
                <w:szCs w:val="24"/>
              </w:rPr>
              <w:t xml:space="preserve">投标人具有CCRC信息安全服务资质认证证书的</w:t>
            </w:r>
            <w:r>
              <w:rPr>
                <w:rFonts w:ascii="宋体" w:hAnsi="宋体" w:eastAsia="宋体" w:cs="Times New Roman"/>
                <w:b/>
                <w:color w:val="000000"/>
                <w:sz w:val="24"/>
                <w:szCs w:val="24"/>
              </w:rPr>
              <w:t xml:space="preserve">得2分</w:t>
            </w:r>
            <w:r>
              <w:rPr>
                <w:rFonts w:hint="eastAsia" w:ascii="宋体" w:hAnsi="宋体"/>
                <w:b/>
                <w:color w:val="000000"/>
                <w:sz w:val="24"/>
                <w:szCs w:val="24"/>
              </w:rPr>
              <w:t xml:space="preserve">。</w:t>
            </w:r>
            <w:r/>
          </w:p>
          <w:p>
            <w:pPr>
              <w:jc w:val="left"/>
              <w:spacing w:line="50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Times New Roman"/>
                <w:b/>
                <w:color w:val="000000"/>
                <w:sz w:val="24"/>
                <w:szCs w:val="24"/>
              </w:rPr>
            </w:pPr>
            <w:r>
              <w:rPr>
                <w:rFonts w:hint="eastAsia" w:ascii="宋体" w:hAnsi="宋体"/>
                <w:color w:val="000000"/>
                <w:sz w:val="24"/>
                <w:szCs w:val="24"/>
              </w:rPr>
              <w:t xml:space="preserve">5</w:t>
            </w:r>
            <w:r>
              <w:rPr>
                <w:rFonts w:hint="eastAsia" w:ascii="宋体" w:hAnsi="宋体" w:eastAsia="宋体" w:cs="Times New Roman"/>
                <w:color w:val="000000"/>
                <w:sz w:val="24"/>
                <w:szCs w:val="24"/>
              </w:rPr>
              <w:t xml:space="preserve">.</w:t>
            </w:r>
            <w:r>
              <w:rPr>
                <w:rFonts w:ascii="宋体" w:hAnsi="宋体" w:eastAsia="宋体" w:cs="Times New Roman"/>
                <w:color w:val="000000"/>
                <w:sz w:val="24"/>
                <w:szCs w:val="24"/>
              </w:rPr>
              <w:t xml:space="preserve">投标人具有ITSS信息技术服务等级</w:t>
            </w:r>
            <w:r>
              <w:rPr>
                <w:rFonts w:ascii="宋体" w:hAnsi="宋体"/>
                <w:color w:val="000000"/>
                <w:sz w:val="24"/>
                <w:szCs w:val="24"/>
              </w:rPr>
              <w:t xml:space="preserve">证书</w:t>
            </w:r>
            <w:r>
              <w:rPr>
                <w:rFonts w:ascii="宋体" w:hAnsi="宋体" w:eastAsia="宋体" w:cs="Times New Roman"/>
                <w:color w:val="000000"/>
                <w:sz w:val="24"/>
                <w:szCs w:val="24"/>
              </w:rPr>
              <w:t xml:space="preserve">的</w:t>
            </w:r>
            <w:r>
              <w:rPr>
                <w:rFonts w:ascii="宋体" w:hAnsi="宋体" w:eastAsia="宋体" w:cs="Times New Roman"/>
                <w:b/>
                <w:color w:val="000000"/>
                <w:sz w:val="24"/>
                <w:szCs w:val="24"/>
              </w:rPr>
              <w:t xml:space="preserve">得</w:t>
            </w:r>
            <w:r>
              <w:rPr>
                <w:rFonts w:hint="eastAsia" w:ascii="宋体" w:hAnsi="宋体" w:eastAsia="宋体" w:cs="Times New Roman"/>
                <w:b/>
                <w:color w:val="000000"/>
                <w:sz w:val="24"/>
                <w:szCs w:val="24"/>
              </w:rPr>
              <w:t xml:space="preserve">2</w:t>
            </w:r>
            <w:r>
              <w:rPr>
                <w:rFonts w:ascii="宋体" w:hAnsi="宋体" w:eastAsia="宋体" w:cs="Times New Roman"/>
                <w:b/>
                <w:color w:val="000000"/>
                <w:sz w:val="24"/>
                <w:szCs w:val="24"/>
              </w:rPr>
              <w:t xml:space="preserve">分</w:t>
            </w:r>
            <w:r>
              <w:rPr>
                <w:rFonts w:hint="eastAsia" w:ascii="宋体" w:hAnsi="宋体"/>
                <w:b/>
                <w:color w:val="000000"/>
                <w:sz w:val="24"/>
                <w:szCs w:val="24"/>
              </w:rPr>
              <w:t xml:space="preserve">。</w:t>
            </w:r>
            <w:r/>
          </w:p>
          <w:p>
            <w:pPr>
              <w:jc w:val="left"/>
              <w:spacing w:line="50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b/>
                <w:color w:val="000000"/>
                <w:sz w:val="24"/>
                <w:szCs w:val="24"/>
              </w:rPr>
            </w:pPr>
            <w:r>
              <w:rPr>
                <w:rFonts w:hint="eastAsia" w:ascii="宋体" w:hAnsi="宋体"/>
                <w:color w:val="000000"/>
                <w:sz w:val="24"/>
                <w:szCs w:val="24"/>
              </w:rPr>
              <w:t xml:space="preserve">6</w:t>
            </w:r>
            <w:r>
              <w:rPr>
                <w:rFonts w:hint="eastAsia" w:ascii="宋体" w:hAnsi="宋体" w:eastAsia="宋体" w:cs="Times New Roman"/>
                <w:color w:val="000000"/>
                <w:sz w:val="24"/>
                <w:szCs w:val="24"/>
              </w:rPr>
              <w:t xml:space="preserve">.投标人具有国家信息安全漏洞库（CNNVD）技术支撑单位等级证书（三级）及以上的</w:t>
            </w:r>
            <w:r>
              <w:rPr>
                <w:rFonts w:hint="eastAsia" w:ascii="宋体" w:hAnsi="宋体" w:eastAsia="宋体" w:cs="Times New Roman"/>
                <w:b/>
                <w:color w:val="000000"/>
                <w:sz w:val="24"/>
                <w:szCs w:val="24"/>
              </w:rPr>
              <w:t xml:space="preserve">得2分</w:t>
            </w:r>
            <w:r>
              <w:rPr>
                <w:rFonts w:hint="eastAsia" w:ascii="宋体" w:hAnsi="宋体"/>
                <w:b/>
                <w:color w:val="000000"/>
                <w:sz w:val="24"/>
                <w:szCs w:val="24"/>
              </w:rPr>
              <w:t xml:space="preserve">。</w:t>
            </w:r>
            <w:r/>
          </w:p>
          <w:p>
            <w:pPr>
              <w:jc w:val="left"/>
              <w:spacing w:line="50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b/>
                <w:bCs/>
                <w:color w:val="000000"/>
                <w:sz w:val="24"/>
                <w:szCs w:val="24"/>
              </w:rPr>
            </w:pPr>
            <w:r>
              <w:rPr>
                <w:rFonts w:hint="eastAsia" w:ascii="宋体" w:hAnsi="宋体" w:eastAsia="宋体" w:cs="Times New Roman"/>
                <w:b/>
                <w:bCs/>
                <w:color w:val="000000"/>
                <w:sz w:val="24"/>
                <w:szCs w:val="24"/>
              </w:rPr>
              <w:t xml:space="preserve">（</w:t>
            </w:r>
            <w:r>
              <w:rPr>
                <w:rFonts w:ascii="宋体" w:hAnsi="宋体" w:eastAsia="宋体" w:cs="Times New Roman"/>
                <w:b/>
                <w:bCs/>
                <w:color w:val="000000"/>
                <w:sz w:val="24"/>
                <w:szCs w:val="24"/>
              </w:rPr>
              <w:t xml:space="preserve">上述 1-</w:t>
            </w:r>
            <w:r>
              <w:rPr>
                <w:rFonts w:hint="eastAsia" w:ascii="宋体" w:hAnsi="宋体"/>
                <w:b/>
                <w:bCs/>
                <w:color w:val="000000"/>
                <w:sz w:val="24"/>
                <w:szCs w:val="24"/>
              </w:rPr>
              <w:t xml:space="preserve">6</w:t>
            </w:r>
            <w:r>
              <w:rPr>
                <w:rFonts w:ascii="宋体" w:hAnsi="宋体" w:eastAsia="宋体" w:cs="Times New Roman"/>
                <w:b/>
                <w:bCs/>
                <w:color w:val="000000"/>
                <w:sz w:val="24"/>
                <w:szCs w:val="24"/>
              </w:rPr>
              <w:t xml:space="preserve">项投标文件中</w:t>
            </w:r>
            <w:r>
              <w:rPr>
                <w:rFonts w:ascii="宋体" w:hAnsi="宋体"/>
                <w:b/>
                <w:bCs/>
                <w:color w:val="000000"/>
                <w:sz w:val="24"/>
                <w:szCs w:val="24"/>
              </w:rPr>
              <w:t xml:space="preserve">提供有效证书</w:t>
            </w:r>
            <w:r>
              <w:rPr>
                <w:rFonts w:hint="eastAsia" w:ascii="宋体" w:hAnsi="宋体"/>
                <w:b/>
                <w:bCs/>
                <w:color w:val="000000"/>
                <w:sz w:val="24"/>
                <w:szCs w:val="24"/>
              </w:rPr>
              <w:t xml:space="preserve">证明材料</w:t>
            </w:r>
            <w:r>
              <w:rPr>
                <w:rFonts w:ascii="宋体" w:hAnsi="宋体"/>
                <w:b/>
                <w:bCs/>
                <w:color w:val="000000"/>
                <w:sz w:val="24"/>
                <w:szCs w:val="24"/>
              </w:rPr>
              <w:t xml:space="preserve">并加盖投标人公章，否则不得分</w:t>
            </w:r>
            <w:r>
              <w:rPr>
                <w:rFonts w:hint="eastAsia" w:ascii="宋体" w:hAnsi="宋体" w:eastAsia="宋体" w:cs="Times New Roman"/>
                <w:b/>
                <w:bCs/>
                <w:color w:val="000000"/>
                <w:sz w:val="24"/>
                <w:szCs w:val="24"/>
              </w:rPr>
              <w:t xml:space="preserve">）</w:t>
            </w:r>
            <w:r/>
          </w:p>
          <w:p>
            <w:pPr>
              <w:jc w:val="left"/>
              <w:spacing w:line="50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b/>
                <w:color w:val="000000"/>
                <w:sz w:val="24"/>
                <w:szCs w:val="24"/>
              </w:rPr>
            </w:pPr>
            <w:r>
              <w:rPr>
                <w:rFonts w:hint="eastAsia" w:ascii="宋体" w:hAnsi="宋体"/>
                <w:color w:val="000000"/>
                <w:sz w:val="24"/>
                <w:szCs w:val="24"/>
              </w:rPr>
              <w:t xml:space="preserve">7.</w:t>
            </w:r>
            <w:r>
              <w:rPr>
                <w:rFonts w:ascii="宋体" w:hAnsi="宋体"/>
                <w:color w:val="000000"/>
                <w:sz w:val="24"/>
                <w:szCs w:val="24"/>
              </w:rPr>
              <w:t xml:space="preserve">自</w:t>
            </w:r>
            <w:r>
              <w:rPr>
                <w:rFonts w:hint="eastAsia" w:ascii="宋体" w:hAnsi="宋体"/>
                <w:color w:val="000000"/>
                <w:sz w:val="24"/>
                <w:szCs w:val="24"/>
              </w:rPr>
              <w:t xml:space="preserve">2024年1月1日起，</w:t>
            </w:r>
            <w:r>
              <w:rPr>
                <w:rFonts w:ascii="宋体" w:hAnsi="宋体" w:eastAsia="宋体" w:cs="Times New Roman"/>
                <w:color w:val="000000"/>
                <w:sz w:val="24"/>
                <w:szCs w:val="24"/>
              </w:rPr>
              <w:t xml:space="preserve">投标人</w:t>
            </w:r>
            <w:r>
              <w:rPr>
                <w:rFonts w:ascii="宋体" w:hAnsi="宋体"/>
                <w:color w:val="000000"/>
                <w:sz w:val="24"/>
                <w:szCs w:val="24"/>
              </w:rPr>
              <w:t xml:space="preserve">获得过政府部门颁发的</w:t>
            </w:r>
            <w:r>
              <w:rPr>
                <w:rFonts w:hint="eastAsia" w:ascii="宋体" w:hAnsi="宋体" w:eastAsia="宋体" w:cs="Times New Roman"/>
                <w:color w:val="000000"/>
                <w:sz w:val="24"/>
                <w:szCs w:val="24"/>
              </w:rPr>
              <w:t xml:space="preserve">“网络和数据安全技术支撑单位/机构”</w:t>
            </w:r>
            <w:r>
              <w:rPr>
                <w:rFonts w:ascii="宋体" w:hAnsi="宋体"/>
                <w:color w:val="000000"/>
                <w:sz w:val="24"/>
                <w:szCs w:val="24"/>
              </w:rPr>
              <w:t xml:space="preserve">相关荣誉的</w:t>
            </w:r>
            <w:r>
              <w:rPr>
                <w:rFonts w:ascii="宋体" w:hAnsi="宋体" w:eastAsia="宋体" w:cs="Times New Roman"/>
                <w:b/>
                <w:color w:val="000000"/>
                <w:sz w:val="24"/>
                <w:szCs w:val="24"/>
              </w:rPr>
              <w:t xml:space="preserve">得2分</w:t>
            </w:r>
            <w:r>
              <w:rPr>
                <w:rFonts w:ascii="宋体" w:hAnsi="宋体"/>
                <w:b/>
                <w:color w:val="000000"/>
                <w:sz w:val="24"/>
                <w:szCs w:val="24"/>
              </w:rPr>
              <w:t xml:space="preserve">。</w:t>
            </w:r>
            <w:r/>
          </w:p>
          <w:p>
            <w:pPr>
              <w:jc w:val="left"/>
              <w:spacing w:line="50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b/>
                <w:color w:val="000000"/>
                <w:sz w:val="24"/>
                <w:szCs w:val="24"/>
              </w:rPr>
            </w:pPr>
            <w:r>
              <w:rPr>
                <w:rFonts w:hint="eastAsia" w:ascii="宋体" w:hAnsi="宋体"/>
                <w:b/>
                <w:color w:val="000000"/>
                <w:sz w:val="24"/>
                <w:szCs w:val="24"/>
              </w:rPr>
              <w:t xml:space="preserve">（投标文件中提供证书/官方发文等证明材料并加盖投标人公章，时间以证书/发文时间为准，否则不得分）</w:t>
            </w:r>
            <w:r/>
          </w:p>
        </w:tc>
      </w:tr>
      <w:tr>
        <w:trPr>
          <w:jc w:val="center"/>
          <w:trHeight w:val="621"/>
        </w:trPr>
        <w:tc>
          <w:tcPr>
            <w:tcW w:w="1660" w:type="dxa"/>
            <w:vAlign w:val="center"/>
            <w:textDirection w:val="lrTb"/>
            <w:noWrap w:val="false"/>
          </w:tcPr>
          <w:p>
            <w:pPr>
              <w:jc w:val="center"/>
              <w:spacing w:line="50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Theme="minorEastAsia" w:hAnsiTheme="minorEastAsia"/>
                <w:bCs/>
                <w:sz w:val="24"/>
                <w:szCs w:val="24"/>
              </w:rPr>
            </w:pPr>
            <w:r>
              <w:rPr>
                <w:rFonts w:hint="eastAsia" w:asciiTheme="minorEastAsia" w:hAnsiTheme="minorEastAsia"/>
                <w:bCs/>
                <w:sz w:val="24"/>
                <w:szCs w:val="24"/>
              </w:rPr>
              <w:t xml:space="preserve">业绩</w:t>
            </w:r>
            <w:r/>
          </w:p>
          <w:p>
            <w:pPr>
              <w:jc w:val="center"/>
              <w:spacing w:line="50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Theme="minorEastAsia" w:hAnsiTheme="minorEastAsia"/>
                <w:bCs/>
                <w:sz w:val="24"/>
                <w:szCs w:val="24"/>
              </w:rPr>
            </w:pPr>
            <w:r>
              <w:rPr>
                <w:rFonts w:hint="eastAsia" w:asciiTheme="minorEastAsia" w:hAnsiTheme="minorEastAsia"/>
                <w:bCs/>
                <w:sz w:val="24"/>
                <w:szCs w:val="24"/>
              </w:rPr>
              <w:t xml:space="preserve">（3分）</w:t>
            </w:r>
            <w:r/>
          </w:p>
        </w:tc>
        <w:tc>
          <w:tcPr>
            <w:tcW w:w="6845" w:type="dxa"/>
            <w:vAlign w:val="center"/>
            <w:textDirection w:val="lrTb"/>
            <w:noWrap w:val="false"/>
          </w:tcPr>
          <w:p>
            <w:pPr>
              <w:jc w:val="left"/>
              <w:spacing w:line="50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Times New Roman"/>
                <w:color w:val="000000"/>
                <w:sz w:val="24"/>
                <w:szCs w:val="24"/>
              </w:rPr>
            </w:pPr>
            <w:r>
              <w:rPr>
                <w:rFonts w:ascii="宋体" w:hAnsi="宋体"/>
                <w:color w:val="000000"/>
                <w:sz w:val="24"/>
                <w:szCs w:val="24"/>
              </w:rPr>
              <w:t xml:space="preserve">自</w:t>
            </w:r>
            <w:r>
              <w:rPr>
                <w:rFonts w:hint="eastAsia" w:ascii="宋体" w:hAnsi="宋体"/>
                <w:color w:val="000000"/>
                <w:sz w:val="24"/>
                <w:szCs w:val="24"/>
              </w:rPr>
              <w:t xml:space="preserve">2023年1月1日起，</w:t>
            </w:r>
            <w:r>
              <w:rPr>
                <w:rFonts w:ascii="宋体" w:hAnsi="宋体" w:eastAsia="宋体" w:cs="Times New Roman"/>
                <w:color w:val="000000"/>
                <w:sz w:val="24"/>
                <w:szCs w:val="24"/>
              </w:rPr>
              <w:t xml:space="preserve">投标人具有</w:t>
            </w:r>
            <w:r>
              <w:rPr>
                <w:rFonts w:ascii="宋体" w:hAnsi="宋体"/>
                <w:color w:val="000000"/>
                <w:sz w:val="24"/>
                <w:szCs w:val="24"/>
              </w:rPr>
              <w:t xml:space="preserve">类似项目</w:t>
            </w:r>
            <w:r>
              <w:rPr>
                <w:rFonts w:hint="eastAsia" w:ascii="宋体" w:hAnsi="宋体" w:eastAsia="宋体" w:cs="Times New Roman"/>
                <w:color w:val="000000"/>
                <w:sz w:val="24"/>
                <w:szCs w:val="24"/>
              </w:rPr>
              <w:t xml:space="preserve">（合同内容至少与网络安全相关）</w:t>
            </w:r>
            <w:r>
              <w:rPr>
                <w:rFonts w:ascii="宋体" w:hAnsi="宋体" w:eastAsia="宋体" w:cs="Times New Roman"/>
                <w:color w:val="000000"/>
                <w:sz w:val="24"/>
                <w:szCs w:val="24"/>
              </w:rPr>
              <w:t xml:space="preserve">业绩的，每提供一个</w:t>
            </w:r>
            <w:r>
              <w:rPr>
                <w:rFonts w:ascii="宋体" w:hAnsi="宋体"/>
                <w:color w:val="000000"/>
                <w:sz w:val="24"/>
                <w:szCs w:val="24"/>
              </w:rPr>
              <w:t xml:space="preserve">业绩</w:t>
            </w:r>
            <w:r>
              <w:rPr>
                <w:rFonts w:ascii="宋体" w:hAnsi="宋体" w:eastAsia="宋体" w:cs="Times New Roman"/>
                <w:color w:val="000000"/>
                <w:sz w:val="24"/>
                <w:szCs w:val="24"/>
              </w:rPr>
              <w:t xml:space="preserve">得1分</w:t>
            </w:r>
            <w:r>
              <w:rPr>
                <w:rFonts w:ascii="宋体" w:hAnsi="宋体"/>
                <w:color w:val="000000"/>
                <w:sz w:val="24"/>
                <w:szCs w:val="24"/>
              </w:rPr>
              <w:t xml:space="preserve">，</w:t>
            </w:r>
            <w:r>
              <w:rPr>
                <w:rFonts w:ascii="宋体" w:hAnsi="宋体" w:eastAsia="宋体" w:cs="Times New Roman"/>
                <w:b/>
                <w:color w:val="000000"/>
                <w:sz w:val="24"/>
                <w:szCs w:val="24"/>
              </w:rPr>
              <w:t xml:space="preserve">最高得3分</w:t>
            </w:r>
            <w:r>
              <w:rPr>
                <w:rFonts w:ascii="宋体" w:hAnsi="宋体"/>
                <w:b/>
                <w:color w:val="000000"/>
                <w:sz w:val="24"/>
                <w:szCs w:val="24"/>
              </w:rPr>
              <w:t xml:space="preserve">。</w:t>
            </w:r>
            <w:r/>
          </w:p>
          <w:p>
            <w:pPr>
              <w:jc w:val="left"/>
              <w:spacing w:line="50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b/>
                <w:color w:val="000000"/>
                <w:sz w:val="24"/>
                <w:szCs w:val="24"/>
              </w:rPr>
            </w:pPr>
            <w:r>
              <w:rPr>
                <w:rFonts w:hint="eastAsia" w:ascii="宋体" w:hAnsi="宋体"/>
                <w:b/>
                <w:color w:val="000000"/>
                <w:sz w:val="24"/>
                <w:szCs w:val="24"/>
              </w:rPr>
              <w:t xml:space="preserve">（投标文件中提供合同证明材料并加盖投标人公章，否则不得分。合同内容</w:t>
            </w:r>
            <w:r>
              <w:rPr>
                <w:rFonts w:hint="eastAsia" w:ascii="宋体" w:hAnsi="宋体"/>
                <w:b/>
                <w:bCs/>
                <w:color w:val="000000"/>
                <w:sz w:val="24"/>
                <w:szCs w:val="24"/>
              </w:rPr>
              <w:t xml:space="preserve">由评标委员会现场统一认定</w:t>
            </w:r>
            <w:r>
              <w:rPr>
                <w:rFonts w:ascii="宋体" w:hAnsi="宋体"/>
                <w:b/>
                <w:color w:val="000000"/>
                <w:sz w:val="24"/>
                <w:szCs w:val="24"/>
              </w:rPr>
              <w:t xml:space="preserve">）</w:t>
            </w:r>
            <w:r/>
          </w:p>
        </w:tc>
      </w:tr>
      <w:tr>
        <w:trPr>
          <w:jc w:val="center"/>
          <w:trHeight w:val="557"/>
        </w:trPr>
        <w:tc>
          <w:tcPr>
            <w:tcW w:w="1660" w:type="dxa"/>
            <w:vAlign w:val="center"/>
            <w:textDirection w:val="lrTb"/>
            <w:noWrap w:val="false"/>
          </w:tcPr>
          <w:p>
            <w:pPr>
              <w:jc w:val="center"/>
              <w:spacing w:line="50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Theme="minorEastAsia" w:hAnsiTheme="minorEastAsia"/>
                <w:bCs/>
                <w:sz w:val="24"/>
                <w:szCs w:val="24"/>
              </w:rPr>
            </w:pPr>
            <w:r>
              <w:rPr>
                <w:rFonts w:hint="eastAsia" w:asciiTheme="minorEastAsia" w:hAnsiTheme="minorEastAsia"/>
                <w:bCs/>
                <w:sz w:val="24"/>
                <w:szCs w:val="24"/>
              </w:rPr>
              <w:t xml:space="preserve">项目团队</w:t>
            </w:r>
            <w:r/>
          </w:p>
          <w:p>
            <w:pPr>
              <w:jc w:val="center"/>
              <w:spacing w:line="50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Theme="minorEastAsia" w:hAnsiTheme="minorEastAsia"/>
                <w:sz w:val="24"/>
                <w:szCs w:val="24"/>
              </w:rPr>
            </w:pPr>
            <w:r>
              <w:rPr>
                <w:rFonts w:hint="eastAsia" w:asciiTheme="minorEastAsia" w:hAnsiTheme="minorEastAsia"/>
                <w:bCs/>
                <w:sz w:val="24"/>
                <w:szCs w:val="24"/>
              </w:rPr>
              <w:t xml:space="preserve">（7分）</w:t>
            </w:r>
            <w:r/>
          </w:p>
        </w:tc>
        <w:tc>
          <w:tcPr>
            <w:tcW w:w="6845" w:type="dxa"/>
            <w:vAlign w:val="center"/>
            <w:textDirection w:val="lrTb"/>
            <w:noWrap w:val="false"/>
          </w:tcPr>
          <w:p>
            <w:pPr>
              <w:jc w:val="left"/>
              <w:spacing w:line="500" w:lineRule="exact"/>
              <w:rPr>
                <w:rFonts w:ascii="宋体" w:hAnsi="宋体" w:eastAsia="宋体" w:cs="Times New Roman"/>
                <w:b/>
                <w:color w:val="000000"/>
                <w:sz w:val="24"/>
                <w:szCs w:val="24"/>
              </w:rPr>
            </w:pPr>
            <w:r>
              <w:rPr>
                <w:rFonts w:ascii="宋体" w:hAnsi="宋体" w:eastAsia="宋体" w:cs="Times New Roman"/>
                <w:color w:val="000000"/>
                <w:sz w:val="24"/>
                <w:szCs w:val="24"/>
              </w:rPr>
              <w:t xml:space="preserve">1</w:t>
            </w:r>
            <w:r>
              <w:rPr>
                <w:rFonts w:hint="eastAsia" w:ascii="宋体" w:hAnsi="宋体" w:eastAsia="宋体" w:cs="Times New Roman"/>
                <w:color w:val="000000"/>
                <w:sz w:val="24"/>
                <w:szCs w:val="24"/>
              </w:rPr>
              <w:t xml:space="preserve">.</w:t>
            </w:r>
            <w:r>
              <w:rPr>
                <w:rFonts w:ascii="宋体" w:hAnsi="宋体" w:eastAsia="宋体" w:cs="Times New Roman"/>
                <w:color w:val="000000"/>
                <w:sz w:val="24"/>
                <w:szCs w:val="24"/>
              </w:rPr>
              <w:t xml:space="preserve">拟派项目经理具有CSPM项目管理专业人员证书、CISAW安全集成（专业级）证书、售后服务管理师证书的</w:t>
            </w:r>
            <w:r>
              <w:rPr>
                <w:rFonts w:hint="eastAsia" w:ascii="宋体" w:hAnsi="宋体" w:eastAsia="宋体" w:cs="Times New Roman"/>
                <w:color w:val="000000"/>
                <w:sz w:val="24"/>
                <w:szCs w:val="24"/>
              </w:rPr>
              <w:t xml:space="preserve">，每提供一个证书得1分，</w:t>
            </w:r>
            <w:r>
              <w:rPr>
                <w:rFonts w:hint="eastAsia" w:ascii="宋体" w:hAnsi="宋体" w:eastAsia="宋体" w:cs="Times New Roman"/>
                <w:b/>
                <w:color w:val="000000"/>
                <w:sz w:val="24"/>
                <w:szCs w:val="24"/>
              </w:rPr>
              <w:t xml:space="preserve">最高</w:t>
            </w:r>
            <w:r>
              <w:rPr>
                <w:rFonts w:ascii="宋体" w:hAnsi="宋体" w:eastAsia="宋体" w:cs="Times New Roman"/>
                <w:b/>
                <w:color w:val="000000"/>
                <w:sz w:val="24"/>
                <w:szCs w:val="24"/>
              </w:rPr>
              <w:t xml:space="preserve">得</w:t>
            </w:r>
            <w:r>
              <w:rPr>
                <w:rFonts w:hint="eastAsia" w:ascii="宋体" w:hAnsi="宋体" w:eastAsia="宋体" w:cs="Times New Roman"/>
                <w:b/>
                <w:color w:val="000000"/>
                <w:sz w:val="24"/>
                <w:szCs w:val="24"/>
              </w:rPr>
              <w:t xml:space="preserve">3</w:t>
            </w:r>
            <w:r>
              <w:rPr>
                <w:rFonts w:ascii="宋体" w:hAnsi="宋体" w:eastAsia="宋体" w:cs="Times New Roman"/>
                <w:b/>
                <w:color w:val="000000"/>
                <w:sz w:val="24"/>
                <w:szCs w:val="24"/>
              </w:rPr>
              <w:t xml:space="preserve">分。</w:t>
            </w:r>
            <w:r/>
          </w:p>
          <w:p>
            <w:pPr>
              <w:jc w:val="left"/>
              <w:spacing w:line="500" w:lineRule="exact"/>
              <w:rPr>
                <w:rFonts w:ascii="宋体" w:hAnsi="宋体" w:eastAsia="宋体" w:cs="Times New Roman"/>
                <w:b/>
                <w:color w:val="000000"/>
                <w:sz w:val="24"/>
                <w:szCs w:val="24"/>
              </w:rPr>
            </w:pPr>
            <w:r>
              <w:rPr>
                <w:rFonts w:ascii="宋体" w:hAnsi="宋体" w:eastAsia="宋体" w:cs="Times New Roman"/>
                <w:color w:val="000000"/>
                <w:sz w:val="24"/>
                <w:szCs w:val="24"/>
              </w:rPr>
              <w:t xml:space="preserve">2</w:t>
            </w:r>
            <w:r>
              <w:rPr>
                <w:rFonts w:hint="eastAsia" w:ascii="宋体" w:hAnsi="宋体" w:eastAsia="宋体" w:cs="Times New Roman"/>
                <w:color w:val="000000"/>
                <w:sz w:val="24"/>
                <w:szCs w:val="24"/>
              </w:rPr>
              <w:t xml:space="preserve">.</w:t>
            </w:r>
            <w:r>
              <w:rPr>
                <w:rFonts w:ascii="宋体" w:hAnsi="宋体" w:eastAsia="宋体" w:cs="Times New Roman"/>
                <w:color w:val="000000"/>
                <w:sz w:val="24"/>
                <w:szCs w:val="24"/>
              </w:rPr>
              <w:t xml:space="preserve">拟派项目团队成员（不含项目经理）中具有CISAW安全集成（专业级）证书、CISAW安全运维（专业级）、数字经济（网络安全）</w:t>
            </w:r>
            <w:r>
              <w:rPr>
                <w:rFonts w:hint="eastAsia" w:ascii="宋体" w:hAnsi="宋体" w:eastAsia="宋体" w:cs="Times New Roman"/>
                <w:color w:val="000000"/>
                <w:sz w:val="24"/>
                <w:szCs w:val="24"/>
              </w:rPr>
              <w:t xml:space="preserve">相关</w:t>
            </w:r>
            <w:r>
              <w:rPr>
                <w:rFonts w:ascii="宋体" w:hAnsi="宋体" w:eastAsia="宋体" w:cs="Times New Roman"/>
                <w:color w:val="000000"/>
                <w:sz w:val="24"/>
                <w:szCs w:val="24"/>
              </w:rPr>
              <w:t xml:space="preserve">高级工程师证书、软考网络工程师证书的，每提供一个证书得1分，</w:t>
            </w:r>
            <w:r>
              <w:rPr>
                <w:rFonts w:ascii="宋体" w:hAnsi="宋体" w:eastAsia="宋体" w:cs="Times New Roman"/>
                <w:b/>
                <w:color w:val="000000"/>
                <w:sz w:val="24"/>
                <w:szCs w:val="24"/>
              </w:rPr>
              <w:t xml:space="preserve">最高得</w:t>
            </w:r>
            <w:r>
              <w:rPr>
                <w:rFonts w:hint="eastAsia" w:ascii="宋体" w:hAnsi="宋体" w:eastAsia="宋体" w:cs="Times New Roman"/>
                <w:b/>
                <w:color w:val="000000"/>
                <w:sz w:val="24"/>
                <w:szCs w:val="24"/>
              </w:rPr>
              <w:t xml:space="preserve">4</w:t>
            </w:r>
            <w:r>
              <w:rPr>
                <w:rFonts w:ascii="宋体" w:hAnsi="宋体" w:eastAsia="宋体" w:cs="Times New Roman"/>
                <w:b/>
                <w:color w:val="000000"/>
                <w:sz w:val="24"/>
                <w:szCs w:val="24"/>
              </w:rPr>
              <w:t xml:space="preserve">分。</w:t>
            </w:r>
            <w:r/>
          </w:p>
          <w:p>
            <w:pPr>
              <w:jc w:val="left"/>
              <w:spacing w:line="500" w:lineRule="exact"/>
              <w:rPr>
                <w:rFonts w:asciiTheme="minorEastAsia" w:hAnsiTheme="minorEastAsia"/>
                <w:sz w:val="24"/>
                <w:szCs w:val="24"/>
              </w:rPr>
            </w:pPr>
            <w:r>
              <w:rPr>
                <w:rFonts w:hint="eastAsia" w:ascii="宋体" w:hAnsi="宋体" w:eastAsia="宋体" w:cs="仿宋_GB2312"/>
                <w:b/>
                <w:bCs/>
                <w:color w:val="000000"/>
                <w:sz w:val="24"/>
                <w:szCs w:val="24"/>
              </w:rPr>
              <w:t xml:space="preserve">（上述1-2项</w:t>
            </w:r>
            <w:r>
              <w:rPr>
                <w:rFonts w:hint="eastAsia" w:ascii="宋体" w:hAnsi="宋体" w:eastAsia="宋体" w:cs="宋体"/>
                <w:b/>
                <w:color w:val="000000"/>
                <w:sz w:val="24"/>
                <w:szCs w:val="24"/>
              </w:rPr>
              <w:t xml:space="preserve">投标文件中提供有效证书证明材料以及2026年1月（含）以来任意1个月由投标</w:t>
            </w:r>
            <w:r>
              <w:rPr>
                <w:rFonts w:ascii="宋体" w:hAnsi="宋体" w:eastAsia="宋体" w:cs="宋体"/>
                <w:b/>
                <w:color w:val="000000"/>
                <w:sz w:val="24"/>
                <w:szCs w:val="24"/>
              </w:rPr>
              <w:t xml:space="preserve">人</w:t>
            </w:r>
            <w:r>
              <w:rPr>
                <w:rFonts w:hint="eastAsia" w:ascii="宋体" w:hAnsi="宋体" w:eastAsia="宋体" w:cs="宋体"/>
                <w:b/>
                <w:color w:val="000000"/>
                <w:sz w:val="24"/>
                <w:szCs w:val="24"/>
              </w:rPr>
              <w:t xml:space="preserve">为其缴纳的社保证明材料，并加盖投标人公章</w:t>
            </w:r>
            <w:r>
              <w:rPr>
                <w:rFonts w:ascii="宋体" w:hAnsi="宋体" w:eastAsia="宋体" w:cs="宋体"/>
                <w:b/>
                <w:color w:val="000000"/>
                <w:sz w:val="24"/>
                <w:szCs w:val="24"/>
              </w:rPr>
              <w:t xml:space="preserve">，</w:t>
            </w:r>
            <w:r>
              <w:rPr>
                <w:rFonts w:hint="eastAsia" w:ascii="宋体" w:hAnsi="宋体" w:eastAsia="宋体" w:cs="宋体"/>
                <w:b/>
                <w:color w:val="000000"/>
                <w:sz w:val="24"/>
                <w:szCs w:val="24"/>
              </w:rPr>
              <w:t xml:space="preserve">否则不得分。</w:t>
            </w:r>
            <w:r>
              <w:rPr>
                <w:rFonts w:hint="eastAsia" w:ascii="宋体" w:hAnsi="宋体" w:eastAsia="宋体" w:cs="仿宋_GB2312"/>
                <w:b/>
                <w:bCs/>
                <w:color w:val="000000"/>
                <w:sz w:val="24"/>
                <w:szCs w:val="24"/>
              </w:rPr>
              <w:t xml:space="preserve">项目组团队成员（不含项目经理）中同一人具有多个证书的不重复计分。</w:t>
            </w:r>
            <w:r>
              <w:rPr>
                <w:rFonts w:hint="eastAsia" w:ascii="宋体" w:hAnsi="宋体" w:cs="仿宋_GB2312"/>
                <w:b/>
                <w:bCs/>
                <w:sz w:val="24"/>
                <w:szCs w:val="24"/>
              </w:rPr>
              <w:t xml:space="preserve">相关证书由评标委员会统一认定后给予得分</w:t>
            </w:r>
            <w:r>
              <w:rPr>
                <w:rFonts w:hint="eastAsia" w:ascii="宋体" w:hAnsi="宋体" w:eastAsia="宋体" w:cs="仿宋_GB2312"/>
                <w:b/>
                <w:bCs/>
                <w:color w:val="000000"/>
                <w:sz w:val="24"/>
                <w:szCs w:val="24"/>
              </w:rPr>
              <w:t xml:space="preserve">）</w:t>
            </w:r>
            <w:r/>
          </w:p>
        </w:tc>
      </w:tr>
    </w:tbl>
    <w:p>
      <w:pPr>
        <w:spacing w:line="360" w:lineRule="auto"/>
        <w:rPr>
          <w:rFonts w:ascii="宋体" w:hAnsi="宋体" w:cs="Calibri"/>
          <w:b/>
          <w:color w:val="000000"/>
          <w:sz w:val="24"/>
          <w:szCs w:val="24"/>
        </w:rPr>
      </w:pPr>
      <w:r>
        <w:rPr>
          <w:rFonts w:hint="eastAsia" w:ascii="宋体" w:hAnsi="宋体" w:cs="Calibri"/>
          <w:b/>
          <w:color w:val="000000"/>
          <w:sz w:val="24"/>
          <w:szCs w:val="24"/>
        </w:rPr>
        <w:t xml:space="preserve">注：</w:t>
      </w:r>
      <w:r/>
    </w:p>
    <w:p>
      <w:pPr>
        <w:spacing w:line="360" w:lineRule="auto"/>
        <w:rPr>
          <w:rFonts w:ascii="宋体" w:hAnsi="宋体" w:eastAsia="宋体" w:cs="Calibri"/>
          <w:b/>
          <w:color w:val="000000"/>
          <w:sz w:val="24"/>
          <w:szCs w:val="24"/>
        </w:rPr>
      </w:pPr>
      <w:r>
        <w:rPr>
          <w:rFonts w:ascii="宋体" w:hAnsi="宋体" w:cs="Calibri"/>
          <w:b/>
          <w:color w:val="000000"/>
          <w:sz w:val="24"/>
          <w:szCs w:val="24"/>
        </w:rPr>
        <w:t xml:space="preserve">1.联合体参与投标的，招标文件</w:t>
      </w:r>
      <w:r>
        <w:rPr>
          <w:rFonts w:hint="eastAsia" w:ascii="宋体" w:hAnsi="宋体" w:cs="Calibri"/>
          <w:b/>
          <w:color w:val="000000"/>
          <w:sz w:val="24"/>
          <w:szCs w:val="24"/>
        </w:rPr>
        <w:t xml:space="preserve">采购包2</w:t>
      </w:r>
      <w:r>
        <w:rPr>
          <w:rFonts w:ascii="宋体" w:hAnsi="宋体" w:cs="Calibri"/>
          <w:b/>
          <w:color w:val="000000"/>
          <w:sz w:val="24"/>
          <w:szCs w:val="24"/>
        </w:rPr>
        <w:t xml:space="preserve">中要求投标人具有相关认证，业绩，人员等，联合体成员中任意一方具有并提供即为满足评审要求，要求加盖投标人公章的加盖牵头人公章即可。</w:t>
      </w:r>
      <w:r/>
    </w:p>
    <w:p>
      <w:pPr>
        <w:spacing w:line="360" w:lineRule="auto"/>
        <w:rPr>
          <w:rFonts w:ascii="宋体" w:hAnsi="宋体" w:cs="Calibri"/>
          <w:b/>
          <w:color w:val="000000"/>
          <w:sz w:val="24"/>
          <w:szCs w:val="24"/>
        </w:rPr>
      </w:pPr>
      <w:r>
        <w:rPr>
          <w:rFonts w:hint="eastAsia" w:ascii="宋体" w:hAnsi="宋体" w:cs="Calibri"/>
          <w:b/>
          <w:color w:val="000000"/>
          <w:sz w:val="24"/>
          <w:szCs w:val="24"/>
        </w:rPr>
        <w:t xml:space="preserve">2.本项目评标标准中的技术分（30分）采用暗标方式进行评审。</w:t>
      </w:r>
      <w:r/>
    </w:p>
    <w:p>
      <w:pPr>
        <w:spacing w:line="360" w:lineRule="auto"/>
        <w:rPr>
          <w:rFonts w:ascii="宋体" w:hAnsi="宋体" w:cs="Calibri"/>
          <w:b/>
          <w:color w:val="000000"/>
          <w:sz w:val="24"/>
          <w:szCs w:val="24"/>
        </w:rPr>
      </w:pPr>
      <w:r>
        <w:rPr>
          <w:rFonts w:hint="eastAsia" w:ascii="宋体" w:hAnsi="宋体" w:cs="Calibri"/>
          <w:b/>
          <w:color w:val="000000"/>
          <w:sz w:val="24"/>
          <w:szCs w:val="24"/>
        </w:rPr>
        <w:t xml:space="preserve">3.编制要求：</w:t>
      </w:r>
      <w:r/>
    </w:p>
    <w:p>
      <w:pPr>
        <w:spacing w:line="400" w:lineRule="exact"/>
        <w:rPr>
          <w:rFonts w:ascii="宋体" w:hAnsi="宋体" w:cs="Calibri"/>
          <w:b/>
          <w:color w:val="000000"/>
          <w:sz w:val="24"/>
          <w:szCs w:val="24"/>
        </w:rPr>
      </w:pPr>
      <w:r>
        <w:rPr>
          <w:rFonts w:hint="eastAsia" w:ascii="宋体" w:hAnsi="宋体" w:cs="Calibri"/>
          <w:b/>
          <w:color w:val="000000"/>
          <w:sz w:val="24"/>
          <w:szCs w:val="24"/>
        </w:rPr>
        <w:t xml:space="preserve">3.1方案内容、文字、各类型图表、框图均不得出现供应商名称、相关人员姓名和其他可识别供应商身份的字符、徽标、人员名称、</w:t>
      </w:r>
      <w:r>
        <w:rPr>
          <w:rFonts w:ascii="宋体" w:hAnsi="宋体" w:cs="Calibri"/>
          <w:b/>
          <w:color w:val="000000"/>
          <w:sz w:val="24"/>
          <w:szCs w:val="24"/>
        </w:rPr>
        <w:t xml:space="preserve">投标人独享的企业标准或编号</w:t>
      </w:r>
      <w:r>
        <w:rPr>
          <w:rFonts w:hint="eastAsia" w:ascii="宋体" w:hAnsi="宋体" w:cs="Calibri"/>
          <w:b/>
          <w:color w:val="000000"/>
          <w:sz w:val="24"/>
          <w:szCs w:val="24"/>
        </w:rPr>
        <w:t xml:space="preserve">等内容；不得出现能显示企业特征或批注、底纹、阴影、水印等提示性的标记或标识；不得出现以前所承担过的项目名称，不得作任何标识或暗示该供应商单位名称或人员姓名的标记，</w:t>
      </w:r>
      <w:r>
        <w:rPr>
          <w:rFonts w:ascii="宋体" w:hAnsi="宋体" w:cs="Calibri"/>
          <w:b/>
          <w:color w:val="000000"/>
          <w:sz w:val="24"/>
          <w:szCs w:val="24"/>
        </w:rPr>
        <w:t xml:space="preserve">相关人员姓名应以职务或职称代替</w:t>
      </w:r>
      <w:r>
        <w:rPr>
          <w:rFonts w:hint="eastAsia" w:ascii="宋体" w:hAnsi="宋体" w:cs="Calibri"/>
          <w:b/>
          <w:color w:val="000000"/>
          <w:sz w:val="24"/>
          <w:szCs w:val="24"/>
        </w:rPr>
        <w:t xml:space="preserve">。</w:t>
      </w:r>
      <w:r/>
    </w:p>
    <w:p>
      <w:pPr>
        <w:jc w:val="left"/>
        <w:spacing w:line="360" w:lineRule="auto"/>
        <w:widowControl/>
        <w:rPr>
          <w:rFonts w:ascii="宋体" w:hAnsi="宋体" w:cs="Calibri"/>
          <w:b/>
          <w:bCs/>
          <w:color w:val="000000"/>
          <w:sz w:val="24"/>
          <w:szCs w:val="24"/>
        </w:rPr>
      </w:pPr>
      <w:r>
        <w:rPr>
          <w:rFonts w:hint="eastAsia" w:ascii="宋体" w:hAnsi="宋体" w:cs="Calibri"/>
          <w:b/>
          <w:color w:val="000000"/>
          <w:sz w:val="24"/>
          <w:szCs w:val="24"/>
        </w:rPr>
        <w:t xml:space="preserve">3.2方案部分上传地址在“苏采云”系统响应文件制作工具（政府采购客户端）的带有“暗”标志的评分项节点。本项目在评审过程中，只要有任一家供应商方案部分能够正常显示的，即视为“苏采云”系统方案部分暗标功能运行无故障。</w:t>
      </w:r>
      <w:r/>
    </w:p>
    <w:p>
      <w:pPr>
        <w:jc w:val="left"/>
        <w:spacing w:line="360" w:lineRule="auto"/>
        <w:widowControl/>
        <w:rPr>
          <w:rFonts w:ascii="宋体" w:hAnsi="宋体" w:cs="Calibri"/>
          <w:b/>
          <w:color w:val="000000"/>
          <w:sz w:val="24"/>
          <w:szCs w:val="24"/>
        </w:rPr>
      </w:pPr>
      <w:r>
        <w:rPr>
          <w:rFonts w:hint="eastAsia" w:ascii="宋体" w:hAnsi="宋体" w:cs="Calibri"/>
          <w:b/>
          <w:color w:val="000000"/>
          <w:sz w:val="24"/>
          <w:szCs w:val="24"/>
        </w:rPr>
        <w:t xml:space="preserve">3.3供应商需按照上述要求编制方案，未按要求编制的本项（30分）不得分。</w:t>
      </w:r>
      <w:r/>
    </w:p>
    <w:p>
      <w:pPr>
        <w:spacing w:line="500" w:lineRule="exact"/>
        <w:rPr>
          <w:rFonts w:cs="宋体" w:asciiTheme="minorEastAsia" w:hAnsiTheme="minorEastAsia"/>
          <w:b/>
          <w:bCs/>
          <w:sz w:val="28"/>
          <w:szCs w:val="28"/>
        </w:rPr>
      </w:pPr>
      <w:r>
        <w:rPr>
          <w:rFonts w:cs="宋体" w:asciiTheme="minorEastAsia" w:hAnsiTheme="minorEastAsia"/>
          <w:b/>
          <w:bCs/>
          <w:sz w:val="28"/>
          <w:szCs w:val="28"/>
        </w:rPr>
      </w:r>
      <w:r/>
    </w:p>
    <w:p>
      <w:pPr>
        <w:spacing w:line="500" w:lineRule="exact"/>
        <w:rPr>
          <w:rFonts w:cs="宋体" w:asciiTheme="minorEastAsia" w:hAnsiTheme="minorEastAsia"/>
          <w:b/>
          <w:bCs/>
          <w:sz w:val="28"/>
          <w:szCs w:val="28"/>
        </w:rPr>
      </w:pPr>
      <w:r>
        <w:rPr>
          <w:rFonts w:cs="宋体" w:asciiTheme="minorEastAsia" w:hAnsiTheme="minorEastAsia"/>
          <w:b/>
          <w:bCs/>
          <w:sz w:val="28"/>
          <w:szCs w:val="28"/>
        </w:rPr>
      </w:r>
      <w:r/>
    </w:p>
    <w:p>
      <w:pPr>
        <w:spacing w:line="500" w:lineRule="exact"/>
        <w:rPr>
          <w:rFonts w:cs="宋体" w:asciiTheme="minorEastAsia" w:hAnsiTheme="minorEastAsia"/>
          <w:b/>
          <w:bCs/>
          <w:sz w:val="28"/>
          <w:szCs w:val="28"/>
        </w:rPr>
      </w:pPr>
      <w:r>
        <w:rPr>
          <w:rFonts w:cs="宋体" w:asciiTheme="minorEastAsia" w:hAnsiTheme="minorEastAsia"/>
          <w:b/>
          <w:bCs/>
          <w:sz w:val="28"/>
          <w:szCs w:val="28"/>
        </w:rPr>
      </w:r>
      <w:r/>
    </w:p>
    <w:p>
      <w:pPr>
        <w:spacing w:line="500" w:lineRule="exact"/>
        <w:rPr>
          <w:rFonts w:cs="宋体" w:asciiTheme="minorEastAsia" w:hAnsiTheme="minorEastAsia"/>
          <w:b/>
          <w:bCs/>
          <w:sz w:val="28"/>
          <w:szCs w:val="28"/>
        </w:rPr>
      </w:pPr>
      <w:r>
        <w:rPr>
          <w:rFonts w:cs="宋体" w:asciiTheme="minorEastAsia" w:hAnsiTheme="minorEastAsia"/>
          <w:b/>
          <w:bCs/>
          <w:sz w:val="28"/>
          <w:szCs w:val="28"/>
        </w:rPr>
      </w:r>
      <w:r/>
    </w:p>
    <w:p>
      <w:pPr>
        <w:spacing w:line="500" w:lineRule="exact"/>
        <w:rPr>
          <w:rFonts w:cs="宋体" w:asciiTheme="minorEastAsia" w:hAnsiTheme="minorEastAsia"/>
          <w:b/>
          <w:bCs/>
          <w:sz w:val="28"/>
          <w:szCs w:val="28"/>
        </w:rPr>
      </w:pPr>
      <w:r>
        <w:rPr>
          <w:rFonts w:cs="宋体" w:asciiTheme="minorEastAsia" w:hAnsiTheme="minorEastAsia"/>
          <w:b/>
          <w:bCs/>
          <w:sz w:val="28"/>
          <w:szCs w:val="28"/>
        </w:rPr>
      </w:r>
      <w:r/>
    </w:p>
    <w:p>
      <w:pPr>
        <w:spacing w:line="500" w:lineRule="exact"/>
        <w:rPr>
          <w:rFonts w:cs="宋体" w:asciiTheme="minorEastAsia" w:hAnsiTheme="minorEastAsia"/>
          <w:b/>
          <w:bCs/>
          <w:sz w:val="28"/>
          <w:szCs w:val="28"/>
        </w:rPr>
      </w:pPr>
      <w:r>
        <w:rPr>
          <w:rFonts w:cs="宋体" w:asciiTheme="minorEastAsia" w:hAnsiTheme="minorEastAsia"/>
          <w:b/>
          <w:bCs/>
          <w:sz w:val="28"/>
          <w:szCs w:val="28"/>
        </w:rPr>
      </w:r>
      <w:r/>
    </w:p>
    <w:p>
      <w:pPr>
        <w:spacing w:line="500" w:lineRule="exact"/>
        <w:rPr>
          <w:rFonts w:cs="宋体" w:asciiTheme="minorEastAsia" w:hAnsiTheme="minorEastAsia"/>
          <w:b/>
          <w:bCs/>
          <w:sz w:val="28"/>
          <w:szCs w:val="28"/>
        </w:rPr>
      </w:pPr>
      <w:r>
        <w:rPr>
          <w:rFonts w:cs="宋体" w:asciiTheme="minorEastAsia" w:hAnsiTheme="minorEastAsia"/>
          <w:b/>
          <w:bCs/>
          <w:sz w:val="28"/>
          <w:szCs w:val="28"/>
        </w:rPr>
      </w:r>
      <w:r/>
    </w:p>
    <w:p>
      <w:pPr>
        <w:pStyle w:val="849"/>
        <w:rPr>
          <w:rFonts w:cs="宋体" w:asciiTheme="minorEastAsia" w:hAnsiTheme="minorEastAsia"/>
          <w:b/>
          <w:bCs/>
          <w:sz w:val="28"/>
          <w:szCs w:val="28"/>
        </w:rPr>
      </w:pPr>
      <w:r>
        <w:rPr>
          <w:rFonts w:cs="宋体" w:asciiTheme="minorEastAsia" w:hAnsiTheme="minorEastAsia"/>
          <w:b/>
          <w:bCs/>
          <w:sz w:val="28"/>
          <w:szCs w:val="28"/>
        </w:rPr>
      </w:r>
      <w:r/>
    </w:p>
    <w:p>
      <w:pPr>
        <w:pStyle w:val="849"/>
        <w:rPr>
          <w:rFonts w:cs="宋体" w:asciiTheme="minorEastAsia" w:hAnsiTheme="minorEastAsia"/>
          <w:b/>
          <w:bCs/>
          <w:sz w:val="28"/>
          <w:szCs w:val="28"/>
        </w:rPr>
      </w:pPr>
      <w:r>
        <w:rPr>
          <w:rFonts w:cs="宋体" w:asciiTheme="minorEastAsia" w:hAnsiTheme="minorEastAsia"/>
          <w:b/>
          <w:bCs/>
          <w:sz w:val="28"/>
          <w:szCs w:val="28"/>
        </w:rPr>
      </w:r>
      <w:r/>
    </w:p>
    <w:p>
      <w:pPr>
        <w:pStyle w:val="849"/>
        <w:rPr>
          <w:rFonts w:cs="宋体" w:asciiTheme="minorEastAsia" w:hAnsiTheme="minorEastAsia"/>
          <w:b/>
          <w:bCs/>
          <w:sz w:val="28"/>
          <w:szCs w:val="28"/>
        </w:rPr>
      </w:pPr>
      <w:r>
        <w:rPr>
          <w:rFonts w:cs="宋体" w:asciiTheme="minorEastAsia" w:hAnsiTheme="minorEastAsia"/>
          <w:b/>
          <w:bCs/>
          <w:sz w:val="28"/>
          <w:szCs w:val="28"/>
        </w:rPr>
      </w:r>
      <w:r/>
    </w:p>
    <w:p>
      <w:pPr>
        <w:spacing w:line="500" w:lineRule="exact"/>
        <w:rPr>
          <w:rFonts w:cs="宋体" w:asciiTheme="minorEastAsia" w:hAnsiTheme="minorEastAsia"/>
          <w:b/>
          <w:bCs/>
          <w:sz w:val="28"/>
          <w:szCs w:val="28"/>
        </w:rPr>
      </w:pPr>
      <w:r>
        <w:rPr>
          <w:rFonts w:cs="宋体" w:asciiTheme="minorEastAsia" w:hAnsiTheme="minorEastAsia"/>
          <w:b/>
          <w:bCs/>
          <w:sz w:val="28"/>
          <w:szCs w:val="28"/>
        </w:rPr>
      </w:r>
      <w:r/>
    </w:p>
    <w:p>
      <w:pPr>
        <w:spacing w:line="500" w:lineRule="exact"/>
        <w:rPr>
          <w:rFonts w:cs="宋体" w:asciiTheme="minorEastAsia" w:hAnsiTheme="minorEastAsia"/>
          <w:b/>
          <w:bCs/>
          <w:sz w:val="28"/>
          <w:szCs w:val="28"/>
        </w:rPr>
      </w:pPr>
      <w:r>
        <w:rPr>
          <w:rFonts w:cs="宋体" w:asciiTheme="minorEastAsia" w:hAnsiTheme="minorEastAsia"/>
          <w:b/>
          <w:bCs/>
          <w:sz w:val="28"/>
          <w:szCs w:val="28"/>
        </w:rPr>
      </w:r>
      <w:r/>
    </w:p>
    <w:p>
      <w:pPr>
        <w:spacing w:line="500" w:lineRule="exact"/>
        <w:rPr>
          <w:rFonts w:cs="宋体" w:asciiTheme="minorEastAsia" w:hAnsiTheme="minorEastAsia"/>
          <w:b/>
          <w:bCs/>
          <w:sz w:val="28"/>
          <w:szCs w:val="28"/>
        </w:rPr>
      </w:pPr>
      <w:r>
        <w:rPr>
          <w:rFonts w:cs="宋体" w:asciiTheme="minorEastAsia" w:hAnsiTheme="minorEastAsia"/>
          <w:b/>
          <w:bCs/>
          <w:sz w:val="28"/>
          <w:szCs w:val="28"/>
        </w:rPr>
      </w:r>
      <w:r/>
    </w:p>
    <w:p>
      <w:pPr>
        <w:spacing w:line="500" w:lineRule="exact"/>
        <w:rPr>
          <w:rFonts w:cs="宋体" w:asciiTheme="minorEastAsia" w:hAnsiTheme="minorEastAsia"/>
          <w:b/>
          <w:bCs/>
          <w:sz w:val="28"/>
          <w:szCs w:val="28"/>
        </w:rPr>
      </w:pPr>
      <w:r>
        <w:rPr>
          <w:rFonts w:cs="宋体" w:asciiTheme="minorEastAsia" w:hAnsiTheme="minorEastAsia"/>
          <w:b/>
          <w:bCs/>
          <w:sz w:val="28"/>
          <w:szCs w:val="28"/>
        </w:rPr>
      </w:r>
      <w:r/>
    </w:p>
    <w:p>
      <w:pPr>
        <w:spacing w:line="500" w:lineRule="exact"/>
        <w:rPr>
          <w:rFonts w:cs="宋体" w:asciiTheme="minorEastAsia" w:hAnsiTheme="minorEastAsia"/>
          <w:b/>
          <w:bCs/>
          <w:sz w:val="28"/>
          <w:szCs w:val="28"/>
        </w:rPr>
      </w:pPr>
      <w:r>
        <w:rPr>
          <w:rFonts w:cs="宋体" w:asciiTheme="minorEastAsia" w:hAnsiTheme="minorEastAsia"/>
          <w:b/>
          <w:bCs/>
          <w:sz w:val="28"/>
          <w:szCs w:val="28"/>
        </w:rPr>
      </w:r>
      <w:r/>
    </w:p>
    <w:p>
      <w:pPr>
        <w:pStyle w:val="843"/>
        <w:jc w:val="center"/>
        <w:spacing w:line="360" w:lineRule="auto"/>
        <w:rPr>
          <w:rFonts w:ascii="黑体" w:hAnsi="黑体" w:eastAsia="黑体"/>
          <w:b w:val="0"/>
        </w:rPr>
      </w:pPr>
      <w:r/>
      <w:bookmarkStart w:id="17" w:name="_Toc162361615"/>
      <w:r>
        <w:rPr>
          <w:rFonts w:hint="eastAsia" w:ascii="黑体" w:hAnsi="黑体" w:eastAsia="黑体"/>
          <w:b w:val="0"/>
        </w:rPr>
        <w:t xml:space="preserve">第六章  投标文件格式</w:t>
      </w:r>
      <w:bookmarkEnd w:id="17"/>
      <w:r/>
      <w:r/>
    </w:p>
    <w:p>
      <w:pPr>
        <w:pStyle w:val="843"/>
        <w:jc w:val="center"/>
        <w:spacing w:line="360" w:lineRule="auto"/>
        <w:rPr>
          <w:rFonts w:ascii="黑体" w:hAnsi="黑体" w:eastAsia="黑体"/>
          <w:b w:val="0"/>
          <w:sz w:val="28"/>
          <w:szCs w:val="28"/>
        </w:rPr>
      </w:pPr>
      <w:r>
        <w:rPr>
          <w:rFonts w:hint="eastAsia" w:ascii="黑体" w:hAnsi="黑体" w:eastAsia="黑体"/>
          <w:b w:val="0"/>
          <w:sz w:val="28"/>
          <w:szCs w:val="28"/>
        </w:rPr>
        <w:t xml:space="preserve">（根据采购包1、采购包2项目需求分别编制投标文件）</w:t>
      </w:r>
      <w:r/>
    </w:p>
    <w:p>
      <w:pPr>
        <w:jc w:val="left"/>
        <w:spacing w:line="500" w:lineRule="exact"/>
        <w:rPr>
          <w:sz w:val="24"/>
          <w:szCs w:val="24"/>
        </w:rPr>
      </w:pPr>
      <w:r>
        <w:rPr>
          <w:sz w:val="24"/>
          <w:szCs w:val="24"/>
        </w:rPr>
      </w:r>
      <w:r/>
    </w:p>
    <w:p>
      <w:pPr>
        <w:jc w:val="center"/>
        <w:rPr>
          <w:rFonts w:ascii="宋体" w:hAnsi="宋体" w:eastAsia="宋体" w:cs="Times New Roman"/>
          <w:b/>
          <w:color w:val="000000"/>
          <w:sz w:val="72"/>
          <w:szCs w:val="21"/>
        </w:rPr>
      </w:pPr>
      <w:r>
        <w:rPr>
          <w:rFonts w:ascii="宋体" w:hAnsi="宋体" w:eastAsia="宋体" w:cs="Times New Roman"/>
          <w:b/>
          <w:color w:val="000000"/>
          <w:sz w:val="72"/>
          <w:szCs w:val="21"/>
        </w:rPr>
      </w:r>
      <w:r/>
    </w:p>
    <w:p>
      <w:pPr>
        <w:jc w:val="center"/>
        <w:rPr>
          <w:rFonts w:ascii="宋体" w:hAnsi="宋体" w:eastAsia="宋体" w:cs="Times New Roman"/>
          <w:b/>
          <w:color w:val="000000"/>
          <w:sz w:val="72"/>
          <w:szCs w:val="21"/>
        </w:rPr>
      </w:pPr>
      <w:r>
        <w:rPr>
          <w:rFonts w:hint="eastAsia" w:ascii="宋体" w:hAnsi="宋体" w:eastAsia="宋体" w:cs="Times New Roman"/>
          <w:b/>
          <w:color w:val="000000"/>
          <w:sz w:val="72"/>
          <w:szCs w:val="21"/>
        </w:rPr>
        <w:t xml:space="preserve">投  标  文  件</w:t>
      </w:r>
      <w:r/>
    </w:p>
    <w:p>
      <w:pPr>
        <w:jc w:val="center"/>
        <w:rPr>
          <w:rFonts w:ascii="宋体" w:hAnsi="宋体" w:eastAsia="宋体" w:cs="Times New Roman"/>
          <w:b/>
          <w:color w:val="000000"/>
          <w:sz w:val="72"/>
          <w:szCs w:val="21"/>
        </w:rPr>
      </w:pPr>
      <w:r>
        <w:rPr>
          <w:rFonts w:ascii="宋体" w:hAnsi="宋体" w:eastAsia="宋体" w:cs="Times New Roman"/>
          <w:b/>
          <w:color w:val="000000"/>
          <w:sz w:val="72"/>
          <w:szCs w:val="21"/>
        </w:rPr>
      </w:r>
      <w:r/>
    </w:p>
    <w:p>
      <w:pPr>
        <w:jc w:val="center"/>
        <w:rPr>
          <w:rFonts w:ascii="宋体" w:hAnsi="宋体" w:eastAsia="宋体" w:cs="Times New Roman"/>
          <w:b/>
          <w:color w:val="000000"/>
          <w:sz w:val="72"/>
          <w:szCs w:val="21"/>
        </w:rPr>
      </w:pPr>
      <w:r>
        <w:rPr>
          <w:rFonts w:ascii="宋体" w:hAnsi="宋体" w:eastAsia="宋体" w:cs="Times New Roman"/>
          <w:b/>
          <w:color w:val="000000"/>
          <w:sz w:val="72"/>
          <w:szCs w:val="21"/>
        </w:rPr>
      </w:r>
      <w:r/>
    </w:p>
    <w:p>
      <w:pPr>
        <w:jc w:val="center"/>
        <w:rPr>
          <w:rFonts w:ascii="宋体" w:hAnsi="宋体" w:eastAsia="宋体" w:cs="Times New Roman"/>
          <w:b/>
          <w:color w:val="000000"/>
          <w:sz w:val="36"/>
          <w:szCs w:val="21"/>
        </w:rPr>
      </w:pPr>
      <w:r>
        <w:rPr>
          <w:rFonts w:ascii="宋体" w:hAnsi="宋体" w:eastAsia="宋体" w:cs="Times New Roman"/>
          <w:b/>
          <w:color w:val="000000"/>
          <w:sz w:val="36"/>
          <w:szCs w:val="21"/>
        </w:rPr>
      </w:r>
      <w:r/>
    </w:p>
    <w:p>
      <w:pPr>
        <w:jc w:val="center"/>
        <w:rPr>
          <w:rFonts w:ascii="宋体" w:hAnsi="宋体" w:eastAsia="宋体" w:cs="Times New Roman"/>
          <w:b/>
          <w:color w:val="000000"/>
          <w:sz w:val="36"/>
          <w:szCs w:val="21"/>
        </w:rPr>
      </w:pPr>
      <w:r>
        <w:rPr>
          <w:rFonts w:ascii="宋体" w:hAnsi="宋体" w:eastAsia="宋体" w:cs="Times New Roman"/>
          <w:b/>
          <w:color w:val="000000"/>
          <w:sz w:val="36"/>
          <w:szCs w:val="21"/>
        </w:rPr>
      </w:r>
      <w:r/>
    </w:p>
    <w:p>
      <w:pPr>
        <w:jc w:val="center"/>
        <w:rPr>
          <w:rFonts w:ascii="宋体" w:hAnsi="宋体" w:eastAsia="宋体" w:cs="Times New Roman"/>
          <w:b/>
          <w:color w:val="000000"/>
          <w:sz w:val="36"/>
          <w:szCs w:val="21"/>
        </w:rPr>
      </w:pPr>
      <w:r>
        <w:rPr>
          <w:rFonts w:ascii="宋体" w:hAnsi="宋体" w:eastAsia="宋体" w:cs="Times New Roman"/>
          <w:b/>
          <w:color w:val="000000"/>
          <w:sz w:val="36"/>
          <w:szCs w:val="21"/>
        </w:rPr>
      </w:r>
      <w:r/>
    </w:p>
    <w:p>
      <w:pPr>
        <w:ind w:firstLine="1084"/>
        <w:rPr>
          <w:rFonts w:ascii="宋体" w:hAnsi="宋体" w:eastAsia="宋体" w:cs="Times New Roman"/>
          <w:b/>
          <w:color w:val="000000"/>
          <w:sz w:val="36"/>
          <w:szCs w:val="21"/>
        </w:rPr>
      </w:pPr>
      <w:r>
        <w:rPr>
          <w:rFonts w:hint="eastAsia" w:ascii="宋体" w:hAnsi="宋体" w:eastAsia="宋体" w:cs="Times New Roman"/>
          <w:b/>
          <w:color w:val="000000"/>
          <w:sz w:val="36"/>
          <w:szCs w:val="21"/>
        </w:rPr>
        <w:t xml:space="preserve">项 目 名 称：</w:t>
      </w:r>
      <w:r/>
    </w:p>
    <w:p>
      <w:pPr>
        <w:ind w:firstLine="1084"/>
        <w:rPr>
          <w:rFonts w:ascii="宋体" w:hAnsi="宋体" w:eastAsia="宋体" w:cs="Times New Roman"/>
          <w:b/>
          <w:color w:val="000000"/>
          <w:sz w:val="36"/>
          <w:szCs w:val="21"/>
          <w:u w:val="single"/>
        </w:rPr>
      </w:pPr>
      <w:r>
        <w:rPr>
          <w:rFonts w:hint="eastAsia" w:ascii="宋体" w:hAnsi="宋体" w:eastAsia="宋体" w:cs="Times New Roman"/>
          <w:b/>
          <w:color w:val="000000"/>
          <w:sz w:val="36"/>
          <w:szCs w:val="21"/>
        </w:rPr>
        <w:t xml:space="preserve">项 目 编 号：</w:t>
      </w:r>
      <w:r/>
    </w:p>
    <w:p>
      <w:pPr>
        <w:rPr>
          <w:rFonts w:ascii="宋体" w:hAnsi="宋体" w:eastAsia="宋体" w:cs="Times New Roman"/>
          <w:b/>
          <w:color w:val="000000"/>
          <w:sz w:val="36"/>
          <w:szCs w:val="21"/>
          <w:u w:val="single"/>
        </w:rPr>
      </w:pPr>
      <w:r>
        <w:rPr>
          <w:rFonts w:hint="eastAsia" w:ascii="宋体" w:hAnsi="宋体" w:eastAsia="宋体" w:cs="Times New Roman"/>
          <w:b/>
          <w:color w:val="000000"/>
          <w:sz w:val="36"/>
          <w:szCs w:val="21"/>
        </w:rPr>
        <w:t xml:space="preserve">      投标人名称 ：</w:t>
      </w:r>
      <w:r>
        <w:rPr>
          <w:rFonts w:hint="eastAsia" w:ascii="宋体" w:hAnsi="宋体" w:eastAsia="宋体" w:cs="Times New Roman"/>
          <w:b/>
          <w:color w:val="000000"/>
          <w:sz w:val="36"/>
          <w:szCs w:val="21"/>
          <w:u w:val="single"/>
        </w:rPr>
        <w:t xml:space="preserve">（加盖CA电子公章）</w:t>
      </w:r>
      <w:r/>
    </w:p>
    <w:p>
      <w:pPr>
        <w:rPr>
          <w:rFonts w:ascii="宋体" w:hAnsi="宋体" w:eastAsia="宋体" w:cs="Times New Roman"/>
          <w:b/>
          <w:color w:val="000000"/>
          <w:sz w:val="36"/>
          <w:szCs w:val="21"/>
          <w:u w:val="single"/>
        </w:rPr>
      </w:pPr>
      <w:r>
        <w:rPr>
          <w:rFonts w:hint="eastAsia" w:ascii="宋体" w:hAnsi="宋体" w:eastAsia="宋体" w:cs="Times New Roman"/>
          <w:b/>
          <w:color w:val="000000"/>
          <w:sz w:val="36"/>
          <w:szCs w:val="21"/>
        </w:rPr>
        <w:t xml:space="preserve">      日      期 ：</w:t>
      </w:r>
      <w:r/>
    </w:p>
    <w:p>
      <w:pPr>
        <w:jc w:val="center"/>
        <w:spacing w:line="440" w:lineRule="exact"/>
        <w:rPr>
          <w:rFonts w:ascii="宋体" w:hAnsi="宋体" w:eastAsia="宋体" w:cs="Times New Roman"/>
          <w:b/>
          <w:bCs/>
          <w:color w:val="000000"/>
          <w:sz w:val="32"/>
          <w:szCs w:val="32"/>
        </w:rPr>
      </w:pPr>
      <w:r>
        <w:rPr>
          <w:rFonts w:ascii="宋体" w:hAnsi="宋体" w:eastAsia="宋体" w:cs="Times New Roman"/>
          <w:b/>
          <w:bCs/>
          <w:color w:val="000000"/>
          <w:sz w:val="32"/>
          <w:szCs w:val="32"/>
        </w:rPr>
      </w:r>
      <w:r/>
    </w:p>
    <w:p>
      <w:pPr>
        <w:spacing w:line="440" w:lineRule="exact"/>
        <w:rPr>
          <w:rFonts w:ascii="宋体" w:hAnsi="宋体" w:eastAsia="宋体" w:cs="Times New Roman"/>
          <w:color w:val="000000"/>
          <w:szCs w:val="21"/>
        </w:rPr>
      </w:pPr>
      <w:r>
        <w:rPr>
          <w:rFonts w:ascii="宋体" w:hAnsi="宋体" w:eastAsia="宋体" w:cs="Times New Roman"/>
          <w:color w:val="000000"/>
          <w:szCs w:val="21"/>
        </w:rPr>
      </w:r>
      <w:r/>
    </w:p>
    <w:p>
      <w:pPr>
        <w:jc w:val="left"/>
        <w:spacing w:line="500" w:lineRule="exact"/>
        <w:rPr>
          <w:sz w:val="24"/>
          <w:szCs w:val="24"/>
        </w:rPr>
      </w:pPr>
      <w:r>
        <w:rPr>
          <w:sz w:val="24"/>
          <w:szCs w:val="24"/>
        </w:rPr>
      </w:r>
      <w:r/>
    </w:p>
    <w:p>
      <w:pPr>
        <w:jc w:val="left"/>
        <w:spacing w:line="500" w:lineRule="exact"/>
        <w:rPr>
          <w:sz w:val="24"/>
          <w:szCs w:val="24"/>
        </w:rPr>
      </w:pPr>
      <w:r>
        <w:rPr>
          <w:sz w:val="24"/>
          <w:szCs w:val="24"/>
        </w:rPr>
      </w:r>
      <w:r/>
    </w:p>
    <w:p>
      <w:pPr>
        <w:jc w:val="left"/>
        <w:spacing w:line="500" w:lineRule="exact"/>
        <w:rPr>
          <w:sz w:val="24"/>
          <w:szCs w:val="24"/>
        </w:rPr>
      </w:pPr>
      <w:r>
        <w:rPr>
          <w:sz w:val="24"/>
          <w:szCs w:val="24"/>
        </w:rPr>
      </w:r>
      <w:r/>
    </w:p>
    <w:p>
      <w:pPr>
        <w:jc w:val="left"/>
        <w:widowControl/>
        <w:rPr>
          <w:sz w:val="24"/>
          <w:szCs w:val="24"/>
        </w:rPr>
      </w:pPr>
      <w:r>
        <w:rPr>
          <w:sz w:val="24"/>
          <w:szCs w:val="24"/>
        </w:rPr>
        <w:br w:type="page" w:clear="all"/>
      </w:r>
      <w:r/>
    </w:p>
    <w:p>
      <w:pPr>
        <w:jc w:val="left"/>
        <w:keepLines/>
        <w:keepNext/>
        <w:spacing w:before="360" w:after="200" w:line="360" w:lineRule="auto"/>
        <w:rPr>
          <w:rFonts w:ascii="宋体" w:hAnsi="宋体" w:eastAsia="宋体" w:cs="宋体"/>
          <w:b/>
          <w:sz w:val="36"/>
          <w:szCs w:val="36"/>
        </w:rPr>
        <w:outlineLvl w:val="1"/>
      </w:pPr>
      <w:r>
        <w:rPr>
          <w:rFonts w:hint="eastAsia" w:ascii="宋体" w:hAnsi="宋体" w:eastAsia="宋体" w:cs="宋体"/>
          <w:b/>
          <w:sz w:val="36"/>
          <w:szCs w:val="36"/>
        </w:rPr>
        <w:t xml:space="preserve">一、法人或者其他组织的营业执照等证明文件，自然人的身份证明</w:t>
      </w:r>
      <w:r/>
    </w:p>
    <w:p>
      <w:r/>
      <w:r/>
    </w:p>
    <w:p>
      <w:r/>
      <w:r/>
    </w:p>
    <w:p>
      <w:r/>
      <w:r/>
    </w:p>
    <w:p>
      <w:r/>
      <w:r/>
    </w:p>
    <w:p>
      <w:pPr>
        <w:jc w:val="left"/>
        <w:spacing w:line="500" w:lineRule="exact"/>
        <w:rPr>
          <w:sz w:val="24"/>
          <w:szCs w:val="24"/>
        </w:rPr>
      </w:pPr>
      <w:r>
        <w:rPr>
          <w:rFonts w:hint="eastAsia" w:ascii="Arial" w:hAnsi="Arial" w:eastAsia="宋体" w:cs="Arial"/>
          <w:b/>
          <w:sz w:val="36"/>
        </w:rPr>
        <w:t xml:space="preserve">二、上一年度的财务状况报告</w:t>
      </w:r>
      <w:r>
        <w:rPr>
          <w:rFonts w:hint="eastAsia"/>
          <w:sz w:val="24"/>
          <w:szCs w:val="24"/>
        </w:rPr>
        <w:t xml:space="preserve">（成立不满一年无需提供）</w:t>
      </w:r>
      <w:r/>
    </w:p>
    <w:p>
      <w:r/>
      <w:r/>
    </w:p>
    <w:p>
      <w:pPr>
        <w:ind w:firstLine="480"/>
        <w:spacing w:line="360" w:lineRule="auto"/>
        <w:rPr>
          <w:rFonts w:asciiTheme="minorEastAsia" w:hAnsiTheme="minorEastAsia"/>
          <w:sz w:val="24"/>
          <w:szCs w:val="24"/>
        </w:rPr>
      </w:pPr>
      <w:r>
        <w:rPr>
          <w:rFonts w:hint="eastAsia" w:asciiTheme="minorEastAsia" w:hAnsiTheme="minorEastAsia"/>
          <w:sz w:val="24"/>
          <w:szCs w:val="24"/>
        </w:rPr>
        <w:t xml:space="preserve">根据连财购〔2023〕4号文件精神，可以提供《财务状况报告及税收、社会保障资金缴纳情况承诺函》</w:t>
      </w:r>
      <w:r/>
    </w:p>
    <w:p>
      <w:pPr>
        <w:spacing w:line="360" w:lineRule="auto"/>
        <w:rPr>
          <w:rFonts w:asciiTheme="minorEastAsia" w:hAnsiTheme="minorEastAsia"/>
          <w:sz w:val="24"/>
          <w:szCs w:val="24"/>
        </w:rPr>
      </w:pPr>
      <w:r>
        <w:rPr>
          <w:rFonts w:asciiTheme="minorEastAsia" w:hAnsiTheme="minorEastAsia"/>
          <w:sz w:val="24"/>
          <w:szCs w:val="24"/>
        </w:rPr>
      </w:r>
      <w:r/>
    </w:p>
    <w:p>
      <w:r/>
      <w:r/>
    </w:p>
    <w:p>
      <w:pPr>
        <w:jc w:val="left"/>
        <w:keepLines/>
        <w:keepNext/>
        <w:spacing w:before="360" w:after="200" w:line="360" w:lineRule="auto"/>
        <w:rPr>
          <w:rFonts w:ascii="Arial" w:hAnsi="Arial" w:eastAsia="宋体" w:cs="Arial"/>
          <w:b/>
          <w:iCs/>
          <w:sz w:val="36"/>
        </w:rPr>
        <w:outlineLvl w:val="1"/>
      </w:pPr>
      <w:r>
        <w:rPr>
          <w:rFonts w:hint="eastAsia" w:ascii="Arial" w:hAnsi="Arial" w:eastAsia="宋体" w:cs="Arial"/>
          <w:b/>
          <w:iCs/>
          <w:sz w:val="36"/>
        </w:rPr>
        <w:t xml:space="preserve">三、依法缴纳税收和社会保障资金的相关材料</w:t>
      </w:r>
      <w:r/>
    </w:p>
    <w:p>
      <w:pPr>
        <w:ind w:firstLine="480"/>
        <w:spacing w:line="360" w:lineRule="auto"/>
        <w:rPr>
          <w:rFonts w:asciiTheme="minorEastAsia" w:hAnsiTheme="minorEastAsia"/>
          <w:sz w:val="24"/>
          <w:szCs w:val="24"/>
        </w:rPr>
      </w:pPr>
      <w:r>
        <w:rPr>
          <w:rFonts w:hint="eastAsia"/>
          <w:sz w:val="24"/>
          <w:szCs w:val="24"/>
        </w:rPr>
        <w:t xml:space="preserve">提供提交投标文件截止时间前一年内至少一个月依法缴纳税收及缴纳社会保障资金的证明材料，投标人依法享受缓缴、免缴税收、社会保障资金的提供证明材料，也可</w:t>
      </w:r>
      <w:r>
        <w:rPr>
          <w:rFonts w:hint="eastAsia" w:asciiTheme="minorEastAsia" w:hAnsiTheme="minorEastAsia"/>
          <w:sz w:val="24"/>
          <w:szCs w:val="24"/>
        </w:rPr>
        <w:t xml:space="preserve">根据连财购〔2023〕4号文件精神，提供《财务状况报告及税收、社会保障资金缴纳情况承诺函》。</w:t>
      </w:r>
      <w:r/>
    </w:p>
    <w:p>
      <w:pPr>
        <w:ind w:firstLine="480"/>
        <w:jc w:val="left"/>
        <w:spacing w:line="500" w:lineRule="exact"/>
        <w:rPr>
          <w:sz w:val="24"/>
          <w:szCs w:val="24"/>
        </w:rPr>
      </w:pPr>
      <w:r>
        <w:rPr>
          <w:sz w:val="24"/>
          <w:szCs w:val="24"/>
        </w:rPr>
      </w:r>
      <w:r/>
    </w:p>
    <w:p>
      <w:r/>
      <w:r/>
    </w:p>
    <w:p>
      <w:pPr>
        <w:rPr>
          <w:b/>
          <w:sz w:val="24"/>
        </w:rPr>
      </w:pPr>
      <w:r>
        <w:rPr>
          <w:b/>
          <w:sz w:val="24"/>
        </w:rPr>
      </w:r>
      <w:r/>
    </w:p>
    <w:p>
      <w:pPr>
        <w:rPr>
          <w:b/>
          <w:sz w:val="24"/>
        </w:rPr>
      </w:pPr>
      <w:r>
        <w:rPr>
          <w:b/>
          <w:sz w:val="24"/>
        </w:rPr>
        <w:t xml:space="preserve">承诺函：</w:t>
      </w:r>
      <w:r/>
    </w:p>
    <w:p>
      <w:pPr>
        <w:jc w:val="center"/>
        <w:spacing w:line="360" w:lineRule="auto"/>
        <w:rPr>
          <w:rFonts w:ascii="黑体" w:hAnsi="黑体" w:eastAsia="黑体" w:cs="宋体"/>
          <w:bCs/>
          <w:sz w:val="36"/>
          <w:szCs w:val="28"/>
        </w:rPr>
      </w:pPr>
      <w:r>
        <w:rPr>
          <w:rFonts w:hint="eastAsia" w:ascii="黑体" w:hAnsi="黑体" w:eastAsia="黑体" w:cs="宋体"/>
          <w:bCs/>
          <w:sz w:val="36"/>
          <w:szCs w:val="28"/>
        </w:rPr>
        <w:t xml:space="preserve">财务状况报告及税收、社会保障资金缴纳情况承诺函</w:t>
      </w:r>
      <w:r/>
    </w:p>
    <w:p>
      <w:pPr>
        <w:jc w:val="left"/>
        <w:rPr>
          <w:rFonts w:ascii="MS Mincho" w:hAnsi="Calibri" w:eastAsia="宋体" w:cs="Times New Roman"/>
          <w:color w:val="000000"/>
          <w:szCs w:val="24"/>
        </w:rPr>
      </w:pPr>
      <w:r>
        <w:rPr>
          <w:rFonts w:ascii="MS Mincho" w:hAnsi="Calibri" w:eastAsia="宋体" w:cs="Times New Roman"/>
          <w:color w:val="000000"/>
          <w:szCs w:val="24"/>
        </w:rPr>
      </w:r>
      <w:r/>
    </w:p>
    <w:p>
      <w:pPr>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致：</w:t>
      </w:r>
      <w:r>
        <w:rPr>
          <w:rFonts w:hint="eastAsia" w:ascii="Calibri" w:hAnsi="Calibri" w:eastAsia="宋体" w:cs="Times New Roman"/>
          <w:sz w:val="24"/>
          <w:szCs w:val="24"/>
          <w:u w:val="single"/>
        </w:rPr>
        <w:t xml:space="preserve">采购人名称</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我方</w:t>
      </w:r>
      <w:r>
        <w:rPr>
          <w:rFonts w:hint="eastAsia"/>
          <w:sz w:val="24"/>
          <w:szCs w:val="24"/>
          <w:u w:val="single"/>
        </w:rPr>
        <w:t xml:space="preserve">供应商</w:t>
      </w:r>
      <w:r>
        <w:rPr>
          <w:rFonts w:hint="eastAsia" w:ascii="Calibri" w:hAnsi="Calibri" w:eastAsia="宋体" w:cs="Times New Roman"/>
          <w:sz w:val="24"/>
          <w:szCs w:val="24"/>
          <w:u w:val="single"/>
        </w:rPr>
        <w:t xml:space="preserve">名称</w:t>
      </w:r>
      <w:r>
        <w:rPr>
          <w:rFonts w:hint="eastAsia" w:ascii="Calibri" w:hAnsi="Calibri" w:eastAsia="宋体" w:cs="Times New Roman"/>
          <w:sz w:val="24"/>
          <w:szCs w:val="24"/>
        </w:rPr>
        <w:t xml:space="preserve">参加</w:t>
      </w:r>
      <w:r>
        <w:rPr>
          <w:rFonts w:hint="eastAsia" w:ascii="Calibri" w:hAnsi="Calibri" w:eastAsia="宋体" w:cs="Times New Roman"/>
          <w:sz w:val="24"/>
          <w:szCs w:val="24"/>
          <w:u w:val="single"/>
        </w:rPr>
        <w:t xml:space="preserve">项目名称</w:t>
      </w:r>
      <w:r>
        <w:rPr>
          <w:rFonts w:hint="eastAsia" w:ascii="Calibri" w:hAnsi="Calibri" w:eastAsia="宋体" w:cs="Times New Roman"/>
          <w:sz w:val="24"/>
          <w:szCs w:val="24"/>
        </w:rPr>
        <w:t xml:space="preserve">（项目编号：</w:t>
      </w:r>
      <w:r>
        <w:rPr>
          <w:rFonts w:hint="eastAsia" w:ascii="Calibri" w:hAnsi="Calibri" w:eastAsia="宋体" w:cs="Times New Roman"/>
          <w:sz w:val="24"/>
          <w:szCs w:val="24"/>
          <w:u w:val="single"/>
        </w:rPr>
        <w:t xml:space="preserve">项目编号</w:t>
      </w:r>
      <w:r>
        <w:rPr>
          <w:rFonts w:hint="eastAsia" w:ascii="Calibri" w:hAnsi="Calibri" w:eastAsia="宋体" w:cs="Times New Roman"/>
          <w:sz w:val="24"/>
          <w:szCs w:val="24"/>
        </w:rPr>
        <w:t xml:space="preserve">）采购，根据《关于简化政府采购供应商资格审查有关事项的通知》（连财购〔</w:t>
      </w:r>
      <w:r>
        <w:rPr>
          <w:rFonts w:hint="eastAsia" w:ascii="Calibri" w:hAnsi="Calibri" w:eastAsia="宋体" w:cs="Times New Roman"/>
          <w:sz w:val="24"/>
          <w:szCs w:val="24"/>
        </w:rPr>
        <w:t xml:space="preserve">2023</w:t>
      </w:r>
      <w:r>
        <w:rPr>
          <w:rFonts w:hint="eastAsia" w:ascii="Calibri" w:hAnsi="Calibri" w:eastAsia="宋体" w:cs="Times New Roman"/>
          <w:sz w:val="24"/>
          <w:szCs w:val="24"/>
        </w:rPr>
        <w:t xml:space="preserve">〕</w:t>
      </w:r>
      <w:r>
        <w:rPr>
          <w:rFonts w:hint="eastAsia" w:ascii="Calibri" w:hAnsi="Calibri" w:eastAsia="宋体" w:cs="Times New Roman"/>
          <w:sz w:val="24"/>
          <w:szCs w:val="24"/>
        </w:rPr>
        <w:t xml:space="preserve">4</w:t>
      </w:r>
      <w:r>
        <w:rPr>
          <w:rFonts w:hint="eastAsia" w:ascii="Calibri" w:hAnsi="Calibri" w:eastAsia="宋体" w:cs="Times New Roman"/>
          <w:sz w:val="24"/>
          <w:szCs w:val="24"/>
        </w:rPr>
        <w:t xml:space="preserve">号），我方承诺具备《中华人民共和国政府采购法》第二十二条第（二）、第（四）项，《中华人民共和国政府采购法实施条例》第十七条第（二）项规定条件的，具体包括：</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w:t>
      </w:r>
      <w:r>
        <w:rPr>
          <w:rFonts w:hint="eastAsia" w:ascii="Calibri" w:hAnsi="Calibri" w:eastAsia="宋体" w:cs="Times New Roman"/>
          <w:sz w:val="24"/>
          <w:szCs w:val="24"/>
        </w:rPr>
        <w:t xml:space="preserve">1</w:t>
      </w:r>
      <w:r>
        <w:rPr>
          <w:rFonts w:hint="eastAsia" w:ascii="Calibri" w:hAnsi="Calibri" w:eastAsia="宋体" w:cs="Times New Roman"/>
          <w:sz w:val="24"/>
          <w:szCs w:val="24"/>
        </w:rPr>
        <w:t xml:space="preserve">）具有良好的商业信誉和健全的财务会计制度（财务状况报告）；</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w:t>
      </w:r>
      <w:r>
        <w:rPr>
          <w:rFonts w:hint="eastAsia" w:ascii="Calibri" w:hAnsi="Calibri" w:eastAsia="宋体" w:cs="Times New Roman"/>
          <w:sz w:val="24"/>
          <w:szCs w:val="24"/>
        </w:rPr>
        <w:t xml:space="preserve">2</w:t>
      </w:r>
      <w:r>
        <w:rPr>
          <w:rFonts w:hint="eastAsia" w:ascii="Calibri" w:hAnsi="Calibri" w:eastAsia="宋体" w:cs="Times New Roman"/>
          <w:sz w:val="24"/>
          <w:szCs w:val="24"/>
        </w:rPr>
        <w:t xml:space="preserve">）有依法缴纳税收和社会保障资金的良好记录。</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特此承诺</w:t>
      </w:r>
      <w:r/>
    </w:p>
    <w:p>
      <w:pPr>
        <w:ind w:firstLine="480"/>
        <w:jc w:val="left"/>
        <w:spacing w:line="500" w:lineRule="exact"/>
        <w:rPr>
          <w:rFonts w:ascii="Calibri" w:hAnsi="Calibri" w:eastAsia="宋体" w:cs="Times New Roman"/>
          <w:sz w:val="24"/>
          <w:szCs w:val="24"/>
        </w:rPr>
      </w:pPr>
      <w:r>
        <w:rPr>
          <w:rFonts w:ascii="Calibri" w:hAnsi="Calibri" w:eastAsia="宋体" w:cs="Times New Roman"/>
          <w:sz w:val="24"/>
          <w:szCs w:val="24"/>
        </w:rPr>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投标人（公章）：</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法定代表人</w:t>
      </w:r>
      <w:r>
        <w:rPr>
          <w:rFonts w:ascii="Calibri" w:hAnsi="Calibri" w:eastAsia="宋体" w:cs="Times New Roman"/>
          <w:sz w:val="24"/>
          <w:szCs w:val="24"/>
        </w:rPr>
        <w:t xml:space="preserve">（单位负责人）</w:t>
      </w:r>
      <w:r>
        <w:rPr>
          <w:rFonts w:hint="eastAsia" w:ascii="Calibri" w:hAnsi="Calibri" w:eastAsia="宋体" w:cs="Times New Roman"/>
          <w:sz w:val="24"/>
          <w:szCs w:val="24"/>
        </w:rPr>
        <w:t xml:space="preserve">或委托代理人（签名或签章）：</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日期：</w:t>
      </w:r>
      <w:r>
        <w:rPr>
          <w:rFonts w:hint="eastAsia" w:ascii="Calibri" w:hAnsi="Calibri" w:eastAsia="宋体" w:cs="Times New Roman"/>
          <w:sz w:val="24"/>
          <w:szCs w:val="24"/>
        </w:rPr>
        <w:t xml:space="preserve">    </w:t>
      </w:r>
      <w:r>
        <w:rPr>
          <w:rFonts w:hint="eastAsia" w:ascii="Calibri" w:hAnsi="Calibri" w:eastAsia="宋体" w:cs="Times New Roman"/>
          <w:sz w:val="24"/>
          <w:szCs w:val="24"/>
        </w:rPr>
        <w:t xml:space="preserve">年</w:t>
      </w:r>
      <w:r>
        <w:rPr>
          <w:rFonts w:hint="eastAsia" w:ascii="Calibri" w:hAnsi="Calibri" w:eastAsia="宋体" w:cs="Times New Roman"/>
          <w:sz w:val="24"/>
          <w:szCs w:val="24"/>
        </w:rPr>
        <w:t xml:space="preserve">     </w:t>
      </w:r>
      <w:r>
        <w:rPr>
          <w:rFonts w:hint="eastAsia" w:ascii="Calibri" w:hAnsi="Calibri" w:eastAsia="宋体" w:cs="Times New Roman"/>
          <w:sz w:val="24"/>
          <w:szCs w:val="24"/>
        </w:rPr>
        <w:t xml:space="preserve">月</w:t>
      </w:r>
      <w:r>
        <w:rPr>
          <w:rFonts w:hint="eastAsia" w:ascii="Calibri" w:hAnsi="Calibri" w:eastAsia="宋体" w:cs="Times New Roman"/>
          <w:sz w:val="24"/>
          <w:szCs w:val="24"/>
        </w:rPr>
        <w:t xml:space="preserve">     </w:t>
      </w:r>
      <w:r>
        <w:rPr>
          <w:rFonts w:hint="eastAsia" w:ascii="Calibri" w:hAnsi="Calibri" w:eastAsia="宋体" w:cs="Times New Roman"/>
          <w:sz w:val="24"/>
          <w:szCs w:val="24"/>
        </w:rPr>
        <w:t xml:space="preserve">日</w:t>
      </w:r>
      <w:r/>
    </w:p>
    <w:p>
      <w:r/>
      <w:r/>
    </w:p>
    <w:p>
      <w:r/>
      <w:r/>
    </w:p>
    <w:p>
      <w:pPr>
        <w:jc w:val="left"/>
        <w:keepLines/>
        <w:keepNext/>
        <w:spacing w:before="360" w:after="200" w:line="360" w:lineRule="auto"/>
        <w:rPr>
          <w:rFonts w:ascii="Arial" w:hAnsi="Arial" w:eastAsia="宋体" w:cs="Arial"/>
          <w:b/>
          <w:iCs/>
          <w:sz w:val="36"/>
        </w:rPr>
        <w:outlineLvl w:val="1"/>
      </w:pPr>
      <w:r>
        <w:rPr>
          <w:rFonts w:hint="eastAsia" w:ascii="Arial" w:hAnsi="Arial" w:eastAsia="宋体" w:cs="Arial"/>
          <w:b/>
          <w:iCs/>
          <w:sz w:val="36"/>
        </w:rPr>
        <w:t xml:space="preserve">四、具备履行合同所必需的设备和专业技术能力的声明及证明材料</w:t>
      </w:r>
      <w:r/>
    </w:p>
    <w:p>
      <w:pPr>
        <w:jc w:val="center"/>
        <w:spacing w:line="460" w:lineRule="exact"/>
        <w:rPr>
          <w:rFonts w:ascii="黑体" w:hAnsi="黑体" w:eastAsia="黑体" w:cs="宋体"/>
          <w:bCs/>
          <w:sz w:val="36"/>
          <w:szCs w:val="28"/>
        </w:rPr>
      </w:pPr>
      <w:r>
        <w:rPr>
          <w:rFonts w:hint="eastAsia" w:ascii="黑体" w:hAnsi="黑体" w:eastAsia="黑体" w:cs="宋体"/>
          <w:bCs/>
          <w:sz w:val="36"/>
          <w:szCs w:val="28"/>
        </w:rPr>
        <w:t xml:space="preserve">具备履行合同所必需的设备和专业技术能力的声明及证明材料</w:t>
      </w:r>
      <w:r/>
    </w:p>
    <w:p>
      <w:pPr>
        <w:jc w:val="center"/>
        <w:spacing w:line="460" w:lineRule="exact"/>
        <w:rPr>
          <w:rFonts w:ascii="Calibri" w:hAnsi="Calibri" w:eastAsia="宋体" w:cs="Times New Roman"/>
          <w:sz w:val="24"/>
          <w:szCs w:val="24"/>
        </w:rPr>
      </w:pPr>
      <w:r>
        <w:rPr>
          <w:rFonts w:ascii="Calibri" w:hAnsi="Calibri" w:eastAsia="宋体" w:cs="Times New Roman"/>
          <w:sz w:val="24"/>
          <w:szCs w:val="24"/>
        </w:rPr>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我单位郑重声明：我单位具备履行本项采购合同所必需的设备和专业技术能力，为履行本项采购合同我公司具备如下主要设备和主要专业技术能力：</w:t>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主要设备有：。（须附证明材料）</w:t>
      </w:r>
      <w:r/>
    </w:p>
    <w:p>
      <w:pPr>
        <w:jc w:val="left"/>
        <w:rPr>
          <w:rFonts w:ascii="Calibri" w:hAnsi="Calibri" w:eastAsia="宋体" w:cs="Times New Roman"/>
          <w:sz w:val="24"/>
          <w:szCs w:val="24"/>
        </w:rPr>
      </w:pPr>
      <w:r>
        <w:rPr>
          <w:rFonts w:ascii="Calibri" w:hAnsi="Calibri" w:eastAsia="宋体" w:cs="Times New Roman"/>
          <w:sz w:val="24"/>
          <w:szCs w:val="24"/>
        </w:rPr>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主要专业技术能力有：。（须附证明材料）</w:t>
      </w:r>
      <w:r/>
    </w:p>
    <w:p>
      <w:pPr>
        <w:ind w:firstLine="480"/>
        <w:spacing w:line="360" w:lineRule="auto"/>
        <w:rPr>
          <w:rFonts w:ascii="Calibri" w:hAnsi="Calibri" w:eastAsia="宋体" w:cs="Times New Roman"/>
          <w:sz w:val="24"/>
          <w:szCs w:val="24"/>
        </w:rPr>
      </w:pPr>
      <w:r>
        <w:rPr>
          <w:rFonts w:ascii="Calibri" w:hAnsi="Calibri" w:eastAsia="宋体" w:cs="Times New Roman"/>
          <w:sz w:val="24"/>
          <w:szCs w:val="24"/>
        </w:rPr>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附主要设备和主要专业技术能力的证明材料如下：</w:t>
      </w:r>
      <w:r/>
    </w:p>
    <w:p>
      <w:pPr>
        <w:spacing w:line="360" w:lineRule="auto"/>
        <w:rPr>
          <w:rFonts w:ascii="Calibri" w:hAnsi="Calibri" w:eastAsia="宋体" w:cs="Times New Roman"/>
          <w:sz w:val="24"/>
          <w:szCs w:val="24"/>
        </w:rPr>
      </w:pPr>
      <w:r>
        <w:rPr>
          <w:rFonts w:ascii="Calibri" w:hAnsi="Calibri" w:eastAsia="宋体" w:cs="Times New Roman"/>
          <w:sz w:val="24"/>
          <w:szCs w:val="24"/>
        </w:rPr>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投标人（盖章）：</w:t>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法定代表人</w:t>
      </w:r>
      <w:r>
        <w:rPr>
          <w:rFonts w:ascii="Calibri" w:hAnsi="Calibri" w:eastAsia="宋体" w:cs="Times New Roman"/>
          <w:sz w:val="24"/>
          <w:szCs w:val="24"/>
        </w:rPr>
        <w:t xml:space="preserve">（单位负责人）</w:t>
      </w:r>
      <w:r>
        <w:rPr>
          <w:rFonts w:hint="eastAsia" w:ascii="Calibri" w:hAnsi="Calibri" w:eastAsia="宋体" w:cs="Times New Roman"/>
          <w:sz w:val="24"/>
          <w:szCs w:val="24"/>
        </w:rPr>
        <w:t xml:space="preserve">或委托代理人（签字或盖章）：</w:t>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日期：</w:t>
      </w:r>
      <w:r>
        <w:rPr>
          <w:rFonts w:hint="eastAsia" w:ascii="Calibri" w:hAnsi="Calibri" w:eastAsia="宋体" w:cs="Times New Roman"/>
          <w:sz w:val="24"/>
          <w:szCs w:val="24"/>
        </w:rPr>
        <w:t xml:space="preserve">    </w:t>
      </w:r>
      <w:r>
        <w:rPr>
          <w:rFonts w:hint="eastAsia" w:ascii="Calibri" w:hAnsi="Calibri" w:eastAsia="宋体" w:cs="Times New Roman"/>
          <w:sz w:val="24"/>
          <w:szCs w:val="24"/>
        </w:rPr>
        <w:t xml:space="preserve">年</w:t>
      </w:r>
      <w:r>
        <w:rPr>
          <w:rFonts w:hint="eastAsia" w:ascii="Calibri" w:hAnsi="Calibri" w:eastAsia="宋体" w:cs="Times New Roman"/>
          <w:sz w:val="24"/>
          <w:szCs w:val="24"/>
        </w:rPr>
        <w:t xml:space="preserve">     </w:t>
      </w:r>
      <w:r>
        <w:rPr>
          <w:rFonts w:hint="eastAsia" w:ascii="Calibri" w:hAnsi="Calibri" w:eastAsia="宋体" w:cs="Times New Roman"/>
          <w:sz w:val="24"/>
          <w:szCs w:val="24"/>
        </w:rPr>
        <w:t xml:space="preserve">月</w:t>
      </w:r>
      <w:r>
        <w:rPr>
          <w:rFonts w:hint="eastAsia" w:ascii="Calibri" w:hAnsi="Calibri" w:eastAsia="宋体" w:cs="Times New Roman"/>
          <w:sz w:val="24"/>
          <w:szCs w:val="24"/>
        </w:rPr>
        <w:t xml:space="preserve">     </w:t>
      </w:r>
      <w:r>
        <w:rPr>
          <w:rFonts w:hint="eastAsia" w:ascii="Calibri" w:hAnsi="Calibri" w:eastAsia="宋体" w:cs="Times New Roman"/>
          <w:sz w:val="24"/>
          <w:szCs w:val="24"/>
        </w:rPr>
        <w:t xml:space="preserve">日</w:t>
      </w:r>
      <w:r/>
    </w:p>
    <w:p>
      <w:pPr>
        <w:jc w:val="left"/>
        <w:spacing w:line="360" w:lineRule="auto"/>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r>
      <w:r/>
    </w:p>
    <w:p>
      <w:pPr>
        <w:jc w:val="left"/>
        <w:keepLines/>
        <w:keepNext/>
        <w:spacing w:before="360" w:after="200" w:line="360" w:lineRule="auto"/>
        <w:rPr>
          <w:rFonts w:ascii="Arial" w:hAnsi="Arial" w:eastAsia="宋体" w:cs="Arial"/>
          <w:b/>
          <w:iCs/>
          <w:sz w:val="36"/>
        </w:rPr>
        <w:outlineLvl w:val="1"/>
      </w:pPr>
      <w:r>
        <w:rPr>
          <w:rFonts w:hint="eastAsia" w:ascii="Arial" w:hAnsi="Arial" w:eastAsia="宋体" w:cs="Arial"/>
          <w:b/>
          <w:iCs/>
          <w:sz w:val="36"/>
        </w:rPr>
        <w:t xml:space="preserve">五、参加政府采购活动前</w:t>
      </w:r>
      <w:r>
        <w:rPr>
          <w:rFonts w:hint="eastAsia" w:ascii="Arial" w:hAnsi="Arial" w:eastAsia="宋体" w:cs="Arial"/>
          <w:b/>
          <w:iCs/>
          <w:sz w:val="36"/>
        </w:rPr>
        <w:t xml:space="preserve">3</w:t>
      </w:r>
      <w:r>
        <w:rPr>
          <w:rFonts w:hint="eastAsia" w:ascii="Arial" w:hAnsi="Arial" w:eastAsia="宋体" w:cs="Arial"/>
          <w:b/>
          <w:iCs/>
          <w:sz w:val="36"/>
        </w:rPr>
        <w:t xml:space="preserve">年内在经营活动中没有重大违法记录的书面声明</w:t>
      </w:r>
      <w:r/>
    </w:p>
    <w:p>
      <w:pPr>
        <w:jc w:val="center"/>
        <w:spacing w:line="460" w:lineRule="exact"/>
        <w:rPr>
          <w:rFonts w:ascii="宋体" w:hAnsi="宋体" w:eastAsia="宋体" w:cs="Times New Roman"/>
          <w:b/>
          <w:bCs/>
          <w:color w:val="000000"/>
          <w:sz w:val="44"/>
          <w:szCs w:val="44"/>
        </w:rPr>
      </w:pPr>
      <w:r>
        <w:rPr>
          <w:rFonts w:hint="eastAsia" w:ascii="黑体" w:hAnsi="黑体" w:eastAsia="黑体" w:cs="宋体"/>
          <w:bCs/>
          <w:sz w:val="36"/>
          <w:szCs w:val="28"/>
        </w:rPr>
        <w:t xml:space="preserve">声  明</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我单位郑重声明：参加本次政府采购活动前</w:t>
      </w:r>
      <w:r>
        <w:rPr>
          <w:rFonts w:hint="eastAsia" w:ascii="Calibri" w:hAnsi="Calibri" w:eastAsia="宋体" w:cs="Times New Roman"/>
          <w:sz w:val="24"/>
          <w:szCs w:val="24"/>
        </w:rPr>
        <w:t xml:space="preserve"> 3 </w:t>
      </w:r>
      <w:r>
        <w:rPr>
          <w:rFonts w:hint="eastAsia" w:ascii="Calibri" w:hAnsi="Calibri" w:eastAsia="宋体" w:cs="Times New Roman"/>
          <w:sz w:val="24"/>
          <w:szCs w:val="24"/>
        </w:rPr>
        <w:t xml:space="preserve">年内，我单位在经营活动中没有因违法经营受到刑事处罚或者责令停产停业、吊销许可证或者执照、较大数额罚款等行政处罚。</w:t>
      </w:r>
      <w:r/>
    </w:p>
    <w:p>
      <w:pPr>
        <w:ind w:firstLine="480"/>
        <w:jc w:val="left"/>
        <w:spacing w:line="500" w:lineRule="exact"/>
        <w:rPr>
          <w:rFonts w:ascii="Calibri" w:hAnsi="Calibri" w:eastAsia="宋体" w:cs="Times New Roman"/>
          <w:sz w:val="24"/>
          <w:szCs w:val="24"/>
        </w:rPr>
      </w:pPr>
      <w:r>
        <w:rPr>
          <w:rFonts w:ascii="Calibri" w:hAnsi="Calibri" w:eastAsia="宋体" w:cs="Times New Roman"/>
          <w:sz w:val="24"/>
          <w:szCs w:val="24"/>
        </w:rPr>
      </w:r>
      <w:r/>
    </w:p>
    <w:p>
      <w:pPr>
        <w:ind w:firstLine="480"/>
        <w:jc w:val="left"/>
        <w:spacing w:line="500" w:lineRule="exact"/>
        <w:rPr>
          <w:rFonts w:ascii="Calibri" w:hAnsi="Calibri" w:eastAsia="宋体" w:cs="Times New Roman"/>
          <w:sz w:val="24"/>
          <w:szCs w:val="24"/>
        </w:rPr>
      </w:pPr>
      <w:r>
        <w:rPr>
          <w:rFonts w:ascii="Calibri" w:hAnsi="Calibri" w:eastAsia="宋体" w:cs="Times New Roman"/>
          <w:sz w:val="24"/>
          <w:szCs w:val="24"/>
        </w:rPr>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投标人（盖章）：</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法定代表人</w:t>
      </w:r>
      <w:r>
        <w:rPr>
          <w:rFonts w:ascii="Calibri" w:hAnsi="Calibri" w:eastAsia="宋体" w:cs="Times New Roman"/>
          <w:sz w:val="24"/>
          <w:szCs w:val="24"/>
        </w:rPr>
        <w:t xml:space="preserve">（单位负责人）</w:t>
      </w:r>
      <w:r>
        <w:rPr>
          <w:rFonts w:hint="eastAsia" w:ascii="Calibri" w:hAnsi="Calibri" w:eastAsia="宋体" w:cs="Times New Roman"/>
          <w:sz w:val="24"/>
          <w:szCs w:val="24"/>
        </w:rPr>
        <w:t xml:space="preserve">或委托代理人（签字或盖章）：</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日期：</w:t>
      </w:r>
      <w:r>
        <w:rPr>
          <w:rFonts w:hint="eastAsia" w:ascii="Calibri" w:hAnsi="Calibri" w:eastAsia="宋体" w:cs="Times New Roman"/>
          <w:sz w:val="24"/>
          <w:szCs w:val="24"/>
        </w:rPr>
        <w:t xml:space="preserve">    </w:t>
      </w:r>
      <w:r>
        <w:rPr>
          <w:rFonts w:hint="eastAsia" w:ascii="Calibri" w:hAnsi="Calibri" w:eastAsia="宋体" w:cs="Times New Roman"/>
          <w:sz w:val="24"/>
          <w:szCs w:val="24"/>
        </w:rPr>
        <w:t xml:space="preserve">年</w:t>
      </w:r>
      <w:r>
        <w:rPr>
          <w:rFonts w:hint="eastAsia" w:ascii="Calibri" w:hAnsi="Calibri" w:eastAsia="宋体" w:cs="Times New Roman"/>
          <w:sz w:val="24"/>
          <w:szCs w:val="24"/>
        </w:rPr>
        <w:t xml:space="preserve">     </w:t>
      </w:r>
      <w:r>
        <w:rPr>
          <w:rFonts w:hint="eastAsia" w:ascii="Calibri" w:hAnsi="Calibri" w:eastAsia="宋体" w:cs="Times New Roman"/>
          <w:sz w:val="24"/>
          <w:szCs w:val="24"/>
        </w:rPr>
        <w:t xml:space="preserve">月</w:t>
      </w:r>
      <w:r>
        <w:rPr>
          <w:rFonts w:hint="eastAsia" w:ascii="Calibri" w:hAnsi="Calibri" w:eastAsia="宋体" w:cs="Times New Roman"/>
          <w:sz w:val="24"/>
          <w:szCs w:val="24"/>
        </w:rPr>
        <w:t xml:space="preserve">     </w:t>
      </w:r>
      <w:r>
        <w:rPr>
          <w:rFonts w:hint="eastAsia" w:ascii="Calibri" w:hAnsi="Calibri" w:eastAsia="宋体" w:cs="Times New Roman"/>
          <w:sz w:val="24"/>
          <w:szCs w:val="24"/>
        </w:rPr>
        <w:t xml:space="preserve">日</w:t>
      </w:r>
      <w:r/>
    </w:p>
    <w:p>
      <w:r/>
      <w:r/>
    </w:p>
    <w:p>
      <w:r/>
      <w:r/>
    </w:p>
    <w:p>
      <w:pPr>
        <w:jc w:val="left"/>
        <w:keepLines/>
        <w:keepNext/>
        <w:spacing w:before="360" w:after="200" w:line="360" w:lineRule="auto"/>
        <w:rPr>
          <w:rFonts w:ascii="Arial" w:hAnsi="Arial" w:eastAsia="宋体" w:cs="Arial"/>
          <w:b/>
          <w:iCs/>
          <w:sz w:val="36"/>
        </w:rPr>
        <w:outlineLvl w:val="1"/>
      </w:pPr>
      <w:r>
        <w:rPr>
          <w:rFonts w:hint="eastAsia" w:ascii="Arial" w:hAnsi="Arial" w:eastAsia="宋体" w:cs="Arial"/>
          <w:b/>
          <w:iCs/>
          <w:sz w:val="36"/>
        </w:rPr>
        <w:t xml:space="preserve">六、落实政府采购政策需满足的资格要求的证明文件</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（如有，请按要求提供）</w:t>
      </w:r>
      <w:r/>
    </w:p>
    <w:p>
      <w:r/>
      <w:r/>
    </w:p>
    <w:p>
      <w:r/>
      <w:r/>
    </w:p>
    <w:p>
      <w:r/>
      <w:r/>
    </w:p>
    <w:p>
      <w:pPr>
        <w:jc w:val="left"/>
        <w:keepLines/>
        <w:keepNext/>
        <w:spacing w:before="360" w:after="200" w:line="360" w:lineRule="auto"/>
        <w:rPr>
          <w:rFonts w:ascii="Arial" w:hAnsi="Arial" w:eastAsia="宋体" w:cs="Arial"/>
          <w:b/>
          <w:iCs/>
          <w:sz w:val="36"/>
        </w:rPr>
        <w:outlineLvl w:val="1"/>
      </w:pPr>
      <w:r>
        <w:rPr>
          <w:rFonts w:hint="eastAsia" w:ascii="Arial" w:hAnsi="Arial" w:eastAsia="宋体" w:cs="Arial"/>
          <w:b/>
          <w:iCs/>
          <w:sz w:val="36"/>
        </w:rPr>
        <w:t xml:space="preserve">七、特定资格要求的证明文件</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（如有，请按要求提供）</w:t>
      </w:r>
      <w:r/>
    </w:p>
    <w:p>
      <w:r/>
      <w:r/>
    </w:p>
    <w:p>
      <w:r/>
      <w:r/>
    </w:p>
    <w:p>
      <w:r/>
      <w:r/>
    </w:p>
    <w:p>
      <w:pPr>
        <w:jc w:val="left"/>
        <w:keepLines/>
        <w:keepNext/>
        <w:spacing w:before="360" w:after="200" w:line="360" w:lineRule="auto"/>
        <w:rPr>
          <w:rFonts w:ascii="Arial" w:hAnsi="Arial" w:eastAsia="宋体" w:cs="Arial"/>
          <w:b/>
          <w:iCs/>
          <w:sz w:val="36"/>
        </w:rPr>
        <w:outlineLvl w:val="1"/>
      </w:pPr>
      <w:r>
        <w:rPr>
          <w:rFonts w:hint="eastAsia" w:ascii="Arial" w:hAnsi="Arial" w:eastAsia="宋体" w:cs="Arial"/>
          <w:b/>
          <w:iCs/>
          <w:sz w:val="36"/>
        </w:rPr>
        <w:t xml:space="preserve">八、法律、行政法规规定的其他条件的证明文件</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（如有，请按要求提供）</w:t>
      </w:r>
      <w:r/>
    </w:p>
    <w:p>
      <w:r/>
      <w:r/>
    </w:p>
    <w:p>
      <w:pPr>
        <w:jc w:val="left"/>
        <w:keepLines/>
        <w:keepNext/>
        <w:spacing w:before="360" w:after="200" w:line="360" w:lineRule="auto"/>
        <w:rPr>
          <w:rFonts w:ascii="Arial" w:hAnsi="Arial" w:eastAsia="宋体" w:cs="Arial"/>
          <w:b/>
          <w:iCs/>
          <w:sz w:val="36"/>
        </w:rPr>
        <w:outlineLvl w:val="1"/>
      </w:pPr>
      <w:r>
        <w:rPr>
          <w:rFonts w:hint="eastAsia" w:ascii="Arial" w:hAnsi="Arial" w:eastAsia="宋体" w:cs="Arial"/>
          <w:b/>
          <w:iCs/>
          <w:sz w:val="36"/>
        </w:rPr>
        <w:t xml:space="preserve">九、授权委托书与法定代表人（单位负责人）身份证明</w:t>
      </w:r>
      <w:r/>
    </w:p>
    <w:p>
      <w:pPr>
        <w:jc w:val="center"/>
        <w:spacing w:line="360" w:lineRule="exact"/>
        <w:rPr>
          <w:rFonts w:ascii="宋体" w:hAnsi="宋体" w:eastAsia="宋体" w:cs="Times New Roman"/>
          <w:b/>
          <w:color w:val="000000"/>
          <w:sz w:val="36"/>
          <w:szCs w:val="36"/>
        </w:rPr>
      </w:pPr>
      <w:r>
        <w:rPr>
          <w:rFonts w:ascii="宋体" w:hAnsi="宋体" w:eastAsia="宋体" w:cs="Times New Roman"/>
          <w:b/>
          <w:color w:val="000000"/>
          <w:sz w:val="36"/>
          <w:szCs w:val="36"/>
        </w:rPr>
      </w:r>
      <w:r/>
    </w:p>
    <w:p>
      <w:pPr>
        <w:jc w:val="center"/>
        <w:spacing w:line="360" w:lineRule="exact"/>
        <w:rPr>
          <w:rFonts w:ascii="宋体" w:hAnsi="宋体" w:eastAsia="宋体" w:cs="Times New Roman"/>
          <w:b/>
          <w:color w:val="000000"/>
          <w:sz w:val="36"/>
          <w:szCs w:val="36"/>
        </w:rPr>
      </w:pPr>
      <w:r>
        <w:rPr>
          <w:rFonts w:hint="eastAsia" w:ascii="宋体" w:hAnsi="宋体" w:eastAsia="宋体" w:cs="Times New Roman"/>
          <w:b/>
          <w:color w:val="000000"/>
          <w:sz w:val="36"/>
          <w:szCs w:val="36"/>
        </w:rPr>
        <w:t xml:space="preserve">授权委托书</w:t>
      </w:r>
      <w:r/>
    </w:p>
    <w:p>
      <w:pPr>
        <w:spacing w:line="360" w:lineRule="auto"/>
        <w:rPr>
          <w:rFonts w:ascii="Calibri" w:hAnsi="Calibri" w:eastAsia="宋体" w:cs="Times New Roman"/>
          <w:sz w:val="24"/>
          <w:szCs w:val="24"/>
        </w:rPr>
      </w:pPr>
      <w:r>
        <w:rPr>
          <w:rFonts w:ascii="Calibri" w:hAnsi="Calibri" w:eastAsia="宋体" w:cs="Times New Roman"/>
          <w:sz w:val="24"/>
          <w:szCs w:val="24"/>
        </w:rPr>
        <w:t xml:space="preserve">致：</w:t>
      </w:r>
      <w:r>
        <w:rPr>
          <w:rFonts w:hint="eastAsia" w:ascii="Calibri" w:hAnsi="Calibri" w:eastAsia="宋体" w:cs="Times New Roman"/>
          <w:sz w:val="24"/>
          <w:szCs w:val="24"/>
          <w:u w:val="single"/>
        </w:rPr>
        <w:t xml:space="preserve">采购单位</w:t>
      </w:r>
      <w:r/>
    </w:p>
    <w:p>
      <w:pPr>
        <w:ind w:firstLine="420"/>
        <w:jc w:val="left"/>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本人</w:t>
      </w:r>
      <w:r>
        <w:rPr>
          <w:rFonts w:ascii="Calibri" w:hAnsi="Calibri" w:eastAsia="宋体" w:cs="Times New Roman"/>
          <w:sz w:val="24"/>
          <w:szCs w:val="24"/>
          <w:u w:val="single"/>
        </w:rPr>
        <w:t xml:space="preserve">（</w:t>
      </w:r>
      <w:r>
        <w:rPr>
          <w:rFonts w:hint="eastAsia" w:ascii="Calibri" w:hAnsi="Calibri" w:eastAsia="宋体" w:cs="Times New Roman"/>
          <w:sz w:val="24"/>
          <w:szCs w:val="24"/>
          <w:u w:val="single"/>
        </w:rPr>
        <w:t xml:space="preserve">姓名</w:t>
      </w:r>
      <w:r>
        <w:rPr>
          <w:rFonts w:ascii="Calibri" w:hAnsi="Calibri" w:eastAsia="宋体" w:cs="Times New Roman"/>
          <w:sz w:val="24"/>
          <w:szCs w:val="24"/>
          <w:u w:val="single"/>
        </w:rPr>
        <w:t xml:space="preserve">）</w:t>
      </w:r>
      <w:r>
        <w:rPr>
          <w:rFonts w:hint="eastAsia" w:ascii="Calibri" w:hAnsi="Calibri" w:eastAsia="宋体" w:cs="Times New Roman"/>
          <w:sz w:val="24"/>
          <w:szCs w:val="24"/>
        </w:rPr>
        <w:t xml:space="preserve">系</w:t>
      </w:r>
      <w:r>
        <w:rPr>
          <w:rFonts w:ascii="Calibri" w:hAnsi="Calibri" w:eastAsia="宋体" w:cs="Times New Roman"/>
          <w:sz w:val="24"/>
          <w:szCs w:val="24"/>
          <w:u w:val="single"/>
        </w:rPr>
        <w:t xml:space="preserve">（</w:t>
      </w:r>
      <w:r>
        <w:rPr>
          <w:rFonts w:hint="eastAsia" w:ascii="Calibri" w:hAnsi="Calibri" w:eastAsia="宋体" w:cs="Times New Roman"/>
          <w:sz w:val="24"/>
          <w:szCs w:val="24"/>
          <w:u w:val="single"/>
        </w:rPr>
        <w:t xml:space="preserve">投标人</w:t>
      </w:r>
      <w:r>
        <w:rPr>
          <w:rFonts w:ascii="Calibri" w:hAnsi="Calibri" w:eastAsia="宋体" w:cs="Times New Roman"/>
          <w:sz w:val="24"/>
          <w:szCs w:val="24"/>
          <w:u w:val="single"/>
        </w:rPr>
        <w:t xml:space="preserve">名称）</w:t>
      </w:r>
      <w:r>
        <w:rPr>
          <w:rFonts w:hint="eastAsia" w:ascii="Calibri" w:hAnsi="Calibri" w:eastAsia="宋体" w:cs="Times New Roman"/>
          <w:sz w:val="24"/>
          <w:szCs w:val="24"/>
        </w:rPr>
        <w:t xml:space="preserve">的</w:t>
      </w:r>
      <w:r>
        <w:rPr>
          <w:rFonts w:ascii="Calibri" w:hAnsi="Calibri" w:eastAsia="宋体" w:cs="Times New Roman"/>
          <w:sz w:val="24"/>
          <w:szCs w:val="24"/>
        </w:rPr>
        <w:t xml:space="preserve">法定代表人（</w:t>
      </w:r>
      <w:r>
        <w:rPr>
          <w:rFonts w:hint="eastAsia" w:ascii="Calibri" w:hAnsi="Calibri" w:eastAsia="宋体" w:cs="Times New Roman"/>
          <w:sz w:val="24"/>
          <w:szCs w:val="24"/>
        </w:rPr>
        <w:t xml:space="preserve">单位</w:t>
      </w:r>
      <w:r>
        <w:rPr>
          <w:rFonts w:ascii="Calibri" w:hAnsi="Calibri" w:eastAsia="宋体" w:cs="Times New Roman"/>
          <w:sz w:val="24"/>
          <w:szCs w:val="24"/>
        </w:rPr>
        <w:t xml:space="preserve">负责人）</w:t>
      </w:r>
      <w:r>
        <w:rPr>
          <w:rFonts w:hint="eastAsia" w:ascii="Calibri" w:hAnsi="Calibri" w:eastAsia="宋体" w:cs="Times New Roman"/>
          <w:sz w:val="24"/>
          <w:szCs w:val="24"/>
        </w:rPr>
        <w:t xml:space="preserve">，</w:t>
      </w:r>
      <w:r>
        <w:rPr>
          <w:rFonts w:ascii="Calibri" w:hAnsi="Calibri" w:eastAsia="宋体" w:cs="Times New Roman"/>
          <w:sz w:val="24"/>
          <w:szCs w:val="24"/>
        </w:rPr>
        <w:t xml:space="preserve">现委托</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u w:val="single"/>
        </w:rPr>
        <w:t xml:space="preserve">（姓名</w:t>
      </w:r>
      <w:r>
        <w:rPr>
          <w:rFonts w:ascii="Calibri" w:hAnsi="Calibri" w:eastAsia="宋体" w:cs="Times New Roman"/>
          <w:sz w:val="24"/>
          <w:szCs w:val="24"/>
          <w:u w:val="single"/>
        </w:rPr>
        <w:t xml:space="preserve">）</w:t>
      </w:r>
      <w:r>
        <w:rPr>
          <w:rFonts w:hint="eastAsia" w:ascii="Calibri" w:hAnsi="Calibri" w:eastAsia="宋体" w:cs="Times New Roman"/>
          <w:sz w:val="24"/>
          <w:szCs w:val="24"/>
        </w:rPr>
        <w:t xml:space="preserve">为</w:t>
      </w:r>
      <w:r>
        <w:rPr>
          <w:rFonts w:ascii="Calibri" w:hAnsi="Calibri" w:eastAsia="宋体" w:cs="Times New Roman"/>
          <w:sz w:val="24"/>
          <w:szCs w:val="24"/>
        </w:rPr>
        <w:t xml:space="preserve">我方代理人，联系电话：。</w:t>
      </w:r>
      <w:r>
        <w:rPr>
          <w:rFonts w:hint="eastAsia" w:ascii="Calibri" w:hAnsi="Calibri" w:eastAsia="宋体" w:cs="Times New Roman"/>
          <w:sz w:val="24"/>
          <w:szCs w:val="24"/>
        </w:rPr>
        <w:t xml:space="preserve">代理人根据</w:t>
      </w:r>
      <w:r>
        <w:rPr>
          <w:rFonts w:ascii="Calibri" w:hAnsi="Calibri" w:eastAsia="宋体" w:cs="Times New Roman"/>
          <w:sz w:val="24"/>
          <w:szCs w:val="24"/>
        </w:rPr>
        <w:t xml:space="preserve">授权，以我方名义签署、澄清确认、递交、撤回、修改</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u w:val="single"/>
        </w:rPr>
        <w:t xml:space="preserve">（项目名称）</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 xml:space="preserve">项目（项目编号：）投标</w:t>
      </w:r>
      <w:r>
        <w:rPr>
          <w:rFonts w:ascii="Calibri" w:hAnsi="Calibri" w:eastAsia="宋体" w:cs="Times New Roman"/>
          <w:sz w:val="24"/>
          <w:szCs w:val="24"/>
        </w:rPr>
        <w:t xml:space="preserve">文件</w:t>
      </w:r>
      <w:r>
        <w:rPr>
          <w:rFonts w:hint="eastAsia" w:ascii="Calibri" w:hAnsi="Calibri" w:eastAsia="宋体" w:cs="Times New Roman"/>
          <w:sz w:val="24"/>
          <w:szCs w:val="24"/>
        </w:rPr>
        <w:t xml:space="preserve">和</w:t>
      </w:r>
      <w:r>
        <w:rPr>
          <w:rFonts w:ascii="Calibri" w:hAnsi="Calibri" w:eastAsia="宋体" w:cs="Times New Roman"/>
          <w:sz w:val="24"/>
          <w:szCs w:val="24"/>
        </w:rPr>
        <w:t xml:space="preserve">处理有关事宜，其法律后果由我方承担。</w:t>
      </w:r>
      <w:r/>
    </w:p>
    <w:p>
      <w:pPr>
        <w:ind w:firstLine="420"/>
        <w:jc w:val="left"/>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委托</w:t>
      </w:r>
      <w:r>
        <w:rPr>
          <w:rFonts w:ascii="Calibri" w:hAnsi="Calibri" w:eastAsia="宋体" w:cs="Times New Roman"/>
          <w:sz w:val="24"/>
          <w:szCs w:val="24"/>
        </w:rPr>
        <w:t xml:space="preserve">期限：自本</w:t>
      </w:r>
      <w:r>
        <w:rPr>
          <w:rFonts w:hint="eastAsia" w:ascii="Calibri" w:hAnsi="Calibri" w:eastAsia="宋体" w:cs="Times New Roman"/>
          <w:sz w:val="24"/>
          <w:szCs w:val="24"/>
        </w:rPr>
        <w:t xml:space="preserve">授权</w:t>
      </w:r>
      <w:r>
        <w:rPr>
          <w:rFonts w:ascii="Calibri" w:hAnsi="Calibri" w:eastAsia="宋体" w:cs="Times New Roman"/>
          <w:sz w:val="24"/>
          <w:szCs w:val="24"/>
        </w:rPr>
        <w:t xml:space="preserve">委托书签署之日起至</w:t>
      </w:r>
      <w:r>
        <w:rPr>
          <w:rFonts w:hint="eastAsia" w:ascii="Calibri" w:hAnsi="Calibri" w:eastAsia="宋体" w:cs="Times New Roman"/>
          <w:sz w:val="24"/>
          <w:szCs w:val="24"/>
        </w:rPr>
        <w:t xml:space="preserve">响应</w:t>
      </w:r>
      <w:r>
        <w:rPr>
          <w:rFonts w:ascii="Calibri" w:hAnsi="Calibri" w:eastAsia="宋体" w:cs="Times New Roman"/>
          <w:sz w:val="24"/>
          <w:szCs w:val="24"/>
        </w:rPr>
        <w:t xml:space="preserve">有效期</w:t>
      </w:r>
      <w:r>
        <w:rPr>
          <w:rFonts w:hint="eastAsia" w:ascii="Calibri" w:hAnsi="Calibri" w:eastAsia="宋体" w:cs="Times New Roman"/>
          <w:sz w:val="24"/>
          <w:szCs w:val="24"/>
        </w:rPr>
        <w:t xml:space="preserve">届满</w:t>
      </w:r>
      <w:r>
        <w:rPr>
          <w:rFonts w:ascii="Calibri" w:hAnsi="Calibri" w:eastAsia="宋体" w:cs="Times New Roman"/>
          <w:sz w:val="24"/>
          <w:szCs w:val="24"/>
        </w:rPr>
        <w:t xml:space="preserve">之日止。</w:t>
      </w:r>
      <w:r/>
    </w:p>
    <w:p>
      <w:pPr>
        <w:ind w:firstLine="420"/>
        <w:jc w:val="left"/>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代理人</w:t>
      </w:r>
      <w:r>
        <w:rPr>
          <w:rFonts w:ascii="Calibri" w:hAnsi="Calibri" w:eastAsia="宋体" w:cs="Times New Roman"/>
          <w:sz w:val="24"/>
          <w:szCs w:val="24"/>
        </w:rPr>
        <w:t xml:space="preserve">无转委托权。</w:t>
      </w:r>
      <w:r>
        <w:rPr>
          <w:rFonts w:ascii="Calibri" w:hAnsi="Calibri" w:eastAsia="宋体" w:cs="Times New Roman"/>
          <w:sz w:val="24"/>
          <w:szCs w:val="24"/>
        </w:rPr>
        <w:br/>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投标人</w:t>
      </w:r>
      <w:r>
        <w:rPr>
          <w:rFonts w:ascii="Calibri" w:hAnsi="Calibri" w:eastAsia="宋体" w:cs="Times New Roman"/>
          <w:sz w:val="24"/>
          <w:szCs w:val="24"/>
        </w:rPr>
        <w:t xml:space="preserve">名称（加盖公章）：</w:t>
      </w:r>
      <w:r/>
    </w:p>
    <w:p>
      <w:pPr>
        <w:ind w:firstLine="480"/>
        <w:spacing w:line="360" w:lineRule="auto"/>
        <w:rPr>
          <w:rFonts w:ascii="Calibri" w:hAnsi="Calibri" w:eastAsia="宋体" w:cs="Times New Roman"/>
          <w:sz w:val="24"/>
          <w:szCs w:val="24"/>
        </w:rPr>
      </w:pPr>
      <w:r>
        <w:rPr>
          <w:rFonts w:ascii="Calibri" w:hAnsi="Calibri" w:eastAsia="宋体" w:cs="Times New Roman"/>
          <w:sz w:val="24"/>
          <w:szCs w:val="24"/>
        </w:rPr>
        <w:t xml:space="preserve">法定代表人（单位负责人）（签字</w:t>
      </w:r>
      <w:r>
        <w:rPr>
          <w:rFonts w:hint="eastAsia" w:ascii="Calibri" w:hAnsi="Calibri" w:eastAsia="宋体" w:cs="Times New Roman"/>
          <w:sz w:val="24"/>
          <w:szCs w:val="24"/>
        </w:rPr>
        <w:t xml:space="preserve">、签章</w:t>
      </w:r>
      <w:r>
        <w:rPr>
          <w:rFonts w:ascii="Calibri" w:hAnsi="Calibri" w:eastAsia="宋体" w:cs="Times New Roman"/>
          <w:sz w:val="24"/>
          <w:szCs w:val="24"/>
        </w:rPr>
        <w:t xml:space="preserve">或</w:t>
      </w:r>
      <w:r>
        <w:rPr>
          <w:rFonts w:hint="eastAsia" w:ascii="Calibri" w:hAnsi="Calibri" w:eastAsia="宋体" w:cs="Times New Roman"/>
          <w:sz w:val="24"/>
          <w:szCs w:val="24"/>
        </w:rPr>
        <w:t xml:space="preserve">印鉴）</w:t>
      </w:r>
      <w:r>
        <w:rPr>
          <w:rFonts w:ascii="Calibri" w:hAnsi="Calibri" w:eastAsia="宋体" w:cs="Times New Roman"/>
          <w:sz w:val="24"/>
          <w:szCs w:val="24"/>
        </w:rPr>
        <w:t xml:space="preserve">：</w:t>
      </w:r>
      <w:r>
        <w:rPr>
          <w:rFonts w:hint="eastAsia" w:ascii="Calibri" w:hAnsi="Calibri" w:eastAsia="宋体" w:cs="Times New Roman"/>
          <w:sz w:val="24"/>
          <w:szCs w:val="24"/>
        </w:rPr>
        <w:t xml:space="preserve">，联系电话：</w:t>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委托代理</w:t>
      </w:r>
      <w:r>
        <w:rPr>
          <w:rFonts w:ascii="Calibri" w:hAnsi="Calibri" w:eastAsia="宋体" w:cs="Times New Roman"/>
          <w:sz w:val="24"/>
          <w:szCs w:val="24"/>
        </w:rPr>
        <w:t xml:space="preserve">人（签字</w:t>
      </w:r>
      <w:r>
        <w:rPr>
          <w:rFonts w:hint="eastAsia" w:ascii="Calibri" w:hAnsi="Calibri" w:eastAsia="宋体" w:cs="Times New Roman"/>
          <w:sz w:val="24"/>
          <w:szCs w:val="24"/>
        </w:rPr>
        <w:t xml:space="preserve">/</w:t>
      </w:r>
      <w:r>
        <w:rPr>
          <w:rFonts w:hint="eastAsia" w:ascii="Calibri" w:hAnsi="Calibri" w:eastAsia="宋体" w:cs="Times New Roman"/>
          <w:sz w:val="24"/>
          <w:szCs w:val="24"/>
        </w:rPr>
        <w:t xml:space="preserve">签章</w:t>
      </w:r>
      <w:r>
        <w:rPr>
          <w:rFonts w:ascii="Calibri" w:hAnsi="Calibri" w:eastAsia="宋体" w:cs="Times New Roman"/>
          <w:sz w:val="24"/>
          <w:szCs w:val="24"/>
        </w:rPr>
        <w:t xml:space="preserve">）：</w:t>
      </w:r>
      <w:r>
        <w:rPr>
          <w:rFonts w:hint="eastAsia" w:ascii="Calibri" w:hAnsi="Calibri" w:eastAsia="宋体" w:cs="Times New Roman"/>
          <w:sz w:val="24"/>
          <w:szCs w:val="24"/>
        </w:rPr>
        <w:t xml:space="preserve">，联系电话：</w:t>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日期：</w:t>
      </w:r>
      <w:r>
        <w:rPr>
          <w:rFonts w:hint="eastAsia" w:ascii="Calibri" w:hAnsi="Calibri" w:eastAsia="宋体" w:cs="Times New Roman"/>
          <w:sz w:val="24"/>
          <w:szCs w:val="24"/>
        </w:rPr>
        <w:t xml:space="preserve">    </w:t>
      </w:r>
      <w:r>
        <w:rPr>
          <w:rFonts w:hint="eastAsia" w:ascii="Calibri" w:hAnsi="Calibri" w:eastAsia="宋体" w:cs="Times New Roman"/>
          <w:sz w:val="24"/>
          <w:szCs w:val="24"/>
        </w:rPr>
        <w:t xml:space="preserve">年</w:t>
      </w:r>
      <w:r>
        <w:rPr>
          <w:rFonts w:hint="eastAsia" w:ascii="Calibri" w:hAnsi="Calibri" w:eastAsia="宋体" w:cs="Times New Roman"/>
          <w:sz w:val="24"/>
          <w:szCs w:val="24"/>
        </w:rPr>
        <w:t xml:space="preserve">     </w:t>
      </w:r>
      <w:r>
        <w:rPr>
          <w:rFonts w:hint="eastAsia" w:ascii="Calibri" w:hAnsi="Calibri" w:eastAsia="宋体" w:cs="Times New Roman"/>
          <w:sz w:val="24"/>
          <w:szCs w:val="24"/>
        </w:rPr>
        <w:t xml:space="preserve">月</w:t>
      </w:r>
      <w:r>
        <w:rPr>
          <w:rFonts w:hint="eastAsia" w:ascii="Calibri" w:hAnsi="Calibri" w:eastAsia="宋体" w:cs="Times New Roman"/>
          <w:sz w:val="24"/>
          <w:szCs w:val="24"/>
        </w:rPr>
        <w:t xml:space="preserve">     </w:t>
      </w:r>
      <w:r>
        <w:rPr>
          <w:rFonts w:hint="eastAsia" w:ascii="Calibri" w:hAnsi="Calibri" w:eastAsia="宋体" w:cs="Times New Roman"/>
          <w:sz w:val="24"/>
          <w:szCs w:val="24"/>
        </w:rPr>
        <w:t xml:space="preserve">日</w:t>
      </w:r>
      <w:r/>
    </w:p>
    <w:p>
      <w:pPr>
        <w:ind w:firstLine="480"/>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t xml:space="preserve">法定代表人（单位负责人）有效期内的身份证</w:t>
      </w:r>
      <w:r>
        <w:rPr>
          <w:rFonts w:ascii="宋体" w:hAnsi="宋体" w:eastAsia="宋体" w:cs="Times New Roman"/>
          <w:b/>
          <w:color w:val="000000"/>
          <w:sz w:val="24"/>
          <w:szCs w:val="20"/>
        </w:rPr>
        <w:t xml:space="preserve">正反面</w:t>
      </w:r>
      <w:r>
        <w:rPr>
          <w:rFonts w:ascii="宋体" w:hAnsi="宋体" w:eastAsia="宋体" w:cs="Times New Roman"/>
          <w:color w:val="000000"/>
          <w:sz w:val="24"/>
          <w:szCs w:val="20"/>
        </w:rPr>
        <w:t xml:space="preserve">电子件：</w:t>
      </w:r>
      <w:r/>
    </w:p>
    <w:tbl>
      <w:tblPr>
        <w:tblW w:w="920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tc>
        <w:tc>
          <w:tcPr>
            <w:tcW w:w="4536" w:type="dxa"/>
            <w:textDirection w:val="lrTb"/>
            <w:noWrap w:val="false"/>
          </w:tcPr>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tc>
      </w:tr>
    </w:tbl>
    <w:p>
      <w:pPr>
        <w:jc w:val="left"/>
        <w:spacing w:line="360" w:lineRule="auto"/>
        <w:tabs>
          <w:tab w:val="left" w:pos="5580" w:leader="none"/>
        </w:tabs>
        <w:rPr>
          <w:rFonts w:ascii="宋体" w:hAnsi="宋体" w:eastAsia="宋体" w:cs="Times New Roman"/>
          <w:color w:val="000000"/>
          <w:sz w:val="24"/>
          <w:szCs w:val="20"/>
        </w:rPr>
      </w:pPr>
      <w:r>
        <w:rPr>
          <w:rFonts w:hint="eastAsia" w:ascii="宋体" w:hAnsi="宋体" w:eastAsia="宋体" w:cs="Times New Roman"/>
          <w:color w:val="000000"/>
          <w:sz w:val="24"/>
          <w:szCs w:val="20"/>
        </w:rPr>
        <w:t xml:space="preserve">委托代理人</w:t>
      </w:r>
      <w:r>
        <w:rPr>
          <w:rFonts w:ascii="宋体" w:hAnsi="宋体" w:eastAsia="宋体" w:cs="Times New Roman"/>
          <w:color w:val="000000"/>
          <w:sz w:val="24"/>
          <w:szCs w:val="20"/>
        </w:rPr>
        <w:t xml:space="preserve">有效期内的身份证</w:t>
      </w:r>
      <w:r>
        <w:rPr>
          <w:rFonts w:ascii="宋体" w:hAnsi="宋体" w:eastAsia="宋体" w:cs="Times New Roman"/>
          <w:b/>
          <w:color w:val="000000"/>
          <w:sz w:val="24"/>
          <w:szCs w:val="20"/>
        </w:rPr>
        <w:t xml:space="preserve">正反面</w:t>
      </w:r>
      <w:r>
        <w:rPr>
          <w:rFonts w:ascii="宋体" w:hAnsi="宋体" w:eastAsia="宋体" w:cs="Times New Roman"/>
          <w:color w:val="000000"/>
          <w:sz w:val="24"/>
          <w:szCs w:val="20"/>
        </w:rPr>
        <w:t xml:space="preserve">电子件：</w:t>
      </w:r>
      <w:r/>
    </w:p>
    <w:tbl>
      <w:tblPr>
        <w:tblW w:w="920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tc>
        <w:tc>
          <w:tcPr>
            <w:tcW w:w="4536" w:type="dxa"/>
            <w:textDirection w:val="lrTb"/>
            <w:noWrap w:val="false"/>
          </w:tcPr>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tc>
      </w:tr>
    </w:tbl>
    <w:p>
      <w:pPr>
        <w:jc w:val="left"/>
        <w:spacing w:line="360" w:lineRule="auto"/>
        <w:tabs>
          <w:tab w:val="left" w:pos="5580" w:leader="none"/>
        </w:tabs>
        <w:rPr>
          <w:rFonts w:ascii="Calibri" w:hAnsi="Calibri" w:eastAsia="宋体" w:cs="Times New Roman"/>
          <w:sz w:val="24"/>
          <w:szCs w:val="24"/>
        </w:rPr>
      </w:pPr>
      <w:r>
        <w:rPr>
          <w:rFonts w:hint="eastAsia" w:ascii="Calibri" w:hAnsi="Calibri" w:eastAsia="宋体" w:cs="Times New Roman"/>
          <w:sz w:val="24"/>
          <w:szCs w:val="24"/>
        </w:rPr>
        <w:t xml:space="preserve">填报说明</w:t>
      </w:r>
      <w:r>
        <w:rPr>
          <w:rFonts w:ascii="Calibri" w:hAnsi="Calibri" w:eastAsia="宋体" w:cs="Times New Roman"/>
          <w:sz w:val="24"/>
          <w:szCs w:val="24"/>
        </w:rPr>
        <w:t xml:space="preserve">：</w:t>
      </w:r>
      <w:r/>
    </w:p>
    <w:p>
      <w:pPr>
        <w:ind w:firstLine="480"/>
        <w:jc w:val="left"/>
        <w:spacing w:line="360" w:lineRule="auto"/>
        <w:tabs>
          <w:tab w:val="left" w:pos="5580" w:leader="none"/>
        </w:tabs>
        <w:rPr>
          <w:rFonts w:ascii="Calibri" w:hAnsi="Calibri" w:eastAsia="宋体" w:cs="Times New Roman"/>
          <w:sz w:val="24"/>
          <w:szCs w:val="24"/>
        </w:rPr>
      </w:pPr>
      <w:r>
        <w:rPr>
          <w:rFonts w:ascii="Calibri" w:hAnsi="Calibri" w:eastAsia="宋体" w:cs="Times New Roman"/>
          <w:sz w:val="24"/>
          <w:szCs w:val="24"/>
        </w:rPr>
        <w:t xml:space="preserve">1</w:t>
      </w:r>
      <w:r>
        <w:rPr>
          <w:rFonts w:ascii="Calibri" w:hAnsi="Calibri" w:eastAsia="宋体" w:cs="Times New Roman"/>
          <w:sz w:val="24"/>
          <w:szCs w:val="24"/>
        </w:rPr>
        <w:t xml:space="preserve">、若供应商为事业单位或其他组织或分支机构（仅当</w:t>
      </w:r>
      <w:r>
        <w:rPr>
          <w:rFonts w:hint="eastAsia" w:ascii="Calibri" w:hAnsi="Calibri" w:eastAsia="宋体" w:cs="Times New Roman"/>
          <w:sz w:val="24"/>
          <w:szCs w:val="24"/>
        </w:rPr>
        <w:t xml:space="preserve">招标</w:t>
      </w:r>
      <w:r>
        <w:rPr>
          <w:rFonts w:ascii="Calibri" w:hAnsi="Calibri" w:eastAsia="宋体" w:cs="Times New Roman"/>
          <w:sz w:val="24"/>
          <w:szCs w:val="24"/>
        </w:rPr>
        <w:t xml:space="preserve">文件注明允许分支机构</w:t>
      </w:r>
      <w:r>
        <w:rPr>
          <w:rFonts w:hint="eastAsia" w:ascii="Calibri" w:hAnsi="Calibri" w:eastAsia="宋体" w:cs="Times New Roman"/>
          <w:sz w:val="24"/>
          <w:szCs w:val="24"/>
        </w:rPr>
        <w:t xml:space="preserve">投标</w:t>
      </w:r>
      <w:r>
        <w:rPr>
          <w:rFonts w:ascii="Calibri" w:hAnsi="Calibri" w:eastAsia="宋体" w:cs="Times New Roman"/>
          <w:sz w:val="24"/>
          <w:szCs w:val="24"/>
        </w:rPr>
        <w:t xml:space="preserve">的），则法定代表人（单位负责人）</w:t>
      </w:r>
      <w:r>
        <w:rPr>
          <w:rFonts w:hint="eastAsia" w:ascii="Calibri" w:hAnsi="Calibri" w:eastAsia="宋体" w:cs="Times New Roman"/>
          <w:sz w:val="24"/>
          <w:szCs w:val="24"/>
        </w:rPr>
        <w:t xml:space="preserve">处</w:t>
      </w:r>
      <w:r>
        <w:rPr>
          <w:rFonts w:ascii="Calibri" w:hAnsi="Calibri" w:eastAsia="宋体" w:cs="Times New Roman"/>
          <w:sz w:val="24"/>
          <w:szCs w:val="24"/>
        </w:rPr>
        <w:t xml:space="preserve">的签署人可为单位负责人</w:t>
      </w:r>
      <w:r>
        <w:rPr>
          <w:rFonts w:hint="eastAsia" w:ascii="Calibri" w:hAnsi="Calibri" w:eastAsia="宋体" w:cs="Times New Roman"/>
          <w:sz w:val="24"/>
          <w:szCs w:val="24"/>
        </w:rPr>
        <w:t xml:space="preserve">。</w:t>
      </w:r>
      <w:r/>
    </w:p>
    <w:p>
      <w:pPr>
        <w:ind w:firstLine="480"/>
        <w:jc w:val="left"/>
        <w:spacing w:line="360" w:lineRule="auto"/>
        <w:tabs>
          <w:tab w:val="left" w:pos="5580" w:leader="none"/>
        </w:tabs>
        <w:rPr>
          <w:rFonts w:ascii="Calibri" w:hAnsi="Calibri" w:eastAsia="宋体" w:cs="Times New Roman"/>
          <w:sz w:val="24"/>
          <w:szCs w:val="24"/>
        </w:rPr>
      </w:pPr>
      <w:r>
        <w:rPr>
          <w:rFonts w:hint="eastAsia" w:ascii="Calibri" w:hAnsi="Calibri" w:eastAsia="宋体" w:cs="Times New Roman"/>
          <w:sz w:val="24"/>
          <w:szCs w:val="24"/>
        </w:rPr>
        <w:t xml:space="preserve">2</w:t>
      </w:r>
      <w:r>
        <w:rPr>
          <w:rFonts w:hint="eastAsia" w:ascii="Calibri" w:hAnsi="Calibri" w:eastAsia="宋体" w:cs="Times New Roman"/>
          <w:sz w:val="24"/>
          <w:szCs w:val="24"/>
        </w:rPr>
        <w:t xml:space="preserve">、</w:t>
      </w:r>
      <w:r>
        <w:rPr>
          <w:rFonts w:ascii="Calibri" w:hAnsi="Calibri" w:eastAsia="宋体" w:cs="Times New Roman"/>
          <w:sz w:val="24"/>
          <w:szCs w:val="24"/>
        </w:rPr>
        <w:t xml:space="preserve">若</w:t>
      </w:r>
      <w:r>
        <w:rPr>
          <w:rFonts w:hint="eastAsia" w:ascii="Calibri" w:hAnsi="Calibri" w:eastAsia="宋体" w:cs="Times New Roman"/>
          <w:sz w:val="24"/>
          <w:szCs w:val="24"/>
        </w:rPr>
        <w:t xml:space="preserve">投标</w:t>
      </w:r>
      <w:r>
        <w:rPr>
          <w:rFonts w:ascii="Calibri" w:hAnsi="Calibri" w:eastAsia="宋体" w:cs="Times New Roman"/>
          <w:sz w:val="24"/>
          <w:szCs w:val="24"/>
        </w:rPr>
        <w:t xml:space="preserve">文件中全部签字之处均为法定代表人（单位负责人）本人签署，</w:t>
      </w:r>
      <w:r>
        <w:rPr>
          <w:rFonts w:ascii="Calibri" w:hAnsi="Calibri" w:eastAsia="宋体" w:cs="Times New Roman"/>
          <w:sz w:val="24"/>
          <w:szCs w:val="24"/>
        </w:rPr>
        <w:t xml:space="preserve">则可不提供本《</w:t>
      </w:r>
      <w:r>
        <w:rPr>
          <w:rFonts w:hint="eastAsia" w:ascii="Calibri" w:hAnsi="Calibri" w:eastAsia="宋体" w:cs="Times New Roman"/>
          <w:sz w:val="24"/>
          <w:szCs w:val="24"/>
        </w:rPr>
        <w:t xml:space="preserve">授权委托书</w:t>
      </w:r>
      <w:r>
        <w:rPr>
          <w:rFonts w:ascii="Calibri" w:hAnsi="Calibri" w:eastAsia="宋体" w:cs="Times New Roman"/>
          <w:sz w:val="24"/>
          <w:szCs w:val="24"/>
        </w:rPr>
        <w:t xml:space="preserve">》，但须提供</w:t>
      </w:r>
      <w:r>
        <w:rPr>
          <w:rFonts w:hint="eastAsia" w:ascii="Calibri" w:hAnsi="Calibri" w:eastAsia="宋体" w:cs="Times New Roman"/>
          <w:sz w:val="24"/>
          <w:szCs w:val="24"/>
        </w:rPr>
        <w:t xml:space="preserve">《</w:t>
      </w:r>
      <w:r>
        <w:rPr>
          <w:rFonts w:ascii="Calibri" w:hAnsi="Calibri" w:eastAsia="宋体" w:cs="Times New Roman"/>
          <w:sz w:val="24"/>
          <w:szCs w:val="24"/>
        </w:rPr>
        <w:t xml:space="preserve">法定代表人（单位负责人）身份证</w:t>
      </w:r>
      <w:r>
        <w:rPr>
          <w:rFonts w:hint="eastAsia" w:ascii="Calibri" w:hAnsi="Calibri" w:eastAsia="宋体" w:cs="Times New Roman"/>
          <w:sz w:val="24"/>
          <w:szCs w:val="24"/>
        </w:rPr>
        <w:t xml:space="preserve">明》</w:t>
      </w:r>
      <w:r>
        <w:rPr>
          <w:rFonts w:ascii="Calibri" w:hAnsi="Calibri" w:eastAsia="宋体" w:cs="Times New Roman"/>
          <w:sz w:val="24"/>
          <w:szCs w:val="24"/>
        </w:rPr>
        <w:t xml:space="preserve">。</w:t>
      </w:r>
      <w:r/>
    </w:p>
    <w:p>
      <w:pPr>
        <w:ind w:firstLine="480"/>
        <w:jc w:val="left"/>
        <w:spacing w:line="360" w:lineRule="auto"/>
        <w:tabs>
          <w:tab w:val="left" w:pos="5580" w:leader="none"/>
        </w:tabs>
        <w:rPr>
          <w:rFonts w:ascii="Calibri" w:hAnsi="Calibri" w:eastAsia="宋体" w:cs="Times New Roman"/>
          <w:sz w:val="24"/>
          <w:szCs w:val="24"/>
        </w:rPr>
      </w:pPr>
      <w:r>
        <w:rPr>
          <w:rFonts w:ascii="Calibri" w:hAnsi="Calibri" w:eastAsia="宋体" w:cs="Times New Roman"/>
          <w:sz w:val="24"/>
          <w:szCs w:val="24"/>
        </w:rPr>
        <w:t xml:space="preserve">3</w:t>
      </w:r>
      <w:r>
        <w:rPr>
          <w:rFonts w:ascii="Calibri" w:hAnsi="Calibri" w:eastAsia="宋体" w:cs="Times New Roman"/>
          <w:sz w:val="24"/>
          <w:szCs w:val="24"/>
        </w:rPr>
        <w:t xml:space="preserve">、</w:t>
      </w:r>
      <w:r>
        <w:rPr>
          <w:rFonts w:hint="eastAsia" w:ascii="Calibri" w:hAnsi="Calibri" w:eastAsia="宋体" w:cs="Times New Roman"/>
          <w:sz w:val="24"/>
          <w:szCs w:val="24"/>
        </w:rPr>
        <w:t xml:space="preserve">供应商为自然人的情形，可不提供本</w:t>
      </w:r>
      <w:r>
        <w:rPr>
          <w:rFonts w:ascii="Calibri" w:hAnsi="Calibri" w:eastAsia="宋体" w:cs="Times New Roman"/>
          <w:sz w:val="24"/>
          <w:szCs w:val="24"/>
        </w:rPr>
        <w:t xml:space="preserve">《</w:t>
      </w:r>
      <w:r>
        <w:rPr>
          <w:rFonts w:hint="eastAsia" w:ascii="Calibri" w:hAnsi="Calibri" w:eastAsia="宋体" w:cs="Times New Roman"/>
          <w:sz w:val="24"/>
          <w:szCs w:val="24"/>
        </w:rPr>
        <w:t xml:space="preserve">授权委托书</w:t>
      </w:r>
      <w:r>
        <w:rPr>
          <w:rFonts w:ascii="Calibri" w:hAnsi="Calibri" w:eastAsia="宋体" w:cs="Times New Roman"/>
          <w:sz w:val="24"/>
          <w:szCs w:val="24"/>
        </w:rPr>
        <w:t xml:space="preserve">》</w:t>
      </w:r>
      <w:r>
        <w:rPr>
          <w:rFonts w:hint="eastAsia" w:ascii="Calibri" w:hAnsi="Calibri" w:eastAsia="宋体" w:cs="Times New Roman"/>
          <w:sz w:val="24"/>
          <w:szCs w:val="24"/>
        </w:rPr>
        <w:t xml:space="preserve">。</w:t>
      </w:r>
      <w:r/>
    </w:p>
    <w:p>
      <w:pPr>
        <w:ind w:firstLine="480"/>
        <w:jc w:val="left"/>
        <w:spacing w:line="360" w:lineRule="auto"/>
        <w:tabs>
          <w:tab w:val="left" w:pos="5580" w:leader="none"/>
        </w:tabs>
        <w:rPr>
          <w:sz w:val="24"/>
          <w:szCs w:val="24"/>
        </w:rPr>
      </w:pPr>
      <w:r>
        <w:rPr>
          <w:rFonts w:hint="eastAsia" w:ascii="Calibri" w:hAnsi="Calibri" w:eastAsia="宋体" w:cs="Times New Roman"/>
          <w:sz w:val="24"/>
          <w:szCs w:val="24"/>
        </w:rPr>
        <w:t xml:space="preserve">4.</w:t>
      </w:r>
      <w:r>
        <w:rPr>
          <w:rFonts w:hint="eastAsia"/>
          <w:sz w:val="24"/>
          <w:szCs w:val="24"/>
        </w:rPr>
        <w:t xml:space="preserve"> </w:t>
      </w:r>
      <w:r>
        <w:rPr>
          <w:rFonts w:hint="eastAsia"/>
          <w:sz w:val="24"/>
          <w:szCs w:val="24"/>
        </w:rPr>
        <w:t xml:space="preserve">请供应商如实填写联系方式并在评审过程中保持联系方式畅通，评审过程中如联系不上，由供应商承担一切不利后果。</w:t>
      </w:r>
      <w:r/>
    </w:p>
    <w:p>
      <w:pPr>
        <w:ind w:firstLine="480"/>
        <w:jc w:val="left"/>
        <w:spacing w:line="360" w:lineRule="auto"/>
        <w:tabs>
          <w:tab w:val="left" w:pos="5580" w:leader="none"/>
        </w:tabs>
        <w:rPr>
          <w:sz w:val="24"/>
          <w:szCs w:val="24"/>
        </w:rPr>
      </w:pPr>
      <w:r>
        <w:rPr>
          <w:sz w:val="24"/>
          <w:szCs w:val="24"/>
        </w:rPr>
      </w:r>
      <w:r/>
    </w:p>
    <w:p>
      <w:pPr>
        <w:ind w:firstLine="480"/>
        <w:jc w:val="left"/>
        <w:spacing w:line="360" w:lineRule="auto"/>
        <w:tabs>
          <w:tab w:val="left" w:pos="5580" w:leader="none"/>
        </w:tabs>
        <w:rPr>
          <w:rFonts w:ascii="Calibri" w:hAnsi="Calibri" w:eastAsia="宋体" w:cs="Times New Roman"/>
          <w:sz w:val="24"/>
          <w:szCs w:val="24"/>
        </w:rPr>
      </w:pPr>
      <w:r>
        <w:rPr>
          <w:rFonts w:ascii="Calibri" w:hAnsi="Calibri" w:eastAsia="宋体" w:cs="Times New Roman"/>
          <w:sz w:val="24"/>
          <w:szCs w:val="24"/>
        </w:rPr>
      </w:r>
      <w:r/>
    </w:p>
    <w:p>
      <w:pPr>
        <w:jc w:val="center"/>
        <w:spacing w:line="360" w:lineRule="exact"/>
        <w:rPr>
          <w:rFonts w:ascii="宋体" w:hAnsi="宋体" w:eastAsia="宋体" w:cs="Times New Roman"/>
          <w:b/>
          <w:color w:val="000000"/>
          <w:sz w:val="36"/>
          <w:szCs w:val="36"/>
        </w:rPr>
      </w:pPr>
      <w:r>
        <w:rPr>
          <w:rFonts w:ascii="宋体" w:hAnsi="宋体" w:eastAsia="宋体" w:cs="Times New Roman"/>
          <w:b/>
          <w:color w:val="000000"/>
          <w:sz w:val="36"/>
          <w:szCs w:val="36"/>
        </w:rPr>
        <w:t xml:space="preserve">法定代表人（单位负责人）身份证明</w:t>
      </w:r>
      <w:r/>
    </w:p>
    <w:p>
      <w:pPr>
        <w:spacing w:line="200" w:lineRule="exact"/>
        <w:rPr>
          <w:rFonts w:ascii="宋体" w:hAnsi="宋体" w:eastAsia="宋体" w:cs="Times New Roman"/>
          <w:sz w:val="20"/>
          <w:szCs w:val="20"/>
        </w:rPr>
      </w:pPr>
      <w:r>
        <w:rPr>
          <w:rFonts w:ascii="宋体" w:hAnsi="宋体" w:eastAsia="宋体" w:cs="Times New Roman"/>
          <w:sz w:val="20"/>
          <w:szCs w:val="20"/>
        </w:rPr>
      </w:r>
      <w:r/>
    </w:p>
    <w:p>
      <w:pPr>
        <w:spacing w:line="360" w:lineRule="auto"/>
        <w:tabs>
          <w:tab w:val="left" w:pos="5580" w:leader="none"/>
        </w:tabs>
        <w:rPr>
          <w:rFonts w:ascii="宋体" w:hAnsi="宋体" w:eastAsia="宋体" w:cs="Times New Roman"/>
          <w:color w:val="000000"/>
          <w:sz w:val="24"/>
          <w:szCs w:val="24"/>
        </w:rPr>
      </w:pPr>
      <w:r>
        <w:rPr>
          <w:rFonts w:ascii="宋体" w:hAnsi="宋体" w:eastAsia="宋体" w:cs="Times New Roman"/>
          <w:color w:val="000000"/>
          <w:sz w:val="24"/>
          <w:szCs w:val="24"/>
        </w:rPr>
        <w:t xml:space="preserve">致：</w:t>
      </w:r>
      <w:r>
        <w:rPr>
          <w:rFonts w:hint="eastAsia" w:ascii="Times New Roman" w:hAnsi="Times New Roman" w:eastAsia="宋体" w:cs="Times New Roman"/>
          <w:sz w:val="24"/>
          <w:szCs w:val="24"/>
          <w:u w:val="single"/>
        </w:rPr>
        <w:t xml:space="preserve"> </w:t>
      </w:r>
      <w:r>
        <w:rPr>
          <w:rFonts w:hint="eastAsia" w:ascii="Times New Roman" w:hAnsi="Times New Roman" w:eastAsia="宋体" w:cs="Times New Roman"/>
          <w:sz w:val="24"/>
          <w:szCs w:val="24"/>
          <w:u w:val="single"/>
        </w:rPr>
        <w:t xml:space="preserve">采购单位</w:t>
      </w:r>
      <w:r>
        <w:rPr>
          <w:rFonts w:hint="eastAsia" w:ascii="Times New Roman" w:hAnsi="Times New Roman" w:eastAsia="宋体" w:cs="Times New Roman"/>
          <w:sz w:val="24"/>
          <w:szCs w:val="24"/>
          <w:u w:val="single"/>
        </w:rPr>
        <w:t xml:space="preserve"> </w:t>
      </w:r>
      <w:r/>
    </w:p>
    <w:p>
      <w:pPr>
        <w:ind w:firstLine="480"/>
        <w:spacing w:before="120" w:line="360" w:lineRule="auto"/>
        <w:tabs>
          <w:tab w:val="left" w:pos="567" w:leader="none"/>
          <w:tab w:val="left" w:pos="2412" w:leader="none"/>
          <w:tab w:val="left" w:pos="3883" w:leader="none"/>
          <w:tab w:val="left" w:pos="5352" w:leader="none"/>
          <w:tab w:val="left" w:pos="6821" w:leader="none"/>
        </w:tabs>
        <w:rPr>
          <w:rFonts w:ascii="宋体" w:hAnsi="宋体" w:eastAsia="宋体" w:cs="Times New Roman"/>
          <w:sz w:val="24"/>
          <w:szCs w:val="24"/>
        </w:rPr>
      </w:pPr>
      <w:r>
        <w:rPr>
          <w:rFonts w:ascii="宋体" w:hAnsi="宋体" w:eastAsia="宋体" w:cs="Times New Roman"/>
          <w:sz w:val="24"/>
          <w:szCs w:val="24"/>
        </w:rPr>
      </w:r>
      <w:r/>
    </w:p>
    <w:p>
      <w:pPr>
        <w:ind w:firstLine="480"/>
        <w:spacing w:before="120" w:line="360" w:lineRule="auto"/>
        <w:tabs>
          <w:tab w:val="left" w:pos="567" w:leader="none"/>
          <w:tab w:val="left" w:pos="2412" w:leader="none"/>
          <w:tab w:val="left" w:pos="3883" w:leader="none"/>
          <w:tab w:val="left" w:pos="5352" w:leader="none"/>
          <w:tab w:val="left" w:pos="6821" w:leader="none"/>
        </w:tabs>
        <w:rPr>
          <w:rFonts w:ascii="宋体" w:hAnsi="宋体" w:eastAsia="宋体" w:cs="Times New Roman"/>
          <w:sz w:val="24"/>
          <w:szCs w:val="24"/>
        </w:rPr>
      </w:pPr>
      <w:r>
        <w:rPr>
          <w:rFonts w:hint="eastAsia" w:ascii="宋体" w:hAnsi="宋体" w:eastAsia="宋体" w:cs="Times New Roman"/>
          <w:sz w:val="24"/>
          <w:szCs w:val="24"/>
        </w:rPr>
        <w:t xml:space="preserve">兹证明，</w:t>
      </w:r>
      <w:r>
        <w:rPr>
          <w:rFonts w:ascii="宋体" w:hAnsi="宋体" w:eastAsia="宋体" w:cs="Times New Roman"/>
          <w:sz w:val="24"/>
          <w:szCs w:val="24"/>
        </w:rPr>
        <w:t xml:space="preserve">姓名</w:t>
      </w:r>
      <w:r>
        <w:rPr>
          <w:rFonts w:hint="eastAsia" w:ascii="宋体" w:hAnsi="宋体" w:eastAsia="宋体" w:cs="Times New Roman"/>
          <w:sz w:val="24"/>
          <w:szCs w:val="24"/>
        </w:rPr>
        <w:t xml:space="preserve">：</w:t>
      </w:r>
      <w:r>
        <w:rPr>
          <w:rFonts w:ascii="宋体" w:hAnsi="宋体" w:eastAsia="宋体" w:cs="Times New Roman"/>
          <w:sz w:val="24"/>
          <w:szCs w:val="24"/>
        </w:rPr>
        <w:t xml:space="preserve">性别：年龄：职务：系</w:t>
      </w:r>
      <w:r>
        <w:rPr>
          <w:rFonts w:ascii="Calibri" w:hAnsi="Calibri" w:eastAsia="宋体" w:cs="Times New Roman"/>
          <w:sz w:val="24"/>
          <w:szCs w:val="24"/>
          <w:u w:val="single"/>
        </w:rPr>
        <w:t xml:space="preserve">（</w:t>
      </w:r>
      <w:r>
        <w:rPr>
          <w:rFonts w:hint="eastAsia" w:ascii="Calibri" w:hAnsi="Calibri" w:eastAsia="宋体" w:cs="Times New Roman"/>
          <w:sz w:val="24"/>
          <w:szCs w:val="24"/>
          <w:u w:val="single"/>
        </w:rPr>
        <w:t xml:space="preserve">投标人</w:t>
      </w:r>
      <w:r>
        <w:rPr>
          <w:rFonts w:ascii="Calibri" w:hAnsi="Calibri" w:eastAsia="宋体" w:cs="Times New Roman"/>
          <w:sz w:val="24"/>
          <w:szCs w:val="24"/>
          <w:u w:val="single"/>
        </w:rPr>
        <w:t xml:space="preserve">名称）</w:t>
      </w:r>
      <w:r>
        <w:rPr>
          <w:rFonts w:ascii="宋体" w:hAnsi="宋体" w:eastAsia="宋体" w:cs="Times New Roman"/>
          <w:sz w:val="24"/>
          <w:szCs w:val="24"/>
        </w:rPr>
        <w:t xml:space="preserve">的法定代表人（单位负责人）。</w:t>
      </w:r>
      <w:r/>
    </w:p>
    <w:p>
      <w:pPr>
        <w:spacing w:before="120" w:line="335" w:lineRule="exact"/>
        <w:tabs>
          <w:tab w:val="left" w:pos="567" w:leader="none"/>
          <w:tab w:val="left" w:pos="2412" w:leader="none"/>
          <w:tab w:val="left" w:pos="3883" w:leader="none"/>
          <w:tab w:val="left" w:pos="5352" w:leader="none"/>
          <w:tab w:val="left" w:pos="6821" w:leader="none"/>
        </w:tabs>
        <w:rPr>
          <w:rFonts w:ascii="宋体" w:hAnsi="宋体" w:eastAsia="宋体" w:cs="Times New Roman"/>
          <w:sz w:val="24"/>
          <w:szCs w:val="24"/>
        </w:rPr>
      </w:pPr>
      <w:r>
        <w:rPr>
          <w:rFonts w:ascii="宋体" w:hAnsi="宋体" w:eastAsia="宋体" w:cs="Times New Roman"/>
          <w:sz w:val="24"/>
          <w:szCs w:val="24"/>
        </w:rPr>
      </w:r>
      <w:r/>
    </w:p>
    <w:p>
      <w:pPr>
        <w:ind w:right="-46"/>
        <w:spacing w:before="120" w:line="583" w:lineRule="auto"/>
        <w:tabs>
          <w:tab w:val="left" w:pos="567" w:leader="none"/>
        </w:tabs>
        <w:rPr>
          <w:rFonts w:ascii="宋体" w:hAnsi="宋体" w:eastAsia="宋体" w:cs="Times New Roman"/>
          <w:spacing w:val="-3"/>
          <w:sz w:val="24"/>
          <w:szCs w:val="24"/>
        </w:rPr>
      </w:pPr>
      <w:r>
        <w:rPr>
          <w:rFonts w:ascii="宋体" w:hAnsi="宋体" w:eastAsia="宋体" w:cs="Times New Roman"/>
          <w:sz w:val="24"/>
          <w:szCs w:val="24"/>
        </w:rPr>
        <w:t xml:space="preserve">附：</w:t>
      </w:r>
      <w:r>
        <w:rPr>
          <w:rFonts w:ascii="宋体" w:hAnsi="宋体" w:eastAsia="宋体" w:cs="Times New Roman"/>
          <w:spacing w:val="-3"/>
          <w:sz w:val="24"/>
          <w:szCs w:val="24"/>
        </w:rPr>
        <w:t xml:space="preserve">法</w:t>
      </w:r>
      <w:r>
        <w:rPr>
          <w:rFonts w:ascii="宋体" w:hAnsi="宋体" w:eastAsia="宋体" w:cs="Times New Roman"/>
          <w:sz w:val="24"/>
          <w:szCs w:val="24"/>
        </w:rPr>
        <w:t xml:space="preserve">定</w:t>
      </w:r>
      <w:r>
        <w:rPr>
          <w:rFonts w:ascii="宋体" w:hAnsi="宋体" w:eastAsia="宋体" w:cs="Times New Roman"/>
          <w:spacing w:val="-3"/>
          <w:sz w:val="24"/>
          <w:szCs w:val="24"/>
        </w:rPr>
        <w:t xml:space="preserve">代</w:t>
      </w:r>
      <w:r>
        <w:rPr>
          <w:rFonts w:ascii="宋体" w:hAnsi="宋体" w:eastAsia="宋体" w:cs="Times New Roman"/>
          <w:sz w:val="24"/>
          <w:szCs w:val="24"/>
        </w:rPr>
        <w:t xml:space="preserve">表</w:t>
      </w:r>
      <w:r>
        <w:rPr>
          <w:rFonts w:ascii="宋体" w:hAnsi="宋体" w:eastAsia="宋体" w:cs="Times New Roman"/>
          <w:spacing w:val="-3"/>
          <w:sz w:val="24"/>
          <w:szCs w:val="24"/>
        </w:rPr>
        <w:t xml:space="preserve">人</w:t>
      </w:r>
      <w:r>
        <w:rPr>
          <w:rFonts w:ascii="宋体" w:hAnsi="宋体" w:eastAsia="宋体" w:cs="Times New Roman"/>
          <w:sz w:val="24"/>
          <w:szCs w:val="24"/>
        </w:rPr>
        <w:t xml:space="preserve">（</w:t>
      </w:r>
      <w:r>
        <w:rPr>
          <w:rFonts w:ascii="宋体" w:hAnsi="宋体" w:eastAsia="宋体" w:cs="Times New Roman"/>
          <w:spacing w:val="-3"/>
          <w:sz w:val="24"/>
          <w:szCs w:val="24"/>
        </w:rPr>
        <w:t xml:space="preserve">单</w:t>
      </w:r>
      <w:r>
        <w:rPr>
          <w:rFonts w:ascii="宋体" w:hAnsi="宋体" w:eastAsia="宋体" w:cs="Times New Roman"/>
          <w:sz w:val="24"/>
          <w:szCs w:val="24"/>
        </w:rPr>
        <w:t xml:space="preserve">位</w:t>
      </w:r>
      <w:r>
        <w:rPr>
          <w:rFonts w:ascii="宋体" w:hAnsi="宋体" w:eastAsia="宋体" w:cs="Times New Roman"/>
          <w:spacing w:val="-3"/>
          <w:sz w:val="24"/>
          <w:szCs w:val="24"/>
        </w:rPr>
        <w:t xml:space="preserve">负</w:t>
      </w:r>
      <w:r>
        <w:rPr>
          <w:rFonts w:ascii="宋体" w:hAnsi="宋体" w:eastAsia="宋体" w:cs="Times New Roman"/>
          <w:sz w:val="24"/>
          <w:szCs w:val="24"/>
        </w:rPr>
        <w:t xml:space="preserve">责人</w:t>
      </w:r>
      <w:r>
        <w:rPr>
          <w:rFonts w:ascii="宋体" w:hAnsi="宋体" w:eastAsia="宋体" w:cs="Times New Roman"/>
          <w:spacing w:val="-3"/>
          <w:sz w:val="24"/>
          <w:szCs w:val="24"/>
        </w:rPr>
        <w:t xml:space="preserve">）有效期内的身</w:t>
      </w:r>
      <w:r>
        <w:rPr>
          <w:rFonts w:hint="eastAsia" w:ascii="宋体" w:hAnsi="宋体" w:eastAsia="宋体" w:cs="Times New Roman"/>
          <w:spacing w:val="-3"/>
          <w:sz w:val="24"/>
          <w:szCs w:val="24"/>
        </w:rPr>
        <w:t xml:space="preserve">份</w:t>
      </w:r>
      <w:r>
        <w:rPr>
          <w:rFonts w:ascii="宋体" w:hAnsi="宋体" w:eastAsia="宋体" w:cs="Times New Roman"/>
          <w:spacing w:val="-3"/>
          <w:sz w:val="24"/>
          <w:szCs w:val="24"/>
        </w:rPr>
        <w:t xml:space="preserve">证正反面</w:t>
      </w:r>
      <w:r>
        <w:rPr>
          <w:rFonts w:hint="eastAsia" w:ascii="宋体" w:hAnsi="宋体" w:eastAsia="宋体" w:cs="Times New Roman"/>
          <w:spacing w:val="-3"/>
          <w:sz w:val="24"/>
          <w:szCs w:val="24"/>
        </w:rPr>
        <w:t xml:space="preserve">电子</w:t>
      </w:r>
      <w:r>
        <w:rPr>
          <w:rFonts w:ascii="宋体" w:hAnsi="宋体" w:eastAsia="宋体" w:cs="Times New Roman"/>
          <w:spacing w:val="-3"/>
          <w:sz w:val="24"/>
          <w:szCs w:val="24"/>
        </w:rPr>
        <w:t xml:space="preserve">件</w:t>
      </w:r>
      <w:r>
        <w:rPr>
          <w:rFonts w:hint="eastAsia" w:ascii="宋体" w:hAnsi="宋体" w:eastAsia="宋体" w:cs="Times New Roman"/>
          <w:spacing w:val="-3"/>
          <w:sz w:val="24"/>
          <w:szCs w:val="24"/>
        </w:rPr>
        <w:t xml:space="preserve">。</w:t>
      </w:r>
      <w:r/>
    </w:p>
    <w:tbl>
      <w:tblPr>
        <w:tblW w:w="920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tc>
        <w:tc>
          <w:tcPr>
            <w:tcW w:w="4536" w:type="dxa"/>
            <w:textDirection w:val="lrTb"/>
            <w:noWrap w:val="false"/>
          </w:tcPr>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tc>
      </w:tr>
    </w:tbl>
    <w:p>
      <w:pPr>
        <w:ind w:right="4305"/>
        <w:spacing w:before="120" w:line="583" w:lineRule="auto"/>
        <w:tabs>
          <w:tab w:val="left" w:pos="567" w:leader="none"/>
        </w:tabs>
        <w:rPr>
          <w:rFonts w:ascii="宋体" w:hAnsi="宋体" w:eastAsia="宋体" w:cs="Times New Roman"/>
          <w:spacing w:val="-3"/>
          <w:sz w:val="24"/>
          <w:szCs w:val="24"/>
        </w:rPr>
      </w:pPr>
      <w:r>
        <w:rPr>
          <w:rFonts w:ascii="宋体" w:hAnsi="宋体" w:eastAsia="宋体" w:cs="Times New Roman"/>
          <w:spacing w:val="-3"/>
          <w:sz w:val="24"/>
          <w:szCs w:val="24"/>
        </w:rPr>
      </w:r>
      <w:r/>
    </w:p>
    <w:p>
      <w:pPr>
        <w:ind w:firstLine="480"/>
        <w:spacing w:line="360" w:lineRule="auto"/>
        <w:rPr>
          <w:rFonts w:ascii="Calibri" w:hAnsi="Calibri" w:eastAsia="宋体" w:cs="Times New Roman"/>
          <w:sz w:val="24"/>
          <w:szCs w:val="24"/>
        </w:rPr>
      </w:pPr>
      <w:r>
        <w:rPr>
          <w:rFonts w:hint="eastAsia" w:ascii="宋体" w:hAnsi="宋体" w:eastAsia="宋体" w:cs="Times New Roman"/>
          <w:color w:val="000000"/>
          <w:sz w:val="24"/>
          <w:szCs w:val="24"/>
        </w:rPr>
        <w:t xml:space="preserve">投标人</w:t>
      </w:r>
      <w:r>
        <w:rPr>
          <w:rFonts w:ascii="宋体" w:hAnsi="宋体" w:eastAsia="宋体" w:cs="Times New Roman"/>
          <w:color w:val="000000"/>
          <w:sz w:val="24"/>
          <w:szCs w:val="24"/>
        </w:rPr>
        <w:t xml:space="preserve">名称（加盖公章）</w:t>
      </w:r>
      <w:r>
        <w:rPr>
          <w:rFonts w:ascii="宋体" w:hAnsi="宋体" w:eastAsia="宋体" w:cs="Times New Roman"/>
          <w:color w:val="000000"/>
          <w:sz w:val="24"/>
          <w:szCs w:val="24"/>
          <w:lang w:val="zh-CN"/>
        </w:rPr>
        <w:t xml:space="preserve">：</w:t>
      </w:r>
      <w:r/>
    </w:p>
    <w:p>
      <w:pPr>
        <w:ind w:firstLine="468"/>
        <w:spacing w:line="360" w:lineRule="auto"/>
        <w:rPr>
          <w:rFonts w:ascii="Calibri" w:hAnsi="Calibri" w:eastAsia="宋体" w:cs="Times New Roman"/>
          <w:sz w:val="24"/>
          <w:szCs w:val="24"/>
        </w:rPr>
      </w:pPr>
      <w:r>
        <w:rPr>
          <w:rFonts w:hint="eastAsia" w:ascii="宋体" w:hAnsi="宋体" w:eastAsia="宋体" w:cs="Times New Roman"/>
          <w:spacing w:val="-3"/>
          <w:sz w:val="24"/>
          <w:szCs w:val="24"/>
        </w:rPr>
        <w:t xml:space="preserve">法定代表人（</w:t>
      </w:r>
      <w:r>
        <w:rPr>
          <w:rFonts w:ascii="宋体" w:hAnsi="宋体" w:eastAsia="宋体" w:cs="Times New Roman"/>
          <w:sz w:val="24"/>
          <w:szCs w:val="24"/>
        </w:rPr>
        <w:t xml:space="preserve">单位负责人</w:t>
      </w:r>
      <w:r>
        <w:rPr>
          <w:rFonts w:hint="eastAsia" w:ascii="宋体" w:hAnsi="宋体" w:eastAsia="宋体" w:cs="Times New Roman"/>
          <w:spacing w:val="-3"/>
          <w:sz w:val="24"/>
          <w:szCs w:val="24"/>
        </w:rPr>
        <w:t xml:space="preserve">）（签字、签章或印鉴）：</w:t>
      </w:r>
      <w:r>
        <w:rPr>
          <w:rFonts w:hint="eastAsia" w:ascii="Calibri" w:hAnsi="Calibri" w:eastAsia="宋体" w:cs="Times New Roman"/>
          <w:sz w:val="24"/>
          <w:szCs w:val="24"/>
        </w:rPr>
        <w:t xml:space="preserve">，联系电话：</w:t>
      </w:r>
      <w:r/>
    </w:p>
    <w:p>
      <w:pPr>
        <w:ind w:firstLine="480"/>
        <w:spacing w:line="360" w:lineRule="auto"/>
        <w:rPr>
          <w:rFonts w:ascii="Calibri" w:hAnsi="Calibri" w:eastAsia="宋体" w:cs="Times New Roman"/>
          <w:sz w:val="24"/>
          <w:szCs w:val="24"/>
        </w:rPr>
      </w:pPr>
      <w:r>
        <w:rPr>
          <w:rFonts w:ascii="Calibri" w:hAnsi="Calibri" w:eastAsia="宋体" w:cs="Times New Roman"/>
          <w:sz w:val="24"/>
          <w:szCs w:val="24"/>
        </w:rPr>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日期：</w:t>
      </w:r>
      <w:r>
        <w:rPr>
          <w:rFonts w:hint="eastAsia" w:ascii="Calibri" w:hAnsi="Calibri" w:eastAsia="宋体" w:cs="Times New Roman"/>
          <w:sz w:val="24"/>
          <w:szCs w:val="24"/>
        </w:rPr>
        <w:t xml:space="preserve">    </w:t>
      </w:r>
      <w:r>
        <w:rPr>
          <w:rFonts w:hint="eastAsia" w:ascii="Calibri" w:hAnsi="Calibri" w:eastAsia="宋体" w:cs="Times New Roman"/>
          <w:sz w:val="24"/>
          <w:szCs w:val="24"/>
        </w:rPr>
        <w:t xml:space="preserve">年</w:t>
      </w:r>
      <w:r>
        <w:rPr>
          <w:rFonts w:hint="eastAsia" w:ascii="Calibri" w:hAnsi="Calibri" w:eastAsia="宋体" w:cs="Times New Roman"/>
          <w:sz w:val="24"/>
          <w:szCs w:val="24"/>
        </w:rPr>
        <w:t xml:space="preserve">     </w:t>
      </w:r>
      <w:r>
        <w:rPr>
          <w:rFonts w:hint="eastAsia" w:ascii="Calibri" w:hAnsi="Calibri" w:eastAsia="宋体" w:cs="Times New Roman"/>
          <w:sz w:val="24"/>
          <w:szCs w:val="24"/>
        </w:rPr>
        <w:t xml:space="preserve">月</w:t>
      </w:r>
      <w:r>
        <w:rPr>
          <w:rFonts w:hint="eastAsia" w:ascii="Calibri" w:hAnsi="Calibri" w:eastAsia="宋体" w:cs="Times New Roman"/>
          <w:sz w:val="24"/>
          <w:szCs w:val="24"/>
        </w:rPr>
        <w:t xml:space="preserve">     </w:t>
      </w:r>
      <w:r>
        <w:rPr>
          <w:rFonts w:hint="eastAsia" w:ascii="Calibri" w:hAnsi="Calibri" w:eastAsia="宋体" w:cs="Times New Roman"/>
          <w:sz w:val="24"/>
          <w:szCs w:val="24"/>
        </w:rPr>
        <w:t xml:space="preserve">日</w:t>
      </w:r>
      <w:r/>
    </w:p>
    <w:p>
      <w:pPr>
        <w:ind w:firstLine="480"/>
        <w:jc w:val="left"/>
        <w:spacing w:line="360" w:lineRule="auto"/>
        <w:tabs>
          <w:tab w:val="left" w:pos="5580" w:leader="none"/>
        </w:tabs>
        <w:rPr>
          <w:sz w:val="24"/>
          <w:szCs w:val="24"/>
        </w:rPr>
      </w:pPr>
      <w:r>
        <w:rPr>
          <w:sz w:val="24"/>
          <w:szCs w:val="24"/>
        </w:rPr>
      </w:r>
      <w:r/>
    </w:p>
    <w:p>
      <w:pPr>
        <w:ind w:firstLine="480"/>
        <w:jc w:val="left"/>
        <w:spacing w:line="360" w:lineRule="auto"/>
        <w:tabs>
          <w:tab w:val="left" w:pos="5580" w:leader="none"/>
        </w:tabs>
        <w:rPr>
          <w:sz w:val="24"/>
          <w:szCs w:val="24"/>
        </w:rPr>
      </w:pPr>
      <w:r>
        <w:rPr>
          <w:rFonts w:hint="eastAsia"/>
          <w:sz w:val="24"/>
          <w:szCs w:val="24"/>
        </w:rPr>
        <w:t xml:space="preserve">注：请供应商如实填写联系方式并在评审过程中保持联系方式畅通，评审过程中如联系不上，由供应商承担一切不利后果。</w:t>
      </w:r>
      <w:r/>
    </w:p>
    <w:p>
      <w:pPr>
        <w:spacing w:line="360" w:lineRule="auto"/>
        <w:rPr>
          <w:rFonts w:ascii="Calibri" w:hAnsi="Calibri" w:eastAsia="宋体" w:cs="Times New Roman"/>
          <w:sz w:val="24"/>
          <w:szCs w:val="24"/>
        </w:rPr>
      </w:pPr>
      <w:r>
        <w:rPr>
          <w:rFonts w:ascii="Calibri" w:hAnsi="Calibri" w:eastAsia="宋体" w:cs="Times New Roman"/>
          <w:sz w:val="24"/>
          <w:szCs w:val="24"/>
        </w:rPr>
      </w:r>
      <w:r/>
    </w:p>
    <w:p>
      <w:r/>
      <w:r/>
    </w:p>
    <w:p>
      <w:r/>
      <w:r/>
    </w:p>
    <w:p>
      <w:r/>
      <w:r/>
    </w:p>
    <w:p>
      <w:pPr>
        <w:jc w:val="left"/>
        <w:keepLines/>
        <w:keepNext/>
        <w:spacing w:before="260" w:after="260" w:line="416" w:lineRule="auto"/>
        <w:rPr>
          <w:rFonts w:ascii="黑体" w:hAnsi="黑体" w:eastAsia="黑体" w:cs="Times New Roman"/>
          <w:b/>
          <w:color w:val="000000"/>
          <w:sz w:val="32"/>
          <w:szCs w:val="32"/>
        </w:rPr>
        <w:outlineLvl w:val="1"/>
      </w:pPr>
      <w:r>
        <w:rPr>
          <w:rFonts w:hint="eastAsia" w:ascii="Arial" w:hAnsi="Arial" w:eastAsia="宋体" w:cs="Arial"/>
          <w:b/>
          <w:iCs/>
          <w:sz w:val="36"/>
        </w:rPr>
        <w:t xml:space="preserve">十、投标函</w:t>
      </w:r>
      <w:r/>
    </w:p>
    <w:p>
      <w:pPr>
        <w:jc w:val="center"/>
        <w:spacing w:line="360" w:lineRule="auto"/>
        <w:tabs>
          <w:tab w:val="left" w:pos="360" w:leader="none"/>
        </w:tabs>
        <w:rPr>
          <w:rFonts w:ascii="Times New Roman" w:hAnsi="Times New Roman" w:eastAsia="宋体" w:cs="Times New Roman"/>
          <w:color w:val="000000"/>
          <w:sz w:val="24"/>
          <w:szCs w:val="24"/>
        </w:rPr>
      </w:pPr>
      <w:r>
        <w:rPr>
          <w:rFonts w:hint="eastAsia" w:ascii="黑体" w:hAnsi="黑体" w:eastAsia="黑体" w:cs="宋体"/>
          <w:bCs/>
          <w:sz w:val="36"/>
          <w:szCs w:val="28"/>
        </w:rPr>
        <w:t xml:space="preserve">投标函</w:t>
      </w:r>
      <w:r/>
    </w:p>
    <w:p>
      <w:pPr>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致：连云港市公共资源交易中心</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根据贵方的JSZC-________号招标文件，正式授权下述签字人______(姓名)代表我方__________（投标人的名称），全权处理本次项目投标的有关事宜。</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据此函，__________签字人兹宣布同意如下：</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1.按招标文件规定的各项要求，向买方提供所需服务（包含与服务相关的货物等）。</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2.我们完全理解贵方不一定将合同授予最低报价的投标人。</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3.我们已详细审核全部招标文件及其有效补充文件，我们知道必须放弃提出含糊不清或误解问题的权利。</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4.我们同意从规定的开标日期起遵循本投标文件，并在规定的投标有效期期满之前均具有约束力。</w:t>
      </w:r>
      <w:r/>
    </w:p>
    <w:p>
      <w:pPr>
        <w:ind w:firstLine="480"/>
        <w:jc w:val="left"/>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5</w:t>
      </w:r>
      <w:r>
        <w:rPr>
          <w:rFonts w:hint="eastAsia" w:ascii="宋体" w:hAnsi="宋体" w:eastAsia="宋体" w:cs="Times New Roman"/>
          <w:color w:val="000000"/>
          <w:sz w:val="24"/>
          <w:szCs w:val="21"/>
        </w:rPr>
        <w:t xml:space="preserve">.同意向贵方提供贵方可能另外要求的与投标有关的任何证据或资料，并保证我方已提供和将要提供的文件是真实的、准确的。</w:t>
      </w:r>
      <w:r/>
    </w:p>
    <w:p>
      <w:pPr>
        <w:ind w:firstLine="480"/>
        <w:jc w:val="left"/>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6</w:t>
      </w:r>
      <w:r>
        <w:rPr>
          <w:rFonts w:hint="eastAsia" w:ascii="宋体" w:hAnsi="宋体" w:eastAsia="宋体" w:cs="Times New Roman"/>
          <w:color w:val="000000"/>
          <w:sz w:val="24"/>
          <w:szCs w:val="21"/>
        </w:rPr>
        <w:t xml:space="preserve">.一旦我方中标,我方将根据招标文件的规定，严格履行合同的责任和义务,并保证在招标文件规定的时间完成项目，交付买方验收、使用。</w:t>
      </w:r>
      <w:r/>
    </w:p>
    <w:p>
      <w:pPr>
        <w:ind w:firstLine="480"/>
        <w:jc w:val="left"/>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7</w:t>
      </w:r>
      <w:r>
        <w:rPr>
          <w:rFonts w:hint="eastAsia" w:ascii="宋体" w:hAnsi="宋体" w:eastAsia="宋体" w:cs="Times New Roman"/>
          <w:color w:val="000000"/>
          <w:sz w:val="24"/>
          <w:szCs w:val="21"/>
        </w:rPr>
        <w:t xml:space="preserve">.与本投标有关的正式通讯地址为：</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地        址：</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邮        编：</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电        话：</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传        真：</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投标人开户行：</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账        号： </w:t>
      </w:r>
      <w:r/>
    </w:p>
    <w:p>
      <w:r/>
      <w:r/>
    </w:p>
    <w:p>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投标人（盖章）：</w:t>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法定代表人</w:t>
      </w:r>
      <w:r>
        <w:rPr>
          <w:rFonts w:ascii="Calibri" w:hAnsi="Calibri" w:eastAsia="宋体" w:cs="Times New Roman"/>
          <w:sz w:val="24"/>
          <w:szCs w:val="24"/>
        </w:rPr>
        <w:t xml:space="preserve">（单位负责人）</w:t>
      </w:r>
      <w:r>
        <w:rPr>
          <w:rFonts w:hint="eastAsia" w:ascii="Times New Roman" w:hAnsi="Times New Roman" w:eastAsia="宋体" w:cs="Times New Roman"/>
          <w:color w:val="000000"/>
          <w:sz w:val="24"/>
          <w:szCs w:val="24"/>
        </w:rPr>
        <w:t xml:space="preserve">或委托代理人（签字或盖章）：</w:t>
      </w:r>
      <w:r/>
    </w:p>
    <w:p>
      <w:pPr>
        <w:ind w:firstLine="480"/>
        <w:spacing w:line="500" w:lineRule="exact"/>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日期：</w:t>
      </w:r>
      <w:r>
        <w:rPr>
          <w:rFonts w:hint="eastAsia" w:ascii="Times New Roman" w:hAnsi="Times New Roman" w:eastAsia="宋体" w:cs="Times New Roman"/>
          <w:color w:val="000000"/>
          <w:sz w:val="24"/>
          <w:szCs w:val="24"/>
        </w:rPr>
        <w:t xml:space="preserve">    </w:t>
      </w:r>
      <w:r>
        <w:rPr>
          <w:rFonts w:hint="eastAsia" w:ascii="Times New Roman" w:hAnsi="Times New Roman" w:eastAsia="宋体" w:cs="Times New Roman"/>
          <w:color w:val="000000"/>
          <w:sz w:val="24"/>
          <w:szCs w:val="24"/>
        </w:rPr>
        <w:t xml:space="preserve">年</w:t>
      </w:r>
      <w:r>
        <w:rPr>
          <w:rFonts w:hint="eastAsia" w:ascii="Times New Roman" w:hAnsi="Times New Roman" w:eastAsia="宋体" w:cs="Times New Roman"/>
          <w:color w:val="000000"/>
          <w:sz w:val="24"/>
          <w:szCs w:val="24"/>
        </w:rPr>
        <w:t xml:space="preserve">     </w:t>
      </w:r>
      <w:r>
        <w:rPr>
          <w:rFonts w:hint="eastAsia" w:ascii="Times New Roman" w:hAnsi="Times New Roman" w:eastAsia="宋体" w:cs="Times New Roman"/>
          <w:color w:val="000000"/>
          <w:sz w:val="24"/>
          <w:szCs w:val="24"/>
        </w:rPr>
        <w:t xml:space="preserve">月</w:t>
      </w:r>
      <w:r>
        <w:rPr>
          <w:rFonts w:hint="eastAsia" w:ascii="Times New Roman" w:hAnsi="Times New Roman" w:eastAsia="宋体" w:cs="Times New Roman"/>
          <w:color w:val="000000"/>
          <w:sz w:val="24"/>
          <w:szCs w:val="24"/>
        </w:rPr>
        <w:t xml:space="preserve">     </w:t>
      </w:r>
      <w:r>
        <w:rPr>
          <w:rFonts w:hint="eastAsia" w:ascii="Times New Roman" w:hAnsi="Times New Roman" w:eastAsia="宋体" w:cs="Times New Roman"/>
          <w:color w:val="000000"/>
          <w:sz w:val="24"/>
          <w:szCs w:val="24"/>
        </w:rPr>
        <w:t xml:space="preserve">日</w:t>
      </w:r>
      <w:r/>
    </w:p>
    <w:p>
      <w:pPr>
        <w:jc w:val="left"/>
        <w:keepLines/>
        <w:keepNext/>
        <w:spacing w:before="360" w:after="200" w:line="360" w:lineRule="auto"/>
        <w:rPr>
          <w:rFonts w:ascii="Arial" w:hAnsi="Arial" w:eastAsia="宋体" w:cs="Arial"/>
          <w:b/>
          <w:sz w:val="36"/>
        </w:rPr>
        <w:outlineLvl w:val="1"/>
      </w:pPr>
      <w:r>
        <w:rPr>
          <w:rFonts w:hint="eastAsia" w:ascii="Arial" w:hAnsi="Arial" w:eastAsia="宋体" w:cs="Arial"/>
          <w:b/>
          <w:sz w:val="36"/>
        </w:rPr>
        <w:t xml:space="preserve">十一、中小企业声明函（服务）（分包号：</w:t>
      </w:r>
      <w:r>
        <w:rPr>
          <w:rFonts w:hint="eastAsia" w:ascii="Arial" w:hAnsi="Arial" w:eastAsia="宋体" w:cs="Arial"/>
          <w:b/>
          <w:sz w:val="36"/>
        </w:rPr>
        <w:t xml:space="preserve">**</w:t>
      </w:r>
      <w:r>
        <w:rPr>
          <w:rFonts w:hint="eastAsia" w:ascii="Arial" w:hAnsi="Arial" w:eastAsia="宋体" w:cs="Arial"/>
          <w:b/>
          <w:sz w:val="36"/>
        </w:rPr>
        <w:t xml:space="preserve">）</w:t>
      </w:r>
      <w:r/>
    </w:p>
    <w:p>
      <w:pPr>
        <w:jc w:val="center"/>
        <w:spacing w:line="360" w:lineRule="auto"/>
        <w:tabs>
          <w:tab w:val="left" w:pos="360" w:leader="none"/>
        </w:tabs>
        <w:rPr>
          <w:rFonts w:ascii="宋体" w:hAnsi="宋体" w:eastAsia="宋体" w:cs="Times New Roman"/>
          <w:color w:val="000000"/>
          <w:sz w:val="24"/>
          <w:szCs w:val="24"/>
        </w:rPr>
      </w:pPr>
      <w:r>
        <w:rPr>
          <w:rFonts w:hint="eastAsia" w:ascii="黑体" w:hAnsi="黑体" w:eastAsia="黑体" w:cs="宋体"/>
          <w:bCs/>
          <w:sz w:val="36"/>
          <w:szCs w:val="28"/>
        </w:rPr>
        <w:t xml:space="preserve">中小企业声明函</w:t>
      </w:r>
      <w:r/>
    </w:p>
    <w:p>
      <w:pPr>
        <w:ind w:firstLine="480"/>
        <w:spacing w:line="500" w:lineRule="exact"/>
        <w:rPr>
          <w:rFonts w:ascii="宋体" w:hAnsi="宋体"/>
          <w:sz w:val="24"/>
        </w:rPr>
      </w:pPr>
      <w:r>
        <w:rPr>
          <w:rFonts w:hint="eastAsia" w:ascii="宋体" w:hAnsi="宋体" w:eastAsia="宋体" w:cs="Times New Roman"/>
          <w:color w:val="000000"/>
          <w:sz w:val="24"/>
          <w:szCs w:val="24"/>
        </w:rPr>
        <w:t xml:space="preserve">本公司（联合体）郑重声明，根据《政府采购促进中小企业发展管理办法》(财库〔2020〕46号)的规定，本公司（联合体）参加</w:t>
      </w:r>
      <w:r>
        <w:rPr>
          <w:rFonts w:hint="eastAsia" w:ascii="宋体" w:hAnsi="宋体" w:eastAsia="宋体" w:cs="Times New Roman"/>
          <w:color w:val="000000"/>
          <w:sz w:val="24"/>
          <w:szCs w:val="24"/>
          <w:u w:val="single"/>
        </w:rPr>
        <w:t xml:space="preserve">（单位名称）</w:t>
      </w:r>
      <w:r>
        <w:rPr>
          <w:rFonts w:hint="eastAsia" w:ascii="宋体" w:hAnsi="宋体" w:eastAsia="宋体" w:cs="Times New Roman"/>
          <w:color w:val="000000"/>
          <w:sz w:val="24"/>
          <w:szCs w:val="24"/>
        </w:rPr>
        <w:t xml:space="preserve">的</w:t>
      </w:r>
      <w:r>
        <w:rPr>
          <w:rFonts w:hint="eastAsia" w:ascii="宋体" w:hAnsi="宋体" w:eastAsia="宋体" w:cs="Times New Roman"/>
          <w:color w:val="000000"/>
          <w:sz w:val="24"/>
          <w:szCs w:val="24"/>
          <w:u w:val="single"/>
        </w:rPr>
        <w:t xml:space="preserve">（项目名称）</w:t>
      </w:r>
      <w:r>
        <w:rPr>
          <w:rFonts w:hint="eastAsia" w:ascii="宋体" w:hAnsi="宋体" w:eastAsia="宋体" w:cs="Times New Roman"/>
          <w:color w:val="000000"/>
          <w:sz w:val="24"/>
          <w:szCs w:val="24"/>
        </w:rPr>
        <w:t xml:space="preserve">（项目编号：，分包号：）采购活动，提供的</w:t>
      </w:r>
      <w:r>
        <w:rPr>
          <w:rFonts w:ascii="宋体" w:hAnsi="宋体"/>
          <w:sz w:val="24"/>
        </w:rPr>
        <w:t xml:space="preserve">服务全部由符合政策要求的中小企业承接。</w:t>
      </w:r>
      <w:r/>
    </w:p>
    <w:p>
      <w:pPr>
        <w:ind w:firstLine="480"/>
        <w:spacing w:line="500" w:lineRule="exact"/>
        <w:rPr>
          <w:rFonts w:ascii="宋体" w:hAnsi="宋体" w:eastAsia="宋体" w:cs="Times New Roman"/>
          <w:i/>
          <w:color w:val="000000"/>
          <w:sz w:val="24"/>
          <w:szCs w:val="24"/>
          <w:u w:val="single"/>
        </w:rPr>
      </w:pPr>
      <w:r>
        <w:rPr>
          <w:rFonts w:hint="eastAsia" w:ascii="宋体" w:hAnsi="宋体" w:eastAsia="宋体" w:cs="Times New Roman"/>
          <w:color w:val="000000"/>
          <w:sz w:val="24"/>
          <w:szCs w:val="24"/>
          <w:u w:val="single"/>
        </w:rPr>
        <w:t xml:space="preserve">（标的名称）</w:t>
      </w:r>
      <w:r>
        <w:rPr>
          <w:rFonts w:hint="eastAsia" w:ascii="宋体" w:hAnsi="宋体" w:eastAsia="宋体" w:cs="Times New Roman"/>
          <w:color w:val="000000"/>
          <w:sz w:val="24"/>
          <w:szCs w:val="24"/>
        </w:rPr>
        <w:t xml:space="preserve">，属于</w:t>
      </w:r>
      <w:r>
        <w:rPr>
          <w:rFonts w:hint="eastAsia" w:ascii="宋体" w:hAnsi="宋体" w:eastAsia="宋体" w:cs="Times New Roman"/>
          <w:color w:val="000000"/>
          <w:sz w:val="24"/>
          <w:szCs w:val="24"/>
          <w:u w:val="single"/>
        </w:rPr>
        <w:t xml:space="preserve">（采购文件中明确的所属行业）</w:t>
      </w:r>
      <w:r>
        <w:rPr>
          <w:rFonts w:hint="eastAsia" w:ascii="宋体" w:hAnsi="宋体" w:eastAsia="宋体" w:cs="Times New Roman"/>
          <w:color w:val="000000"/>
          <w:sz w:val="24"/>
          <w:szCs w:val="24"/>
        </w:rPr>
        <w:t xml:space="preserve">行业；承接企业为</w:t>
      </w:r>
      <w:r>
        <w:rPr>
          <w:rFonts w:hint="eastAsia" w:ascii="宋体" w:hAnsi="宋体" w:eastAsia="宋体" w:cs="Times New Roman"/>
          <w:color w:val="000000"/>
          <w:sz w:val="24"/>
          <w:szCs w:val="24"/>
          <w:u w:val="single"/>
        </w:rPr>
        <w:t xml:space="preserve">（企业名称）</w:t>
      </w:r>
      <w:r>
        <w:rPr>
          <w:rFonts w:hint="eastAsia" w:ascii="宋体" w:hAnsi="宋体" w:eastAsia="宋体" w:cs="Times New Roman"/>
          <w:color w:val="000000"/>
          <w:sz w:val="24"/>
          <w:szCs w:val="24"/>
        </w:rPr>
        <w:t xml:space="preserve">，从业人员人，营业收入为万元，资产总额为万元，属于</w:t>
      </w:r>
      <w:r>
        <w:rPr>
          <w:rFonts w:hint="eastAsia" w:ascii="宋体" w:hAnsi="宋体" w:eastAsia="宋体" w:cs="Times New Roman"/>
          <w:color w:val="000000"/>
          <w:sz w:val="24"/>
          <w:szCs w:val="24"/>
          <w:u w:val="single"/>
        </w:rPr>
        <w:t xml:space="preserve">（中型企业、小型企业、微型企业）</w:t>
      </w:r>
      <w:r>
        <w:rPr>
          <w:rFonts w:hint="eastAsia" w:ascii="宋体" w:hAnsi="宋体" w:eastAsia="宋体" w:cs="Times New Roman"/>
          <w:color w:val="000000"/>
          <w:sz w:val="24"/>
          <w:szCs w:val="24"/>
        </w:rPr>
        <w:t xml:space="preserve">；</w:t>
      </w:r>
      <w:r/>
    </w:p>
    <w:p>
      <w:pPr>
        <w:ind w:firstLine="480"/>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以上企业，不属于大企业的分支机构，不存在控股股东为大企业的情形，也不存在与大企业的负责人为同一人的情形。</w:t>
      </w:r>
      <w:r/>
    </w:p>
    <w:p>
      <w:pPr>
        <w:ind w:firstLine="480"/>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本企业对上述声明内容的真实性负责。如有虚假，将依法承担相应责任。</w:t>
      </w:r>
      <w:r/>
    </w:p>
    <w:p>
      <w:pPr>
        <w:ind w:right="1620"/>
        <w:spacing w:line="56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right="1620" w:firstLine="2880"/>
        <w:spacing w:line="56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企业名称（盖章）：</w:t>
      </w:r>
      <w:r/>
    </w:p>
    <w:p>
      <w:pPr>
        <w:ind w:right="1140" w:firstLine="2880"/>
        <w:spacing w:line="56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日   期：</w:t>
      </w:r>
      <w:r/>
    </w:p>
    <w:p>
      <w:pPr>
        <w:ind w:right="480"/>
        <w:jc w:val="left"/>
        <w:spacing w:line="360" w:lineRule="auto"/>
        <w:rPr>
          <w:rFonts w:ascii="宋体" w:hAnsi="宋体" w:eastAsia="宋体" w:cs="Times New Roman"/>
          <w:sz w:val="24"/>
          <w:szCs w:val="24"/>
        </w:rPr>
      </w:pPr>
      <w:r>
        <w:rPr>
          <w:rFonts w:ascii="宋体" w:hAnsi="宋体" w:eastAsia="宋体" w:cs="Times New Roman"/>
          <w:sz w:val="24"/>
          <w:szCs w:val="24"/>
        </w:rPr>
      </w:r>
      <w:r/>
    </w:p>
    <w:p>
      <w:pPr>
        <w:ind w:right="480"/>
        <w:jc w:val="left"/>
        <w:spacing w:line="360" w:lineRule="auto"/>
        <w:rPr>
          <w:rFonts w:ascii="宋体" w:hAnsi="宋体" w:eastAsia="宋体" w:cs="Times New Roman"/>
          <w:sz w:val="24"/>
          <w:szCs w:val="24"/>
        </w:rPr>
      </w:pPr>
      <w:r>
        <w:rPr>
          <w:rFonts w:ascii="宋体" w:hAnsi="宋体" w:eastAsia="宋体" w:cs="Times New Roman"/>
          <w:sz w:val="24"/>
          <w:szCs w:val="24"/>
        </w:rPr>
      </w:r>
      <w:r/>
    </w:p>
    <w:p>
      <w:pPr>
        <w:ind w:right="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填报说明：</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1、</w:t>
      </w:r>
      <w:r>
        <w:rPr>
          <w:rFonts w:ascii="宋体" w:hAnsi="宋体" w:eastAsia="宋体" w:cs="Times New Roman"/>
          <w:sz w:val="24"/>
          <w:szCs w:val="24"/>
        </w:rPr>
        <w:t xml:space="preserve">从业人员、营业收入、资产总额填报上一年度数据，无上一年度数据的新成立企业可不填报。</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2、请供应商如实填写，</w:t>
      </w:r>
      <w:r>
        <w:rPr>
          <w:rFonts w:hint="eastAsia" w:ascii="宋体" w:hAnsi="宋体"/>
          <w:sz w:val="24"/>
        </w:rPr>
        <w:t xml:space="preserve">所填内容将作为评审的依据</w:t>
      </w:r>
      <w:r>
        <w:rPr>
          <w:rFonts w:hint="eastAsia" w:ascii="宋体" w:hAnsi="宋体" w:eastAsia="宋体" w:cs="Times New Roman"/>
          <w:sz w:val="24"/>
          <w:szCs w:val="24"/>
        </w:rPr>
        <w:t xml:space="preserve">，如填写不完整或不一致或填写有误，将承担一切不利后果。</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3、中标人的《中小企业声明函》随中标结果公开。</w:t>
      </w:r>
      <w:r/>
    </w:p>
    <w:p>
      <w:r/>
      <w:r/>
    </w:p>
    <w:p>
      <w:r/>
      <w:r/>
    </w:p>
    <w:p>
      <w:pPr>
        <w:jc w:val="left"/>
        <w:keepLines/>
        <w:keepNext/>
        <w:spacing w:before="360" w:after="200" w:line="360" w:lineRule="auto"/>
        <w:rPr>
          <w:rFonts w:ascii="Arial" w:hAnsi="Arial" w:eastAsia="宋体" w:cs="Arial"/>
          <w:b/>
          <w:sz w:val="36"/>
        </w:rPr>
        <w:outlineLvl w:val="1"/>
      </w:pPr>
      <w:r>
        <w:rPr>
          <w:rFonts w:hint="eastAsia" w:ascii="Arial" w:hAnsi="Arial" w:eastAsia="宋体" w:cs="Arial"/>
          <w:b/>
          <w:sz w:val="36"/>
        </w:rPr>
        <w:t xml:space="preserve">十二、残疾人福利性单位声明函（分包号：</w:t>
      </w:r>
      <w:r>
        <w:rPr>
          <w:rFonts w:hint="eastAsia" w:ascii="Arial" w:hAnsi="Arial" w:eastAsia="宋体" w:cs="Arial"/>
          <w:b/>
          <w:sz w:val="36"/>
        </w:rPr>
        <w:t xml:space="preserve">**</w:t>
      </w:r>
      <w:r>
        <w:rPr>
          <w:rFonts w:hint="eastAsia" w:ascii="Arial" w:hAnsi="Arial" w:eastAsia="宋体" w:cs="Arial"/>
          <w:b/>
          <w:sz w:val="36"/>
        </w:rPr>
        <w:t xml:space="preserve">）</w:t>
      </w:r>
      <w:r/>
    </w:p>
    <w:p>
      <w:pPr>
        <w:jc w:val="center"/>
        <w:spacing w:line="360" w:lineRule="auto"/>
        <w:tabs>
          <w:tab w:val="left" w:pos="360" w:leader="none"/>
        </w:tabs>
        <w:rPr>
          <w:rFonts w:ascii="宋体" w:hAnsi="宋体" w:eastAsia="宋体" w:cs="Times New Roman"/>
          <w:color w:val="000000"/>
          <w:sz w:val="24"/>
          <w:szCs w:val="21"/>
        </w:rPr>
      </w:pPr>
      <w:r>
        <w:rPr>
          <w:rFonts w:hint="eastAsia" w:ascii="黑体" w:hAnsi="黑体" w:eastAsia="黑体" w:cs="宋体"/>
          <w:bCs/>
          <w:sz w:val="36"/>
          <w:szCs w:val="28"/>
        </w:rPr>
        <w:t xml:space="preserve">残疾人福利性单位声明函</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本单位郑重声明，根据《财政部 民政部 中国残疾人联合会关于促进残疾人就业政府采购政策的通知》（财库</w:t>
      </w:r>
      <w:r>
        <w:rPr>
          <w:rFonts w:hint="eastAsia" w:ascii="宋体" w:hAnsi="宋体" w:eastAsia="宋体" w:cs="Times New Roman"/>
          <w:color w:val="000000"/>
          <w:sz w:val="24"/>
          <w:szCs w:val="24"/>
        </w:rPr>
        <w:t xml:space="preserve">〔2017〕</w:t>
      </w:r>
      <w:r>
        <w:rPr>
          <w:rFonts w:hint="eastAsia" w:ascii="宋体" w:hAnsi="宋体" w:eastAsia="宋体" w:cs="Times New Roman"/>
          <w:color w:val="000000"/>
          <w:sz w:val="24"/>
          <w:szCs w:val="21"/>
        </w:rPr>
        <w:t xml:space="preserve">141号）的规定，本单位为符合条件的残疾人福利性单位，且本单位参加单位的项目（</w:t>
      </w:r>
      <w:r>
        <w:rPr>
          <w:rFonts w:hint="eastAsia" w:ascii="宋体" w:hAnsi="宋体" w:eastAsia="宋体" w:cs="Times New Roman"/>
          <w:color w:val="000000"/>
          <w:sz w:val="24"/>
          <w:szCs w:val="24"/>
        </w:rPr>
        <w:t xml:space="preserve">项目编号：，分包号：</w:t>
      </w:r>
      <w:r>
        <w:rPr>
          <w:rFonts w:hint="eastAsia" w:ascii="宋体" w:hAnsi="宋体" w:eastAsia="宋体" w:cs="Times New Roman"/>
          <w:color w:val="000000"/>
          <w:sz w:val="24"/>
          <w:szCs w:val="21"/>
        </w:rPr>
        <w:t xml:space="preserve">）采购活动由本单位提供全部服务。</w:t>
      </w:r>
      <w:r/>
    </w:p>
    <w:p>
      <w:pPr>
        <w:ind w:firstLine="480"/>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本单位对上述声明的真实性负责。如有虚假，将依法承担相应责任。</w:t>
      </w:r>
      <w:r/>
    </w:p>
    <w:p>
      <w:pPr>
        <w:ind w:firstLine="480"/>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r>
      <w:r/>
    </w:p>
    <w:p>
      <w:pPr>
        <w:ind w:right="1620" w:firstLine="2880"/>
        <w:spacing w:line="56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单位名称（盖章）：</w:t>
      </w:r>
      <w:r/>
    </w:p>
    <w:p>
      <w:pPr>
        <w:ind w:right="1140" w:firstLine="2880"/>
        <w:spacing w:line="56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日   期：</w:t>
      </w:r>
      <w:r/>
    </w:p>
    <w:p>
      <w:r/>
      <w:r/>
    </w:p>
    <w:p>
      <w:r/>
      <w:r/>
    </w:p>
    <w:p>
      <w:pPr>
        <w:spacing w:line="360" w:lineRule="auto"/>
        <w:rPr>
          <w:rFonts w:ascii="宋体" w:hAnsi="宋体" w:eastAsia="宋体" w:cs="Times New Roman"/>
          <w:bCs/>
          <w:sz w:val="24"/>
          <w:szCs w:val="24"/>
        </w:rPr>
      </w:pPr>
      <w:r>
        <w:rPr>
          <w:rFonts w:hint="eastAsia" w:ascii="宋体" w:hAnsi="宋体" w:eastAsia="宋体" w:cs="Times New Roman"/>
          <w:bCs/>
          <w:sz w:val="24"/>
          <w:szCs w:val="24"/>
        </w:rPr>
        <w:t xml:space="preserve">填报说明：</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bCs/>
          <w:sz w:val="24"/>
          <w:szCs w:val="24"/>
        </w:rPr>
        <w:t xml:space="preserve">1、</w:t>
      </w:r>
      <w:r>
        <w:rPr>
          <w:rFonts w:hint="eastAsia" w:ascii="宋体" w:hAnsi="宋体" w:eastAsia="宋体" w:cs="Times New Roman"/>
          <w:sz w:val="24"/>
          <w:szCs w:val="24"/>
        </w:rPr>
        <w:t xml:space="preserve">请供应商如实填写，</w:t>
      </w:r>
      <w:r>
        <w:rPr>
          <w:rFonts w:hint="eastAsia" w:ascii="宋体" w:hAnsi="宋体"/>
          <w:bCs/>
          <w:sz w:val="24"/>
        </w:rPr>
        <w:t xml:space="preserve">所填内容将作为评审的依据</w:t>
      </w:r>
      <w:r>
        <w:rPr>
          <w:rFonts w:hint="eastAsia" w:ascii="宋体" w:hAnsi="宋体" w:eastAsia="宋体" w:cs="Times New Roman"/>
          <w:sz w:val="24"/>
          <w:szCs w:val="24"/>
        </w:rPr>
        <w:t xml:space="preserve">，如填写不完整或不一致或填写有误，将承担一切不利后果。</w:t>
      </w:r>
      <w:r/>
    </w:p>
    <w:p>
      <w:pPr>
        <w:ind w:firstLine="480"/>
        <w:jc w:val="left"/>
        <w:spacing w:line="360" w:lineRule="auto"/>
        <w:rPr>
          <w:rFonts w:ascii="Times New Roman" w:hAnsi="Times New Roman" w:eastAsia="宋体" w:cs="Times New Roman"/>
          <w:sz w:val="24"/>
          <w:szCs w:val="24"/>
        </w:rPr>
      </w:pPr>
      <w:r>
        <w:rPr>
          <w:rFonts w:hint="eastAsia" w:ascii="宋体" w:hAnsi="宋体" w:eastAsia="宋体" w:cs="Times New Roman"/>
          <w:bCs/>
          <w:sz w:val="24"/>
          <w:szCs w:val="24"/>
        </w:rPr>
        <w:t xml:space="preserve">2、中标人的《残疾人福利性单位声明函》随中标结果公开。</w:t>
      </w:r>
      <w:r/>
    </w:p>
    <w:p>
      <w:r/>
      <w:r/>
    </w:p>
    <w:p>
      <w:r/>
      <w:r/>
    </w:p>
    <w:p>
      <w:r/>
      <w:r/>
    </w:p>
    <w:p>
      <w:r/>
      <w:r/>
    </w:p>
    <w:p>
      <w:r/>
      <w:r/>
    </w:p>
    <w:p>
      <w:r/>
      <w:r/>
    </w:p>
    <w:p>
      <w:r/>
      <w:r/>
    </w:p>
    <w:p>
      <w:r/>
      <w:r/>
    </w:p>
    <w:p>
      <w:r/>
      <w:r/>
    </w:p>
    <w:p>
      <w:r/>
      <w:r/>
    </w:p>
    <w:p>
      <w:r/>
      <w:r/>
    </w:p>
    <w:p>
      <w:r/>
      <w:r/>
    </w:p>
    <w:p>
      <w:r/>
      <w:r/>
    </w:p>
    <w:p>
      <w:r/>
      <w:r/>
    </w:p>
    <w:p>
      <w:r/>
      <w:r/>
    </w:p>
    <w:p>
      <w:pPr>
        <w:jc w:val="left"/>
        <w:keepLines/>
        <w:keepNext/>
        <w:spacing w:before="360" w:after="200" w:line="360" w:lineRule="auto"/>
        <w:rPr>
          <w:rFonts w:ascii="Arial" w:hAnsi="Arial" w:eastAsia="宋体" w:cs="Arial"/>
          <w:b/>
          <w:sz w:val="36"/>
        </w:rPr>
        <w:outlineLvl w:val="1"/>
      </w:pPr>
      <w:r>
        <w:rPr>
          <w:rFonts w:hint="eastAsia" w:ascii="Arial" w:hAnsi="Arial" w:eastAsia="宋体" w:cs="Arial"/>
          <w:b/>
          <w:sz w:val="36"/>
        </w:rPr>
        <w:t xml:space="preserve">十三、联合体协议（参考格式）（分包号：</w:t>
      </w:r>
      <w:r>
        <w:rPr>
          <w:rFonts w:hint="eastAsia" w:ascii="Arial" w:hAnsi="Arial" w:eastAsia="宋体" w:cs="Arial"/>
          <w:b/>
          <w:sz w:val="36"/>
        </w:rPr>
        <w:t xml:space="preserve">**</w:t>
      </w:r>
      <w:r>
        <w:rPr>
          <w:rFonts w:hint="eastAsia" w:ascii="Arial" w:hAnsi="Arial" w:eastAsia="宋体" w:cs="Arial"/>
          <w:b/>
          <w:sz w:val="36"/>
        </w:rPr>
        <w:t xml:space="preserve">）</w:t>
      </w:r>
      <w:r/>
    </w:p>
    <w:p>
      <w:pPr>
        <w:jc w:val="center"/>
        <w:spacing w:line="360" w:lineRule="auto"/>
        <w:tabs>
          <w:tab w:val="left" w:pos="360" w:leader="none"/>
        </w:tabs>
        <w:rPr>
          <w:rFonts w:ascii="宋体" w:hAnsi="宋体" w:eastAsia="宋体" w:cs="Times New Roman"/>
          <w:color w:val="000000"/>
          <w:sz w:val="24"/>
          <w:szCs w:val="21"/>
          <w:u w:val="single"/>
        </w:rPr>
      </w:pPr>
      <w:r>
        <w:rPr>
          <w:rFonts w:hint="eastAsia" w:ascii="黑体" w:hAnsi="黑体" w:eastAsia="黑体" w:cs="宋体"/>
          <w:bCs/>
          <w:sz w:val="36"/>
          <w:szCs w:val="28"/>
        </w:rPr>
        <w:t xml:space="preserve">联合体协议</w:t>
      </w:r>
      <w:r/>
    </w:p>
    <w:p>
      <w:pPr>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u w:val="single"/>
        </w:rPr>
        <w:t xml:space="preserve">（联合体中各供应商全称）</w:t>
      </w:r>
      <w:r>
        <w:rPr>
          <w:rFonts w:hint="eastAsia" w:ascii="宋体" w:hAnsi="宋体" w:eastAsia="宋体" w:cs="Times New Roman"/>
          <w:color w:val="000000"/>
          <w:sz w:val="24"/>
          <w:szCs w:val="21"/>
        </w:rPr>
        <w:t xml:space="preserve">在此达成以下协议：</w:t>
      </w:r>
      <w:r/>
    </w:p>
    <w:p>
      <w:pPr>
        <w:ind w:firstLine="480"/>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1</w:t>
      </w:r>
      <w:r>
        <w:rPr>
          <w:rFonts w:hint="eastAsia" w:ascii="宋体" w:hAnsi="宋体" w:eastAsia="宋体" w:cs="Times New Roman"/>
          <w:color w:val="000000"/>
          <w:sz w:val="24"/>
          <w:szCs w:val="21"/>
        </w:rPr>
        <w:t xml:space="preserve">、我们</w:t>
      </w:r>
      <w:r>
        <w:rPr>
          <w:rFonts w:hint="eastAsia" w:ascii="宋体" w:hAnsi="宋体" w:eastAsia="宋体" w:cs="Times New Roman"/>
          <w:color w:val="000000"/>
          <w:sz w:val="24"/>
          <w:szCs w:val="21"/>
          <w:u w:val="single"/>
        </w:rPr>
        <w:t xml:space="preserve"> （供应商1），（供应商2） ，</w:t>
      </w:r>
      <w:r>
        <w:rPr>
          <w:rFonts w:ascii="宋体" w:hAnsi="宋体" w:eastAsia="宋体" w:cs="Times New Roman"/>
          <w:color w:val="000000"/>
          <w:sz w:val="24"/>
          <w:szCs w:val="21"/>
          <w:u w:val="single"/>
        </w:rPr>
        <w:t xml:space="preserve">……</w:t>
      </w:r>
      <w:r>
        <w:rPr>
          <w:rFonts w:hint="eastAsia" w:ascii="宋体" w:hAnsi="宋体" w:eastAsia="宋体" w:cs="Times New Roman"/>
          <w:color w:val="000000"/>
          <w:sz w:val="24"/>
          <w:szCs w:val="21"/>
        </w:rPr>
        <w:t xml:space="preserve">自愿组成联合体，参加</w:t>
      </w:r>
      <w:r>
        <w:rPr>
          <w:rFonts w:hint="eastAsia" w:ascii="宋体" w:hAnsi="宋体" w:eastAsia="宋体" w:cs="Times New Roman"/>
          <w:color w:val="000000"/>
          <w:sz w:val="24"/>
          <w:szCs w:val="24"/>
        </w:rPr>
        <w:t xml:space="preserve">连云港市公共资源交易中心</w:t>
      </w:r>
      <w:r>
        <w:rPr>
          <w:rFonts w:hint="eastAsia" w:ascii="宋体" w:hAnsi="宋体" w:eastAsia="宋体" w:cs="Times New Roman"/>
          <w:color w:val="000000"/>
          <w:sz w:val="24"/>
          <w:szCs w:val="21"/>
        </w:rPr>
        <w:t xml:space="preserve">组织的</w:t>
      </w:r>
      <w:r>
        <w:rPr>
          <w:rFonts w:hint="eastAsia" w:ascii="宋体" w:hAnsi="宋体" w:eastAsia="宋体" w:cs="Times New Roman"/>
          <w:color w:val="000000"/>
          <w:sz w:val="24"/>
          <w:szCs w:val="24"/>
          <w:u w:val="single"/>
        </w:rPr>
        <w:t xml:space="preserve">（项目名称）</w:t>
      </w:r>
      <w:r>
        <w:rPr>
          <w:rFonts w:hint="eastAsia" w:ascii="宋体" w:hAnsi="宋体" w:eastAsia="宋体" w:cs="Times New Roman"/>
          <w:color w:val="000000"/>
          <w:sz w:val="24"/>
          <w:szCs w:val="24"/>
        </w:rPr>
        <w:t xml:space="preserve">（项目编号：，分包号：）</w:t>
      </w:r>
      <w:r>
        <w:rPr>
          <w:rFonts w:hint="eastAsia" w:ascii="宋体" w:hAnsi="宋体" w:eastAsia="宋体" w:cs="Times New Roman"/>
          <w:color w:val="000000"/>
          <w:sz w:val="24"/>
          <w:szCs w:val="21"/>
        </w:rPr>
        <w:t xml:space="preserve">的政府采购活动，我联合体指定</w:t>
      </w:r>
      <w:r>
        <w:rPr>
          <w:rFonts w:hint="eastAsia" w:ascii="宋体" w:hAnsi="宋体" w:eastAsia="宋体" w:cs="Times New Roman"/>
          <w:color w:val="000000"/>
          <w:sz w:val="24"/>
          <w:szCs w:val="21"/>
          <w:u w:val="single"/>
        </w:rPr>
        <w:t xml:space="preserve">（供应商*）</w:t>
      </w:r>
      <w:r>
        <w:rPr>
          <w:rFonts w:hint="eastAsia" w:ascii="宋体" w:hAnsi="宋体" w:eastAsia="宋体" w:cs="Times New Roman"/>
          <w:color w:val="000000"/>
          <w:sz w:val="24"/>
          <w:szCs w:val="21"/>
        </w:rPr>
        <w:t xml:space="preserve">为牵头单位（牵头单位必须为联合体成员）。</w:t>
      </w:r>
      <w:r/>
    </w:p>
    <w:p>
      <w:pPr>
        <w:ind w:firstLine="480"/>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2</w:t>
      </w:r>
      <w:r>
        <w:rPr>
          <w:rFonts w:hint="eastAsia" w:ascii="宋体" w:hAnsi="宋体" w:eastAsia="宋体" w:cs="Times New Roman"/>
          <w:color w:val="000000"/>
          <w:sz w:val="24"/>
          <w:szCs w:val="21"/>
        </w:rPr>
        <w:t xml:space="preserve">、若我们联合中标、成交，</w:t>
      </w:r>
      <w:r>
        <w:rPr>
          <w:rFonts w:hint="eastAsia" w:ascii="宋体" w:hAnsi="宋体" w:eastAsia="宋体" w:cs="Times New Roman"/>
          <w:color w:val="000000"/>
          <w:sz w:val="24"/>
          <w:szCs w:val="21"/>
          <w:u w:val="single"/>
        </w:rPr>
        <w:t xml:space="preserve">（供应商单位</w:t>
      </w:r>
      <w:r>
        <w:rPr>
          <w:rFonts w:ascii="宋体" w:hAnsi="宋体" w:eastAsia="宋体" w:cs="Times New Roman"/>
          <w:color w:val="000000"/>
          <w:sz w:val="24"/>
          <w:szCs w:val="21"/>
          <w:u w:val="single"/>
        </w:rPr>
        <w:t xml:space="preserve">1</w:t>
      </w:r>
      <w:r>
        <w:rPr>
          <w:rFonts w:hint="eastAsia" w:ascii="宋体" w:hAnsi="宋体" w:eastAsia="宋体" w:cs="Times New Roman"/>
          <w:color w:val="000000"/>
          <w:sz w:val="24"/>
          <w:szCs w:val="21"/>
          <w:u w:val="single"/>
        </w:rPr>
        <w:t xml:space="preserve">全称）</w:t>
      </w:r>
      <w:r>
        <w:rPr>
          <w:rFonts w:hint="eastAsia" w:ascii="宋体" w:hAnsi="宋体" w:eastAsia="宋体" w:cs="Times New Roman"/>
          <w:color w:val="000000"/>
          <w:sz w:val="24"/>
          <w:szCs w:val="21"/>
        </w:rPr>
        <w:t xml:space="preserve">实施项目中</w:t>
      </w:r>
      <w:r>
        <w:rPr>
          <w:rFonts w:hint="eastAsia" w:ascii="宋体" w:hAnsi="宋体" w:eastAsia="宋体" w:cs="Times New Roman"/>
          <w:color w:val="000000"/>
          <w:sz w:val="24"/>
          <w:szCs w:val="21"/>
          <w:u w:val="single"/>
        </w:rPr>
        <w:t xml:space="preserve">（工作内容）</w:t>
      </w:r>
      <w:r>
        <w:rPr>
          <w:rFonts w:hint="eastAsia" w:ascii="宋体" w:hAnsi="宋体" w:eastAsia="宋体" w:cs="Times New Roman"/>
          <w:color w:val="000000"/>
          <w:sz w:val="24"/>
          <w:szCs w:val="21"/>
        </w:rPr>
        <w:t xml:space="preserve">部分工作，并承担相应的责任。</w:t>
      </w:r>
      <w:r>
        <w:rPr>
          <w:rFonts w:hint="eastAsia" w:ascii="宋体" w:hAnsi="宋体" w:eastAsia="宋体" w:cs="Times New Roman"/>
          <w:color w:val="000000"/>
          <w:sz w:val="24"/>
          <w:szCs w:val="21"/>
          <w:u w:val="single"/>
        </w:rPr>
        <w:t xml:space="preserve">（供应商单位</w:t>
      </w:r>
      <w:r>
        <w:rPr>
          <w:rFonts w:ascii="宋体" w:hAnsi="宋体" w:eastAsia="宋体" w:cs="Times New Roman"/>
          <w:color w:val="000000"/>
          <w:sz w:val="24"/>
          <w:szCs w:val="21"/>
          <w:u w:val="single"/>
        </w:rPr>
        <w:t xml:space="preserve">2</w:t>
      </w:r>
      <w:r>
        <w:rPr>
          <w:rFonts w:hint="eastAsia" w:ascii="宋体" w:hAnsi="宋体" w:eastAsia="宋体" w:cs="Times New Roman"/>
          <w:color w:val="000000"/>
          <w:sz w:val="24"/>
          <w:szCs w:val="21"/>
          <w:u w:val="single"/>
        </w:rPr>
        <w:t xml:space="preserve">全称）</w:t>
      </w:r>
      <w:r>
        <w:rPr>
          <w:rFonts w:hint="eastAsia" w:ascii="宋体" w:hAnsi="宋体" w:eastAsia="宋体" w:cs="Times New Roman"/>
          <w:color w:val="000000"/>
          <w:sz w:val="24"/>
          <w:szCs w:val="21"/>
        </w:rPr>
        <w:t xml:space="preserve">实施项目中</w:t>
      </w:r>
      <w:r>
        <w:rPr>
          <w:rFonts w:hint="eastAsia" w:ascii="宋体" w:hAnsi="宋体" w:eastAsia="宋体" w:cs="Times New Roman"/>
          <w:color w:val="000000"/>
          <w:sz w:val="24"/>
          <w:szCs w:val="21"/>
          <w:u w:val="single"/>
        </w:rPr>
        <w:t xml:space="preserve">（工作内容）</w:t>
      </w:r>
      <w:r>
        <w:rPr>
          <w:rFonts w:hint="eastAsia" w:ascii="宋体" w:hAnsi="宋体" w:eastAsia="宋体" w:cs="Times New Roman"/>
          <w:color w:val="000000"/>
          <w:sz w:val="24"/>
          <w:szCs w:val="21"/>
        </w:rPr>
        <w:t xml:space="preserve">部分工作，并承担相应的责任……。（注：联合体中各供应商都应明示所承担的工作和相应的责任）。</w:t>
      </w:r>
      <w:r/>
    </w:p>
    <w:p>
      <w:pPr>
        <w:ind w:firstLine="480"/>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3</w:t>
      </w:r>
      <w:r>
        <w:rPr>
          <w:rFonts w:hint="eastAsia" w:ascii="宋体" w:hAnsi="宋体" w:eastAsia="宋体" w:cs="Times New Roman"/>
          <w:color w:val="000000"/>
          <w:sz w:val="24"/>
          <w:szCs w:val="21"/>
        </w:rPr>
        <w:t xml:space="preserve">、其中（小型、微型企业/残疾人福利性单位/监狱企业全称）为（小型、微型企业/残疾人福利性单位/监狱企业）企业，且我们约定该公司/单位所承担的合同金额将占本项目合同总金额的</w:t>
      </w:r>
      <w:r>
        <w:rPr>
          <w:rFonts w:ascii="宋体" w:hAnsi="宋体" w:eastAsia="宋体" w:cs="Times New Roman"/>
          <w:color w:val="000000"/>
          <w:sz w:val="24"/>
          <w:szCs w:val="21"/>
        </w:rPr>
        <w:t xml:space="preserve">%</w:t>
      </w:r>
      <w:r>
        <w:rPr>
          <w:rFonts w:hint="eastAsia" w:ascii="宋体" w:hAnsi="宋体" w:eastAsia="宋体" w:cs="Times New Roman"/>
          <w:color w:val="000000"/>
          <w:sz w:val="24"/>
          <w:szCs w:val="21"/>
        </w:rPr>
        <w:t xml:space="preserve">。（可选）</w:t>
      </w:r>
      <w:r/>
    </w:p>
    <w:p>
      <w:pPr>
        <w:ind w:firstLine="480"/>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r>
      <w:r/>
    </w:p>
    <w:p>
      <w:pPr>
        <w:ind w:firstLine="480"/>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r>
      <w:r/>
    </w:p>
    <w:p>
      <w:pPr>
        <w:ind w:firstLine="480"/>
        <w:spacing w:line="360" w:lineRule="auto"/>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供应商1全称（公章）：</w:t>
      </w:r>
      <w:r/>
    </w:p>
    <w:p>
      <w:pPr>
        <w:ind w:firstLine="480"/>
        <w:spacing w:line="360" w:lineRule="auto"/>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法定代表人</w:t>
      </w:r>
      <w:r>
        <w:rPr>
          <w:rFonts w:ascii="宋体" w:hAnsi="宋体" w:eastAsia="宋体" w:cs="Times New Roman"/>
          <w:color w:val="000000"/>
          <w:sz w:val="24"/>
          <w:szCs w:val="21"/>
        </w:rPr>
        <w:t xml:space="preserve">（单位负责人）</w:t>
      </w:r>
      <w:r>
        <w:rPr>
          <w:rFonts w:hint="eastAsia" w:ascii="宋体" w:hAnsi="宋体" w:eastAsia="宋体" w:cs="Times New Roman"/>
          <w:color w:val="000000"/>
          <w:sz w:val="24"/>
          <w:szCs w:val="21"/>
        </w:rPr>
        <w:t xml:space="preserve">或委托代理人（签字或盖章）：</w:t>
      </w:r>
      <w:r/>
    </w:p>
    <w:p>
      <w:pPr>
        <w:ind w:firstLine="480"/>
        <w:spacing w:line="360" w:lineRule="auto"/>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日期：     年   月   日</w:t>
      </w:r>
      <w:r/>
    </w:p>
    <w:p>
      <w:pPr>
        <w:ind w:firstLine="480"/>
        <w:spacing w:line="360" w:lineRule="auto"/>
        <w:rPr>
          <w:rFonts w:ascii="宋体" w:hAnsi="宋体" w:eastAsia="宋体" w:cs="Times New Roman"/>
          <w:sz w:val="24"/>
          <w:szCs w:val="24"/>
        </w:rPr>
      </w:pPr>
      <w:r>
        <w:rPr>
          <w:rFonts w:ascii="宋体" w:hAnsi="宋体" w:eastAsia="宋体" w:cs="Times New Roman"/>
          <w:sz w:val="24"/>
          <w:szCs w:val="24"/>
        </w:rPr>
      </w:r>
      <w:r/>
    </w:p>
    <w:p>
      <w:pPr>
        <w:ind w:firstLine="480"/>
        <w:spacing w:line="360" w:lineRule="auto"/>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供应商2全称（公章）：</w:t>
      </w:r>
      <w:r/>
    </w:p>
    <w:p>
      <w:pPr>
        <w:ind w:firstLine="480"/>
        <w:spacing w:line="360" w:lineRule="auto"/>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法定代表人</w:t>
      </w:r>
      <w:r>
        <w:rPr>
          <w:rFonts w:ascii="宋体" w:hAnsi="宋体" w:eastAsia="宋体" w:cs="Times New Roman"/>
          <w:color w:val="000000"/>
          <w:sz w:val="24"/>
          <w:szCs w:val="21"/>
        </w:rPr>
        <w:t xml:space="preserve">（单位负责人）</w:t>
      </w:r>
      <w:r>
        <w:rPr>
          <w:rFonts w:hint="eastAsia" w:ascii="宋体" w:hAnsi="宋体" w:eastAsia="宋体" w:cs="Times New Roman"/>
          <w:color w:val="000000"/>
          <w:sz w:val="24"/>
          <w:szCs w:val="21"/>
        </w:rPr>
        <w:t xml:space="preserve">或委托代理人（签字或盖章）：</w:t>
      </w:r>
      <w:r/>
    </w:p>
    <w:p>
      <w:pPr>
        <w:ind w:firstLine="480"/>
        <w:spacing w:line="360" w:lineRule="auto"/>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日期：     年   月   日</w:t>
      </w:r>
      <w:r/>
    </w:p>
    <w:p>
      <w:pPr>
        <w:ind w:firstLine="480"/>
        <w:spacing w:line="360" w:lineRule="auto"/>
        <w:rPr>
          <w:rFonts w:ascii="宋体" w:hAnsi="宋体" w:eastAsia="宋体" w:cs="Times New Roman"/>
          <w:sz w:val="24"/>
          <w:szCs w:val="24"/>
        </w:rPr>
      </w:pPr>
      <w:r>
        <w:rPr>
          <w:rFonts w:ascii="宋体" w:hAnsi="宋体" w:eastAsia="宋体" w:cs="Times New Roman"/>
          <w:sz w:val="24"/>
          <w:szCs w:val="24"/>
        </w:rPr>
      </w:r>
      <w:r/>
    </w:p>
    <w:p>
      <w:pPr>
        <w:ind w:firstLine="480"/>
        <w:spacing w:line="500" w:lineRule="exact"/>
        <w:rPr>
          <w:rFonts w:ascii="宋体" w:hAnsi="宋体" w:eastAsia="宋体" w:cs="Times New Roman"/>
          <w:sz w:val="24"/>
          <w:szCs w:val="24"/>
        </w:rPr>
      </w:pPr>
      <w:r>
        <w:rPr>
          <w:rFonts w:hint="eastAsia" w:ascii="宋体" w:hAnsi="宋体" w:eastAsia="宋体" w:cs="Times New Roman"/>
          <w:sz w:val="24"/>
          <w:szCs w:val="24"/>
        </w:rPr>
        <w:t xml:space="preserve">……</w:t>
      </w:r>
      <w:r/>
    </w:p>
    <w:p>
      <w:pPr>
        <w:ind w:firstLine="480"/>
        <w:spacing w:line="500" w:lineRule="exact"/>
        <w:rPr>
          <w:rFonts w:ascii="宋体" w:hAnsi="宋体" w:eastAsia="宋体" w:cs="Times New Roman"/>
          <w:sz w:val="24"/>
          <w:szCs w:val="24"/>
        </w:rPr>
      </w:pPr>
      <w:r>
        <w:rPr>
          <w:rFonts w:ascii="宋体" w:hAnsi="宋体" w:eastAsia="宋体" w:cs="Times New Roman"/>
          <w:sz w:val="24"/>
          <w:szCs w:val="24"/>
        </w:rPr>
      </w:r>
      <w:r/>
    </w:p>
    <w:p>
      <w:pPr>
        <w:ind w:firstLine="480"/>
        <w:spacing w:line="500" w:lineRule="exact"/>
      </w:pPr>
      <w:r>
        <w:rPr>
          <w:rFonts w:hint="eastAsia" w:ascii="宋体" w:hAnsi="宋体" w:eastAsia="宋体" w:cs="Times New Roman"/>
          <w:color w:val="000000"/>
          <w:sz w:val="24"/>
          <w:szCs w:val="21"/>
        </w:rPr>
        <w:t xml:space="preserve">备注：本招标文件中要求加盖公章的地方，仅需加盖牵头单位的公章。</w:t>
      </w:r>
      <w:r/>
    </w:p>
    <w:p>
      <w:pPr>
        <w:jc w:val="left"/>
        <w:keepLines/>
        <w:keepNext/>
        <w:spacing w:before="360" w:after="200" w:line="360" w:lineRule="auto"/>
        <w:rPr>
          <w:rFonts w:ascii="Arial" w:hAnsi="Arial" w:eastAsia="宋体" w:cs="Arial"/>
          <w:b/>
          <w:iCs/>
          <w:sz w:val="36"/>
        </w:rPr>
        <w:outlineLvl w:val="1"/>
      </w:pPr>
      <w:r>
        <w:rPr>
          <w:rFonts w:hint="eastAsia" w:ascii="Arial" w:hAnsi="Arial" w:eastAsia="宋体" w:cs="Arial"/>
          <w:b/>
          <w:iCs/>
          <w:sz w:val="36"/>
        </w:rPr>
        <w:t xml:space="preserve">十四、投标分项报价表（分包号：</w:t>
      </w:r>
      <w:r>
        <w:rPr>
          <w:rFonts w:hint="eastAsia" w:ascii="Arial" w:hAnsi="Arial" w:eastAsia="宋体" w:cs="Arial"/>
          <w:b/>
          <w:iCs/>
          <w:sz w:val="36"/>
        </w:rPr>
        <w:t xml:space="preserve">**</w:t>
      </w:r>
      <w:r>
        <w:rPr>
          <w:rFonts w:hint="eastAsia" w:ascii="Arial" w:hAnsi="Arial" w:eastAsia="宋体" w:cs="Arial"/>
          <w:b/>
          <w:iCs/>
          <w:sz w:val="36"/>
        </w:rPr>
        <w:t xml:space="preserve">）</w:t>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投标分项报价表</w:t>
      </w:r>
      <w:r/>
    </w:p>
    <w:p>
      <w:pPr>
        <w:jc w:val="left"/>
        <w:spacing w:line="360" w:lineRule="auto"/>
        <w:rPr>
          <w:rFonts w:ascii="宋体" w:hAnsi="宋体" w:eastAsia="宋体" w:cs="Times New Roman"/>
          <w:bCs/>
          <w:color w:val="000000"/>
          <w:sz w:val="24"/>
          <w:szCs w:val="24"/>
        </w:rPr>
      </w:pPr>
      <w:r>
        <w:rPr>
          <w:rFonts w:hint="eastAsia" w:ascii="宋体" w:hAnsi="宋体" w:eastAsia="宋体" w:cs="方正仿宋_GBK"/>
          <w:color w:val="000000"/>
          <w:sz w:val="24"/>
          <w:szCs w:val="24"/>
        </w:rPr>
        <w:t xml:space="preserve">项目名称：      项目编号：      分包号：</w:t>
      </w:r>
      <w:r/>
    </w:p>
    <w:p>
      <w:pPr>
        <w:jc w:val="right"/>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单位：元</w:t>
      </w:r>
      <w:r/>
    </w:p>
    <w:tbl>
      <w:tblPr>
        <w:tblW w:w="836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063"/>
        <w:gridCol w:w="2083"/>
        <w:gridCol w:w="1461"/>
        <w:gridCol w:w="1134"/>
        <w:gridCol w:w="1134"/>
        <w:gridCol w:w="1491"/>
      </w:tblGrid>
      <w:tr>
        <w:trPr>
          <w:cantSplit/>
          <w:jc w:val="center"/>
          <w:trHeight w:val="898"/>
        </w:trPr>
        <w:tc>
          <w:tcPr>
            <w:tcW w:w="1063" w:type="dxa"/>
            <w:vAlign w:val="center"/>
            <w:textDirection w:val="lrTb"/>
            <w:noWrap w:val="false"/>
          </w:tcPr>
          <w:p>
            <w:pPr>
              <w:jc w:val="center"/>
              <w:spacing w:line="560" w:lineRule="exact"/>
              <w:rPr>
                <w:rFonts w:ascii="宋体" w:hAnsi="宋体"/>
                <w:color w:val="000000"/>
                <w:sz w:val="24"/>
              </w:rPr>
            </w:pPr>
            <w:r>
              <w:rPr>
                <w:rFonts w:hint="eastAsia" w:ascii="宋体" w:hAnsi="宋体"/>
                <w:color w:val="000000"/>
                <w:sz w:val="24"/>
              </w:rPr>
              <w:t xml:space="preserve">序号</w:t>
            </w:r>
            <w:r/>
          </w:p>
        </w:tc>
        <w:tc>
          <w:tcPr>
            <w:tcW w:w="2083" w:type="dxa"/>
            <w:vAlign w:val="center"/>
            <w:textDirection w:val="lrTb"/>
            <w:noWrap w:val="false"/>
          </w:tcPr>
          <w:p>
            <w:pPr>
              <w:jc w:val="center"/>
              <w:spacing w:line="560" w:lineRule="exact"/>
              <w:rPr>
                <w:rFonts w:ascii="宋体" w:hAnsi="宋体"/>
                <w:color w:val="000000"/>
                <w:sz w:val="24"/>
              </w:rPr>
            </w:pPr>
            <w:r>
              <w:rPr>
                <w:rFonts w:hint="eastAsia" w:ascii="宋体" w:hAnsi="宋体"/>
                <w:color w:val="000000"/>
                <w:sz w:val="24"/>
              </w:rPr>
              <w:t xml:space="preserve">产品、服务（标的）名称</w:t>
            </w:r>
            <w:r/>
          </w:p>
        </w:tc>
        <w:tc>
          <w:tcPr>
            <w:tcW w:w="1461" w:type="dxa"/>
            <w:vAlign w:val="center"/>
            <w:textDirection w:val="lrTb"/>
            <w:noWrap w:val="false"/>
          </w:tcPr>
          <w:p>
            <w:pPr>
              <w:jc w:val="center"/>
              <w:spacing w:line="560" w:lineRule="exact"/>
              <w:rPr>
                <w:rFonts w:ascii="宋体" w:hAnsi="宋体"/>
                <w:color w:val="000000"/>
                <w:sz w:val="24"/>
              </w:rPr>
            </w:pPr>
            <w:r>
              <w:rPr>
                <w:rFonts w:hint="eastAsia" w:ascii="宋体" w:hAnsi="宋体"/>
                <w:color w:val="000000"/>
                <w:sz w:val="24"/>
              </w:rPr>
              <w:t xml:space="preserve">分项单位</w:t>
            </w:r>
            <w:r/>
          </w:p>
        </w:tc>
        <w:tc>
          <w:tcPr>
            <w:tcW w:w="1134" w:type="dxa"/>
            <w:vAlign w:val="center"/>
            <w:textDirection w:val="lrTb"/>
            <w:noWrap w:val="false"/>
          </w:tcPr>
          <w:p>
            <w:pPr>
              <w:jc w:val="center"/>
              <w:spacing w:line="560" w:lineRule="exact"/>
              <w:rPr>
                <w:rFonts w:ascii="宋体" w:hAnsi="宋体"/>
                <w:color w:val="000000"/>
                <w:sz w:val="24"/>
              </w:rPr>
            </w:pPr>
            <w:r>
              <w:rPr>
                <w:rFonts w:hint="eastAsia" w:ascii="宋体" w:hAnsi="宋体"/>
                <w:color w:val="000000"/>
                <w:sz w:val="24"/>
              </w:rPr>
              <w:t xml:space="preserve">数量</w:t>
            </w:r>
            <w:r/>
          </w:p>
        </w:tc>
        <w:tc>
          <w:tcPr>
            <w:tcW w:w="1134" w:type="dxa"/>
            <w:vAlign w:val="center"/>
            <w:textDirection w:val="lrTb"/>
            <w:noWrap w:val="false"/>
          </w:tcPr>
          <w:p>
            <w:pPr>
              <w:jc w:val="center"/>
              <w:spacing w:line="560" w:lineRule="exact"/>
              <w:rPr>
                <w:rFonts w:ascii="宋体" w:hAnsi="宋体"/>
                <w:color w:val="000000"/>
                <w:sz w:val="24"/>
              </w:rPr>
            </w:pPr>
            <w:r>
              <w:rPr>
                <w:rFonts w:hint="eastAsia" w:ascii="宋体" w:hAnsi="宋体"/>
                <w:color w:val="000000"/>
                <w:sz w:val="24"/>
              </w:rPr>
              <w:t xml:space="preserve">单价</w:t>
            </w:r>
            <w:r/>
          </w:p>
        </w:tc>
        <w:tc>
          <w:tcPr>
            <w:tcW w:w="1491" w:type="dxa"/>
            <w:vAlign w:val="center"/>
            <w:textDirection w:val="lrTb"/>
            <w:noWrap w:val="false"/>
          </w:tcPr>
          <w:p>
            <w:pPr>
              <w:jc w:val="center"/>
              <w:spacing w:line="560" w:lineRule="exact"/>
              <w:rPr>
                <w:rFonts w:ascii="宋体" w:hAnsi="宋体"/>
                <w:color w:val="000000"/>
                <w:sz w:val="24"/>
              </w:rPr>
            </w:pPr>
            <w:r>
              <w:rPr>
                <w:rFonts w:hint="eastAsia" w:ascii="宋体" w:hAnsi="宋体"/>
                <w:color w:val="000000"/>
                <w:sz w:val="24"/>
              </w:rPr>
              <w:t xml:space="preserve">单项</w:t>
            </w:r>
            <w:r/>
          </w:p>
          <w:p>
            <w:pPr>
              <w:jc w:val="center"/>
              <w:spacing w:line="560" w:lineRule="exact"/>
              <w:rPr>
                <w:rFonts w:ascii="宋体" w:hAnsi="宋体"/>
                <w:color w:val="000000"/>
                <w:sz w:val="24"/>
              </w:rPr>
            </w:pPr>
            <w:r>
              <w:rPr>
                <w:rFonts w:hint="eastAsia" w:ascii="宋体" w:hAnsi="宋体"/>
                <w:color w:val="000000"/>
                <w:sz w:val="24"/>
              </w:rPr>
              <w:t xml:space="preserve">合计价</w:t>
            </w:r>
            <w:r/>
          </w:p>
        </w:tc>
      </w:tr>
      <w:tr>
        <w:trPr>
          <w:cantSplit/>
          <w:jc w:val="center"/>
          <w:trHeight w:val="501"/>
        </w:trPr>
        <w:tc>
          <w:tcPr>
            <w:tcW w:w="1063"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2083"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461"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134"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134"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491"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r>
      <w:tr>
        <w:trPr>
          <w:cantSplit/>
          <w:jc w:val="center"/>
          <w:trHeight w:val="501"/>
        </w:trPr>
        <w:tc>
          <w:tcPr>
            <w:tcW w:w="1063"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2083"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461"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134"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134"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491"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r>
      <w:tr>
        <w:trPr>
          <w:cantSplit/>
          <w:jc w:val="center"/>
          <w:trHeight w:val="501"/>
        </w:trPr>
        <w:tc>
          <w:tcPr>
            <w:tcW w:w="1063"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2083"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461"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134"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134"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491"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r>
      <w:tr>
        <w:trPr>
          <w:cantSplit/>
          <w:jc w:val="center"/>
          <w:trHeight w:val="501"/>
        </w:trPr>
        <w:tc>
          <w:tcPr>
            <w:gridSpan w:val="5"/>
            <w:tcW w:w="6875" w:type="dxa"/>
            <w:vAlign w:val="center"/>
            <w:textDirection w:val="lrTb"/>
            <w:noWrap w:val="false"/>
          </w:tcPr>
          <w:p>
            <w:pPr>
              <w:jc w:val="center"/>
              <w:spacing w:line="560" w:lineRule="exact"/>
              <w:rPr>
                <w:rFonts w:ascii="宋体" w:hAnsi="宋体"/>
                <w:color w:val="000000"/>
                <w:sz w:val="24"/>
              </w:rPr>
            </w:pPr>
            <w:r>
              <w:rPr>
                <w:rFonts w:hint="eastAsia" w:ascii="宋体" w:hAnsi="宋体"/>
                <w:color w:val="000000"/>
                <w:sz w:val="24"/>
              </w:rPr>
              <w:t xml:space="preserve">总计（元）</w:t>
            </w:r>
            <w:r/>
          </w:p>
        </w:tc>
        <w:tc>
          <w:tcPr>
            <w:tcW w:w="1491"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r>
    </w:tbl>
    <w:p>
      <w:pPr>
        <w:ind w:firstLine="420"/>
        <w:spacing w:line="360" w:lineRule="auto"/>
        <w:rPr>
          <w:rFonts w:ascii="Times New Roman" w:hAnsi="Times New Roman" w:eastAsia="宋体" w:cs="Times New Roman"/>
          <w:color w:val="000000"/>
          <w:szCs w:val="24"/>
        </w:rPr>
      </w:pPr>
      <w:r>
        <w:rPr>
          <w:rFonts w:ascii="Times New Roman" w:hAnsi="Times New Roman" w:eastAsia="宋体" w:cs="Times New Roman"/>
          <w:color w:val="000000"/>
          <w:szCs w:val="24"/>
        </w:rPr>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投标人（盖章）：</w:t>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法定代表人</w:t>
      </w:r>
      <w:r>
        <w:rPr>
          <w:rFonts w:ascii="Times New Roman" w:hAnsi="Times New Roman" w:eastAsia="宋体" w:cs="Times New Roman"/>
          <w:color w:val="000000"/>
          <w:sz w:val="24"/>
          <w:szCs w:val="24"/>
        </w:rPr>
        <w:t xml:space="preserve">（单位负责人）</w:t>
      </w:r>
      <w:r>
        <w:rPr>
          <w:rFonts w:hint="eastAsia" w:ascii="Times New Roman" w:hAnsi="Times New Roman" w:eastAsia="宋体" w:cs="Times New Roman"/>
          <w:color w:val="000000"/>
          <w:sz w:val="24"/>
          <w:szCs w:val="24"/>
        </w:rPr>
        <w:t xml:space="preserve">或委托代理人（签字或盖章）：</w:t>
      </w:r>
      <w:r/>
    </w:p>
    <w:p>
      <w:pPr>
        <w:ind w:firstLine="480"/>
        <w:spacing w:line="360" w:lineRule="auto"/>
        <w:rPr>
          <w:rFonts w:ascii="宋体" w:hAnsi="宋体" w:eastAsia="宋体" w:cs="Times New Roman"/>
          <w:color w:val="000000"/>
          <w:sz w:val="24"/>
          <w:szCs w:val="24"/>
        </w:rPr>
      </w:pPr>
      <w:r>
        <w:rPr>
          <w:rFonts w:hint="eastAsia" w:ascii="Times New Roman" w:hAnsi="Times New Roman" w:eastAsia="宋体" w:cs="Times New Roman"/>
          <w:color w:val="000000"/>
          <w:sz w:val="24"/>
          <w:szCs w:val="24"/>
        </w:rPr>
        <w:t xml:space="preserve">日期：</w:t>
      </w:r>
      <w:r>
        <w:rPr>
          <w:rFonts w:hint="eastAsia" w:ascii="Times New Roman" w:hAnsi="Times New Roman" w:eastAsia="宋体" w:cs="Times New Roman"/>
          <w:color w:val="000000"/>
          <w:sz w:val="24"/>
          <w:szCs w:val="24"/>
        </w:rPr>
        <w:t xml:space="preserve">    </w:t>
      </w:r>
      <w:r>
        <w:rPr>
          <w:rFonts w:hint="eastAsia" w:ascii="Times New Roman" w:hAnsi="Times New Roman" w:eastAsia="宋体" w:cs="Times New Roman"/>
          <w:color w:val="000000"/>
          <w:sz w:val="24"/>
          <w:szCs w:val="24"/>
        </w:rPr>
        <w:t xml:space="preserve">年</w:t>
      </w:r>
      <w:r>
        <w:rPr>
          <w:rFonts w:hint="eastAsia" w:ascii="Times New Roman" w:hAnsi="Times New Roman" w:eastAsia="宋体" w:cs="Times New Roman"/>
          <w:color w:val="000000"/>
          <w:sz w:val="24"/>
          <w:szCs w:val="24"/>
        </w:rPr>
        <w:t xml:space="preserve">     </w:t>
      </w:r>
      <w:r>
        <w:rPr>
          <w:rFonts w:hint="eastAsia" w:ascii="Times New Roman" w:hAnsi="Times New Roman" w:eastAsia="宋体" w:cs="Times New Roman"/>
          <w:color w:val="000000"/>
          <w:sz w:val="24"/>
          <w:szCs w:val="24"/>
        </w:rPr>
        <w:t xml:space="preserve">月</w:t>
      </w:r>
      <w:r>
        <w:rPr>
          <w:rFonts w:hint="eastAsia" w:ascii="Times New Roman" w:hAnsi="Times New Roman" w:eastAsia="宋体" w:cs="Times New Roman"/>
          <w:color w:val="000000"/>
          <w:sz w:val="24"/>
          <w:szCs w:val="24"/>
        </w:rPr>
        <w:t xml:space="preserve">     </w:t>
      </w:r>
      <w:r>
        <w:rPr>
          <w:rFonts w:hint="eastAsia" w:ascii="Times New Roman" w:hAnsi="Times New Roman" w:eastAsia="宋体" w:cs="Times New Roman"/>
          <w:color w:val="000000"/>
          <w:sz w:val="24"/>
          <w:szCs w:val="24"/>
        </w:rPr>
        <w:t xml:space="preserve">日</w:t>
      </w:r>
      <w:r/>
    </w:p>
    <w:p>
      <w:pPr>
        <w:ind w:firstLine="480"/>
        <w:spacing w:line="500" w:lineRule="exact"/>
        <w:rPr>
          <w:rFonts w:ascii="宋体" w:hAnsi="宋体" w:eastAsia="宋体" w:cs="Times New Roman"/>
          <w:color w:val="000000"/>
          <w:sz w:val="24"/>
          <w:szCs w:val="24"/>
          <w:highlight w:val="yellow"/>
        </w:rPr>
      </w:pPr>
      <w:r>
        <w:rPr>
          <w:rFonts w:ascii="宋体" w:hAnsi="宋体" w:eastAsia="宋体" w:cs="Times New Roman"/>
          <w:color w:val="000000"/>
          <w:sz w:val="24"/>
          <w:szCs w:val="24"/>
          <w:highlight w:val="yellow"/>
        </w:rPr>
      </w:r>
      <w:r/>
    </w:p>
    <w:p>
      <w:pPr>
        <w:ind w:firstLine="420"/>
        <w:spacing w:line="500" w:lineRule="exact"/>
      </w:pPr>
      <w:r/>
      <w:r/>
    </w:p>
    <w:p>
      <w:r/>
      <w:r/>
    </w:p>
    <w:p>
      <w:r/>
      <w:r/>
    </w:p>
    <w:p>
      <w:r/>
      <w:r/>
    </w:p>
    <w:p>
      <w:r/>
      <w:r/>
    </w:p>
    <w:p>
      <w:r/>
      <w:r/>
    </w:p>
    <w:p>
      <w:r/>
      <w:r/>
    </w:p>
    <w:p>
      <w:r/>
      <w:r/>
    </w:p>
    <w:p>
      <w:r/>
      <w:r/>
    </w:p>
    <w:p>
      <w:r/>
      <w:r/>
    </w:p>
    <w:p>
      <w:r/>
      <w:r/>
    </w:p>
    <w:p>
      <w:r/>
      <w:r/>
    </w:p>
    <w:p>
      <w:r/>
      <w:r/>
    </w:p>
    <w:p>
      <w:pPr>
        <w:jc w:val="left"/>
        <w:keepLines/>
        <w:keepNext/>
        <w:spacing w:before="360" w:after="200" w:line="360" w:lineRule="auto"/>
        <w:rPr>
          <w:rFonts w:ascii="Arial" w:hAnsi="Arial" w:eastAsia="宋体" w:cs="Arial"/>
          <w:b/>
          <w:iCs/>
          <w:sz w:val="36"/>
        </w:rPr>
        <w:outlineLvl w:val="1"/>
      </w:pPr>
      <w:r>
        <w:rPr>
          <w:rFonts w:hint="eastAsia" w:ascii="Arial" w:hAnsi="Arial" w:eastAsia="宋体" w:cs="Arial"/>
          <w:b/>
          <w:iCs/>
          <w:sz w:val="36"/>
        </w:rPr>
        <w:t xml:space="preserve">十五、技术要求响应及偏离表（分包号：</w:t>
      </w:r>
      <w:r>
        <w:rPr>
          <w:rFonts w:hint="eastAsia" w:ascii="Arial" w:hAnsi="Arial" w:eastAsia="宋体" w:cs="Arial"/>
          <w:b/>
          <w:iCs/>
          <w:sz w:val="36"/>
        </w:rPr>
        <w:t xml:space="preserve">**</w:t>
      </w:r>
      <w:r>
        <w:rPr>
          <w:rFonts w:hint="eastAsia" w:ascii="Arial" w:hAnsi="Arial" w:eastAsia="宋体" w:cs="Arial"/>
          <w:b/>
          <w:iCs/>
          <w:sz w:val="36"/>
        </w:rPr>
        <w:t xml:space="preserve">）</w:t>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技术要求响应及偏离表</w:t>
      </w:r>
      <w:r/>
    </w:p>
    <w:p>
      <w:pPr>
        <w:jc w:val="left"/>
        <w:spacing w:line="360" w:lineRule="auto"/>
        <w:rPr>
          <w:rFonts w:ascii="Arial" w:hAnsi="Arial" w:eastAsia="宋体" w:cs="Arial"/>
          <w:sz w:val="36"/>
        </w:rPr>
      </w:pPr>
      <w:r>
        <w:rPr>
          <w:rFonts w:hint="eastAsia" w:ascii="宋体" w:hAnsi="宋体" w:eastAsia="宋体" w:cs="方正仿宋_GBK"/>
          <w:color w:val="000000"/>
          <w:sz w:val="24"/>
          <w:szCs w:val="24"/>
        </w:rPr>
        <w:t xml:space="preserve">项目名称：      项目编号：      分包号：</w:t>
      </w:r>
      <w:r/>
    </w:p>
    <w:tbl>
      <w:tblPr>
        <w:tblW w:w="834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943"/>
        <w:gridCol w:w="2541"/>
        <w:gridCol w:w="3261"/>
        <w:gridCol w:w="1595"/>
      </w:tblGrid>
      <w:tr>
        <w:trPr>
          <w:cantSplit/>
          <w:jc w:val="center"/>
        </w:trPr>
        <w:tc>
          <w:tcPr>
            <w:tcW w:w="943" w:type="dxa"/>
            <w:vAlign w:val="center"/>
            <w:textDirection w:val="lrTb"/>
            <w:noWrap w:val="false"/>
          </w:tcPr>
          <w:p>
            <w:pPr>
              <w:jc w:val="center"/>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序号</w:t>
            </w:r>
            <w:r/>
          </w:p>
        </w:tc>
        <w:tc>
          <w:tcPr>
            <w:tcW w:w="2541" w:type="dxa"/>
            <w:vAlign w:val="center"/>
            <w:textDirection w:val="lrTb"/>
            <w:noWrap w:val="false"/>
          </w:tcPr>
          <w:p>
            <w:pPr>
              <w:jc w:val="center"/>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招标文件要求</w:t>
            </w:r>
            <w:r/>
          </w:p>
        </w:tc>
        <w:tc>
          <w:tcPr>
            <w:tcW w:w="3261" w:type="dxa"/>
            <w:vAlign w:val="center"/>
            <w:textDirection w:val="lrTb"/>
            <w:noWrap w:val="false"/>
          </w:tcPr>
          <w:p>
            <w:pPr>
              <w:jc w:val="center"/>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投标响应情况</w:t>
            </w:r>
            <w:r/>
          </w:p>
        </w:tc>
        <w:tc>
          <w:tcPr>
            <w:tcW w:w="1595" w:type="dxa"/>
            <w:vAlign w:val="center"/>
            <w:textDirection w:val="lrTb"/>
            <w:noWrap w:val="false"/>
          </w:tcPr>
          <w:p>
            <w:pPr>
              <w:jc w:val="center"/>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超出、符合或偏离</w:t>
            </w:r>
            <w:r/>
          </w:p>
        </w:tc>
      </w:tr>
      <w:tr>
        <w:trPr>
          <w:cantSplit/>
          <w:jc w:val="center"/>
          <w:trHeight w:val="640"/>
        </w:trPr>
        <w:tc>
          <w:tcPr>
            <w:tcW w:w="943"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1</w:t>
            </w:r>
            <w:r/>
          </w:p>
        </w:tc>
        <w:tc>
          <w:tcPr>
            <w:tcW w:w="254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326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59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943"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w:t>
            </w:r>
            <w:r/>
          </w:p>
        </w:tc>
        <w:tc>
          <w:tcPr>
            <w:tcW w:w="254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326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59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943"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3</w:t>
            </w:r>
            <w:r/>
          </w:p>
        </w:tc>
        <w:tc>
          <w:tcPr>
            <w:tcW w:w="254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326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59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943"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t xml:space="preserve">…</w:t>
            </w:r>
            <w:r/>
          </w:p>
        </w:tc>
        <w:tc>
          <w:tcPr>
            <w:tcW w:w="254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326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59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bl>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投标人（盖章）：</w:t>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法定代表人</w:t>
      </w:r>
      <w:r>
        <w:rPr>
          <w:rFonts w:ascii="Calibri" w:hAnsi="Calibri" w:eastAsia="宋体" w:cs="Times New Roman"/>
          <w:sz w:val="24"/>
          <w:szCs w:val="24"/>
        </w:rPr>
        <w:t xml:space="preserve">（单位负责人）</w:t>
      </w:r>
      <w:r>
        <w:rPr>
          <w:rFonts w:hint="eastAsia" w:ascii="Times New Roman" w:hAnsi="Times New Roman" w:eastAsia="宋体" w:cs="Times New Roman"/>
          <w:color w:val="000000"/>
          <w:sz w:val="24"/>
          <w:szCs w:val="24"/>
        </w:rPr>
        <w:t xml:space="preserve">或委托代理人（签字或盖章）：</w:t>
      </w:r>
      <w:r/>
    </w:p>
    <w:p>
      <w:pPr>
        <w:ind w:firstLine="480"/>
        <w:spacing w:line="500" w:lineRule="exact"/>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日期：</w:t>
      </w:r>
      <w:r>
        <w:rPr>
          <w:rFonts w:hint="eastAsia" w:ascii="Times New Roman" w:hAnsi="Times New Roman" w:eastAsia="宋体" w:cs="Times New Roman"/>
          <w:color w:val="000000"/>
          <w:sz w:val="24"/>
          <w:szCs w:val="24"/>
        </w:rPr>
        <w:t xml:space="preserve">    </w:t>
      </w:r>
      <w:r>
        <w:rPr>
          <w:rFonts w:hint="eastAsia" w:ascii="Times New Roman" w:hAnsi="Times New Roman" w:eastAsia="宋体" w:cs="Times New Roman"/>
          <w:color w:val="000000"/>
          <w:sz w:val="24"/>
          <w:szCs w:val="24"/>
        </w:rPr>
        <w:t xml:space="preserve">年</w:t>
      </w:r>
      <w:r>
        <w:rPr>
          <w:rFonts w:hint="eastAsia" w:ascii="Times New Roman" w:hAnsi="Times New Roman" w:eastAsia="宋体" w:cs="Times New Roman"/>
          <w:color w:val="000000"/>
          <w:sz w:val="24"/>
          <w:szCs w:val="24"/>
        </w:rPr>
        <w:t xml:space="preserve">     </w:t>
      </w:r>
      <w:r>
        <w:rPr>
          <w:rFonts w:hint="eastAsia" w:ascii="Times New Roman" w:hAnsi="Times New Roman" w:eastAsia="宋体" w:cs="Times New Roman"/>
          <w:color w:val="000000"/>
          <w:sz w:val="24"/>
          <w:szCs w:val="24"/>
        </w:rPr>
        <w:t xml:space="preserve">月</w:t>
      </w:r>
      <w:r>
        <w:rPr>
          <w:rFonts w:hint="eastAsia" w:ascii="Times New Roman" w:hAnsi="Times New Roman" w:eastAsia="宋体" w:cs="Times New Roman"/>
          <w:color w:val="000000"/>
          <w:sz w:val="24"/>
          <w:szCs w:val="24"/>
        </w:rPr>
        <w:t xml:space="preserve">     </w:t>
      </w:r>
      <w:r>
        <w:rPr>
          <w:rFonts w:hint="eastAsia" w:ascii="Times New Roman" w:hAnsi="Times New Roman" w:eastAsia="宋体" w:cs="Times New Roman"/>
          <w:color w:val="000000"/>
          <w:sz w:val="24"/>
          <w:szCs w:val="24"/>
        </w:rPr>
        <w:t xml:space="preserve">日</w:t>
      </w:r>
      <w:r/>
    </w:p>
    <w:p>
      <w:r/>
      <w:r/>
    </w:p>
    <w:p>
      <w:r/>
      <w:r/>
    </w:p>
    <w:p>
      <w:r/>
      <w:r/>
    </w:p>
    <w:p>
      <w:r/>
      <w:r/>
    </w:p>
    <w:p>
      <w:r/>
      <w:r/>
    </w:p>
    <w:p>
      <w:r/>
      <w:r/>
    </w:p>
    <w:p>
      <w:r/>
      <w:r/>
    </w:p>
    <w:p>
      <w:r/>
      <w:r/>
    </w:p>
    <w:p>
      <w:r/>
      <w:r/>
    </w:p>
    <w:p>
      <w:r/>
      <w:r/>
    </w:p>
    <w:p>
      <w:r/>
      <w:r/>
    </w:p>
    <w:p>
      <w:r/>
      <w:r/>
    </w:p>
    <w:p>
      <w:r/>
      <w:r/>
    </w:p>
    <w:p>
      <w:r/>
      <w:r/>
    </w:p>
    <w:p>
      <w:r/>
      <w:r/>
    </w:p>
    <w:p>
      <w:pPr>
        <w:jc w:val="left"/>
        <w:keepLines/>
        <w:keepNext/>
        <w:spacing w:before="360" w:after="200" w:line="360" w:lineRule="auto"/>
        <w:rPr>
          <w:rFonts w:ascii="Arial" w:hAnsi="Arial" w:eastAsia="宋体" w:cs="Arial"/>
          <w:b/>
          <w:iCs/>
          <w:sz w:val="36"/>
        </w:rPr>
        <w:outlineLvl w:val="1"/>
      </w:pPr>
      <w:r/>
      <w:bookmarkStart w:id="18" w:name="_Hlt26955054"/>
      <w:r/>
      <w:bookmarkEnd w:id="18"/>
      <w:r>
        <w:rPr>
          <w:rFonts w:hint="eastAsia" w:ascii="Arial" w:hAnsi="Arial" w:eastAsia="宋体" w:cs="Arial"/>
          <w:b/>
          <w:iCs/>
          <w:sz w:val="36"/>
        </w:rPr>
        <w:t xml:space="preserve">十六、商务要求响应及偏离表（分包号：</w:t>
      </w:r>
      <w:r>
        <w:rPr>
          <w:rFonts w:hint="eastAsia" w:ascii="Arial" w:hAnsi="Arial" w:eastAsia="宋体" w:cs="Arial"/>
          <w:b/>
          <w:iCs/>
          <w:sz w:val="36"/>
        </w:rPr>
        <w:t xml:space="preserve">**</w:t>
      </w:r>
      <w:r>
        <w:rPr>
          <w:rFonts w:hint="eastAsia" w:ascii="Arial" w:hAnsi="Arial" w:eastAsia="宋体" w:cs="Arial"/>
          <w:b/>
          <w:iCs/>
          <w:sz w:val="36"/>
        </w:rPr>
        <w:t xml:space="preserve">）</w:t>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商务要求响应及偏离表</w:t>
      </w:r>
      <w:r/>
    </w:p>
    <w:p>
      <w:pPr>
        <w:jc w:val="left"/>
        <w:spacing w:line="360" w:lineRule="auto"/>
      </w:pPr>
      <w:r>
        <w:rPr>
          <w:rFonts w:hint="eastAsia" w:ascii="宋体" w:hAnsi="宋体" w:eastAsia="宋体" w:cs="方正仿宋_GBK"/>
          <w:color w:val="000000"/>
          <w:sz w:val="24"/>
          <w:szCs w:val="24"/>
        </w:rPr>
        <w:t xml:space="preserve">项目名称：      项目编号：      分包号：</w:t>
      </w:r>
      <w:r/>
    </w:p>
    <w:tbl>
      <w:tblPr>
        <w:tblW w:w="8280" w:type="dxa"/>
        <w:tblInd w:w="11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128"/>
        <w:gridCol w:w="2607"/>
        <w:gridCol w:w="2460"/>
        <w:gridCol w:w="2085"/>
      </w:tblGrid>
      <w:tr>
        <w:trPr>
          <w:cantSplit/>
        </w:trPr>
        <w:tc>
          <w:tcPr>
            <w:tcW w:w="1128" w:type="dxa"/>
            <w:vAlign w:val="center"/>
            <w:textDirection w:val="lrTb"/>
            <w:noWrap w:val="false"/>
          </w:tcPr>
          <w:p>
            <w:pPr>
              <w:jc w:val="center"/>
              <w:spacing w:line="360" w:lineRule="auto"/>
              <w:rPr>
                <w:rFonts w:ascii="宋体" w:hAnsi="宋体" w:eastAsia="宋体" w:cs="Times New Roman"/>
                <w:color w:val="000000"/>
                <w:sz w:val="24"/>
                <w:szCs w:val="24"/>
              </w:rPr>
            </w:pPr>
            <w:r/>
            <w:bookmarkStart w:id="19" w:name="_Hlt26955064"/>
            <w:r/>
            <w:bookmarkStart w:id="20" w:name="_Hlt24879081"/>
            <w:r/>
            <w:bookmarkStart w:id="21" w:name="_Hlt26609391"/>
            <w:r/>
            <w:bookmarkStart w:id="22" w:name="_Hlt26580838"/>
            <w:r/>
            <w:bookmarkStart w:id="23" w:name="_Hlt26671343"/>
            <w:r/>
            <w:bookmarkStart w:id="24" w:name="_Hlt26955056"/>
            <w:r/>
            <w:bookmarkStart w:id="25" w:name="_Hlt26671372"/>
            <w:r/>
            <w:bookmarkStart w:id="26" w:name="_Hlt26782999"/>
            <w:r/>
            <w:bookmarkEnd w:id="19"/>
            <w:r/>
            <w:bookmarkEnd w:id="20"/>
            <w:r/>
            <w:bookmarkEnd w:id="21"/>
            <w:r/>
            <w:bookmarkEnd w:id="22"/>
            <w:r/>
            <w:bookmarkEnd w:id="23"/>
            <w:r/>
            <w:bookmarkEnd w:id="24"/>
            <w:r/>
            <w:bookmarkEnd w:id="25"/>
            <w:r/>
            <w:bookmarkEnd w:id="26"/>
            <w:r>
              <w:rPr>
                <w:rFonts w:hint="eastAsia" w:ascii="宋体" w:hAnsi="宋体" w:eastAsia="宋体" w:cs="Times New Roman"/>
                <w:color w:val="000000"/>
                <w:sz w:val="24"/>
                <w:szCs w:val="24"/>
              </w:rPr>
              <w:t xml:space="preserve">序号</w:t>
            </w:r>
            <w:r/>
          </w:p>
        </w:tc>
        <w:tc>
          <w:tcPr>
            <w:tcW w:w="2607" w:type="dxa"/>
            <w:vAlign w:val="center"/>
            <w:textDirection w:val="lrTb"/>
            <w:noWrap w:val="false"/>
          </w:tcPr>
          <w:p>
            <w:pPr>
              <w:jc w:val="center"/>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招标文件要求</w:t>
            </w:r>
            <w:r/>
          </w:p>
        </w:tc>
        <w:tc>
          <w:tcPr>
            <w:tcW w:w="2460" w:type="dxa"/>
            <w:vAlign w:val="center"/>
            <w:textDirection w:val="lrTb"/>
            <w:noWrap w:val="false"/>
          </w:tcPr>
          <w:p>
            <w:pPr>
              <w:jc w:val="center"/>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投标响应情况</w:t>
            </w:r>
            <w:r/>
          </w:p>
        </w:tc>
        <w:tc>
          <w:tcPr>
            <w:tcW w:w="2085" w:type="dxa"/>
            <w:vAlign w:val="center"/>
            <w:textDirection w:val="lrTb"/>
            <w:noWrap w:val="false"/>
          </w:tcPr>
          <w:p>
            <w:pPr>
              <w:jc w:val="center"/>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超出、符合或偏离</w:t>
            </w:r>
            <w:r/>
          </w:p>
        </w:tc>
      </w:tr>
      <w:tr>
        <w:trPr>
          <w:cantSplit/>
          <w:trHeight w:val="640"/>
        </w:trPr>
        <w:tc>
          <w:tcPr>
            <w:tcW w:w="1128"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1</w:t>
            </w:r>
            <w:r/>
          </w:p>
        </w:tc>
        <w:tc>
          <w:tcPr>
            <w:tcW w:w="2607"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460"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08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trHeight w:val="640"/>
        </w:trPr>
        <w:tc>
          <w:tcPr>
            <w:tcW w:w="1128"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w:t>
            </w:r>
            <w:r/>
          </w:p>
        </w:tc>
        <w:tc>
          <w:tcPr>
            <w:tcW w:w="2607"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460"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08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trHeight w:val="640"/>
        </w:trPr>
        <w:tc>
          <w:tcPr>
            <w:tcW w:w="1128"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3</w:t>
            </w:r>
            <w:r/>
          </w:p>
        </w:tc>
        <w:tc>
          <w:tcPr>
            <w:tcW w:w="2607"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460"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08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trHeight w:val="640"/>
        </w:trPr>
        <w:tc>
          <w:tcPr>
            <w:tcW w:w="1128"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t xml:space="preserve">…</w:t>
            </w:r>
            <w:r/>
          </w:p>
        </w:tc>
        <w:tc>
          <w:tcPr>
            <w:tcW w:w="2607"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460"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08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bl>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投标人（盖章）：</w:t>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法定代表人</w:t>
      </w:r>
      <w:r>
        <w:rPr>
          <w:rFonts w:ascii="Calibri" w:hAnsi="Calibri" w:eastAsia="宋体" w:cs="Times New Roman"/>
          <w:sz w:val="24"/>
          <w:szCs w:val="24"/>
        </w:rPr>
        <w:t xml:space="preserve">（单位负责人）</w:t>
      </w:r>
      <w:r>
        <w:rPr>
          <w:rFonts w:hint="eastAsia" w:ascii="Times New Roman" w:hAnsi="Times New Roman" w:eastAsia="宋体" w:cs="Times New Roman"/>
          <w:color w:val="000000"/>
          <w:sz w:val="24"/>
          <w:szCs w:val="24"/>
        </w:rPr>
        <w:t xml:space="preserve">或委托代理人（签字或盖章）：</w:t>
      </w:r>
      <w:r/>
    </w:p>
    <w:p>
      <w:pPr>
        <w:ind w:firstLine="480"/>
        <w:spacing w:line="500" w:lineRule="exact"/>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日期：</w:t>
      </w:r>
      <w:r>
        <w:rPr>
          <w:rFonts w:hint="eastAsia" w:ascii="Times New Roman" w:hAnsi="Times New Roman" w:eastAsia="宋体" w:cs="Times New Roman"/>
          <w:color w:val="000000"/>
          <w:sz w:val="24"/>
          <w:szCs w:val="24"/>
        </w:rPr>
        <w:t xml:space="preserve">    </w:t>
      </w:r>
      <w:r>
        <w:rPr>
          <w:rFonts w:hint="eastAsia" w:ascii="Times New Roman" w:hAnsi="Times New Roman" w:eastAsia="宋体" w:cs="Times New Roman"/>
          <w:color w:val="000000"/>
          <w:sz w:val="24"/>
          <w:szCs w:val="24"/>
        </w:rPr>
        <w:t xml:space="preserve">年</w:t>
      </w:r>
      <w:r>
        <w:rPr>
          <w:rFonts w:hint="eastAsia" w:ascii="Times New Roman" w:hAnsi="Times New Roman" w:eastAsia="宋体" w:cs="Times New Roman"/>
          <w:color w:val="000000"/>
          <w:sz w:val="24"/>
          <w:szCs w:val="24"/>
        </w:rPr>
        <w:t xml:space="preserve">     </w:t>
      </w:r>
      <w:r>
        <w:rPr>
          <w:rFonts w:hint="eastAsia" w:ascii="Times New Roman" w:hAnsi="Times New Roman" w:eastAsia="宋体" w:cs="Times New Roman"/>
          <w:color w:val="000000"/>
          <w:sz w:val="24"/>
          <w:szCs w:val="24"/>
        </w:rPr>
        <w:t xml:space="preserve">月</w:t>
      </w:r>
      <w:r>
        <w:rPr>
          <w:rFonts w:hint="eastAsia" w:ascii="Times New Roman" w:hAnsi="Times New Roman" w:eastAsia="宋体" w:cs="Times New Roman"/>
          <w:color w:val="000000"/>
          <w:sz w:val="24"/>
          <w:szCs w:val="24"/>
        </w:rPr>
        <w:t xml:space="preserve">     </w:t>
      </w:r>
      <w:r>
        <w:rPr>
          <w:rFonts w:hint="eastAsia" w:ascii="Times New Roman" w:hAnsi="Times New Roman" w:eastAsia="宋体" w:cs="Times New Roman"/>
          <w:color w:val="000000"/>
          <w:sz w:val="24"/>
          <w:szCs w:val="24"/>
        </w:rPr>
        <w:t xml:space="preserve">日</w:t>
      </w:r>
      <w:r/>
    </w:p>
    <w:p>
      <w:r/>
      <w:bookmarkStart w:id="27" w:name="_格式2__法定代表人授权书"/>
      <w:r/>
      <w:bookmarkStart w:id="28" w:name="_Hlt26955066"/>
      <w:r/>
      <w:bookmarkStart w:id="29" w:name="_Hlt26609389"/>
      <w:r/>
      <w:bookmarkStart w:id="30" w:name="_Hlt26671374"/>
      <w:r/>
      <w:bookmarkEnd w:id="27"/>
      <w:r/>
      <w:bookmarkEnd w:id="28"/>
      <w:r/>
      <w:bookmarkEnd w:id="29"/>
      <w:r/>
      <w:bookmarkEnd w:id="30"/>
      <w:r/>
      <w:r/>
    </w:p>
    <w:p>
      <w:r/>
      <w:r/>
    </w:p>
    <w:p>
      <w:r/>
      <w:r/>
    </w:p>
    <w:p>
      <w:r/>
      <w:r/>
    </w:p>
    <w:p>
      <w:r/>
      <w:r/>
    </w:p>
    <w:p>
      <w:r/>
      <w:r/>
    </w:p>
    <w:p>
      <w:r/>
      <w:r/>
    </w:p>
    <w:p>
      <w:r/>
      <w:r/>
    </w:p>
    <w:p>
      <w:r/>
      <w:r/>
    </w:p>
    <w:p>
      <w:r/>
      <w:r/>
    </w:p>
    <w:p>
      <w:r/>
      <w:r/>
    </w:p>
    <w:p>
      <w:r/>
      <w:r/>
    </w:p>
    <w:p>
      <w:r/>
      <w:r/>
    </w:p>
    <w:p>
      <w:r/>
      <w:r/>
    </w:p>
    <w:p>
      <w:r/>
      <w:r/>
    </w:p>
    <w:p>
      <w:r/>
      <w:r/>
    </w:p>
    <w:p>
      <w:pPr>
        <w:jc w:val="left"/>
        <w:keepLines/>
        <w:keepNext/>
        <w:spacing w:before="360" w:after="200" w:line="360" w:lineRule="auto"/>
        <w:rPr>
          <w:rFonts w:ascii="Arial" w:hAnsi="Arial" w:eastAsia="宋体" w:cs="Arial"/>
          <w:b/>
          <w:iCs/>
          <w:sz w:val="36"/>
        </w:rPr>
        <w:outlineLvl w:val="1"/>
      </w:pPr>
      <w:r>
        <w:rPr>
          <w:rFonts w:hint="eastAsia" w:ascii="Arial" w:hAnsi="Arial" w:eastAsia="宋体" w:cs="Arial"/>
          <w:b/>
          <w:iCs/>
          <w:sz w:val="36"/>
        </w:rPr>
        <w:t xml:space="preserve">十七、类似项目业绩一览表（分包号：</w:t>
      </w:r>
      <w:r>
        <w:rPr>
          <w:rFonts w:hint="eastAsia" w:ascii="Arial" w:hAnsi="Arial" w:eastAsia="宋体" w:cs="Arial"/>
          <w:b/>
          <w:iCs/>
          <w:sz w:val="36"/>
        </w:rPr>
        <w:t xml:space="preserve">**</w:t>
      </w:r>
      <w:r>
        <w:rPr>
          <w:rFonts w:hint="eastAsia" w:ascii="Arial" w:hAnsi="Arial" w:eastAsia="宋体" w:cs="Arial"/>
          <w:b/>
          <w:iCs/>
          <w:sz w:val="36"/>
        </w:rPr>
        <w:t xml:space="preserve">）</w:t>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类似项目业绩一览表</w:t>
      </w:r>
      <w:r/>
    </w:p>
    <w:p>
      <w:pPr>
        <w:ind w:firstLine="240"/>
        <w:jc w:val="left"/>
        <w:spacing w:line="360" w:lineRule="auto"/>
      </w:pPr>
      <w:r>
        <w:rPr>
          <w:rFonts w:hint="eastAsia" w:ascii="宋体" w:hAnsi="宋体" w:eastAsia="宋体" w:cs="方正仿宋_GBK"/>
          <w:color w:val="000000"/>
          <w:sz w:val="24"/>
          <w:szCs w:val="24"/>
        </w:rPr>
        <w:t xml:space="preserve">项目名称：         项目编号：         分包号：</w:t>
      </w:r>
      <w:r/>
    </w:p>
    <w:tbl>
      <w:tblPr>
        <w:tblW w:w="836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85"/>
        <w:gridCol w:w="2226"/>
        <w:gridCol w:w="1890"/>
        <w:gridCol w:w="1755"/>
        <w:gridCol w:w="1713"/>
      </w:tblGrid>
      <w:tr>
        <w:trPr>
          <w:cantSplit/>
          <w:jc w:val="center"/>
        </w:trPr>
        <w:tc>
          <w:tcPr>
            <w:tcW w:w="785" w:type="dxa"/>
            <w:vAlign w:val="center"/>
            <w:textDirection w:val="lrTb"/>
            <w:noWrap w:val="false"/>
          </w:tcPr>
          <w:p>
            <w:pPr>
              <w:jc w:val="center"/>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序号</w:t>
            </w:r>
            <w:r/>
          </w:p>
        </w:tc>
        <w:tc>
          <w:tcPr>
            <w:tcW w:w="2226" w:type="dxa"/>
            <w:vAlign w:val="center"/>
            <w:textDirection w:val="lrTb"/>
            <w:noWrap w:val="false"/>
          </w:tcPr>
          <w:p>
            <w:pPr>
              <w:jc w:val="center"/>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项目名称</w:t>
            </w:r>
            <w:r/>
          </w:p>
        </w:tc>
        <w:tc>
          <w:tcPr>
            <w:tcW w:w="1890" w:type="dxa"/>
            <w:vAlign w:val="center"/>
            <w:textDirection w:val="lrTb"/>
            <w:noWrap w:val="false"/>
          </w:tcPr>
          <w:p>
            <w:pPr>
              <w:jc w:val="center"/>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签订时间</w:t>
            </w:r>
            <w:r/>
          </w:p>
        </w:tc>
        <w:tc>
          <w:tcPr>
            <w:tcW w:w="1755" w:type="dxa"/>
            <w:vAlign w:val="center"/>
            <w:textDirection w:val="lrTb"/>
            <w:noWrap w:val="false"/>
          </w:tcPr>
          <w:p>
            <w:pPr>
              <w:jc w:val="center"/>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采购单位</w:t>
            </w:r>
            <w:r/>
          </w:p>
        </w:tc>
        <w:tc>
          <w:tcPr>
            <w:tcW w:w="1713" w:type="dxa"/>
            <w:vAlign w:val="center"/>
            <w:textDirection w:val="lrTb"/>
            <w:noWrap w:val="false"/>
          </w:tcPr>
          <w:p>
            <w:pPr>
              <w:jc w:val="center"/>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主要标的</w:t>
            </w:r>
            <w:r/>
          </w:p>
        </w:tc>
      </w:tr>
      <w:tr>
        <w:trPr>
          <w:cantSplit/>
          <w:jc w:val="center"/>
          <w:trHeight w:val="640"/>
        </w:trPr>
        <w:tc>
          <w:tcPr>
            <w:tcW w:w="785"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1</w:t>
            </w:r>
            <w:r/>
          </w:p>
        </w:tc>
        <w:tc>
          <w:tcPr>
            <w:tcW w:w="2226"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890"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75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713"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785"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w:t>
            </w:r>
            <w:r/>
          </w:p>
        </w:tc>
        <w:tc>
          <w:tcPr>
            <w:tcW w:w="2226"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890"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75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713"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785"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3</w:t>
            </w:r>
            <w:r/>
          </w:p>
        </w:tc>
        <w:tc>
          <w:tcPr>
            <w:tcW w:w="2226"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890"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75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713"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78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t xml:space="preserve">…</w:t>
            </w:r>
            <w:r/>
          </w:p>
        </w:tc>
        <w:tc>
          <w:tcPr>
            <w:tcW w:w="2226"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890"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75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713"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bl>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投标人（盖章）：</w:t>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法定代表人</w:t>
      </w:r>
      <w:r>
        <w:rPr>
          <w:rFonts w:ascii="Calibri" w:hAnsi="Calibri" w:eastAsia="宋体" w:cs="Times New Roman"/>
          <w:sz w:val="24"/>
          <w:szCs w:val="24"/>
        </w:rPr>
        <w:t xml:space="preserve">（单位负责人）</w:t>
      </w:r>
      <w:r>
        <w:rPr>
          <w:rFonts w:hint="eastAsia" w:ascii="Times New Roman" w:hAnsi="Times New Roman" w:eastAsia="宋体" w:cs="Times New Roman"/>
          <w:color w:val="000000"/>
          <w:sz w:val="24"/>
          <w:szCs w:val="24"/>
        </w:rPr>
        <w:t xml:space="preserve">或委托代理人（签字或盖章）：</w:t>
      </w:r>
      <w:r/>
    </w:p>
    <w:p>
      <w:pPr>
        <w:ind w:firstLine="480"/>
        <w:spacing w:line="500" w:lineRule="exact"/>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日期：</w:t>
      </w:r>
      <w:r>
        <w:rPr>
          <w:rFonts w:hint="eastAsia" w:ascii="Times New Roman" w:hAnsi="Times New Roman" w:eastAsia="宋体" w:cs="Times New Roman"/>
          <w:color w:val="000000"/>
          <w:sz w:val="24"/>
          <w:szCs w:val="24"/>
        </w:rPr>
        <w:t xml:space="preserve">    </w:t>
      </w:r>
      <w:r>
        <w:rPr>
          <w:rFonts w:hint="eastAsia" w:ascii="Times New Roman" w:hAnsi="Times New Roman" w:eastAsia="宋体" w:cs="Times New Roman"/>
          <w:color w:val="000000"/>
          <w:sz w:val="24"/>
          <w:szCs w:val="24"/>
        </w:rPr>
        <w:t xml:space="preserve">年</w:t>
      </w:r>
      <w:r>
        <w:rPr>
          <w:rFonts w:hint="eastAsia" w:ascii="Times New Roman" w:hAnsi="Times New Roman" w:eastAsia="宋体" w:cs="Times New Roman"/>
          <w:color w:val="000000"/>
          <w:sz w:val="24"/>
          <w:szCs w:val="24"/>
        </w:rPr>
        <w:t xml:space="preserve">     </w:t>
      </w:r>
      <w:r>
        <w:rPr>
          <w:rFonts w:hint="eastAsia" w:ascii="Times New Roman" w:hAnsi="Times New Roman" w:eastAsia="宋体" w:cs="Times New Roman"/>
          <w:color w:val="000000"/>
          <w:sz w:val="24"/>
          <w:szCs w:val="24"/>
        </w:rPr>
        <w:t xml:space="preserve">月</w:t>
      </w:r>
      <w:r>
        <w:rPr>
          <w:rFonts w:hint="eastAsia" w:ascii="Times New Roman" w:hAnsi="Times New Roman" w:eastAsia="宋体" w:cs="Times New Roman"/>
          <w:color w:val="000000"/>
          <w:sz w:val="24"/>
          <w:szCs w:val="24"/>
        </w:rPr>
        <w:t xml:space="preserve">     </w:t>
      </w:r>
      <w:r>
        <w:rPr>
          <w:rFonts w:hint="eastAsia" w:ascii="Times New Roman" w:hAnsi="Times New Roman" w:eastAsia="宋体" w:cs="Times New Roman"/>
          <w:color w:val="000000"/>
          <w:sz w:val="24"/>
          <w:szCs w:val="24"/>
        </w:rPr>
        <w:t xml:space="preserve">日</w:t>
      </w:r>
      <w:r/>
    </w:p>
    <w:p>
      <w:r/>
      <w:r/>
    </w:p>
    <w:p>
      <w:r/>
      <w:r/>
    </w:p>
    <w:p>
      <w:pPr>
        <w:rPr>
          <w:rFonts w:ascii="Arial" w:hAnsi="Arial" w:eastAsia="宋体" w:cs="Arial"/>
          <w:iCs/>
          <w:sz w:val="36"/>
        </w:rPr>
      </w:pPr>
      <w:r>
        <w:rPr>
          <w:rFonts w:ascii="Arial" w:hAnsi="Arial" w:eastAsia="宋体" w:cs="Arial"/>
          <w:iCs/>
          <w:sz w:val="36"/>
        </w:rPr>
      </w:r>
      <w:r/>
    </w:p>
    <w:p>
      <w:pPr>
        <w:rPr>
          <w:rFonts w:ascii="Arial" w:hAnsi="Arial" w:eastAsia="宋体" w:cs="Arial"/>
          <w:iCs/>
          <w:sz w:val="36"/>
        </w:rPr>
      </w:pPr>
      <w:r>
        <w:rPr>
          <w:rFonts w:ascii="Arial" w:hAnsi="Arial" w:eastAsia="宋体" w:cs="Arial"/>
          <w:iCs/>
          <w:sz w:val="36"/>
        </w:rPr>
      </w:r>
      <w:r/>
    </w:p>
    <w:p>
      <w:pPr>
        <w:rPr>
          <w:rFonts w:ascii="Arial" w:hAnsi="Arial" w:eastAsia="宋体" w:cs="Arial"/>
          <w:iCs/>
          <w:sz w:val="36"/>
        </w:rPr>
      </w:pPr>
      <w:r>
        <w:rPr>
          <w:rFonts w:ascii="Arial" w:hAnsi="Arial" w:eastAsia="宋体" w:cs="Arial"/>
          <w:iCs/>
          <w:sz w:val="36"/>
        </w:rPr>
      </w:r>
      <w:r/>
    </w:p>
    <w:p>
      <w:pPr>
        <w:rPr>
          <w:rFonts w:ascii="Arial" w:hAnsi="Arial" w:eastAsia="宋体" w:cs="Arial"/>
          <w:iCs/>
          <w:sz w:val="36"/>
        </w:rPr>
      </w:pPr>
      <w:r>
        <w:rPr>
          <w:rFonts w:ascii="Arial" w:hAnsi="Arial" w:eastAsia="宋体" w:cs="Arial"/>
          <w:iCs/>
          <w:sz w:val="36"/>
        </w:rPr>
      </w:r>
      <w:r/>
    </w:p>
    <w:p>
      <w:pPr>
        <w:rPr>
          <w:rFonts w:ascii="Arial" w:hAnsi="Arial" w:eastAsia="宋体" w:cs="Arial"/>
          <w:iCs/>
          <w:sz w:val="36"/>
        </w:rPr>
      </w:pPr>
      <w:r>
        <w:rPr>
          <w:rFonts w:ascii="Arial" w:hAnsi="Arial" w:eastAsia="宋体" w:cs="Arial"/>
          <w:iCs/>
          <w:sz w:val="36"/>
        </w:rPr>
      </w:r>
      <w:r/>
    </w:p>
    <w:p>
      <w:pPr>
        <w:rPr>
          <w:rFonts w:ascii="Arial" w:hAnsi="Arial" w:eastAsia="宋体" w:cs="Arial"/>
          <w:iCs/>
          <w:sz w:val="36"/>
        </w:rPr>
      </w:pPr>
      <w:r>
        <w:rPr>
          <w:rFonts w:ascii="Arial" w:hAnsi="Arial" w:eastAsia="宋体" w:cs="Arial"/>
          <w:iCs/>
          <w:sz w:val="36"/>
        </w:rPr>
      </w:r>
      <w:r/>
    </w:p>
    <w:p>
      <w:pPr>
        <w:rPr>
          <w:rFonts w:ascii="Arial" w:hAnsi="Arial" w:eastAsia="宋体" w:cs="Arial"/>
          <w:iCs/>
          <w:sz w:val="36"/>
        </w:rPr>
      </w:pPr>
      <w:r>
        <w:rPr>
          <w:rFonts w:ascii="Arial" w:hAnsi="Arial" w:eastAsia="宋体" w:cs="Arial"/>
          <w:iCs/>
          <w:sz w:val="36"/>
        </w:rPr>
      </w:r>
      <w:r/>
    </w:p>
    <w:p>
      <w:pPr>
        <w:rPr>
          <w:rFonts w:ascii="Arial" w:hAnsi="Arial" w:eastAsia="宋体" w:cs="Arial"/>
          <w:iCs/>
          <w:sz w:val="36"/>
        </w:rPr>
      </w:pPr>
      <w:r>
        <w:rPr>
          <w:rFonts w:ascii="Arial" w:hAnsi="Arial" w:eastAsia="宋体" w:cs="Arial"/>
          <w:iCs/>
          <w:sz w:val="36"/>
        </w:rPr>
      </w:r>
      <w:r/>
    </w:p>
    <w:p>
      <w:pPr>
        <w:jc w:val="left"/>
        <w:keepLines/>
        <w:keepNext/>
        <w:spacing w:before="360" w:after="200" w:line="360" w:lineRule="auto"/>
        <w:rPr>
          <w:rFonts w:ascii="Arial" w:hAnsi="Arial" w:eastAsia="宋体" w:cs="Arial"/>
          <w:b/>
          <w:iCs/>
          <w:sz w:val="36"/>
        </w:rPr>
        <w:outlineLvl w:val="1"/>
      </w:pPr>
      <w:r>
        <w:rPr>
          <w:rFonts w:hint="eastAsia" w:ascii="Arial" w:hAnsi="Arial" w:eastAsia="宋体" w:cs="Arial"/>
          <w:b/>
          <w:iCs/>
          <w:sz w:val="36"/>
        </w:rPr>
        <w:t xml:space="preserve">十八、项目团队人员一览表（分包号：</w:t>
      </w:r>
      <w:r>
        <w:rPr>
          <w:rFonts w:hint="eastAsia" w:ascii="Arial" w:hAnsi="Arial" w:eastAsia="宋体" w:cs="Arial"/>
          <w:b/>
          <w:iCs/>
          <w:sz w:val="36"/>
        </w:rPr>
        <w:t xml:space="preserve">**</w:t>
      </w:r>
      <w:r>
        <w:rPr>
          <w:rFonts w:hint="eastAsia" w:ascii="Arial" w:hAnsi="Arial" w:eastAsia="宋体" w:cs="Arial"/>
          <w:b/>
          <w:iCs/>
          <w:sz w:val="36"/>
        </w:rPr>
        <w:t xml:space="preserve">）</w:t>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项目团队人员一览表</w:t>
      </w:r>
      <w:r/>
    </w:p>
    <w:p>
      <w:pPr>
        <w:ind w:firstLine="600"/>
        <w:jc w:val="left"/>
        <w:spacing w:line="360" w:lineRule="auto"/>
      </w:pPr>
      <w:r>
        <w:rPr>
          <w:rFonts w:hint="eastAsia" w:ascii="宋体" w:hAnsi="宋体" w:eastAsia="宋体" w:cs="方正仿宋_GBK"/>
          <w:color w:val="000000"/>
          <w:sz w:val="24"/>
          <w:szCs w:val="24"/>
        </w:rPr>
        <w:t xml:space="preserve">项目名称：        项目编号：        分包号：</w:t>
      </w:r>
      <w:r/>
    </w:p>
    <w:tbl>
      <w:tblPr>
        <w:tblW w:w="827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81"/>
        <w:gridCol w:w="1470"/>
        <w:gridCol w:w="1626"/>
        <w:gridCol w:w="1560"/>
        <w:gridCol w:w="1338"/>
        <w:gridCol w:w="1497"/>
      </w:tblGrid>
      <w:tr>
        <w:trPr>
          <w:cantSplit/>
          <w:jc w:val="center"/>
        </w:trPr>
        <w:tc>
          <w:tcPr>
            <w:tcW w:w="781"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姓名</w:t>
            </w:r>
            <w:r/>
          </w:p>
        </w:tc>
        <w:tc>
          <w:tcPr>
            <w:tcW w:w="1470"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本项目拟担任职务</w:t>
            </w:r>
            <w:r/>
          </w:p>
        </w:tc>
        <w:tc>
          <w:tcPr>
            <w:tcW w:w="1626"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技术职称、专业资质</w:t>
            </w:r>
            <w:r/>
          </w:p>
        </w:tc>
        <w:tc>
          <w:tcPr>
            <w:tcW w:w="1560"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学历</w:t>
            </w:r>
            <w:r/>
          </w:p>
        </w:tc>
        <w:tc>
          <w:tcPr>
            <w:tcW w:w="1338"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年龄</w:t>
            </w:r>
            <w:r/>
          </w:p>
        </w:tc>
        <w:tc>
          <w:tcPr>
            <w:tcW w:w="1497"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主要资历及担任过的职务</w:t>
            </w:r>
            <w:r/>
          </w:p>
        </w:tc>
      </w:tr>
      <w:tr>
        <w:trPr>
          <w:cantSplit/>
          <w:jc w:val="center"/>
          <w:trHeight w:val="640"/>
        </w:trPr>
        <w:tc>
          <w:tcPr>
            <w:tcW w:w="78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470"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626"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560"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t xml:space="preserve">根据项目需求、评分办法确定一览表格式</w:t>
            </w:r>
            <w:r/>
          </w:p>
        </w:tc>
        <w:tc>
          <w:tcPr>
            <w:tcW w:w="1338"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t xml:space="preserve">根据项目需求、评分办法确定一览表格式</w:t>
            </w:r>
            <w:r/>
          </w:p>
        </w:tc>
        <w:tc>
          <w:tcPr>
            <w:tcW w:w="1497"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78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470"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626"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560"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38"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497"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78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470"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626"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560"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38"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497"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78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470"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626"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560"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38"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497"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bl>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投标人（盖章）：</w:t>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法定代表人</w:t>
      </w:r>
      <w:r>
        <w:rPr>
          <w:rFonts w:ascii="Calibri" w:hAnsi="Calibri" w:eastAsia="宋体" w:cs="Times New Roman"/>
          <w:sz w:val="24"/>
          <w:szCs w:val="24"/>
        </w:rPr>
        <w:t xml:space="preserve">（单位负责人）</w:t>
      </w:r>
      <w:r>
        <w:rPr>
          <w:rFonts w:hint="eastAsia" w:ascii="Times New Roman" w:hAnsi="Times New Roman" w:eastAsia="宋体" w:cs="Times New Roman"/>
          <w:color w:val="000000"/>
          <w:sz w:val="24"/>
          <w:szCs w:val="24"/>
        </w:rPr>
        <w:t xml:space="preserve">或委托代理人（签字或盖章）：</w:t>
      </w:r>
      <w:r/>
    </w:p>
    <w:p>
      <w:pPr>
        <w:ind w:firstLine="480"/>
        <w:spacing w:line="500" w:lineRule="exact"/>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日期：</w:t>
      </w:r>
      <w:r>
        <w:rPr>
          <w:rFonts w:hint="eastAsia" w:ascii="Times New Roman" w:hAnsi="Times New Roman" w:eastAsia="宋体" w:cs="Times New Roman"/>
          <w:color w:val="000000"/>
          <w:sz w:val="24"/>
          <w:szCs w:val="24"/>
        </w:rPr>
        <w:t xml:space="preserve">    </w:t>
      </w:r>
      <w:r>
        <w:rPr>
          <w:rFonts w:hint="eastAsia" w:ascii="Times New Roman" w:hAnsi="Times New Roman" w:eastAsia="宋体" w:cs="Times New Roman"/>
          <w:color w:val="000000"/>
          <w:sz w:val="24"/>
          <w:szCs w:val="24"/>
        </w:rPr>
        <w:t xml:space="preserve">年</w:t>
      </w:r>
      <w:r>
        <w:rPr>
          <w:rFonts w:hint="eastAsia" w:ascii="Times New Roman" w:hAnsi="Times New Roman" w:eastAsia="宋体" w:cs="Times New Roman"/>
          <w:color w:val="000000"/>
          <w:sz w:val="24"/>
          <w:szCs w:val="24"/>
        </w:rPr>
        <w:t xml:space="preserve">     </w:t>
      </w:r>
      <w:r>
        <w:rPr>
          <w:rFonts w:hint="eastAsia" w:ascii="Times New Roman" w:hAnsi="Times New Roman" w:eastAsia="宋体" w:cs="Times New Roman"/>
          <w:color w:val="000000"/>
          <w:sz w:val="24"/>
          <w:szCs w:val="24"/>
        </w:rPr>
        <w:t xml:space="preserve">月</w:t>
      </w:r>
      <w:r>
        <w:rPr>
          <w:rFonts w:hint="eastAsia" w:ascii="Times New Roman" w:hAnsi="Times New Roman" w:eastAsia="宋体" w:cs="Times New Roman"/>
          <w:color w:val="000000"/>
          <w:sz w:val="24"/>
          <w:szCs w:val="24"/>
        </w:rPr>
        <w:t xml:space="preserve">     </w:t>
      </w:r>
      <w:r>
        <w:rPr>
          <w:rFonts w:hint="eastAsia" w:ascii="Times New Roman" w:hAnsi="Times New Roman" w:eastAsia="宋体" w:cs="Times New Roman"/>
          <w:color w:val="000000"/>
          <w:sz w:val="24"/>
          <w:szCs w:val="24"/>
        </w:rPr>
        <w:t xml:space="preserve">日</w:t>
      </w:r>
      <w:r/>
    </w:p>
    <w:p>
      <w:r/>
      <w:r/>
    </w:p>
    <w:p>
      <w:r/>
      <w:r/>
    </w:p>
    <w:p>
      <w:r/>
      <w:r/>
    </w:p>
    <w:p>
      <w:pPr>
        <w:rPr>
          <w:sz w:val="24"/>
          <w:szCs w:val="24"/>
        </w:rPr>
      </w:pPr>
      <w:r>
        <w:rPr>
          <w:sz w:val="24"/>
          <w:szCs w:val="24"/>
        </w:rPr>
        <w:t xml:space="preserve">注：表格格式不为固定格式，请各投标人根据招标文件具体内容自行编制。</w:t>
      </w:r>
      <w:r/>
    </w:p>
    <w:p>
      <w:pPr>
        <w:rPr>
          <w:sz w:val="24"/>
          <w:szCs w:val="24"/>
        </w:rPr>
      </w:pPr>
      <w:r>
        <w:rPr>
          <w:sz w:val="24"/>
          <w:szCs w:val="24"/>
        </w:rPr>
      </w:r>
      <w:r/>
    </w:p>
    <w:p>
      <w:r/>
      <w:r/>
    </w:p>
    <w:p>
      <w:r/>
      <w:r/>
    </w:p>
    <w:p>
      <w:r/>
      <w:r/>
    </w:p>
    <w:p>
      <w:r/>
      <w:r/>
    </w:p>
    <w:p>
      <w:r/>
      <w:r/>
    </w:p>
    <w:p>
      <w:r/>
      <w:r/>
    </w:p>
    <w:p>
      <w:r/>
      <w:r/>
    </w:p>
    <w:p>
      <w:r/>
      <w:r/>
    </w:p>
    <w:p>
      <w:pPr>
        <w:jc w:val="left"/>
        <w:keepLines/>
        <w:keepNext/>
        <w:spacing w:before="360" w:after="200" w:line="360" w:lineRule="auto"/>
        <w:rPr>
          <w:rFonts w:ascii="Arial" w:hAnsi="Arial" w:eastAsia="宋体" w:cs="Arial"/>
          <w:b/>
          <w:sz w:val="36"/>
        </w:rPr>
        <w:outlineLvl w:val="1"/>
      </w:pPr>
      <w:r>
        <w:rPr>
          <w:rFonts w:hint="eastAsia" w:ascii="Arial" w:hAnsi="Arial" w:eastAsia="宋体" w:cs="Arial"/>
          <w:b/>
          <w:sz w:val="36"/>
        </w:rPr>
        <w:t xml:space="preserve">十九、开标一览表</w:t>
      </w:r>
      <w:r/>
    </w:p>
    <w:p>
      <w:pPr>
        <w:jc w:val="left"/>
        <w:spacing w:line="360" w:lineRule="auto"/>
        <w:rPr>
          <w:rFonts w:ascii="Arial" w:hAnsi="Arial" w:eastAsia="宋体" w:cs="Arial"/>
          <w:color w:val="000000" w:themeColor="text1"/>
          <w:sz w:val="36"/>
        </w:rPr>
      </w:pPr>
      <w:r>
        <w:rPr>
          <w:rFonts w:hint="eastAsia" w:ascii="宋体" w:hAnsi="宋体" w:eastAsia="宋体" w:cs="方正仿宋_GBK"/>
          <w:color w:val="000000" w:themeColor="text1"/>
          <w:sz w:val="24"/>
          <w:szCs w:val="24"/>
        </w:rPr>
        <w:t xml:space="preserve">项目编号：      分包号：</w:t>
      </w:r>
      <w:r/>
    </w:p>
    <w:p>
      <w:pPr>
        <w:ind w:firstLine="480"/>
        <w:jc w:val="right"/>
        <w:spacing w:line="500" w:lineRule="exact"/>
        <w:rPr>
          <w:rFonts w:ascii="Times New Roman" w:hAnsi="Times New Roman" w:eastAsia="宋体" w:cs="Times New Roman"/>
          <w:color w:val="000000" w:themeColor="text1"/>
          <w:sz w:val="24"/>
          <w:szCs w:val="24"/>
        </w:rPr>
      </w:pPr>
      <w:r>
        <w:rPr>
          <w:rFonts w:ascii="Times New Roman" w:hAnsi="Times New Roman" w:eastAsia="宋体" w:cs="Times New Roman"/>
          <w:color w:val="000000" w:themeColor="text1"/>
          <w:sz w:val="24"/>
          <w:szCs w:val="24"/>
        </w:rPr>
        <w:t xml:space="preserve">货币单位：人民币元</w:t>
      </w:r>
      <w:r/>
    </w:p>
    <w:tbl>
      <w:tblPr>
        <w:tblStyle w:val="862"/>
        <w:tblW w:w="0" w:type="auto"/>
        <w:tblInd w:w="114" w:type="dxa"/>
        <w:tblLook w:val="04A0" w:firstRow="1" w:lastRow="0" w:firstColumn="1" w:lastColumn="0" w:noHBand="0" w:noVBand="1"/>
      </w:tblPr>
      <w:tblGrid>
        <w:gridCol w:w="2394"/>
        <w:gridCol w:w="2471"/>
        <w:gridCol w:w="3460"/>
      </w:tblGrid>
      <w:tr>
        <w:trPr/>
        <w:tc>
          <w:tcPr>
            <w:tcW w:w="2394" w:type="dxa"/>
            <w:textDirection w:val="lrTb"/>
            <w:noWrap w:val="false"/>
          </w:tcPr>
          <w:p>
            <w:pPr>
              <w:jc w:val="center"/>
              <w:spacing w:line="500" w:lineRule="exact"/>
              <w:rPr>
                <w:rFonts w:ascii="Times New Roman" w:hAnsi="Times New Roman" w:eastAsia="宋体" w:cs="Times New Roman"/>
                <w:color w:val="000000" w:themeColor="text1"/>
                <w:sz w:val="24"/>
                <w:szCs w:val="24"/>
              </w:rPr>
            </w:pPr>
            <w:r>
              <w:rPr>
                <w:rFonts w:ascii="Times New Roman" w:hAnsi="Times New Roman" w:eastAsia="宋体" w:cs="Times New Roman"/>
                <w:color w:val="000000" w:themeColor="text1"/>
                <w:sz w:val="24"/>
                <w:szCs w:val="24"/>
              </w:rPr>
              <w:t xml:space="preserve">项目名称</w:t>
            </w:r>
            <w:r/>
          </w:p>
        </w:tc>
        <w:tc>
          <w:tcPr>
            <w:tcW w:w="2471" w:type="dxa"/>
            <w:textDirection w:val="lrTb"/>
            <w:noWrap w:val="false"/>
          </w:tcPr>
          <w:p>
            <w:pPr>
              <w:jc w:val="center"/>
              <w:spacing w:line="500" w:lineRule="exact"/>
              <w:rPr>
                <w:rFonts w:ascii="Times New Roman" w:hAnsi="Times New Roman" w:eastAsia="宋体" w:cs="Times New Roman"/>
                <w:color w:val="000000" w:themeColor="text1"/>
                <w:sz w:val="24"/>
                <w:szCs w:val="24"/>
              </w:rPr>
            </w:pPr>
            <w:r>
              <w:rPr>
                <w:rFonts w:ascii="Times New Roman" w:hAnsi="Times New Roman" w:eastAsia="宋体" w:cs="Times New Roman"/>
                <w:color w:val="000000" w:themeColor="text1"/>
                <w:sz w:val="24"/>
                <w:szCs w:val="24"/>
              </w:rPr>
              <w:t xml:space="preserve">项目内容</w:t>
            </w:r>
            <w:r/>
          </w:p>
        </w:tc>
        <w:tc>
          <w:tcPr>
            <w:tcW w:w="3460" w:type="dxa"/>
            <w:textDirection w:val="lrTb"/>
            <w:noWrap w:val="false"/>
          </w:tcPr>
          <w:p>
            <w:pPr>
              <w:jc w:val="center"/>
              <w:spacing w:line="500" w:lineRule="exact"/>
              <w:rPr>
                <w:rFonts w:ascii="Times New Roman" w:hAnsi="Times New Roman" w:eastAsia="宋体" w:cs="Times New Roman"/>
                <w:color w:val="000000" w:themeColor="text1"/>
                <w:sz w:val="24"/>
                <w:szCs w:val="24"/>
              </w:rPr>
            </w:pPr>
            <w:r>
              <w:rPr>
                <w:rFonts w:ascii="Times New Roman" w:hAnsi="Times New Roman" w:eastAsia="宋体" w:cs="Times New Roman"/>
                <w:color w:val="000000" w:themeColor="text1"/>
                <w:sz w:val="24"/>
                <w:szCs w:val="24"/>
              </w:rPr>
              <w:t xml:space="preserve">总价</w:t>
            </w:r>
            <w:r>
              <w:rPr>
                <w:rFonts w:hint="eastAsia" w:ascii="Times New Roman" w:hAnsi="Times New Roman" w:eastAsia="宋体" w:cs="Times New Roman"/>
                <w:color w:val="000000" w:themeColor="text1"/>
                <w:sz w:val="24"/>
                <w:szCs w:val="24"/>
              </w:rPr>
              <w:t xml:space="preserve">（小写）</w:t>
            </w:r>
            <w:r/>
          </w:p>
        </w:tc>
      </w:tr>
      <w:tr>
        <w:trPr/>
        <w:tc>
          <w:tcPr>
            <w:tcW w:w="2394" w:type="dxa"/>
            <w:textDirection w:val="lrTb"/>
            <w:noWrap w:val="false"/>
          </w:tcPr>
          <w:p>
            <w:pPr>
              <w:jc w:val="center"/>
              <w:spacing w:line="500" w:lineRule="exact"/>
              <w:rPr>
                <w:rFonts w:ascii="Times New Roman" w:hAnsi="Times New Roman" w:eastAsia="宋体" w:cs="Times New Roman"/>
                <w:color w:val="000000" w:themeColor="text1"/>
                <w:sz w:val="24"/>
                <w:szCs w:val="24"/>
              </w:rPr>
            </w:pPr>
            <w:r>
              <w:rPr>
                <w:rFonts w:ascii="Times New Roman" w:hAnsi="Times New Roman" w:eastAsia="宋体" w:cs="Times New Roman"/>
                <w:color w:val="000000" w:themeColor="text1"/>
                <w:sz w:val="24"/>
                <w:szCs w:val="24"/>
              </w:rPr>
            </w:r>
            <w:r/>
          </w:p>
        </w:tc>
        <w:tc>
          <w:tcPr>
            <w:tcW w:w="2471" w:type="dxa"/>
            <w:textDirection w:val="lrTb"/>
            <w:noWrap w:val="false"/>
          </w:tcPr>
          <w:p>
            <w:pPr>
              <w:jc w:val="center"/>
              <w:spacing w:line="500" w:lineRule="exact"/>
              <w:rPr>
                <w:rFonts w:ascii="Times New Roman" w:hAnsi="Times New Roman" w:eastAsia="宋体" w:cs="Times New Roman"/>
                <w:color w:val="000000" w:themeColor="text1"/>
                <w:sz w:val="24"/>
                <w:szCs w:val="24"/>
              </w:rPr>
            </w:pPr>
            <w:r>
              <w:rPr>
                <w:rFonts w:ascii="Times New Roman" w:hAnsi="Times New Roman" w:eastAsia="宋体" w:cs="Times New Roman"/>
                <w:color w:val="000000" w:themeColor="text1"/>
                <w:sz w:val="24"/>
                <w:szCs w:val="24"/>
              </w:rPr>
              <w:t xml:space="preserve">详见投标文件</w:t>
            </w:r>
            <w:r/>
          </w:p>
        </w:tc>
        <w:tc>
          <w:tcPr>
            <w:tcW w:w="3460" w:type="dxa"/>
            <w:textDirection w:val="lrTb"/>
            <w:noWrap w:val="false"/>
          </w:tcPr>
          <w:p>
            <w:pPr>
              <w:jc w:val="center"/>
              <w:spacing w:line="500" w:lineRule="exact"/>
              <w:rPr>
                <w:rFonts w:ascii="Times New Roman" w:hAnsi="Times New Roman" w:eastAsia="宋体" w:cs="Times New Roman"/>
                <w:color w:val="000000" w:themeColor="text1"/>
                <w:sz w:val="24"/>
                <w:szCs w:val="24"/>
              </w:rPr>
            </w:pPr>
            <w:r>
              <w:rPr>
                <w:rFonts w:hint="eastAsia" w:ascii="Times New Roman" w:hAnsi="Times New Roman" w:eastAsia="宋体" w:cs="Times New Roman"/>
                <w:color w:val="000000" w:themeColor="text1"/>
                <w:sz w:val="24"/>
                <w:szCs w:val="24"/>
              </w:rPr>
              <w:t xml:space="preserve">               </w:t>
            </w:r>
            <w:r>
              <w:rPr>
                <w:rFonts w:hint="eastAsia" w:ascii="Times New Roman" w:hAnsi="Times New Roman" w:eastAsia="宋体" w:cs="Times New Roman"/>
                <w:color w:val="000000" w:themeColor="text1"/>
                <w:sz w:val="24"/>
                <w:szCs w:val="24"/>
              </w:rPr>
              <w:t xml:space="preserve">元</w:t>
            </w:r>
            <w:r/>
          </w:p>
        </w:tc>
      </w:tr>
      <w:tr>
        <w:trPr/>
        <w:tc>
          <w:tcPr>
            <w:tcW w:w="2394" w:type="dxa"/>
            <w:textDirection w:val="lrTb"/>
            <w:noWrap w:val="false"/>
          </w:tcPr>
          <w:p>
            <w:pPr>
              <w:jc w:val="center"/>
              <w:spacing w:line="500" w:lineRule="exact"/>
              <w:rPr>
                <w:rFonts w:ascii="Times New Roman" w:hAnsi="Times New Roman" w:eastAsia="宋体" w:cs="Times New Roman"/>
                <w:color w:val="000000" w:themeColor="text1"/>
                <w:sz w:val="24"/>
                <w:szCs w:val="24"/>
              </w:rPr>
            </w:pPr>
            <w:r>
              <w:rPr>
                <w:rFonts w:ascii="Times New Roman" w:hAnsi="Times New Roman" w:eastAsia="宋体" w:cs="Times New Roman"/>
                <w:color w:val="000000" w:themeColor="text1"/>
                <w:sz w:val="24"/>
                <w:szCs w:val="24"/>
              </w:rPr>
              <w:t xml:space="preserve">总价（大写）</w:t>
            </w:r>
            <w:r/>
          </w:p>
        </w:tc>
        <w:tc>
          <w:tcPr>
            <w:gridSpan w:val="2"/>
            <w:tcW w:w="5931" w:type="dxa"/>
            <w:textDirection w:val="lrTb"/>
            <w:noWrap w:val="false"/>
          </w:tcPr>
          <w:p>
            <w:pPr>
              <w:jc w:val="center"/>
              <w:spacing w:line="500" w:lineRule="exact"/>
              <w:rPr>
                <w:rFonts w:ascii="Times New Roman" w:hAnsi="Times New Roman" w:eastAsia="宋体" w:cs="Times New Roman"/>
                <w:color w:val="000000" w:themeColor="text1"/>
                <w:sz w:val="24"/>
                <w:szCs w:val="24"/>
              </w:rPr>
            </w:pPr>
            <w:r>
              <w:rPr>
                <w:rFonts w:ascii="Times New Roman" w:hAnsi="Times New Roman" w:eastAsia="宋体" w:cs="Times New Roman"/>
                <w:color w:val="000000" w:themeColor="text1"/>
                <w:sz w:val="24"/>
                <w:szCs w:val="24"/>
              </w:rPr>
            </w:r>
            <w:r/>
          </w:p>
        </w:tc>
      </w:tr>
    </w:tbl>
    <w:p>
      <w:pPr>
        <w:spacing w:line="500" w:lineRule="exact"/>
        <w:rPr>
          <w:rFonts w:ascii="Times New Roman" w:hAnsi="Times New Roman" w:eastAsia="宋体" w:cs="Times New Roman"/>
          <w:color w:val="000000" w:themeColor="text1"/>
          <w:sz w:val="24"/>
          <w:szCs w:val="24"/>
        </w:rPr>
      </w:pPr>
      <w:r>
        <w:rPr>
          <w:rFonts w:ascii="Times New Roman" w:hAnsi="Times New Roman" w:eastAsia="宋体" w:cs="Times New Roman"/>
          <w:color w:val="000000" w:themeColor="text1"/>
          <w:sz w:val="24"/>
          <w:szCs w:val="24"/>
        </w:rPr>
        <w:t xml:space="preserve">投标人公章：</w:t>
      </w:r>
      <w:r>
        <w:rPr>
          <w:rFonts w:hint="eastAsia" w:ascii="Times New Roman" w:hAnsi="Times New Roman" w:eastAsia="宋体" w:cs="Times New Roman"/>
          <w:color w:val="000000" w:themeColor="text1"/>
          <w:sz w:val="24"/>
          <w:szCs w:val="24"/>
        </w:rPr>
        <w:t xml:space="preserve">             </w:t>
      </w:r>
      <w:r>
        <w:rPr>
          <w:rFonts w:hint="eastAsia" w:ascii="Times New Roman" w:hAnsi="Times New Roman" w:eastAsia="宋体" w:cs="Times New Roman"/>
          <w:color w:val="000000" w:themeColor="text1"/>
          <w:sz w:val="24"/>
          <w:szCs w:val="24"/>
        </w:rPr>
        <w:t xml:space="preserve">（电子签章）</w:t>
      </w:r>
      <w:r/>
    </w:p>
    <w:p>
      <w:pPr>
        <w:spacing w:line="500" w:lineRule="exact"/>
        <w:rPr>
          <w:rFonts w:ascii="Times New Roman" w:hAnsi="Times New Roman" w:eastAsia="宋体" w:cs="Times New Roman"/>
          <w:color w:val="000000" w:themeColor="text1"/>
          <w:sz w:val="24"/>
          <w:szCs w:val="24"/>
        </w:rPr>
      </w:pPr>
      <w:r>
        <w:rPr>
          <w:rFonts w:ascii="Times New Roman" w:hAnsi="Times New Roman" w:eastAsia="宋体" w:cs="Times New Roman"/>
          <w:color w:val="000000" w:themeColor="text1"/>
          <w:sz w:val="24"/>
          <w:szCs w:val="24"/>
        </w:rPr>
      </w:r>
      <w:r/>
    </w:p>
    <w:p>
      <w:pPr>
        <w:spacing w:line="500" w:lineRule="exact"/>
        <w:rPr>
          <w:rFonts w:ascii="Times New Roman" w:hAnsi="Times New Roman" w:eastAsia="宋体" w:cs="Times New Roman"/>
          <w:color w:val="000000" w:themeColor="text1"/>
          <w:sz w:val="24"/>
          <w:szCs w:val="24"/>
        </w:rPr>
      </w:pPr>
      <w:r>
        <w:rPr>
          <w:rFonts w:ascii="Times New Roman" w:hAnsi="Times New Roman" w:eastAsia="宋体" w:cs="Times New Roman"/>
          <w:color w:val="000000" w:themeColor="text1"/>
          <w:sz w:val="24"/>
          <w:szCs w:val="24"/>
        </w:rPr>
      </w:r>
      <w:r/>
    </w:p>
    <w:p>
      <w:pPr>
        <w:jc w:val="left"/>
        <w:widowControl/>
        <w:rPr>
          <w:rFonts w:ascii="黑体" w:hAnsi="黑体" w:eastAsia="黑体" w:cs="仿宋"/>
          <w:bCs/>
          <w:color w:val="000000"/>
          <w:sz w:val="40"/>
          <w:szCs w:val="32"/>
        </w:rPr>
      </w:pPr>
      <w:r>
        <w:rPr>
          <w:rFonts w:ascii="黑体" w:hAnsi="黑体" w:eastAsia="黑体" w:cs="仿宋"/>
          <w:bCs/>
          <w:color w:val="000000"/>
          <w:sz w:val="40"/>
          <w:szCs w:val="32"/>
        </w:rPr>
        <w:br w:type="page" w:clear="all"/>
      </w:r>
      <w:r/>
    </w:p>
    <w:p>
      <w:pPr>
        <w:jc w:val="center"/>
        <w:rPr>
          <w:rFonts w:ascii="黑体" w:hAnsi="黑体" w:eastAsia="黑体" w:cs="仿宋"/>
          <w:bCs/>
          <w:color w:val="000000"/>
          <w:sz w:val="40"/>
          <w:szCs w:val="32"/>
        </w:rPr>
      </w:pPr>
      <w:r>
        <w:rPr>
          <w:rFonts w:hint="eastAsia" w:ascii="黑体" w:hAnsi="黑体" w:eastAsia="黑体" w:cs="仿宋"/>
          <w:bCs/>
          <w:color w:val="000000"/>
          <w:sz w:val="40"/>
          <w:szCs w:val="32"/>
        </w:rPr>
        <w:t xml:space="preserve">质疑函范本</w:t>
      </w:r>
      <w:r/>
    </w:p>
    <w:p>
      <w:pPr>
        <w:spacing w:line="500" w:lineRule="exact"/>
        <w:rPr>
          <w:rFonts w:ascii="宋体" w:hAnsi="宋体" w:eastAsia="宋体" w:cs="仿宋"/>
          <w:bCs/>
          <w:color w:val="000000"/>
          <w:sz w:val="24"/>
          <w:szCs w:val="24"/>
        </w:rPr>
      </w:pPr>
      <w:r>
        <w:rPr>
          <w:rFonts w:hint="eastAsia" w:ascii="宋体" w:hAnsi="宋体" w:eastAsia="宋体" w:cs="仿宋"/>
          <w:bCs/>
          <w:color w:val="000000"/>
          <w:sz w:val="24"/>
          <w:szCs w:val="24"/>
        </w:rPr>
        <w:t xml:space="preserve">致：</w:t>
      </w:r>
      <w:r/>
    </w:p>
    <w:p>
      <w:pPr>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一、质疑供应商基本信息</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质疑供应商：</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地址：邮编：</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联系人：联系电话：</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授权代表：</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联系电话：</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地址：邮编：</w:t>
      </w:r>
      <w:r/>
    </w:p>
    <w:p>
      <w:pPr>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二、质疑项目基本情况</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质疑项目的名称：</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质疑项目的编号：包号：</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采购人名称：</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采购文件获取日期：</w:t>
      </w:r>
      <w:r/>
    </w:p>
    <w:p>
      <w:pPr>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三、质疑事项具体内容</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质疑事项1：</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事实依据：</w:t>
      </w:r>
      <w:r/>
    </w:p>
    <w:p>
      <w:pPr>
        <w:spacing w:line="500" w:lineRule="exact"/>
        <w:rPr>
          <w:rFonts w:ascii="宋体" w:hAnsi="宋体" w:eastAsia="宋体" w:cs="仿宋"/>
          <w:color w:val="000000"/>
          <w:sz w:val="24"/>
          <w:szCs w:val="24"/>
        </w:rPr>
      </w:pPr>
      <w:r>
        <w:rPr>
          <w:rFonts w:ascii="宋体" w:hAnsi="宋体" w:eastAsia="宋体" w:cs="仿宋"/>
          <w:color w:val="000000"/>
          <w:sz w:val="24"/>
          <w:szCs w:val="24"/>
        </w:rPr>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法律依据：</w:t>
      </w:r>
      <w:r/>
    </w:p>
    <w:p>
      <w:pPr>
        <w:spacing w:line="500" w:lineRule="exact"/>
        <w:rPr>
          <w:rFonts w:ascii="宋体" w:hAnsi="宋体" w:eastAsia="宋体" w:cs="仿宋"/>
          <w:color w:val="000000"/>
          <w:sz w:val="24"/>
          <w:szCs w:val="24"/>
          <w:u w:val="single"/>
        </w:rPr>
      </w:pPr>
      <w:r>
        <w:rPr>
          <w:rFonts w:ascii="宋体" w:hAnsi="宋体" w:eastAsia="宋体" w:cs="仿宋"/>
          <w:color w:val="000000"/>
          <w:sz w:val="24"/>
          <w:szCs w:val="24"/>
          <w:u w:val="single"/>
        </w:rPr>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质疑事项2</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w:t>
      </w:r>
      <w:r/>
    </w:p>
    <w:p>
      <w:pPr>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四、与质疑事项相关的质疑请求</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请求：</w:t>
      </w:r>
      <w:r/>
    </w:p>
    <w:p>
      <w:pPr>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签字（签章）：                   公章：                      </w:t>
      </w:r>
      <w:r/>
    </w:p>
    <w:p>
      <w:pPr>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日期：    </w:t>
      </w:r>
      <w:r/>
    </w:p>
    <w:p>
      <w:pPr>
        <w:spacing w:line="500" w:lineRule="exact"/>
        <w:rPr>
          <w:rFonts w:ascii="宋体" w:hAnsi="宋体" w:eastAsia="宋体" w:cs="Times New Roman"/>
          <w:b/>
          <w:color w:val="000000"/>
          <w:sz w:val="24"/>
          <w:szCs w:val="24"/>
        </w:rPr>
      </w:pPr>
      <w:r>
        <w:rPr>
          <w:rFonts w:hint="eastAsia" w:ascii="宋体" w:hAnsi="宋体" w:eastAsia="宋体" w:cs="Times New Roman"/>
          <w:b/>
          <w:color w:val="000000"/>
          <w:sz w:val="24"/>
          <w:szCs w:val="24"/>
        </w:rPr>
        <w:t xml:space="preserve">质疑函制作说明：</w:t>
      </w:r>
      <w:r/>
    </w:p>
    <w:p>
      <w:pPr>
        <w:ind w:firstLine="480"/>
        <w:jc w:val="left"/>
        <w:spacing w:line="500" w:lineRule="exact"/>
        <w:widowControl/>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1.供应商提出质疑时，应提交质疑函和必要的证明材料。</w:t>
      </w:r>
      <w:r/>
    </w:p>
    <w:p>
      <w:pPr>
        <w:ind w:firstLine="480"/>
        <w:jc w:val="left"/>
        <w:spacing w:line="500" w:lineRule="exact"/>
        <w:widowControl/>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供应商为自然人的，应当由本人签字；供应商为法人或者其他组织的，应当由法定代表人、主要负责人签字或者盖章，并加盖公章。</w:t>
      </w:r>
      <w:r/>
    </w:p>
    <w:p>
      <w:pPr>
        <w:ind w:firstLine="480"/>
        <w:jc w:val="left"/>
        <w:spacing w:line="500" w:lineRule="exact"/>
        <w:widowControl/>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3.质疑供应商若对项目的某一分包进行质疑，质疑函中应列明具体分包号。</w:t>
      </w:r>
      <w:r/>
    </w:p>
    <w:p>
      <w:pPr>
        <w:ind w:firstLine="480"/>
        <w:jc w:val="left"/>
        <w:spacing w:line="500" w:lineRule="exact"/>
        <w:widowControl/>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4.质疑函的质疑事项应具体、明确，并有必要的事实依据和法律依据。</w:t>
      </w:r>
      <w:r/>
    </w:p>
    <w:p>
      <w:pPr>
        <w:ind w:firstLine="480"/>
        <w:jc w:val="left"/>
        <w:spacing w:line="500" w:lineRule="exact"/>
        <w:widowControl/>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5.质疑函的质疑请求应与质疑事项相关。</w:t>
      </w:r>
      <w:r/>
    </w:p>
    <w:p>
      <w:pPr>
        <w:ind w:firstLine="480"/>
        <w:jc w:val="left"/>
        <w:spacing w:line="500" w:lineRule="exact"/>
        <w:widowControl/>
        <w:rPr>
          <w:rFonts w:ascii="宋体" w:hAnsi="宋体" w:eastAsia="宋体" w:cs="Times New Roman"/>
          <w:sz w:val="24"/>
          <w:szCs w:val="24"/>
        </w:rPr>
      </w:pPr>
      <w:r>
        <w:rPr>
          <w:rFonts w:hint="eastAsia" w:ascii="宋体" w:hAnsi="宋体" w:eastAsia="宋体" w:cs="Times New Roman"/>
          <w:sz w:val="24"/>
          <w:szCs w:val="24"/>
        </w:rPr>
        <w:t xml:space="preserve">6.质疑供应商为自然人的，质疑函应附自然人身份证明复印件并由本人签字；质疑供应商为法人或者其他组织的，质疑函应附营业执照等证明文件复印件、法定代表人或主要负责人身份证明复印件，并由法定代表人或主要负责人签字或盖章，并加盖公章；委托授权质疑的还应附授权委托书，并由授权代表签字或者盖章，并加盖公章。</w:t>
      </w:r>
      <w:r/>
    </w:p>
    <w:p>
      <w:pPr>
        <w:ind w:firstLine="480"/>
        <w:jc w:val="left"/>
        <w:spacing w:line="500" w:lineRule="exact"/>
        <w:widowControl/>
        <w:rPr>
          <w:sz w:val="24"/>
          <w:szCs w:val="24"/>
        </w:rPr>
      </w:pPr>
      <w:r>
        <w:rPr>
          <w:rFonts w:hint="eastAsia" w:ascii="宋体" w:hAnsi="宋体" w:eastAsia="宋体" w:cs="Times New Roman"/>
          <w:sz w:val="24"/>
          <w:szCs w:val="24"/>
        </w:rPr>
        <w:t xml:space="preserve">具体要求详见第二章 投标人须知 八、询问与质疑。</w:t>
      </w:r>
      <w:r/>
    </w:p>
    <w:p>
      <w:pPr>
        <w:pStyle w:val="853"/>
      </w:pPr>
      <w:r/>
      <w:r/>
    </w:p>
    <w:p>
      <w:pPr>
        <w:ind w:firstLine="480"/>
        <w:jc w:val="left"/>
        <w:spacing w:line="500" w:lineRule="exact"/>
        <w:widowControl/>
        <w:rPr>
          <w:sz w:val="24"/>
          <w:szCs w:val="24"/>
        </w:rPr>
      </w:pPr>
      <w:r>
        <w:rPr>
          <w:sz w:val="24"/>
          <w:szCs w:val="24"/>
        </w:rPr>
      </w:r>
      <w:r/>
    </w:p>
    <w:sectPr>
      <w:footerReference w:type="default" r:id="rId9"/>
      <w:footnotePr/>
      <w:endnotePr/>
      <w:type w:val="nextPage"/>
      <w:pgSz w:w="11906" w:h="16838" w:orient="portrait"/>
      <w:pgMar w:top="1440" w:right="1800" w:bottom="1440" w:left="1800" w:header="851" w:footer="992" w:gutter="0"/>
      <w:pgNumType w:start="1"/>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K">
    <w:panose1 w:val="020B0503020202020204"/>
  </w:font>
  <w:font w:name="仿宋">
    <w:panose1 w:val="02010609060101010101"/>
  </w:font>
  <w:font w:name="等线">
    <w:panose1 w:val="02010600030101010101"/>
  </w:font>
  <w:font w:name="仿宋_GB2312">
    <w:panose1 w:val="02010609060101010101"/>
  </w:font>
  <w:font w:name="黑体">
    <w:panose1 w:val="02010609060101010101"/>
  </w:font>
  <w:font w:name="MS Mincho">
    <w:panose1 w:val="02020603050405090304"/>
  </w:font>
  <w:font w:name="Calibri">
    <w:panose1 w:val="020F0502020204030204"/>
  </w:font>
  <w:font w:name="Courier New">
    <w:panose1 w:val="020703090202050204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6"/>
      <w:jc w:val="center"/>
    </w:pPr>
    <w:r/>
    <w:r/>
  </w:p>
  <w:p>
    <w:pPr>
      <w:pStyle w:val="856"/>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29270858"/>
      <w:rPr/>
    </w:sdtPr>
    <w:sdtContent>
      <w:p>
        <w:pPr>
          <w:pStyle w:val="856"/>
          <w:jc w:val="center"/>
        </w:pPr>
        <w:r>
          <w:fldChar w:fldCharType="begin"/>
        </w:r>
        <w:r>
          <w:instrText xml:space="preserve"> PAGE   \* MERGEFORMAT </w:instrText>
        </w:r>
        <w:r>
          <w:fldChar w:fldCharType="separate"/>
        </w:r>
        <w:r>
          <w:rPr>
            <w:lang w:val="zh-CN"/>
          </w:rPr>
          <w:t xml:space="preserve">6</w:t>
        </w:r>
        <w:r>
          <w:rPr>
            <w:lang w:val="zh-CN"/>
          </w:rPr>
          <w:fldChar w:fldCharType="end"/>
        </w:r>
        <w:r/>
      </w:p>
    </w:sdtContent>
  </w:sdt>
  <w:p>
    <w:pPr>
      <w:pStyle w:val="856"/>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72">
    <w:name w:val="Heading 1 Char"/>
    <w:basedOn w:val="846"/>
    <w:link w:val="843"/>
    <w:uiPriority w:val="9"/>
    <w:rPr>
      <w:rFonts w:ascii="Arial" w:hAnsi="Arial" w:eastAsia="Arial" w:cs="Arial"/>
      <w:sz w:val="40"/>
      <w:szCs w:val="40"/>
    </w:rPr>
  </w:style>
  <w:style w:type="character" w:styleId="673">
    <w:name w:val="Heading 2 Char"/>
    <w:basedOn w:val="846"/>
    <w:link w:val="844"/>
    <w:uiPriority w:val="9"/>
    <w:rPr>
      <w:rFonts w:ascii="Arial" w:hAnsi="Arial" w:eastAsia="Arial" w:cs="Arial"/>
      <w:sz w:val="34"/>
    </w:rPr>
  </w:style>
  <w:style w:type="character" w:styleId="674">
    <w:name w:val="Heading 3 Char"/>
    <w:basedOn w:val="846"/>
    <w:link w:val="845"/>
    <w:uiPriority w:val="9"/>
    <w:rPr>
      <w:rFonts w:ascii="Arial" w:hAnsi="Arial" w:eastAsia="Arial" w:cs="Arial"/>
      <w:sz w:val="30"/>
      <w:szCs w:val="30"/>
    </w:rPr>
  </w:style>
  <w:style w:type="paragraph" w:styleId="675">
    <w:name w:val="Heading 4"/>
    <w:basedOn w:val="842"/>
    <w:next w:val="842"/>
    <w:link w:val="676"/>
    <w:uiPriority w:val="9"/>
    <w:unhideWhenUsed/>
    <w:qFormat/>
    <w:pPr>
      <w:keepLines/>
      <w:keepNext/>
      <w:spacing w:before="320" w:after="200"/>
      <w:outlineLvl w:val="3"/>
    </w:pPr>
    <w:rPr>
      <w:rFonts w:ascii="Arial" w:hAnsi="Arial" w:eastAsia="Arial" w:cs="Arial"/>
      <w:b/>
      <w:bCs/>
      <w:sz w:val="26"/>
      <w:szCs w:val="26"/>
    </w:rPr>
  </w:style>
  <w:style w:type="character" w:styleId="676">
    <w:name w:val="Heading 4 Char"/>
    <w:basedOn w:val="846"/>
    <w:link w:val="675"/>
    <w:uiPriority w:val="9"/>
    <w:rPr>
      <w:rFonts w:ascii="Arial" w:hAnsi="Arial" w:eastAsia="Arial" w:cs="Arial"/>
      <w:b/>
      <w:bCs/>
      <w:sz w:val="26"/>
      <w:szCs w:val="26"/>
    </w:rPr>
  </w:style>
  <w:style w:type="paragraph" w:styleId="677">
    <w:name w:val="Heading 5"/>
    <w:basedOn w:val="842"/>
    <w:next w:val="842"/>
    <w:link w:val="678"/>
    <w:uiPriority w:val="9"/>
    <w:unhideWhenUsed/>
    <w:qFormat/>
    <w:pPr>
      <w:keepLines/>
      <w:keepNext/>
      <w:spacing w:before="320" w:after="200"/>
      <w:outlineLvl w:val="4"/>
    </w:pPr>
    <w:rPr>
      <w:rFonts w:ascii="Arial" w:hAnsi="Arial" w:eastAsia="Arial" w:cs="Arial"/>
      <w:b/>
      <w:bCs/>
      <w:sz w:val="24"/>
      <w:szCs w:val="24"/>
    </w:rPr>
  </w:style>
  <w:style w:type="character" w:styleId="678">
    <w:name w:val="Heading 5 Char"/>
    <w:basedOn w:val="846"/>
    <w:link w:val="677"/>
    <w:uiPriority w:val="9"/>
    <w:rPr>
      <w:rFonts w:ascii="Arial" w:hAnsi="Arial" w:eastAsia="Arial" w:cs="Arial"/>
      <w:b/>
      <w:bCs/>
      <w:sz w:val="24"/>
      <w:szCs w:val="24"/>
    </w:rPr>
  </w:style>
  <w:style w:type="paragraph" w:styleId="679">
    <w:name w:val="Heading 6"/>
    <w:basedOn w:val="842"/>
    <w:next w:val="842"/>
    <w:link w:val="680"/>
    <w:uiPriority w:val="9"/>
    <w:unhideWhenUsed/>
    <w:qFormat/>
    <w:pPr>
      <w:keepLines/>
      <w:keepNext/>
      <w:spacing w:before="320" w:after="200"/>
      <w:outlineLvl w:val="5"/>
    </w:pPr>
    <w:rPr>
      <w:rFonts w:ascii="Arial" w:hAnsi="Arial" w:eastAsia="Arial" w:cs="Arial"/>
      <w:b/>
      <w:bCs/>
      <w:sz w:val="22"/>
      <w:szCs w:val="22"/>
    </w:rPr>
  </w:style>
  <w:style w:type="character" w:styleId="680">
    <w:name w:val="Heading 6 Char"/>
    <w:basedOn w:val="846"/>
    <w:link w:val="679"/>
    <w:uiPriority w:val="9"/>
    <w:rPr>
      <w:rFonts w:ascii="Arial" w:hAnsi="Arial" w:eastAsia="Arial" w:cs="Arial"/>
      <w:b/>
      <w:bCs/>
      <w:sz w:val="22"/>
      <w:szCs w:val="22"/>
    </w:rPr>
  </w:style>
  <w:style w:type="paragraph" w:styleId="681">
    <w:name w:val="Heading 7"/>
    <w:basedOn w:val="842"/>
    <w:next w:val="842"/>
    <w:link w:val="682"/>
    <w:uiPriority w:val="9"/>
    <w:unhideWhenUsed/>
    <w:qFormat/>
    <w:pPr>
      <w:keepLines/>
      <w:keepNext/>
      <w:spacing w:before="320" w:after="200"/>
      <w:outlineLvl w:val="6"/>
    </w:pPr>
    <w:rPr>
      <w:rFonts w:ascii="Arial" w:hAnsi="Arial" w:eastAsia="Arial" w:cs="Arial"/>
      <w:b/>
      <w:bCs/>
      <w:i/>
      <w:iCs/>
      <w:sz w:val="22"/>
      <w:szCs w:val="22"/>
    </w:rPr>
  </w:style>
  <w:style w:type="character" w:styleId="682">
    <w:name w:val="Heading 7 Char"/>
    <w:basedOn w:val="846"/>
    <w:link w:val="681"/>
    <w:uiPriority w:val="9"/>
    <w:rPr>
      <w:rFonts w:ascii="Arial" w:hAnsi="Arial" w:eastAsia="Arial" w:cs="Arial"/>
      <w:b/>
      <w:bCs/>
      <w:i/>
      <w:iCs/>
      <w:sz w:val="22"/>
      <w:szCs w:val="22"/>
    </w:rPr>
  </w:style>
  <w:style w:type="paragraph" w:styleId="683">
    <w:name w:val="Heading 8"/>
    <w:basedOn w:val="842"/>
    <w:next w:val="842"/>
    <w:link w:val="684"/>
    <w:uiPriority w:val="9"/>
    <w:unhideWhenUsed/>
    <w:qFormat/>
    <w:pPr>
      <w:keepLines/>
      <w:keepNext/>
      <w:spacing w:before="320" w:after="200"/>
      <w:outlineLvl w:val="7"/>
    </w:pPr>
    <w:rPr>
      <w:rFonts w:ascii="Arial" w:hAnsi="Arial" w:eastAsia="Arial" w:cs="Arial"/>
      <w:i/>
      <w:iCs/>
      <w:sz w:val="22"/>
      <w:szCs w:val="22"/>
    </w:rPr>
  </w:style>
  <w:style w:type="character" w:styleId="684">
    <w:name w:val="Heading 8 Char"/>
    <w:basedOn w:val="846"/>
    <w:link w:val="683"/>
    <w:uiPriority w:val="9"/>
    <w:rPr>
      <w:rFonts w:ascii="Arial" w:hAnsi="Arial" w:eastAsia="Arial" w:cs="Arial"/>
      <w:i/>
      <w:iCs/>
      <w:sz w:val="22"/>
      <w:szCs w:val="22"/>
    </w:rPr>
  </w:style>
  <w:style w:type="paragraph" w:styleId="685">
    <w:name w:val="Heading 9"/>
    <w:basedOn w:val="842"/>
    <w:next w:val="842"/>
    <w:link w:val="686"/>
    <w:uiPriority w:val="9"/>
    <w:unhideWhenUsed/>
    <w:qFormat/>
    <w:pPr>
      <w:keepLines/>
      <w:keepNext/>
      <w:spacing w:before="320" w:after="200"/>
      <w:outlineLvl w:val="8"/>
    </w:pPr>
    <w:rPr>
      <w:rFonts w:ascii="Arial" w:hAnsi="Arial" w:eastAsia="Arial" w:cs="Arial"/>
      <w:i/>
      <w:iCs/>
      <w:sz w:val="21"/>
      <w:szCs w:val="21"/>
    </w:rPr>
  </w:style>
  <w:style w:type="character" w:styleId="686">
    <w:name w:val="Heading 9 Char"/>
    <w:basedOn w:val="846"/>
    <w:link w:val="685"/>
    <w:uiPriority w:val="9"/>
    <w:rPr>
      <w:rFonts w:ascii="Arial" w:hAnsi="Arial" w:eastAsia="Arial" w:cs="Arial"/>
      <w:i/>
      <w:iCs/>
      <w:sz w:val="21"/>
      <w:szCs w:val="21"/>
    </w:rPr>
  </w:style>
  <w:style w:type="paragraph" w:styleId="687">
    <w:name w:val="List Paragraph"/>
    <w:basedOn w:val="842"/>
    <w:uiPriority w:val="34"/>
    <w:qFormat/>
    <w:pPr>
      <w:contextualSpacing/>
      <w:ind w:left="720"/>
    </w:pPr>
  </w:style>
  <w:style w:type="paragraph" w:styleId="688">
    <w:name w:val="No Spacing"/>
    <w:uiPriority w:val="1"/>
    <w:qFormat/>
    <w:pPr>
      <w:spacing w:before="0" w:after="0" w:line="240" w:lineRule="auto"/>
    </w:pPr>
  </w:style>
  <w:style w:type="paragraph" w:styleId="689">
    <w:name w:val="Title"/>
    <w:basedOn w:val="842"/>
    <w:next w:val="842"/>
    <w:link w:val="690"/>
    <w:uiPriority w:val="10"/>
    <w:qFormat/>
    <w:pPr>
      <w:contextualSpacing/>
      <w:spacing w:before="300" w:after="200"/>
    </w:pPr>
    <w:rPr>
      <w:sz w:val="48"/>
      <w:szCs w:val="48"/>
    </w:rPr>
  </w:style>
  <w:style w:type="character" w:styleId="690">
    <w:name w:val="Title Char"/>
    <w:basedOn w:val="846"/>
    <w:link w:val="689"/>
    <w:uiPriority w:val="10"/>
    <w:rPr>
      <w:sz w:val="48"/>
      <w:szCs w:val="48"/>
    </w:rPr>
  </w:style>
  <w:style w:type="paragraph" w:styleId="691">
    <w:name w:val="Subtitle"/>
    <w:basedOn w:val="842"/>
    <w:next w:val="842"/>
    <w:link w:val="692"/>
    <w:uiPriority w:val="11"/>
    <w:qFormat/>
    <w:pPr>
      <w:spacing w:before="200" w:after="200"/>
    </w:pPr>
    <w:rPr>
      <w:sz w:val="24"/>
      <w:szCs w:val="24"/>
    </w:rPr>
  </w:style>
  <w:style w:type="character" w:styleId="692">
    <w:name w:val="Subtitle Char"/>
    <w:basedOn w:val="846"/>
    <w:link w:val="691"/>
    <w:uiPriority w:val="11"/>
    <w:rPr>
      <w:sz w:val="24"/>
      <w:szCs w:val="24"/>
    </w:rPr>
  </w:style>
  <w:style w:type="paragraph" w:styleId="693">
    <w:name w:val="Quote"/>
    <w:basedOn w:val="842"/>
    <w:next w:val="842"/>
    <w:link w:val="694"/>
    <w:uiPriority w:val="29"/>
    <w:qFormat/>
    <w:pPr>
      <w:ind w:left="720" w:right="720"/>
    </w:pPr>
    <w:rPr>
      <w:i/>
    </w:rPr>
  </w:style>
  <w:style w:type="character" w:styleId="694">
    <w:name w:val="Quote Char"/>
    <w:link w:val="693"/>
    <w:uiPriority w:val="29"/>
    <w:rPr>
      <w:i/>
    </w:rPr>
  </w:style>
  <w:style w:type="paragraph" w:styleId="695">
    <w:name w:val="Intense Quote"/>
    <w:basedOn w:val="842"/>
    <w:next w:val="842"/>
    <w:link w:val="69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96">
    <w:name w:val="Intense Quote Char"/>
    <w:link w:val="695"/>
    <w:uiPriority w:val="30"/>
    <w:rPr>
      <w:i/>
    </w:rPr>
  </w:style>
  <w:style w:type="character" w:styleId="697">
    <w:name w:val="Header Char"/>
    <w:basedOn w:val="846"/>
    <w:link w:val="857"/>
    <w:uiPriority w:val="99"/>
  </w:style>
  <w:style w:type="character" w:styleId="698">
    <w:name w:val="Footer Char"/>
    <w:basedOn w:val="846"/>
    <w:link w:val="856"/>
    <w:uiPriority w:val="99"/>
  </w:style>
  <w:style w:type="paragraph" w:styleId="699">
    <w:name w:val="Caption"/>
    <w:basedOn w:val="842"/>
    <w:next w:val="842"/>
    <w:uiPriority w:val="35"/>
    <w:semiHidden/>
    <w:unhideWhenUsed/>
    <w:qFormat/>
    <w:pPr>
      <w:spacing w:line="276" w:lineRule="auto"/>
    </w:pPr>
    <w:rPr>
      <w:b/>
      <w:bCs/>
      <w:color w:val="4f81bd" w:themeColor="accent1"/>
      <w:sz w:val="18"/>
      <w:szCs w:val="18"/>
    </w:rPr>
  </w:style>
  <w:style w:type="character" w:styleId="700">
    <w:name w:val="Caption Char"/>
    <w:basedOn w:val="699"/>
    <w:link w:val="856"/>
    <w:uiPriority w:val="99"/>
  </w:style>
  <w:style w:type="table" w:styleId="701">
    <w:name w:val="Table Grid Light"/>
    <w:basedOn w:val="84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02">
    <w:name w:val="Plain Table 1"/>
    <w:basedOn w:val="84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03">
    <w:name w:val="Plain Table 2"/>
    <w:basedOn w:val="84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04">
    <w:name w:val="Plain Table 3"/>
    <w:basedOn w:val="84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05">
    <w:name w:val="Plain Table 4"/>
    <w:basedOn w:val="84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06">
    <w:name w:val="Plain Table 5"/>
    <w:basedOn w:val="84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07">
    <w:name w:val="Grid Table 1 Light"/>
    <w:basedOn w:val="84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08">
    <w:name w:val="Grid Table 1 Light - Accent 1"/>
    <w:basedOn w:val="84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09">
    <w:name w:val="Grid Table 1 Light - Accent 2"/>
    <w:basedOn w:val="84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10">
    <w:name w:val="Grid Table 1 Light - Accent 3"/>
    <w:basedOn w:val="84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11">
    <w:name w:val="Grid Table 1 Light - Accent 4"/>
    <w:basedOn w:val="84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12">
    <w:name w:val="Grid Table 1 Light - Accent 5"/>
    <w:basedOn w:val="84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13">
    <w:name w:val="Grid Table 1 Light - Accent 6"/>
    <w:basedOn w:val="84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14">
    <w:name w:val="Grid Table 2"/>
    <w:basedOn w:val="84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15">
    <w:name w:val="Grid Table 2 - Accent 1"/>
    <w:basedOn w:val="84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16">
    <w:name w:val="Grid Table 2 - Accent 2"/>
    <w:basedOn w:val="84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17">
    <w:name w:val="Grid Table 2 - Accent 3"/>
    <w:basedOn w:val="84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18">
    <w:name w:val="Grid Table 2 - Accent 4"/>
    <w:basedOn w:val="84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19">
    <w:name w:val="Grid Table 2 - Accent 5"/>
    <w:basedOn w:val="84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20">
    <w:name w:val="Grid Table 2 - Accent 6"/>
    <w:basedOn w:val="84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21">
    <w:name w:val="Grid Table 3"/>
    <w:basedOn w:val="84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2">
    <w:name w:val="Grid Table 3 - Accent 1"/>
    <w:basedOn w:val="84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3">
    <w:name w:val="Grid Table 3 - Accent 2"/>
    <w:basedOn w:val="84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4">
    <w:name w:val="Grid Table 3 - Accent 3"/>
    <w:basedOn w:val="84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5">
    <w:name w:val="Grid Table 3 - Accent 4"/>
    <w:basedOn w:val="84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6">
    <w:name w:val="Grid Table 3 - Accent 5"/>
    <w:basedOn w:val="84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7">
    <w:name w:val="Grid Table 3 - Accent 6"/>
    <w:basedOn w:val="84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8">
    <w:name w:val="Grid Table 4"/>
    <w:basedOn w:val="84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29">
    <w:name w:val="Grid Table 4 - Accent 1"/>
    <w:basedOn w:val="847"/>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30">
    <w:name w:val="Grid Table 4 - Accent 2"/>
    <w:basedOn w:val="847"/>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31">
    <w:name w:val="Grid Table 4 - Accent 3"/>
    <w:basedOn w:val="847"/>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32">
    <w:name w:val="Grid Table 4 - Accent 4"/>
    <w:basedOn w:val="847"/>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33">
    <w:name w:val="Grid Table 4 - Accent 5"/>
    <w:basedOn w:val="847"/>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34">
    <w:name w:val="Grid Table 4 - Accent 6"/>
    <w:basedOn w:val="847"/>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35">
    <w:name w:val="Grid Table 5 Dark"/>
    <w:basedOn w:val="84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36">
    <w:name w:val="Grid Table 5 Dark- Accent 1"/>
    <w:basedOn w:val="84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37">
    <w:name w:val="Grid Table 5 Dark - Accent 2"/>
    <w:basedOn w:val="84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38">
    <w:name w:val="Grid Table 5 Dark - Accent 3"/>
    <w:basedOn w:val="84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39">
    <w:name w:val="Grid Table 5 Dark- Accent 4"/>
    <w:basedOn w:val="84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40">
    <w:name w:val="Grid Table 5 Dark - Accent 5"/>
    <w:basedOn w:val="84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41">
    <w:name w:val="Grid Table 5 Dark - Accent 6"/>
    <w:basedOn w:val="84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42">
    <w:name w:val="Grid Table 6 Colorful"/>
    <w:basedOn w:val="84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43">
    <w:name w:val="Grid Table 6 Colorful - Accent 1"/>
    <w:basedOn w:val="847"/>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44">
    <w:name w:val="Grid Table 6 Colorful - Accent 2"/>
    <w:basedOn w:val="84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45">
    <w:name w:val="Grid Table 6 Colorful - Accent 3"/>
    <w:basedOn w:val="847"/>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46">
    <w:name w:val="Grid Table 6 Colorful - Accent 4"/>
    <w:basedOn w:val="84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47">
    <w:name w:val="Grid Table 6 Colorful - Accent 5"/>
    <w:basedOn w:val="847"/>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48">
    <w:name w:val="Grid Table 6 Colorful - Accent 6"/>
    <w:basedOn w:val="847"/>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49">
    <w:name w:val="Grid Table 7 Colorful"/>
    <w:basedOn w:val="84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50">
    <w:name w:val="Grid Table 7 Colorful - Accent 1"/>
    <w:basedOn w:val="847"/>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51">
    <w:name w:val="Grid Table 7 Colorful - Accent 2"/>
    <w:basedOn w:val="847"/>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52">
    <w:name w:val="Grid Table 7 Colorful - Accent 3"/>
    <w:basedOn w:val="847"/>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53">
    <w:name w:val="Grid Table 7 Colorful - Accent 4"/>
    <w:basedOn w:val="847"/>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54">
    <w:name w:val="Grid Table 7 Colorful - Accent 5"/>
    <w:basedOn w:val="847"/>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55">
    <w:name w:val="Grid Table 7 Colorful - Accent 6"/>
    <w:basedOn w:val="847"/>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56">
    <w:name w:val="List Table 1 Light"/>
    <w:basedOn w:val="84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57">
    <w:name w:val="List Table 1 Light - Accent 1"/>
    <w:basedOn w:val="847"/>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58">
    <w:name w:val="List Table 1 Light - Accent 2"/>
    <w:basedOn w:val="847"/>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59">
    <w:name w:val="List Table 1 Light - Accent 3"/>
    <w:basedOn w:val="847"/>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60">
    <w:name w:val="List Table 1 Light - Accent 4"/>
    <w:basedOn w:val="847"/>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61">
    <w:name w:val="List Table 1 Light - Accent 5"/>
    <w:basedOn w:val="847"/>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62">
    <w:name w:val="List Table 1 Light - Accent 6"/>
    <w:basedOn w:val="847"/>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63">
    <w:name w:val="List Table 2"/>
    <w:basedOn w:val="84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64">
    <w:name w:val="List Table 2 - Accent 1"/>
    <w:basedOn w:val="847"/>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65">
    <w:name w:val="List Table 2 - Accent 2"/>
    <w:basedOn w:val="847"/>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66">
    <w:name w:val="List Table 2 - Accent 3"/>
    <w:basedOn w:val="847"/>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67">
    <w:name w:val="List Table 2 - Accent 4"/>
    <w:basedOn w:val="847"/>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68">
    <w:name w:val="List Table 2 - Accent 5"/>
    <w:basedOn w:val="847"/>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69">
    <w:name w:val="List Table 2 - Accent 6"/>
    <w:basedOn w:val="847"/>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70">
    <w:name w:val="List Table 3"/>
    <w:basedOn w:val="84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71">
    <w:name w:val="List Table 3 - Accent 1"/>
    <w:basedOn w:val="847"/>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72">
    <w:name w:val="List Table 3 - Accent 2"/>
    <w:basedOn w:val="84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73">
    <w:name w:val="List Table 3 - Accent 3"/>
    <w:basedOn w:val="847"/>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74">
    <w:name w:val="List Table 3 - Accent 4"/>
    <w:basedOn w:val="84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75">
    <w:name w:val="List Table 3 - Accent 5"/>
    <w:basedOn w:val="847"/>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76">
    <w:name w:val="List Table 3 - Accent 6"/>
    <w:basedOn w:val="847"/>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77">
    <w:name w:val="List Table 4"/>
    <w:basedOn w:val="84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78">
    <w:name w:val="List Table 4 - Accent 1"/>
    <w:basedOn w:val="847"/>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79">
    <w:name w:val="List Table 4 - Accent 2"/>
    <w:basedOn w:val="847"/>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80">
    <w:name w:val="List Table 4 - Accent 3"/>
    <w:basedOn w:val="847"/>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81">
    <w:name w:val="List Table 4 - Accent 4"/>
    <w:basedOn w:val="847"/>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82">
    <w:name w:val="List Table 4 - Accent 5"/>
    <w:basedOn w:val="847"/>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83">
    <w:name w:val="List Table 4 - Accent 6"/>
    <w:basedOn w:val="847"/>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84">
    <w:name w:val="List Table 5 Dark"/>
    <w:basedOn w:val="84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5">
    <w:name w:val="List Table 5 Dark - Accent 1"/>
    <w:basedOn w:val="847"/>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6">
    <w:name w:val="List Table 5 Dark - Accent 2"/>
    <w:basedOn w:val="847"/>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7">
    <w:name w:val="List Table 5 Dark - Accent 3"/>
    <w:basedOn w:val="847"/>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8">
    <w:name w:val="List Table 5 Dark - Accent 4"/>
    <w:basedOn w:val="847"/>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9">
    <w:name w:val="List Table 5 Dark - Accent 5"/>
    <w:basedOn w:val="847"/>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0">
    <w:name w:val="List Table 5 Dark - Accent 6"/>
    <w:basedOn w:val="847"/>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1">
    <w:name w:val="List Table 6 Colorful"/>
    <w:basedOn w:val="84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92">
    <w:name w:val="List Table 6 Colorful - Accent 1"/>
    <w:basedOn w:val="847"/>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793">
    <w:name w:val="List Table 6 Colorful - Accent 2"/>
    <w:basedOn w:val="847"/>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794">
    <w:name w:val="List Table 6 Colorful - Accent 3"/>
    <w:basedOn w:val="847"/>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795">
    <w:name w:val="List Table 6 Colorful - Accent 4"/>
    <w:basedOn w:val="847"/>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796">
    <w:name w:val="List Table 6 Colorful - Accent 5"/>
    <w:basedOn w:val="847"/>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797">
    <w:name w:val="List Table 6 Colorful - Accent 6"/>
    <w:basedOn w:val="847"/>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798">
    <w:name w:val="List Table 7 Colorful"/>
    <w:basedOn w:val="84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799">
    <w:name w:val="List Table 7 Colorful - Accent 1"/>
    <w:basedOn w:val="847"/>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00">
    <w:name w:val="List Table 7 Colorful - Accent 2"/>
    <w:basedOn w:val="847"/>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01">
    <w:name w:val="List Table 7 Colorful - Accent 3"/>
    <w:basedOn w:val="847"/>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02">
    <w:name w:val="List Table 7 Colorful - Accent 4"/>
    <w:basedOn w:val="847"/>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03">
    <w:name w:val="List Table 7 Colorful - Accent 5"/>
    <w:basedOn w:val="847"/>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04">
    <w:name w:val="List Table 7 Colorful - Accent 6"/>
    <w:basedOn w:val="847"/>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05">
    <w:name w:val="Lined - Accent"/>
    <w:basedOn w:val="84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06">
    <w:name w:val="Lined - Accent 1"/>
    <w:basedOn w:val="84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07">
    <w:name w:val="Lined - Accent 2"/>
    <w:basedOn w:val="84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08">
    <w:name w:val="Lined - Accent 3"/>
    <w:basedOn w:val="84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09">
    <w:name w:val="Lined - Accent 4"/>
    <w:basedOn w:val="84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10">
    <w:name w:val="Lined - Accent 5"/>
    <w:basedOn w:val="84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11">
    <w:name w:val="Lined - Accent 6"/>
    <w:basedOn w:val="84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12">
    <w:name w:val="Bordered &amp; Lined - Accent"/>
    <w:basedOn w:val="847"/>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13">
    <w:name w:val="Bordered &amp; Lined - Accent 1"/>
    <w:basedOn w:val="847"/>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14">
    <w:name w:val="Bordered &amp; Lined - Accent 2"/>
    <w:basedOn w:val="847"/>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15">
    <w:name w:val="Bordered &amp; Lined - Accent 3"/>
    <w:basedOn w:val="847"/>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16">
    <w:name w:val="Bordered &amp; Lined - Accent 4"/>
    <w:basedOn w:val="847"/>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17">
    <w:name w:val="Bordered &amp; Lined - Accent 5"/>
    <w:basedOn w:val="847"/>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18">
    <w:name w:val="Bordered &amp; Lined - Accent 6"/>
    <w:basedOn w:val="847"/>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19">
    <w:name w:val="Bordered"/>
    <w:basedOn w:val="847"/>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20">
    <w:name w:val="Bordered - Accent 1"/>
    <w:basedOn w:val="84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21">
    <w:name w:val="Bordered - Accent 2"/>
    <w:basedOn w:val="84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22">
    <w:name w:val="Bordered - Accent 3"/>
    <w:basedOn w:val="84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23">
    <w:name w:val="Bordered - Accent 4"/>
    <w:basedOn w:val="84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24">
    <w:name w:val="Bordered - Accent 5"/>
    <w:basedOn w:val="84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25">
    <w:name w:val="Bordered - Accent 6"/>
    <w:basedOn w:val="84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26">
    <w:name w:val="footnote text"/>
    <w:basedOn w:val="842"/>
    <w:link w:val="827"/>
    <w:uiPriority w:val="99"/>
    <w:semiHidden/>
    <w:unhideWhenUsed/>
    <w:pPr>
      <w:spacing w:after="40" w:line="240" w:lineRule="auto"/>
    </w:pPr>
    <w:rPr>
      <w:sz w:val="18"/>
    </w:rPr>
  </w:style>
  <w:style w:type="character" w:styleId="827">
    <w:name w:val="Footnote Text Char"/>
    <w:link w:val="826"/>
    <w:uiPriority w:val="99"/>
    <w:rPr>
      <w:sz w:val="18"/>
    </w:rPr>
  </w:style>
  <w:style w:type="character" w:styleId="828">
    <w:name w:val="footnote reference"/>
    <w:basedOn w:val="846"/>
    <w:uiPriority w:val="99"/>
    <w:unhideWhenUsed/>
    <w:rPr>
      <w:vertAlign w:val="superscript"/>
    </w:rPr>
  </w:style>
  <w:style w:type="paragraph" w:styleId="829">
    <w:name w:val="endnote text"/>
    <w:basedOn w:val="842"/>
    <w:link w:val="830"/>
    <w:uiPriority w:val="99"/>
    <w:semiHidden/>
    <w:unhideWhenUsed/>
    <w:pPr>
      <w:spacing w:after="0" w:line="240" w:lineRule="auto"/>
    </w:pPr>
    <w:rPr>
      <w:sz w:val="20"/>
    </w:rPr>
  </w:style>
  <w:style w:type="character" w:styleId="830">
    <w:name w:val="Endnote Text Char"/>
    <w:link w:val="829"/>
    <w:uiPriority w:val="99"/>
    <w:rPr>
      <w:sz w:val="20"/>
    </w:rPr>
  </w:style>
  <w:style w:type="character" w:styleId="831">
    <w:name w:val="endnote reference"/>
    <w:basedOn w:val="846"/>
    <w:uiPriority w:val="99"/>
    <w:semiHidden/>
    <w:unhideWhenUsed/>
    <w:rPr>
      <w:vertAlign w:val="superscript"/>
    </w:rPr>
  </w:style>
  <w:style w:type="paragraph" w:styleId="832">
    <w:name w:val="toc 2"/>
    <w:basedOn w:val="842"/>
    <w:next w:val="842"/>
    <w:uiPriority w:val="39"/>
    <w:unhideWhenUsed/>
    <w:pPr>
      <w:ind w:left="283" w:right="0" w:firstLine="0"/>
      <w:spacing w:after="57"/>
    </w:pPr>
  </w:style>
  <w:style w:type="paragraph" w:styleId="833">
    <w:name w:val="toc 3"/>
    <w:basedOn w:val="842"/>
    <w:next w:val="842"/>
    <w:uiPriority w:val="39"/>
    <w:unhideWhenUsed/>
    <w:pPr>
      <w:ind w:left="567" w:right="0" w:firstLine="0"/>
      <w:spacing w:after="57"/>
    </w:pPr>
  </w:style>
  <w:style w:type="paragraph" w:styleId="834">
    <w:name w:val="toc 4"/>
    <w:basedOn w:val="842"/>
    <w:next w:val="842"/>
    <w:uiPriority w:val="39"/>
    <w:unhideWhenUsed/>
    <w:pPr>
      <w:ind w:left="850" w:right="0" w:firstLine="0"/>
      <w:spacing w:after="57"/>
    </w:pPr>
  </w:style>
  <w:style w:type="paragraph" w:styleId="835">
    <w:name w:val="toc 5"/>
    <w:basedOn w:val="842"/>
    <w:next w:val="842"/>
    <w:uiPriority w:val="39"/>
    <w:unhideWhenUsed/>
    <w:pPr>
      <w:ind w:left="1134" w:right="0" w:firstLine="0"/>
      <w:spacing w:after="57"/>
    </w:pPr>
  </w:style>
  <w:style w:type="paragraph" w:styleId="836">
    <w:name w:val="toc 6"/>
    <w:basedOn w:val="842"/>
    <w:next w:val="842"/>
    <w:uiPriority w:val="39"/>
    <w:unhideWhenUsed/>
    <w:pPr>
      <w:ind w:left="1417" w:right="0" w:firstLine="0"/>
      <w:spacing w:after="57"/>
    </w:pPr>
  </w:style>
  <w:style w:type="paragraph" w:styleId="837">
    <w:name w:val="toc 7"/>
    <w:basedOn w:val="842"/>
    <w:next w:val="842"/>
    <w:uiPriority w:val="39"/>
    <w:unhideWhenUsed/>
    <w:pPr>
      <w:ind w:left="1701" w:right="0" w:firstLine="0"/>
      <w:spacing w:after="57"/>
    </w:pPr>
  </w:style>
  <w:style w:type="paragraph" w:styleId="838">
    <w:name w:val="toc 8"/>
    <w:basedOn w:val="842"/>
    <w:next w:val="842"/>
    <w:uiPriority w:val="39"/>
    <w:unhideWhenUsed/>
    <w:pPr>
      <w:ind w:left="1984" w:right="0" w:firstLine="0"/>
      <w:spacing w:after="57"/>
    </w:pPr>
  </w:style>
  <w:style w:type="paragraph" w:styleId="839">
    <w:name w:val="toc 9"/>
    <w:basedOn w:val="842"/>
    <w:next w:val="842"/>
    <w:uiPriority w:val="39"/>
    <w:unhideWhenUsed/>
    <w:pPr>
      <w:ind w:left="2268" w:right="0" w:firstLine="0"/>
      <w:spacing w:after="57"/>
    </w:pPr>
  </w:style>
  <w:style w:type="paragraph" w:styleId="840">
    <w:name w:val="TOC Heading"/>
    <w:uiPriority w:val="39"/>
    <w:unhideWhenUsed/>
  </w:style>
  <w:style w:type="paragraph" w:styleId="841">
    <w:name w:val="table of figures"/>
    <w:basedOn w:val="842"/>
    <w:next w:val="842"/>
    <w:uiPriority w:val="99"/>
    <w:unhideWhenUsed/>
    <w:pPr>
      <w:spacing w:after="0" w:afterAutospacing="0"/>
    </w:pPr>
  </w:style>
  <w:style w:type="paragraph" w:styleId="842" w:default="1">
    <w:name w:val="Normal"/>
    <w:next w:val="849"/>
    <w:qFormat/>
    <w:pPr>
      <w:jc w:val="both"/>
      <w:widowControl w:val="off"/>
    </w:pPr>
    <w:rPr>
      <w:rFonts w:asciiTheme="minorHAnsi" w:hAnsiTheme="minorHAnsi" w:eastAsiaTheme="minorEastAsia" w:cstheme="minorBidi"/>
      <w:sz w:val="21"/>
      <w:szCs w:val="22"/>
    </w:rPr>
  </w:style>
  <w:style w:type="paragraph" w:styleId="843">
    <w:name w:val="Heading 1"/>
    <w:basedOn w:val="842"/>
    <w:next w:val="842"/>
    <w:link w:val="868"/>
    <w:uiPriority w:val="9"/>
    <w:qFormat/>
    <w:pPr>
      <w:keepLines/>
      <w:keepNext/>
      <w:spacing w:before="340" w:after="330" w:line="578" w:lineRule="auto"/>
      <w:outlineLvl w:val="0"/>
    </w:pPr>
    <w:rPr>
      <w:b/>
      <w:bCs/>
      <w:sz w:val="44"/>
      <w:szCs w:val="44"/>
    </w:rPr>
  </w:style>
  <w:style w:type="paragraph" w:styleId="844">
    <w:name w:val="Heading 2"/>
    <w:basedOn w:val="842"/>
    <w:next w:val="842"/>
    <w:link w:val="870"/>
    <w:uiPriority w:val="9"/>
    <w:unhideWhenUsed/>
    <w:qFormat/>
    <w:pPr>
      <w:keepLines/>
      <w:keepNext/>
      <w:spacing w:before="260" w:after="260" w:line="416" w:lineRule="auto"/>
      <w:outlineLvl w:val="1"/>
    </w:pPr>
    <w:rPr>
      <w:rFonts w:asciiTheme="majorHAnsi" w:hAnsiTheme="majorHAnsi" w:eastAsiaTheme="majorEastAsia" w:cstheme="majorBidi"/>
      <w:b/>
      <w:bCs/>
      <w:sz w:val="32"/>
      <w:szCs w:val="32"/>
    </w:rPr>
  </w:style>
  <w:style w:type="paragraph" w:styleId="845">
    <w:name w:val="Heading 3"/>
    <w:basedOn w:val="842"/>
    <w:next w:val="842"/>
    <w:link w:val="871"/>
    <w:uiPriority w:val="9"/>
    <w:unhideWhenUsed/>
    <w:qFormat/>
    <w:pPr>
      <w:keepLines/>
      <w:keepNext/>
      <w:spacing w:before="260" w:after="260" w:line="416" w:lineRule="auto"/>
      <w:outlineLvl w:val="2"/>
    </w:pPr>
    <w:rPr>
      <w:b/>
      <w:bCs/>
      <w:sz w:val="32"/>
      <w:szCs w:val="32"/>
    </w:rPr>
  </w:style>
  <w:style w:type="character" w:styleId="846" w:default="1">
    <w:name w:val="Default Paragraph Font"/>
    <w:uiPriority w:val="1"/>
    <w:unhideWhenUsed/>
  </w:style>
  <w:style w:type="table" w:styleId="847" w:default="1">
    <w:name w:val="Normal Table"/>
    <w:uiPriority w:val="99"/>
    <w:semiHidden/>
    <w:unhideWhenUsed/>
    <w:qFormat/>
    <w:tblPr>
      <w:tblInd w:w="0" w:type="dxa"/>
      <w:tblCellMar>
        <w:left w:w="108" w:type="dxa"/>
        <w:top w:w="0" w:type="dxa"/>
        <w:right w:w="108" w:type="dxa"/>
        <w:bottom w:w="0" w:type="dxa"/>
      </w:tblCellMar>
    </w:tblPr>
  </w:style>
  <w:style w:type="numbering" w:styleId="848" w:default="1">
    <w:name w:val="No List"/>
    <w:uiPriority w:val="99"/>
    <w:semiHidden/>
    <w:unhideWhenUsed/>
  </w:style>
  <w:style w:type="paragraph" w:styleId="849">
    <w:name w:val="Normal Indent"/>
    <w:basedOn w:val="842"/>
    <w:qFormat/>
    <w:pPr>
      <w:ind w:firstLine="420"/>
    </w:pPr>
    <w:rPr>
      <w:szCs w:val="20"/>
    </w:rPr>
  </w:style>
  <w:style w:type="paragraph" w:styleId="850">
    <w:name w:val="Document Map"/>
    <w:basedOn w:val="842"/>
    <w:link w:val="869"/>
    <w:uiPriority w:val="99"/>
    <w:semiHidden/>
    <w:unhideWhenUsed/>
    <w:qFormat/>
    <w:rPr>
      <w:rFonts w:ascii="宋体" w:eastAsia="宋体"/>
      <w:sz w:val="18"/>
      <w:szCs w:val="18"/>
    </w:rPr>
  </w:style>
  <w:style w:type="paragraph" w:styleId="851">
    <w:name w:val="annotation text"/>
    <w:basedOn w:val="842"/>
    <w:link w:val="873"/>
    <w:qFormat/>
    <w:pPr>
      <w:ind w:firstLine="922"/>
      <w:jc w:val="left"/>
      <w:spacing w:line="360" w:lineRule="auto"/>
    </w:pPr>
    <w:rPr>
      <w:rFonts w:ascii="Times New Roman" w:hAnsi="Times New Roman" w:eastAsia="宋体" w:cs="Times New Roman"/>
      <w:szCs w:val="24"/>
    </w:rPr>
  </w:style>
  <w:style w:type="paragraph" w:styleId="852">
    <w:name w:val="Body Text Indent"/>
    <w:basedOn w:val="842"/>
    <w:link w:val="880"/>
    <w:uiPriority w:val="99"/>
    <w:semiHidden/>
    <w:unhideWhenUsed/>
    <w:qFormat/>
    <w:pPr>
      <w:ind w:left="420"/>
      <w:spacing w:after="120"/>
    </w:pPr>
  </w:style>
  <w:style w:type="paragraph" w:styleId="853">
    <w:name w:val="Plain Text"/>
    <w:basedOn w:val="842"/>
    <w:link w:val="877"/>
    <w:qFormat/>
    <w:rPr>
      <w:rFonts w:ascii="宋体" w:hAnsi="Courier New" w:eastAsia="宋体" w:cs="Times New Roman"/>
      <w:szCs w:val="20"/>
    </w:rPr>
  </w:style>
  <w:style w:type="paragraph" w:styleId="854">
    <w:name w:val="Date"/>
    <w:basedOn w:val="842"/>
    <w:next w:val="842"/>
    <w:link w:val="872"/>
    <w:uiPriority w:val="99"/>
    <w:semiHidden/>
    <w:unhideWhenUsed/>
    <w:qFormat/>
    <w:pPr>
      <w:ind w:left="100"/>
    </w:pPr>
  </w:style>
  <w:style w:type="paragraph" w:styleId="855">
    <w:name w:val="Balloon Text"/>
    <w:basedOn w:val="842"/>
    <w:link w:val="874"/>
    <w:uiPriority w:val="99"/>
    <w:semiHidden/>
    <w:unhideWhenUsed/>
    <w:qFormat/>
    <w:rPr>
      <w:sz w:val="18"/>
      <w:szCs w:val="18"/>
    </w:rPr>
  </w:style>
  <w:style w:type="paragraph" w:styleId="856">
    <w:name w:val="Footer"/>
    <w:basedOn w:val="842"/>
    <w:link w:val="867"/>
    <w:uiPriority w:val="99"/>
    <w:unhideWhenUsed/>
    <w:qFormat/>
    <w:pPr>
      <w:jc w:val="left"/>
      <w:tabs>
        <w:tab w:val="center" w:pos="4153" w:leader="none"/>
        <w:tab w:val="right" w:pos="8306" w:leader="none"/>
      </w:tabs>
    </w:pPr>
    <w:rPr>
      <w:sz w:val="18"/>
      <w:szCs w:val="18"/>
    </w:rPr>
  </w:style>
  <w:style w:type="paragraph" w:styleId="857">
    <w:name w:val="Header"/>
    <w:basedOn w:val="842"/>
    <w:link w:val="866"/>
    <w:uiPriority w:val="99"/>
    <w:semiHidden/>
    <w:unhideWhenUsed/>
    <w:qFormat/>
    <w:pPr>
      <w:jc w:val="center"/>
      <w:tabs>
        <w:tab w:val="center" w:pos="4153" w:leader="none"/>
        <w:tab w:val="right" w:pos="8306" w:leader="none"/>
      </w:tabs>
      <w:pBdr>
        <w:bottom w:val="single" w:color="auto" w:sz="6" w:space="1"/>
      </w:pBdr>
    </w:pPr>
    <w:rPr>
      <w:sz w:val="18"/>
      <w:szCs w:val="18"/>
    </w:rPr>
  </w:style>
  <w:style w:type="paragraph" w:styleId="858">
    <w:name w:val="toc 1"/>
    <w:basedOn w:val="842"/>
    <w:next w:val="842"/>
    <w:uiPriority w:val="39"/>
    <w:unhideWhenUsed/>
    <w:qFormat/>
    <w:pPr>
      <w:jc w:val="center"/>
      <w:spacing w:line="360" w:lineRule="auto"/>
      <w:tabs>
        <w:tab w:val="right" w:pos="9628" w:leader="dot"/>
      </w:tabs>
    </w:pPr>
    <w:rPr>
      <w:sz w:val="32"/>
    </w:rPr>
  </w:style>
  <w:style w:type="paragraph" w:styleId="859">
    <w:name w:val="Normal (Web)"/>
    <w:basedOn w:val="842"/>
    <w:uiPriority w:val="99"/>
    <w:semiHidden/>
    <w:unhideWhenUsed/>
    <w:qFormat/>
    <w:pPr>
      <w:jc w:val="left"/>
      <w:spacing w:beforeAutospacing="1" w:afterAutospacing="1"/>
    </w:pPr>
    <w:rPr>
      <w:rFonts w:cs="Times New Roman"/>
      <w:sz w:val="24"/>
    </w:rPr>
  </w:style>
  <w:style w:type="paragraph" w:styleId="860">
    <w:name w:val="annotation subject"/>
    <w:basedOn w:val="851"/>
    <w:next w:val="851"/>
    <w:link w:val="882"/>
    <w:uiPriority w:val="99"/>
    <w:semiHidden/>
    <w:unhideWhenUsed/>
    <w:qFormat/>
    <w:pPr>
      <w:ind w:firstLine="0"/>
      <w:spacing w:line="240" w:lineRule="auto"/>
    </w:pPr>
    <w:rPr>
      <w:rFonts w:asciiTheme="minorHAnsi" w:hAnsiTheme="minorHAnsi" w:eastAsiaTheme="minorEastAsia" w:cstheme="minorBidi"/>
      <w:b/>
      <w:bCs/>
      <w:szCs w:val="22"/>
    </w:rPr>
  </w:style>
  <w:style w:type="paragraph" w:styleId="861">
    <w:name w:val="Body Text First Indent 2"/>
    <w:link w:val="881"/>
    <w:uiPriority w:val="99"/>
    <w:unhideWhenUsed/>
    <w:qFormat/>
    <w:pPr>
      <w:ind w:left="420" w:firstLine="420"/>
      <w:jc w:val="both"/>
      <w:spacing w:after="120"/>
      <w:widowControl w:val="off"/>
    </w:pPr>
    <w:rPr>
      <w:rFonts w:ascii="Calibri" w:hAnsi="Calibri"/>
      <w:sz w:val="21"/>
    </w:rPr>
  </w:style>
  <w:style w:type="table" w:styleId="862">
    <w:name w:val="Table Grid"/>
    <w:basedOn w:val="847"/>
    <w:uiPriority w:val="59"/>
    <w:qFormat/>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63">
    <w:name w:val="Strong"/>
    <w:basedOn w:val="846"/>
    <w:uiPriority w:val="22"/>
    <w:qFormat/>
    <w:rPr>
      <w:b/>
      <w:bCs/>
    </w:rPr>
  </w:style>
  <w:style w:type="character" w:styleId="864">
    <w:name w:val="Hyperlink"/>
    <w:uiPriority w:val="99"/>
    <w:qFormat/>
    <w:rPr>
      <w:color w:val="0000ff"/>
      <w:u w:val="none"/>
    </w:rPr>
  </w:style>
  <w:style w:type="character" w:styleId="865">
    <w:name w:val="annotation reference"/>
    <w:qFormat/>
    <w:rPr>
      <w:sz w:val="21"/>
      <w:szCs w:val="21"/>
    </w:rPr>
  </w:style>
  <w:style w:type="character" w:styleId="866" w:customStyle="1">
    <w:name w:val="页眉 Char"/>
    <w:basedOn w:val="846"/>
    <w:link w:val="857"/>
    <w:uiPriority w:val="99"/>
    <w:semiHidden/>
    <w:qFormat/>
    <w:rPr>
      <w:sz w:val="18"/>
      <w:szCs w:val="18"/>
    </w:rPr>
  </w:style>
  <w:style w:type="character" w:styleId="867" w:customStyle="1">
    <w:name w:val="页脚 Char"/>
    <w:basedOn w:val="846"/>
    <w:link w:val="856"/>
    <w:uiPriority w:val="99"/>
    <w:qFormat/>
    <w:rPr>
      <w:sz w:val="18"/>
      <w:szCs w:val="18"/>
    </w:rPr>
  </w:style>
  <w:style w:type="character" w:styleId="868" w:customStyle="1">
    <w:name w:val="标题 1 Char"/>
    <w:basedOn w:val="846"/>
    <w:link w:val="843"/>
    <w:uiPriority w:val="9"/>
    <w:qFormat/>
    <w:rPr>
      <w:b/>
      <w:bCs/>
      <w:sz w:val="44"/>
      <w:szCs w:val="44"/>
    </w:rPr>
  </w:style>
  <w:style w:type="character" w:styleId="869" w:customStyle="1">
    <w:name w:val="文档结构图 Char"/>
    <w:basedOn w:val="846"/>
    <w:link w:val="850"/>
    <w:uiPriority w:val="99"/>
    <w:semiHidden/>
    <w:qFormat/>
    <w:rPr>
      <w:rFonts w:ascii="宋体" w:eastAsia="宋体"/>
      <w:sz w:val="18"/>
      <w:szCs w:val="18"/>
    </w:rPr>
  </w:style>
  <w:style w:type="character" w:styleId="870" w:customStyle="1">
    <w:name w:val="标题 2 Char"/>
    <w:basedOn w:val="846"/>
    <w:link w:val="844"/>
    <w:uiPriority w:val="9"/>
    <w:qFormat/>
    <w:rPr>
      <w:rFonts w:asciiTheme="majorHAnsi" w:hAnsiTheme="majorHAnsi" w:eastAsiaTheme="majorEastAsia" w:cstheme="majorBidi"/>
      <w:b/>
      <w:bCs/>
      <w:sz w:val="32"/>
      <w:szCs w:val="32"/>
    </w:rPr>
  </w:style>
  <w:style w:type="character" w:styleId="871" w:customStyle="1">
    <w:name w:val="标题 3 Char"/>
    <w:basedOn w:val="846"/>
    <w:link w:val="845"/>
    <w:uiPriority w:val="9"/>
    <w:qFormat/>
    <w:rPr>
      <w:b/>
      <w:bCs/>
      <w:sz w:val="32"/>
      <w:szCs w:val="32"/>
    </w:rPr>
  </w:style>
  <w:style w:type="character" w:styleId="872" w:customStyle="1">
    <w:name w:val="日期 Char"/>
    <w:basedOn w:val="846"/>
    <w:link w:val="854"/>
    <w:uiPriority w:val="99"/>
    <w:semiHidden/>
    <w:qFormat/>
  </w:style>
  <w:style w:type="character" w:styleId="873" w:customStyle="1">
    <w:name w:val="批注文字 Char"/>
    <w:basedOn w:val="846"/>
    <w:link w:val="851"/>
    <w:qFormat/>
    <w:rPr>
      <w:rFonts w:ascii="Times New Roman" w:hAnsi="Times New Roman" w:eastAsia="宋体" w:cs="Times New Roman"/>
      <w:szCs w:val="24"/>
    </w:rPr>
  </w:style>
  <w:style w:type="character" w:styleId="874" w:customStyle="1">
    <w:name w:val="批注框文本 Char"/>
    <w:basedOn w:val="846"/>
    <w:link w:val="855"/>
    <w:uiPriority w:val="99"/>
    <w:semiHidden/>
    <w:qFormat/>
    <w:rPr>
      <w:sz w:val="18"/>
      <w:szCs w:val="18"/>
    </w:rPr>
  </w:style>
  <w:style w:type="paragraph" w:styleId="875" w:customStyle="1">
    <w:name w:val="Default"/>
    <w:link w:val="876"/>
    <w:uiPriority w:val="99"/>
    <w:qFormat/>
    <w:pPr>
      <w:widowControl w:val="off"/>
    </w:pPr>
    <w:rPr>
      <w:rFonts w:ascii="MS Mincho" w:hAnsi="Calibri"/>
      <w:color w:val="000000"/>
      <w:sz w:val="21"/>
      <w:szCs w:val="24"/>
    </w:rPr>
  </w:style>
  <w:style w:type="character" w:styleId="876" w:customStyle="1">
    <w:name w:val="Default Char"/>
    <w:link w:val="875"/>
    <w:uiPriority w:val="99"/>
    <w:qFormat/>
    <w:rPr>
      <w:rFonts w:ascii="MS Mincho" w:hAnsi="Calibri" w:eastAsia="宋体" w:cs="Times New Roman"/>
      <w:color w:val="000000"/>
      <w:szCs w:val="24"/>
    </w:rPr>
  </w:style>
  <w:style w:type="character" w:styleId="877" w:customStyle="1">
    <w:name w:val="纯文本 Char"/>
    <w:basedOn w:val="846"/>
    <w:link w:val="853"/>
    <w:qFormat/>
    <w:rPr>
      <w:rFonts w:ascii="宋体" w:hAnsi="Courier New" w:eastAsia="宋体" w:cs="Times New Roman"/>
      <w:szCs w:val="20"/>
    </w:rPr>
  </w:style>
  <w:style w:type="paragraph" w:styleId="878" w:customStyle="1">
    <w:name w:val="批注文字1"/>
    <w:basedOn w:val="842"/>
    <w:qFormat/>
    <w:pPr>
      <w:ind w:firstLine="922"/>
      <w:jc w:val="left"/>
      <w:spacing w:line="360" w:lineRule="auto"/>
    </w:pPr>
    <w:rPr>
      <w:rFonts w:ascii="Times New Roman" w:hAnsi="Times New Roman" w:eastAsia="宋体" w:cs="Times New Roman"/>
      <w:szCs w:val="24"/>
    </w:rPr>
  </w:style>
  <w:style w:type="paragraph" w:styleId="879" w:customStyle="1">
    <w:name w:val="普通(网站)1"/>
    <w:basedOn w:val="842"/>
    <w:qFormat/>
    <w:rPr>
      <w:sz w:val="24"/>
    </w:rPr>
  </w:style>
  <w:style w:type="character" w:styleId="880" w:customStyle="1">
    <w:name w:val="正文文本缩进 Char"/>
    <w:basedOn w:val="846"/>
    <w:link w:val="852"/>
    <w:uiPriority w:val="99"/>
    <w:semiHidden/>
    <w:qFormat/>
    <w:rPr>
      <w:rFonts w:asciiTheme="minorHAnsi" w:hAnsiTheme="minorHAnsi" w:eastAsiaTheme="minorEastAsia" w:cstheme="minorBidi"/>
      <w:sz w:val="21"/>
      <w:szCs w:val="22"/>
    </w:rPr>
  </w:style>
  <w:style w:type="character" w:styleId="881" w:customStyle="1">
    <w:name w:val="正文首行缩进 2 Char"/>
    <w:basedOn w:val="880"/>
    <w:link w:val="861"/>
    <w:uiPriority w:val="99"/>
    <w:qFormat/>
    <w:rPr>
      <w:rFonts w:ascii="Calibri" w:hAnsi="Calibri" w:eastAsiaTheme="minorEastAsia" w:cstheme="minorBidi"/>
      <w:sz w:val="21"/>
      <w:szCs w:val="22"/>
    </w:rPr>
  </w:style>
  <w:style w:type="character" w:styleId="882" w:customStyle="1">
    <w:name w:val="批注主题 Char"/>
    <w:basedOn w:val="873"/>
    <w:link w:val="860"/>
    <w:uiPriority w:val="99"/>
    <w:semiHidden/>
    <w:qFormat/>
    <w:rPr>
      <w:rFonts w:asciiTheme="minorHAnsi" w:hAnsiTheme="minorHAnsi" w:eastAsiaTheme="minorEastAsia" w:cstheme="minorBidi"/>
      <w:b/>
      <w:bCs/>
      <w:sz w:val="21"/>
      <w:szCs w:val="22"/>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footer" Target="footer1.xml" /><Relationship Id="rId9" Type="http://schemas.openxmlformats.org/officeDocument/2006/relationships/footer" Target="footer2.xml" /><Relationship Id="rId10"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85F2EE9-497F-4950-B707-651A72FA541A}"/>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连云港市公共资源交易中心</dc:creator>
  <dc:description>2024年3月11日修订</dc:description>
  <cp:lastModifiedBy>李俊怡</cp:lastModifiedBy>
  <cp:revision>141</cp:revision>
  <dcterms:created xsi:type="dcterms:W3CDTF">2024-01-04T03:50:00Z</dcterms:created>
  <dcterms:modified xsi:type="dcterms:W3CDTF">2026-09-30T06:36:38Z</dcterms:modified>
  <cp:category>“苏采云”公开招标服务范本</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eyJoZGlkIjoiMzY5YjJkNGZkMjA4ZGQ4NjQwYzFlOGRmOWQyN2I4MTUiLCJ1c2VySWQiOiIyMTUxOTU3MTcifQ==</vt:lpwstr>
  </property>
  <property fmtid="{D5CDD505-2E9C-101B-9397-08002B2CF9AE}" pid="3" name="KSOProductBuildVer">
    <vt:lpwstr>2052-12.1.0.28505</vt:lpwstr>
  </property>
  <property fmtid="{D5CDD505-2E9C-101B-9397-08002B2CF9AE}" pid="4" name="ICV">
    <vt:lpwstr>5C13F96205EE456AB44B9D4ACC813A75_13</vt:lpwstr>
  </property>
</Properties>
</file>