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ascii="宋体" w:hAnsi="宋体" w:eastAsia="宋体" w:cs="宋体"/>
          <w:b/>
          <w:bCs/>
          <w:color w:val="auto"/>
          <w:sz w:val="84"/>
          <w:highlight w:val="none"/>
        </w:rPr>
      </w:pPr>
      <w:r>
        <w:rPr>
          <w:rFonts w:ascii="宋体" w:hAnsi="宋体" w:eastAsia="宋体" w:cs="宋体"/>
          <w:b/>
          <w:bCs/>
          <w:color w:val="auto"/>
          <w:sz w:val="84"/>
          <w:highlight w:val="none"/>
        </w:rPr>
      </w:r>
      <w:r/>
    </w:p>
    <w:p>
      <w:pPr>
        <w:jc w:val="center"/>
        <w:spacing w:before="120" w:after="120" w:line="360" w:lineRule="auto"/>
        <w:rPr>
          <w:rFonts w:ascii="宋体" w:hAnsi="宋体" w:eastAsia="宋体" w:cs="宋体"/>
          <w:b/>
          <w:bCs/>
          <w:color w:val="auto"/>
          <w:sz w:val="84"/>
          <w:highlight w:val="none"/>
        </w:rPr>
      </w:pPr>
      <w:r>
        <w:rPr>
          <w:rFonts w:hint="eastAsia" w:ascii="宋体" w:hAnsi="宋体" w:eastAsia="宋体" w:cs="宋体"/>
          <w:b/>
          <w:bCs/>
          <w:color w:val="auto"/>
          <w:sz w:val="84"/>
          <w:highlight w:val="none"/>
        </w:rPr>
        <w:t xml:space="preserve">招　标　文　件</w:t>
      </w:r>
      <w:r/>
    </w:p>
    <w:tbl>
      <w:tblPr>
        <w:tblStyle w:val="837"/>
        <w:tblW w:w="8458" w:type="dxa"/>
        <w:tblInd w:w="839" w:type="dxa"/>
        <w:tblLayout w:type="fixed"/>
        <w:tblCellMar>
          <w:left w:w="108" w:type="dxa"/>
          <w:top w:w="0" w:type="dxa"/>
          <w:right w:w="108" w:type="dxa"/>
          <w:bottom w:w="0" w:type="dxa"/>
        </w:tblCellMar>
        <w:tblLook w:val="04A0" w:firstRow="1" w:lastRow="0" w:firstColumn="1" w:lastColumn="0" w:noHBand="0" w:noVBand="1"/>
      </w:tblPr>
      <w:tblGrid>
        <w:gridCol w:w="1870"/>
        <w:gridCol w:w="656"/>
        <w:gridCol w:w="5932"/>
      </w:tblGrid>
      <w:tr>
        <w:trPr>
          <w:trHeight w:val="1024" w:hRule="exact"/>
        </w:trPr>
        <w:tc>
          <w:tcPr>
            <w:tcW w:w="1870" w:type="dxa"/>
            <w:vAlign w:val="center"/>
            <w:textDirection w:val="lrTb"/>
            <w:noWrap w:val="false"/>
          </w:tcPr>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项目名称</w:t>
            </w:r>
            <w:r/>
          </w:p>
        </w:tc>
        <w:tc>
          <w:tcPr>
            <w:tcW w:w="656"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932" w:type="dxa"/>
            <w:vAlign w:val="center"/>
            <w:textDirection w:val="lrTb"/>
            <w:noWrap w:val="false"/>
          </w:tcPr>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宿迁学院具身智能领域概念验证中心与产业学院项目</w:t>
            </w:r>
            <w:r/>
          </w:p>
        </w:tc>
      </w:tr>
      <w:tr>
        <w:trPr>
          <w:trHeight w:val="718" w:hRule="exact"/>
        </w:trPr>
        <w:tc>
          <w:tcPr>
            <w:tcW w:w="1870" w:type="dxa"/>
            <w:vAlign w:val="center"/>
            <w:textDirection w:val="lrTb"/>
            <w:noWrap w:val="false"/>
          </w:tcPr>
          <w:p>
            <w:pPr>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项目编号</w:t>
            </w:r>
            <w:r/>
          </w:p>
        </w:tc>
        <w:tc>
          <w:tcPr>
            <w:tcW w:w="656"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932" w:type="dxa"/>
            <w:vAlign w:val="center"/>
            <w:textDirection w:val="lrTb"/>
            <w:noWrap w:val="false"/>
          </w:tcPr>
          <w:p>
            <w:pPr>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t xml:space="preserve">JSZC-321300-JING-G2026-0031</w:t>
            </w:r>
            <w:r/>
          </w:p>
        </w:tc>
      </w:tr>
    </w:tbl>
    <w:p>
      <w:pPr>
        <w:jc w:val="center"/>
        <w:spacing w:before="120" w:after="120" w:line="360" w:lineRule="auto"/>
        <w:rPr>
          <w:rFonts w:ascii="宋体" w:hAnsi="宋体" w:eastAsia="宋体" w:cs="宋体"/>
          <w:b/>
          <w:bCs/>
          <w:color w:val="auto"/>
          <w:sz w:val="32"/>
          <w:highlight w:val="none"/>
        </w:rPr>
      </w:pPr>
      <w:r>
        <w:rPr>
          <w:rFonts w:ascii="宋体" w:hAnsi="宋体" w:eastAsia="宋体" w:cs="宋体"/>
          <w:b/>
          <w:bCs/>
          <w:color w:val="auto"/>
          <w:sz w:val="32"/>
          <w:highlight w:val="none"/>
        </w:rPr>
      </w:r>
      <w:r/>
    </w:p>
    <w:p>
      <w:pPr>
        <w:jc w:val="center"/>
        <w:spacing w:before="120" w:after="120" w:line="360" w:lineRule="auto"/>
        <w:rPr>
          <w:rFonts w:ascii="宋体" w:hAnsi="宋体" w:eastAsia="宋体" w:cs="宋体"/>
          <w:b/>
          <w:color w:val="auto"/>
          <w:sz w:val="30"/>
          <w:szCs w:val="30"/>
          <w:highlight w:val="none"/>
        </w:rPr>
      </w:pPr>
      <w:r>
        <w:rPr>
          <w:rFonts w:hint="eastAsia" w:ascii="宋体" w:hAnsi="宋体" w:eastAsia="宋体" w:cs="宋体"/>
          <w:b/>
          <w:bCs/>
          <w:color w:val="auto"/>
          <w:sz w:val="32"/>
          <w:highlight w:val="none"/>
        </w:rPr>
        <w:t xml:space="preserve">（</w:t>
      </w:r>
      <w:r>
        <w:rPr>
          <w:rFonts w:hint="eastAsia" w:ascii="宋体" w:hAnsi="宋体" w:eastAsia="宋体" w:cs="宋体"/>
          <w:b/>
          <w:bCs/>
          <w:color w:val="auto"/>
          <w:sz w:val="32"/>
          <w:highlight w:val="none"/>
          <w:u w:val="single"/>
        </w:rPr>
        <w:t xml:space="preserve">货物</w:t>
      </w:r>
      <w:r>
        <w:rPr>
          <w:rFonts w:hint="eastAsia" w:ascii="宋体" w:hAnsi="宋体" w:eastAsia="宋体" w:cs="宋体"/>
          <w:b/>
          <w:bCs/>
          <w:color w:val="auto"/>
          <w:sz w:val="32"/>
          <w:highlight w:val="none"/>
        </w:rPr>
        <w:t xml:space="preserve">类项目，</w:t>
      </w:r>
      <w:r>
        <w:rPr>
          <w:rFonts w:hint="eastAsia" w:ascii="宋体" w:hAnsi="宋体" w:eastAsia="宋体" w:cs="宋体"/>
          <w:b/>
          <w:bCs/>
          <w:color w:val="auto"/>
          <w:sz w:val="32"/>
          <w:highlight w:val="none"/>
          <w:u w:val="single"/>
          <w:lang w:val="en-US" w:eastAsia="zh-CN"/>
        </w:rPr>
        <w:t xml:space="preserve">不</w:t>
      </w:r>
      <w:r>
        <w:rPr>
          <w:rFonts w:hint="eastAsia" w:ascii="宋体" w:hAnsi="宋体" w:eastAsia="宋体" w:cs="宋体"/>
          <w:b/>
          <w:bCs/>
          <w:color w:val="auto"/>
          <w:sz w:val="32"/>
          <w:highlight w:val="none"/>
        </w:rPr>
        <w:t xml:space="preserve">专门面向中小企业）</w:t>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tbl>
      <w:tblPr>
        <w:tblStyle w:val="837"/>
        <w:tblW w:w="0" w:type="auto"/>
        <w:tblInd w:w="840" w:type="dxa"/>
        <w:tblLayout w:type="fixed"/>
        <w:tblCellMar>
          <w:left w:w="108" w:type="dxa"/>
          <w:top w:w="0" w:type="dxa"/>
          <w:right w:w="108" w:type="dxa"/>
          <w:bottom w:w="0" w:type="dxa"/>
        </w:tblCellMar>
        <w:tblLook w:val="04A0" w:firstRow="1" w:lastRow="0" w:firstColumn="1" w:lastColumn="0" w:noHBand="0" w:noVBand="1"/>
      </w:tblPr>
      <w:tblGrid>
        <w:gridCol w:w="2213"/>
        <w:gridCol w:w="564"/>
        <w:gridCol w:w="5542"/>
      </w:tblGrid>
      <w:tr>
        <w:trPr>
          <w:trHeight w:val="628" w:hRule="exact"/>
        </w:trPr>
        <w:tc>
          <w:tcPr>
            <w:tcW w:w="2213"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招标人</w:t>
            </w:r>
            <w:r/>
          </w:p>
        </w:tc>
        <w:tc>
          <w:tcPr>
            <w:tcW w:w="564"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542"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宿迁学院</w:t>
            </w:r>
            <w:r/>
          </w:p>
        </w:tc>
      </w:tr>
      <w:tr>
        <w:trPr>
          <w:trHeight w:val="628" w:hRule="exact"/>
        </w:trPr>
        <w:tc>
          <w:tcPr>
            <w:tcW w:w="2213"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采购代理机构</w:t>
            </w:r>
            <w:r/>
          </w:p>
        </w:tc>
        <w:tc>
          <w:tcPr>
            <w:tcW w:w="564"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542"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江苏经天纬地建设项目管理有限公司</w:t>
            </w:r>
            <w:r/>
          </w:p>
        </w:tc>
      </w:tr>
      <w:tr>
        <w:trPr>
          <w:trHeight w:val="628" w:hRule="exact"/>
        </w:trPr>
        <w:tc>
          <w:tcPr>
            <w:tcW w:w="2213"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日期</w:t>
            </w:r>
            <w:r/>
          </w:p>
        </w:tc>
        <w:tc>
          <w:tcPr>
            <w:tcW w:w="564" w:type="dxa"/>
            <w:vAlign w:val="center"/>
            <w:textDirection w:val="lrTb"/>
            <w:noWrap w:val="false"/>
          </w:tcPr>
          <w:p>
            <w:pPr>
              <w:jc w:val="center"/>
              <w:rPr>
                <w:rFonts w:ascii="宋体" w:hAnsi="宋体" w:eastAsia="宋体" w:cs="宋体"/>
                <w:b/>
                <w:bCs/>
                <w:color w:val="auto"/>
                <w:highlight w:val="none"/>
              </w:rPr>
            </w:pPr>
            <w:r>
              <w:rPr>
                <w:rFonts w:hint="eastAsia" w:ascii="宋体" w:hAnsi="宋体" w:eastAsia="宋体" w:cs="宋体"/>
                <w:b/>
                <w:bCs/>
                <w:color w:val="auto"/>
                <w:highlight w:val="none"/>
              </w:rPr>
              <w:t xml:space="preserve">：</w:t>
            </w:r>
            <w:r/>
          </w:p>
        </w:tc>
        <w:tc>
          <w:tcPr>
            <w:tcW w:w="5542" w:type="dxa"/>
            <w:vAlign w:val="center"/>
            <w:textDirection w:val="lrTb"/>
            <w:noWrap w:val="false"/>
          </w:tcPr>
          <w:p>
            <w:pPr>
              <w:jc w:val="left"/>
              <w:rPr>
                <w:rFonts w:ascii="宋体" w:hAnsi="宋体" w:eastAsia="宋体" w:cs="宋体"/>
                <w:b/>
                <w:bCs/>
                <w:color w:val="auto"/>
                <w:sz w:val="32"/>
                <w:szCs w:val="40"/>
                <w:highlight w:val="none"/>
              </w:rPr>
            </w:pPr>
            <w:r>
              <w:rPr>
                <w:rFonts w:hint="eastAsia" w:ascii="宋体" w:hAnsi="宋体" w:eastAsia="宋体" w:cs="宋体"/>
                <w:b/>
                <w:bCs/>
                <w:color w:val="auto"/>
                <w:sz w:val="32"/>
                <w:szCs w:val="40"/>
                <w:highlight w:val="none"/>
              </w:rPr>
              <w:t xml:space="preserve">2026年</w:t>
            </w:r>
            <w:r>
              <w:rPr>
                <w:rFonts w:hint="eastAsia" w:ascii="宋体" w:hAnsi="宋体" w:eastAsia="宋体" w:cs="宋体"/>
                <w:b/>
                <w:bCs/>
                <w:color w:val="auto"/>
                <w:sz w:val="32"/>
                <w:szCs w:val="40"/>
                <w:highlight w:val="none"/>
                <w:lang w:val="en-US" w:eastAsia="zh-CN"/>
              </w:rPr>
              <w:t xml:space="preserve">10月30</w:t>
            </w:r>
            <w:r>
              <w:rPr>
                <w:rFonts w:hint="eastAsia" w:ascii="宋体" w:hAnsi="宋体" w:eastAsia="宋体" w:cs="宋体"/>
                <w:b/>
                <w:bCs/>
                <w:color w:val="auto"/>
                <w:sz w:val="32"/>
                <w:szCs w:val="40"/>
                <w:highlight w:val="none"/>
              </w:rPr>
              <w:t xml:space="preserve">日</w:t>
            </w:r>
            <w:r/>
          </w:p>
        </w:tc>
      </w:tr>
    </w:tbl>
    <w:p>
      <w:pPr>
        <w:jc w:val="center"/>
        <w:spacing w:before="120" w:after="120"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480" w:lineRule="auto"/>
        <w:rPr>
          <w:rFonts w:ascii="宋体" w:hAnsi="宋体" w:eastAsia="宋体" w:cs="宋体"/>
          <w:b/>
          <w:color w:val="auto"/>
          <w:sz w:val="44"/>
          <w:szCs w:val="21"/>
          <w:highlight w:val="none"/>
        </w:rPr>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pgNumType w:start="0"/>
          <w:cols w:num="1" w:sep="0" w:space="720" w:equalWidth="1"/>
          <w:docGrid w:linePitch="360"/>
          <w:titlePg/>
        </w:sectPr>
      </w:pPr>
      <w:r/>
      <w:bookmarkStart w:id="0" w:name="_Toc120614210"/>
      <w:r/>
      <w:bookmarkStart w:id="1" w:name="_Toc523127445"/>
      <w:r/>
      <w:bookmarkStart w:id="2" w:name="_Toc16938516"/>
      <w:r/>
      <w:bookmarkStart w:id="3" w:name="_Toc479757206"/>
      <w:r/>
      <w:bookmarkStart w:id="4" w:name="_Toc20823272"/>
      <w:r/>
      <w:bookmarkStart w:id="5" w:name="_Toc513029200"/>
      <w:r/>
      <w:r/>
    </w:p>
    <w:p>
      <w:pPr>
        <w:jc w:val="center"/>
        <w:spacing w:line="360" w:lineRule="auto"/>
        <w:rPr>
          <w:rFonts w:ascii="宋体" w:hAnsi="宋体" w:eastAsia="宋体" w:cs="宋体"/>
          <w:b/>
          <w:color w:val="auto"/>
          <w:sz w:val="28"/>
          <w:szCs w:val="21"/>
          <w:highlight w:val="none"/>
        </w:rPr>
      </w:pPr>
      <w:r>
        <w:rPr>
          <w:rFonts w:hint="eastAsia" w:ascii="宋体" w:hAnsi="宋体" w:eastAsia="宋体" w:cs="宋体"/>
          <w:b/>
          <w:color w:val="auto"/>
          <w:sz w:val="44"/>
          <w:szCs w:val="21"/>
          <w:highlight w:val="none"/>
        </w:rPr>
        <w:t xml:space="preserve">总  目  录</w:t>
      </w:r>
      <w:r/>
    </w:p>
    <w:p>
      <w:pPr>
        <w:pStyle w:val="840"/>
        <w:spacing w:line="360" w:lineRule="auto"/>
        <w:tabs>
          <w:tab w:val="right" w:pos="8953" w:leader="dot"/>
        </w:tabs>
        <w:rPr>
          <w:rFonts w:hint="eastAsia" w:ascii="宋体" w:hAnsi="宋体" w:eastAsia="宋体" w:cs="宋体"/>
          <w:color w:val="auto"/>
          <w:sz w:val="32"/>
          <w:szCs w:val="44"/>
          <w:highlight w:val="none"/>
        </w:rPr>
      </w:pPr>
      <w:r>
        <w:rPr>
          <w:rFonts w:hint="eastAsia" w:ascii="宋体" w:hAnsi="宋体" w:eastAsia="宋体" w:cs="宋体"/>
          <w:b/>
          <w:bCs/>
          <w:caps/>
          <w:color w:val="auto"/>
          <w:sz w:val="36"/>
          <w:szCs w:val="36"/>
          <w:highlight w:val="none"/>
        </w:rPr>
        <w:fldChar w:fldCharType="begin"/>
      </w:r>
      <w:r>
        <w:rPr>
          <w:rFonts w:hint="eastAsia" w:ascii="宋体" w:hAnsi="宋体" w:eastAsia="宋体" w:cs="宋体"/>
          <w:b/>
          <w:bCs/>
          <w:caps/>
          <w:color w:val="auto"/>
          <w:sz w:val="36"/>
          <w:szCs w:val="36"/>
          <w:highlight w:val="none"/>
        </w:rPr>
        <w:instrText xml:space="preserve">TOC \o "1-1" \h \u </w:instrText>
      </w:r>
      <w:r>
        <w:rPr>
          <w:rFonts w:hint="eastAsia" w:ascii="宋体" w:hAnsi="宋体" w:eastAsia="宋体" w:cs="宋体"/>
          <w:b/>
          <w:bCs/>
          <w:caps/>
          <w:color w:val="auto"/>
          <w:sz w:val="36"/>
          <w:szCs w:val="36"/>
          <w:highlight w:val="none"/>
        </w:rPr>
        <w:fldChar w:fldCharType="separate"/>
      </w:r>
      <w:r>
        <w:rPr>
          <w:rFonts w:hint="eastAsia" w:ascii="宋体" w:hAnsi="宋体" w:eastAsia="宋体" w:cs="宋体"/>
          <w:color w:val="auto"/>
          <w:sz w:val="32"/>
          <w:szCs w:val="44"/>
          <w:highlight w:val="none"/>
        </w:rPr>
        <w:fldChar w:fldCharType="begin"/>
      </w:r>
      <w:r>
        <w:rPr>
          <w:rFonts w:hint="eastAsia" w:ascii="宋体" w:hAnsi="宋体" w:eastAsia="宋体" w:cs="宋体"/>
          <w:color w:val="auto"/>
          <w:sz w:val="32"/>
          <w:szCs w:val="44"/>
          <w:highlight w:val="none"/>
        </w:rPr>
        <w:instrText xml:space="preserve"> HYPERLINK \l "_Toc16874" </w:instrText>
      </w:r>
      <w:r>
        <w:rPr>
          <w:rFonts w:hint="eastAsia" w:ascii="宋体" w:hAnsi="宋体" w:eastAsia="宋体" w:cs="宋体"/>
          <w:color w:val="auto"/>
          <w:sz w:val="32"/>
          <w:szCs w:val="44"/>
          <w:highlight w:val="none"/>
        </w:rPr>
        <w:fldChar w:fldCharType="separate"/>
      </w:r>
      <w:r>
        <w:rPr>
          <w:rFonts w:hint="eastAsia" w:ascii="宋体" w:hAnsi="宋体" w:eastAsia="宋体" w:cs="宋体"/>
          <w:color w:val="auto"/>
          <w:sz w:val="32"/>
          <w:szCs w:val="44"/>
          <w:highlight w:val="none"/>
        </w:rPr>
        <w:t xml:space="preserve">第一章 投标邀请</w:t>
      </w:r>
      <w:r>
        <w:rPr>
          <w:rFonts w:hint="eastAsia" w:ascii="宋体" w:hAnsi="宋体" w:eastAsia="宋体" w:cs="宋体"/>
          <w:color w:val="auto"/>
          <w:sz w:val="32"/>
          <w:szCs w:val="44"/>
          <w:highlight w:val="none"/>
        </w:rPr>
        <w:tab/>
      </w:r>
      <w:r>
        <w:rPr>
          <w:rFonts w:hint="eastAsia" w:ascii="宋体" w:hAnsi="宋体" w:eastAsia="宋体" w:cs="宋体"/>
          <w:color w:val="auto"/>
          <w:sz w:val="32"/>
          <w:szCs w:val="44"/>
          <w:highlight w:val="none"/>
        </w:rPr>
        <w:fldChar w:fldCharType="begin"/>
      </w:r>
      <w:r>
        <w:rPr>
          <w:rFonts w:hint="eastAsia" w:ascii="宋体" w:hAnsi="宋体" w:eastAsia="宋体" w:cs="宋体"/>
          <w:color w:val="auto"/>
          <w:sz w:val="32"/>
          <w:szCs w:val="44"/>
          <w:highlight w:val="none"/>
        </w:rPr>
        <w:instrText xml:space="preserve"> PAGEREF _Toc16874 \h </w:instrText>
      </w:r>
      <w:r>
        <w:rPr>
          <w:rFonts w:hint="eastAsia" w:ascii="宋体" w:hAnsi="宋体" w:eastAsia="宋体" w:cs="宋体"/>
          <w:color w:val="auto"/>
          <w:sz w:val="32"/>
          <w:szCs w:val="44"/>
          <w:highlight w:val="none"/>
        </w:rPr>
        <w:fldChar w:fldCharType="separate"/>
      </w:r>
      <w:r>
        <w:rPr>
          <w:rFonts w:hint="eastAsia" w:ascii="宋体" w:hAnsi="宋体" w:eastAsia="宋体" w:cs="宋体"/>
          <w:color w:val="auto"/>
          <w:sz w:val="32"/>
          <w:szCs w:val="44"/>
          <w:highlight w:val="none"/>
        </w:rPr>
        <w:t xml:space="preserve">1</w:t>
      </w:r>
      <w:r>
        <w:rPr>
          <w:rFonts w:hint="eastAsia" w:ascii="宋体" w:hAnsi="宋体" w:eastAsia="宋体" w:cs="宋体"/>
          <w:color w:val="auto"/>
          <w:sz w:val="32"/>
          <w:szCs w:val="44"/>
          <w:highlight w:val="none"/>
        </w:rPr>
        <w:fldChar w:fldCharType="end"/>
      </w:r>
      <w:r>
        <w:rPr>
          <w:rFonts w:hint="eastAsia" w:ascii="宋体" w:hAnsi="宋体" w:eastAsia="宋体" w:cs="宋体"/>
          <w:color w:val="auto"/>
          <w:sz w:val="32"/>
          <w:szCs w:val="44"/>
          <w:highlight w:val="none"/>
        </w:rPr>
        <w:fldChar w:fldCharType="end"/>
      </w:r>
      <w:r/>
    </w:p>
    <w:p>
      <w:pPr>
        <w:pStyle w:val="840"/>
        <w:spacing w:line="360" w:lineRule="auto"/>
        <w:tabs>
          <w:tab w:val="right" w:pos="8953" w:leader="dot"/>
        </w:tabs>
        <w:rPr>
          <w:rFonts w:hint="eastAsia" w:ascii="宋体" w:hAnsi="宋体" w:eastAsia="宋体" w:cs="宋体"/>
          <w:color w:val="auto"/>
          <w:sz w:val="32"/>
          <w:szCs w:val="44"/>
          <w:highlight w:val="none"/>
          <w:lang w:val="en-US" w:eastAsia="zh-CN"/>
        </w:rPr>
      </w:pPr>
      <w:r>
        <w:rPr>
          <w:rFonts w:hint="eastAsia" w:ascii="宋体" w:hAnsi="宋体" w:eastAsia="宋体" w:cs="宋体"/>
          <w:color w:val="auto"/>
          <w:sz w:val="32"/>
          <w:szCs w:val="44"/>
          <w:highlight w:val="none"/>
          <w:lang w:val="en-US" w:eastAsia="zh-CN"/>
        </w:rPr>
        <w:t xml:space="preserve">第二章 投标人须知</w:t>
      </w:r>
      <w:r>
        <w:rPr>
          <w:rFonts w:hint="eastAsia" w:ascii="宋体" w:hAnsi="宋体" w:eastAsia="宋体" w:cs="宋体"/>
          <w:color w:val="auto"/>
          <w:sz w:val="32"/>
          <w:szCs w:val="44"/>
          <w:highlight w:val="none"/>
        </w:rPr>
        <w:tab/>
      </w:r>
      <w:r>
        <w:rPr>
          <w:rFonts w:hint="eastAsia" w:ascii="宋体" w:hAnsi="宋体" w:eastAsia="宋体" w:cs="宋体"/>
          <w:color w:val="auto"/>
          <w:sz w:val="32"/>
          <w:szCs w:val="44"/>
          <w:highlight w:val="none"/>
          <w:lang w:val="en-US" w:eastAsia="zh-CN"/>
        </w:rPr>
        <w:t xml:space="preserve">4</w:t>
      </w:r>
      <w:r/>
    </w:p>
    <w:p>
      <w:pPr>
        <w:pStyle w:val="840"/>
        <w:spacing w:line="360" w:lineRule="auto"/>
        <w:tabs>
          <w:tab w:val="right" w:pos="8953" w:leader="dot"/>
        </w:tabs>
        <w:rPr>
          <w:rFonts w:ascii="宋体" w:hAnsi="宋体" w:eastAsia="宋体" w:cs="宋体"/>
          <w:color w:val="auto"/>
          <w:sz w:val="32"/>
          <w:szCs w:val="40"/>
          <w:highlight w:val="none"/>
        </w:rPr>
      </w:pPr>
      <w:r>
        <w:rPr>
          <w:color w:val="auto"/>
          <w:highlight w:val="none"/>
        </w:rPr>
        <w:fldChar w:fldCharType="begin"/>
      </w:r>
      <w:r>
        <w:rPr>
          <w:color w:val="auto"/>
          <w:highlight w:val="none"/>
        </w:rPr>
        <w:instrText xml:space="preserve"> HYPERLINK \l "_Toc4889" </w:instrText>
      </w:r>
      <w:r>
        <w:rPr>
          <w:color w:val="auto"/>
          <w:highlight w:val="none"/>
        </w:rPr>
        <w:fldChar w:fldCharType="separate"/>
      </w:r>
      <w:r>
        <w:rPr>
          <w:rFonts w:hint="eastAsia" w:ascii="宋体" w:hAnsi="宋体" w:eastAsia="宋体" w:cs="宋体"/>
          <w:color w:val="auto"/>
          <w:sz w:val="32"/>
          <w:szCs w:val="44"/>
          <w:highlight w:val="none"/>
        </w:rPr>
        <w:t xml:space="preserve">第三章 合同文本</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_Toc4889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22</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pStyle w:val="840"/>
        <w:spacing w:line="360" w:lineRule="auto"/>
        <w:tabs>
          <w:tab w:val="right" w:pos="8953" w:leader="dot"/>
        </w:tabs>
        <w:rPr>
          <w:rFonts w:ascii="宋体" w:hAnsi="宋体" w:eastAsia="宋体" w:cs="宋体"/>
          <w:color w:val="auto"/>
          <w:sz w:val="32"/>
          <w:szCs w:val="40"/>
          <w:highlight w:val="none"/>
        </w:rPr>
      </w:pPr>
      <w:r>
        <w:rPr>
          <w:color w:val="auto"/>
          <w:highlight w:val="none"/>
        </w:rPr>
        <w:fldChar w:fldCharType="begin"/>
      </w:r>
      <w:r>
        <w:rPr>
          <w:color w:val="auto"/>
          <w:highlight w:val="none"/>
        </w:rPr>
        <w:instrText xml:space="preserve"> HYPERLINK \l "_Toc9018" </w:instrText>
      </w:r>
      <w:r>
        <w:rPr>
          <w:color w:val="auto"/>
          <w:highlight w:val="none"/>
        </w:rPr>
        <w:fldChar w:fldCharType="separate"/>
      </w:r>
      <w:r>
        <w:rPr>
          <w:rFonts w:hint="eastAsia" w:ascii="宋体" w:hAnsi="宋体" w:eastAsia="宋体" w:cs="宋体"/>
          <w:color w:val="auto"/>
          <w:sz w:val="32"/>
          <w:szCs w:val="44"/>
          <w:highlight w:val="none"/>
        </w:rPr>
        <w:t xml:space="preserve">第四章 采购需求</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_Toc9018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28</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pStyle w:val="840"/>
        <w:spacing w:line="360" w:lineRule="auto"/>
        <w:tabs>
          <w:tab w:val="right" w:pos="8953" w:leader="dot"/>
        </w:tabs>
        <w:rPr>
          <w:rFonts w:ascii="宋体" w:hAnsi="宋体" w:eastAsia="宋体" w:cs="宋体"/>
          <w:color w:val="auto"/>
          <w:sz w:val="32"/>
          <w:szCs w:val="40"/>
          <w:highlight w:val="none"/>
        </w:rPr>
      </w:pPr>
      <w:r>
        <w:rPr>
          <w:color w:val="auto"/>
          <w:highlight w:val="none"/>
        </w:rPr>
        <w:fldChar w:fldCharType="begin"/>
      </w:r>
      <w:r>
        <w:rPr>
          <w:color w:val="auto"/>
          <w:highlight w:val="none"/>
        </w:rPr>
        <w:instrText xml:space="preserve"> HYPERLINK \l "_Toc12800" </w:instrText>
      </w:r>
      <w:r>
        <w:rPr>
          <w:color w:val="auto"/>
          <w:highlight w:val="none"/>
        </w:rPr>
        <w:fldChar w:fldCharType="separate"/>
      </w:r>
      <w:r>
        <w:rPr>
          <w:rFonts w:hint="eastAsia" w:ascii="宋体" w:hAnsi="宋体" w:eastAsia="宋体" w:cs="宋体"/>
          <w:color w:val="auto"/>
          <w:sz w:val="32"/>
          <w:szCs w:val="44"/>
          <w:highlight w:val="none"/>
        </w:rPr>
        <w:t xml:space="preserve">第五章 评标方法与评标标准</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_Toc12800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49</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pStyle w:val="840"/>
        <w:spacing w:line="360" w:lineRule="auto"/>
        <w:tabs>
          <w:tab w:val="right" w:pos="8953" w:leader="dot"/>
        </w:tabs>
        <w:rPr>
          <w:rFonts w:ascii="宋体" w:hAnsi="宋体" w:eastAsia="宋体" w:cs="宋体"/>
          <w:color w:val="auto"/>
          <w:highlight w:val="none"/>
        </w:rPr>
      </w:pPr>
      <w:r>
        <w:rPr>
          <w:color w:val="auto"/>
          <w:highlight w:val="none"/>
        </w:rPr>
        <w:fldChar w:fldCharType="begin"/>
      </w:r>
      <w:r>
        <w:rPr>
          <w:color w:val="auto"/>
          <w:highlight w:val="none"/>
        </w:rPr>
        <w:instrText xml:space="preserve"> HYPERLINK \l "_Toc10657" </w:instrText>
      </w:r>
      <w:r>
        <w:rPr>
          <w:color w:val="auto"/>
          <w:highlight w:val="none"/>
        </w:rPr>
        <w:fldChar w:fldCharType="separate"/>
      </w:r>
      <w:r>
        <w:rPr>
          <w:rFonts w:hint="eastAsia" w:ascii="宋体" w:hAnsi="宋体" w:eastAsia="宋体" w:cs="宋体"/>
          <w:color w:val="auto"/>
          <w:sz w:val="32"/>
          <w:szCs w:val="44"/>
          <w:highlight w:val="none"/>
        </w:rPr>
        <w:t xml:space="preserve">第六章 投标文件格式</w:t>
      </w:r>
      <w:r>
        <w:rPr>
          <w:rFonts w:hint="eastAsia" w:ascii="宋体" w:hAnsi="宋体" w:eastAsia="宋体" w:cs="宋体"/>
          <w:color w:val="auto"/>
          <w:sz w:val="32"/>
          <w:szCs w:val="40"/>
          <w:highlight w:val="none"/>
        </w:rPr>
        <w:tab/>
      </w:r>
      <w:r>
        <w:rPr>
          <w:rFonts w:hint="eastAsia" w:ascii="宋体" w:hAnsi="宋体" w:eastAsia="宋体" w:cs="宋体"/>
          <w:color w:val="auto"/>
          <w:sz w:val="32"/>
          <w:szCs w:val="40"/>
          <w:highlight w:val="none"/>
        </w:rPr>
        <w:fldChar w:fldCharType="begin"/>
      </w:r>
      <w:r>
        <w:rPr>
          <w:rFonts w:hint="eastAsia" w:ascii="宋体" w:hAnsi="宋体" w:eastAsia="宋体" w:cs="宋体"/>
          <w:color w:val="auto"/>
          <w:sz w:val="32"/>
          <w:szCs w:val="40"/>
          <w:highlight w:val="none"/>
        </w:rPr>
        <w:instrText xml:space="preserve"> PAGEREF _Toc10657 \h </w:instrText>
      </w:r>
      <w:r>
        <w:rPr>
          <w:rFonts w:hint="eastAsia" w:ascii="宋体" w:hAnsi="宋体" w:eastAsia="宋体" w:cs="宋体"/>
          <w:color w:val="auto"/>
          <w:sz w:val="32"/>
          <w:szCs w:val="40"/>
          <w:highlight w:val="none"/>
        </w:rPr>
        <w:fldChar w:fldCharType="separate"/>
      </w:r>
      <w:r>
        <w:rPr>
          <w:rFonts w:ascii="宋体" w:hAnsi="宋体" w:eastAsia="宋体" w:cs="宋体"/>
          <w:color w:val="auto"/>
          <w:sz w:val="32"/>
          <w:szCs w:val="40"/>
          <w:highlight w:val="none"/>
        </w:rPr>
        <w:t xml:space="preserve">60</w:t>
      </w:r>
      <w:r>
        <w:rPr>
          <w:rFonts w:hint="eastAsia" w:ascii="宋体" w:hAnsi="宋体" w:eastAsia="宋体" w:cs="宋体"/>
          <w:color w:val="auto"/>
          <w:sz w:val="32"/>
          <w:szCs w:val="40"/>
          <w:highlight w:val="none"/>
        </w:rPr>
        <w:fldChar w:fldCharType="end"/>
      </w:r>
      <w:r>
        <w:rPr>
          <w:rFonts w:hint="eastAsia" w:ascii="宋体" w:hAnsi="宋体" w:eastAsia="宋体" w:cs="宋体"/>
          <w:color w:val="auto"/>
          <w:sz w:val="32"/>
          <w:szCs w:val="40"/>
          <w:highlight w:val="none"/>
        </w:rPr>
        <w:fldChar w:fldCharType="end"/>
      </w:r>
      <w:r/>
    </w:p>
    <w:p>
      <w:pPr>
        <w:spacing w:line="360" w:lineRule="auto"/>
        <w:rPr>
          <w:rFonts w:ascii="宋体" w:hAnsi="宋体" w:eastAsia="宋体" w:cs="宋体"/>
          <w:color w:val="auto"/>
          <w:sz w:val="36"/>
          <w:szCs w:val="21"/>
          <w:highlight w:val="none"/>
        </w:rPr>
      </w:pPr>
      <w:r>
        <w:rPr>
          <w:rFonts w:hint="eastAsia" w:ascii="宋体" w:hAnsi="宋体" w:eastAsia="宋体" w:cs="宋体"/>
          <w:bCs/>
          <w:color w:val="auto"/>
          <w:szCs w:val="36"/>
          <w:highlight w:val="none"/>
        </w:rPr>
        <w:fldChar w:fldCharType="end"/>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jc w:val="center"/>
        <w:keepNext/>
        <w:spacing w:line="360" w:lineRule="auto"/>
        <w:rPr>
          <w:rFonts w:ascii="宋体" w:hAnsi="宋体" w:eastAsia="宋体" w:cs="宋体"/>
          <w:color w:val="auto"/>
          <w:sz w:val="44"/>
          <w:szCs w:val="44"/>
          <w:highlight w:val="none"/>
        </w:rPr>
        <w:sectPr>
          <w:footerReference w:type="default" r:id="rId13"/>
          <w:footerReference w:type="first" r:id="rId14"/>
          <w:footnotePr/>
          <w:endnotePr/>
          <w:type w:val="nextPage"/>
          <w:pgSz w:w="11906" w:h="16838" w:orient="portrait"/>
          <w:pgMar w:top="1418" w:right="1588" w:bottom="1418" w:left="1365" w:header="851" w:footer="907" w:gutter="0"/>
          <w:pgNumType w:start="0"/>
          <w:cols w:num="1" w:sep="0" w:space="720" w:equalWidth="1"/>
          <w:docGrid w:linePitch="360"/>
          <w:titlePg/>
        </w:sectPr>
        <w:outlineLvl w:val="0"/>
      </w:pPr>
      <w:r>
        <w:rPr>
          <w:rFonts w:ascii="宋体" w:hAnsi="宋体" w:eastAsia="宋体" w:cs="宋体"/>
          <w:color w:val="auto"/>
          <w:sz w:val="44"/>
          <w:szCs w:val="44"/>
          <w:highlight w:val="none"/>
        </w:rPr>
      </w:r>
      <w:r/>
    </w:p>
    <w:p>
      <w:pPr>
        <w:jc w:val="center"/>
        <w:keepLines/>
        <w:keepNext/>
        <w:spacing w:line="360" w:lineRule="auto"/>
        <w:rPr>
          <w:rFonts w:ascii="宋体" w:hAnsi="宋体" w:eastAsia="宋体" w:cs="宋体"/>
          <w:b/>
          <w:bCs/>
          <w:color w:val="auto"/>
          <w:sz w:val="44"/>
          <w:szCs w:val="44"/>
          <w:highlight w:val="none"/>
        </w:rPr>
        <w:outlineLvl w:val="1"/>
      </w:pPr>
      <w:r/>
      <w:bookmarkStart w:id="6" w:name="_Toc16874"/>
      <w:r>
        <w:rPr>
          <w:rFonts w:hint="eastAsia" w:ascii="宋体" w:hAnsi="宋体" w:eastAsia="宋体" w:cs="宋体"/>
          <w:b/>
          <w:bCs/>
          <w:color w:val="auto"/>
          <w:sz w:val="44"/>
          <w:szCs w:val="44"/>
          <w:highlight w:val="none"/>
        </w:rPr>
        <w:t xml:space="preserve">第一章</w:t>
      </w:r>
      <w:bookmarkEnd w:id="0"/>
      <w:r>
        <w:rPr>
          <w:rFonts w:hint="eastAsia" w:ascii="宋体" w:hAnsi="宋体" w:eastAsia="宋体" w:cs="宋体"/>
          <w:b/>
          <w:bCs/>
          <w:color w:val="auto"/>
          <w:sz w:val="44"/>
          <w:szCs w:val="44"/>
          <w:highlight w:val="none"/>
        </w:rPr>
        <w:t xml:space="preserve"> 投标邀请</w:t>
      </w:r>
      <w:bookmarkEnd w:id="6"/>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受</w:t>
      </w:r>
      <w:r>
        <w:rPr>
          <w:rFonts w:hint="eastAsia" w:ascii="宋体" w:hAnsi="宋体" w:eastAsia="宋体" w:cs="宋体"/>
          <w:color w:val="auto"/>
          <w:sz w:val="24"/>
          <w:highlight w:val="none"/>
          <w:u w:val="single"/>
        </w:rPr>
        <w:t xml:space="preserve">[宿迁学院]</w:t>
      </w:r>
      <w:r>
        <w:rPr>
          <w:rFonts w:hint="eastAsia" w:ascii="宋体" w:hAnsi="宋体" w:eastAsia="宋体" w:cs="宋体"/>
          <w:color w:val="auto"/>
          <w:sz w:val="24"/>
          <w:highlight w:val="none"/>
        </w:rPr>
        <w:t xml:space="preserve">的委托，</w:t>
      </w:r>
      <w:r>
        <w:rPr>
          <w:rFonts w:hint="eastAsia" w:ascii="宋体" w:hAnsi="宋体" w:eastAsia="宋体" w:cs="宋体"/>
          <w:color w:val="auto"/>
          <w:sz w:val="24"/>
          <w:highlight w:val="none"/>
          <w:u w:val="single"/>
        </w:rPr>
        <w:t xml:space="preserve">[江苏经天纬地建设项目管理有限公司]</w:t>
      </w:r>
      <w:r>
        <w:rPr>
          <w:rFonts w:hint="eastAsia" w:ascii="宋体" w:hAnsi="宋体" w:eastAsia="宋体" w:cs="宋体"/>
          <w:color w:val="auto"/>
          <w:sz w:val="24"/>
          <w:highlight w:val="none"/>
        </w:rPr>
        <w:t xml:space="preserve">就</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宿迁学院具身智能领域概念验证中心与产业学院项目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eastAsia="zh-CN"/>
        </w:rPr>
        <w:t xml:space="preserve">JSZC-321300-JING-G2026-0031</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项目进行公开招标采购，欢迎符合条件的投标人投标。</w:t>
      </w:r>
      <w:r/>
    </w:p>
    <w:p>
      <w:pPr>
        <w:ind w:firstLine="480"/>
        <w:spacing w:line="360" w:lineRule="auto"/>
        <w:rPr>
          <w:rFonts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rPr>
        <w:t xml:space="preserve">项目概况</w:t>
      </w:r>
      <w:r/>
    </w:p>
    <w:p>
      <w:pPr>
        <w:ind w:firstLine="480"/>
        <w:spacing w:line="360" w:lineRule="auto"/>
        <w:rPr>
          <w:rFonts w:ascii="宋体" w:hAnsi="宋体" w:eastAsia="宋体" w:cs="宋体"/>
          <w:color w:val="auto"/>
          <w:sz w:val="24"/>
          <w:highlight w:val="none"/>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highlight w:val="none"/>
          <w:u w:val="single"/>
          <w:lang w:eastAsia="zh-CN"/>
        </w:rPr>
        <w:t xml:space="preserve">宿迁学院具身智能领域概念验证中心与产业学院项目JSZC-321300-JING-G2026-0031</w:t>
      </w:r>
      <w:r>
        <w:rPr>
          <w:rFonts w:hint="eastAsia" w:ascii="宋体" w:hAnsi="宋体" w:eastAsia="宋体" w:cs="宋体"/>
          <w:color w:val="auto"/>
          <w:sz w:val="24"/>
          <w:highlight w:val="none"/>
          <w:u w:val="single"/>
        </w:rPr>
        <w:t xml:space="preserve">招标项目的潜在投标人</w:t>
      </w:r>
      <w:r>
        <w:rPr>
          <w:rFonts w:hint="eastAsia" w:ascii="宋体" w:hAnsi="宋体" w:eastAsia="宋体" w:cs="宋体"/>
          <w:color w:val="auto"/>
          <w:sz w:val="24"/>
          <w:szCs w:val="24"/>
          <w:highlight w:val="none"/>
        </w:rPr>
        <w:t xml:space="preserve">应通过</w:t>
      </w:r>
      <w:r>
        <w:rPr>
          <w:rFonts w:hint="eastAsia" w:ascii="宋体" w:hAnsi="宋体" w:eastAsia="宋体" w:cs="宋体"/>
          <w:color w:val="auto"/>
          <w:sz w:val="24"/>
          <w:szCs w:val="24"/>
          <w:highlight w:val="none"/>
          <w:u w:val="single"/>
        </w:rPr>
        <w:t xml:space="preserve">“苏采云”系统（网址：http://jszfcg.jsczt.cn）或宿迁市政府采购网点击“政府采购管理交易系统（苏采云）</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自行免费下载</w:t>
      </w:r>
      <w:r>
        <w:rPr>
          <w:rFonts w:hint="eastAsia" w:ascii="宋体" w:hAnsi="宋体" w:eastAsia="宋体" w:cs="宋体"/>
          <w:color w:val="auto"/>
          <w:sz w:val="24"/>
          <w:szCs w:val="24"/>
          <w:highlight w:val="none"/>
        </w:rPr>
        <w:t xml:space="preserve">招标文件</w:t>
      </w:r>
      <w:r>
        <w:rPr>
          <w:rFonts w:hint="eastAsia" w:ascii="宋体" w:hAnsi="宋体" w:eastAsia="宋体" w:cs="宋体"/>
          <w:color w:val="auto"/>
          <w:sz w:val="24"/>
          <w:highlight w:val="none"/>
          <w:u w:val="single"/>
        </w:rPr>
        <w:t xml:space="preserve">，并于2026年</w:t>
      </w:r>
      <w:r>
        <w:rPr>
          <w:rFonts w:hint="eastAsia" w:ascii="宋体" w:hAnsi="宋体" w:eastAsia="宋体" w:cs="宋体"/>
          <w:color w:val="auto"/>
          <w:sz w:val="24"/>
          <w:highlight w:val="none"/>
          <w:u w:val="single"/>
          <w:lang w:val="en-US" w:eastAsia="zh-CN"/>
        </w:rPr>
        <w:t xml:space="preserve">11</w:t>
      </w:r>
      <w:r>
        <w:rPr>
          <w:rFonts w:hint="eastAsia" w:ascii="宋体" w:hAnsi="宋体" w:eastAsia="宋体" w:cs="宋体"/>
          <w:color w:val="auto"/>
          <w:sz w:val="24"/>
          <w:highlight w:val="none"/>
          <w:u w:val="single"/>
        </w:rPr>
        <w:t xml:space="preserve">月</w:t>
      </w:r>
      <w:r>
        <w:rPr>
          <w:rFonts w:hint="eastAsia" w:ascii="宋体" w:hAnsi="宋体" w:eastAsia="宋体" w:cs="宋体"/>
          <w:color w:val="auto"/>
          <w:sz w:val="24"/>
          <w:highlight w:val="none"/>
          <w:u w:val="single"/>
          <w:lang w:val="en-US" w:eastAsia="zh-CN"/>
        </w:rPr>
        <w:t xml:space="preserve">23</w:t>
      </w:r>
      <w:r>
        <w:rPr>
          <w:rFonts w:hint="eastAsia" w:ascii="宋体" w:hAnsi="宋体" w:eastAsia="宋体" w:cs="宋体"/>
          <w:color w:val="auto"/>
          <w:sz w:val="24"/>
          <w:highlight w:val="none"/>
          <w:u w:val="single"/>
        </w:rPr>
        <w:t xml:space="preserve">日09:30（北京时间）前递交投标文件</w:t>
      </w:r>
      <w:r>
        <w:rPr>
          <w:rFonts w:hint="eastAsia" w:ascii="宋体" w:hAnsi="宋体" w:eastAsia="宋体" w:cs="宋体"/>
          <w:color w:val="auto"/>
          <w:sz w:val="24"/>
          <w:highlight w:val="none"/>
        </w:rPr>
        <w:t xml:space="preserve">。</w:t>
      </w:r>
      <w:r/>
    </w:p>
    <w:p>
      <w:pPr>
        <w:keepLines/>
        <w:keepNext/>
        <w:spacing w:line="360" w:lineRule="auto"/>
        <w:rPr>
          <w:rFonts w:ascii="宋体" w:hAnsi="宋体" w:eastAsia="宋体" w:cs="宋体"/>
          <w:b/>
          <w:bCs/>
          <w:color w:val="auto"/>
          <w:sz w:val="32"/>
          <w:szCs w:val="32"/>
          <w:highlight w:val="none"/>
        </w:rPr>
        <w:outlineLvl w:val="2"/>
      </w:pPr>
      <w:r/>
      <w:bookmarkStart w:id="7" w:name="_Toc35393621"/>
      <w:r/>
      <w:bookmarkStart w:id="8" w:name="_Toc28359079"/>
      <w:r/>
      <w:bookmarkStart w:id="9" w:name="_Toc38985263"/>
      <w:r/>
      <w:bookmarkStart w:id="10" w:name="_Toc28359002"/>
      <w:r/>
      <w:bookmarkStart w:id="11" w:name="_Toc35393790"/>
      <w:r/>
      <w:bookmarkStart w:id="12" w:name="_Hlk24379207"/>
      <w:r>
        <w:rPr>
          <w:rFonts w:hint="eastAsia" w:ascii="宋体" w:hAnsi="宋体" w:eastAsia="宋体" w:cs="宋体"/>
          <w:b/>
          <w:bCs/>
          <w:color w:val="auto"/>
          <w:sz w:val="32"/>
          <w:szCs w:val="32"/>
          <w:highlight w:val="none"/>
        </w:rPr>
        <w:t xml:space="preserve">一、项目基本情况</w:t>
      </w:r>
      <w:bookmarkEnd w:id="7"/>
      <w:r/>
      <w:bookmarkEnd w:id="8"/>
      <w:r/>
      <w:bookmarkEnd w:id="9"/>
      <w:r/>
      <w:bookmarkEnd w:id="10"/>
      <w:r/>
      <w:bookmarkEnd w:id="11"/>
      <w:r/>
      <w:r/>
    </w:p>
    <w:p>
      <w:pPr>
        <w:ind w:firstLine="480"/>
        <w:keepLines/>
        <w:keepNex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1.项目编号：</w:t>
      </w:r>
      <w:r>
        <w:rPr>
          <w:rFonts w:hint="eastAsia" w:ascii="宋体" w:hAnsi="宋体" w:eastAsia="宋体" w:cs="宋体"/>
          <w:color w:val="auto"/>
          <w:sz w:val="24"/>
          <w:highlight w:val="none"/>
          <w:lang w:eastAsia="zh-CN"/>
        </w:rPr>
        <w:t xml:space="preserve">JSZC-321300-JING-G2026-0031</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2.项目名称：</w:t>
      </w:r>
      <w:bookmarkEnd w:id="12"/>
      <w:r>
        <w:rPr>
          <w:rFonts w:hint="eastAsia" w:ascii="宋体" w:hAnsi="宋体" w:eastAsia="宋体" w:cs="宋体"/>
          <w:color w:val="auto"/>
          <w:sz w:val="24"/>
          <w:highlight w:val="none"/>
          <w:lang w:eastAsia="zh-CN"/>
        </w:rPr>
        <w:t xml:space="preserve">宿迁学院具身智能领域概念验证中心与产业学院项目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3.预算金额：</w:t>
      </w:r>
      <w:r>
        <w:rPr>
          <w:rFonts w:hint="eastAsia" w:ascii="宋体" w:hAnsi="宋体" w:eastAsia="宋体" w:cs="宋体"/>
          <w:color w:val="auto"/>
          <w:sz w:val="24"/>
          <w:highlight w:val="none"/>
          <w:lang w:val="en-US" w:eastAsia="zh-CN"/>
        </w:rPr>
        <w:t xml:space="preserve">879万元（</w:t>
      </w:r>
      <w:r>
        <w:rPr>
          <w:rFonts w:hint="eastAsia" w:ascii="宋体" w:hAnsi="宋体" w:eastAsia="宋体" w:cs="宋体"/>
          <w:color w:val="auto"/>
          <w:sz w:val="24"/>
          <w:highlight w:val="none"/>
          <w:lang w:eastAsia="zh-CN"/>
        </w:rPr>
        <w:t xml:space="preserve">采购包1：65.5万元；采购包2：182万元；采购包3：131.5万元；采购包4：500万元</w:t>
      </w:r>
      <w:r>
        <w:rPr>
          <w:rFonts w:hint="eastAsia" w:ascii="宋体" w:hAnsi="宋体" w:eastAsia="宋体" w:cs="宋体"/>
          <w:color w:val="auto"/>
          <w:sz w:val="24"/>
          <w:highlight w:val="none"/>
          <w:lang w:val="en-US"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4.本项目</w:t>
      </w:r>
      <w:r>
        <w:rPr>
          <w:rFonts w:hint="eastAsia" w:ascii="宋体" w:hAnsi="宋体" w:eastAsia="宋体" w:cs="宋体"/>
          <w:color w:val="auto"/>
          <w:sz w:val="24"/>
          <w:highlight w:val="none"/>
          <w:u w:val="single"/>
        </w:rPr>
        <w:t xml:space="preserve">设定</w:t>
      </w:r>
      <w:r>
        <w:rPr>
          <w:rFonts w:hint="eastAsia" w:ascii="宋体" w:hAnsi="宋体" w:eastAsia="宋体" w:cs="宋体"/>
          <w:color w:val="auto"/>
          <w:sz w:val="24"/>
          <w:highlight w:val="none"/>
        </w:rPr>
        <w:t xml:space="preserve">（设定/不设定）最高限价：</w:t>
      </w:r>
      <w:r>
        <w:rPr>
          <w:rFonts w:hint="eastAsia" w:ascii="宋体" w:hAnsi="宋体" w:eastAsia="宋体" w:cs="宋体"/>
          <w:color w:val="auto"/>
          <w:sz w:val="24"/>
          <w:highlight w:val="none"/>
          <w:lang w:val="en-US" w:eastAsia="zh-CN"/>
        </w:rPr>
        <w:t xml:space="preserve">879万元（</w:t>
      </w:r>
      <w:r>
        <w:rPr>
          <w:rFonts w:hint="eastAsia" w:ascii="宋体" w:hAnsi="宋体" w:eastAsia="宋体" w:cs="宋体"/>
          <w:color w:val="auto"/>
          <w:sz w:val="24"/>
          <w:highlight w:val="none"/>
          <w:lang w:eastAsia="zh-CN"/>
        </w:rPr>
        <w:t xml:space="preserve">采购包1：65.5万元；采购包2：182万元；采购包3：131.5万元；采购包4：500万元</w:t>
      </w:r>
      <w:r>
        <w:rPr>
          <w:rFonts w:hint="eastAsia" w:ascii="宋体" w:hAnsi="宋体" w:eastAsia="宋体" w:cs="宋体"/>
          <w:color w:val="auto"/>
          <w:sz w:val="24"/>
          <w:highlight w:val="none"/>
          <w:lang w:val="en-US" w:eastAsia="zh-CN"/>
        </w:rPr>
        <w:t xml:space="preserve">）</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5.采购需求（简介）：</w:t>
      </w:r>
      <w:r>
        <w:rPr>
          <w:rFonts w:hint="eastAsia" w:ascii="宋体" w:hAnsi="宋体" w:eastAsia="宋体" w:cs="宋体"/>
          <w:color w:val="auto"/>
          <w:sz w:val="24"/>
          <w:highlight w:val="none"/>
          <w:lang w:eastAsia="zh-CN"/>
        </w:rPr>
        <w:t xml:space="preserve">宿迁学院具身智能领域概念验证中心与产业学院项目</w:t>
      </w:r>
      <w:r>
        <w:rPr>
          <w:rFonts w:hint="eastAsia" w:ascii="宋体" w:hAnsi="宋体" w:eastAsia="宋体" w:cs="宋体"/>
          <w:color w:val="auto"/>
          <w:sz w:val="24"/>
          <w:highlight w:val="none"/>
        </w:rPr>
        <w:t xml:space="preserve">共分为</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个</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，分别是：采购包1：材料制备及分析测试设备；采购包2：器件生产设备；采购包3：集成训练监测设备；采购包4：具身智能设备；详细内容见第四章采购需求。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本项目共分为</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个采购包，每个采购包拟采购1名中标人。投标人可针对任意采购包进行投标，投标人选投多个采购包的，须针对所投采购包分别进行报名，且投标人最终最多只能在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个采购包中中标。</w:t>
      </w:r>
      <w:r>
        <w:rPr>
          <w:rFonts w:hint="eastAsia" w:ascii="宋体" w:hAnsi="宋体" w:eastAsia="宋体" w:cs="宋体"/>
          <w:color w:val="auto"/>
          <w:sz w:val="24"/>
          <w:highlight w:val="none"/>
        </w:rPr>
        <w:t xml:space="preserve">本次项目将严格按照采购包号（采购包1至采购包</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）的顺序依次开展开标、评标工作，中标顺序亦按此采购包号顺序确定；若投标人在前期编号靠前的采购包中已中标</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个，则该投标人在后续所有编号靠后的采购包投标中，不再具备中标资格，仅参与评审，不纳入中标候选人范围，以此类推。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注：按采购包</w:t>
      </w:r>
      <w:r>
        <w:rPr>
          <w:rFonts w:hint="eastAsia" w:ascii="宋体" w:hAnsi="宋体" w:eastAsia="宋体" w:cs="宋体"/>
          <w:color w:val="auto"/>
          <w:sz w:val="24"/>
          <w:highlight w:val="none"/>
        </w:rPr>
        <w:t xml:space="preserve">（采购包1至采购包</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的顺序依次开标、评标、定标。评审结束后，若其中一个采购包受到质疑投诉等原因，导致本采购包评审结果改变，但不影响其他采购包的评审。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6.合同履行期限：</w:t>
      </w:r>
      <w:r>
        <w:rPr>
          <w:rFonts w:hint="eastAsia" w:ascii="宋体" w:hAnsi="宋体" w:eastAsia="宋体" w:cs="宋体"/>
          <w:color w:val="auto"/>
          <w:sz w:val="24"/>
          <w:highlight w:val="none"/>
          <w:lang w:val="en-US" w:eastAsia="zh-CN"/>
        </w:rPr>
        <w:t xml:space="preserve">采购包1:20日历天；采购包2：100日历天；采购包3:30日历天；采购包4:7日历天</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7.本项目</w:t>
      </w:r>
      <w:r>
        <w:rPr>
          <w:rFonts w:hint="eastAsia" w:ascii="宋体" w:hAnsi="宋体" w:eastAsia="宋体" w:cs="宋体"/>
          <w:color w:val="auto"/>
          <w:sz w:val="24"/>
          <w:highlight w:val="none"/>
          <w:u w:val="single"/>
        </w:rPr>
        <w:t xml:space="preserve">不接受</w:t>
      </w:r>
      <w:r>
        <w:rPr>
          <w:rFonts w:hint="eastAsia" w:ascii="宋体" w:hAnsi="宋体" w:eastAsia="宋体" w:cs="宋体"/>
          <w:color w:val="auto"/>
          <w:sz w:val="24"/>
          <w:highlight w:val="none"/>
        </w:rPr>
        <w:t xml:space="preserve">联合体投标（接受/不接受）。</w:t>
      </w:r>
      <w:r/>
    </w:p>
    <w:p>
      <w:pPr>
        <w:keepLines/>
        <w:keepNext/>
        <w:spacing w:line="360" w:lineRule="auto"/>
        <w:rPr>
          <w:rFonts w:ascii="宋体" w:hAnsi="宋体" w:eastAsia="宋体" w:cs="宋体"/>
          <w:b/>
          <w:bCs/>
          <w:color w:val="auto"/>
          <w:sz w:val="32"/>
          <w:szCs w:val="32"/>
          <w:highlight w:val="none"/>
        </w:rPr>
        <w:outlineLvl w:val="2"/>
      </w:pPr>
      <w:r/>
      <w:bookmarkStart w:id="13" w:name="_Toc28359080"/>
      <w:r/>
      <w:bookmarkStart w:id="14" w:name="_Toc38985264"/>
      <w:r/>
      <w:bookmarkStart w:id="15" w:name="_Toc28359003"/>
      <w:r/>
      <w:bookmarkStart w:id="16" w:name="_Toc35393791"/>
      <w:r/>
      <w:bookmarkStart w:id="17" w:name="_Toc35393622"/>
      <w:r>
        <w:rPr>
          <w:rFonts w:hint="eastAsia" w:ascii="宋体" w:hAnsi="宋体" w:eastAsia="宋体" w:cs="宋体"/>
          <w:b/>
          <w:bCs/>
          <w:color w:val="auto"/>
          <w:sz w:val="32"/>
          <w:szCs w:val="32"/>
          <w:highlight w:val="none"/>
        </w:rPr>
        <w:t xml:space="preserve">二、申请人的资格要求：</w:t>
      </w:r>
      <w:bookmarkEnd w:id="13"/>
      <w:r/>
      <w:bookmarkEnd w:id="14"/>
      <w:r/>
      <w:bookmarkEnd w:id="15"/>
      <w:r/>
      <w:bookmarkEnd w:id="16"/>
      <w:r/>
      <w:bookmarkEnd w:id="17"/>
      <w:r/>
      <w:r/>
    </w:p>
    <w:p>
      <w:pPr>
        <w:ind w:firstLine="480"/>
        <w:spacing w:line="360" w:lineRule="auto"/>
        <w:rPr>
          <w:rFonts w:ascii="宋体" w:hAnsi="宋体" w:eastAsia="宋体" w:cs="宋体"/>
          <w:color w:val="auto"/>
          <w:sz w:val="24"/>
          <w:highlight w:val="none"/>
        </w:rPr>
      </w:pPr>
      <w:r/>
      <w:bookmarkStart w:id="18" w:name="_Toc38985265"/>
      <w:r/>
      <w:bookmarkStart w:id="19" w:name="_Toc28359004"/>
      <w:r/>
      <w:bookmarkStart w:id="20" w:name="_Toc35393623"/>
      <w:r/>
      <w:bookmarkStart w:id="21" w:name="_Toc35393792"/>
      <w:r/>
      <w:bookmarkStart w:id="22" w:name="_Toc28359081"/>
      <w:r>
        <w:rPr>
          <w:rFonts w:hint="eastAsia" w:ascii="宋体" w:hAnsi="宋体" w:eastAsia="宋体" w:cs="宋体"/>
          <w:color w:val="auto"/>
          <w:sz w:val="24"/>
          <w:highlight w:val="none"/>
        </w:rPr>
        <w:t xml:space="preserve">（一）通用资格要求</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1.具备《中华人民共和国政府采购法》第二十二条第一款规定的6项条件（按要求提供投标声明及承诺函）。</w:t>
      </w:r>
      <w:r/>
    </w:p>
    <w:p>
      <w:pPr>
        <w:ind w:firstLine="480"/>
        <w:spacing w:line="360" w:lineRule="auto"/>
        <w:rPr>
          <w:rFonts w:ascii="宋体" w:hAnsi="宋体" w:eastAsia="宋体" w:cs="宋体"/>
          <w:color w:val="auto"/>
          <w:sz w:val="36"/>
          <w:szCs w:val="36"/>
          <w:highlight w:val="none"/>
        </w:rPr>
      </w:pPr>
      <w:r>
        <w:rPr>
          <w:rFonts w:hint="eastAsia" w:ascii="宋体" w:hAnsi="宋体" w:eastAsia="宋体" w:cs="宋体"/>
          <w:color w:val="auto"/>
          <w:sz w:val="24"/>
          <w:highlight w:val="none"/>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p>
    <w:p>
      <w:pPr>
        <w:ind w:firstLine="48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3.落实政府采购政策需满足的资格要求：</w:t>
      </w:r>
      <w:r>
        <w:rPr>
          <w:rFonts w:hint="default" w:ascii="Times New Roman" w:hAnsi="Times New Roman" w:eastAsia="宋体" w:cs="Times New Roman"/>
          <w:color w:val="auto"/>
          <w:sz w:val="24"/>
          <w:szCs w:val="24"/>
          <w:highlight w:val="none"/>
        </w:rPr>
        <w:t xml:space="preserve">对符合规定情形的小微企业报价给予10%扣除，用扣除后的价格参加评审</w:t>
      </w:r>
      <w:r>
        <w:rPr>
          <w:rFonts w:hint="eastAsia" w:ascii="宋体" w:hAnsi="宋体" w:eastAsia="宋体" w:cs="宋体"/>
          <w:color w:val="auto"/>
          <w:sz w:val="24"/>
          <w:highlight w:val="none"/>
          <w:lang w:eastAsia="zh-CN"/>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（二）本项目的特定资格要求：无。</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三、获取招标文件</w:t>
      </w:r>
      <w:bookmarkEnd w:id="18"/>
      <w:r/>
      <w:bookmarkEnd w:id="19"/>
      <w:r/>
      <w:bookmarkEnd w:id="20"/>
      <w:r/>
      <w:bookmarkEnd w:id="21"/>
      <w:r/>
      <w:bookmarkEnd w:id="22"/>
      <w:r/>
      <w:r/>
    </w:p>
    <w:p>
      <w:pPr>
        <w:ind w:firstLine="480"/>
        <w:spacing w:line="360" w:lineRule="auto"/>
        <w:rPr>
          <w:rFonts w:ascii="宋体" w:hAnsi="宋体" w:eastAsia="宋体" w:cs="宋体"/>
          <w:color w:val="auto"/>
          <w:sz w:val="24"/>
          <w:highlight w:val="none"/>
        </w:rPr>
      </w:pPr>
      <w:r/>
      <w:bookmarkStart w:id="23" w:name="_Toc28359005"/>
      <w:r/>
      <w:bookmarkStart w:id="24" w:name="_Toc28359082"/>
      <w:r/>
      <w:bookmarkStart w:id="25" w:name="_Toc35393793"/>
      <w:r/>
      <w:bookmarkStart w:id="26" w:name="_Toc38985266"/>
      <w:r/>
      <w:bookmarkStart w:id="27" w:name="_Toc35393624"/>
      <w:r>
        <w:rPr>
          <w:rFonts w:hint="eastAsia" w:ascii="宋体" w:hAnsi="宋体" w:eastAsia="宋体" w:cs="宋体"/>
          <w:color w:val="auto"/>
          <w:sz w:val="24"/>
          <w:highlight w:val="none"/>
        </w:rPr>
        <w:t xml:space="preserve">1.时间：自招标文件公告发布之日起5个工作日。</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2.方式：投标人应在招标文件提供的时间内，</w:t>
      </w:r>
      <w:bookmarkStart w:id="28" w:name="EB0c44ff4da61f4af989d119fe214be450"/>
      <w:r>
        <w:rPr>
          <w:rFonts w:hint="eastAsia" w:ascii="宋体" w:hAnsi="宋体" w:eastAsia="宋体" w:cs="宋体"/>
          <w:color w:val="auto"/>
          <w:sz w:val="24"/>
          <w:szCs w:val="24"/>
          <w:highlight w:val="none"/>
        </w:rPr>
        <w:t xml:space="preserve">通过“苏采云”系统（网址： http://jszfcg.jsczt.cn）或宿迁市政府采购网点击“政府采购管理交易系统（苏采云）”，使用CA锁进入系统从“项目参与”--“采购项目”菜单中，找到本项目获取采购文件（后缀名为“.kedt”）。</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3.本项目共分</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个包。投标人未按要求获取招标文件导致无法投标的，后果自负（其投标文件不予接受）。</w:t>
      </w:r>
      <w:bookmarkEnd w:id="28"/>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四、提交投标文件</w:t>
      </w:r>
      <w:bookmarkEnd w:id="23"/>
      <w:r/>
      <w:bookmarkEnd w:id="24"/>
      <w:r>
        <w:rPr>
          <w:rFonts w:hint="eastAsia" w:ascii="宋体" w:hAnsi="宋体" w:eastAsia="宋体" w:cs="宋体"/>
          <w:b/>
          <w:bCs/>
          <w:color w:val="auto"/>
          <w:sz w:val="32"/>
          <w:szCs w:val="32"/>
          <w:highlight w:val="none"/>
        </w:rPr>
        <w:t xml:space="preserve">截止时间、开标时间和地点</w:t>
      </w:r>
      <w:bookmarkEnd w:id="25"/>
      <w:r/>
      <w:bookmarkEnd w:id="26"/>
      <w:r/>
      <w:bookmarkEnd w:id="27"/>
      <w:r/>
      <w:r/>
    </w:p>
    <w:p>
      <w:pPr>
        <w:ind w:firstLine="480"/>
        <w:spacing w:line="360" w:lineRule="auto"/>
        <w:rPr>
          <w:rFonts w:ascii="宋体" w:hAnsi="宋体" w:eastAsia="宋体" w:cs="宋体"/>
          <w:bCs/>
          <w:color w:val="auto"/>
          <w:sz w:val="24"/>
          <w:highlight w:val="none"/>
          <w:u w:val="singl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提交投标文件截止时间、开标时间：</w:t>
      </w:r>
      <w:r>
        <w:rPr>
          <w:rFonts w:hint="eastAsia" w:ascii="宋体" w:hAnsi="宋体" w:eastAsia="宋体" w:cs="宋体"/>
          <w:bCs/>
          <w:color w:val="auto"/>
          <w:sz w:val="24"/>
          <w:highlight w:val="none"/>
        </w:rPr>
        <w:t xml:space="preserve">2026年</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lang w:val="en-US" w:eastAsia="zh-CN"/>
        </w:rPr>
        <w:t xml:space="preserve">23</w:t>
      </w:r>
      <w:r>
        <w:rPr>
          <w:rFonts w:hint="eastAsia" w:ascii="宋体" w:hAnsi="宋体" w:eastAsia="宋体" w:cs="宋体"/>
          <w:color w:val="auto"/>
          <w:sz w:val="24"/>
          <w:highlight w:val="none"/>
        </w:rPr>
        <w:t xml:space="preserve">日</w:t>
      </w:r>
      <w:r>
        <w:rPr>
          <w:rFonts w:hint="eastAsia" w:ascii="宋体" w:hAnsi="宋体" w:eastAsia="宋体" w:cs="宋体"/>
          <w:bCs/>
          <w:color w:val="auto"/>
          <w:sz w:val="24"/>
          <w:highlight w:val="none"/>
        </w:rPr>
        <w:t xml:space="preserve">09点30分（北京时间）</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2.地点：“苏采云”政府采购交易系统网上开标大厅。</w:t>
      </w:r>
      <w:r/>
    </w:p>
    <w:p>
      <w:pPr>
        <w:keepLines/>
        <w:keepNext/>
        <w:spacing w:line="360" w:lineRule="auto"/>
        <w:rPr>
          <w:rFonts w:ascii="宋体" w:hAnsi="宋体" w:eastAsia="宋体" w:cs="宋体"/>
          <w:b/>
          <w:bCs/>
          <w:color w:val="auto"/>
          <w:sz w:val="32"/>
          <w:szCs w:val="32"/>
          <w:highlight w:val="none"/>
        </w:rPr>
        <w:outlineLvl w:val="2"/>
      </w:pPr>
      <w:r/>
      <w:bookmarkStart w:id="29" w:name="_Toc35393794"/>
      <w:r/>
      <w:bookmarkStart w:id="30" w:name="_Toc28359084"/>
      <w:r/>
      <w:bookmarkStart w:id="31" w:name="_Toc35393625"/>
      <w:r/>
      <w:bookmarkStart w:id="32" w:name="_Toc38985267"/>
      <w:r/>
      <w:bookmarkStart w:id="33" w:name="_Toc28359007"/>
      <w:r>
        <w:rPr>
          <w:rFonts w:hint="eastAsia" w:ascii="宋体" w:hAnsi="宋体" w:eastAsia="宋体" w:cs="宋体"/>
          <w:b/>
          <w:bCs/>
          <w:color w:val="auto"/>
          <w:sz w:val="32"/>
          <w:szCs w:val="32"/>
          <w:highlight w:val="none"/>
        </w:rPr>
        <w:t xml:space="preserve">五、公告期限</w:t>
      </w:r>
      <w:bookmarkEnd w:id="29"/>
      <w:r/>
      <w:bookmarkEnd w:id="30"/>
      <w:r/>
      <w:bookmarkEnd w:id="31"/>
      <w:r/>
      <w:bookmarkEnd w:id="32"/>
      <w:r/>
      <w:bookmarkEnd w:id="33"/>
      <w:r/>
      <w:r/>
    </w:p>
    <w:p>
      <w:pPr>
        <w:ind w:firstLine="480"/>
        <w:spacing w:line="360" w:lineRule="auto"/>
        <w:rPr>
          <w:rFonts w:ascii="宋体" w:hAnsi="宋体" w:eastAsia="宋体" w:cs="宋体"/>
          <w:color w:val="auto"/>
          <w:sz w:val="24"/>
          <w:highlight w:val="none"/>
        </w:rPr>
      </w:pPr>
      <w:r/>
      <w:bookmarkStart w:id="34" w:name="_Toc38985268"/>
      <w:r/>
      <w:bookmarkStart w:id="35" w:name="_Toc35393626"/>
      <w:r/>
      <w:bookmarkStart w:id="36" w:name="_Toc35393795"/>
      <w:r>
        <w:rPr>
          <w:rFonts w:hint="eastAsia" w:ascii="宋体" w:hAnsi="宋体" w:eastAsia="宋体" w:cs="宋体"/>
          <w:color w:val="auto"/>
          <w:sz w:val="24"/>
          <w:highlight w:val="none"/>
        </w:rPr>
        <w:t xml:space="preserve">招标公告及招标文件公告期限为自本公告发布之日起5个工作日。</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六、其他补充事宜</w:t>
      </w:r>
      <w:bookmarkEnd w:id="34"/>
      <w:r/>
      <w:bookmarkEnd w:id="35"/>
      <w:r/>
      <w:bookmarkEnd w:id="36"/>
      <w:r/>
      <w:r/>
    </w:p>
    <w:p>
      <w:pPr>
        <w:ind w:firstLine="480"/>
        <w:spacing w:line="360" w:lineRule="auto"/>
        <w:rPr>
          <w:rFonts w:ascii="宋体" w:hAnsi="宋体" w:eastAsia="宋体" w:cs="宋体"/>
          <w:color w:val="auto"/>
          <w:sz w:val="24"/>
          <w:szCs w:val="21"/>
          <w:highlight w:val="none"/>
        </w:rPr>
      </w:pPr>
      <w:r/>
      <w:bookmarkStart w:id="37" w:name="_Toc35393627"/>
      <w:r/>
      <w:bookmarkStart w:id="38" w:name="_Toc28359085"/>
      <w:r/>
      <w:bookmarkStart w:id="39" w:name="_Toc35393796"/>
      <w:r/>
      <w:bookmarkStart w:id="40" w:name="_Toc38985269"/>
      <w:r/>
      <w:bookmarkStart w:id="41" w:name="_Toc28359008"/>
      <w:r>
        <w:rPr>
          <w:rFonts w:hint="eastAsia" w:ascii="宋体" w:hAnsi="宋体" w:eastAsia="宋体" w:cs="宋体"/>
          <w:color w:val="auto"/>
          <w:sz w:val="24"/>
          <w:szCs w:val="21"/>
          <w:highlight w:val="none"/>
        </w:rPr>
        <w:t xml:space="preserve">1.“CA”数字证书办理：“苏采云”系统目前仅支持“苏采云”系统下的政务CA。省内各地区办理的“苏采云”系统下的政务CA全省通用。宿迁地区CA数字证书办理联系方式：18762803891。</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2.宿迁地区“苏采云”技术支持客服电话：0527-84363067、0519-86722806。</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3.投标人通过苏采云系统参与政府采购项目，相关操作手册详见链接：http://www.ccgp-jiangsu.gov.cn/jiangsu/zlxz/ee/ee3a4bc5a3454aa2b0d9312230633ce9.html</w:t>
      </w:r>
      <w:r/>
    </w:p>
    <w:p>
      <w:pPr>
        <w:ind w:firstLine="480"/>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4.现场勘察及答疑：本项目不组织集中勘察及答疑，投标人如对采购需求有疑问，请咨询采购单位联系人。</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七、本次招标联系方式</w:t>
      </w:r>
      <w:bookmarkEnd w:id="37"/>
      <w:r/>
      <w:bookmarkEnd w:id="38"/>
      <w:r/>
      <w:bookmarkEnd w:id="39"/>
      <w:r/>
      <w:bookmarkEnd w:id="40"/>
      <w:r/>
      <w:bookmarkEnd w:id="41"/>
      <w:r/>
      <w:r/>
    </w:p>
    <w:p>
      <w:pPr>
        <w:ind w:firstLine="560"/>
        <w:jc w:val="left"/>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1.招标人信息</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名称：宿迁学院</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地址：宿迁市宿城区黄河路399号</w:t>
      </w:r>
      <w:r/>
    </w:p>
    <w:p>
      <w:pPr>
        <w:ind w:firstLine="480"/>
        <w:jc w:val="left"/>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lang w:val="en-US" w:eastAsia="zh-CN"/>
        </w:rPr>
        <w:t xml:space="preserve">李慧</w:t>
      </w:r>
      <w:r/>
    </w:p>
    <w:p>
      <w:pPr>
        <w:ind w:firstLine="480"/>
        <w:jc w:val="left"/>
        <w:spacing w:line="360" w:lineRule="auto"/>
        <w:rPr>
          <w:rFonts w:hint="default" w:ascii="宋体" w:hAnsi="宋体" w:eastAsia="宋体" w:cs="宋体"/>
          <w:color w:val="auto"/>
          <w:sz w:val="24"/>
          <w:highlight w:val="none"/>
          <w:u w:val="single"/>
          <w:lang w:val="en-US" w:eastAsia="zh-CN"/>
        </w:rPr>
      </w:pPr>
      <w:r>
        <w:rPr>
          <w:rFonts w:hint="eastAsia" w:ascii="宋体" w:hAnsi="宋体" w:eastAsia="宋体" w:cs="宋体"/>
          <w:color w:val="auto"/>
          <w:sz w:val="24"/>
          <w:highlight w:val="none"/>
        </w:rPr>
        <w:t xml:space="preserve">联系方式：</w:t>
      </w:r>
      <w:bookmarkStart w:id="42" w:name="_Toc28359086"/>
      <w:r/>
      <w:bookmarkStart w:id="43" w:name="_Toc28359009"/>
      <w:r>
        <w:rPr>
          <w:rFonts w:hint="eastAsia" w:ascii="宋体" w:hAnsi="宋体" w:eastAsia="宋体" w:cs="宋体"/>
          <w:color w:val="auto"/>
          <w:sz w:val="24"/>
          <w:highlight w:val="none"/>
          <w:lang w:val="en-US" w:eastAsia="zh-CN"/>
        </w:rPr>
        <w:t xml:space="preserve">13013925101</w:t>
      </w:r>
      <w:r/>
    </w:p>
    <w:p>
      <w:pPr>
        <w:ind w:firstLine="560"/>
        <w:jc w:val="left"/>
        <w:spacing w:line="360" w:lineRule="auto"/>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2.采购代理机构信息</w:t>
      </w:r>
      <w:bookmarkEnd w:id="42"/>
      <w:r/>
      <w:bookmarkEnd w:id="43"/>
      <w:r/>
      <w:r/>
    </w:p>
    <w:p>
      <w:pPr>
        <w:ind w:firstLine="480"/>
        <w:jc w:val="left"/>
        <w:spacing w:line="360" w:lineRule="auto"/>
        <w:rPr>
          <w:rFonts w:ascii="宋体" w:hAnsi="宋体" w:eastAsia="宋体" w:cs="宋体"/>
          <w:color w:val="auto"/>
          <w:sz w:val="24"/>
          <w:highlight w:val="none"/>
        </w:rPr>
      </w:pPr>
      <w:r/>
      <w:bookmarkStart w:id="44" w:name="_Toc28359087"/>
      <w:r/>
      <w:bookmarkStart w:id="45" w:name="_Toc28359010"/>
      <w:r>
        <w:rPr>
          <w:rFonts w:hint="eastAsia" w:ascii="宋体" w:hAnsi="宋体" w:eastAsia="宋体" w:cs="宋体"/>
          <w:color w:val="auto"/>
          <w:sz w:val="24"/>
          <w:highlight w:val="none"/>
        </w:rPr>
        <w:t xml:space="preserve">名称：江苏经天纬地建设项目管理有限公司</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地址：宿迁市宿豫区珠江路金融财富广场C栋15楼1502</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联系人：赵心妍</w:t>
      </w:r>
      <w:r/>
    </w:p>
    <w:p>
      <w:pPr>
        <w:ind w:firstLine="480"/>
        <w:jc w:val="lef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联系方式：</w:t>
      </w:r>
      <w:bookmarkEnd w:id="44"/>
      <w:r/>
      <w:bookmarkEnd w:id="45"/>
      <w:r>
        <w:rPr>
          <w:rFonts w:hint="eastAsia" w:ascii="宋体" w:hAnsi="宋体" w:eastAsia="宋体" w:cs="宋体"/>
          <w:color w:val="auto"/>
          <w:sz w:val="24"/>
          <w:highlight w:val="none"/>
        </w:rPr>
        <w:t xml:space="preserve">19825705911</w:t>
      </w:r>
      <w:r/>
    </w:p>
    <w:p>
      <w:pPr>
        <w:keepLines/>
        <w:keepNext/>
        <w:spacing w:line="360" w:lineRule="auto"/>
        <w:rPr>
          <w:rFonts w:ascii="宋体" w:hAnsi="宋体" w:eastAsia="宋体" w:cs="宋体"/>
          <w:b/>
          <w:bCs/>
          <w:color w:val="auto"/>
          <w:sz w:val="32"/>
          <w:szCs w:val="32"/>
          <w:highlight w:val="none"/>
        </w:rPr>
        <w:outlineLvl w:val="2"/>
      </w:pPr>
      <w:r>
        <w:rPr>
          <w:rFonts w:hint="eastAsia" w:ascii="宋体" w:hAnsi="宋体" w:eastAsia="宋体" w:cs="宋体"/>
          <w:b/>
          <w:bCs/>
          <w:color w:val="auto"/>
          <w:sz w:val="32"/>
          <w:szCs w:val="32"/>
          <w:highlight w:val="none"/>
        </w:rPr>
        <w:t xml:space="preserve">八、其他</w:t>
      </w:r>
      <w:r/>
    </w:p>
    <w:p>
      <w:pPr>
        <w:ind w:firstLine="480"/>
        <w:spacing w:line="360" w:lineRule="auto"/>
        <w:rPr>
          <w:rFonts w:ascii="宋体" w:hAnsi="宋体" w:eastAsia="宋体" w:cs="宋体"/>
          <w:iCs/>
          <w:color w:val="auto"/>
          <w:sz w:val="24"/>
          <w:szCs w:val="21"/>
          <w:highlight w:val="none"/>
        </w:rPr>
      </w:pPr>
      <w:r>
        <w:rPr>
          <w:rFonts w:hint="eastAsia" w:ascii="宋体" w:hAnsi="宋体" w:eastAsia="宋体" w:cs="宋体"/>
          <w:iCs/>
          <w:color w:val="auto"/>
          <w:sz w:val="24"/>
          <w:szCs w:val="21"/>
          <w:highlight w:val="none"/>
        </w:rPr>
        <w:t xml:space="preserve">1.有关本次招标的事项若存在变动或修改，敬请及时关注“</w:t>
      </w:r>
      <w:r>
        <w:rPr>
          <w:rFonts w:hint="eastAsia" w:ascii="宋体" w:hAnsi="宋体" w:eastAsia="宋体" w:cs="宋体"/>
          <w:iCs/>
          <w:color w:val="auto"/>
          <w:sz w:val="24"/>
          <w:szCs w:val="21"/>
          <w:highlight w:val="none"/>
          <w:lang w:eastAsia="zh-CN"/>
        </w:rPr>
        <w:t xml:space="preserve">宿迁市政府采购网</w:t>
      </w:r>
      <w:r>
        <w:rPr>
          <w:rFonts w:hint="eastAsia" w:ascii="宋体" w:hAnsi="宋体" w:eastAsia="宋体" w:cs="宋体"/>
          <w:iCs/>
          <w:color w:val="auto"/>
          <w:sz w:val="24"/>
          <w:szCs w:val="21"/>
          <w:highlight w:val="none"/>
        </w:rPr>
        <w:t xml:space="preserve">”等平台更正公告。</w:t>
      </w:r>
      <w:r/>
    </w:p>
    <w:p>
      <w:pPr>
        <w:ind w:firstLine="480"/>
        <w:spacing w:line="360" w:lineRule="auto"/>
        <w:tabs>
          <w:tab w:val="left" w:pos="900" w:leader="none"/>
        </w:tabs>
        <w:rPr>
          <w:rFonts w:ascii="宋体" w:hAnsi="宋体" w:eastAsia="宋体" w:cs="宋体"/>
          <w:bCs/>
          <w:color w:val="auto"/>
          <w:sz w:val="24"/>
          <w:highlight w:val="none"/>
        </w:rPr>
      </w:pPr>
      <w:r>
        <w:rPr>
          <w:rFonts w:hint="eastAsia" w:ascii="宋体" w:hAnsi="宋体" w:eastAsia="宋体" w:cs="宋体"/>
          <w:iCs/>
          <w:color w:val="auto"/>
          <w:sz w:val="24"/>
          <w:szCs w:val="21"/>
          <w:highlight w:val="none"/>
        </w:rPr>
        <w:t xml:space="preserve">2</w:t>
      </w:r>
      <w:r>
        <w:rPr>
          <w:rFonts w:hint="eastAsia" w:ascii="宋体" w:hAnsi="宋体" w:eastAsia="宋体" w:cs="宋体"/>
          <w:color w:val="auto"/>
          <w:sz w:val="24"/>
          <w:highlight w:val="none"/>
        </w:rPr>
        <w:t xml:space="preserve">.</w:t>
      </w:r>
      <w:r>
        <w:rPr>
          <w:rFonts w:hint="eastAsia" w:ascii="宋体" w:hAnsi="宋体" w:eastAsia="宋体" w:cs="宋体"/>
          <w:bCs/>
          <w:color w:val="auto"/>
          <w:sz w:val="24"/>
          <w:highlight w:val="none"/>
        </w:rPr>
        <w:t xml:space="preserve">本次招标不收取投标保证金。</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jc w:val="center"/>
        <w:keepLines/>
        <w:keepNext/>
        <w:spacing w:line="360" w:lineRule="auto"/>
        <w:rPr>
          <w:rFonts w:hint="eastAsia" w:ascii="宋体" w:hAnsi="宋体" w:eastAsia="宋体" w:cs="宋体"/>
          <w:b/>
          <w:bCs/>
          <w:color w:val="auto"/>
          <w:sz w:val="44"/>
          <w:szCs w:val="44"/>
          <w:highlight w:val="none"/>
        </w:rPr>
        <w:outlineLvl w:val="1"/>
      </w:pPr>
      <w:r/>
      <w:bookmarkStart w:id="46" w:name="_Toc120614211"/>
      <w:r>
        <w:rPr>
          <w:rFonts w:hint="eastAsia" w:ascii="宋体" w:hAnsi="宋体" w:eastAsia="宋体" w:cs="宋体"/>
          <w:b/>
          <w:bCs/>
          <w:color w:val="auto"/>
          <w:sz w:val="44"/>
          <w:szCs w:val="44"/>
          <w:highlight w:val="none"/>
        </w:rPr>
        <w:t xml:space="preserve">第二章</w:t>
      </w:r>
      <w:bookmarkEnd w:id="1"/>
      <w:r/>
      <w:bookmarkEnd w:id="2"/>
      <w:r/>
      <w:bookmarkEnd w:id="3"/>
      <w:r/>
      <w:bookmarkEnd w:id="4"/>
      <w:r/>
      <w:bookmarkEnd w:id="5"/>
      <w:r/>
      <w:bookmarkEnd w:id="46"/>
      <w:r/>
      <w:bookmarkStart w:id="47" w:name="_Toc120614213"/>
      <w:r/>
      <w:bookmarkStart w:id="48" w:name="_Toc16938518"/>
      <w:r/>
      <w:bookmarkStart w:id="49" w:name="_Toc20823274"/>
      <w:r/>
      <w:bookmarkStart w:id="50" w:name="_Toc513029202"/>
      <w:r>
        <w:rPr>
          <w:rFonts w:hint="eastAsia" w:ascii="宋体" w:hAnsi="宋体" w:eastAsia="宋体" w:cs="宋体"/>
          <w:b/>
          <w:bCs/>
          <w:color w:val="auto"/>
          <w:sz w:val="44"/>
          <w:szCs w:val="44"/>
          <w:highlight w:val="none"/>
        </w:rPr>
        <w:t xml:space="preserve"> 投标人须知</w:t>
      </w:r>
      <w:bookmarkEnd w:id="47"/>
      <w:r/>
      <w:bookmarkEnd w:id="48"/>
      <w:r/>
      <w:bookmarkEnd w:id="49"/>
      <w:r/>
      <w:bookmarkEnd w:id="50"/>
      <w:r/>
      <w:r/>
    </w:p>
    <w:p>
      <w:pPr>
        <w:pStyle w:val="835"/>
        <w:spacing w:before="0" w:after="120" w:line="240" w:lineRule="auto"/>
        <w:rPr>
          <w:rFonts w:ascii="宋体" w:hAnsi="宋体" w:eastAsia="宋体" w:cs="宋体"/>
          <w:bCs/>
          <w:color w:val="auto"/>
          <w:szCs w:val="22"/>
          <w:highlight w:val="none"/>
        </w:rPr>
      </w:pPr>
      <w:r/>
      <w:bookmarkStart w:id="51" w:name="_Toc4529"/>
      <w:r/>
      <w:bookmarkStart w:id="52" w:name="_Toc120614214"/>
      <w:r/>
      <w:bookmarkStart w:id="53" w:name="_Toc513029203"/>
      <w:r/>
      <w:bookmarkStart w:id="54" w:name="_Toc16938519"/>
      <w:r/>
      <w:bookmarkStart w:id="55" w:name="_Toc20823275"/>
      <w:r>
        <w:rPr>
          <w:rFonts w:hint="eastAsia" w:ascii="宋体" w:hAnsi="宋体" w:eastAsia="宋体" w:cs="宋体"/>
          <w:bCs/>
          <w:color w:val="auto"/>
          <w:szCs w:val="22"/>
          <w:highlight w:val="none"/>
        </w:rPr>
        <w:t xml:space="preserve">投标人须知前附表：</w:t>
      </w:r>
      <w:bookmarkEnd w:id="51"/>
      <w:r/>
      <w:r/>
    </w:p>
    <w:tbl>
      <w:tblPr>
        <w:tblStyle w:val="837"/>
        <w:tblpPr w:horzAnchor="page" w:tblpX="1530" w:vertAnchor="text" w:tblpY="228" w:leftFromText="180" w:topFromText="0" w:rightFromText="180" w:bottomFromText="0"/>
        <w:tblW w:w="92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462"/>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rPr>
                <w:rFonts w:ascii="宋体" w:hAnsi="宋体" w:eastAsia="宋体" w:cs="宋体"/>
                <w:b/>
                <w:color w:val="auto"/>
                <w:sz w:val="24"/>
                <w:highlight w:val="none"/>
              </w:rPr>
            </w:pPr>
            <w:r/>
            <w:bookmarkStart w:id="56" w:name="_Toc81575191"/>
            <w:r/>
            <w:bookmarkStart w:id="57" w:name="_Toc81575154"/>
            <w:r/>
            <w:bookmarkStart w:id="58" w:name="_Toc29262"/>
            <w:r>
              <w:rPr>
                <w:rFonts w:hint="eastAsia" w:ascii="宋体" w:hAnsi="宋体" w:eastAsia="宋体" w:cs="宋体"/>
                <w:b/>
                <w:color w:val="auto"/>
                <w:sz w:val="24"/>
                <w:highlight w:val="none"/>
              </w:rPr>
              <w:t xml:space="preserve">序号</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内容</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center"/>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说明及要求</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项目属性</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本项目</w:t>
            </w:r>
            <w:bookmarkStart w:id="59" w:name="EB9a5853ee094f4f0ea6ec3169265f6f2c"/>
            <w:r>
              <w:rPr>
                <w:rFonts w:hint="eastAsia" w:ascii="宋体" w:hAnsi="宋体" w:eastAsia="宋体" w:cs="宋体"/>
                <w:color w:val="auto"/>
                <w:sz w:val="24"/>
                <w:highlight w:val="none"/>
              </w:rPr>
              <w:t xml:space="preserve">属性按以下第</w:t>
            </w:r>
            <w:bookmarkEnd w:id="59"/>
            <w:r>
              <w:rPr>
                <w:rFonts w:hint="eastAsia" w:ascii="宋体" w:hAnsi="宋体" w:eastAsia="宋体" w:cs="宋体"/>
                <w:color w:val="auto"/>
                <w:sz w:val="24"/>
                <w:highlight w:val="none"/>
                <w:u w:val="single"/>
              </w:rPr>
              <w:t xml:space="preserve"> 1 </w:t>
            </w:r>
            <w:r>
              <w:rPr>
                <w:rFonts w:hint="eastAsia" w:ascii="宋体" w:hAnsi="宋体" w:eastAsia="宋体" w:cs="宋体"/>
                <w:color w:val="auto"/>
                <w:sz w:val="24"/>
                <w:highlight w:val="none"/>
              </w:rPr>
              <w:t xml:space="preserve">种确定：</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1.货物</w:t>
            </w:r>
            <w:bookmarkStart w:id="60" w:name="EBd5c6c026f9674c39b21b31ecd0c1e7fa"/>
            <w:r>
              <w:rPr>
                <w:rFonts w:hint="eastAsia" w:ascii="宋体" w:hAnsi="宋体" w:eastAsia="宋体" w:cs="宋体"/>
                <w:color w:val="auto"/>
                <w:sz w:val="24"/>
                <w:highlight w:val="none"/>
              </w:rPr>
              <w:t xml:space="preserve">采购；2.</w:t>
            </w:r>
            <w:bookmarkEnd w:id="60"/>
            <w:r>
              <w:rPr>
                <w:rFonts w:hint="eastAsia" w:ascii="宋体" w:hAnsi="宋体" w:eastAsia="宋体" w:cs="宋体"/>
                <w:color w:val="auto"/>
                <w:sz w:val="24"/>
                <w:highlight w:val="none"/>
              </w:rPr>
              <w:t xml:space="preserve">服务</w:t>
            </w:r>
            <w:bookmarkStart w:id="61" w:name="EBf7d2a4f44ecb4166a93ea852e73be69f"/>
            <w:r>
              <w:rPr>
                <w:rFonts w:hint="eastAsia" w:ascii="宋体" w:hAnsi="宋体" w:eastAsia="宋体" w:cs="宋体"/>
                <w:color w:val="auto"/>
                <w:sz w:val="24"/>
                <w:highlight w:val="none"/>
              </w:rPr>
              <w:t xml:space="preserve">采购；3.</w:t>
            </w:r>
            <w:bookmarkEnd w:id="61"/>
            <w:r>
              <w:rPr>
                <w:rFonts w:hint="eastAsia" w:ascii="宋体" w:hAnsi="宋体" w:eastAsia="宋体" w:cs="宋体"/>
                <w:color w:val="auto"/>
                <w:sz w:val="24"/>
                <w:highlight w:val="none"/>
              </w:rPr>
              <w:t xml:space="preserve">工程采购。</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投标有效期</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bookmarkStart w:id="62" w:name="EBd40b5fb42f2944a3b45e579ce3941f02"/>
            <w:r/>
            <w:bookmarkEnd w:id="62"/>
            <w:r>
              <w:rPr>
                <w:rFonts w:hint="eastAsia" w:ascii="宋体" w:hAnsi="宋体" w:eastAsia="宋体" w:cs="宋体"/>
                <w:color w:val="auto"/>
                <w:sz w:val="24"/>
                <w:highlight w:val="none"/>
              </w:rPr>
              <w:t xml:space="preserve">60日（从提交投标文件截止之日起算）</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投标文件份数</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提交加密电子投标文件</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份</w:t>
            </w:r>
            <w:r>
              <w:rPr>
                <w:rFonts w:hint="eastAsia" w:ascii="宋体" w:hAnsi="宋体" w:eastAsia="宋体" w:cs="宋体"/>
                <w:color w:val="auto"/>
                <w:sz w:val="24"/>
                <w:highlight w:val="none"/>
              </w:rPr>
              <w:t xml:space="preserve">。</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开标</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“苏采云”政府采购交易系统网上开标大厅进行不见面开标。</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进口产品</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按以下第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种方式确定：</w:t>
            </w:r>
            <w:r/>
          </w:p>
          <w:p>
            <w:pPr>
              <w:jc w:val="left"/>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1.接受进口产品。</w:t>
            </w:r>
            <w:r>
              <w:rPr>
                <w:rFonts w:hint="eastAsia" w:ascii="宋体" w:hAnsi="宋体" w:eastAsia="宋体" w:cs="宋体"/>
                <w:color w:val="auto"/>
                <w:sz w:val="24"/>
                <w:szCs w:val="22"/>
                <w:highlight w:val="none"/>
              </w:rPr>
              <w:t xml:space="preserve">应当符合《政府采购进口产品管理办法》（财库〔2007〕119号）、《关于政府采购进口产品管理有关问题的通知》（财办库〔2008〕248号）等相关规定</w:t>
            </w:r>
            <w:r>
              <w:rPr>
                <w:rFonts w:hint="eastAsia" w:ascii="宋体" w:hAnsi="宋体" w:eastAsia="宋体" w:cs="宋体"/>
                <w:color w:val="auto"/>
                <w:sz w:val="24"/>
                <w:highlight w:val="none"/>
              </w:rPr>
              <w:t xml:space="preserve">；</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2.不接受进口产品。</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评标办法</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具体评标办法详见招标文件第三章。</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评标委员会依据招标文件规定的评标办法和标准推荐</w:t>
            </w:r>
            <w:r>
              <w:rPr>
                <w:rFonts w:hint="eastAsia" w:ascii="宋体" w:hAnsi="宋体" w:eastAsia="宋体" w:cs="宋体"/>
                <w:color w:val="auto"/>
                <w:sz w:val="24"/>
                <w:highlight w:val="none"/>
                <w:u w:val="single"/>
                <w:lang w:val="en-US" w:eastAsia="zh-CN"/>
              </w:rPr>
              <w:t xml:space="preserve">1</w:t>
            </w:r>
            <w:bookmarkStart w:id="179" w:name="_GoBack"/>
            <w:r/>
            <w:bookmarkEnd w:id="179"/>
            <w:r>
              <w:rPr>
                <w:rFonts w:hint="eastAsia" w:ascii="宋体" w:hAnsi="宋体" w:eastAsia="宋体" w:cs="宋体"/>
                <w:color w:val="auto"/>
                <w:sz w:val="24"/>
                <w:highlight w:val="none"/>
              </w:rPr>
              <w:t xml:space="preserve">名中标候选人。</w:t>
            </w:r>
            <w:r/>
          </w:p>
        </w:tc>
      </w:tr>
      <w:tr>
        <w:trPr>
          <w:trHeight w:val="90"/>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确定中标人</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按以下第</w:t>
            </w:r>
            <w:r>
              <w:rPr>
                <w:rFonts w:hint="eastAsia" w:ascii="宋体" w:hAnsi="宋体" w:eastAsia="宋体" w:cs="宋体"/>
                <w:color w:val="auto"/>
                <w:sz w:val="24"/>
                <w:highlight w:val="none"/>
                <w:u w:val="single"/>
              </w:rPr>
              <w:t xml:space="preserve">1</w:t>
            </w:r>
            <w:r>
              <w:rPr>
                <w:rFonts w:hint="eastAsia" w:ascii="宋体" w:hAnsi="宋体" w:eastAsia="宋体" w:cs="宋体"/>
                <w:color w:val="auto"/>
                <w:sz w:val="24"/>
                <w:highlight w:val="none"/>
              </w:rPr>
              <w:t xml:space="preserve">种方式确定中标人：</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1.采购人按规定在评标委员会推荐的中标候选人中确定中标人；</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2.采购人授权评标委员会直接确定中标人。</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分包要求</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jc w:val="left"/>
              <w:spacing w:line="400" w:lineRule="exact"/>
              <w:rPr>
                <w:rFonts w:ascii="宋体" w:hAnsi="宋体" w:eastAsia="宋体" w:cs="宋体"/>
                <w:color w:val="auto"/>
                <w:sz w:val="24"/>
                <w:highlight w:val="none"/>
              </w:rPr>
            </w:pPr>
            <w:r/>
            <w:bookmarkStart w:id="63" w:name="EBebac1462c5d9459fbda8a75065c2455d"/>
            <w:r>
              <w:rPr>
                <w:rFonts w:hint="eastAsia" w:ascii="宋体" w:hAnsi="宋体" w:eastAsia="宋体" w:cs="宋体"/>
                <w:color w:val="auto"/>
                <w:sz w:val="24"/>
                <w:highlight w:val="none"/>
              </w:rPr>
              <w:t xml:space="preserve">本项目的非主体、非关键性工作是否允许分包</w:t>
            </w:r>
            <w:bookmarkEnd w:id="63"/>
            <w:r>
              <w:rPr>
                <w:rFonts w:hint="eastAsia" w:ascii="宋体" w:hAnsi="宋体" w:eastAsia="宋体" w:cs="宋体"/>
                <w:color w:val="auto"/>
                <w:sz w:val="24"/>
                <w:highlight w:val="none"/>
              </w:rPr>
              <w:t xml:space="preserve">按以下第</w:t>
            </w:r>
            <w:r>
              <w:rPr>
                <w:rFonts w:hint="eastAsia" w:ascii="宋体" w:hAnsi="宋体" w:eastAsia="宋体" w:cs="宋体"/>
                <w:color w:val="auto"/>
                <w:sz w:val="24"/>
                <w:highlight w:val="none"/>
                <w:u w:val="single"/>
              </w:rPr>
              <w:t xml:space="preserve">2</w:t>
            </w:r>
            <w:r>
              <w:rPr>
                <w:rFonts w:hint="eastAsia" w:ascii="宋体" w:hAnsi="宋体" w:eastAsia="宋体" w:cs="宋体"/>
                <w:color w:val="auto"/>
                <w:sz w:val="24"/>
                <w:highlight w:val="none"/>
              </w:rPr>
              <w:t xml:space="preserve">种方式确定：</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1.允许分包，</w:t>
            </w:r>
            <w:bookmarkStart w:id="64" w:name="EB512ba06683724173802e2aae54a26079"/>
            <w:r>
              <w:rPr>
                <w:rFonts w:hint="eastAsia" w:ascii="宋体" w:hAnsi="宋体" w:eastAsia="宋体" w:cs="宋体"/>
                <w:color w:val="auto"/>
                <w:sz w:val="24"/>
                <w:highlight w:val="none"/>
              </w:rPr>
              <w:t xml:space="preserve">允许大中型企业向一家或者多家小微企业分包，分包具体内容、金额或比例：</w:t>
            </w:r>
            <w:bookmarkEnd w:id="64"/>
            <w:r>
              <w:rPr>
                <w:rFonts w:hint="eastAsia" w:ascii="宋体" w:hAnsi="宋体" w:eastAsia="宋体" w:cs="宋体"/>
                <w:color w:val="auto"/>
                <w:sz w:val="24"/>
                <w:highlight w:val="none"/>
              </w:rPr>
              <w:t xml:space="preserve">无</w:t>
            </w:r>
            <w:r/>
          </w:p>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2.不允许分包。</w:t>
            </w:r>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left"/>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代理费用收取方式及标准</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360" w:lineRule="exact"/>
              <w:widowControl/>
              <w:rPr>
                <w:rFonts w:hint="eastAsia" w:ascii="宋体" w:hAnsi="宋体" w:eastAsia="宋体" w:cs="宋体"/>
                <w:color w:val="auto"/>
                <w:sz w:val="24"/>
                <w:highlight w:val="none"/>
                <w:lang w:eastAsia="zh-CN"/>
              </w:rPr>
            </w:pPr>
            <w:r/>
            <w:bookmarkStart w:id="65" w:name="EBfe735bb6fc4d4e5e9e350f940db98c5f"/>
            <w:r/>
            <w:bookmarkEnd w:id="65"/>
            <w:r>
              <w:rPr>
                <w:rFonts w:hint="eastAsia" w:ascii="宋体" w:hAnsi="宋体" w:eastAsia="宋体" w:cs="宋体"/>
                <w:color w:val="auto"/>
                <w:sz w:val="24"/>
                <w:highlight w:val="none"/>
              </w:rPr>
              <w:t xml:space="preserve">按照代理合同约定收取</w:t>
            </w:r>
            <w:r>
              <w:rPr>
                <w:rFonts w:hint="eastAsia" w:ascii="宋体" w:hAnsi="宋体" w:eastAsia="宋体" w:cs="宋体"/>
                <w:color w:val="auto"/>
                <w:sz w:val="24"/>
                <w:highlight w:val="none"/>
                <w:lang w:eastAsia="zh-CN"/>
              </w:rPr>
              <w:t xml:space="preserve">。</w:t>
            </w:r>
            <w:bookmarkEnd w:id="56"/>
            <w:bookmarkEnd w:id="57"/>
            <w:bookmarkEnd w:id="58"/>
            <w:r/>
          </w:p>
        </w:tc>
      </w:tr>
      <w:tr>
        <w:trPr/>
        <w:tc>
          <w:tcPr>
            <w:tcBorders>
              <w:top w:val="single" w:color="auto" w:sz="4" w:space="0"/>
              <w:left w:val="single" w:color="auto" w:sz="4" w:space="0"/>
              <w:bottom w:val="single" w:color="auto" w:sz="4" w:space="0"/>
              <w:right w:val="single" w:color="auto" w:sz="4" w:space="0"/>
            </w:tcBorders>
            <w:tcW w:w="858"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Borders>
              <w:top w:val="single" w:color="auto" w:sz="4" w:space="0"/>
              <w:left w:val="none" w:color="000000" w:sz="4" w:space="0"/>
              <w:bottom w:val="single" w:color="auto" w:sz="4" w:space="0"/>
              <w:right w:val="single" w:color="auto" w:sz="4" w:space="0"/>
            </w:tcBorders>
            <w:tcW w:w="1772" w:type="dxa"/>
            <w:vAlign w:val="center"/>
            <w:textDirection w:val="lrTb"/>
            <w:noWrap w:val="false"/>
          </w:tcPr>
          <w:p>
            <w:pPr>
              <w:jc w:val="center"/>
              <w:spacing w:line="4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Borders>
              <w:top w:val="single" w:color="auto" w:sz="4" w:space="0"/>
              <w:left w:val="none" w:color="000000" w:sz="4" w:space="0"/>
              <w:bottom w:val="single" w:color="auto" w:sz="4" w:space="0"/>
              <w:right w:val="single" w:color="auto" w:sz="4" w:space="0"/>
            </w:tcBorders>
            <w:tcW w:w="6579" w:type="dxa"/>
            <w:vAlign w:val="center"/>
            <w:textDirection w:val="lrTb"/>
            <w:noWrap w:val="false"/>
          </w:tcPr>
          <w:p>
            <w:pPr>
              <w:spacing w:line="3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.踏勘现场：本项目不组织踏勘现场，各投标人自行踏勘，费用自理。因未踏勘或未仔细踏勘造成的损失自负。</w:t>
            </w:r>
            <w:r/>
          </w:p>
          <w:p>
            <w:pPr>
              <w:spacing w:line="360" w:lineRule="exact"/>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rPr>
              <w:t xml:space="preserve">.信用信息查询截止时间：资格审查结束前。由采购人在资格审查现场查询信用信息，网页截屏打印，查询结果留存并归档。</w:t>
            </w:r>
            <w:r/>
          </w:p>
        </w:tc>
      </w:tr>
    </w:tbl>
    <w:p>
      <w:pPr>
        <w:keepLines/>
        <w:keepNext/>
        <w:spacing w:line="560" w:lineRule="exact"/>
        <w:rPr>
          <w:rFonts w:ascii="宋体" w:hAnsi="宋体" w:eastAsia="宋体" w:cs="宋体"/>
          <w:b/>
          <w:bCs/>
          <w:color w:val="auto"/>
          <w:sz w:val="32"/>
          <w:szCs w:val="32"/>
          <w:highlight w:val="none"/>
        </w:rPr>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720" w:equalWidth="1"/>
          <w:docGrid w:linePitch="360"/>
          <w:titlePg/>
        </w:sectPr>
        <w:outlineLvl w:val="2"/>
      </w:pPr>
      <w:r>
        <w:rPr>
          <w:rFonts w:ascii="宋体" w:hAnsi="宋体" w:eastAsia="宋体" w:cs="宋体"/>
          <w:b/>
          <w:bCs/>
          <w:color w:val="auto"/>
          <w:sz w:val="32"/>
          <w:szCs w:val="32"/>
          <w:highlight w:val="none"/>
        </w:rPr>
      </w:r>
      <w:bookmarkEnd w:id="52"/>
      <w:bookmarkEnd w:id="53"/>
      <w:bookmarkEnd w:id="54"/>
      <w:bookmarkEnd w:id="55"/>
      <w:r/>
    </w:p>
    <w:p>
      <w:pPr>
        <w:spacing w:line="500" w:lineRule="exact"/>
        <w:rPr>
          <w:rFonts w:ascii="宋体" w:hAnsi="宋体" w:eastAsia="宋体" w:cs="宋体"/>
          <w:b/>
          <w:color w:val="auto"/>
          <w:sz w:val="24"/>
          <w:szCs w:val="22"/>
          <w:highlight w:val="none"/>
        </w:rPr>
      </w:pPr>
      <w:r/>
      <w:bookmarkStart w:id="66" w:name="_Toc20956"/>
      <w:r/>
      <w:bookmarkStart w:id="67" w:name="_Toc764"/>
      <w:r/>
      <w:bookmarkStart w:id="68" w:name="_Toc28142"/>
      <w:r/>
      <w:bookmarkStart w:id="69" w:name="_Toc16938558"/>
      <w:r/>
      <w:bookmarkStart w:id="70" w:name="_Toc120614221"/>
      <w:r/>
      <w:bookmarkStart w:id="71" w:name="_Toc20823314"/>
      <w:r/>
      <w:bookmarkStart w:id="72" w:name="_Toc479757207"/>
      <w:r/>
      <w:bookmarkStart w:id="73" w:name="_Toc513029242"/>
      <w:r>
        <w:rPr>
          <w:rFonts w:hint="eastAsia" w:ascii="宋体" w:hAnsi="宋体" w:eastAsia="宋体" w:cs="宋体"/>
          <w:b/>
          <w:color w:val="auto"/>
          <w:sz w:val="28"/>
          <w:highlight w:val="none"/>
        </w:rPr>
        <w:t xml:space="preserve">一、总 则</w:t>
      </w:r>
      <w:bookmarkEnd w:id="66"/>
      <w:r/>
      <w:bookmarkEnd w:id="67"/>
      <w:r/>
      <w:bookmarkEnd w:id="68"/>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1.招标方式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本次招标采取公开招标方式。</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2.合格的投标人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2.1合格的投标人必须符合招标文件第一部分《投标邀请函》第二条及须知前附表相关规定，且具备完成本项目的能力，中标后不允许转包。</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2.2合格的投标人应遵守《中华人民共和国政府采购法》《中华人民共和国政府采购法实施条例》《中华人民共和国民法典（第三编合同）》等有关法律法规。</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3.适用法律</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本次招标及由本次招标产生的合同受到中华人民共和国的相关法律法规制约和保护。</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4.投标费用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投标人应自行承担所有参加投标有关的费用。</w:t>
      </w:r>
      <w:r/>
    </w:p>
    <w:p>
      <w:pPr>
        <w:ind w:firstLine="420"/>
        <w:rPr>
          <w:rFonts w:ascii="宋体" w:hAnsi="宋体" w:eastAsia="宋体" w:cs="宋体"/>
          <w:color w:val="auto"/>
          <w:szCs w:val="22"/>
          <w:highlight w:val="none"/>
        </w:rPr>
      </w:pPr>
      <w:r/>
      <w:bookmarkStart w:id="74" w:name="EB03f11de025af49a0b0680fbbffa2bc40"/>
      <w:r/>
      <w:bookmarkEnd w:id="74"/>
      <w:r/>
      <w:r/>
    </w:p>
    <w:p>
      <w:pPr>
        <w:ind w:firstLine="482"/>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.政府采购政策</w:t>
      </w:r>
      <w:r/>
    </w:p>
    <w:p>
      <w:pPr>
        <w:ind w:firstLine="482"/>
        <w:spacing w:line="500" w:lineRule="exact"/>
        <w:rPr>
          <w:rFonts w:hint="default" w:ascii="宋体" w:hAnsi="宋体" w:eastAsia="宋体" w:cs="宋体"/>
          <w:b/>
          <w:color w:val="auto"/>
          <w:sz w:val="24"/>
          <w:szCs w:val="22"/>
          <w:highlight w:val="none"/>
          <w:lang w:val="en-US" w:eastAsia="zh-CN"/>
        </w:rPr>
      </w:pPr>
      <w:r>
        <w:rPr>
          <w:rFonts w:hint="eastAsia" w:ascii="宋体" w:hAnsi="宋体" w:eastAsia="宋体" w:cs="宋体"/>
          <w:b/>
          <w:bCs/>
          <w:color w:val="auto"/>
          <w:sz w:val="24"/>
          <w:szCs w:val="22"/>
          <w:highlight w:val="none"/>
        </w:rPr>
        <w:t xml:space="preserve">本项目落实的政府采购政策为应序号为</w:t>
      </w:r>
      <w:r>
        <w:rPr>
          <w:rFonts w:hint="eastAsia" w:ascii="宋体" w:hAnsi="宋体" w:eastAsia="宋体" w:cs="宋体"/>
          <w:color w:val="auto"/>
          <w:sz w:val="24"/>
          <w:szCs w:val="22"/>
          <w:highlight w:val="none"/>
          <w:u w:val="single"/>
          <w:lang w:val="en-US" w:eastAsia="zh-CN"/>
        </w:rPr>
        <w:t xml:space="preserve">5</w:t>
      </w:r>
      <w:r>
        <w:rPr>
          <w:rFonts w:hint="eastAsia" w:ascii="宋体" w:hAnsi="宋体" w:eastAsia="宋体" w:cs="宋体"/>
          <w:color w:val="auto"/>
          <w:sz w:val="24"/>
          <w:szCs w:val="22"/>
          <w:highlight w:val="none"/>
          <w:u w:val="single"/>
        </w:rPr>
        <w:t xml:space="preserve">.1</w:t>
      </w:r>
      <w:r>
        <w:rPr>
          <w:rFonts w:hint="eastAsia" w:ascii="宋体" w:hAnsi="宋体" w:eastAsia="宋体" w:cs="宋体"/>
          <w:color w:val="auto"/>
          <w:sz w:val="24"/>
          <w:szCs w:val="22"/>
          <w:highlight w:val="none"/>
          <w:u w:val="single"/>
          <w:lang w:val="en-US" w:eastAsia="zh-CN"/>
        </w:rPr>
        <w:t xml:space="preserve">、5</w:t>
      </w:r>
      <w:r>
        <w:rPr>
          <w:rFonts w:hint="eastAsia" w:ascii="宋体" w:hAnsi="宋体" w:eastAsia="宋体" w:cs="宋体"/>
          <w:color w:val="auto"/>
          <w:sz w:val="24"/>
          <w:szCs w:val="22"/>
          <w:highlight w:val="none"/>
          <w:u w:val="single"/>
        </w:rPr>
        <w:t xml:space="preserve">.3</w:t>
      </w:r>
      <w:r>
        <w:rPr>
          <w:rFonts w:hint="eastAsia" w:ascii="宋体" w:hAnsi="宋体" w:eastAsia="宋体" w:cs="宋体"/>
          <w:color w:val="auto"/>
          <w:sz w:val="24"/>
          <w:szCs w:val="22"/>
          <w:highlight w:val="none"/>
          <w:u w:val="single"/>
          <w:lang w:val="en-US" w:eastAsia="zh-CN"/>
        </w:rPr>
        <w:t xml:space="preserve">.1</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.1中小企业政策</w:t>
      </w:r>
      <w:r/>
    </w:p>
    <w:p>
      <w:pPr>
        <w:ind w:firstLine="480"/>
        <w:spacing w:line="500" w:lineRule="exact"/>
        <w:rPr>
          <w:rFonts w:ascii="宋体" w:hAnsi="宋体" w:eastAsia="宋体" w:cs="宋体"/>
          <w:b/>
          <w:bCs/>
          <w:color w:val="auto"/>
          <w:sz w:val="24"/>
          <w:szCs w:val="22"/>
          <w:highlight w:val="none"/>
          <w:u w:val="single"/>
        </w:rPr>
      </w:pPr>
      <w:r>
        <w:rPr>
          <w:rFonts w:hint="eastAsia" w:ascii="宋体" w:hAnsi="宋体" w:eastAsia="宋体" w:cs="宋体"/>
          <w:color w:val="auto"/>
          <w:sz w:val="24"/>
          <w:szCs w:val="22"/>
          <w:highlight w:val="none"/>
        </w:rPr>
        <w:t xml:space="preserve">本项目采购标的对应的中小企业划分标准所属行业：</w:t>
      </w:r>
      <w:r>
        <w:rPr>
          <w:rFonts w:hint="eastAsia" w:ascii="宋体" w:hAnsi="宋体" w:eastAsia="宋体" w:cs="宋体"/>
          <w:b/>
          <w:bCs/>
          <w:color w:val="auto"/>
          <w:sz w:val="24"/>
          <w:szCs w:val="22"/>
          <w:highlight w:val="none"/>
          <w:u w:val="single"/>
        </w:rPr>
        <w:t xml:space="preserve">工业</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本项目按以下第</w:t>
      </w:r>
      <w:r>
        <w:rPr>
          <w:rFonts w:hint="eastAsia" w:ascii="宋体" w:hAnsi="宋体" w:eastAsia="宋体" w:cs="宋体"/>
          <w:b/>
          <w:bCs/>
          <w:color w:val="auto"/>
          <w:sz w:val="24"/>
          <w:szCs w:val="22"/>
          <w:highlight w:val="none"/>
          <w:u w:val="single"/>
        </w:rPr>
        <w:t xml:space="preserve">（2）</w:t>
      </w:r>
      <w:r>
        <w:rPr>
          <w:rFonts w:hint="eastAsia" w:ascii="宋体" w:hAnsi="宋体" w:eastAsia="宋体" w:cs="宋体"/>
          <w:color w:val="auto"/>
          <w:sz w:val="24"/>
          <w:szCs w:val="22"/>
          <w:highlight w:val="none"/>
        </w:rPr>
        <w:t xml:space="preserve">项政策确定本项目落实的中小企业政策：</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（1）本项目专门面向中小企业（含监狱与戒毒企业、残疾人福利企业）采购。</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（2）对符合规定情形的小微企业报价给予</w:t>
      </w:r>
      <w:r>
        <w:rPr>
          <w:rFonts w:hint="eastAsia" w:ascii="宋体" w:hAnsi="宋体" w:eastAsia="宋体" w:cs="宋体"/>
          <w:b/>
          <w:bCs/>
          <w:color w:val="auto"/>
          <w:sz w:val="24"/>
          <w:szCs w:val="22"/>
          <w:highlight w:val="none"/>
          <w:u w:val="single"/>
        </w:rPr>
        <w:t xml:space="preserve">10%</w:t>
      </w:r>
      <w:r>
        <w:rPr>
          <w:rFonts w:hint="eastAsia" w:ascii="宋体" w:hAnsi="宋体" w:eastAsia="宋体" w:cs="宋体"/>
          <w:color w:val="auto"/>
          <w:sz w:val="24"/>
          <w:szCs w:val="22"/>
          <w:highlight w:val="none"/>
        </w:rPr>
        <w:t xml:space="preserve">的扣除，用扣除后的价格参加评审。</w:t>
      </w:r>
      <w:r/>
    </w:p>
    <w:p>
      <w:pPr>
        <w:ind w:firstLine="480"/>
        <w:spacing w:line="48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在服务采购项目中，服务由中小企业承接，即提供服务的人员为中小企业依照《中华人民共和国劳动合同法》订立劳动合同的从业人员。</w:t>
      </w:r>
      <w:r/>
    </w:p>
    <w:p>
      <w:pPr>
        <w:ind w:firstLine="480"/>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在货物采购项目中，货物由中小企业制造，即货物由中小企业生产且使用该中小企业商号或者注册商标；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大中型企业与小微企业组成联合体或者允许大中型企业向一家或者多家小微企业分包的采购项目，对于联合协议或者分包意向协议约定小微企业的合同份额占到合同总金额30%及以上的，对大中型企业的报价给予5%的扣除，用扣除后的价格参加评审。（是否接受联合体以“项目基本情况”相关内容为准，是否允许大中型企业向一家或者多家小微企业分包以“须知前附表”“采购需求”相关内容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.2 政府采购节能产品、环境标志产品</w:t>
      </w:r>
      <w:r/>
    </w:p>
    <w:p>
      <w:pPr>
        <w:ind w:firstLine="480"/>
        <w:spacing w:line="500" w:lineRule="exact"/>
        <w:rPr>
          <w:rFonts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lang w:val="en-US" w:eastAsia="zh-CN"/>
        </w:rPr>
        <w:t xml:space="preserve">5</w:t>
      </w:r>
      <w:r>
        <w:rPr>
          <w:rFonts w:hint="eastAsia" w:ascii="宋体" w:hAnsi="宋体" w:eastAsia="宋体" w:cs="宋体"/>
          <w:b w:val="0"/>
          <w:bCs w:val="0"/>
          <w:color w:val="auto"/>
          <w:sz w:val="24"/>
          <w:szCs w:val="22"/>
          <w:highlight w:val="none"/>
        </w:rPr>
        <w:t xml:space="preserve">.2.1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b w:val="0"/>
          <w:bCs w:val="0"/>
          <w:color w:val="auto"/>
          <w:sz w:val="24"/>
          <w:szCs w:val="22"/>
          <w:highlight w:val="none"/>
        </w:rPr>
      </w:pPr>
      <w:r>
        <w:rPr>
          <w:rFonts w:hint="eastAsia" w:ascii="宋体" w:hAnsi="宋体" w:eastAsia="宋体" w:cs="宋体"/>
          <w:b w:val="0"/>
          <w:bCs w:val="0"/>
          <w:color w:val="auto"/>
          <w:sz w:val="24"/>
          <w:szCs w:val="22"/>
          <w:highlight w:val="none"/>
          <w:lang w:val="en-US" w:eastAsia="zh-CN"/>
        </w:rPr>
        <w:t xml:space="preserve">5</w:t>
      </w:r>
      <w:r>
        <w:rPr>
          <w:rFonts w:hint="eastAsia" w:ascii="宋体" w:hAnsi="宋体" w:eastAsia="宋体" w:cs="宋体"/>
          <w:b w:val="0"/>
          <w:bCs w:val="0"/>
          <w:color w:val="auto"/>
          <w:sz w:val="24"/>
          <w:szCs w:val="22"/>
          <w:highlight w:val="none"/>
        </w:rPr>
        <w:t xml:space="preserve">.2.2采购人拟采购的产品属于政府强制采购的节能产品品目清单范围的，投标人须提供国家确定的认证机构出具的、处于有效期之内的节能产品认证证书的，否则无效标处理。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.2.3采购人拟采购的产品属于优先采购的节能环保品目清单范围的，按以下条件优先采购：</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采用综合评分法的项目，对提供有效节能环保证书的投标人加分。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采用最低评标价法的项目，同等条件下优先推荐提供有效节能环保证书多的投标人为中标人。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.3政府采购需求标准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.3.1商品包装、快递包装政府采购需求标准（试行）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.3.2绿色数据中心政府采购需求标准（试行）</w:t>
      </w:r>
      <w:r/>
    </w:p>
    <w:p>
      <w:pPr>
        <w:ind w:firstLine="480"/>
        <w:spacing w:line="500" w:lineRule="exact"/>
        <w:rPr>
          <w:rFonts w:ascii="宋体" w:hAnsi="宋体" w:eastAsia="宋体" w:cs="宋体"/>
          <w:b/>
          <w:color w:val="auto"/>
          <w:sz w:val="24"/>
          <w:szCs w:val="22"/>
          <w:highlight w:val="none"/>
        </w:rPr>
      </w:pPr>
      <w:r>
        <w:rPr>
          <w:rFonts w:hint="eastAsia" w:ascii="宋体" w:hAnsi="宋体" w:eastAsia="宋体" w:cs="宋体"/>
          <w:color w:val="auto"/>
          <w:sz w:val="24"/>
          <w:szCs w:val="22"/>
          <w:highlight w:val="none"/>
        </w:rPr>
        <w:t xml:space="preserve">为加快数据中心绿色转型，根据财政部生态环境部工业和信息化部关于印发《绿色数据中心政府采购需求标准（试行）》的通知，本项目如涉及绿色数据中心，具体需求详见第四部分采购需求。</w:t>
      </w:r>
      <w:r/>
    </w:p>
    <w:p>
      <w:pPr>
        <w:ind w:firstLine="643"/>
        <w:jc w:val="center"/>
        <w:rPr>
          <w:rFonts w:ascii="宋体" w:hAnsi="宋体" w:eastAsia="宋体" w:cs="宋体"/>
          <w:b/>
          <w:color w:val="auto"/>
          <w:sz w:val="32"/>
          <w:highlight w:val="none"/>
        </w:rPr>
        <w:outlineLvl w:val="1"/>
      </w:pPr>
      <w:r/>
      <w:bookmarkStart w:id="75" w:name="_Toc24837"/>
      <w:r/>
      <w:bookmarkStart w:id="76" w:name="_Toc81575193"/>
      <w:r/>
      <w:bookmarkStart w:id="77" w:name="_Toc81575156"/>
      <w:r/>
      <w:bookmarkStart w:id="78" w:name="_Toc29306"/>
      <w:r/>
      <w:bookmarkStart w:id="79" w:name="_Toc4523"/>
      <w:r>
        <w:rPr>
          <w:rFonts w:hint="eastAsia" w:ascii="宋体" w:hAnsi="宋体" w:eastAsia="宋体" w:cs="宋体"/>
          <w:b/>
          <w:color w:val="auto"/>
          <w:sz w:val="32"/>
          <w:highlight w:val="none"/>
        </w:rPr>
        <w:t xml:space="preserve">二、招标文件</w:t>
      </w:r>
      <w:bookmarkEnd w:id="75"/>
      <w:r/>
      <w:bookmarkEnd w:id="76"/>
      <w:r/>
      <w:bookmarkEnd w:id="77"/>
      <w:r/>
      <w:bookmarkEnd w:id="78"/>
      <w:r/>
      <w:bookmarkEnd w:id="79"/>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.招标文件构成</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.1招标文件由以下部分组成：</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第一部分：投标邀请函；</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第二部分：投标人须知；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第三部分：资格审查及评分办法；</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第四部分：采购需求；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第五部分：合同格式及条款；</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第六部分：投标文件格式。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请仔细检查招标文件是否齐全，如有缺漏请立即与代理机构联系解决。</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7</w:t>
      </w:r>
      <w:r>
        <w:rPr>
          <w:rFonts w:hint="eastAsia" w:ascii="宋体" w:hAnsi="宋体" w:eastAsia="宋体" w:cs="宋体"/>
          <w:b/>
          <w:color w:val="auto"/>
          <w:sz w:val="24"/>
          <w:szCs w:val="22"/>
          <w:highlight w:val="none"/>
        </w:rPr>
        <w:t xml:space="preserve">.招标文件的澄清</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任何要求对招标文件澄清的投标人，均应在招标文件提供截止时间之前提出，采购代理机构对规定时间内收到的澄清要求予以答复，答复不包括问题的来源。</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8</w:t>
      </w:r>
      <w:r>
        <w:rPr>
          <w:rFonts w:hint="eastAsia" w:ascii="宋体" w:hAnsi="宋体" w:eastAsia="宋体" w:cs="宋体"/>
          <w:b/>
          <w:color w:val="auto"/>
          <w:sz w:val="24"/>
          <w:szCs w:val="22"/>
          <w:highlight w:val="none"/>
        </w:rPr>
        <w:t xml:space="preserve">.招标文件的修改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.2招标文件的修改将在原公告媒体上发布更正公告，并对投标人具有约束力。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.3投标人应及时登录“苏采云”系统获取澄清答疑文件（修改后招标文件），如因投标人原因未能及时下载澄清和修改后的招标文件，由此造成的相关责任，由投标人承担。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.4采购代理机构发出的所有补充、修改和变更文件均作为招标文件的组成部分，与招标文件具有同等法律效力。 </w:t>
      </w:r>
      <w:r/>
    </w:p>
    <w:p>
      <w:pPr>
        <w:ind w:firstLine="420"/>
        <w:rPr>
          <w:rFonts w:ascii="宋体" w:hAnsi="宋体" w:eastAsia="宋体" w:cs="宋体"/>
          <w:color w:val="auto"/>
          <w:szCs w:val="22"/>
          <w:highlight w:val="none"/>
        </w:rPr>
      </w:pPr>
      <w:r/>
      <w:bookmarkStart w:id="80" w:name="EBec71fc1696a240c4b620fe1e00b2ce58"/>
      <w:r/>
      <w:bookmarkEnd w:id="80"/>
      <w:r/>
      <w:bookmarkStart w:id="81" w:name="EB2154fb7cf02b4b0980c6759aa29ee4ed"/>
      <w:r/>
      <w:bookmarkEnd w:id="81"/>
      <w:r/>
      <w:bookmarkStart w:id="82" w:name="EB453bde7f4ddc418fae2aad9fbcd82554"/>
      <w:r/>
      <w:bookmarkEnd w:id="82"/>
      <w:r/>
      <w:r/>
    </w:p>
    <w:p>
      <w:pPr>
        <w:ind w:firstLine="643"/>
        <w:jc w:val="center"/>
        <w:rPr>
          <w:rFonts w:ascii="宋体" w:hAnsi="宋体" w:eastAsia="宋体" w:cs="宋体"/>
          <w:b/>
          <w:color w:val="auto"/>
          <w:sz w:val="32"/>
          <w:highlight w:val="none"/>
        </w:rPr>
        <w:outlineLvl w:val="1"/>
      </w:pPr>
      <w:r/>
      <w:bookmarkStart w:id="83" w:name="_Toc5756"/>
      <w:r/>
      <w:bookmarkStart w:id="84" w:name="_Toc11461"/>
      <w:r/>
      <w:bookmarkStart w:id="85" w:name="_Toc81575157"/>
      <w:r/>
      <w:bookmarkStart w:id="86" w:name="_Toc81575194"/>
      <w:r/>
      <w:bookmarkStart w:id="87" w:name="_Toc2717"/>
      <w:r>
        <w:rPr>
          <w:rFonts w:hint="eastAsia" w:ascii="宋体" w:hAnsi="宋体" w:eastAsia="宋体" w:cs="宋体"/>
          <w:b/>
          <w:color w:val="auto"/>
          <w:sz w:val="32"/>
          <w:highlight w:val="none"/>
        </w:rPr>
        <w:t xml:space="preserve">三、投标文件的编制</w:t>
      </w:r>
      <w:bookmarkEnd w:id="83"/>
      <w:r/>
      <w:bookmarkEnd w:id="84"/>
      <w:r/>
      <w:bookmarkEnd w:id="85"/>
      <w:r/>
      <w:bookmarkEnd w:id="86"/>
      <w:r/>
      <w:bookmarkEnd w:id="87"/>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9</w:t>
      </w:r>
      <w:r>
        <w:rPr>
          <w:rFonts w:hint="eastAsia" w:ascii="宋体" w:hAnsi="宋体" w:eastAsia="宋体" w:cs="宋体"/>
          <w:b/>
          <w:color w:val="auto"/>
          <w:sz w:val="24"/>
          <w:szCs w:val="22"/>
          <w:highlight w:val="none"/>
        </w:rPr>
        <w:t xml:space="preserve">.投标文件的编制要求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.2投标文件应当对招标文件有关合同履行期限、投标有效期、质量要求、技术标准和要求、招标范围等实质性内容作出响应。</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.3中标后按相关要求提供与电子投标文件一致的纸质打印投标文件。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.4投标文件须加盖电子签章之处，应按要求加盖投标人数字证书的电子签章。其他需要盖章但未明确要求电子签章的，投标人可按要求加盖公章后上传材料电子件或直接加盖电子签章。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.5本项目通过“苏采云”系统进行电子招标投标，即投标人投标文件使用政府采购客户端工具制作并通过“苏采云”系统提交，如标书制作工具中格式和内容与“</w:t>
      </w:r>
      <w:r>
        <w:rPr>
          <w:rFonts w:hint="eastAsia" w:ascii="宋体" w:hAnsi="宋体" w:eastAsia="宋体" w:cs="宋体"/>
          <w:color w:val="auto"/>
          <w:sz w:val="24"/>
          <w:szCs w:val="22"/>
          <w:highlight w:val="none"/>
          <w:lang w:val="en-US" w:eastAsia="zh-CN"/>
        </w:rPr>
        <w:t xml:space="preserve">宿迁市政府采购网</w:t>
      </w:r>
      <w:r>
        <w:rPr>
          <w:rFonts w:hint="eastAsia" w:ascii="宋体" w:hAnsi="宋体" w:eastAsia="宋体" w:cs="宋体"/>
          <w:color w:val="auto"/>
          <w:sz w:val="24"/>
          <w:szCs w:val="22"/>
          <w:highlight w:val="none"/>
        </w:rPr>
        <w:t xml:space="preserve">”发布的采购文件不一致，请以“</w:t>
      </w:r>
      <w:r>
        <w:rPr>
          <w:rFonts w:hint="eastAsia" w:ascii="宋体" w:hAnsi="宋体" w:eastAsia="宋体" w:cs="宋体"/>
          <w:color w:val="auto"/>
          <w:sz w:val="24"/>
          <w:szCs w:val="22"/>
          <w:highlight w:val="none"/>
          <w:lang w:val="en-US" w:eastAsia="zh-CN"/>
        </w:rPr>
        <w:t xml:space="preserve">宿迁市政府采购网</w:t>
      </w:r>
      <w:r>
        <w:rPr>
          <w:rFonts w:hint="eastAsia" w:ascii="宋体" w:hAnsi="宋体" w:eastAsia="宋体" w:cs="宋体"/>
          <w:color w:val="auto"/>
          <w:sz w:val="24"/>
          <w:szCs w:val="22"/>
          <w:highlight w:val="none"/>
        </w:rPr>
        <w:t xml:space="preserve">”发布的采购文件为准。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9</w:t>
      </w:r>
      <w:r>
        <w:rPr>
          <w:rFonts w:hint="eastAsia" w:ascii="宋体" w:hAnsi="宋体" w:eastAsia="宋体" w:cs="宋体"/>
          <w:color w:val="auto"/>
          <w:sz w:val="24"/>
          <w:szCs w:val="22"/>
          <w:highlight w:val="none"/>
        </w:rPr>
        <w:t xml:space="preserve">.6投标人应当通过“苏采云”系统提交数据电文形式的投标文件（即电子投标）。未进行投标文件提交并解密的投标人，按照无效响应处理（因“苏采云”系统导致解密失败的除外）。</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0</w:t>
      </w:r>
      <w:r>
        <w:rPr>
          <w:rFonts w:hint="eastAsia" w:ascii="宋体" w:hAnsi="宋体" w:eastAsia="宋体" w:cs="宋体"/>
          <w:b/>
          <w:color w:val="auto"/>
          <w:sz w:val="24"/>
          <w:szCs w:val="22"/>
          <w:highlight w:val="none"/>
        </w:rPr>
        <w:t xml:space="preserve">.投标文件构成</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.1投标声明及承诺函。</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.2法人授权书；</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.3报价文件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.3.1开标一览表；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.3.2投标报价明细表。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.4综合评审评分项相关技术文件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.5商务文件</w:t>
      </w:r>
      <w:r/>
    </w:p>
    <w:p>
      <w:pPr>
        <w:ind w:firstLine="480"/>
        <w:spacing w:line="500" w:lineRule="exact"/>
        <w:rPr>
          <w:rFonts w:ascii="宋体" w:hAnsi="宋体" w:eastAsia="宋体" w:cs="宋体"/>
          <w:color w:val="auto"/>
          <w:sz w:val="24"/>
          <w:szCs w:val="22"/>
          <w:highlight w:val="none"/>
        </w:rPr>
      </w:pPr>
      <w:r/>
      <w:bookmarkStart w:id="88" w:name="EBdc2c24f6358343e896cd43bd6621a619"/>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.5.1投标人承担的类似项目业绩一览表；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.5.2其他商务文件。</w:t>
      </w:r>
      <w:bookmarkEnd w:id="88"/>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.6投标人认为有必要提供的其他材料。</w:t>
      </w:r>
      <w:r/>
    </w:p>
    <w:p>
      <w:pPr>
        <w:ind w:firstLine="482"/>
        <w:spacing w:line="500" w:lineRule="exact"/>
        <w:rPr>
          <w:rFonts w:ascii="宋体" w:hAnsi="宋体" w:eastAsia="宋体" w:cs="宋体"/>
          <w:b/>
          <w:color w:val="auto"/>
          <w:sz w:val="24"/>
          <w:szCs w:val="22"/>
          <w:highlight w:val="none"/>
        </w:rPr>
      </w:pPr>
      <w:r/>
      <w:bookmarkStart w:id="89" w:name="EBc50e2bb832bb43068403b10c1cce6141"/>
      <w:r>
        <w:rPr>
          <w:rFonts w:hint="eastAsia" w:ascii="宋体" w:hAnsi="宋体" w:eastAsia="宋体" w:cs="宋体"/>
          <w:b/>
          <w:color w:val="auto"/>
          <w:sz w:val="24"/>
          <w:szCs w:val="22"/>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在开标时携带了证书证明资料的原件，但电子投标文件中未包含相关资料电子件的，评标委员会可以视同其未提供。</w:t>
      </w:r>
      <w:bookmarkEnd w:id="89"/>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11</w:t>
      </w:r>
      <w:r>
        <w:rPr>
          <w:rFonts w:hint="eastAsia" w:ascii="宋体" w:hAnsi="宋体" w:eastAsia="宋体" w:cs="宋体"/>
          <w:b/>
          <w:color w:val="auto"/>
          <w:sz w:val="24"/>
          <w:szCs w:val="22"/>
          <w:highlight w:val="none"/>
        </w:rPr>
        <w:t xml:space="preserve">.投标文件的加密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.投标报价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.1报价为一次报价，于开标会议当场宣读。</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.2本项目不接受备选的投标方案或有选择的报价，只允许有一个报价。</w:t>
      </w:r>
      <w:r>
        <w:rPr>
          <w:rFonts w:hint="eastAsia" w:ascii="宋体" w:hAnsi="宋体" w:eastAsia="宋体" w:cs="宋体"/>
          <w:color w:val="auto"/>
          <w:sz w:val="24"/>
          <w:highlight w:val="none"/>
        </w:rPr>
        <w:t xml:space="preserve">投标报价内容包括：响应报价应包括货款、包装、运输、装卸、保险、税金、售后等完成本项目所涉及的一切相关费用。</w:t>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2"/>
          <w:highlight w:val="none"/>
          <w:lang w:val="en-US" w:eastAsia="zh-CN"/>
        </w:rPr>
        <w:t xml:space="preserve">2</w:t>
      </w:r>
      <w:r>
        <w:rPr>
          <w:rFonts w:hint="eastAsia" w:ascii="宋体" w:hAnsi="宋体" w:eastAsia="宋体" w:cs="宋体"/>
          <w:b/>
          <w:bCs/>
          <w:color w:val="auto"/>
          <w:sz w:val="24"/>
          <w:szCs w:val="22"/>
          <w:highlight w:val="none"/>
        </w:rPr>
        <w:t xml:space="preserve">.3报价注意事项：投标人报价时应充分考虑所有可能影响到报价的因素，一旦评标结束最终中标，如发生漏、缺、少项，都将被认为是中标人的报价让利行为，损失自负。</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3</w:t>
      </w:r>
      <w:r>
        <w:rPr>
          <w:rFonts w:hint="eastAsia" w:ascii="宋体" w:hAnsi="宋体" w:eastAsia="宋体" w:cs="宋体"/>
          <w:b/>
          <w:color w:val="auto"/>
          <w:sz w:val="24"/>
          <w:szCs w:val="22"/>
          <w:highlight w:val="none"/>
        </w:rPr>
        <w:t xml:space="preserve">.投标保证金</w:t>
      </w:r>
      <w:r/>
    </w:p>
    <w:p>
      <w:pPr>
        <w:ind w:firstLine="480"/>
        <w:spacing w:line="500" w:lineRule="exact"/>
        <w:rPr>
          <w:rFonts w:ascii="宋体" w:hAnsi="宋体" w:eastAsia="宋体" w:cs="宋体"/>
          <w:color w:val="auto"/>
          <w:sz w:val="24"/>
          <w:szCs w:val="22"/>
          <w:highlight w:val="none"/>
        </w:rPr>
      </w:pPr>
      <w:r/>
      <w:bookmarkStart w:id="90" w:name="EB183a0bf075204c54a4ff090f1aecaaa7"/>
      <w:r>
        <w:rPr>
          <w:rFonts w:hint="eastAsia" w:ascii="宋体" w:hAnsi="宋体" w:eastAsia="宋体" w:cs="宋体"/>
          <w:color w:val="auto"/>
          <w:sz w:val="24"/>
          <w:szCs w:val="22"/>
          <w:highlight w:val="none"/>
        </w:rPr>
        <w:t xml:space="preserve">本项目不收取投标保证金。</w:t>
      </w:r>
      <w:bookmarkEnd w:id="90"/>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4</w:t>
      </w:r>
      <w:r>
        <w:rPr>
          <w:rFonts w:hint="eastAsia" w:ascii="宋体" w:hAnsi="宋体" w:eastAsia="宋体" w:cs="宋体"/>
          <w:b/>
          <w:color w:val="auto"/>
          <w:sz w:val="24"/>
          <w:szCs w:val="22"/>
          <w:highlight w:val="none"/>
        </w:rPr>
        <w:t xml:space="preserve">.投标有效期</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.1在投标人须知前附表规定的投标有效期内，投标有效期从提交投标文件的截止之日起算。投标有效期不足的投标，在评标时将其视为投标无效。</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允许修改或撤回投标文件。</w:t>
      </w:r>
      <w:r/>
    </w:p>
    <w:p>
      <w:pPr>
        <w:ind w:firstLine="643"/>
        <w:jc w:val="center"/>
        <w:rPr>
          <w:rFonts w:ascii="宋体" w:hAnsi="宋体" w:eastAsia="宋体" w:cs="宋体"/>
          <w:b/>
          <w:color w:val="auto"/>
          <w:sz w:val="32"/>
          <w:highlight w:val="none"/>
        </w:rPr>
        <w:outlineLvl w:val="1"/>
      </w:pPr>
      <w:r/>
      <w:bookmarkStart w:id="91" w:name="_Toc2130"/>
      <w:r/>
      <w:bookmarkStart w:id="92" w:name="_Toc81575195"/>
      <w:r/>
      <w:bookmarkStart w:id="93" w:name="_Toc81575158"/>
      <w:r/>
      <w:bookmarkStart w:id="94" w:name="_Toc23443"/>
      <w:r/>
      <w:bookmarkStart w:id="95" w:name="_Toc18329"/>
      <w:r>
        <w:rPr>
          <w:rFonts w:hint="eastAsia" w:ascii="宋体" w:hAnsi="宋体" w:eastAsia="宋体" w:cs="宋体"/>
          <w:b/>
          <w:color w:val="auto"/>
          <w:sz w:val="32"/>
          <w:highlight w:val="none"/>
        </w:rPr>
        <w:t xml:space="preserve">四、投标文件的提交</w:t>
      </w:r>
      <w:bookmarkEnd w:id="91"/>
      <w:r/>
      <w:bookmarkEnd w:id="92"/>
      <w:r/>
      <w:bookmarkEnd w:id="93"/>
      <w:r/>
      <w:bookmarkEnd w:id="94"/>
      <w:r/>
      <w:bookmarkEnd w:id="95"/>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.投标文件的提交</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1投标人应当按照《操作手册》规定，在投标截止时间前制作并上传电子投标文件。投标人通过“苏采云”系统不见面开标大厅在线参与开标活动。（具体操作详见《“苏采云”系统投标人操作手册》，网址链接http://www.ccgp-jiangsu.gov.cn//webfile/jiangsu/202311/1699268553318052447.pdf）</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应将电子投标文件上传至“苏采云”系统对应的本次开标分包中，未及时上传的，招标人不予受理。投标文件提交截止时间后，投标人对投标报价或其他实质性内容修正的函件和增加的任何优惠条件，一律拒绝接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.2除招标文件另有规定外，投标人所提交的投标文件不予退还。</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.3网上投标文件的修改和撤回：在投标截止时间之前，投标人可以撤回或重新提交投标文件，投标文件以最终完成上传的为准。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.4采购代理机构可以通过修改招标文件酌情延长投标文件接收截止日期，在此情况下，投标人的所有权利和义务以及投标人受制约的截止日期均应以延长后新的截止日期为准。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1</w:t>
      </w: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.投标文件被拒绝接收的情形</w:t>
      </w:r>
      <w:r/>
    </w:p>
    <w:p>
      <w:pPr>
        <w:ind w:firstLine="480"/>
        <w:spacing w:line="500" w:lineRule="exact"/>
        <w:rPr>
          <w:rFonts w:ascii="宋体" w:hAnsi="宋体" w:eastAsia="宋体" w:cs="宋体"/>
          <w:color w:val="auto"/>
          <w:szCs w:val="22"/>
          <w:highlight w:val="none"/>
        </w:rPr>
      </w:pPr>
      <w:r>
        <w:rPr>
          <w:rFonts w:hint="eastAsia" w:ascii="宋体" w:hAnsi="宋体" w:eastAsia="宋体" w:cs="宋体"/>
          <w:color w:val="auto"/>
          <w:sz w:val="24"/>
          <w:szCs w:val="22"/>
          <w:highlight w:val="none"/>
        </w:rPr>
        <w:t xml:space="preserve">在招标文件规定的投标截止时间后上传的投标文件。</w:t>
      </w:r>
      <w:r/>
    </w:p>
    <w:p>
      <w:pPr>
        <w:ind w:firstLine="643"/>
        <w:jc w:val="center"/>
        <w:rPr>
          <w:rFonts w:ascii="宋体" w:hAnsi="宋体" w:eastAsia="宋体" w:cs="宋体"/>
          <w:b/>
          <w:color w:val="auto"/>
          <w:sz w:val="32"/>
          <w:highlight w:val="none"/>
        </w:rPr>
        <w:outlineLvl w:val="1"/>
      </w:pPr>
      <w:r/>
      <w:bookmarkStart w:id="96" w:name="_Toc8841"/>
      <w:r/>
      <w:bookmarkStart w:id="97" w:name="_Toc212"/>
      <w:r/>
      <w:bookmarkStart w:id="98" w:name="_Toc81575159"/>
      <w:r/>
      <w:bookmarkStart w:id="99" w:name="_Toc26208"/>
      <w:r/>
      <w:bookmarkStart w:id="100" w:name="_Toc81575196"/>
      <w:r>
        <w:rPr>
          <w:rFonts w:hint="eastAsia" w:ascii="宋体" w:hAnsi="宋体" w:eastAsia="宋体" w:cs="宋体"/>
          <w:b/>
          <w:color w:val="auto"/>
          <w:sz w:val="32"/>
          <w:highlight w:val="none"/>
        </w:rPr>
        <w:t xml:space="preserve">五、无效标、废标、串通投标认定条款</w:t>
      </w:r>
      <w:bookmarkEnd w:id="96"/>
      <w:r/>
      <w:bookmarkEnd w:id="97"/>
      <w:r/>
      <w:bookmarkEnd w:id="98"/>
      <w:r/>
      <w:bookmarkEnd w:id="99"/>
      <w:r/>
      <w:bookmarkEnd w:id="100"/>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17</w:t>
      </w:r>
      <w:r>
        <w:rPr>
          <w:rFonts w:hint="eastAsia" w:ascii="宋体" w:hAnsi="宋体" w:eastAsia="宋体" w:cs="宋体"/>
          <w:b/>
          <w:color w:val="auto"/>
          <w:sz w:val="24"/>
          <w:szCs w:val="22"/>
          <w:highlight w:val="none"/>
        </w:rPr>
        <w:t xml:space="preserve">.无效投标条款</w:t>
      </w:r>
      <w:r/>
    </w:p>
    <w:p>
      <w:pPr>
        <w:ind w:firstLine="480"/>
        <w:spacing w:line="500" w:lineRule="exact"/>
        <w:rPr>
          <w:rFonts w:ascii="宋体" w:hAnsi="宋体" w:eastAsia="宋体" w:cs="宋体"/>
          <w:color w:val="auto"/>
          <w:sz w:val="24"/>
          <w:szCs w:val="22"/>
          <w:highlight w:val="none"/>
        </w:rPr>
      </w:pPr>
      <w:r/>
      <w:bookmarkStart w:id="101" w:name="EB94942e5430df4fb8a077f3cf7667f212"/>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.1投标人不符合招标文件规定资格要求的或未按规定提交资质证件的；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.2投标文件签署、盖章不符合招标文件要求的；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17</w:t>
      </w:r>
      <w:r>
        <w:rPr>
          <w:rFonts w:hint="eastAsia" w:ascii="宋体" w:hAnsi="宋体" w:eastAsia="宋体" w:cs="宋体"/>
          <w:color w:val="auto"/>
          <w:sz w:val="24"/>
          <w:szCs w:val="22"/>
          <w:highlight w:val="none"/>
        </w:rPr>
        <w:t xml:space="preserve">.3未按招标文件要求提供电子投标文件，或者在苏采云系统规定的时间内未成功解密电子投标文件；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.4报价超过招标文件中规定的预算金额或者最高限价的；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.5投标文件出现重大偏离，未对招标文件进行实质性响应的（★部分为实质性要求）；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.6投标文件含有采购人不能接受的附加条件的；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.7投标人有本招标文件规定的恶意串通投标情形的；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.8其他评标委员会认为有必要取消的投标；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.9法律法规规定的其他情况。</w:t>
      </w:r>
      <w:bookmarkEnd w:id="101"/>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1</w:t>
      </w:r>
      <w:r>
        <w:rPr>
          <w:rFonts w:hint="eastAsia" w:ascii="宋体" w:hAnsi="宋体" w:eastAsia="宋体" w:cs="宋体"/>
          <w:b/>
          <w:bCs/>
          <w:color w:val="auto"/>
          <w:sz w:val="24"/>
          <w:szCs w:val="22"/>
          <w:highlight w:val="none"/>
          <w:lang w:val="en-US" w:eastAsia="zh-CN"/>
        </w:rPr>
        <w:t xml:space="preserve">8</w:t>
      </w:r>
      <w:r>
        <w:rPr>
          <w:rFonts w:hint="eastAsia" w:ascii="宋体" w:hAnsi="宋体" w:eastAsia="宋体" w:cs="宋体"/>
          <w:b/>
          <w:bCs/>
          <w:color w:val="auto"/>
          <w:sz w:val="24"/>
          <w:szCs w:val="22"/>
          <w:highlight w:val="none"/>
        </w:rPr>
        <w:t xml:space="preserve">.废标条款</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.1符合专业条件的投标人或者对招标文件作实质响应的投标人不足三家的；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.2出现影响采购公正的违法、违规行为的；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.3投标人的报价均超过了采购预算，且采购人不能支付的；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.4因重大变故，采购任务取消的。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.5评标委员会认定招标文件存在歧义、重大缺陷导致评审工作无法进行。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6因苏采云系统故障原因造成开标不成功的。</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19</w:t>
      </w:r>
      <w:r>
        <w:rPr>
          <w:rFonts w:hint="eastAsia" w:ascii="宋体" w:hAnsi="宋体" w:eastAsia="宋体" w:cs="宋体"/>
          <w:b/>
          <w:color w:val="auto"/>
          <w:sz w:val="24"/>
          <w:szCs w:val="22"/>
          <w:highlight w:val="none"/>
        </w:rPr>
        <w:t xml:space="preserve">.投标人不足三家情形处理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投标截止后投标人不足3家或者通过资格审查或符合性审查的投标人不足3家的，除采购任务取消情形外，按财政部令第87号第四十三条条款进行处理。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0</w:t>
      </w:r>
      <w:r>
        <w:rPr>
          <w:rFonts w:hint="eastAsia" w:ascii="宋体" w:hAnsi="宋体" w:eastAsia="宋体" w:cs="宋体"/>
          <w:b/>
          <w:color w:val="auto"/>
          <w:sz w:val="24"/>
          <w:szCs w:val="22"/>
          <w:highlight w:val="none"/>
        </w:rPr>
        <w:t xml:space="preserve">.取消中标候选人资格条款</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.1提供虚假材料谋取中标的；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.2采取不正当手段诋毁、排挤其他投标人的；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.3与采购人、其他投标人或者采购代理机构恶意串通的；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.4向采购人、采购代理机构行贿或者提供其他不正当利益的；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.5未在规定时间内与采购人签订采购合同的；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.6法律法规规定的其他情况。</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1</w:t>
      </w:r>
      <w:r>
        <w:rPr>
          <w:rFonts w:hint="eastAsia" w:ascii="宋体" w:hAnsi="宋体" w:eastAsia="宋体" w:cs="宋体"/>
          <w:b/>
          <w:color w:val="auto"/>
          <w:sz w:val="24"/>
          <w:szCs w:val="22"/>
          <w:highlight w:val="none"/>
        </w:rPr>
        <w:t xml:space="preserve">.串通投标的情形</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有下列情形之一的，属于恶意串通投标：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.1投标人直接或间接从采购人或采购代理机构处获得其他投标人的投标情况，并修改其投标文件；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.2评审活动开始前投标人直接或间接从采购人或采购代理机构处获得评标委员会组成人员情况；</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.3投标人接受采购人或采购代理机构授意撤换、修改投标文件；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.4投标人之间协商投标报价、技术方案等投标文件实质性内容；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.5属于同一集团、协会、商会等组织成员的投标人按照该组织要求协同投标；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.6投标人之间事先约定由某一特定投标人中标、中标；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.7投标人之间商定部分投标人放弃投标或者放弃中标、中标；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.8投标人与采购人或采购代理机构之间、投标人相互之间为谋求特定投标人中标或者排斥其他投标人的其他串通行为；</w:t>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有下列情形之一的，视为投标人串通投标，其投标无效：</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21</w:t>
      </w:r>
      <w:r>
        <w:rPr>
          <w:rFonts w:hint="eastAsia" w:ascii="宋体" w:hAnsi="宋体" w:eastAsia="宋体" w:cs="宋体"/>
          <w:color w:val="auto"/>
          <w:sz w:val="24"/>
          <w:szCs w:val="22"/>
          <w:highlight w:val="none"/>
        </w:rPr>
        <w:t xml:space="preserve">.9不同投标人的投标文件由同一单位或者个人编制；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.10不同投标人委托同一单位或者个人办理投标事宜；</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.11不同投标人的投标文件载明的项目管理成员或者联系人员为同一人；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.12不同投标人的投标文件异常一致或者投标报价呈规律性差异；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.13不同投标人的投标文件相互混装；</w:t>
      </w:r>
      <w:r/>
    </w:p>
    <w:p>
      <w:pPr>
        <w:ind w:firstLine="480"/>
        <w:spacing w:line="500" w:lineRule="exact"/>
        <w:rPr>
          <w:rFonts w:ascii="宋体" w:hAnsi="宋体" w:eastAsia="宋体" w:cs="宋体"/>
          <w:color w:val="auto"/>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.14不同投标人的投标保证金从同一单位或者个人的账户转出。</w:t>
      </w:r>
      <w:bookmarkStart w:id="102" w:name="_Toc24370"/>
      <w:r/>
      <w:bookmarkStart w:id="103" w:name="_Toc20026"/>
      <w:r/>
      <w:bookmarkStart w:id="104" w:name="_Toc81575197"/>
      <w:r/>
      <w:bookmarkStart w:id="105" w:name="_Toc81575160"/>
      <w:r/>
      <w:r/>
    </w:p>
    <w:p>
      <w:pPr>
        <w:ind w:firstLine="643"/>
        <w:jc w:val="center"/>
        <w:rPr>
          <w:rFonts w:ascii="宋体" w:hAnsi="宋体" w:eastAsia="宋体" w:cs="宋体"/>
          <w:b/>
          <w:color w:val="auto"/>
          <w:sz w:val="32"/>
          <w:highlight w:val="none"/>
        </w:rPr>
        <w:outlineLvl w:val="1"/>
      </w:pPr>
      <w:r/>
      <w:bookmarkStart w:id="106" w:name="_Toc24905"/>
      <w:r>
        <w:rPr>
          <w:rFonts w:hint="eastAsia" w:ascii="宋体" w:hAnsi="宋体" w:eastAsia="宋体" w:cs="宋体"/>
          <w:b/>
          <w:color w:val="auto"/>
          <w:sz w:val="32"/>
          <w:highlight w:val="none"/>
        </w:rPr>
        <w:t xml:space="preserve">六、开标、资格审查、评标程序</w:t>
      </w:r>
      <w:bookmarkEnd w:id="102"/>
      <w:r/>
      <w:bookmarkEnd w:id="103"/>
      <w:r/>
      <w:bookmarkEnd w:id="104"/>
      <w:r/>
      <w:bookmarkEnd w:id="105"/>
      <w:r/>
      <w:bookmarkEnd w:id="106"/>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.开标会议</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.1代理机构项目负责人按招标文件规定的时间、地点组织公开开标。采购单位代表及有关工作人员参加，政府采购监管部门代表视情况参与监管。</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.2开标会议由代理机构项目负责人主持。</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.3开标时投标人应使用CA证书参与投标文件解密。投标人用于解密的CA证书应为该投标文件生成加密、上传的同一把CA证书。</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.3.1采用不见面开标的项目，投标人应登录“苏采云”系统“开标大厅”或进入</w:t>
      </w:r>
      <w:r>
        <w:rPr>
          <w:rFonts w:hint="eastAsia" w:ascii="宋体" w:hAnsi="宋体" w:eastAsia="宋体" w:cs="宋体"/>
          <w:b/>
          <w:color w:val="auto"/>
          <w:sz w:val="24"/>
          <w:szCs w:val="22"/>
          <w:highlight w:val="none"/>
          <w:lang w:val="en-US" w:eastAsia="zh-CN"/>
        </w:rPr>
        <w:t xml:space="preserve">宿迁市</w:t>
      </w:r>
      <w:r>
        <w:rPr>
          <w:rFonts w:hint="eastAsia" w:ascii="宋体" w:hAnsi="宋体" w:eastAsia="宋体" w:cs="宋体"/>
          <w:b/>
          <w:color w:val="auto"/>
          <w:sz w:val="24"/>
          <w:szCs w:val="22"/>
          <w:highlight w:val="none"/>
        </w:rPr>
        <w:t xml:space="preserve">政府采购网，点击“政府采购管理交易系统（苏采云）”进入系统“开标大厅”，在系统约定时间内使用CA证书解密，未成功解密的视为其放弃投标。　　　　　</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.4苏采云系统将自动对项目进行开标，开标会议上将公布投标人名称、投标报价等主要内容。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采用现场开标的项目，开标过程的相关记录，由参加开标的各投标人代表和相关工作人员签字确认。投标人未参加开标的，视同认可开标结果。</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.5投标人在开、评标全过程中应保持通信畅通，及时登录</w:t>
      </w:r>
      <w:r>
        <w:rPr>
          <w:rFonts w:hint="eastAsia" w:ascii="宋体" w:hAnsi="宋体" w:eastAsia="宋体" w:cs="宋体"/>
          <w:b/>
          <w:bCs/>
          <w:color w:val="auto"/>
          <w:sz w:val="24"/>
          <w:szCs w:val="22"/>
          <w:highlight w:val="none"/>
        </w:rPr>
        <w:t xml:space="preserve">苏采云系统</w:t>
      </w:r>
      <w:r>
        <w:rPr>
          <w:rFonts w:hint="eastAsia" w:ascii="宋体" w:hAnsi="宋体" w:eastAsia="宋体" w:cs="宋体"/>
          <w:color w:val="auto"/>
          <w:sz w:val="24"/>
          <w:szCs w:val="22"/>
          <w:highlight w:val="none"/>
        </w:rPr>
        <w:t xml:space="preserve">查阅、答复相关信息，并安排专人与代理机构及评标委员会联系。</w:t>
      </w:r>
      <w:r/>
    </w:p>
    <w:p>
      <w:pPr>
        <w:ind w:firstLine="482"/>
        <w:spacing w:line="500" w:lineRule="exact"/>
        <w:rPr>
          <w:rFonts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2</w:t>
      </w:r>
      <w:r>
        <w:rPr>
          <w:rFonts w:hint="eastAsia" w:ascii="宋体" w:hAnsi="宋体" w:eastAsia="宋体" w:cs="宋体"/>
          <w:b/>
          <w:bCs/>
          <w:color w:val="auto"/>
          <w:sz w:val="24"/>
          <w:szCs w:val="22"/>
          <w:highlight w:val="none"/>
          <w:lang w:val="en-US" w:eastAsia="zh-CN"/>
        </w:rPr>
        <w:t xml:space="preserve">3</w:t>
      </w:r>
      <w:r>
        <w:rPr>
          <w:rFonts w:hint="eastAsia" w:ascii="宋体" w:hAnsi="宋体" w:eastAsia="宋体" w:cs="宋体"/>
          <w:b/>
          <w:bCs/>
          <w:color w:val="auto"/>
          <w:sz w:val="24"/>
          <w:szCs w:val="22"/>
          <w:highlight w:val="none"/>
        </w:rPr>
        <w:t xml:space="preserve">.开标流程</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.1不见面开标主要程序：主持人按下列程序进行开标，开标按分包顺序进行。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.1.1开标主持；</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.1.2投标人对电子投标文件解密；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24.1.3唱标；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.1.4开标会议结束。</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投标人如果对开标过程和开标记录有疑义，应当根据《操作手册》规定提出，如苏采云系统中《开标记录表》宣布后规定时间内未提出的，视同认可开标结果。</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4</w:t>
      </w:r>
      <w:r>
        <w:rPr>
          <w:rFonts w:hint="eastAsia" w:ascii="宋体" w:hAnsi="宋体" w:eastAsia="宋体" w:cs="宋体"/>
          <w:b/>
          <w:color w:val="auto"/>
          <w:sz w:val="24"/>
          <w:szCs w:val="22"/>
          <w:highlight w:val="none"/>
        </w:rPr>
        <w:t xml:space="preserve">.资格审查</w:t>
      </w:r>
      <w:r/>
    </w:p>
    <w:p>
      <w:pPr>
        <w:ind w:firstLine="420"/>
        <w:spacing w:line="561" w:lineRule="exact"/>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bookmarkStart w:id="107" w:name="EBa9c0a2c9e523494487594c65b2a92370"/>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4</w:t>
      </w:r>
      <w:r>
        <w:rPr>
          <w:rFonts w:hint="eastAsia" w:ascii="宋体" w:hAnsi="宋体" w:eastAsia="宋体" w:cs="宋体"/>
          <w:color w:val="auto"/>
          <w:sz w:val="24"/>
          <w:szCs w:val="22"/>
          <w:highlight w:val="none"/>
        </w:rPr>
        <w:t xml:space="preserve">.1开标结束后，采购人依法根据招标文件的规定对投标人的资格证明文件等进行审查。</w:t>
      </w:r>
      <w:bookmarkEnd w:id="107"/>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.评标委员会</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.评标原则</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“公平、公正、客观、择优”为评标的基本原则，以招标文件和投标文件为评标的基本依据，并按照招标文件规定的评标方法和评标标准进行评标。评标委员会将根据这一原则，公正、平等地对待各投标人。</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7</w:t>
      </w:r>
      <w:r>
        <w:rPr>
          <w:rFonts w:hint="eastAsia" w:ascii="宋体" w:hAnsi="宋体" w:eastAsia="宋体" w:cs="宋体"/>
          <w:b/>
          <w:color w:val="auto"/>
          <w:sz w:val="24"/>
          <w:szCs w:val="22"/>
          <w:highlight w:val="none"/>
        </w:rPr>
        <w:t xml:space="preserve">.评标程序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w:t>
      </w:r>
      <w:bookmarkStart w:id="108" w:name="EB1499356fad43416eb16398733accabf7"/>
      <w:r>
        <w:rPr>
          <w:rFonts w:hint="eastAsia" w:ascii="宋体" w:hAnsi="宋体" w:eastAsia="宋体" w:cs="宋体"/>
          <w:color w:val="auto"/>
          <w:sz w:val="24"/>
          <w:szCs w:val="22"/>
          <w:highlight w:val="none"/>
        </w:rPr>
        <w:t xml:space="preserve">所谓重大偏离是指投标人投标文件中所述设备质量、技术规格、数量、合同履行期限和服务等明显不能满足招标文件要求。</w:t>
      </w:r>
      <w:bookmarkEnd w:id="108"/>
      <w:r>
        <w:rPr>
          <w:rFonts w:hint="eastAsia" w:ascii="宋体" w:hAnsi="宋体" w:eastAsia="宋体" w:cs="宋体"/>
          <w:color w:val="auto"/>
          <w:sz w:val="24"/>
          <w:szCs w:val="22"/>
          <w:highlight w:val="none"/>
        </w:rPr>
        <w:t xml:space="preserve">重大偏离的认定须经评标委员会三分之二以上同意。</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.2相同品牌产品投标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.2.3非单一产品采购项目，采购人确定核心产品，并在招标文件中载明。</w:t>
      </w:r>
      <w:bookmarkStart w:id="109" w:name="OLE_LINK10"/>
      <w:r>
        <w:rPr>
          <w:rFonts w:hint="eastAsia" w:ascii="宋体" w:hAnsi="宋体" w:eastAsia="宋体" w:cs="宋体"/>
          <w:color w:val="auto"/>
          <w:sz w:val="24"/>
          <w:szCs w:val="22"/>
          <w:highlight w:val="none"/>
        </w:rPr>
        <w:t xml:space="preserve">多家投标人提供的核心产品品牌相同的，</w:t>
      </w:r>
      <w:bookmarkEnd w:id="109"/>
      <w:r>
        <w:rPr>
          <w:rFonts w:hint="eastAsia" w:ascii="宋体" w:hAnsi="宋体" w:eastAsia="宋体" w:cs="宋体"/>
          <w:color w:val="auto"/>
          <w:sz w:val="24"/>
          <w:szCs w:val="22"/>
          <w:highlight w:val="none"/>
        </w:rPr>
        <w:t xml:space="preserve">按前两款规定处理。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.3澄清有关问题。</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.3.2投标文件报价出现前后不一致的，除招标文件另有规定外，按照下列规定修正：</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①投标文件中开标一览表（报价表）内容与投标文件中相应内容不一致的，以开标一览表（报价表）为准；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②大写金额和小写金额不一致的，以大写金额为准；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③单价金额小数点或者百分比有明显错位的，以开标一览表的总价为准，并修改单价；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④总价金额与按单价汇总金额不一致的，以单价金额计算结果为准。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同时出现两种以上不一致的，按照前款规定的顺序修正。修正后的报价，经投标人确认后产生约束力，投标人不确认的，其投标无效。</w:t>
      </w:r>
      <w:r/>
    </w:p>
    <w:p>
      <w:pPr>
        <w:ind w:firstLine="480"/>
        <w:spacing w:line="500" w:lineRule="exact"/>
        <w:rPr>
          <w:rFonts w:hint="default" w:ascii="Times New Roman" w:hAnsi="Times New Roman" w:cs="Times New Roman" w:eastAsiaTheme="minorEastAsia"/>
          <w:color w:val="auto"/>
          <w:sz w:val="24"/>
          <w:szCs w:val="24"/>
          <w:highlight w:val="none"/>
          <w:lang w:val="en-US" w:eastAsia="zh-CN" w:bidi="ar"/>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4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left="0" w:right="0" w:firstLine="480"/>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1"/>
          <w:highlight w:val="none"/>
          <w:lang w:val="en-US" w:eastAsia="zh-CN" w:bidi="ar-SA"/>
        </w:rPr>
        <w:t xml:space="preserve">24</w:t>
      </w:r>
      <w:r>
        <w:rPr>
          <w:rFonts w:hint="default" w:ascii="宋体" w:hAnsi="宋体" w:eastAsia="宋体" w:cs="宋体"/>
          <w:b/>
          <w:bCs/>
          <w:color w:val="auto"/>
          <w:sz w:val="24"/>
          <w:szCs w:val="21"/>
          <w:highlight w:val="none"/>
          <w:lang w:val="en-US" w:eastAsia="zh-CN" w:bidi="ar-SA"/>
        </w:rPr>
        <w:t xml:space="preserve">.7.1评标过程中出现下列情形之一的，评标委员会应当启动异常低价投标审查程序：</w:t>
      </w:r>
      <w:r/>
    </w:p>
    <w:p>
      <w:pPr>
        <w:ind w:left="0" w:right="0" w:firstLine="480"/>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1"/>
          <w:highlight w:val="none"/>
          <w:lang w:val="en-US" w:eastAsia="zh-CN" w:bidi="ar-SA"/>
        </w:rPr>
        <w:t xml:space="preserve">（1）投标报价低于全部通过符合性审查供应商投标报价平均值65%的，即投标报价&lt;全部通过符合性审查供应商投标报价平均值×65%；</w:t>
      </w:r>
      <w:r/>
    </w:p>
    <w:p>
      <w:pPr>
        <w:ind w:left="0" w:right="0" w:firstLine="480"/>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1"/>
          <w:highlight w:val="none"/>
          <w:lang w:val="en-US" w:eastAsia="zh-CN" w:bidi="ar-SA"/>
        </w:rPr>
        <w:t xml:space="preserve">（2）投标报价低于通过符合性审查的次低报价供应商投标报价65%的，即投标报价&lt;通过符合性审查的次低报价供应商投标报价×65%；</w:t>
      </w:r>
      <w:r/>
    </w:p>
    <w:p>
      <w:pPr>
        <w:ind w:left="0" w:right="0" w:firstLine="480"/>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1"/>
          <w:highlight w:val="none"/>
          <w:lang w:val="en-US" w:eastAsia="zh-CN" w:bidi="ar-SA"/>
        </w:rPr>
        <w:t xml:space="preserve">（3）投标报价低于采购项目最高限价65%的，即投标报价&lt;采购项目最高限价×65%；</w:t>
      </w:r>
      <w:r/>
    </w:p>
    <w:p>
      <w:pPr>
        <w:ind w:left="0" w:right="0" w:firstLine="480"/>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1"/>
          <w:highlight w:val="none"/>
          <w:lang w:val="en-US" w:eastAsia="zh-CN" w:bidi="ar-SA"/>
        </w:rPr>
        <w:t xml:space="preserve">（4）评标委员会基于专业判断，认为供应商报价过低，有可能影响产品质量或者不能诚信履约的其他情形。</w:t>
      </w:r>
      <w:r/>
    </w:p>
    <w:p>
      <w:pPr>
        <w:ind w:left="0" w:right="0" w:firstLine="480"/>
        <w:jc w:val="both"/>
        <w:keepLines w:val="0"/>
        <w:keepNext w:val="0"/>
        <w:pageBreakBefore w:val="0"/>
        <w:spacing w:before="0" w:beforeAutospacing="0" w:after="0" w:afterAutospacing="0" w:line="560" w:lineRule="exact"/>
        <w:widowControl w:val="off"/>
        <w:rPr>
          <w:rFonts w:hint="eastAsia" w:ascii="宋体" w:hAnsi="宋体" w:eastAsia="宋体" w:cs="宋体"/>
          <w:b/>
          <w:bCs/>
          <w:color w:val="auto"/>
          <w:sz w:val="24"/>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auto"/>
          <w:sz w:val="24"/>
          <w:szCs w:val="21"/>
          <w:highlight w:val="none"/>
          <w:lang w:val="en-US" w:eastAsia="zh-CN" w:bidi="ar-SA"/>
        </w:rPr>
        <w:t xml:space="preserve">27</w:t>
      </w:r>
      <w:r>
        <w:rPr>
          <w:rFonts w:hint="default" w:ascii="宋体" w:hAnsi="宋体" w:eastAsia="宋体" w:cs="宋体"/>
          <w:b/>
          <w:bCs/>
          <w:color w:val="auto"/>
          <w:sz w:val="24"/>
          <w:szCs w:val="21"/>
          <w:highlight w:val="none"/>
          <w:lang w:val="en-US" w:eastAsia="zh-CN" w:bidi="ar-SA"/>
        </w:rPr>
        <w:t xml:space="preserve">.</w:t>
      </w:r>
      <w:r>
        <w:rPr>
          <w:rFonts w:hint="eastAsia" w:ascii="宋体" w:hAnsi="宋体" w:eastAsia="宋体" w:cs="宋体"/>
          <w:b/>
          <w:bCs/>
          <w:color w:val="auto"/>
          <w:sz w:val="24"/>
          <w:szCs w:val="21"/>
          <w:highlight w:val="none"/>
          <w:lang w:val="en-US" w:eastAsia="zh-CN" w:bidi="ar-SA"/>
        </w:rPr>
        <w:t xml:space="preserve">4</w:t>
      </w:r>
      <w:r>
        <w:rPr>
          <w:rFonts w:hint="default" w:ascii="宋体" w:hAnsi="宋体" w:eastAsia="宋体" w:cs="宋体"/>
          <w:b/>
          <w:bCs/>
          <w:color w:val="auto"/>
          <w:sz w:val="24"/>
          <w:szCs w:val="21"/>
          <w:highlight w:val="none"/>
          <w:lang w:val="en-US" w:eastAsia="zh-CN" w:bidi="ar-SA"/>
        </w:rPr>
        <w:t xml:space="preserve">.2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left="0" w:right="0" w:firstLine="480"/>
        <w:jc w:val="both"/>
        <w:keepLines w:val="0"/>
        <w:keepNext w:val="0"/>
        <w:pageBreakBefore w:val="0"/>
        <w:spacing w:before="0" w:beforeAutospacing="0" w:after="0" w:afterAutospacing="0" w:line="560" w:lineRule="exact"/>
        <w:widowControl w:val="off"/>
        <w:rPr>
          <w:rFonts w:hint="default" w:ascii="宋体" w:hAnsi="宋体" w:eastAsia="宋体" w:cs="宋体"/>
          <w:b/>
          <w:bCs/>
          <w:color w:val="auto"/>
          <w:sz w:val="24"/>
          <w:szCs w:val="21"/>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b/>
          <w:bCs/>
          <w:color w:val="auto"/>
          <w:sz w:val="24"/>
          <w:szCs w:val="21"/>
          <w:highlight w:val="none"/>
          <w:lang w:val="en-US" w:eastAsia="zh-CN" w:bidi="ar-SA"/>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20"/>
        <w:keepLines w:val="0"/>
        <w:keepNext w:val="0"/>
        <w:pageBreakBefore w:val="0"/>
        <w:spacing w:line="560" w:lineRule="exact"/>
        <w:widowControl w:val="off"/>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lang w:val="en-US" w:eastAsia="zh-CN" w:bidi="ar-SA"/>
        </w:rPr>
        <w:t xml:space="preserve">采购人、采购代理</w:t>
      </w:r>
      <w:r>
        <w:rPr>
          <w:rFonts w:hint="eastAsia" w:ascii="宋体" w:hAnsi="宋体" w:eastAsia="宋体" w:cs="宋体"/>
          <w:b/>
          <w:bCs/>
          <w:color w:val="auto"/>
          <w:sz w:val="24"/>
          <w:szCs w:val="21"/>
          <w:highlight w:val="none"/>
        </w:rPr>
        <w:t xml:space="preserve">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keepLines w:val="0"/>
        <w:keepNext w:val="0"/>
        <w:pageBreakBefore w:val="0"/>
        <w:spacing w:line="560" w:lineRule="exact"/>
        <w:widowControl w:val="off"/>
        <w:rPr>
          <w:rFonts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1"/>
          <w:highlight w:val="none"/>
        </w:rPr>
        <w:t xml:space="preserve">异常低价投标（响应）审查的启动原因、审查意见和审查结果应当在评审报告中记录，并随投标人提供的相关书面说明及证明材料，以及评审委员会有关互联网浏览、查询历史一并归档。</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.5比较。评标委员会将按招标文件中规定的评标方法和标准，对符合性检查合格的投标文件进行商务和技术评比。</w:t>
      </w:r>
      <w:r/>
    </w:p>
    <w:p>
      <w:pPr>
        <w:ind w:firstLine="480"/>
        <w:spacing w:line="500" w:lineRule="exact"/>
        <w:rPr>
          <w:rFonts w:ascii="宋体" w:hAnsi="宋体" w:eastAsia="宋体" w:cs="宋体"/>
          <w:color w:val="auto"/>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7</w:t>
      </w:r>
      <w:r>
        <w:rPr>
          <w:rFonts w:hint="eastAsia" w:ascii="宋体" w:hAnsi="宋体" w:eastAsia="宋体" w:cs="宋体"/>
          <w:color w:val="auto"/>
          <w:sz w:val="24"/>
          <w:szCs w:val="22"/>
          <w:highlight w:val="none"/>
        </w:rPr>
        <w:t xml:space="preserve">.6推荐中标候选人。评标委员会按照招标文件中规定的评标方法和标准推荐中标候选人。</w:t>
      </w:r>
      <w:r/>
    </w:p>
    <w:p>
      <w:pPr>
        <w:ind w:firstLine="643"/>
        <w:jc w:val="center"/>
        <w:rPr>
          <w:rFonts w:ascii="宋体" w:hAnsi="宋体" w:eastAsia="宋体" w:cs="宋体"/>
          <w:b/>
          <w:color w:val="auto"/>
          <w:sz w:val="32"/>
          <w:highlight w:val="none"/>
        </w:rPr>
        <w:outlineLvl w:val="1"/>
      </w:pPr>
      <w:r/>
      <w:bookmarkStart w:id="110" w:name="_Toc8580"/>
      <w:r/>
      <w:bookmarkStart w:id="111" w:name="_Toc5785"/>
      <w:r/>
      <w:bookmarkStart w:id="112" w:name="_Toc81575198"/>
      <w:r/>
      <w:bookmarkStart w:id="113" w:name="_Toc6494"/>
      <w:r/>
      <w:bookmarkStart w:id="114" w:name="_Toc81575161"/>
      <w:r>
        <w:rPr>
          <w:rFonts w:hint="eastAsia" w:ascii="宋体" w:hAnsi="宋体" w:eastAsia="宋体" w:cs="宋体"/>
          <w:b/>
          <w:color w:val="auto"/>
          <w:sz w:val="32"/>
          <w:highlight w:val="none"/>
        </w:rPr>
        <w:t xml:space="preserve">七、中标及合同签订</w:t>
      </w:r>
      <w:bookmarkEnd w:id="110"/>
      <w:r/>
      <w:bookmarkEnd w:id="111"/>
      <w:r/>
      <w:bookmarkEnd w:id="112"/>
      <w:r/>
      <w:bookmarkEnd w:id="113"/>
      <w:r/>
      <w:bookmarkEnd w:id="114"/>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2</w:t>
      </w:r>
      <w:r>
        <w:rPr>
          <w:rFonts w:hint="eastAsia" w:ascii="宋体" w:hAnsi="宋体" w:eastAsia="宋体" w:cs="宋体"/>
          <w:b/>
          <w:color w:val="auto"/>
          <w:sz w:val="24"/>
          <w:szCs w:val="22"/>
          <w:highlight w:val="none"/>
          <w:lang w:val="en-US" w:eastAsia="zh-CN"/>
        </w:rPr>
        <w:t xml:space="preserve">8</w:t>
      </w:r>
      <w:r>
        <w:rPr>
          <w:rFonts w:hint="eastAsia" w:ascii="宋体" w:hAnsi="宋体" w:eastAsia="宋体" w:cs="宋体"/>
          <w:b/>
          <w:color w:val="auto"/>
          <w:sz w:val="24"/>
          <w:szCs w:val="22"/>
          <w:highlight w:val="none"/>
        </w:rPr>
        <w:t xml:space="preserve">.确定中标人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.1中标投标人确定之日起2个工作日内，采购人或采购代理机构将在财政部门指定信息媒体上发布中标结果，中标公告的公告期限为 1个工作日。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.2在中标结果公告期届满前，中标人被列为失信被执行人的，取消其中标资格，并重新确定中标人。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.3采购人不得通过对样品进行检测、对投标人进行考察等方式改变评审结果。</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w:t>
      </w:r>
      <w:r>
        <w:rPr>
          <w:rFonts w:hint="eastAsia" w:ascii="宋体" w:hAnsi="宋体" w:eastAsia="宋体" w:cs="宋体"/>
          <w:color w:val="auto"/>
          <w:sz w:val="24"/>
          <w:szCs w:val="22"/>
          <w:highlight w:val="none"/>
          <w:lang w:val="en-US" w:eastAsia="zh-CN"/>
        </w:rPr>
        <w:t xml:space="preserve">8</w:t>
      </w:r>
      <w:r>
        <w:rPr>
          <w:rFonts w:hint="eastAsia" w:ascii="宋体" w:hAnsi="宋体" w:eastAsia="宋体" w:cs="宋体"/>
          <w:color w:val="auto"/>
          <w:sz w:val="24"/>
          <w:szCs w:val="22"/>
          <w:highlight w:val="none"/>
        </w:rPr>
        <w:t xml:space="preserve">.4采购人应当自收到评审报告之日起5个工作日内在评审报告推荐的中标候选人中按顺序确定中标人。</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lang w:val="en-US" w:eastAsia="zh-CN"/>
        </w:rPr>
        <w:t xml:space="preserve">29</w:t>
      </w:r>
      <w:r>
        <w:rPr>
          <w:rFonts w:hint="eastAsia" w:ascii="宋体" w:hAnsi="宋体" w:eastAsia="宋体" w:cs="宋体"/>
          <w:b/>
          <w:color w:val="auto"/>
          <w:sz w:val="24"/>
          <w:szCs w:val="22"/>
          <w:highlight w:val="none"/>
        </w:rPr>
        <w:t xml:space="preserve">.中标通知书</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1中标结果确定后，交易中心将向中标人发出中标通知书。请中标人使用CA数字证书登录“苏采云系统”及时下载中标通知书。中标投标人可自行下载打印《中标通知书》《中标通知书》将作为授予合同资格的唯一合法依据。中标通知书发出后，采购人不得违法改变中标结果，中标投标人不得放弃中标。中标投标人放弃中标的，应当依法承担相应的法律责任。</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.2中标通知书发出之日起5个工作日内，中标人应提供3份与网上投标文件一致的纸质打印投标文件。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.3采用综合评分法评审的，未中标的投标人可于中标结果公告期限届满之日起通过苏采云系统查看自己的评审得分及排序情况。</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29</w:t>
      </w:r>
      <w:r>
        <w:rPr>
          <w:rFonts w:hint="eastAsia" w:ascii="宋体" w:hAnsi="宋体" w:eastAsia="宋体" w:cs="宋体"/>
          <w:color w:val="auto"/>
          <w:sz w:val="24"/>
          <w:szCs w:val="22"/>
          <w:highlight w:val="none"/>
        </w:rPr>
        <w:t xml:space="preserve">.4项目采购采用最低评标（审）价法的，公告中标、中标结果时应当同时公告因落实政府采购政策等原因进行价格扣除后中标、中标投标人的评审报价；项目采购采用综合评分法的，公告中标、中标结果时应当同时公告中标、中标投标人的评审总得分。</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0</w:t>
      </w:r>
      <w:r>
        <w:rPr>
          <w:rFonts w:hint="eastAsia" w:ascii="宋体" w:hAnsi="宋体" w:eastAsia="宋体" w:cs="宋体"/>
          <w:b/>
          <w:color w:val="auto"/>
          <w:sz w:val="24"/>
          <w:szCs w:val="22"/>
          <w:highlight w:val="none"/>
        </w:rPr>
        <w:t xml:space="preserve">.签订和公告合同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.1采购人与中标投标人应当在中标通知书发出之日起15日内签订政府采购合同。招标文件、中标人的投标文件以及评标过程中有关澄清文件均作为合同附件。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.2中标投标人拒绝与采购人签订合同的，采购人可以按照评审报告推荐的中标候选人名单排序，确定下一候选人为中标投标人，也可以重新开展政府采购活动。</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0</w:t>
      </w:r>
      <w:r>
        <w:rPr>
          <w:rFonts w:hint="eastAsia" w:ascii="宋体" w:hAnsi="宋体" w:eastAsia="宋体" w:cs="宋体"/>
          <w:color w:val="auto"/>
          <w:sz w:val="24"/>
          <w:szCs w:val="22"/>
          <w:highlight w:val="none"/>
        </w:rPr>
        <w:t xml:space="preserve">.3采购人在自合同签订之日起2个工作日内，将合同在指定的媒体上公告。</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1</w:t>
      </w:r>
      <w:r>
        <w:rPr>
          <w:rFonts w:hint="eastAsia" w:ascii="宋体" w:hAnsi="宋体" w:eastAsia="宋体" w:cs="宋体"/>
          <w:b/>
          <w:color w:val="auto"/>
          <w:sz w:val="24"/>
          <w:szCs w:val="22"/>
          <w:highlight w:val="none"/>
        </w:rPr>
        <w:t xml:space="preserve">.履约保证金</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按照以下第</w:t>
      </w:r>
      <w:r>
        <w:rPr>
          <w:rFonts w:hint="eastAsia" w:ascii="宋体" w:hAnsi="宋体" w:eastAsia="宋体" w:cs="宋体"/>
          <w:b/>
          <w:color w:val="auto"/>
          <w:sz w:val="24"/>
          <w:szCs w:val="22"/>
          <w:highlight w:val="none"/>
          <w:u w:val="single"/>
        </w:rPr>
        <w:t xml:space="preserve">（1）</w:t>
      </w:r>
      <w:r>
        <w:rPr>
          <w:rFonts w:hint="eastAsia" w:ascii="宋体" w:hAnsi="宋体" w:eastAsia="宋体" w:cs="宋体"/>
          <w:bCs/>
          <w:color w:val="auto"/>
          <w:sz w:val="24"/>
          <w:szCs w:val="22"/>
          <w:highlight w:val="none"/>
          <w:lang w:val="zh-CN"/>
        </w:rPr>
        <w:t xml:space="preserve">方式确定履约保证收取方式。</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（1）不收取履约保证金。</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（2）本项目收取履约保证</w:t>
      </w:r>
      <w:r>
        <w:rPr>
          <w:rFonts w:hint="eastAsia" w:ascii="宋体" w:hAnsi="宋体" w:eastAsia="宋体" w:cs="宋体"/>
          <w:bCs/>
          <w:color w:val="auto"/>
          <w:sz w:val="24"/>
          <w:highlight w:val="none"/>
        </w:rPr>
        <w:t xml:space="preserve">金</w:t>
      </w:r>
      <w:r>
        <w:rPr>
          <w:rFonts w:hint="eastAsia" w:ascii="宋体" w:hAnsi="宋体" w:eastAsia="宋体" w:cs="宋体"/>
          <w:bCs/>
          <w:color w:val="auto"/>
          <w:sz w:val="24"/>
          <w:highlight w:val="none"/>
          <w:lang w:val="zh-CN"/>
        </w:rPr>
        <w:t xml:space="preserve">应在采购合同签订前提交，履约保证金的金额：按采购合同总价的</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rPr>
        <w:t xml:space="preserve">（</w:t>
      </w:r>
      <w:r>
        <w:rPr>
          <w:rFonts w:hint="eastAsia" w:ascii="宋体" w:hAnsi="宋体" w:eastAsia="宋体" w:cs="宋体"/>
          <w:bCs/>
          <w:color w:val="auto"/>
          <w:sz w:val="24"/>
          <w:highlight w:val="none"/>
          <w:lang w:val="zh-CN"/>
        </w:rPr>
        <w:t xml:space="preserve">使用江苏政府采购电子履约保函（保险）代缴履约保证金，按采购合同价的</w:t>
      </w:r>
      <w:r>
        <w:rPr>
          <w:rFonts w:hint="eastAsia" w:ascii="宋体" w:hAnsi="宋体" w:eastAsia="宋体" w:cs="宋体"/>
          <w:bCs/>
          <w:color w:val="auto"/>
          <w:sz w:val="24"/>
          <w:highlight w:val="none"/>
          <w:u w:val="single"/>
        </w:rPr>
        <w:t xml:space="preserve"> </w:t>
      </w:r>
      <w:r>
        <w:rPr>
          <w:rFonts w:hint="eastAsia" w:ascii="宋体" w:hAnsi="宋体" w:eastAsia="宋体" w:cs="宋体"/>
          <w:b/>
          <w:color w:val="auto"/>
          <w:sz w:val="24"/>
          <w:highlight w:val="none"/>
          <w:u w:val="single"/>
        </w:rPr>
        <w:t xml:space="preserve"> </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u w:val="single"/>
        </w:rPr>
        <w:t xml:space="preserve">（以履约保证金原提交金额的6折）</w:t>
      </w:r>
      <w:r>
        <w:rPr>
          <w:rFonts w:hint="eastAsia" w:ascii="宋体" w:hAnsi="宋体" w:eastAsia="宋体" w:cs="宋体"/>
          <w:bCs/>
          <w:color w:val="auto"/>
          <w:sz w:val="24"/>
          <w:highlight w:val="none"/>
          <w:lang w:val="zh-CN"/>
        </w:rPr>
        <w:t xml:space="preserve">）计取。除银行电汇、网上银行、数字人外，投标人还可选用银行保函、担保公司的保证担保或保险公司的保证保险等多种形式向采购人缴纳；</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履约保证金退还的方式：</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履约保证金退还的条件：</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按合同约定完成节日提货凭证供货，经采购人确认无误后退还；</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履约保证金退还时间：</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color w:val="auto"/>
          <w:sz w:val="24"/>
          <w:szCs w:val="22"/>
          <w:highlight w:val="none"/>
        </w:rPr>
        <w:t xml:space="preserve">采购人收到投标人退付申请后5个工作日内退还</w:t>
      </w:r>
      <w:r>
        <w:rPr>
          <w:rFonts w:hint="eastAsia" w:ascii="宋体" w:hAnsi="宋体" w:eastAsia="宋体" w:cs="宋体"/>
          <w:bCs/>
          <w:color w:val="auto"/>
          <w:sz w:val="24"/>
          <w:highlight w:val="none"/>
          <w:lang w:val="zh-CN"/>
        </w:rPr>
        <w:t xml:space="preserve">；</w:t>
      </w:r>
      <w:r/>
    </w:p>
    <w:p>
      <w:pPr>
        <w:ind w:firstLine="480"/>
        <w:spacing w:line="560" w:lineRule="exact"/>
        <w:rPr>
          <w:rFonts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履约保证金不予退还情形：</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highlight w:val="none"/>
          <w:lang w:val="zh-CN"/>
        </w:rPr>
        <w:t xml:space="preserve">除不可抗力外，中标人不履行与采购人订立的采购合同的，履约保证金不予退还，给采购人造成的损失超过履约保证金数额的，还应对超过部分予以赔偿</w:t>
      </w:r>
      <w:r>
        <w:rPr>
          <w:rFonts w:hint="eastAsia" w:ascii="宋体" w:hAnsi="宋体" w:eastAsia="宋体" w:cs="宋体"/>
          <w:bCs/>
          <w:color w:val="auto"/>
          <w:sz w:val="24"/>
          <w:szCs w:val="22"/>
          <w:highlight w:val="none"/>
          <w:lang w:val="zh-CN"/>
        </w:rPr>
        <w:t xml:space="preserve">；</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逾期退还履约保证金的违约责任：</w:t>
      </w:r>
      <w:r/>
    </w:p>
    <w:p>
      <w:pPr>
        <w:ind w:firstLine="480"/>
        <w:spacing w:line="560" w:lineRule="exact"/>
        <w:rPr>
          <w:rFonts w:ascii="宋体" w:hAnsi="宋体" w:eastAsia="宋体" w:cs="宋体"/>
          <w:bCs/>
          <w:color w:val="auto"/>
          <w:sz w:val="24"/>
          <w:szCs w:val="22"/>
          <w:highlight w:val="none"/>
          <w:lang w:val="zh-CN"/>
        </w:rPr>
      </w:pPr>
      <w:r>
        <w:rPr>
          <w:rFonts w:hint="eastAsia" w:ascii="宋体" w:hAnsi="宋体" w:eastAsia="宋体" w:cs="宋体"/>
          <w:bCs/>
          <w:color w:val="auto"/>
          <w:sz w:val="24"/>
          <w:szCs w:val="22"/>
          <w:highlight w:val="none"/>
          <w:lang w:val="zh-CN"/>
        </w:rPr>
        <w:t xml:space="preserve">除应当退还履约保证金外，还应当按中国人民银行同期贷款基准利率上浮20％后的利率支付逾期资金占用费，但因投标人自身原因导致无法及时退还的除外。</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2</w:t>
      </w:r>
      <w:r>
        <w:rPr>
          <w:rFonts w:hint="eastAsia" w:ascii="宋体" w:hAnsi="宋体" w:eastAsia="宋体" w:cs="宋体"/>
          <w:b/>
          <w:color w:val="auto"/>
          <w:sz w:val="24"/>
          <w:szCs w:val="22"/>
          <w:highlight w:val="none"/>
        </w:rPr>
        <w:t xml:space="preserve">.线上融资</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中小微企业投标人可通过中征应收账款融资服务平台（网址：https://www.crcrfsp.com），凭借中标通知书或政府采购合同向金融机构申请融资。</w:t>
      </w:r>
      <w:r/>
    </w:p>
    <w:p>
      <w:pPr>
        <w:ind w:firstLine="482"/>
        <w:spacing w:line="500" w:lineRule="exact"/>
        <w:rPr>
          <w:rFonts w:ascii="宋体" w:hAnsi="宋体" w:eastAsia="宋体" w:cs="宋体"/>
          <w:b/>
          <w:color w:val="auto"/>
          <w:sz w:val="24"/>
          <w:szCs w:val="22"/>
          <w:highlight w:val="none"/>
        </w:rPr>
      </w:pPr>
      <w:r/>
      <w:bookmarkStart w:id="115" w:name="EBb07a540bbba846748e1de4dbefab2ad1"/>
      <w:r/>
      <w:bookmarkEnd w:id="115"/>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3</w:t>
      </w:r>
      <w:r>
        <w:rPr>
          <w:rFonts w:hint="eastAsia" w:ascii="宋体" w:hAnsi="宋体" w:eastAsia="宋体" w:cs="宋体"/>
          <w:b/>
          <w:color w:val="auto"/>
          <w:sz w:val="24"/>
          <w:szCs w:val="22"/>
          <w:highlight w:val="none"/>
        </w:rPr>
        <w:t xml:space="preserve">.合同履行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.1政府采购合同订立后，合同各方不得擅自变更、中止或者终止合同。</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.2政府采购合同履行中，采购人需追加与合同标的相同的货物、工程或者服务的，在不改变合同其他条款的前提下，可以与中标投标人签订补充合同，但所补充合同的采购金额不得超过原采购金额的10%。</w:t>
      </w:r>
      <w:r/>
    </w:p>
    <w:p>
      <w:pPr>
        <w:ind w:firstLine="420"/>
        <w:rPr>
          <w:rFonts w:ascii="宋体" w:hAnsi="宋体" w:eastAsia="宋体" w:cs="宋体"/>
          <w:color w:val="auto"/>
          <w:szCs w:val="22"/>
          <w:highlight w:val="none"/>
        </w:rPr>
      </w:pPr>
      <w:r>
        <w:rPr>
          <w:rFonts w:ascii="宋体" w:hAnsi="宋体" w:eastAsia="宋体" w:cs="宋体"/>
          <w:color w:val="auto"/>
          <w:szCs w:val="22"/>
          <w:highlight w:val="none"/>
        </w:rPr>
      </w:r>
      <w:r/>
    </w:p>
    <w:p>
      <w:pPr>
        <w:ind w:firstLine="643"/>
        <w:jc w:val="center"/>
        <w:rPr>
          <w:rFonts w:ascii="宋体" w:hAnsi="宋体" w:eastAsia="宋体" w:cs="宋体"/>
          <w:b/>
          <w:color w:val="auto"/>
          <w:sz w:val="32"/>
          <w:highlight w:val="none"/>
        </w:rPr>
        <w:outlineLvl w:val="1"/>
      </w:pPr>
      <w:r/>
      <w:bookmarkStart w:id="116" w:name="_Toc81575199"/>
      <w:r/>
      <w:bookmarkStart w:id="117" w:name="_Toc81575162"/>
      <w:r/>
      <w:bookmarkStart w:id="118" w:name="_Toc14927"/>
      <w:r/>
      <w:bookmarkStart w:id="119" w:name="_Toc27103"/>
      <w:r/>
      <w:bookmarkStart w:id="120" w:name="_Toc7550"/>
      <w:r>
        <w:rPr>
          <w:rFonts w:hint="eastAsia" w:ascii="宋体" w:hAnsi="宋体" w:eastAsia="宋体" w:cs="宋体"/>
          <w:b/>
          <w:color w:val="auto"/>
          <w:sz w:val="32"/>
          <w:highlight w:val="none"/>
        </w:rPr>
        <w:t xml:space="preserve">八、验收及付款</w:t>
      </w:r>
      <w:bookmarkEnd w:id="116"/>
      <w:r/>
      <w:bookmarkEnd w:id="117"/>
      <w:r/>
      <w:bookmarkEnd w:id="118"/>
      <w:r/>
      <w:bookmarkEnd w:id="119"/>
      <w:r/>
      <w:bookmarkEnd w:id="120"/>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4</w:t>
      </w:r>
      <w:r>
        <w:rPr>
          <w:rFonts w:hint="eastAsia" w:ascii="宋体" w:hAnsi="宋体" w:eastAsia="宋体" w:cs="宋体"/>
          <w:b/>
          <w:color w:val="auto"/>
          <w:sz w:val="24"/>
          <w:szCs w:val="22"/>
          <w:highlight w:val="none"/>
        </w:rPr>
        <w:t xml:space="preserve">.验收（考核）</w:t>
      </w:r>
      <w:r/>
    </w:p>
    <w:p>
      <w:pPr>
        <w:ind w:firstLine="480"/>
        <w:spacing w:line="500" w:lineRule="exact"/>
        <w:rPr>
          <w:rFonts w:ascii="宋体" w:hAnsi="宋体" w:eastAsia="宋体" w:cs="宋体"/>
          <w:color w:val="auto"/>
          <w:sz w:val="24"/>
          <w:szCs w:val="22"/>
          <w:highlight w:val="none"/>
        </w:rPr>
      </w:pPr>
      <w:r/>
      <w:bookmarkStart w:id="121" w:name="EBbbb2492ed6b84c9193a6bb6f72a512f3"/>
      <w:r>
        <w:rPr>
          <w:rFonts w:hint="eastAsia" w:ascii="宋体" w:hAnsi="宋体" w:eastAsia="宋体" w:cs="宋体"/>
          <w:color w:val="auto"/>
          <w:sz w:val="24"/>
          <w:szCs w:val="22"/>
          <w:highlight w:val="none"/>
        </w:rPr>
        <w:t xml:space="preserve">采购人应当组成验收（考核）小组，验收（考核）人员应当按照约定的验收（考核）标准，对投标人的履约情况开展验收（考核）。验收（考核）结束后，验收（考核）人员应当出具验收（考核）报告并签字。政府向社会公众提供的公共服务项目，验收结果应当向社会公告</w:t>
      </w:r>
      <w:bookmarkEnd w:id="121"/>
      <w:r>
        <w:rPr>
          <w:rFonts w:hint="eastAsia" w:ascii="宋体" w:hAnsi="宋体" w:eastAsia="宋体" w:cs="宋体"/>
          <w:color w:val="auto"/>
          <w:sz w:val="24"/>
          <w:szCs w:val="22"/>
          <w:highlight w:val="none"/>
        </w:rPr>
        <w:t xml:space="preserve">。</w:t>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5</w:t>
      </w:r>
      <w:r>
        <w:rPr>
          <w:rFonts w:hint="eastAsia" w:ascii="宋体" w:hAnsi="宋体" w:eastAsia="宋体" w:cs="宋体"/>
          <w:b/>
          <w:color w:val="auto"/>
          <w:sz w:val="24"/>
          <w:szCs w:val="22"/>
          <w:highlight w:val="none"/>
        </w:rPr>
        <w:t xml:space="preserve">.付款</w:t>
      </w:r>
      <w:r/>
    </w:p>
    <w:p>
      <w:pPr>
        <w:ind w:firstLine="480"/>
        <w:jc w:val="left"/>
        <w:spacing w:line="480" w:lineRule="exact"/>
        <w:tabs>
          <w:tab w:val="left" w:pos="2020" w:leader="none"/>
        </w:tabs>
        <w:rPr>
          <w:rFonts w:ascii="宋体" w:hAnsi="宋体" w:eastAsia="宋体" w:cs="宋体"/>
          <w:color w:val="auto"/>
          <w:sz w:val="24"/>
          <w:szCs w:val="22"/>
          <w:highlight w:val="white"/>
        </w:rPr>
      </w:pPr>
      <w:r>
        <w:rPr>
          <w:rFonts w:hint="eastAsia" w:ascii="宋体" w:hAnsi="宋体" w:eastAsia="宋体" w:cs="宋体"/>
          <w:color w:val="auto"/>
          <w:sz w:val="24"/>
          <w:szCs w:val="22"/>
          <w:highlight w:val="none"/>
        </w:rPr>
        <w:t xml:space="preserve">按照付款方式，采购人及时办理付款手续。对于满足合同约定支付条件的，自收到发票后10个工作日内将资金支付到合同约定的投标人账户或投标人数字人民币账户</w:t>
      </w:r>
      <w:r>
        <w:rPr>
          <w:rFonts w:hint="eastAsia" w:ascii="宋体" w:hAnsi="宋体" w:eastAsia="宋体" w:cs="宋体"/>
          <w:color w:val="auto"/>
          <w:sz w:val="24"/>
          <w:szCs w:val="22"/>
          <w:highlight w:val="white"/>
        </w:rPr>
        <w:t xml:space="preserve">。</w:t>
      </w:r>
      <w:r>
        <w:rPr>
          <w:highlight w:val="white"/>
        </w:rPr>
      </w:r>
    </w:p>
    <w:p>
      <w:pPr>
        <w:ind w:firstLine="480"/>
        <w:jc w:val="left"/>
        <w:spacing w:line="480" w:lineRule="exact"/>
        <w:tabs>
          <w:tab w:val="left" w:pos="2020" w:leader="none"/>
        </w:tabs>
        <w:rPr>
          <w:rFonts w:ascii="宋体" w:hAnsi="宋体" w:eastAsia="宋体" w:cs="宋体"/>
          <w:color w:val="auto"/>
          <w:sz w:val="24"/>
          <w:szCs w:val="22"/>
          <w:highlight w:val="white"/>
        </w:rPr>
      </w:pPr>
      <w:r>
        <w:rPr>
          <w:rFonts w:hint="eastAsia" w:ascii="宋体" w:hAnsi="宋体" w:eastAsia="宋体" w:cs="宋体"/>
          <w:color w:val="auto"/>
          <w:sz w:val="24"/>
          <w:szCs w:val="22"/>
          <w:highlight w:val="white"/>
        </w:rPr>
        <w:t xml:space="preserve">预付款：合同金额的30%，合同签订后按规定支付；</w:t>
      </w:r>
      <w:r>
        <w:rPr>
          <w:highlight w:val="white"/>
        </w:rPr>
      </w:r>
    </w:p>
    <w:p>
      <w:pPr>
        <w:ind w:firstLine="480"/>
        <w:jc w:val="left"/>
        <w:spacing w:line="480" w:lineRule="exact"/>
        <w:tabs>
          <w:tab w:val="left" w:pos="2020" w:leader="none"/>
        </w:tabs>
        <w:rPr>
          <w:rFonts w:ascii="宋体" w:hAnsi="宋体" w:eastAsia="宋体" w:cs="宋体"/>
          <w:color w:val="auto"/>
          <w:sz w:val="24"/>
          <w:highlight w:val="none"/>
        </w:rPr>
      </w:pPr>
      <w:r>
        <w:rPr>
          <w:rFonts w:hint="eastAsia" w:ascii="宋体" w:hAnsi="宋体" w:eastAsia="宋体" w:cs="宋体"/>
          <w:color w:val="auto"/>
          <w:sz w:val="24"/>
          <w:szCs w:val="22"/>
          <w:highlight w:val="white"/>
        </w:rPr>
        <w:t xml:space="preserve">进度款：货物安装调试完成并经验收合格后付至合同价款的</w:t>
      </w:r>
      <w:r>
        <w:rPr>
          <w:rFonts w:hint="eastAsia" w:ascii="宋体" w:hAnsi="宋体" w:eastAsia="宋体" w:cs="宋体"/>
          <w:color w:val="auto"/>
          <w:sz w:val="24"/>
          <w:szCs w:val="22"/>
          <w:highlight w:val="none"/>
        </w:rPr>
        <w:t xml:space="preserve">100%。</w:t>
      </w:r>
      <w:r/>
    </w:p>
    <w:p>
      <w:pPr>
        <w:ind w:firstLine="480"/>
        <w:spacing w:line="560" w:lineRule="exact"/>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注：在签订合同时，中标人明确表示无需预付款或者主动要求降低预付款比例的，采购人可不适用前述规定。</w:t>
      </w:r>
      <w:r/>
    </w:p>
    <w:p>
      <w:pPr>
        <w:jc w:val="center"/>
        <w:rPr>
          <w:rFonts w:ascii="宋体" w:hAnsi="宋体" w:eastAsia="宋体" w:cs="宋体"/>
          <w:b/>
          <w:color w:val="auto"/>
          <w:sz w:val="32"/>
          <w:highlight w:val="none"/>
        </w:rPr>
        <w:outlineLvl w:val="1"/>
      </w:pPr>
      <w:r/>
      <w:bookmarkStart w:id="122" w:name="EB859756b3800e4c948b9ef2cc4c48f3fa"/>
      <w:r/>
      <w:bookmarkEnd w:id="122"/>
      <w:r/>
      <w:bookmarkStart w:id="123" w:name="EB277cdb9ada634793b6698cebd3ac7144"/>
      <w:r/>
      <w:bookmarkEnd w:id="123"/>
      <w:r/>
      <w:bookmarkStart w:id="124" w:name="_Toc25046"/>
      <w:r/>
      <w:bookmarkStart w:id="125" w:name="_Toc27933"/>
      <w:r/>
      <w:bookmarkStart w:id="126" w:name="_Toc12263"/>
      <w:r/>
      <w:bookmarkStart w:id="127" w:name="_Toc81575200"/>
      <w:r/>
      <w:bookmarkStart w:id="128" w:name="_Toc81575163"/>
      <w:r>
        <w:rPr>
          <w:rFonts w:hint="eastAsia" w:ascii="宋体" w:hAnsi="宋体" w:eastAsia="宋体" w:cs="宋体"/>
          <w:b/>
          <w:color w:val="auto"/>
          <w:sz w:val="32"/>
          <w:highlight w:val="none"/>
        </w:rPr>
        <w:t xml:space="preserve">九、质疑与投诉</w:t>
      </w:r>
      <w:bookmarkEnd w:id="124"/>
      <w:r/>
      <w:bookmarkEnd w:id="125"/>
      <w:r/>
      <w:bookmarkEnd w:id="126"/>
      <w:r/>
      <w:bookmarkEnd w:id="127"/>
      <w:r/>
      <w:bookmarkEnd w:id="128"/>
      <w:r/>
      <w:r/>
    </w:p>
    <w:p>
      <w:pPr>
        <w:ind w:firstLine="482"/>
        <w:spacing w:line="500" w:lineRule="exact"/>
        <w:rPr>
          <w:rFonts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3</w:t>
      </w:r>
      <w:r>
        <w:rPr>
          <w:rFonts w:hint="eastAsia" w:ascii="宋体" w:hAnsi="宋体" w:eastAsia="宋体" w:cs="宋体"/>
          <w:b/>
          <w:color w:val="auto"/>
          <w:sz w:val="24"/>
          <w:szCs w:val="22"/>
          <w:highlight w:val="none"/>
          <w:lang w:val="en-US" w:eastAsia="zh-CN"/>
        </w:rPr>
        <w:t xml:space="preserve">6</w:t>
      </w:r>
      <w:r>
        <w:rPr>
          <w:rFonts w:hint="eastAsia" w:ascii="宋体" w:hAnsi="宋体" w:eastAsia="宋体" w:cs="宋体"/>
          <w:b/>
          <w:color w:val="auto"/>
          <w:sz w:val="24"/>
          <w:szCs w:val="22"/>
          <w:highlight w:val="none"/>
        </w:rPr>
        <w:t xml:space="preserve">.质疑与投诉</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.1投标人认为采购文件、采购过程和中标结果使自己的权益受到损害的，可以在知道或者应知其权益受到损害之日起七个工作日内（具体起算时间见37.2），</w:t>
      </w:r>
      <w:r>
        <w:rPr>
          <w:rFonts w:hint="eastAsia" w:ascii="宋体" w:hAnsi="宋体" w:eastAsia="宋体" w:cs="宋体"/>
          <w:color w:val="auto"/>
          <w:sz w:val="24"/>
          <w:highlight w:val="none"/>
        </w:rPr>
        <w:t xml:space="preserve">以书面形式向采购人或者其委托的采购代理机构提出质疑</w:t>
      </w:r>
      <w:r>
        <w:rPr>
          <w:rFonts w:hint="eastAsia" w:ascii="宋体" w:hAnsi="宋体" w:eastAsia="宋体" w:cs="宋体"/>
          <w:color w:val="auto"/>
          <w:sz w:val="24"/>
          <w:szCs w:val="22"/>
          <w:highlight w:val="none"/>
        </w:rPr>
        <w:t xml:space="preserve">。质疑超出采购机构代理范围的，投标人应当向采购人提出。</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本项目接收质疑函的方式：</w:t>
      </w:r>
      <w:bookmarkStart w:id="129" w:name="EB56bd2a40e102476eadbb1fc6a9202461"/>
      <w:r/>
      <w:bookmarkEnd w:id="129"/>
      <w:r>
        <w:rPr>
          <w:rFonts w:hint="eastAsia" w:ascii="宋体" w:hAnsi="宋体" w:eastAsia="宋体" w:cs="宋体"/>
          <w:color w:val="auto"/>
          <w:sz w:val="24"/>
          <w:szCs w:val="22"/>
          <w:highlight w:val="none"/>
        </w:rPr>
        <w:t xml:space="preserve">现场接收或邮寄接收。</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联系部门：</w:t>
      </w:r>
      <w:bookmarkStart w:id="130" w:name="EB587bd491a3fd493c8e729d1eaa56203a"/>
      <w:r/>
      <w:bookmarkEnd w:id="130"/>
      <w:r>
        <w:rPr>
          <w:rFonts w:hint="eastAsia" w:ascii="宋体" w:hAnsi="宋体" w:eastAsia="宋体" w:cs="宋体"/>
          <w:color w:val="auto"/>
          <w:sz w:val="24"/>
          <w:szCs w:val="22"/>
          <w:highlight w:val="none"/>
        </w:rPr>
        <w:t xml:space="preserve">宿迁学院、江苏经天纬地建设项目管理有限公司</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联系电话：</w:t>
      </w:r>
      <w:bookmarkStart w:id="131" w:name="EB5b41b423f63941cebdd46b3e34fcab34"/>
      <w:r/>
      <w:bookmarkEnd w:id="131"/>
      <w:r>
        <w:rPr>
          <w:rFonts w:hint="eastAsia" w:ascii="宋体" w:hAnsi="宋体" w:eastAsia="宋体" w:cs="宋体"/>
          <w:color w:val="auto"/>
          <w:sz w:val="24"/>
          <w:highlight w:val="none"/>
          <w:lang w:val="en-US" w:eastAsia="zh-CN"/>
        </w:rPr>
        <w:t xml:space="preserve">13013925101</w:t>
      </w:r>
      <w:r>
        <w:rPr>
          <w:rFonts w:hint="eastAsia" w:ascii="宋体" w:hAnsi="宋体" w:eastAsia="宋体" w:cs="宋体"/>
          <w:color w:val="auto"/>
          <w:sz w:val="24"/>
          <w:szCs w:val="22"/>
          <w:highlight w:val="none"/>
        </w:rPr>
        <w:t xml:space="preserve">、19825705911</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通讯地址：</w:t>
      </w:r>
      <w:bookmarkStart w:id="132" w:name="EB572fd27c0a4b41898944b1b4aad84cb2"/>
      <w:r/>
      <w:bookmarkEnd w:id="132"/>
      <w:r>
        <w:rPr>
          <w:rFonts w:hint="eastAsia" w:ascii="宋体" w:hAnsi="宋体" w:eastAsia="宋体" w:cs="宋体"/>
          <w:color w:val="auto"/>
          <w:sz w:val="24"/>
          <w:szCs w:val="22"/>
          <w:highlight w:val="none"/>
        </w:rPr>
        <w:t xml:space="preserve">江苏省宿迁市黄河南路399号、宿豫区金融财富广场C栋15楼1502</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lang w:val="en-US" w:eastAsia="zh-CN"/>
        </w:rPr>
        <w:t xml:space="preserve">36</w:t>
      </w:r>
      <w:r>
        <w:rPr>
          <w:rFonts w:hint="eastAsia" w:ascii="宋体" w:hAnsi="宋体" w:eastAsia="宋体" w:cs="宋体"/>
          <w:color w:val="auto"/>
          <w:sz w:val="24"/>
          <w:szCs w:val="22"/>
          <w:highlight w:val="none"/>
        </w:rPr>
        <w:t xml:space="preserve">.2投标人应知其权益受到损害之日，是指：</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（1）对本项目采购文件提出质疑的，为获取采购文件之日或者采购文件公告期限届满之日；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（2）对本项目采购过程提出质疑的，为各采购程序环节结束之日；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（3）对本项目中标或者中标结果提出质疑的，为中标或者中标结果公告期限届满之日。</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.4投标人提出质疑应当提交质疑函和必要的证明材料。质疑函的必备内容：</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（1）投标人的姓名或者名称、地址、邮编、联系人及联系电话；</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（2）质疑项目的名称、编号；</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（3）获取采购文件的时间。</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（4）具体、明确的质疑事项和质疑事项相关的请求；</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（5）事实依据；</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（6）必要的法律依据；</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（7）提出质疑的日期；</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（8）投标人为自然人的，由本人签字；投标人为法人或者其他组织的，应当由法定代表人、主要负责人，或者其授权代表签字或者盖章，并加盖公章。</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.5采购人、采购代理机构在收到质疑函后7个工作日内作出答复，并以书面形式通知质疑投标人和其他有关投标人，但质疑答复的内容不涉及商业秘密。</w:t>
      </w:r>
      <w:r/>
    </w:p>
    <w:p>
      <w:pPr>
        <w:ind w:firstLine="480"/>
        <w:spacing w:line="500" w:lineRule="exact"/>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w:t>
      </w:r>
      <w:r>
        <w:rPr>
          <w:rFonts w:hint="eastAsia" w:ascii="宋体" w:hAnsi="宋体" w:eastAsia="宋体" w:cs="宋体"/>
          <w:color w:val="auto"/>
          <w:sz w:val="24"/>
          <w:szCs w:val="22"/>
          <w:highlight w:val="none"/>
          <w:lang w:val="en-US" w:eastAsia="zh-CN"/>
        </w:rPr>
        <w:t xml:space="preserve">6</w:t>
      </w:r>
      <w:r>
        <w:rPr>
          <w:rFonts w:hint="eastAsia" w:ascii="宋体" w:hAnsi="宋体" w:eastAsia="宋体" w:cs="宋体"/>
          <w:color w:val="auto"/>
          <w:sz w:val="24"/>
          <w:szCs w:val="22"/>
          <w:highlight w:val="none"/>
        </w:rPr>
        <w:t xml:space="preserve">.6质疑投标人对采购人、采购代理机构的答复不满意，或者采购人、采购代理机构未在规定时间内作出答复的，可以在答复期满后15个工作日内向同级财政部门提起投诉。</w:t>
      </w:r>
      <w:r/>
    </w:p>
    <w:p>
      <w:pPr>
        <w:rPr>
          <w:rFonts w:ascii="宋体" w:hAnsi="宋体" w:eastAsia="宋体" w:cs="宋体"/>
          <w:color w:val="auto"/>
          <w:szCs w:val="21"/>
          <w:highlight w:val="none"/>
        </w:rPr>
      </w:pPr>
      <w:r>
        <w:rPr>
          <w:rFonts w:ascii="宋体" w:hAnsi="宋体" w:eastAsia="宋体" w:cs="宋体"/>
          <w:color w:val="auto"/>
          <w:szCs w:val="21"/>
          <w:highlight w:val="none"/>
        </w:rPr>
      </w:r>
      <w:bookmarkEnd w:id="69"/>
      <w:bookmarkEnd w:id="70"/>
      <w:bookmarkEnd w:id="71"/>
      <w:bookmarkEnd w:id="72"/>
      <w:bookmarkEnd w:id="73"/>
      <w:r/>
    </w:p>
    <w:p>
      <w:pPr>
        <w:jc w:val="center"/>
        <w:rPr>
          <w:rFonts w:hint="eastAsia" w:ascii="宋体" w:hAnsi="宋体" w:eastAsia="宋体" w:cs="宋体"/>
          <w:b/>
          <w:bCs/>
          <w:color w:val="auto"/>
          <w:sz w:val="44"/>
          <w:szCs w:val="44"/>
          <w:highlight w:val="none"/>
        </w:rPr>
      </w:pPr>
      <w:r/>
      <w:bookmarkStart w:id="133" w:name="_Toc4889"/>
      <w:r/>
      <w:bookmarkStart w:id="134" w:name="_Toc155086566"/>
      <w:r/>
      <w:bookmarkStart w:id="135" w:name="_Toc104802328"/>
      <w:r/>
      <w:bookmarkStart w:id="136" w:name="_Toc118461986"/>
      <w:r/>
      <w:bookmarkStart w:id="137" w:name="_Hlt16619350"/>
      <w:r/>
      <w:bookmarkStart w:id="138" w:name="_Toc16938590"/>
      <w:r/>
      <w:bookmarkStart w:id="139" w:name="_Toc120614244"/>
      <w:r/>
      <w:bookmarkStart w:id="140" w:name="_Toc20823346"/>
      <w:r/>
      <w:bookmarkStart w:id="141" w:name="_Toc479757211"/>
      <w:r/>
      <w:bookmarkStart w:id="142" w:name="_Toc462564139"/>
      <w:r>
        <w:rPr>
          <w:rFonts w:hint="eastAsia" w:ascii="宋体" w:hAnsi="宋体" w:eastAsia="宋体" w:cs="宋体"/>
          <w:b/>
          <w:bCs/>
          <w:color w:val="auto"/>
          <w:sz w:val="44"/>
          <w:szCs w:val="44"/>
          <w:highlight w:val="none"/>
        </w:rPr>
        <w:t xml:space="preserve">第三章 合同文本</w:t>
      </w:r>
      <w:bookmarkEnd w:id="133"/>
      <w:r/>
      <w:bookmarkEnd w:id="134"/>
      <w:r/>
      <w:bookmarkEnd w:id="135"/>
      <w:r/>
      <w:bookmarkEnd w:id="136"/>
      <w:r/>
      <w:r/>
    </w:p>
    <w:p>
      <w:pPr>
        <w:spacing w:line="360" w:lineRule="auto"/>
        <w:rPr>
          <w:rFonts w:ascii="宋体" w:hAnsi="宋体" w:eastAsia="宋体" w:cs="宋体"/>
          <w:bCs/>
          <w:color w:val="auto"/>
          <w:sz w:val="24"/>
          <w:szCs w:val="21"/>
          <w:highlight w:val="none"/>
        </w:rPr>
      </w:pPr>
      <w:r/>
      <w:bookmarkStart w:id="143" w:name="_Toc16938559"/>
      <w:r/>
      <w:bookmarkStart w:id="144" w:name="_Toc20823315"/>
      <w:r/>
      <w:bookmarkStart w:id="145" w:name="_Toc513029243"/>
      <w:r>
        <w:rPr>
          <w:rFonts w:hint="eastAsia" w:ascii="宋体" w:hAnsi="宋体" w:eastAsia="宋体" w:cs="宋体"/>
          <w:bCs/>
          <w:color w:val="auto"/>
          <w:sz w:val="24"/>
          <w:szCs w:val="21"/>
          <w:highlight w:val="none"/>
        </w:rPr>
        <w:t xml:space="preserve">以下为中标后签订本项目合同的通用条款，投标人不得提出实质性的修改。</w:t>
      </w:r>
      <w:bookmarkEnd w:id="143"/>
      <w:r/>
      <w:bookmarkEnd w:id="144"/>
      <w:r/>
      <w:bookmarkEnd w:id="145"/>
      <w:r/>
      <w:r/>
    </w:p>
    <w:p>
      <w:pPr>
        <w:jc w:val="center"/>
        <w:spacing w:line="360" w:lineRule="auto"/>
        <w:rPr>
          <w:rFonts w:ascii="宋体" w:hAnsi="宋体" w:eastAsia="宋体" w:cs="宋体"/>
          <w:b/>
          <w:bCs/>
          <w:color w:val="auto"/>
          <w:sz w:val="30"/>
          <w:szCs w:val="20"/>
          <w:highlight w:val="none"/>
        </w:rPr>
      </w:pPr>
      <w:r/>
      <w:bookmarkStart w:id="146" w:name="_Hlt16619369"/>
      <w:r/>
      <w:bookmarkEnd w:id="146"/>
      <w:r/>
      <w:bookmarkStart w:id="147" w:name="_Toc155086567"/>
      <w:r>
        <w:rPr>
          <w:rFonts w:hint="eastAsia" w:ascii="宋体" w:hAnsi="宋体" w:eastAsia="宋体" w:cs="宋体"/>
          <w:b/>
          <w:color w:val="auto"/>
          <w:sz w:val="30"/>
          <w:szCs w:val="21"/>
          <w:highlight w:val="none"/>
        </w:rPr>
        <w:t xml:space="preserve">政府采购合同（货物）</w:t>
      </w:r>
      <w:bookmarkEnd w:id="147"/>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宿迁学院具身智能领域概念验证中心与产业学院项目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项目编号：</w:t>
      </w:r>
      <w:r>
        <w:rPr>
          <w:rFonts w:hint="eastAsia" w:ascii="宋体" w:hAnsi="宋体" w:eastAsia="宋体" w:cs="宋体"/>
          <w:color w:val="auto"/>
          <w:sz w:val="24"/>
          <w:highlight w:val="none"/>
          <w:lang w:eastAsia="zh-CN"/>
        </w:rPr>
        <w:t xml:space="preserve">JSZC-321300-JING-G2026-0031</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采购包号：</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甲方：（买方）</w:t>
      </w:r>
      <w:r>
        <w:rPr>
          <w:rFonts w:hint="eastAsia" w:ascii="宋体" w:hAnsi="宋体" w:eastAsia="宋体" w:cs="宋体"/>
          <w:color w:val="auto"/>
          <w:sz w:val="24"/>
          <w:highlight w:val="none"/>
          <w:u w:val="single"/>
        </w:rPr>
        <w:t xml:space="preserve">宿迁学院</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乙方：（卖方）</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依照《中华人民共和国政府采购法》《中华人民共和国民法典》及其他有关法律、行政法规，遵循平等、自愿、公平和诚实信用的原则，双方就</w:t>
      </w:r>
      <w:r>
        <w:rPr>
          <w:rFonts w:hint="eastAsia" w:ascii="宋体" w:hAnsi="宋体" w:eastAsia="宋体" w:cs="宋体"/>
          <w:bCs/>
          <w:color w:val="auto"/>
          <w:sz w:val="24"/>
          <w:szCs w:val="21"/>
          <w:highlight w:val="none"/>
        </w:rPr>
        <w:t xml:space="preserve">相关</w:t>
      </w:r>
      <w:r>
        <w:rPr>
          <w:rFonts w:hint="eastAsia" w:ascii="宋体" w:hAnsi="宋体" w:eastAsia="宋体" w:cs="宋体"/>
          <w:color w:val="auto"/>
          <w:sz w:val="24"/>
          <w:szCs w:val="21"/>
          <w:highlight w:val="none"/>
        </w:rPr>
        <w:t xml:space="preserve">事项协商一致，达成如下合同条款：</w:t>
      </w:r>
      <w:r/>
    </w:p>
    <w:p>
      <w:pPr>
        <w:numPr>
          <w:ilvl w:val="0"/>
          <w:numId w:val="1"/>
        </w:numPr>
        <w:spacing w:line="360" w:lineRule="auto"/>
        <w:rPr>
          <w:rFonts w:ascii="宋体" w:hAnsi="宋体" w:eastAsia="宋体" w:cs="宋体"/>
          <w:color w:val="auto"/>
          <w:sz w:val="24"/>
          <w:szCs w:val="22"/>
          <w:highlight w:val="none"/>
        </w:rPr>
      </w:pPr>
      <w:r>
        <w:rPr>
          <w:rFonts w:hint="eastAsia" w:ascii="宋体" w:hAnsi="宋体" w:eastAsia="宋体" w:cs="宋体"/>
          <w:b/>
          <w:color w:val="auto"/>
          <w:sz w:val="24"/>
          <w:szCs w:val="21"/>
          <w:highlight w:val="none"/>
        </w:rPr>
        <w:t xml:space="preserve">乙方向甲方提供总价值为</w:t>
      </w:r>
      <w:r>
        <w:rPr>
          <w:rFonts w:hint="eastAsia" w:ascii="宋体" w:hAnsi="宋体" w:eastAsia="宋体" w:cs="宋体"/>
          <w:b/>
          <w:color w:val="auto"/>
          <w:sz w:val="24"/>
          <w:szCs w:val="21"/>
          <w:highlight w:val="none"/>
          <w:u w:val="single"/>
        </w:rPr>
        <w:t xml:space="preserve">         元整（</w:t>
      </w:r>
      <w:r>
        <w:rPr>
          <w:rFonts w:hint="eastAsia" w:ascii="宋体" w:hAnsi="宋体" w:eastAsia="宋体" w:cs="宋体"/>
          <w:b/>
          <w:color w:val="auto"/>
          <w:sz w:val="24"/>
          <w:szCs w:val="21"/>
          <w:highlight w:val="none"/>
        </w:rPr>
        <w:t xml:space="preserve">元）的标的货物和服务</w:t>
      </w:r>
      <w:r>
        <w:rPr>
          <w:rFonts w:hint="eastAsia" w:ascii="宋体" w:hAnsi="宋体" w:eastAsia="宋体" w:cs="宋体"/>
          <w:color w:val="auto"/>
          <w:sz w:val="24"/>
          <w:szCs w:val="21"/>
          <w:highlight w:val="none"/>
        </w:rPr>
        <w:t xml:space="preserve">。</w:t>
      </w:r>
      <w:r/>
    </w:p>
    <w:p>
      <w:pP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标的清单</w:t>
      </w:r>
      <w:r/>
    </w:p>
    <w:p>
      <w:pPr>
        <w:jc w:val="center"/>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标的清单另附。</w:t>
      </w:r>
      <w:r/>
    </w:p>
    <w:p>
      <w:pPr>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1"/>
          <w:highlight w:val="none"/>
        </w:rPr>
        <w:t xml:space="preserve">二、交货时间、地点</w:t>
      </w:r>
      <w:r/>
    </w:p>
    <w:p>
      <w:pPr>
        <w:ind w:firstLine="480"/>
        <w:spacing w:line="360" w:lineRule="auto"/>
        <w:rPr>
          <w:rFonts w:hint="eastAsia" w:ascii="宋体" w:hAnsi="宋体" w:eastAsia="宋体" w:cs="宋体"/>
          <w:color w:val="auto"/>
          <w:sz w:val="24"/>
          <w:szCs w:val="21"/>
          <w:highlight w:val="none"/>
          <w:lang w:val="en-US" w:eastAsia="zh-CN"/>
        </w:rPr>
      </w:pPr>
      <w:r>
        <w:rPr>
          <w:rFonts w:hint="eastAsia" w:ascii="宋体" w:hAnsi="宋体" w:eastAsia="宋体" w:cs="宋体"/>
          <w:color w:val="auto"/>
          <w:sz w:val="24"/>
          <w:szCs w:val="21"/>
          <w:highlight w:val="none"/>
        </w:rPr>
        <w:t xml:space="preserve">（一）合同履行期限：</w:t>
      </w:r>
      <w:r>
        <w:rPr>
          <w:rFonts w:hint="eastAsia" w:ascii="宋体" w:hAnsi="宋体" w:eastAsia="宋体" w:cs="宋体"/>
          <w:color w:val="auto"/>
          <w:sz w:val="24"/>
          <w:highlight w:val="none"/>
          <w:u w:val="single"/>
          <w:lang w:val="en-US" w:eastAsia="zh-CN"/>
        </w:rPr>
        <w:t xml:space="preserve">采购包1:20日历天；采购包2：100日历天；采购包3:30日历天；采购包4:7日历天</w:t>
      </w:r>
      <w:r>
        <w:rPr>
          <w:rFonts w:hint="eastAsia" w:ascii="宋体" w:hAnsi="宋体" w:eastAsia="宋体" w:cs="宋体"/>
          <w:color w:val="auto"/>
          <w:sz w:val="24"/>
          <w:highlight w:val="none"/>
          <w:u w:val="single"/>
        </w:rPr>
        <w:t xml:space="preserve">。</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（二）交货地点：</w:t>
      </w:r>
      <w:r>
        <w:rPr>
          <w:rFonts w:hint="eastAsia" w:ascii="宋体" w:hAnsi="宋体" w:eastAsia="宋体" w:cs="宋体"/>
          <w:color w:val="auto"/>
          <w:sz w:val="24"/>
          <w:szCs w:val="21"/>
          <w:highlight w:val="none"/>
          <w:u w:val="single"/>
        </w:rPr>
        <w:t xml:space="preserve">甲方指定地点</w:t>
      </w:r>
      <w:r>
        <w:rPr>
          <w:rFonts w:hint="eastAsia" w:ascii="宋体" w:hAnsi="宋体" w:eastAsia="宋体" w:cs="宋体"/>
          <w:color w:val="auto"/>
          <w:sz w:val="24"/>
          <w:szCs w:val="21"/>
          <w:highlight w:val="none"/>
        </w:rPr>
        <w:t xml:space="preserve">。</w:t>
      </w:r>
      <w:r/>
    </w:p>
    <w:p>
      <w:pPr>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1"/>
          <w:highlight w:val="none"/>
        </w:rPr>
        <w:t xml:space="preserve">三、质量技术标准</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乙方提供的产品性能及质量有国家标准的应符合国家标准。无国家标准的应符合行业标准或企业标准，并满足招标文件要求，实现投标文件承诺条款。</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四、产品的包装、运输方式及费用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1.由乙方视情况自定运输方式，费用自负。</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3.使用说明书、质量检验证明书、随配附件和工具以及清单一并附于货物内。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4.乙方在产品发运手续办理完毕后24小时内或货到招标人48小时前通知甲方，以准备接货。</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5.产品在交付甲方前发生的风险均由投标人负责。</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6.产品在规定的交付期限内由乙方送达甲方指定的地点视为交付，乙方同时需通知甲方产品已送达。</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五、验收</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1.投标人货物送达后，采购方对其数量、品种、规格、运输保存方式等进行检查验收，如不合格应无条件退货或换货。</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w:t>
      </w:r>
      <w:r>
        <w:rPr>
          <w:rFonts w:hint="default" w:ascii="Times New Roman" w:hAnsi="Times New Roman" w:eastAsia="宋体" w:cs="Times New Roman"/>
          <w:color w:val="auto"/>
          <w:sz w:val="24"/>
          <w:szCs w:val="24"/>
          <w:highlight w:val="none"/>
        </w:rPr>
        <w:t xml:space="preserve">采购人按国家有关规定、规范以及招标文件、投标文件、技术资料、质量要求和双方签订的合同规定的条款组织验收，必要时邀请相关的专业人员或机构参与验收。若因中标供应商原因造成无法验收通过的，采购人将拒绝付款，并追究中标供应商的违约责任。因货物质量问题发生争议时，由本地质量技术监督部门鉴定，鉴定费由中标人承担。</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3.合同履行期满，中标人向招标人提交项目验收技术资料以及验收申请单，招标人收到验收申请后3个工作日内组织验收，验收合格后付清余款。</w:t>
      </w:r>
      <w:r/>
    </w:p>
    <w:p>
      <w:pPr>
        <w:spacing w:line="360" w:lineRule="auto"/>
        <w:rPr>
          <w:rFonts w:ascii="宋体" w:hAnsi="宋体" w:eastAsia="宋体" w:cs="宋体"/>
          <w:b/>
          <w:color w:val="auto"/>
          <w:sz w:val="24"/>
          <w:szCs w:val="22"/>
          <w:highlight w:val="none"/>
        </w:rPr>
      </w:pPr>
      <w:r>
        <w:rPr>
          <w:rFonts w:hint="eastAsia" w:ascii="宋体" w:hAnsi="宋体" w:eastAsia="宋体" w:cs="宋体"/>
          <w:b/>
          <w:color w:val="auto"/>
          <w:sz w:val="24"/>
          <w:szCs w:val="21"/>
          <w:highlight w:val="none"/>
        </w:rPr>
        <w:t xml:space="preserve">六、付款方式</w:t>
      </w:r>
      <w:r/>
    </w:p>
    <w:p>
      <w:pPr>
        <w:ind w:firstLine="480"/>
        <w:jc w:val="left"/>
        <w:spacing w:line="360" w:lineRule="auto"/>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按照付款方式，采购人及时办理付款手续。对于满足合同约定支付条件的，自收到发票后10个工作日内将资金支付到合同约定的投标人账户或投标人数字人民币账户。</w:t>
      </w:r>
      <w:r/>
    </w:p>
    <w:p>
      <w:pPr>
        <w:ind w:firstLine="480"/>
        <w:jc w:val="left"/>
        <w:spacing w:line="360" w:lineRule="auto"/>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预付款：合同金额的30%，合同签订后按规定支付；</w:t>
      </w:r>
      <w:r/>
    </w:p>
    <w:p>
      <w:pPr>
        <w:ind w:firstLine="480"/>
        <w:jc w:val="left"/>
        <w:spacing w:line="360" w:lineRule="auto"/>
        <w:tabs>
          <w:tab w:val="left" w:pos="2020" w:leader="none"/>
        </w:tabs>
        <w:rPr>
          <w:rFonts w:ascii="宋体" w:hAnsi="宋体" w:eastAsia="宋体" w:cs="宋体"/>
          <w:color w:val="auto"/>
          <w:sz w:val="24"/>
          <w:highlight w:val="none"/>
        </w:rPr>
      </w:pPr>
      <w:r>
        <w:rPr>
          <w:rFonts w:hint="eastAsia" w:ascii="宋体" w:hAnsi="宋体" w:eastAsia="宋体" w:cs="宋体"/>
          <w:color w:val="auto"/>
          <w:sz w:val="24"/>
          <w:szCs w:val="22"/>
          <w:highlight w:val="none"/>
        </w:rPr>
        <w:t xml:space="preserve">进度款：货物安装调试完成并经验收合格后付至合同价款的100%。</w:t>
      </w:r>
      <w:r/>
    </w:p>
    <w:p>
      <w:pPr>
        <w:ind w:firstLine="480"/>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注：在签订合同时，中标人明确表示无需预付款或者主动要求降低预付款比例的，采购人可不适用前述规定。</w:t>
      </w:r>
      <w:r/>
    </w:p>
    <w:p>
      <w:pP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七、售后服务要求</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1.质保期：</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采购包1：质保期</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年；</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采购包2：等离子刻蚀机</w:t>
      </w:r>
      <w:r>
        <w:rPr>
          <w:rFonts w:hint="eastAsia" w:ascii="宋体" w:hAnsi="宋体" w:eastAsia="宋体" w:cs="宋体"/>
          <w:color w:val="auto"/>
          <w:sz w:val="24"/>
          <w:szCs w:val="22"/>
          <w:highlight w:val="none"/>
          <w:lang w:val="en-US" w:eastAsia="zh-CN"/>
        </w:rPr>
        <w:t xml:space="preserve">1年</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rPr>
        <w:t xml:space="preserve">其他3年；</w:t>
      </w:r>
      <w:r/>
    </w:p>
    <w:p>
      <w:pPr>
        <w:ind w:firstLine="480"/>
        <w:spacing w:line="36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 xml:space="preserve">采购包3：</w:t>
      </w:r>
      <w:r>
        <w:rPr>
          <w:rFonts w:hint="eastAsia" w:ascii="宋体" w:hAnsi="宋体" w:eastAsia="宋体" w:cs="宋体"/>
          <w:color w:val="auto"/>
          <w:sz w:val="24"/>
          <w:szCs w:val="22"/>
          <w:highlight w:val="none"/>
          <w:lang w:val="en-US" w:eastAsia="zh-CN"/>
        </w:rPr>
        <w:t xml:space="preserve">详见技术参数要求；</w:t>
      </w:r>
      <w:r/>
    </w:p>
    <w:p>
      <w:pPr>
        <w:ind w:firstLine="480"/>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采购包4：质保期</w:t>
      </w:r>
      <w:r>
        <w:rPr>
          <w:rFonts w:hint="eastAsia" w:ascii="宋体" w:hAnsi="宋体" w:eastAsia="宋体" w:cs="宋体"/>
          <w:color w:val="auto"/>
          <w:sz w:val="24"/>
          <w:szCs w:val="22"/>
          <w:highlight w:val="none"/>
          <w:lang w:val="en-US" w:eastAsia="zh-CN"/>
        </w:rPr>
        <w:t xml:space="preserve">5</w:t>
      </w:r>
      <w:r>
        <w:rPr>
          <w:rFonts w:hint="eastAsia" w:ascii="宋体" w:hAnsi="宋体" w:eastAsia="宋体" w:cs="宋体"/>
          <w:color w:val="auto"/>
          <w:sz w:val="24"/>
          <w:szCs w:val="22"/>
          <w:highlight w:val="none"/>
        </w:rPr>
        <w:t xml:space="preserve">年</w:t>
      </w:r>
      <w:r>
        <w:rPr>
          <w:rFonts w:hint="eastAsia" w:ascii="宋体" w:hAnsi="宋体" w:eastAsia="宋体" w:cs="宋体"/>
          <w:color w:val="auto"/>
          <w:sz w:val="24"/>
          <w:szCs w:val="22"/>
          <w:highlight w:val="none"/>
          <w:lang w:eastAsia="zh-CN"/>
        </w:rPr>
        <w:t xml:space="preserve">。</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2.中标人对所售出的产品实行三包：即产品在正常使用情况下发生质量问题时，供方应按使用方的要求，负责对产品实行包修、包换、包退（费用包含在本次报价中）。</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szCs w:val="22"/>
          <w:highlight w:val="none"/>
        </w:rPr>
        <w:t xml:space="preserve">4.中标人需提供售后技术支持服务，运行中出现故障时，由采购人通知中标人。疑难问题（不危及运行）在24小时内答复用户。重大问题（危及运行）在2小时内到现场处理。特大问题（系统不能正常运行）在2小时内恢复运行，并在24小时内派技术人员到现场解决。现场予以排除故障、修复或更换零部件，或启用替代品。如需更换设备或送修，在2个工作日内解决。采购人不承担所产生的任何费用。</w:t>
      </w:r>
      <w:r/>
    </w:p>
    <w:p>
      <w:pP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八、其他要求</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1.设备安装完成并交付使用前非采购单位原因造成的设备损坏、遗失由中标单位承担责任。</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2.中标单位所提供的产品须为原厂全新正品，品牌、型号、参数、功能须全部满足采购单位要求，否则视为无效标。</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1"/>
          <w:highlight w:val="none"/>
        </w:rPr>
        <w:t xml:space="preserve">3.投标人报价时应充分考虑所有可能影响到报价的因素，一旦评标结束最终中标，总价将包定，不予调整。如发生漏、缺、少项，都将被认为是成交投标人的报价让利行为，损失自负。</w:t>
      </w:r>
      <w:r/>
    </w:p>
    <w:p>
      <w:pPr>
        <w:spacing w:line="360" w:lineRule="auto"/>
        <w:rPr>
          <w:rFonts w:ascii="宋体" w:hAnsi="宋体" w:eastAsia="宋体" w:cs="宋体"/>
          <w:b/>
          <w:color w:val="auto"/>
          <w:sz w:val="24"/>
          <w:szCs w:val="20"/>
          <w:highlight w:val="none"/>
        </w:rPr>
      </w:pPr>
      <w:r>
        <w:rPr>
          <w:rFonts w:hint="eastAsia" w:ascii="宋体" w:hAnsi="宋体" w:eastAsia="宋体" w:cs="宋体"/>
          <w:b/>
          <w:color w:val="auto"/>
          <w:sz w:val="24"/>
          <w:szCs w:val="20"/>
          <w:highlight w:val="none"/>
        </w:rPr>
        <w:t xml:space="preserve">九、违约条款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1.甲方无正当理由拒收货物的，甲方应当按照中国人民银行授权全国银行间同业拆借中心发布的贷款市场报价利率承担违约金。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2. 乙方逾期交付货物的，乙方应按逾期交货总额每日</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向甲方支付违约金，由甲方从待付货款中扣除。乙方未按照工期要求进行安装调试导致合同超期的，每超过1天乙方按合同总额每日</w:t>
      </w:r>
      <w:r>
        <w:rPr>
          <w:rFonts w:hint="eastAsia" w:ascii="宋体" w:hAnsi="宋体" w:eastAsia="宋体" w:cs="宋体"/>
          <w:color w:val="auto"/>
          <w:sz w:val="24"/>
          <w:highlight w:val="none"/>
          <w:u w:val="single"/>
        </w:rPr>
        <w:t xml:space="preserve">6‰</w:t>
      </w:r>
      <w:r>
        <w:rPr>
          <w:rFonts w:hint="eastAsia" w:ascii="宋体" w:hAnsi="宋体" w:eastAsia="宋体" w:cs="宋体"/>
          <w:color w:val="auto"/>
          <w:sz w:val="24"/>
          <w:highlight w:val="none"/>
        </w:rPr>
        <w:t xml:space="preserve">向甲方支付违约金。逾期超过约定日期10个工作日不能交货（或未能按工期完工）的，甲方可解除本合同。乙方因逾期交货或因其他违约行为导致甲方解除合同的，乙方应向甲方支付合同总值</w:t>
      </w:r>
      <w:r>
        <w:rPr>
          <w:rFonts w:hint="eastAsia" w:ascii="宋体" w:hAnsi="宋体" w:eastAsia="宋体" w:cs="宋体"/>
          <w:color w:val="auto"/>
          <w:sz w:val="24"/>
          <w:highlight w:val="none"/>
          <w:u w:val="single"/>
        </w:rPr>
        <w:t xml:space="preserve"> 10% </w:t>
      </w:r>
      <w:r>
        <w:rPr>
          <w:rFonts w:hint="eastAsia" w:ascii="宋体" w:hAnsi="宋体" w:eastAsia="宋体" w:cs="宋体"/>
          <w:color w:val="auto"/>
          <w:sz w:val="24"/>
          <w:highlight w:val="none"/>
        </w:rPr>
        <w:t xml:space="preserve">的违约金，如造成甲方损失超过违约金的，超出部分由乙方继续承担赔偿责任。</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3.乙方所交的货物品种、型号、规格、技术参数、质量不符合合同规定及招标文件规定标准的，甲方有权拒收该货物，乙方愿意更换货物但逾期交货的，按乙方逾期交货处理。乙方拒绝更换货物的，甲方可单方面解除合同。若甲方选择解除合同，乙方无条件将收取的全部货款全部退还甲方，且乙方应在甲方限制时间内将货物全部清场，逾期视为乙方自愿放弃，甲方有权对货物进行任意处置。乙方还应另行按合同总价10%标准向甲方支付违约金。</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4.因一方违约，另一方为实现权益产生律师费、诉讼费、保全费、保全保险费、差旅费等由违约方承担。</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十、知识产权</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保证甲方免除并承担由于甲方在其本国使用该项目时而引起第三方提出的侵犯专利权、知识产权或设计权的起诉、行动、行政程序索赔、请求等以及甲方为此而产生的损失和损害、费用和支出（包括律师费）。</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十一、合同生效及审核</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本合同经甲方、乙方签字盖章后生效，合同签订的内容不能超出招标文件和投标文件的实质性内容。</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十二、合同的组成部分</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本合同条款、中标通知书、招标文件、投标文件及投标人在开标时的书面承诺等构成合同的组成部分。</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十三、本合同壹式肆份，以中文书写，甲方、乙方各执贰份。</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十四、本合同一切未尽事宜，按民法典有关规定执行，无相关规定的，由甲乙双方协商解决。</w:t>
      </w:r>
      <w:r/>
    </w:p>
    <w:p>
      <w:pPr>
        <w:jc w:val="center"/>
        <w:keepLines/>
        <w:keepNext/>
        <w:spacing w:line="360" w:lineRule="auto"/>
        <w:rPr>
          <w:rFonts w:ascii="宋体" w:hAnsi="宋体" w:eastAsia="宋体" w:cs="宋体"/>
          <w:b/>
          <w:bCs/>
          <w:color w:val="auto"/>
          <w:sz w:val="24"/>
          <w:highlight w:val="none"/>
        </w:rPr>
      </w:pPr>
      <w:r/>
      <w:bookmarkStart w:id="148" w:name="_Toc24658094"/>
      <w:r/>
      <w:bookmarkStart w:id="149" w:name="_Toc24653762"/>
      <w:r/>
      <w:bookmarkStart w:id="150" w:name="_Toc394939153"/>
      <w:r/>
      <w:bookmarkStart w:id="151" w:name="_Toc514426472"/>
      <w:r/>
      <w:bookmarkStart w:id="152" w:name="_Toc473126882"/>
      <w:r/>
      <w:bookmarkStart w:id="153" w:name="_Toc17969"/>
      <w:r/>
      <w:bookmarkStart w:id="154" w:name="_Toc394939096"/>
      <w:r/>
      <w:bookmarkStart w:id="155" w:name="_Toc19622844"/>
      <w:r>
        <w:rPr>
          <w:rFonts w:hint="eastAsia" w:ascii="宋体" w:hAnsi="宋体" w:eastAsia="宋体" w:cs="宋体"/>
          <w:b/>
          <w:bCs/>
          <w:color w:val="auto"/>
          <w:sz w:val="24"/>
          <w:highlight w:val="none"/>
        </w:rPr>
        <w:t xml:space="preserve">通用条款</w:t>
      </w:r>
      <w:bookmarkEnd w:id="148"/>
      <w:r/>
      <w:bookmarkEnd w:id="149"/>
      <w:r/>
      <w:bookmarkEnd w:id="150"/>
      <w:r/>
      <w:bookmarkEnd w:id="151"/>
      <w:r/>
      <w:bookmarkEnd w:id="152"/>
      <w:r/>
      <w:bookmarkEnd w:id="153"/>
      <w:r/>
      <w:bookmarkEnd w:id="154"/>
      <w:r/>
      <w:bookmarkEnd w:id="155"/>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十五、词语涵义</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（一）合同：甲乙双方签署的、合同格式中载明的甲方与乙方所达成的协议，包括所有的附件、附录和构成合同的所有文件。</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（二）合同价：根据合同规定，乙方在正确地完全履行合同义务后甲方应支付给卖方的价格。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（三）服务：根据合同规定乙方承担与项目有关的辅助服务，如运输、保险以及其它的伴随服务，比如提供技术援助、培训和其他类似的应承担的义务。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（五）甲方：采购单位，即</w:t>
      </w:r>
      <w:r>
        <w:rPr>
          <w:rFonts w:hint="eastAsia" w:ascii="宋体" w:hAnsi="宋体" w:eastAsia="宋体" w:cs="宋体"/>
          <w:color w:val="auto"/>
          <w:sz w:val="24"/>
          <w:highlight w:val="none"/>
          <w:u w:val="single"/>
        </w:rPr>
        <w:t xml:space="preserve">宿迁学院</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（六）乙方：提供服务的公司或实体，即</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（七）不可抗力：指不能预见、不能避免和不能克服的客观情况，如战争、动乱、空中飞行物体坠落或其它非甲乙方责任造成的爆炸、火灾，以及协议条款约定等级以上的风、雨、雪、地震等。</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十六、技术规格</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乙方所提供货物的技术规格应与招标文件规定的技术规格以及所附的技术规格响应表相一致。</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十七、专利权</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乙方应保证甲方在使用该货物或其任何一部分时不受第三方提出侵犯其专利权、商标权和工业设计权的起诉。一旦出现专利侵权，乙方应负全部责任。</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十八、付款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（一）本合同以人民币付款。</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（二）乙方应按照与甲方签订的合同规定服务。</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十九、误期赔偿</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除合同规定外，如果乙方没有按照合同规定的时间提供货物，甲方将从货款中扣除误期赔偿费而不影响合同项目的其他补救方法，赔偿费按每周未提供服务费用的0.5%计收，直至提供服务为止，一周按7天计算，不足7天按一周计算。但误期赔偿费的最高限为误期服务合同价的5%。一旦达到误期赔偿的最高限额，甲方可考虑终止合同。</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二十、不可抗力</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二十一、税费</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中国政府根据现行税法规定对甲方征收的与本合同有关的一切税费由甲方负担；规定对乙方征收的与本合同有关的一切税费由乙方负担。</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二十二、合同争议</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乙双方应通过友好协商，解决在执行本合同中所发生的或与本合同有关的一切争议。如果协商仍得不到解决，任何一方均可按“《中华人民共和国政府采购法》”“《中华人民共和国民法典》”等规定提交调解和仲裁。</w:t>
      </w:r>
      <w:r/>
    </w:p>
    <w:p>
      <w:pPr>
        <w:spacing w:line="360" w:lineRule="auto"/>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二十三、适用法律</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本合同应按照中华人民共和国的现行法律进行解释。</w:t>
      </w:r>
      <w:r/>
    </w:p>
    <w:tbl>
      <w:tblPr>
        <w:tblStyle w:val="844"/>
        <w:tblpPr w:horzAnchor="page" w:tblpXSpec="center" w:vertAnchor="text" w:tblpY="272" w:leftFromText="180" w:topFromText="0" w:rightFromText="180" w:bottomFromText="0"/>
        <w:tblW w:w="0" w:type="auto"/>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3954"/>
        <w:gridCol w:w="4745"/>
      </w:tblGrid>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甲方：（盖章）</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乙方：（盖章）</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法定（授权）代表人（签字或盖章）：</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法定（授权）代表人（签字或盖章）：</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r>
      <w:tr>
        <w:trPr>
          <w:jc w:val="center"/>
          <w:trHeight w:val="567" w:hRule="exact"/>
        </w:trPr>
        <w:tc>
          <w:tcPr>
            <w:tcW w:w="3954"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c>
        <w:tc>
          <w:tcPr>
            <w:tcW w:w="4745" w:type="dxa"/>
            <w:vAlign w:val="center"/>
            <w:textDirection w:val="lrTb"/>
            <w:noWrap w:val="false"/>
          </w:tcPr>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年  月  日</w:t>
            </w:r>
            <w:r/>
          </w:p>
        </w:tc>
      </w:tr>
    </w:tbl>
    <w:p>
      <w:pPr>
        <w:jc w:val="center"/>
        <w:keepLines/>
        <w:keepNext/>
        <w:spacing w:line="360" w:lineRule="auto"/>
        <w:rPr>
          <w:rFonts w:hint="eastAsia" w:ascii="宋体" w:hAnsi="宋体" w:eastAsia="宋体" w:cs="宋体"/>
          <w:b/>
          <w:bCs/>
          <w:color w:val="auto"/>
          <w:sz w:val="44"/>
          <w:szCs w:val="44"/>
          <w:highlight w:val="none"/>
        </w:rPr>
        <w:outlineLvl w:val="1"/>
      </w:pPr>
      <w:r>
        <w:rPr>
          <w:rFonts w:hint="eastAsia" w:ascii="宋体" w:hAnsi="宋体" w:eastAsia="宋体" w:cs="宋体"/>
          <w:bCs/>
          <w:color w:val="auto"/>
          <w:sz w:val="44"/>
          <w:szCs w:val="21"/>
          <w:highlight w:val="none"/>
        </w:rPr>
        <w:br w:type="page" w:clear="all"/>
      </w:r>
      <w:bookmarkStart w:id="156" w:name="_Toc9018"/>
      <w:r>
        <w:rPr>
          <w:rFonts w:hint="eastAsia" w:ascii="宋体" w:hAnsi="宋体" w:eastAsia="宋体" w:cs="宋体"/>
          <w:b/>
          <w:bCs/>
          <w:color w:val="auto"/>
          <w:sz w:val="44"/>
          <w:szCs w:val="44"/>
          <w:highlight w:val="none"/>
        </w:rPr>
        <w:t xml:space="preserve">第</w:t>
      </w:r>
      <w:bookmarkEnd w:id="137"/>
      <w:r>
        <w:rPr>
          <w:rFonts w:hint="eastAsia" w:ascii="宋体" w:hAnsi="宋体" w:eastAsia="宋体" w:cs="宋体"/>
          <w:b/>
          <w:bCs/>
          <w:color w:val="auto"/>
          <w:sz w:val="44"/>
          <w:szCs w:val="44"/>
          <w:highlight w:val="none"/>
        </w:rPr>
        <w:t xml:space="preserve">四章 采购需求</w:t>
      </w:r>
      <w:bookmarkEnd w:id="138"/>
      <w:r/>
      <w:bookmarkEnd w:id="139"/>
      <w:r/>
      <w:bookmarkEnd w:id="140"/>
      <w:r/>
      <w:bookmarkEnd w:id="156"/>
      <w:r/>
      <w:r/>
    </w:p>
    <w:p>
      <w:pPr>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bookmarkStart w:id="157" w:name="_Toc49090575"/>
      <w:r/>
      <w:bookmarkStart w:id="158" w:name="_Toc26554093"/>
      <w:r>
        <w:rPr>
          <w:rFonts w:hint="eastAsia" w:ascii="宋体" w:hAnsi="宋体" w:eastAsia="宋体" w:cs="宋体"/>
          <w:color w:val="auto"/>
          <w:sz w:val="24"/>
          <w:szCs w:val="21"/>
          <w:highlight w:val="none"/>
        </w:rPr>
        <w:t xml:space="preserve">项目属性：货物类项目</w:t>
      </w:r>
      <w:r/>
    </w:p>
    <w:p>
      <w:pPr>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本项目</w:t>
      </w:r>
      <w:r>
        <w:rPr>
          <w:rFonts w:hint="eastAsia" w:ascii="宋体" w:hAnsi="宋体" w:eastAsia="宋体" w:cs="宋体"/>
          <w:color w:val="auto"/>
          <w:sz w:val="24"/>
          <w:szCs w:val="21"/>
          <w:highlight w:val="none"/>
          <w:u w:val="single"/>
        </w:rPr>
        <w:t xml:space="preserve">不接受</w:t>
      </w:r>
      <w:r>
        <w:rPr>
          <w:rFonts w:hint="eastAsia" w:ascii="宋体" w:hAnsi="宋体" w:eastAsia="宋体" w:cs="宋体"/>
          <w:color w:val="auto"/>
          <w:sz w:val="24"/>
          <w:szCs w:val="21"/>
          <w:highlight w:val="none"/>
        </w:rPr>
        <w:t xml:space="preserve">（接受/不接受）进口产品。</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采购标的所属行业：</w:t>
      </w:r>
      <w:r/>
    </w:p>
    <w:tbl>
      <w:tblPr>
        <w:tblStyle w:val="84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2"/>
        <w:gridCol w:w="5318"/>
        <w:gridCol w:w="2169"/>
      </w:tblGrid>
      <w:tr>
        <w:trPr>
          <w:trHeight w:val="454" w:hRule="exact"/>
        </w:trPr>
        <w:tc>
          <w:tcPr>
            <w:tcW w:w="1682" w:type="dxa"/>
            <w:vAlign w:val="center"/>
            <w:textDirection w:val="lrTb"/>
            <w:noWrap w:val="false"/>
          </w:tcPr>
          <w:p>
            <w:pPr>
              <w:jc w:val="center"/>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采购包</w:t>
            </w:r>
            <w:r/>
          </w:p>
        </w:tc>
        <w:tc>
          <w:tcPr>
            <w:tcW w:w="5318" w:type="dxa"/>
            <w:vAlign w:val="center"/>
            <w:textDirection w:val="lrTb"/>
            <w:noWrap w:val="false"/>
          </w:tcPr>
          <w:p>
            <w:pPr>
              <w:jc w:val="center"/>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采购包内容</w:t>
            </w:r>
            <w:r/>
          </w:p>
        </w:tc>
        <w:tc>
          <w:tcPr>
            <w:tcW w:w="2169" w:type="dxa"/>
            <w:vAlign w:val="center"/>
            <w:textDirection w:val="lrTb"/>
            <w:noWrap w:val="false"/>
          </w:tcPr>
          <w:p>
            <w:pPr>
              <w:jc w:val="center"/>
              <w:rPr>
                <w:rFonts w:hint="eastAsia" w:ascii="宋体" w:hAnsi="宋体" w:eastAsia="宋体" w:cs="宋体"/>
                <w:b/>
                <w:bCs/>
                <w:color w:val="auto"/>
                <w:sz w:val="24"/>
                <w:szCs w:val="32"/>
                <w:highlight w:val="none"/>
                <w:lang w:val="en-US" w:eastAsia="zh-CN"/>
              </w:rPr>
            </w:pPr>
            <w:r>
              <w:rPr>
                <w:rFonts w:hint="eastAsia" w:ascii="宋体" w:hAnsi="宋体" w:eastAsia="宋体" w:cs="宋体"/>
                <w:b/>
                <w:bCs/>
                <w:color w:val="auto"/>
                <w:sz w:val="24"/>
                <w:szCs w:val="32"/>
                <w:highlight w:val="none"/>
                <w:lang w:val="en-US" w:eastAsia="zh-CN"/>
              </w:rPr>
              <w:t xml:space="preserve">所属行业</w:t>
            </w:r>
            <w:r/>
          </w:p>
        </w:tc>
      </w:tr>
      <w:tr>
        <w:trPr>
          <w:trHeight w:val="454" w:hRule="exact"/>
        </w:trPr>
        <w:tc>
          <w:tcPr>
            <w:tcW w:w="1682" w:type="dxa"/>
            <w:vAlign w:val="center"/>
            <w:textDirection w:val="lrTb"/>
            <w:noWrap w:val="false"/>
          </w:tcPr>
          <w:p>
            <w:pPr>
              <w:jc w:val="center"/>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采购包1</w:t>
            </w:r>
            <w:r/>
          </w:p>
        </w:tc>
        <w:tc>
          <w:tcPr>
            <w:tcW w:w="5318"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 xml:space="preserve">材料制备及分析测试设备</w:t>
            </w:r>
            <w:r/>
          </w:p>
        </w:tc>
        <w:tc>
          <w:tcPr>
            <w:tcW w:w="2169" w:type="dxa"/>
            <w:vAlign w:val="center"/>
            <w:textDirection w:val="lrTb"/>
            <w:noWrap w:val="false"/>
          </w:tcPr>
          <w:p>
            <w:pPr>
              <w:jc w:val="center"/>
              <w:rPr>
                <w:rFonts w:hint="eastAsia" w:ascii="宋体" w:hAnsi="宋体" w:eastAsia="宋体" w:cs="宋体"/>
                <w:color w:val="auto"/>
                <w:sz w:val="24"/>
                <w:szCs w:val="32"/>
                <w:highlight w:val="none"/>
                <w:lang w:val="en-US" w:eastAsia="zh-CN"/>
              </w:rPr>
            </w:pPr>
            <w:r>
              <w:rPr>
                <w:rFonts w:hint="eastAsia" w:ascii="宋体" w:hAnsi="宋体" w:eastAsia="宋体" w:cs="宋体"/>
                <w:color w:val="auto"/>
                <w:sz w:val="24"/>
                <w:szCs w:val="32"/>
                <w:highlight w:val="none"/>
                <w:lang w:val="en-US" w:eastAsia="zh-CN"/>
              </w:rPr>
              <w:t xml:space="preserve">工业</w:t>
            </w:r>
            <w:r/>
          </w:p>
        </w:tc>
      </w:tr>
      <w:tr>
        <w:trPr>
          <w:trHeight w:val="454" w:hRule="exact"/>
        </w:trPr>
        <w:tc>
          <w:tcPr>
            <w:tcW w:w="1682"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采购包2</w:t>
            </w:r>
            <w:r/>
          </w:p>
        </w:tc>
        <w:tc>
          <w:tcPr>
            <w:tcW w:w="5318"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 xml:space="preserve">器件生产设备</w:t>
            </w:r>
            <w:r/>
          </w:p>
        </w:tc>
        <w:tc>
          <w:tcPr>
            <w:tcW w:w="2169"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工业</w:t>
            </w:r>
            <w:r/>
          </w:p>
        </w:tc>
      </w:tr>
      <w:tr>
        <w:trPr>
          <w:trHeight w:val="454" w:hRule="exact"/>
        </w:trPr>
        <w:tc>
          <w:tcPr>
            <w:tcW w:w="1682"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采购包3</w:t>
            </w:r>
            <w:r/>
          </w:p>
        </w:tc>
        <w:tc>
          <w:tcPr>
            <w:tcW w:w="5318"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 xml:space="preserve">集成训练监测设备</w:t>
            </w:r>
            <w:r/>
          </w:p>
        </w:tc>
        <w:tc>
          <w:tcPr>
            <w:tcW w:w="2169"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工业</w:t>
            </w:r>
            <w:r/>
          </w:p>
        </w:tc>
      </w:tr>
      <w:tr>
        <w:trPr>
          <w:trHeight w:val="454" w:hRule="exact"/>
        </w:trPr>
        <w:tc>
          <w:tcPr>
            <w:tcW w:w="1682"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采购包4</w:t>
            </w:r>
            <w:r/>
          </w:p>
        </w:tc>
        <w:tc>
          <w:tcPr>
            <w:tcW w:w="5318"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highlight w:val="none"/>
              </w:rPr>
              <w:t xml:space="preserve">具身智能设备</w:t>
            </w:r>
            <w:r/>
          </w:p>
        </w:tc>
        <w:tc>
          <w:tcPr>
            <w:tcW w:w="2169" w:type="dxa"/>
            <w:vAlign w:val="center"/>
            <w:textDirection w:val="lrTb"/>
            <w:noWrap w:val="false"/>
          </w:tcPr>
          <w:p>
            <w:pPr>
              <w:jc w:val="center"/>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lang w:val="en-US" w:eastAsia="zh-CN"/>
              </w:rPr>
              <w:t xml:space="preserve">工业</w:t>
            </w:r>
            <w:r/>
          </w:p>
        </w:tc>
      </w:tr>
    </w:tbl>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一、项目概况</w:t>
      </w:r>
      <w:r/>
    </w:p>
    <w:p>
      <w:pPr>
        <w:ind w:firstLine="480"/>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u w:val="single"/>
        </w:rPr>
        <w:t xml:space="preserve">设定</w:t>
      </w:r>
      <w:r>
        <w:rPr>
          <w:rFonts w:hint="eastAsia" w:ascii="宋体" w:hAnsi="宋体" w:eastAsia="宋体" w:cs="宋体"/>
          <w:color w:val="auto"/>
          <w:sz w:val="24"/>
          <w:highlight w:val="none"/>
        </w:rPr>
        <w:t xml:space="preserve">（设定/不设定）最高限价：</w:t>
      </w:r>
      <w:r>
        <w:rPr>
          <w:rFonts w:hint="eastAsia" w:ascii="宋体" w:hAnsi="宋体" w:eastAsia="宋体" w:cs="宋体"/>
          <w:color w:val="auto"/>
          <w:sz w:val="24"/>
          <w:highlight w:val="none"/>
          <w:lang w:eastAsia="zh-CN"/>
        </w:rPr>
        <w:t xml:space="preserve">采购包1：65.5万元；采购包2：182万元；采购包3：131.5万元；采购包4：500万元；</w:t>
      </w:r>
      <w:r>
        <w:rPr>
          <w:rFonts w:hint="eastAsia" w:ascii="宋体" w:hAnsi="宋体" w:eastAsia="宋体" w:cs="宋体"/>
          <w:b/>
          <w:bCs/>
          <w:color w:val="auto"/>
          <w:sz w:val="24"/>
          <w:szCs w:val="21"/>
          <w:highlight w:val="none"/>
        </w:rPr>
        <w:t xml:space="preserve">超过限价将作无效标处理。</w:t>
      </w:r>
      <w:r>
        <w:rPr>
          <w:rFonts w:hint="eastAsia" w:ascii="宋体" w:hAnsi="宋体" w:eastAsia="宋体" w:cs="宋体"/>
          <w:b/>
          <w:bCs/>
          <w:color w:val="auto"/>
          <w:sz w:val="24"/>
          <w:szCs w:val="21"/>
          <w:highlight w:val="none"/>
        </w:rPr>
      </w:r>
      <w:r>
        <w:rPr>
          <w:rFonts w:hint="eastAsia" w:ascii="宋体" w:hAnsi="宋体" w:eastAsia="宋体" w:cs="宋体"/>
          <w:b/>
          <w:bCs/>
          <w:color w:val="auto"/>
          <w:sz w:val="24"/>
          <w:szCs w:val="21"/>
          <w:highlight w:val="none"/>
        </w:rPr>
      </w:r>
      <w:r/>
    </w:p>
    <w:p>
      <w:pPr>
        <w:ind w:firstLine="482"/>
        <w:spacing w:line="360" w:lineRule="auto"/>
        <w:rPr>
          <w:rFonts w:ascii="宋体" w:hAnsi="宋体" w:eastAsia="宋体" w:cs="宋体"/>
          <w:color w:val="auto"/>
          <w:sz w:val="24"/>
          <w:highlight w:val="none"/>
        </w:rPr>
      </w:pPr>
      <w:r>
        <w:rPr>
          <w:rFonts w:hint="eastAsia" w:ascii="宋体" w:hAnsi="宋体" w:eastAsia="宋体" w:cs="宋体"/>
          <w:b/>
          <w:bCs/>
          <w:color w:val="auto"/>
          <w:sz w:val="24"/>
          <w:szCs w:val="21"/>
          <w:highlight w:val="none"/>
          <w:lang w:val="en-US" w:eastAsia="zh-CN"/>
        </w:rPr>
        <w:t xml:space="preserve">2.</w:t>
      </w:r>
      <w:r>
        <w:rPr>
          <w:rFonts w:hint="eastAsia" w:ascii="宋体" w:hAnsi="宋体" w:eastAsia="宋体" w:cs="宋体"/>
          <w:b/>
          <w:bCs/>
          <w:color w:val="auto"/>
          <w:sz w:val="24"/>
          <w:szCs w:val="21"/>
          <w:highlight w:val="none"/>
        </w:rPr>
        <w:t xml:space="preserve">采购内容：</w:t>
      </w:r>
      <w:r>
        <w:rPr>
          <w:rFonts w:hint="eastAsia" w:ascii="宋体" w:hAnsi="宋体" w:eastAsia="宋体" w:cs="宋体"/>
          <w:color w:val="auto"/>
          <w:sz w:val="24"/>
          <w:highlight w:val="none"/>
        </w:rPr>
        <w:t xml:space="preserve">本项目</w:t>
      </w:r>
      <w:r>
        <w:rPr>
          <w:rFonts w:hint="eastAsia" w:ascii="宋体" w:hAnsi="宋体" w:eastAsia="宋体" w:cs="宋体"/>
          <w:color w:val="auto"/>
          <w:sz w:val="24"/>
          <w:highlight w:val="none"/>
          <w:lang w:val="en-US" w:eastAsia="zh-CN"/>
        </w:rPr>
        <w:t xml:space="preserve">为</w:t>
      </w:r>
      <w:r>
        <w:rPr>
          <w:rFonts w:hint="eastAsia" w:ascii="宋体" w:hAnsi="宋体" w:eastAsia="宋体" w:cs="宋体"/>
          <w:color w:val="auto"/>
          <w:sz w:val="24"/>
          <w:highlight w:val="none"/>
          <w:lang w:eastAsia="zh-CN"/>
        </w:rPr>
        <w:t xml:space="preserve">宿迁学院具身智能领域概念验证中心与产业学院项目。</w:t>
      </w:r>
      <w:r>
        <w:rPr>
          <w:rFonts w:hint="eastAsia" w:ascii="宋体" w:hAnsi="宋体" w:eastAsia="宋体" w:cs="宋体"/>
          <w:color w:val="auto"/>
          <w:sz w:val="24"/>
          <w:highlight w:val="none"/>
        </w:rPr>
        <w:t xml:space="preserve">本项目共分为</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个采购包，每个采购包拟采购1名中标人。投标人可针对任意采购包进行投标，投标人选投多个采购包的，须针对所投采购包分别进行报名，且投标人最终最多只能在</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个采购包中中标。</w:t>
      </w:r>
      <w:r>
        <w:rPr>
          <w:rFonts w:hint="eastAsia" w:ascii="宋体" w:hAnsi="宋体" w:eastAsia="宋体" w:cs="宋体"/>
          <w:color w:val="auto"/>
          <w:sz w:val="24"/>
          <w:highlight w:val="none"/>
        </w:rPr>
        <w:t xml:space="preserve">本次项目将严格按照采购包号（采购包1至采购包</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）的顺序依次开展开标、评标工作，中标顺序亦按此采购包号顺序确定；若投标人在前期编号靠前的采购包中已中标</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rPr>
        <w:t xml:space="preserve">个，则该投标人在后续所有编号靠后的采购包投标中，不再具备中标资格，仅参与评审，不纳入中标候选人范围，以此类推。</w:t>
      </w:r>
      <w:r/>
    </w:p>
    <w:p>
      <w:pPr>
        <w:ind w:firstLine="480"/>
        <w:spacing w:line="360" w:lineRule="auto"/>
        <w:rPr>
          <w:rFonts w:ascii="宋体" w:hAnsi="宋体" w:eastAsia="宋体" w:cs="宋体"/>
          <w:b/>
          <w:bCs/>
          <w:color w:val="auto"/>
          <w:sz w:val="24"/>
          <w:szCs w:val="21"/>
          <w:highlight w:val="none"/>
        </w:rPr>
      </w:pPr>
      <w:r>
        <w:rPr>
          <w:rFonts w:hint="eastAsia" w:ascii="宋体" w:hAnsi="宋体" w:eastAsia="宋体" w:cs="宋体"/>
          <w:color w:val="auto"/>
          <w:sz w:val="24"/>
          <w:highlight w:val="none"/>
        </w:rPr>
        <w:t xml:space="preserve">注：按采购包</w:t>
      </w:r>
      <w:r>
        <w:rPr>
          <w:rFonts w:hint="eastAsia" w:ascii="宋体" w:hAnsi="宋体" w:eastAsia="宋体" w:cs="宋体"/>
          <w:color w:val="auto"/>
          <w:sz w:val="24"/>
          <w:highlight w:val="none"/>
        </w:rPr>
        <w:t xml:space="preserve">（采购包1至采购包</w:t>
      </w:r>
      <w:r>
        <w:rPr>
          <w:rFonts w:hint="eastAsia" w:ascii="宋体" w:hAnsi="宋体" w:eastAsia="宋体" w:cs="宋体"/>
          <w:color w:val="auto"/>
          <w:sz w:val="24"/>
          <w:highlight w:val="none"/>
          <w:lang w:val="en-US" w:eastAsia="zh-CN"/>
        </w:rPr>
        <w:t xml:space="preserve">4</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rPr>
        <w:t xml:space="preserve">的顺序依次开标、评标、定标。评审结束后，若其中一个采购包受到质疑投诉等原因，导致本采购包评审结果改变，但不影响其他采购包的评审。</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二、合同履行期限、地点及要求</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1.合同履行期限：</w:t>
      </w:r>
      <w:r>
        <w:rPr>
          <w:rFonts w:hint="eastAsia" w:ascii="宋体" w:hAnsi="宋体" w:eastAsia="宋体" w:cs="宋体"/>
          <w:color w:val="auto"/>
          <w:sz w:val="24"/>
          <w:highlight w:val="none"/>
          <w:u w:val="none"/>
          <w:lang w:val="en-US" w:eastAsia="zh-CN"/>
        </w:rPr>
        <w:t xml:space="preserve">采购包1:20日历天；采购包2：100日历天；采购包3:30日历天；采购包4:7日历天</w:t>
      </w:r>
      <w:r>
        <w:rPr>
          <w:rFonts w:hint="eastAsia" w:ascii="宋体" w:hAnsi="宋体" w:eastAsia="宋体" w:cs="宋体"/>
          <w:color w:val="auto"/>
          <w:sz w:val="24"/>
          <w:highlight w:val="none"/>
          <w:u w:val="none"/>
        </w:rPr>
        <w:t xml:space="preserve">。</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2.供货地点：招标人指定地点。</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3.质量要求：合格；提供的产品性能及质量有国家标准的应符合国家标准。无国家标准的应符合行业标准或企业标准，并满足招标文件要求，实现投标文件承诺条款。</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三、付款方式</w:t>
      </w:r>
      <w:r/>
    </w:p>
    <w:p>
      <w:pPr>
        <w:ind w:firstLine="480"/>
        <w:jc w:val="left"/>
        <w:spacing w:line="360" w:lineRule="auto"/>
        <w:tabs>
          <w:tab w:val="left" w:pos="1636" w:leader="none"/>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按照付款方式，采购人及时办理付款手续。对于满足合同约定支付条件的，自收到发票后10个工作日内将资金支付到合同约定的投标人账户或投标人数字人民币账户。</w:t>
      </w:r>
      <w:r>
        <w:tab/>
      </w:r>
      <w:r/>
    </w:p>
    <w:p>
      <w:pPr>
        <w:ind w:firstLine="480"/>
        <w:jc w:val="left"/>
        <w:spacing w:line="360" w:lineRule="auto"/>
        <w:tabs>
          <w:tab w:val="left" w:pos="2020" w:leader="none"/>
        </w:tabs>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预付款：合同金额的30%，合同签订后按规定支付；</w:t>
      </w:r>
      <w:r/>
    </w:p>
    <w:p>
      <w:pPr>
        <w:ind w:firstLine="480"/>
        <w:jc w:val="left"/>
        <w:spacing w:line="360" w:lineRule="auto"/>
        <w:tabs>
          <w:tab w:val="left" w:pos="2020" w:leader="none"/>
        </w:tabs>
        <w:rPr>
          <w:rFonts w:ascii="宋体" w:hAnsi="宋体" w:eastAsia="宋体" w:cs="宋体"/>
          <w:color w:val="auto"/>
          <w:sz w:val="24"/>
          <w:highlight w:val="none"/>
        </w:rPr>
      </w:pPr>
      <w:r>
        <w:rPr>
          <w:rFonts w:hint="eastAsia" w:ascii="宋体" w:hAnsi="宋体" w:eastAsia="宋体" w:cs="宋体"/>
          <w:color w:val="auto"/>
          <w:sz w:val="24"/>
          <w:szCs w:val="22"/>
          <w:highlight w:val="none"/>
        </w:rPr>
        <w:t xml:space="preserve">进度款：货物安装调试完成并经验收合格后付至合同价款的100%。</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bCs/>
          <w:color w:val="auto"/>
          <w:sz w:val="24"/>
          <w:highlight w:val="none"/>
        </w:rPr>
        <w:t xml:space="preserve">注：在签订合同时，中标人明确表示无需预付款或者主动要求降低预付款比例的，采购人可不适用前述规定。</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四、采购清单及技术要求</w:t>
      </w:r>
      <w:r/>
    </w:p>
    <w:p>
      <w:pPr>
        <w:ind w:firstLine="480"/>
        <w:spacing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采购包1</w:t>
      </w:r>
      <w:r>
        <w:rPr>
          <w:rFonts w:hint="eastAsia" w:ascii="宋体" w:hAnsi="宋体" w:eastAsia="宋体" w:cs="宋体"/>
          <w:b/>
          <w:bCs/>
          <w:color w:val="auto"/>
          <w:sz w:val="24"/>
          <w:highlight w:val="none"/>
          <w:lang w:val="en-US" w:eastAsia="zh-CN"/>
        </w:rPr>
        <w:t xml:space="preserve">技术参数</w:t>
      </w:r>
      <w:r>
        <w:rPr>
          <w:rFonts w:hint="eastAsia" w:ascii="宋体" w:hAnsi="宋体" w:eastAsia="宋体" w:cs="宋体"/>
          <w:b/>
          <w:bCs/>
          <w:color w:val="auto"/>
          <w:sz w:val="24"/>
          <w:highlight w:val="none"/>
        </w:rPr>
        <w:t xml:space="preserve">（核心产品：ICP-OES）</w:t>
      </w:r>
      <w:r/>
    </w:p>
    <w:tbl>
      <w:tblPr>
        <w:tblStyle w:val="842"/>
        <w:tblW w:w="997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256"/>
        <w:gridCol w:w="832"/>
        <w:gridCol w:w="962"/>
        <w:gridCol w:w="6075"/>
      </w:tblGrid>
      <w:tr>
        <w:trPr>
          <w:jc w:val="center"/>
        </w:trPr>
        <w:tc>
          <w:tcPr>
            <w:tcW w:w="85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W w:w="125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设备</w:t>
            </w:r>
            <w:r>
              <w:rPr>
                <w:rFonts w:hint="eastAsia" w:ascii="宋体" w:hAnsi="宋体" w:eastAsia="宋体" w:cs="宋体"/>
                <w:b/>
                <w:bCs/>
                <w:color w:val="auto"/>
                <w:sz w:val="24"/>
                <w:szCs w:val="24"/>
                <w:highlight w:val="none"/>
              </w:rPr>
              <w:t xml:space="preserve">名称</w:t>
            </w:r>
            <w:r/>
          </w:p>
        </w:tc>
        <w:tc>
          <w:tcPr>
            <w:tcW w:w="83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W w:w="96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W w:w="6075"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参数</w:t>
            </w:r>
            <w:r/>
          </w:p>
        </w:tc>
      </w:tr>
      <w:tr>
        <w:trPr>
          <w:jc w:val="center"/>
        </w:trPr>
        <w:tc>
          <w:tcPr>
            <w:tcW w:w="85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125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小型离子溅射仪</w:t>
            </w:r>
            <w:r/>
          </w:p>
        </w:tc>
        <w:tc>
          <w:tcPr>
            <w:tcW w:w="83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6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6075" w:type="dxa"/>
            <w:vAlign w:val="center"/>
            <w:textDirection w:val="lrTb"/>
            <w:noWrap w:val="false"/>
          </w:tcPr>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1.溅射组件：采用平面磁控溅射组件，对样品基本无热损失。</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2.显示组件：彩色触摸式液晶屏显示，屏幕不小于7英寸，标配中文界面，选配英文界面，全数字显示，可实时显示靶材使用时间、设备工作时间和溅射电流和真空度。</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3.操作方式：一键操作，按下实体按键后，自动完成抽真空、真空度调整、溅射镀膜、放气全部过程，可实现无人值守；具备暂停功能，可在操作流程中暂停系统进程。</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4.工作电流：溅射电流不小于30mA，最小溅射电流不大于2mA，步进量为1mA。</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5.工作时长：最长溅射时间不小于900秒，步进量1秒。</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6.溅射靶材：直径不小于Φ57mm，一次可喷镀标准样品杯≥12个。</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7.保护功能：具备电流保护和真空保护，在电流过大、真空度较差时保证设备安全。</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8.极限真空＜1Pa，真空泵抽速不小于1L/s。</w:t>
            </w:r>
            <w:r/>
          </w:p>
        </w:tc>
      </w:tr>
      <w:tr>
        <w:trPr>
          <w:jc w:val="center"/>
        </w:trPr>
        <w:tc>
          <w:tcPr>
            <w:tcW w:w="85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W w:w="125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台式高速离心机</w:t>
            </w:r>
            <w:r/>
          </w:p>
        </w:tc>
        <w:tc>
          <w:tcPr>
            <w:tcW w:w="83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6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6075" w:type="dxa"/>
            <w:vAlign w:val="center"/>
            <w:textDirection w:val="lrTb"/>
            <w:noWrap w:val="false"/>
          </w:tcPr>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1.容量 ≥ 6 × 100ml，配置6×100 ml角转子。</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2.转速 ≥ 11000 r/min （配置6×100 ml角转子时）。</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3.离心力 ≥ 14000×g （配置6×100 ml角转子时）。</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4.定时范围 ≥ 1-99 min。</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5.转速精度 ≤ ±50 r/min。</w:t>
            </w:r>
            <w:r/>
          </w:p>
        </w:tc>
      </w:tr>
      <w:tr>
        <w:trPr>
          <w:jc w:val="center"/>
        </w:trPr>
        <w:tc>
          <w:tcPr>
            <w:tcW w:w="85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W w:w="125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光学明场显微镜</w:t>
            </w:r>
            <w:r/>
          </w:p>
        </w:tc>
        <w:tc>
          <w:tcPr>
            <w:tcW w:w="83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6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6075" w:type="dxa"/>
            <w:vAlign w:val="center"/>
            <w:textDirection w:val="lrTb"/>
            <w:noWrap w:val="false"/>
          </w:tcPr>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1.工作条件：适于在气温为摄氏-40 ℃～+50 ℃的环境条件下运输和贮存，在电源220V（±10%）/50Hz、气温摄氏-5℃～40℃和相对湿度不大于85%的环境条件下运行。</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2.光学系统：采用无限远校正光学系统，齐焦距离必须为国际标准 ≤ 45 mm，（提供设备制造商的原厂产品技术白皮书或官网截图或产品彩页或第三方检测报告证明材料）。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3.调焦：载物台采用垂直运动方式，调焦距离 ≥ 25mm；带聚焦粗调上限停止位置；粗调旋钮扭矩可调；最小微调刻度单位 ≤ 1 μm；采用钢丝传动（提供设备制造商的原厂产品技术白皮书或官网截图或产品彩页或第三方检测报告证明材料）。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4.观察镜筒：宽视野三目镜筒，倾角为30°。</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5.照明装置：内置透射光柯勒照明器，采用长效白光LED光源，光源寿命 ≥ 20000 h；具有光强管理功能，可分别保存不同物镜对应的预设照明亮度，并在切换物镜时自动调用相应亮度设置（须提供设备制造商的原厂产品技术白皮书、官网截图、产品彩页或第三方检测报告等证明材料）。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▲6.物镜：配置平场消色差物镜（提供设备制造商的原厂产品技术白皮书或官网截图或产品彩页或第三方检测报告证明材料），具体参数如下：</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4X：N.A.≥ 0.1，W.D. ≥18.5</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10X：N.A. ≥0.25，W.D. ≥10.6</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20X：N.A. ≥0.4，W.D. ≥1.2 弹簧式（spring）</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40X：N.A.≥ 0.65，W.D.≥ 0.6弹簧式（spring）</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100X：N.A. ≥1.25，W.D. ≥0.15弹簧式（spring），油浸式（oil）</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7.载物台：采用右手低位置同轴驱动选钮的高抗磨损性陶瓷覆盖层载物台。</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GB"/>
              </w:rPr>
              <w:t xml:space="preserve">8.目镜：10X宽视野目镜，视野数≥22。</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lang w:val="en-GB"/>
              </w:rPr>
              <w:t xml:space="preserve">9.物镜转换器：可拆卸式、不低于五孔的物镜转盘（提供设备制造商的原厂产品技术白皮书或官网截图或产品彩页或第三方检测报告证明材料）。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val="en-GB"/>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GB"/>
              </w:rPr>
              <w:t xml:space="preserve">10.图像采集系统：配置有效像素 ≥ 2000万的彩色相机，具备图像采集、定标尺、景深叠加、大图拼接等功能（提供设备制造商的原厂产品技术白皮书或官网截图或产品彩页或第三方检测报告证明材料）。</w:t>
            </w:r>
            <w:r/>
          </w:p>
        </w:tc>
      </w:tr>
      <w:tr>
        <w:trPr>
          <w:jc w:val="center"/>
        </w:trPr>
        <w:tc>
          <w:tcPr>
            <w:tcW w:w="85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W w:w="125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可调单色光源</w:t>
            </w:r>
            <w:r/>
          </w:p>
        </w:tc>
        <w:tc>
          <w:tcPr>
            <w:tcW w:w="83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6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6075" w:type="dxa"/>
            <w:vAlign w:val="center"/>
            <w:textDirection w:val="lrTb"/>
            <w:noWrap w:val="false"/>
          </w:tcPr>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1.光源额定功率：≥450 W（氙灯）。</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2.光源不稳定性：≤1%。</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3.单色仪焦距：≤320 mm。</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4.通光孔径：F数≤3.5（F/3.5或更大通光孔径）。</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5.光谱范围：至少覆盖330～2000 nm（短波端≤330 nm，长波端≥2000 nm）。</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6.波长精度：波长误差绝对值≤0.2 nm（1200线/mm光栅条件下）。</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7.波长重复性：≤0.1 nm（1200线/mm光栅条件下）。</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8.倒线色散：≤</w:t>
            </w:r>
            <w:r>
              <w:rPr>
                <w:rFonts w:hint="eastAsia" w:ascii="宋体" w:hAnsi="宋体" w:eastAsia="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rPr>
              <w:t xml:space="preserve"> nm/mm（1200线/mm光栅条件下）。</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9.最小步距：≤0.01 nm（1200线/mm光栅条件下）。</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10.输出方式：支持光纤耦合输出，配备与设备使用需求相匹配的光纤及连接接口及六档滤光片轮，光纤通光直径≥5 mm</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光纤及六档滤光片轮透射波长范围：至少覆盖330-2000 nm。</w:t>
            </w:r>
            <w:r/>
          </w:p>
        </w:tc>
      </w:tr>
      <w:tr>
        <w:trPr>
          <w:jc w:val="center"/>
        </w:trPr>
        <w:tc>
          <w:tcPr>
            <w:tcW w:w="85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W w:w="1256"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ICP-OES</w:t>
            </w:r>
            <w:r/>
          </w:p>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（核心产品）</w:t>
            </w:r>
            <w:r/>
          </w:p>
        </w:tc>
        <w:tc>
          <w:tcPr>
            <w:tcW w:w="83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W w:w="962" w:type="dxa"/>
            <w:vAlign w:val="center"/>
            <w:textDirection w:val="lrTb"/>
            <w:noWrap w:val="false"/>
          </w:tcPr>
          <w:p>
            <w:pPr>
              <w:jc w:val="center"/>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W w:w="6075" w:type="dxa"/>
            <w:vAlign w:val="center"/>
            <w:textDirection w:val="lrTb"/>
            <w:noWrap w:val="false"/>
          </w:tcPr>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1.仪器工作环境：温度: 18~24℃ (温度变化 &lt; 2℃/h)；湿度: (20~80)%R.H. (无冷凝)；氩气纯度：不小于99.995%；排风：不小于400立方米/小时</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2.进样系统</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2.1雾化器: 高效同心雾化器或平行通道雾化器，可选标准雾化器、高盐雾化器、耐氢氟酸雾化器。</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2.2雾室: 雾室为高效稳定的旋流型雾室并可选配Scott双通道石英或耐HF雾化室。</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2.3炬管: 配备电感线圈为3匝，垂直放置的一体式炬管，可选配可拆卸式矩管；矩管可灵活拆装, 气路快插拔设计。</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▲2.4蠕动泵：配备4通道12滚轮蠕动泵，蠕动泵滚轮采用非金属耐腐蚀材料，保证长寿命平稳运行（需提供完整的蠕动泵实物图和软件截图）。</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2.5气路：气路部分均采用高精度的质量流量计控制，流量连续可调。</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等离子源</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★3.1固态光源技术，频率27.12MHz，它激式全固态RF发生器，功率500-1600W（提供它激式技术、频率、功率范围证明资料）。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3.2等离子体源具备冷锥消除尾焰技术，无需配置空气压缩机进行尾焰切割。</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3.3等离子体源具有低功率待机模式，待机时降低输出功率，减小气体流量。</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3.4垂直炬管，双向观测；径向观测与轴向观测设计。</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光学系统</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4.1光栅：中阶梯光栅，不小于</w:t>
            </w:r>
            <w:r>
              <w:rPr>
                <w:rFonts w:hint="eastAsia" w:ascii="宋体" w:hAnsi="宋体" w:eastAsia="宋体" w:cs="宋体"/>
                <w:color w:val="auto"/>
                <w:sz w:val="24"/>
                <w:szCs w:val="24"/>
                <w:highlight w:val="none"/>
                <w:lang w:val="en-US" w:eastAsia="zh-CN"/>
              </w:rPr>
              <w:t xml:space="preserve">52</w:t>
            </w:r>
            <w:r>
              <w:rPr>
                <w:rFonts w:hint="eastAsia" w:ascii="宋体" w:hAnsi="宋体" w:eastAsia="宋体" w:cs="宋体"/>
                <w:color w:val="auto"/>
                <w:sz w:val="24"/>
                <w:szCs w:val="24"/>
                <w:highlight w:val="none"/>
              </w:rPr>
              <w:t xml:space="preserve">g/mm，闪耀角不小于</w:t>
            </w:r>
            <w:r>
              <w:rPr>
                <w:rFonts w:hint="eastAsia" w:ascii="宋体" w:hAnsi="宋体" w:eastAsia="宋体" w:cs="宋体"/>
                <w:color w:val="auto"/>
                <w:sz w:val="24"/>
                <w:szCs w:val="24"/>
                <w:highlight w:val="none"/>
                <w:lang w:val="en-US" w:eastAsia="zh-CN"/>
              </w:rPr>
              <w:t xml:space="preserve">63</w:t>
            </w:r>
            <w:r>
              <w:rPr>
                <w:rFonts w:hint="eastAsia" w:ascii="宋体" w:hAnsi="宋体" w:eastAsia="宋体" w:cs="宋体"/>
                <w:color w:val="auto"/>
                <w:sz w:val="24"/>
                <w:szCs w:val="24"/>
                <w:highlight w:val="none"/>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★4.2棱镜：采用超纯CaF</w:t>
            </w:r>
            <w:r>
              <w:rPr>
                <w:rFonts w:hint="eastAsia" w:ascii="宋体" w:hAnsi="宋体" w:eastAsia="宋体" w:cs="宋体"/>
                <w:color w:val="auto"/>
                <w:sz w:val="24"/>
                <w:szCs w:val="24"/>
                <w:highlight w:val="none"/>
                <w:vertAlign w:val="subscript"/>
              </w:rPr>
              <w:t xml:space="preserve">2</w:t>
            </w:r>
            <w:r>
              <w:rPr>
                <w:rFonts w:hint="eastAsia" w:ascii="宋体" w:hAnsi="宋体" w:eastAsia="宋体" w:cs="宋体"/>
                <w:color w:val="auto"/>
                <w:sz w:val="24"/>
                <w:szCs w:val="24"/>
                <w:highlight w:val="none"/>
              </w:rPr>
              <w:t xml:space="preserve">材料 （提供技术证明资料）。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★4.3分析谱线范围：165nm-950nm（提供第三方检测报告）。</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▲4.4焦距：不小于400mm （提供技术证明资料）。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4.5分辨率： ≤0.007nm@200nm。</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4.6光室恒温：高精度恒温38℃±0.1℃ （提供软件截图）。</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5检测器</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5.1采用高效半导体制冷的大面积背照式CCD检测器，能任意选择波长，全谱段响应。</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5.2检测单元：CCD像素不低于1024 x 1024；单像素面积不低于24μm x 24μm；一次曝光，完成全谱光谱信号的采集读取（提供技术证明资料）。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5.3冷却系统：高效的三级半导体制冷，制冷温度：≤-35℃，稳定时间&lt;3分钟。</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5.4智能化积分设计：针对低含量的元素和高含量元素智能调整积分时间，拓宽动态范围。</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6分析软件</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6.1全中文界面，支持中、英、俄等多语言，具有定性、半定量、定量分析功能</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★6.2软件谱线库不少于7万条谱线库，帮助用户合理选择分析谱线（提供不少于7万条谱线库软件截图）</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6.3可选配等离子体监视摄像头，实时观测等离子体状态（提供等离子体监视软件截图）</w:t>
            </w:r>
            <w:r>
              <w:rPr>
                <w:rFonts w:hint="eastAsia" w:ascii="宋体" w:hAnsi="宋体" w:eastAsia="宋体" w:cs="宋体"/>
                <w:color w:val="auto"/>
                <w:sz w:val="24"/>
                <w:szCs w:val="24"/>
                <w:highlight w:val="none"/>
                <w:lang w:eastAsia="zh-CN"/>
              </w:rPr>
              <w:t xml:space="preserve">。</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6.4可配置审计追踪功能和3Q认证文件（提供证明资料）。</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7.仪器性能要求</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▲7.1短期稳定性：RSD≤0.5%（提供第三方检测报告）。</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▲7.2长期稳定性：RSD≤1.0%（提供第三方检测报告）。</w:t>
            </w:r>
            <w:r/>
          </w:p>
          <w:p>
            <w:pPr>
              <w:jc w:val="left"/>
              <w:keepLines w:val="0"/>
              <w:keepNext w:val="0"/>
              <w:pageBreakBefore w:val="0"/>
              <w:spacing w:line="2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配置要求：全谱电感耦合等离子体原子发射光谱仪主机1台；智能循环冷却水装置(配有水管10m)；1套；随机标准品配置清单1套；仪器使用手册,质量控制报告，维修手册1本；分析软件1套；仪器操作指南挂板1套；操作软件1套。</w:t>
            </w:r>
            <w:r/>
          </w:p>
        </w:tc>
      </w:tr>
    </w:tbl>
    <w:p>
      <w:pPr>
        <w:ind w:firstLine="482"/>
        <w:spacing w:before="120"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采购包2：器件生产设备（核心产品：等离子刻蚀机）</w:t>
      </w:r>
      <w:r/>
    </w:p>
    <w:tbl>
      <w:tblPr>
        <w:tblStyle w:val="837"/>
        <w:tblpPr w:horzAnchor="text" w:tblpXSpec="center" w:vertAnchor="text" w:tblpY="1" w:leftFromText="180" w:topFromText="0" w:rightFromText="180" w:bottomFromText="0"/>
        <w:tblW w:w="5499" w:type="pct"/>
        <w:tblInd w:w="0" w:type="dxa"/>
        <w:tblLayout w:type="autofit"/>
        <w:tblCellMar>
          <w:left w:w="0" w:type="dxa"/>
          <w:top w:w="0" w:type="dxa"/>
          <w:right w:w="0" w:type="dxa"/>
          <w:bottom w:w="0" w:type="dxa"/>
        </w:tblCellMar>
        <w:tblLook w:val="04A0" w:firstRow="1" w:lastRow="0" w:firstColumn="1" w:lastColumn="0" w:noHBand="0" w:noVBand="1"/>
      </w:tblPr>
      <w:tblGrid>
        <w:gridCol w:w="555"/>
        <w:gridCol w:w="1582"/>
        <w:gridCol w:w="813"/>
        <w:gridCol w:w="654"/>
        <w:gridCol w:w="6276"/>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设备</w:t>
            </w: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vAlign w:val="center"/>
            <w:textDirection w:val="lrTb"/>
            <w:noWrap w:val="false"/>
          </w:tcPr>
          <w:p>
            <w:pPr>
              <w:jc w:val="center"/>
              <w:keepLines w:val="0"/>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信号发生器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vAlign w:val="center"/>
            <w:textDirection w:val="lrTb"/>
            <w:noWrap w:val="false"/>
          </w:tcPr>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正弦波输出频率1μHz 至100MHz。</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实时采样率≥1GSa/s，垂直分辨率≥14bits。</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通道数2，频率稳定度不高于1ppm，相噪不高于-110dBc/Hz。</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正弦波频谱纯度（谐波失真）：≤100MHz：&lt;-40dBc。</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可编辑的任意波形，支持任意波输出。</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调制功能：AM、FM、PM、ASK、FSK、PSK、PWM、IQ。</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扫描功能：支持线性/对数/步进扫频，可设置起始/终止/返回时间以及标记频率。</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输出幅度（50 欧姆）：5mVpp 至10Vpp。</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 可在基本波形上叠加高斯噪声，噪声比例可以任意调整（0%至50%）。</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标配接口：USB Host*2、USB Device、USB-GPIB（选配）、LAN。</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 双通道型号支持通道间的波形复制和状态复制功能。</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双通道间支持频率/相位耦合，双通道型号通道间相互隔离。</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双工位手套箱</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vAlign w:val="center"/>
            <w:textDirection w:val="lrTb"/>
            <w:noWrap w:val="false"/>
          </w:tcPr>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1.箱体：长×宽×高≥2440×750×900mm，304不锈钢材质，厚度3mm，双工位操作；箱体底部配有支架，旋转脚轮，可微调水平，配有用于压力调节的脚踏板。</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2.过渡舱：箱体配有大、小过渡舱，为方便设备运输，过渡舱于箱体的连接方式均为可拆卸式法兰连接，不能焊接于箱体侧板；大过渡舱直径≤360mm，小过渡舱直径≤150mm</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（提供设备制造商的原厂产品技术白皮书或官网截图或产品彩页或第三方检测报告证明材料）</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3.玻璃视窗采用实芯O型密封圈（真空密封方式）法兰视窗结构，达到无泄漏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需提供产品宣传彩页玻璃视窗密封结构示意图和实物模型图。</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4.气体净化系统：净化材料可再生，且再生过程通过PLC自动控制，自动除水除氧功能，可得气体纯度：水&lt;1ppm，氧&lt;1ppm。</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5.循环系统：风机流量≥90m</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/h，加装变频控制</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需提供产品宣传彩页相关证明文件。</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6.真空系统：真空泵抽速≥12m</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/h，真空度可达2×10</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mbar，配装油雾过滤器。</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7.控制系统：通过PLC自动控制，触摸屏显示，实现自诊断、断电自启动、循环等功能。</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水分析仪：测量范围是0～500ppm，采用五氧化二磷传感器，不接受三氧化二铝传感器，水探头可以通过清洗再生程序恢复初始状态，可重复使用；需水分析仪厂家提供产品说明书、样本手册、规格书等资料予以佐证。</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9.氧分析仪：测量范围是0～1000ppm，采用二氧化锆传感器，需氧分析仪厂家提供产品说明书、样本手册、规格书等资料予以佐证。</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10.箱内吸附器：放置在箱体内，与主循环管道相联，循环气体可首先通过吸附器，吸附有机气体，可快速更换吸附材料并且箱内不破坏高纯气氛。</w:t>
            </w:r>
            <w:r/>
          </w:p>
          <w:p>
            <w:pP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11.气体控制阀：不锈钢电磁集成阀座，需提供产品宣传彩页不锈钢集成阀座图片。</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双工位手套箱（定制）</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▲1.箱体：长度不低于2440mm,宽度和高度配合制备系统合理设计，箱体预留制备系统接口能对接配合使用，304不锈钢材质，厚度3mm。箱体底部配有支架，旋转脚轮，可微调水平，配有用于压力调节的脚踏板。</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2.过渡舱：箱体配有大、小过渡舱，为方便设备运输，过渡舱与箱体的连接方式均为可拆卸式法兰连接，不能焊接于箱体侧板</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大过渡舱一个，直径≤360mm，小过渡舱两个，直径≤150mm</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（提供设备制造商的原厂产品技术白皮书或官网截图或产品彩页或第三方检测报告证明材料）</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3.玻璃视窗采用实芯O型密封圈（真空密封方式）法兰视窗结构，达到无泄漏</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需提供产品宣传彩页玻璃视窗密封结构示意图和实物模型图。</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4.气体净化系统：净化材料可再生，且再生过程通过PLC自动控制，自动除水除氧功能，可得气体纯度：水&lt;1ppm，氧&lt;1ppm。</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5.循环系统：风机流量≥90m</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/h，加装变频控制，需提供产品宣传彩页相关证明文件。</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6.真空系统：真空泵抽速≥12m</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/h，真空度可达2×10</w:t>
            </w:r>
            <w:r>
              <w:rPr>
                <w:rFonts w:hint="eastAsia" w:ascii="宋体" w:hAnsi="宋体" w:eastAsia="宋体" w:cs="宋体"/>
                <w:color w:val="auto"/>
                <w:sz w:val="24"/>
                <w:highlight w:val="none"/>
                <w:vertAlign w:val="superscript"/>
              </w:rPr>
              <w:t xml:space="preserve">-3</w:t>
            </w:r>
            <w:r>
              <w:rPr>
                <w:rFonts w:hint="eastAsia" w:ascii="宋体" w:hAnsi="宋体" w:eastAsia="宋体" w:cs="宋体"/>
                <w:color w:val="auto"/>
                <w:sz w:val="24"/>
                <w:highlight w:val="none"/>
              </w:rPr>
              <w:t xml:space="preserve">mbar，配装油雾过滤器。</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7.控制系统：通过PLC自动控制，触摸屏显示，实现自诊断、断电自启动、循环等功能。</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8.水分析仪：测量范围是0～500ppm，采用五氧化二磷传感器，水探头可以通过清洗再生程序恢复初始状态，可重复使用；需水分析仪厂家提供产品说明书、样本手册、规格书等资料予以佐证。</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9.氧分析仪：测量范围是0～1000ppm，采用二氧化锆传感器。需氧分析仪厂家提供产品说明书、样本手册、规格书等资料予以佐证。</w:t>
            </w:r>
            <w:r/>
          </w:p>
          <w:p>
            <w:pPr>
              <w:jc w:val="left"/>
              <w:spacing w:line="3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10.箱内吸附器：放置在箱体内，与主循环管道相联，循环气体可首先通过吸附器，吸附有机气体，可快速更换吸附材料并且箱内不破坏高纯气氛。</w:t>
            </w:r>
            <w:r/>
          </w:p>
          <w:p>
            <w:pP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 xml:space="preserve">11.气体控制阀：不锈钢电磁集成阀座，需提供产品宣传彩页不锈钢集成阀座图片。</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光纤光谱仪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1.光谱仪波长范围不低于200-1100nm。 </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2.像元尺寸：≤14um×14um。 </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3.量子化率：不低于75%。</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4.信噪比不低于450:1。</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5.动态范围不低于800：1。</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▲6.积分时间：8ms~10s。</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7.狭缝：可选5/10/25/50/100等不同尺寸。</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8.光栅：紫外至近红外不低于14种选择。</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9.光纤：纤径200um，长度2m。</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10.软件支持动力学模式，连续保存数据带时间戳，精确度不高于1μs。</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11.在光谱仪自带软件内可同时进行几个不同光谱仪的曲线进行拼接得出完整的一张光谱仪。</w:t>
            </w:r>
            <w:r/>
          </w:p>
          <w:p>
            <w:pPr>
              <w:jc w:val="left"/>
              <w:keepLines w:val="0"/>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12.支持图形原理图模式，用户通过连接功能节点来构建复杂的数据处理流程，可以截取光谱范围，对光谱进行积分运算，光谱滤波去噪运算，峰面积计算，峰比值计算（提供软件截图）。</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丝网印刷机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设备名称及用途：双伺服高精密立式丝网印刷机，适用于片材、手机镜片、显示屏、面板、铭板及亚克力胶片等材料的精密印刷</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1. 最大印刷面积（宽×长）：≥250×300 mm；印刷台面尺寸（宽×长）：≥300×500 mm。</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2. 最大装框尺寸（宽×长）：≥480×750 mm；版框厚度适用范围：25~40 mm。</w:t>
            </w:r>
            <w:r/>
          </w:p>
          <w:p>
            <w:p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3.印件适用厚度：0.1~30 mm；最大产能：≥700 pcs/h。</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▲4. 印刷驱动系统：上下升降采用丝杆加伺服电机，刮墨与回墨采用伺服电机配套高精密直线导轨工作，印刷平稳均匀，行程准确。</w:t>
            </w:r>
            <w:r/>
          </w:p>
          <w:p>
            <w:p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5.刮刀/墨刀调节角度：0~35°；台板微调范围：±10 mm。</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6.控制系统：采用PLC与人机界面控制，功能多样，满足数控化、标准化、人性化要求。</w:t>
            </w:r>
            <w:r/>
          </w:p>
          <w:p>
            <w:p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7.安全防护功能：设有急停开关，具备故障自动显示功能及安全系统复位功能，整机满足欧美安全标准。</w:t>
            </w:r>
            <w:r/>
          </w:p>
          <w:p>
            <w:p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8.平台系统：具备吸气功能（配备吸气风机），吸气面积（宽×长）≥180×270 mm；平台具备刻度显示精密微调功能。</w:t>
            </w:r>
            <w:r/>
          </w:p>
          <w:p>
            <w:p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 动力及环境要求：适用电源 单相/220V, 50/60Hz，功率≤2 KW；气源压力 0.5~0.7 MPa。</w:t>
            </w:r>
            <w:r/>
          </w:p>
          <w:p>
            <w:p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10.选项配置：支持特制吸风孔径/面积定制。</w:t>
            </w:r>
            <w:r/>
          </w:p>
        </w:tc>
      </w:tr>
      <w:tr>
        <w:trPr>
          <w:trHeight w:val="574"/>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等离子刻蚀机（核心产品）</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numPr>
                <w:ilvl w:val="0"/>
                <w:numId w:val="0"/>
              </w:num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设备名称及用途：电感耦合等离子刻蚀机（ICP），主要用于对各种介质材料、金属及化合物半导体等材料（如Si、SiO2、Si3N4、金属等）的快速刻蚀</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1. 工艺腔体要求：真空腔体材料为铝合金材质，并留有观察窗及终点监测装置接口。</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2. 样品台及装载要求：样品台尺寸最大支持单片4英寸晶圆并向下兼容（下电极尺寸约240mm）；固定方式为直接放置晶片或使用物理托盘；真空室具备手动放样和取样功能（开放装载）。</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★3. 真空系统要求：真空腔体采用“分子泵+干泵”系统；配备高精度薄膜真空规，工艺压力控制范围可达100mTorr。</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4. 阀门及极限真空：真空泵与工艺腔室之间配有超高真空气动闸阀（漏率&lt;5×10</w:t>
            </w:r>
            <w:r>
              <w:rPr>
                <w:rFonts w:hint="eastAsia" w:ascii="宋体" w:hAnsi="宋体" w:eastAsia="宋体" w:cs="宋体"/>
                <w:color w:val="auto"/>
                <w:sz w:val="24"/>
                <w:szCs w:val="24"/>
                <w:highlight w:val="none"/>
                <w:vertAlign w:val="superscript"/>
                <w:lang w:val="en-US" w:eastAsia="zh-CN" w:bidi="ar-SA"/>
              </w:rPr>
              <w:t xml:space="preserve">-9</w:t>
            </w:r>
            <w:r>
              <w:rPr>
                <w:rFonts w:hint="eastAsia" w:ascii="宋体" w:hAnsi="宋体" w:eastAsia="宋体" w:cs="宋体"/>
                <w:color w:val="auto"/>
                <w:sz w:val="24"/>
                <w:szCs w:val="24"/>
                <w:highlight w:val="none"/>
                <w:lang w:val="en-US" w:eastAsia="zh-CN" w:bidi="ar-SA"/>
              </w:rPr>
              <w:t xml:space="preserve"> Pa·L/s）及APC蝶阀（用于稳定控制工艺运行压力）；腔体极限真空度≥5.0×10</w:t>
            </w:r>
            <w:r>
              <w:rPr>
                <w:rFonts w:hint="eastAsia" w:ascii="宋体" w:hAnsi="宋体" w:eastAsia="宋体" w:cs="宋体"/>
                <w:color w:val="auto"/>
                <w:sz w:val="24"/>
                <w:szCs w:val="24"/>
                <w:highlight w:val="none"/>
                <w:vertAlign w:val="superscript"/>
                <w:lang w:val="en-US" w:eastAsia="zh-CN" w:bidi="ar-SA"/>
              </w:rPr>
              <w:t xml:space="preserve">-2</w:t>
            </w:r>
            <w:r>
              <w:rPr>
                <w:rFonts w:hint="eastAsia" w:ascii="宋体" w:hAnsi="宋体" w:eastAsia="宋体" w:cs="宋体"/>
                <w:color w:val="auto"/>
                <w:sz w:val="24"/>
                <w:szCs w:val="24"/>
                <w:highlight w:val="none"/>
                <w:lang w:val="en-US" w:eastAsia="zh-CN" w:bidi="ar-SA"/>
              </w:rPr>
              <w:t xml:space="preserve"> Pa；腔体真空漏率&lt;2mTorr/min。</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5. 射频电源系统：偏压射频源频率13.56MHz，功率600W；ICP射频电源频率13.56MHz，功率≥2000W。</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★6. 气路及流量控制：配置5路工艺气体管路（支持氩气、氮气、氧气、CF4、SF6等灵活配置）。</w:t>
            </w:r>
            <w:r/>
          </w:p>
          <w:p>
            <w:pPr>
              <w:numPr>
                <w:ilvl w:val="0"/>
                <w:numId w:val="0"/>
              </w:num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7.下电极及温控：下电极采用平板电容式设计，配备下电极制冷冷水系统；工艺温度控制范围：5~45℃。</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▲8. 工艺指标：刻蚀速率 &gt;150nm/min（SiO</w:t>
            </w:r>
            <w:r>
              <w:rPr>
                <w:rFonts w:hint="eastAsia" w:ascii="宋体" w:hAnsi="宋体" w:eastAsia="宋体" w:cs="宋体"/>
                <w:color w:val="auto"/>
                <w:sz w:val="24"/>
                <w:szCs w:val="24"/>
                <w:highlight w:val="none"/>
                <w:vertAlign w:val="subscript"/>
                <w:lang w:val="en-US" w:eastAsia="zh-CN" w:bidi="ar-SA"/>
              </w:rPr>
              <w:t xml:space="preserve">2</w:t>
            </w:r>
            <w:r>
              <w:rPr>
                <w:rFonts w:hint="eastAsia" w:ascii="宋体" w:hAnsi="宋体" w:eastAsia="宋体" w:cs="宋体"/>
                <w:color w:val="auto"/>
                <w:sz w:val="24"/>
                <w:szCs w:val="24"/>
                <w:highlight w:val="none"/>
                <w:lang w:val="en-US" w:eastAsia="zh-CN" w:bidi="ar-SA"/>
              </w:rPr>
              <w:t xml:space="preserve">材料，不同材料速率不等同）；刻蚀均匀性：片间均匀性3%、片内均匀性5%（4寸晶圆）。</w:t>
            </w:r>
            <w:r/>
          </w:p>
          <w:p>
            <w:pPr>
              <w:numPr>
                <w:ilvl w:val="0"/>
                <w:numId w:val="0"/>
              </w:num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9.控制系统：采用计算机控制系统，具备全自动及非全自动（手动）操作功能，配备不同用户权限级别的设备控制软件，并具备完善的软硬件互锁功能。</w:t>
            </w:r>
            <w:r/>
          </w:p>
          <w:p>
            <w:pPr>
              <w:numPr>
                <w:ilvl w:val="0"/>
                <w:numId w:val="0"/>
              </w:num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10.运行稳定性：设备能保证每周7天、每天24小时长时间连续运行的稳定性与可靠性。</w:t>
            </w:r>
            <w:r/>
          </w:p>
          <w:p>
            <w:pPr>
              <w:numPr>
                <w:ilvl w:val="0"/>
                <w:numId w:val="0"/>
              </w:numPr>
              <w:jc w:val="left"/>
              <w:keepLines w:val="0"/>
              <w:pageBreakBefore w:val="0"/>
              <w:spacing w:after="0" w:line="2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11.设备供货清单：包含ICP刻蚀机主机（内置分子泵）1台、干泵1台、冷却机1台、安装培训1套、产品操作手册（纸质版和电子版各1套）。</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台式模切机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切割压力 ≥ 800g</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切割速度 ≥ 1000mm/s</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进纸尺寸 ≥ 300mm</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机械精度 ≤ ± 0.01mm</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bidi="ar"/>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技术支持：windows、USB+U盘连接、CDR软件</w:t>
            </w:r>
            <w:r>
              <w:rPr>
                <w:rFonts w:hint="eastAsia" w:ascii="宋体" w:hAnsi="宋体" w:eastAsia="宋体" w:cs="宋体"/>
                <w:color w:val="auto"/>
                <w:sz w:val="24"/>
                <w:szCs w:val="24"/>
                <w:highlight w:val="none"/>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真空镀膜机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numPr>
                <w:ilvl w:val="0"/>
                <w:numId w:val="0"/>
              </w:numPr>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设备名称及用途：真空镀膜机（蒸发台），主要用于OLED/有机材料及金属材料的高精度真空热蒸发镀膜，支持手套箱内直接取放基片及添加镀料</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1.蒸镀腔体尺寸及材质：方形腔体，采用SUS304不锈钢材质；外部尺寸长×宽×高≤500mm×480mm×600mm（参考实际空间约480×455×560mm）。</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★2.手套箱互联功能：腔体后门采用侧拉门形式，需无缝连接手套箱，实现样品在无氧无水环境下的直接传递和操作。 </w:t>
            </w:r>
            <w:r/>
          </w:p>
          <w:p>
            <w:pPr>
              <w:numPr>
                <w:ilvl w:val="0"/>
                <w:numId w:val="2"/>
              </w:numPr>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腔体门及观察设计：配备两扇可完全开启的门，前门为快开门设计，前门配备不少于2个观察窗以便实时监控蒸镀过程。</w:t>
            </w:r>
            <w:r/>
          </w:p>
          <w:p>
            <w:pPr>
              <w:numPr>
                <w:ilvl w:val="0"/>
                <w:numId w:val="2"/>
              </w:numPr>
              <w:ind w:left="0" w:firstLine="0"/>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内部防护与维护：腔体不少于4个方向配备抽拉式衬板，方便日常更换；抽气口处需增设防污装置，防止蒸镀材料吸入真空。</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5.抽气系统配置：采用“复合分子泵（抽速≥1300L/s）+机械泵（抽速≥30m3/h）”组合；分子泵压缩比N2＞10</w:t>
            </w:r>
            <w:r>
              <w:rPr>
                <w:rFonts w:hint="eastAsia" w:ascii="宋体" w:hAnsi="宋体" w:eastAsia="宋体" w:cs="宋体"/>
                <w:color w:val="auto"/>
                <w:sz w:val="24"/>
                <w:szCs w:val="24"/>
                <w:highlight w:val="none"/>
                <w:vertAlign w:val="superscript"/>
                <w:lang w:val="en-US" w:eastAsia="zh-CN" w:bidi="ar-SA"/>
              </w:rPr>
              <w:t xml:space="preserve">9</w:t>
            </w:r>
            <w:r>
              <w:rPr>
                <w:rFonts w:hint="eastAsia" w:ascii="宋体" w:hAnsi="宋体" w:eastAsia="宋体" w:cs="宋体"/>
                <w:color w:val="auto"/>
                <w:sz w:val="24"/>
                <w:szCs w:val="24"/>
                <w:highlight w:val="none"/>
                <w:lang w:val="en-US" w:eastAsia="zh-CN" w:bidi="ar-SA"/>
              </w:rPr>
              <w:t xml:space="preserve">，H2＞1×104，极限压强＜5×10-7Pa，水冷方式冷却。</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6.真空性能指标：腔体极限真空度≤8×10-5Pa；在氮气保护下完成装卸料操作后重新抽真空，15分钟内真空度需达到5×10-4Pa。</w:t>
            </w:r>
            <w:r/>
          </w:p>
          <w:p>
            <w:pPr>
              <w:numPr>
                <w:ilvl w:val="0"/>
                <w:numId w:val="0"/>
              </w:numPr>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7.基片装置及功能：由触摸屏+PLC控制旋转基片架设不少于4个放置位，适配最大32×32mm基片；系统能自动精准识别基片位置；基片架转速0~30转/分无级可调。</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8.掩膜板切换系统：每个基片位支持放置不少于3个不同图形的掩膜板，且在真空环境下可自由切换；每个基片位配备独立挡板；掩膜板与基片实现零间隙贴合，支持在线更换。</w:t>
            </w:r>
            <w:r/>
          </w:p>
          <w:p>
            <w:pPr>
              <w:numPr>
                <w:ilvl w:val="0"/>
                <w:numId w:val="0"/>
              </w:numPr>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▲9.薄膜均匀性及速率：蒸镀均匀度优于±3%（多点测量n≥9）；蒸镀速率0.5-10 Å/s稳定可控，波动≤±0.1 Å/s；基片总挡板采用气动控制。</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10.蒸发源配置：配备不少于11个蒸发源，每个蒸发源均配备独立挡板及独立防污罩。</w:t>
            </w:r>
            <w:r/>
          </w:p>
          <w:p>
            <w:pPr>
              <w:numPr>
                <w:ilvl w:val="0"/>
                <w:numId w:val="3"/>
              </w:numPr>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有机蒸发源参数：最高工作温度可达800℃，内部加热温度分布均匀，使用寿命≥1000小时；多套协同工作无温度干扰。</w:t>
            </w:r>
            <w:r/>
          </w:p>
          <w:p>
            <w:pPr>
              <w:numPr>
                <w:ilvl w:val="0"/>
                <w:numId w:val="3"/>
              </w:numPr>
              <w:ind w:left="0" w:firstLine="0"/>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金属蒸发源参数：采用水冷电极技术，搭配90mm弓形蒸发舟；配备1套金属蒸发电源，最大功率1.6kW（电流200A，电压8V），百分比功率控制恒流模式。</w:t>
            </w:r>
            <w:r/>
          </w:p>
          <w:p>
            <w:pPr>
              <w:numPr>
                <w:ilvl w:val="0"/>
                <w:numId w:val="3"/>
              </w:numPr>
              <w:ind w:left="0" w:firstLine="0"/>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温控电源及精度：配备不少于3套有机蒸发电源，采用PID控温表，控温精度±1℃；所有电源参数及挡板开关均可在触摸屏上操作。</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14.膜厚监控系统：配备不少于4套水冷检测探头（安装在蒸发源上方）；测量频率范围1.0-6.5 MHz，厚度和速率分辨率±0.015 Å，测量周期0.10~1.0s（可调）。</w:t>
            </w:r>
            <w:r/>
          </w:p>
          <w:p>
            <w:pPr>
              <w:numPr>
                <w:ilvl w:val="0"/>
                <w:numId w:val="0"/>
              </w:numPr>
              <w:jc w:val="left"/>
              <w:keepLines w:val="0"/>
              <w:keepNext w:val="0"/>
              <w:pageBreakBefore w:val="0"/>
              <w:spacing w:after="0"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15.控制系统：搭载10英寸高清触摸屏+PLC控制系统，全面涵盖真空系统智能管控、基片操作控制、蒸发源精确调控等功能。</w:t>
            </w:r>
            <w:r>
              <w:rPr>
                <w:rFonts w:hint="eastAsia" w:ascii="宋体" w:hAnsi="宋体" w:eastAsia="宋体" w:cs="宋体"/>
                <w:color w:val="auto"/>
                <w:sz w:val="24"/>
                <w:szCs w:val="24"/>
                <w:highlight w:val="none"/>
                <w:lang w:val="en-US" w:eastAsia="zh-CN" w:bidi="ar-SA"/>
              </w:rPr>
              <w:br/>
            </w:r>
            <w:r>
              <w:rPr>
                <w:rFonts w:hint="eastAsia" w:ascii="宋体" w:hAnsi="宋体" w:eastAsia="宋体" w:cs="宋体"/>
                <w:color w:val="auto"/>
                <w:sz w:val="24"/>
                <w:szCs w:val="24"/>
                <w:highlight w:val="none"/>
                <w:lang w:val="en-US" w:eastAsia="zh-CN" w:bidi="ar-SA"/>
              </w:rPr>
              <w:t xml:space="preserve">16.安全防护系统：具备完善的报警及保护系统，涵盖缺水、过流、短路、漏电、误操作及断电等异常情况，触发时立即报警并启动保护。</w:t>
            </w:r>
            <w:r/>
          </w:p>
        </w:tc>
      </w:tr>
      <w:tr>
        <w:trPr>
          <w:trHeight w:val="508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示波器</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1.通道数：4个模拟通道，1个EXT通道。</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2.模拟通道带宽：最高2.5 GHz。</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3.最高实时采样率：20 GSa/s。</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4.最高存储深度：2 Gpts。</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5.波形捕获率：1,000,000 wfms/s（快速录制模式）。</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6.垂直分辨率：8 bits~16 bits可调。</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7.垂直灵敏度范围：1 mV/div~10 V/div（1MΩ），1 mV/div~1 V/div（50Ω）。</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8.时基范围：50 ps/div~500 s/div。</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9.多达200万帧的硬件实时波形不间断录制和回放功能。</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10.丰富的触发和总线解码功能：边沿、脉宽、斜率、视频、码型、持续时间、超时、欠幅脉冲、超幅、延 迟、建立保持、第N边沿、RS232、I2C、SPI、CAN、CAN-FD（选件）、FlexRay（选件）、LIN（选 件）、I2S（选件）、MIL-STD-1553（选件）、SENT解码（选件）。</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11.支持波形搜索和导航功能，蒙板测试和区域触发功能，可快速定位信号异常。</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12.具备不少于40种波形参数自动测量。</w:t>
            </w:r>
            <w:r/>
          </w:p>
          <w:p>
            <w:pPr>
              <w:contextualSpacing w:val="0"/>
              <w:ind w:left="0"/>
              <w:jc w:val="both"/>
              <w:keepLines w:val="0"/>
              <w:pageBreakBefore w:val="0"/>
              <w:spacing w:line="260" w:lineRule="exact"/>
              <w:widowControl w:val="off"/>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SA"/>
              </w:rPr>
              <w:t xml:space="preserve">13.丰富的接口：USB Host &amp; Device、HDMI、AUX OUT、LAN (LXI)。</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光电倍增管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1.波长范围</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覆盖 185 - 900 nm</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▲2.峰值响应波长</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400 ± 30 nm</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3.阴极灵敏度（峰值）≥ 74 mA/W</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4.打拿极增益≥ 1.0 × 10⁷</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5.阴极光照灵敏度≥ 140 μA/lm</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6.阳极光照灵敏度≥ 1000 A/lm</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7.阳极暗电流（典型值）≤ 3 nA</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8.阴极暗电流（最大值）≤ 15 nA</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9.光阴极材料</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多碱光阴极</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10.光敏面尺寸≥ 8 × 24 mm</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11.阳极脉冲上升时间≤ 2.2 ns</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12.电子渡越时间≤ 22 ns</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13.高压稳压电源0 - 1500 V（需覆盖此调节范围）</w:t>
            </w:r>
            <w:r>
              <w:rPr>
                <w:rFonts w:hint="eastAsia" w:ascii="宋体" w:hAnsi="宋体" w:eastAsia="宋体" w:cs="宋体"/>
                <w:color w:val="auto"/>
                <w:sz w:val="24"/>
                <w:szCs w:val="24"/>
                <w:highlight w:val="none"/>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亮度计</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1.测量角：1/3°（或符合标准1/3°光学设计）</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2.光学系统：单反型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 </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3.视角：9°（含取景器屈光度调整）</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4.最小测量面积：≤ 4.5 mm；≤ 0.4 mm（使用近摄镜头时）</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rPr>
              <w:tab/>
            </w:r>
            <w:r>
              <w:rPr>
                <w:rFonts w:hint="eastAsia" w:ascii="宋体" w:hAnsi="宋体" w:eastAsia="宋体" w:cs="宋体"/>
                <w:color w:val="auto"/>
                <w:sz w:val="24"/>
                <w:szCs w:val="24"/>
                <w:highlight w:val="none"/>
              </w:rPr>
              <w:t xml:space="preserve">.测量时间：AUTO模式：≤ 0.7 ~ 4.3 秒；</w:t>
            </w:r>
            <w:r/>
          </w:p>
          <w:p>
            <w:pPr>
              <w:ind w:firstLine="1680"/>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MANUAL模式：≤ 0.7 ~ 7.1 秒</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6.校正通道数：≥ 10 个</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7.数据保存量：≥ 1000 条</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8.外部显示（有效数值）：（亮度）≥ 4位有效数值</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9.内部显示（有效数值）：（亮度）≥ 4位有效数值</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10.数据端口：≥ 1个 USB 2.0 接口</w:t>
            </w:r>
            <w:r>
              <w:rPr>
                <w:rFonts w:hint="eastAsia" w:ascii="宋体" w:hAnsi="宋体" w:eastAsia="宋体" w:cs="宋体"/>
                <w:color w:val="auto"/>
                <w:sz w:val="24"/>
                <w:szCs w:val="24"/>
                <w:highlight w:val="none"/>
                <w:lang w:eastAsia="zh-CN"/>
              </w:rPr>
              <w:t xml:space="preserve">。</w:t>
            </w:r>
            <w:r/>
          </w:p>
          <w:p>
            <w:pPr>
              <w:jc w:val="left"/>
              <w:keepLines w:val="0"/>
              <w:pageBreakBefore w:val="0"/>
              <w:spacing w:line="260" w:lineRule="exact"/>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rPr>
              <w:t xml:space="preserve">11.标准配件：镜头盖；ND 目镜滤镜；目镜盖；手提箱；腕带；连接线(USB)；数据管理软件（均需齐全提供）</w:t>
            </w:r>
            <w:r>
              <w:rPr>
                <w:rFonts w:hint="eastAsia" w:ascii="宋体" w:hAnsi="宋体" w:eastAsia="宋体" w:cs="宋体"/>
                <w:color w:val="auto"/>
                <w:sz w:val="24"/>
                <w:szCs w:val="24"/>
                <w:highlight w:val="none"/>
                <w:lang w:eastAsia="zh-CN"/>
              </w:rPr>
              <w:t xml:space="preserve">。</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28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800"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杜瓦罐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1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31" w:type="pct"/>
            <w:vAlign w:val="center"/>
            <w:textDirection w:val="lrTb"/>
            <w:noWrap w:val="false"/>
          </w:tcPr>
          <w:p>
            <w:pPr>
              <w:jc w:val="center"/>
              <w:keepLines w:val="0"/>
              <w:keepNext/>
              <w:pageBreakBefore w:val="0"/>
              <w:spacing w:line="2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74" w:type="pct"/>
            <w:textDirection w:val="lrTb"/>
            <w:noWrap w:val="false"/>
          </w:tcPr>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1.有效容积:大于等于195L</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2.工作压力：&lt;0.09Mpa</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3.日蒸损率：≤ 1.2%</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4.输液量：&gt;8L/min</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5.空重：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110KG</w:t>
            </w:r>
            <w:r>
              <w:rPr>
                <w:rFonts w:hint="eastAsia" w:ascii="宋体" w:hAnsi="宋体" w:eastAsia="宋体" w:cs="宋体"/>
                <w:color w:val="auto"/>
                <w:sz w:val="24"/>
                <w:szCs w:val="24"/>
                <w:highlight w:val="none"/>
                <w:lang w:eastAsia="zh-CN"/>
              </w:rPr>
              <w:t xml:space="preserve">。</w:t>
            </w:r>
            <w:r/>
          </w:p>
          <w:p>
            <w:pPr>
              <w:keepLines w:val="0"/>
              <w:pageBreakBefore w:val="0"/>
              <w:spacing w:line="2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6.满重：</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260KG</w:t>
            </w:r>
            <w:r>
              <w:rPr>
                <w:rFonts w:hint="eastAsia" w:ascii="宋体" w:hAnsi="宋体" w:eastAsia="宋体" w:cs="宋体"/>
                <w:color w:val="auto"/>
                <w:sz w:val="24"/>
                <w:szCs w:val="24"/>
                <w:highlight w:val="none"/>
                <w:lang w:eastAsia="zh-CN"/>
              </w:rPr>
              <w:t xml:space="preserve">。</w:t>
            </w:r>
            <w:r/>
          </w:p>
        </w:tc>
      </w:tr>
    </w:tbl>
    <w:p>
      <w:pPr>
        <w:spacing w:before="120" w:line="56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采购包3：集成训练监测设备（核心产品：三维运动综合测试系统）</w:t>
      </w:r>
      <w:r/>
    </w:p>
    <w:tbl>
      <w:tblPr>
        <w:tblStyle w:val="837"/>
        <w:tblpPr w:horzAnchor="text" w:tblpXSpec="center" w:vertAnchor="text" w:tblpY="1" w:leftFromText="180" w:topFromText="0" w:rightFromText="180" w:bottomFromText="0"/>
        <w:tblW w:w="5433" w:type="pct"/>
        <w:tblInd w:w="-335" w:type="dxa"/>
        <w:tblLayout w:type="autofit"/>
        <w:tblCellMar>
          <w:left w:w="0" w:type="dxa"/>
          <w:top w:w="0" w:type="dxa"/>
          <w:right w:w="0" w:type="dxa"/>
          <w:bottom w:w="0" w:type="dxa"/>
        </w:tblCellMar>
        <w:tblLook w:val="04A0" w:firstRow="1" w:lastRow="0" w:firstColumn="1" w:lastColumn="0" w:noHBand="0" w:noVBand="1"/>
      </w:tblPr>
      <w:tblGrid>
        <w:gridCol w:w="640"/>
        <w:gridCol w:w="1398"/>
        <w:gridCol w:w="875"/>
        <w:gridCol w:w="629"/>
        <w:gridCol w:w="6219"/>
      </w:tblGrid>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设备</w:t>
            </w:r>
            <w:r>
              <w:rPr>
                <w:rFonts w:hint="eastAsia" w:ascii="宋体" w:hAnsi="宋体" w:eastAsia="宋体" w:cs="宋体"/>
                <w:b/>
                <w:bCs/>
                <w:color w:val="auto"/>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数量</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单位</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jc w:val="center"/>
              <w:keepNext/>
              <w:pageBreakBefore w:val="0"/>
              <w:spacing w:line="2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技术</w:t>
            </w:r>
            <w:r>
              <w:rPr>
                <w:rFonts w:hint="eastAsia" w:ascii="宋体" w:hAnsi="宋体" w:eastAsia="宋体" w:cs="宋体"/>
                <w:b/>
                <w:bCs/>
                <w:color w:val="auto"/>
                <w:sz w:val="24"/>
                <w:szCs w:val="24"/>
                <w:highlight w:val="none"/>
              </w:rPr>
              <w:t xml:space="preserve">参数</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热像仪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红外成像：原生红外分辨率不低于384×288，图像刷新率不低于9 Hz；在厂家标称测试条件下，热灵敏度（NETD）不大于75 mK，并提供对应测试温度及镜头条件。</w:t>
            </w:r>
            <w:r/>
          </w:p>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测温性能：测温范围覆盖−20～650℃，允许通过分量程实现；在厂家规定条件下，测温误差不超过±2℃或读数的±2%。</w:t>
            </w:r>
            <w:r/>
          </w:p>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镜头与对焦：支持自动及手动对焦，标准镜头最小对焦距离不大于0.15 m；水平视场角不小于24°，垂直视场角不小于18°；空间分辨率（IFOV）不大于1.1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 mrad。</w:t>
            </w:r>
            <w:r/>
          </w:p>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可见光与显示：支持可见光成像，可见光相机像素数不低于500万像素，显示屏不小于3.5英寸。</w:t>
            </w:r>
            <w:r/>
          </w:p>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数据分析与传输：支持温度点位分析及带温度信息的热像保存；支持USB数据传输，配套与所供设备兼容的计算机分析软件，支持热像读取、温度结果导出。</w:t>
            </w:r>
            <w:r/>
          </w:p>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电池续航：在厂家规定的典型使用条件下，单块电池充满电后的工作时间不低于2小时。</w:t>
            </w:r>
            <w:r/>
          </w:p>
          <w:p>
            <w:pPr>
              <w:jc w:val="both"/>
              <w:keepLines w:val="0"/>
              <w:keepNext w:val="0"/>
              <w:pageBreakBefore w:val="0"/>
              <w:spacing w:line="260" w:lineRule="exact"/>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7.提供不少于1年质保。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移动电源</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1.电池参数：内置磷酸铁锂电池，额定容量不低于 2000 Wh；经过 </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000 次充放电循环后，电池容量仍大于初始容量的 80%。</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▲2.交流供电：交流持续输出功率不低于 2400 W；支持 220 V、50 Hz 交流供电及市电充电；配备 4 个交流输出插座，输出电压为 220～240 V，频率为 50/60 Hz。</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3.USB 输出：配备不少于4个 USB-C 输出接口以及不少于4个 USB-A 输出接口。</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4.备电切换：支持断电自动切换至备电模式，切换时间不大于 20 ms</w:t>
            </w:r>
            <w:r>
              <w:rPr>
                <w:rFonts w:hint="eastAsia" w:ascii="宋体" w:hAnsi="宋体" w:eastAsia="宋体" w:cs="宋体"/>
                <w:b w:val="0"/>
                <w:bCs w:val="0"/>
                <w:color w:val="auto"/>
                <w:sz w:val="24"/>
                <w:szCs w:val="24"/>
                <w:highlight w:val="none"/>
                <w:lang w:eastAsia="zh-CN"/>
              </w:rPr>
              <w:t xml:space="preserve">。</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5.显示与保护：具备电量及功率显示功能，以及过充、过放、过载、短路和温度保护功能。</w:t>
            </w:r>
            <w:r/>
          </w:p>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6.重量要求：设备重量不大于</w:t>
            </w:r>
            <w:r>
              <w:rPr>
                <w:rFonts w:hint="eastAsia" w:ascii="宋体" w:hAnsi="宋体" w:eastAsia="宋体" w:cs="宋体"/>
                <w:b w:val="0"/>
                <w:bCs w:val="0"/>
                <w:color w:val="auto"/>
                <w:sz w:val="24"/>
                <w:szCs w:val="24"/>
                <w:highlight w:val="none"/>
                <w:lang w:val="en-US" w:eastAsia="zh-CN"/>
              </w:rPr>
              <w:t xml:space="preserve">30</w:t>
            </w:r>
            <w:r>
              <w:rPr>
                <w:rFonts w:hint="eastAsia" w:ascii="宋体" w:hAnsi="宋体" w:eastAsia="宋体" w:cs="宋体"/>
                <w:b w:val="0"/>
                <w:bCs w:val="0"/>
                <w:color w:val="auto"/>
                <w:sz w:val="24"/>
                <w:szCs w:val="24"/>
                <w:highlight w:val="none"/>
              </w:rPr>
              <w:t xml:space="preserve"> kg。</w:t>
            </w:r>
            <w:r/>
          </w:p>
          <w:p>
            <w:pPr>
              <w:jc w:val="both"/>
              <w:keepLines w:val="0"/>
              <w:keepNext w:val="0"/>
              <w:pageBreakBefore w:val="0"/>
              <w:spacing w:line="260" w:lineRule="exact"/>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7.提供不少于1年质保。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数字图像处理设备</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ind w:firstLine="0"/>
              <w:jc w:val="center"/>
              <w:keepLines/>
              <w:pageBreakBefore w:val="0"/>
              <w:spacing w:after="70" w:line="2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jc w:val="left"/>
              <w:keepNext/>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.系统配置：</w:t>
            </w:r>
            <w:r>
              <w:rPr>
                <w:rFonts w:hint="eastAsia" w:ascii="宋体" w:hAnsi="宋体" w:eastAsia="宋体" w:cs="宋体"/>
                <w:b w:val="0"/>
                <w:bCs w:val="0"/>
                <w:color w:val="auto"/>
                <w:sz w:val="24"/>
                <w:szCs w:val="24"/>
                <w:highlight w:val="none"/>
                <w:lang w:val="en-US" w:eastAsia="zh-CN"/>
              </w:rPr>
              <w:t xml:space="preserve">系统</w:t>
            </w:r>
            <w:r>
              <w:rPr>
                <w:rFonts w:hint="eastAsia" w:ascii="宋体" w:hAnsi="宋体" w:eastAsia="宋体" w:cs="宋体"/>
                <w:b w:val="0"/>
                <w:bCs w:val="0"/>
                <w:color w:val="auto"/>
                <w:sz w:val="24"/>
                <w:szCs w:val="24"/>
                <w:highlight w:val="none"/>
              </w:rPr>
              <w:t xml:space="preserve">支持DSP系统开发、图像采集、图像处理及相关实验研究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配套DSP开发平台、传感器模块、WIFI/蓝牙无线通讯模块、摄像头、图像显示屏、信号源</w:t>
            </w:r>
            <w:r>
              <w:rPr>
                <w:rFonts w:hint="eastAsia" w:ascii="宋体" w:hAnsi="宋体" w:eastAsia="宋体" w:cs="宋体"/>
                <w:b w:val="0"/>
                <w:bCs w:val="0"/>
                <w:color w:val="auto"/>
                <w:sz w:val="24"/>
                <w:szCs w:val="24"/>
                <w:highlight w:val="none"/>
                <w:lang w:val="en-US" w:eastAsia="zh-CN"/>
              </w:rPr>
              <w:t xml:space="preserve">等模块</w:t>
            </w:r>
            <w:r>
              <w:rPr>
                <w:rFonts w:hint="eastAsia" w:ascii="宋体" w:hAnsi="宋体" w:eastAsia="宋体" w:cs="宋体"/>
                <w:b w:val="0"/>
                <w:bCs w:val="0"/>
                <w:color w:val="auto"/>
                <w:sz w:val="24"/>
                <w:szCs w:val="24"/>
                <w:highlight w:val="none"/>
              </w:rPr>
              <w:t xml:space="preserve">。</w:t>
            </w:r>
            <w:r/>
          </w:p>
          <w:p>
            <w:pPr>
              <w:jc w:val="left"/>
              <w:keepNext/>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.DSP处理器：主处理器内核性能不低于C64x+，与C64x内核软件完全兼容；DSP主频不低于600MHz；片内L1P存储器≥32KB，L1D存储器≥80KB，L2存储器≥128KB；集成增强型DMA控制器。</w:t>
            </w:r>
            <w:r/>
          </w:p>
          <w:p>
            <w:pPr>
              <w:jc w:val="left"/>
              <w:keepNext/>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.视频接口：</w:t>
            </w:r>
            <w:r>
              <w:rPr>
                <w:rFonts w:hint="eastAsia" w:ascii="宋体" w:hAnsi="宋体" w:eastAsia="宋体" w:cs="宋体"/>
                <w:b w:val="0"/>
                <w:bCs w:val="0"/>
                <w:color w:val="auto"/>
                <w:sz w:val="24"/>
                <w:szCs w:val="24"/>
                <w:highlight w:val="none"/>
                <w:lang w:val="en-US" w:eastAsia="zh-CN"/>
              </w:rPr>
              <w:t xml:space="preserve">具备</w:t>
            </w:r>
            <w:r>
              <w:rPr>
                <w:rFonts w:hint="eastAsia" w:ascii="宋体" w:hAnsi="宋体" w:eastAsia="宋体" w:cs="宋体"/>
                <w:b w:val="0"/>
                <w:bCs w:val="0"/>
                <w:color w:val="auto"/>
                <w:sz w:val="24"/>
                <w:szCs w:val="24"/>
                <w:highlight w:val="none"/>
              </w:rPr>
              <w:t xml:space="preserve">NTSC/PAL制式模拟视频输入接口及NTSC/PAL制式模拟视频输出接口，支持硬件OSD叠加显示功能。</w:t>
            </w:r>
            <w:r/>
          </w:p>
          <w:p>
            <w:pPr>
              <w:jc w:val="left"/>
              <w:keepNext/>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.通信及控制接口：具备不少于3路PWM输出引出接口；配备10/100M自适应以太网接口、CAN总线接口、RS232接口及RS485接口。</w:t>
            </w:r>
            <w:r/>
          </w:p>
          <w:p>
            <w:pPr>
              <w:jc w:val="left"/>
              <w:keepNext/>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.音频接口：具备不少于2路音频输入通道及2路音频输出通道。</w:t>
            </w:r>
            <w:r/>
          </w:p>
          <w:p>
            <w:pPr>
              <w:jc w:val="left"/>
              <w:keepNext/>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.摄像头及显示屏：配套1个NTSC/PAL制式模拟摄像头及1个不小于7英寸的图像显示屏。</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.其他：板载配备不少于 4 位拨码开关及 4 个 LED 指示灯；支持 CCS3.3、CCS4、CCS5 及以上版本开发环境，提供 DSP 系统、数字图像处理、语音处理及智能传感、WIFI/蓝牙无线通讯等全套实验例程及源码。</w:t>
            </w:r>
            <w:r/>
          </w:p>
          <w:p>
            <w:pPr>
              <w:ind w:firstLine="0"/>
              <w:keepLines/>
              <w:pageBreakBefore w:val="0"/>
              <w:spacing w:after="70" w:line="2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物联网+机器学习融合平台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 机械臂</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最大负载：不低于1千克</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最大伸展距离：不低于400mm</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重复定位精度：不高于0.2mm</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机械臂自由度：最小6自由度</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运动模式：至少包含PTP、ARC</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边缘主控</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IO复用接口：提供IO接口，供外接传感器与其他设备</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USB或Type-C接口：提供USB或Type-C进行串口打印与连接上位机</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NPU模块：板载NPU模块</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算力：INT8类型不低于2.5TOPs,INT16不低于200GOPs</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 摄像头</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像素：不低于200万像素</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 软件SDK二次开发</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开发语言：Python</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实验环境：提供接口供导出测试数据</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学习框架：至少支持TensorFlow模型框架</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二次开发：支持二次开发</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 编译软件</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编译：程序自动优化编译</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调试：支持在线调试，提供串口打印调试信息</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烧录：支持一键程序更新</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文档：提供详细使用文档说明</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 传感器模组</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传感器类型：至少包含温湿度传感器、气压传感器、红外传感器</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 可视化</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显示：可展示机器臂当前姿态</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数据：支持机器臂当前姿态数据导出</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 实训资源</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实验课程：提供机械臂实验教学课程，配套深度学习原理课程</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实训指导：机械臂入门级使用指导</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实例教学：提供行业案例，可进行具体场景教学</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 后台算力服务</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算力：FP8算力不低于500TFLOPS，INT8算力不低于600TOPS</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显存：不低于48GB</w:t>
            </w:r>
            <w:r>
              <w:rPr>
                <w:rFonts w:hint="eastAsia" w:ascii="宋体" w:hAnsi="宋体" w:eastAsia="宋体" w:cs="宋体"/>
                <w:b w:val="0"/>
                <w:bCs w:val="0"/>
                <w:color w:val="auto"/>
                <w:sz w:val="24"/>
                <w:szCs w:val="24"/>
                <w:highlight w:val="none"/>
                <w:lang w:eastAsia="zh-CN"/>
              </w:rPr>
              <w:t xml:space="preserve">；</w:t>
            </w:r>
            <w:r/>
          </w:p>
          <w:p>
            <w:pPr>
              <w:ind w:firstLine="0"/>
              <w:keepLines/>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软件：支持CUDA</w:t>
            </w:r>
            <w:r>
              <w:rPr>
                <w:rFonts w:hint="eastAsia" w:ascii="宋体" w:hAnsi="宋体" w:eastAsia="宋体" w:cs="宋体"/>
                <w:b w:val="0"/>
                <w:bCs w:val="0"/>
                <w:color w:val="auto"/>
                <w:sz w:val="24"/>
                <w:szCs w:val="24"/>
                <w:highlight w:val="none"/>
                <w:lang w:eastAsia="zh-CN"/>
              </w:rPr>
              <w:t xml:space="preserve">。</w:t>
            </w:r>
            <w:r/>
          </w:p>
          <w:p>
            <w:pPr>
              <w:ind w:firstLine="0"/>
              <w:keepLines/>
              <w:keepNext w:val="0"/>
              <w:pageBreakBefore w:val="0"/>
              <w:spacing w:beforeAutospacing="0" w:afterAutospacing="0" w:line="260" w:lineRule="exact"/>
              <w:widowControl/>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雷达</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 视场与点云：水平视场角为 360°，垂直视场角不小于 59°；单回波出点率不低于 20 万点/秒，点云输出频率不低于 10 Hz。</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测距性能：在水平 360° 视场、目标反射率为 10% 的条件下，探测距离不小于 </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0 m。</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 惯性测量：内置惯性测量单元。</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 供电与功耗：供电输入为 9～27 V DC，典型功耗不大于 </w:t>
            </w: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b w:val="0"/>
                <w:bCs w:val="0"/>
                <w:color w:val="auto"/>
                <w:sz w:val="24"/>
                <w:szCs w:val="24"/>
                <w:highlight w:val="none"/>
              </w:rPr>
              <w:t xml:space="preserve"> W。</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 开发支持：提供 SDK、ROS 或 ROS 2 驱动及点云解析资料。</w:t>
            </w:r>
            <w:r/>
          </w:p>
          <w:p>
            <w:pPr>
              <w:jc w:val="both"/>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 工作环境：工作温度范围覆盖 −</w:t>
            </w: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0～</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5 ℃</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防护等级不低于</w:t>
            </w:r>
            <w:r>
              <w:rPr>
                <w:rFonts w:hint="eastAsia" w:ascii="宋体" w:hAnsi="宋体" w:eastAsia="宋体" w:cs="宋体"/>
                <w:b w:val="0"/>
                <w:bCs w:val="0"/>
                <w:color w:val="auto"/>
                <w:sz w:val="24"/>
                <w:szCs w:val="24"/>
                <w:highlight w:val="none"/>
              </w:rPr>
              <w:t xml:space="preserve">IP67。</w:t>
            </w:r>
            <w:r/>
          </w:p>
          <w:p>
            <w:pPr>
              <w:jc w:val="both"/>
              <w:keepLines w:val="0"/>
              <w:keepNext w:val="0"/>
              <w:pageBreakBefore w:val="0"/>
              <w:spacing w:line="260" w:lineRule="exact"/>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7.提供不少于半年质保。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双目深度相机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 成像方式：采用主动双目深度成像，配备红外辅助投射装置、红外点阵及泛光补光。</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 图像性能：深度图分辨率不低于 1280×720，最大分辨率为 1280×800，支持不低于 30 帧/秒的深度输出模式，具体帧率随深度配置变化；彩色图像分辨率不低于 1920×1080，帧率不低于 30 帧/秒。</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 视场与工作距离：深度视场角（水平×垂直）</w:t>
            </w:r>
            <w:r>
              <w:rPr>
                <w:rFonts w:hint="eastAsia" w:ascii="宋体" w:hAnsi="宋体" w:eastAsia="宋体" w:cs="宋体"/>
                <w:b w:val="0"/>
                <w:bCs w:val="0"/>
                <w:color w:val="auto"/>
                <w:sz w:val="24"/>
                <w:szCs w:val="24"/>
                <w:highlight w:val="none"/>
                <w:lang w:val="en-US" w:eastAsia="zh-CN"/>
              </w:rPr>
              <w:t xml:space="preserve">最低</w:t>
            </w:r>
            <w:r>
              <w:rPr>
                <w:rFonts w:hint="eastAsia" w:ascii="宋体" w:hAnsi="宋体" w:eastAsia="宋体" w:cs="宋体"/>
                <w:b w:val="0"/>
                <w:bCs w:val="0"/>
                <w:color w:val="auto"/>
                <w:sz w:val="24"/>
                <w:szCs w:val="24"/>
                <w:highlight w:val="none"/>
              </w:rPr>
              <w:t xml:space="preserve">可达 80°×55°；最近工作距离</w:t>
            </w:r>
            <w:r>
              <w:rPr>
                <w:rFonts w:hint="eastAsia" w:ascii="宋体" w:hAnsi="宋体" w:eastAsia="宋体" w:cs="宋体"/>
                <w:b w:val="0"/>
                <w:bCs w:val="0"/>
                <w:color w:val="auto"/>
                <w:sz w:val="24"/>
                <w:szCs w:val="24"/>
                <w:highlight w:val="none"/>
                <w:lang w:val="en-US" w:eastAsia="zh-CN"/>
              </w:rPr>
              <w:t xml:space="preserve">不低于</w:t>
            </w:r>
            <w:r>
              <w:rPr>
                <w:rFonts w:hint="eastAsia" w:ascii="宋体" w:hAnsi="宋体" w:eastAsia="宋体" w:cs="宋体"/>
                <w:b w:val="0"/>
                <w:bCs w:val="0"/>
                <w:color w:val="auto"/>
                <w:sz w:val="24"/>
                <w:szCs w:val="24"/>
                <w:highlight w:val="none"/>
              </w:rPr>
              <w:t xml:space="preserve"> 0.3 m，最远工作距离</w:t>
            </w:r>
            <w:r>
              <w:rPr>
                <w:rFonts w:hint="eastAsia" w:ascii="宋体" w:hAnsi="宋体" w:eastAsia="宋体" w:cs="宋体"/>
                <w:b w:val="0"/>
                <w:bCs w:val="0"/>
                <w:color w:val="auto"/>
                <w:sz w:val="24"/>
                <w:szCs w:val="24"/>
                <w:highlight w:val="none"/>
                <w:lang w:val="en-US" w:eastAsia="zh-CN"/>
              </w:rPr>
              <w:t xml:space="preserve">d大于等于</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 m。</w:t>
            </w:r>
            <w:r/>
          </w:p>
          <w:p>
            <w:pPr>
              <w:ind w:firstLine="0"/>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 运算与惯性测量：</w:t>
            </w:r>
            <w:r>
              <w:rPr>
                <w:rFonts w:hint="eastAsia" w:ascii="宋体" w:hAnsi="宋体" w:eastAsia="宋体" w:cs="宋体"/>
                <w:b w:val="0"/>
                <w:bCs w:val="0"/>
                <w:color w:val="auto"/>
                <w:sz w:val="24"/>
                <w:szCs w:val="24"/>
                <w:highlight w:val="none"/>
                <w:lang w:val="en-US" w:eastAsia="zh-CN"/>
              </w:rPr>
              <w:t xml:space="preserve">设备具有本地算力</w:t>
            </w:r>
            <w:r>
              <w:rPr>
                <w:rFonts w:hint="eastAsia" w:ascii="宋体" w:hAnsi="宋体" w:eastAsia="宋体" w:cs="宋体"/>
                <w:b w:val="0"/>
                <w:bCs w:val="0"/>
                <w:color w:val="auto"/>
                <w:sz w:val="24"/>
                <w:szCs w:val="24"/>
                <w:highlight w:val="none"/>
              </w:rPr>
              <w:t xml:space="preserve">；配备六轴或以上的惯性测量单元。</w:t>
            </w:r>
            <w:r/>
          </w:p>
          <w:p>
            <w:pPr>
              <w:jc w:val="left"/>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5. 接口与开发支持：支持 USB 3 数据连接，Python 或 C++ 示例及深度数据读取功能。</w:t>
            </w:r>
            <w:r/>
          </w:p>
          <w:p>
            <w:pPr>
              <w:jc w:val="left"/>
              <w:keepLines w:val="0"/>
              <w:keepNext w:val="0"/>
              <w:pageBreakBefore w:val="0"/>
              <w:spacing w:line="260" w:lineRule="exact"/>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6.提供不少于半年质保。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开发板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ind w:firstLine="0"/>
              <w:jc w:val="left"/>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1.处理器与算力：采用 64 位八核处理器，包含四个高性能核心及四个能效核心，高性能核心最高主频不低于 2.4 GHz，集成算力不低于 6 TOPS 的 NPU</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内存容量不低于 4 GB。</w:t>
            </w:r>
            <w:r/>
          </w:p>
          <w:p>
            <w:pPr>
              <w:ind w:firstLine="0"/>
              <w:jc w:val="left"/>
              <w:keepLines/>
              <w:pageBreakBefore w:val="0"/>
              <w:spacing w:after="70"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硬件接口：支持千兆或以上以太网、USB 3、HDMI 显示输出及摄像头接入，提供 UART 或串行通信接口、I²C、GPIO 等开发接口。</w:t>
            </w:r>
            <w:r/>
          </w:p>
          <w:p>
            <w:pPr>
              <w:jc w:val="left"/>
              <w:keepLines w:val="0"/>
              <w:keepNext w:val="0"/>
              <w:pageBreakBefore w:val="0"/>
              <w:spacing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系统与开发资料：支持 Linux 系统，并提供系统镜像、接口说明和开发资料。</w:t>
            </w:r>
            <w:r/>
          </w:p>
          <w:p>
            <w:pPr>
              <w:jc w:val="left"/>
              <w:keepLines w:val="0"/>
              <w:keepNext w:val="0"/>
              <w:pageBreakBefore w:val="0"/>
              <w:spacing w:line="260" w:lineRule="exact"/>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4.提供不少于半年质保。</w:t>
            </w:r>
            <w:r/>
          </w:p>
        </w:tc>
      </w:tr>
      <w:tr>
        <w:trPr>
          <w:trHeight w:val="9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机械臂套件具身智能实验平台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Next/>
              <w:pageBreakBefore w:val="0"/>
              <w:spacing w:line="260" w:lineRule="exact"/>
              <w:widowControl/>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top"/>
            <w:textDirection w:val="lrTb"/>
            <w:noWrap w:val="false"/>
          </w:tcPr>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机械本体硬件要求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 </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（1）采用 6 自由度伺服关节，夹爪可独立控制。 </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★（2）末端额定负载≥1.5kg，满足抓取、搬运、遥操作数据采集科研实验。 </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（3）最大工作臂展≥620mm，重复定位精度≤±0.2mm，台面式安装，适配实验室使用。</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 ▲（4）支持拖拽示教、关节 / 末端位姿、夹爪控制，支持主从遥操作与轨迹复现。 </w:t>
            </w:r>
            <w:r/>
          </w:p>
          <w:p>
            <w:pPr>
              <w:pStyle w:val="841"/>
              <w:numPr>
                <w:ilvl w:val="0"/>
                <w:numId w:val="4"/>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DC24V 供电，具备温度监控、过温保护、安全回零、紧急失能保护。 </w:t>
            </w:r>
            <w:r/>
          </w:p>
          <w:p>
            <w:pPr>
              <w:pStyle w:val="841"/>
              <w:numPr>
                <w:ilvl w:val="0"/>
                <w:numId w:val="4"/>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标配机械臂本体、夹爪、电源、安装及通讯配件；相机、支架等外设允许选配。</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软件与二次开发要求 </w:t>
            </w:r>
            <w:r>
              <w:rPr>
                <w:rFonts w:hint="eastAsia" w:ascii="宋体" w:hAnsi="宋体" w:eastAsia="宋体" w:cs="宋体"/>
                <w:b w:val="0"/>
                <w:bCs w:val="0"/>
                <w:color w:val="auto"/>
                <w:sz w:val="24"/>
                <w:szCs w:val="24"/>
                <w:highlight w:val="none"/>
                <w:lang w:eastAsia="zh-CN"/>
              </w:rPr>
              <w:t xml:space="preserve">：</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（1）支持 Python SDK、ROS1/ROS2，提供 URDF 模型，具备接入 Gazebo 或 Isaac Sim 等主流机器人仿真环境的能力。</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 ▲（2）具备开展正逆运动学、雅可比矩阵、动力学求解、轨迹规划实验条件；提供完整 URDF 机器人模型，支持接入 Pinocchio 运动学库或使用自研等效运动学库开展计算。</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 （3）适配 LeRobot 工作流，支持数据采集管理，可开展 ACT、DP、VLA 算法真机验证。 </w:t>
            </w:r>
            <w:r/>
          </w:p>
          <w:p>
            <w:pPr>
              <w:pStyle w:val="841"/>
              <w:numPr>
                <w:ilvl w:val="0"/>
                <w:numId w:val="5"/>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支持 Linux 系统，软件形式不限（客户端 / 网页 / ROS 工具均可）。</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 ▲（5）提供教学实训资源，</w:t>
            </w:r>
            <w:r>
              <w:rPr>
                <w:rFonts w:hint="eastAsia" w:ascii="宋体" w:hAnsi="宋体" w:eastAsia="宋体" w:cs="宋体"/>
                <w:b w:val="0"/>
                <w:bCs w:val="0"/>
                <w:color w:val="auto"/>
                <w:sz w:val="24"/>
                <w:szCs w:val="24"/>
                <w:highlight w:val="none"/>
                <w:lang w:val="en-US" w:eastAsia="zh-CN"/>
              </w:rPr>
              <w:t xml:space="preserve">含</w:t>
            </w:r>
            <w:r>
              <w:rPr>
                <w:rFonts w:hint="eastAsia" w:ascii="宋体" w:hAnsi="宋体" w:eastAsia="宋体" w:cs="宋体"/>
                <w:b w:val="0"/>
                <w:bCs w:val="0"/>
                <w:color w:val="auto"/>
                <w:sz w:val="24"/>
                <w:szCs w:val="24"/>
                <w:highlight w:val="none"/>
              </w:rPr>
              <w:t xml:space="preserve">教学文档、实训案例</w:t>
            </w:r>
            <w:r>
              <w:rPr>
                <w:rFonts w:hint="eastAsia" w:ascii="宋体" w:hAnsi="宋体" w:eastAsia="宋体" w:cs="宋体"/>
                <w:b w:val="0"/>
                <w:bCs w:val="0"/>
                <w:color w:val="auto"/>
                <w:sz w:val="24"/>
                <w:szCs w:val="24"/>
                <w:highlight w:val="none"/>
                <w:lang w:val="en-US" w:eastAsia="zh-CN"/>
              </w:rPr>
              <w:t xml:space="preserve">等</w:t>
            </w:r>
            <w:r>
              <w:rPr>
                <w:rFonts w:hint="eastAsia" w:ascii="宋体" w:hAnsi="宋体" w:eastAsia="宋体" w:cs="宋体"/>
                <w:b w:val="0"/>
                <w:bCs w:val="0"/>
                <w:color w:val="auto"/>
                <w:sz w:val="24"/>
                <w:szCs w:val="24"/>
                <w:highlight w:val="none"/>
              </w:rPr>
              <w:t xml:space="preserve">；支持账号注册登录使用，支持离线本地使用模式。 </w:t>
            </w:r>
            <w:r/>
          </w:p>
          <w:p>
            <w:pPr>
              <w:pStyle w:val="841"/>
              <w:numPr>
                <w:ilvl w:val="0"/>
                <w:numId w:val="0"/>
              </w:numPr>
              <w:ind w:right="0"/>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（6）开放固件、协议、示例代码，提供文档或开源仓库，支持二次开发。</w:t>
            </w:r>
            <w:r/>
          </w:p>
          <w:p>
            <w:pPr>
              <w:pStyle w:val="841"/>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lang w:eastAsia="zh-CN"/>
              </w:rPr>
              <w:suppressLineNumbers w:val="0"/>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rPr>
              <w:t xml:space="preserve">遥操作功能要求</w:t>
            </w:r>
            <w:r>
              <w:rPr>
                <w:rFonts w:hint="eastAsia" w:ascii="宋体" w:hAnsi="宋体" w:eastAsia="宋体" w:cs="宋体"/>
                <w:b w:val="0"/>
                <w:bCs w:val="0"/>
                <w:color w:val="auto"/>
                <w:sz w:val="24"/>
                <w:szCs w:val="24"/>
                <w:highlight w:val="none"/>
                <w:lang w:eastAsia="zh-CN"/>
              </w:rPr>
              <w:t xml:space="preserve">：</w:t>
            </w:r>
            <w:r/>
          </w:p>
          <w:p>
            <w:pPr>
              <w:pStyle w:val="841"/>
              <w:keepLines w:val="0"/>
              <w:keepNext w:val="0"/>
              <w:pageBreakBefore w:val="0"/>
              <w:spacing w:beforeAutospacing="0" w:afterAutospacing="0" w:line="260" w:lineRule="exact"/>
              <w:widowControl/>
              <w:rPr>
                <w:rFonts w:hint="eastAsia" w:ascii="宋体" w:hAnsi="宋体" w:eastAsia="宋体" w:cs="宋体"/>
                <w:b w:val="0"/>
                <w:bCs w:val="0"/>
                <w:color w:val="auto"/>
                <w:sz w:val="24"/>
                <w:szCs w:val="24"/>
                <w:highlight w:val="none"/>
              </w:rPr>
              <w:suppressLineNumbers w:val="0"/>
            </w:pPr>
            <w:r>
              <w:rPr>
                <w:rFonts w:hint="eastAsia" w:ascii="宋体" w:hAnsi="宋体" w:eastAsia="宋体" w:cs="宋体"/>
                <w:b w:val="0"/>
                <w:bCs w:val="0"/>
                <w:color w:val="auto"/>
                <w:sz w:val="24"/>
                <w:szCs w:val="24"/>
                <w:highlight w:val="none"/>
              </w:rPr>
              <w:t xml:space="preserve"> 支持主从遥操作方案，可配置操作臂 + 示教臂实现，示教臂允许选配。</w:t>
            </w:r>
            <w:r/>
          </w:p>
          <w:p>
            <w:pPr>
              <w:pStyle w:val="841"/>
              <w:keepLines w:val="0"/>
              <w:keepNext w:val="0"/>
              <w:pageBreakBefore w:val="0"/>
              <w:spacing w:beforeAutospacing="0" w:afterAutospacing="0" w:line="260" w:lineRule="exact"/>
              <w:widowControl/>
              <w:rPr>
                <w:rFonts w:hint="default"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舵机不少于半年质保，其余结构1年</w:t>
            </w:r>
            <w:r>
              <w:rPr>
                <w:rFonts w:hint="eastAsia" w:ascii="宋体" w:hAnsi="宋体" w:eastAsia="宋体" w:cs="宋体"/>
                <w:b w:val="0"/>
                <w:bCs w:val="0"/>
                <w:color w:val="auto"/>
                <w:sz w:val="24"/>
                <w:szCs w:val="24"/>
                <w:highlight w:val="none"/>
                <w:lang w:val="en-US" w:eastAsia="zh-CN"/>
              </w:rPr>
              <w:t xml:space="preserve">。</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双臂视觉操作实验平台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1. 平台结构：配置不少于2台机械臂及配套控制系统、操作台架和末端执行器，支持双臂独立操作与协作教学。</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2. 机械臂性能：单臂自由度不少于6，额定负载不低于1kg，工作半径不小于600mm，重复定位精度不大于±0.2mm。</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3. 视觉感知：配置不少于2路视觉采集设备，支持操作场景图像获取、实时显示与数据保存。</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4. 遥操作与示教：支持主从机械臂、VR/MR或其他等效方式进行双臂遥操作，具备运动映射、夹爪控制和基本动作功能。</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eastAsia="zh-CN"/>
              </w:rPr>
              <w:t xml:space="preserve">5. 数据采集：支持采集和导出机械臂状态、动作控制及视觉图像等实验数据，满足示范数据集构建需求。</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6. 开发与算法：提供SDK、API或等效开发接口及技术资料，支持Python、C++等至少一种开发语言，具备机器人控制与模仿学习算法的实验开发条件。</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7. 教学与服务：支持抓取、搬运、分拣等典型实验任务，提供设备安装调试、基础培训和必要的软件开发资料。</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8.提供不少于1年质保。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大算力开发板</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numPr>
                <w:ilvl w:val="0"/>
                <w:numId w:val="6"/>
              </w:num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处理器与算力：采用 64 位多核处理器，核心数不少于 12 核；最高主频不低于 2.0 GHz；I AI 计算能力不低于 275 TOPS，并集成 AI 硬件加速单元。</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2. 内存与存储：内存容量不低于 64 GB LPDDR5；板载存储不低于 64 GB，并支持扩展 M.2 NVMe 固态硬盘。</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3. 接口配置：至少提供 1 个千兆以太网接口，并支持高速网络扩展或相机数据接入；配备 USB、显示输出、相机接入及调试接口。</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4. 控制与开发：提供 UART、SPI、I²C 或 CAN 等控制扩展接口，支持 Linux 开发环境，并提供系统镜像、接口说明、模型部署工具及示例</w:t>
            </w:r>
            <w:r>
              <w:rPr>
                <w:rFonts w:hint="eastAsia" w:ascii="宋体" w:hAnsi="宋体" w:eastAsia="宋体" w:cs="宋体"/>
                <w:b w:val="0"/>
                <w:bCs w:val="0"/>
                <w:color w:val="auto"/>
                <w:sz w:val="24"/>
                <w:szCs w:val="24"/>
                <w:highlight w:val="none"/>
                <w:lang w:eastAsia="zh-CN"/>
              </w:rPr>
              <w:t xml:space="preserve">。</w:t>
            </w:r>
            <w:r/>
          </w:p>
          <w:p>
            <w:pPr>
              <w:numPr>
                <w:ilvl w:val="0"/>
                <w:numId w:val="0"/>
              </w:num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工业级双目3D深度相机结构光相机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numPr>
                <w:ilvl w:val="0"/>
                <w:numId w:val="7"/>
              </w:num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成像与工作距离：采用双目立体视觉进行深度成像，双目基线不小于 95 mm，工作距离覆盖 0.6～6 m。</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2. 图像性能：深度图分辨率不低于 1280×720，深度输出帧率不低于 10 帧/秒；彩色图像分辨率不低于 1280×800，帧率不低于 10 帧/秒，并采用全局快门。</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3. 视场与惯性测量：深度视场角不小于 </w:t>
            </w:r>
            <w:r>
              <w:rPr>
                <w:rFonts w:hint="eastAsia" w:ascii="宋体" w:hAnsi="宋体" w:eastAsia="宋体" w:cs="宋体"/>
                <w:b w:val="0"/>
                <w:bCs w:val="0"/>
                <w:color w:val="auto"/>
                <w:sz w:val="24"/>
                <w:szCs w:val="24"/>
                <w:highlight w:val="none"/>
                <w:lang w:val="en-US" w:eastAsia="zh-CN"/>
              </w:rPr>
              <w:t xml:space="preserve">85</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5°；配备六轴及以上惯性测量单元（IMU）。</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4. 同步与接口：支持多相机同步、有线数据传输、在线固件升级、硬件时间戳和多机同步；提供 IMU、RS485 及深度置信度图等接口或数据。</w:t>
            </w:r>
            <w:r>
              <w:rPr>
                <w:rFonts w:hint="eastAsia" w:ascii="宋体" w:hAnsi="宋体" w:eastAsia="宋体" w:cs="宋体"/>
                <w:b w:val="0"/>
                <w:bCs w:val="0"/>
                <w:color w:val="auto"/>
                <w:sz w:val="24"/>
                <w:szCs w:val="24"/>
                <w:highlight w:val="none"/>
              </w:rPr>
              <w:br/>
            </w:r>
            <w:r>
              <w:rPr>
                <w:rFonts w:hint="eastAsia" w:ascii="宋体" w:hAnsi="宋体" w:eastAsia="宋体" w:cs="宋体"/>
                <w:b w:val="0"/>
                <w:bCs w:val="0"/>
                <w:color w:val="auto"/>
                <w:sz w:val="24"/>
                <w:szCs w:val="24"/>
                <w:highlight w:val="none"/>
              </w:rPr>
              <w:t xml:space="preserve">5. 环境与开发支持：采用网口接入，防护等级不低于 IP6</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；提供适用于多个平台的软件开发工具包（SDK）、Linux 开发接口、Python 或 C++ 示例，以及 ROS 1/ROS 2 支持和深度数据读取功能。</w:t>
            </w:r>
            <w:r/>
          </w:p>
          <w:p>
            <w:pPr>
              <w:numPr>
                <w:ilvl w:val="0"/>
                <w:numId w:val="0"/>
              </w:num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脑机接口脑电开发平台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numPr>
                <w:ilvl w:val="0"/>
                <w:numId w:val="8"/>
              </w:numPr>
              <w:ind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脑电信号通道数：≥</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通道</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采样频率：500Hz</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信号输入阻抗：≥500MΩ</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共模抑制比：≥1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rPr>
              <w:t xml:space="preserve">0dB</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信号采样精度：24bit</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输入噪声：≤1.</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uVpp</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 输入接口：10pin排口</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输出方式：蓝牙无线传输</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续航参数：</w:t>
            </w:r>
            <w:r>
              <w:rPr>
                <w:rFonts w:hint="eastAsia" w:ascii="宋体" w:hAnsi="宋体" w:eastAsia="宋体" w:cs="宋体"/>
                <w:b w:val="0"/>
                <w:bCs w:val="0"/>
                <w:color w:val="auto"/>
                <w:sz w:val="24"/>
                <w:szCs w:val="24"/>
                <w:highlight w:val="none"/>
              </w:rPr>
              <w:t xml:space="preserve">系统续航≥2h</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上位机软件：实时原始数据采集/去工频陷波器/带通滤波器/数据保存/实时转发</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脑电帽：</w:t>
            </w:r>
            <w:r>
              <w:rPr>
                <w:rFonts w:hint="eastAsia" w:ascii="宋体" w:hAnsi="宋体" w:eastAsia="宋体" w:cs="宋体"/>
                <w:b w:val="0"/>
                <w:bCs w:val="0"/>
                <w:color w:val="auto"/>
                <w:sz w:val="24"/>
                <w:szCs w:val="24"/>
                <w:highlight w:val="none"/>
                <w:lang w:val="en-US" w:eastAsia="zh-CN"/>
              </w:rPr>
              <w:t xml:space="preserve">干或</w:t>
            </w:r>
            <w:r>
              <w:rPr>
                <w:rFonts w:hint="eastAsia" w:ascii="宋体" w:hAnsi="宋体" w:eastAsia="宋体" w:cs="宋体"/>
                <w:b w:val="0"/>
                <w:bCs w:val="0"/>
                <w:color w:val="auto"/>
                <w:sz w:val="24"/>
                <w:szCs w:val="24"/>
                <w:highlight w:val="none"/>
              </w:rPr>
              <w:t xml:space="preserve">湿式电极</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自选通道脑电帽</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平台</w:t>
            </w:r>
            <w:r>
              <w:rPr>
                <w:rFonts w:hint="eastAsia" w:ascii="宋体" w:hAnsi="宋体" w:eastAsia="宋体" w:cs="宋体"/>
                <w:b w:val="0"/>
                <w:bCs w:val="0"/>
                <w:color w:val="auto"/>
                <w:sz w:val="24"/>
                <w:szCs w:val="24"/>
                <w:highlight w:val="none"/>
              </w:rPr>
              <w:t xml:space="preserve">配置：含脑电开发采集模组、自选通道脑电帽、脑电头模、脑电采集导联线、充电线、导电膏</w:t>
            </w:r>
            <w:r>
              <w:rPr>
                <w:rFonts w:hint="eastAsia" w:ascii="宋体" w:hAnsi="宋体" w:eastAsia="宋体" w:cs="宋体"/>
                <w:b w:val="0"/>
                <w:bCs w:val="0"/>
                <w:color w:val="auto"/>
                <w:sz w:val="24"/>
                <w:szCs w:val="24"/>
                <w:highlight w:val="none"/>
                <w:lang w:val="en-US" w:eastAsia="zh-CN"/>
              </w:rPr>
              <w:t xml:space="preserve">等</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开发源码包</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全套程序源码，支持 MATLAB/Python 二次开发，Socket 数据流输出</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实训</w:t>
            </w:r>
            <w:r>
              <w:rPr>
                <w:rFonts w:hint="eastAsia" w:ascii="宋体" w:hAnsi="宋体" w:eastAsia="宋体" w:cs="宋体"/>
                <w:b w:val="0"/>
                <w:bCs w:val="0"/>
                <w:color w:val="auto"/>
                <w:sz w:val="24"/>
                <w:szCs w:val="24"/>
                <w:highlight w:val="none"/>
              </w:rPr>
              <w:t xml:space="preserve">资源</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含指导书</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实训视频等</w:t>
            </w:r>
            <w:r>
              <w:rPr>
                <w:rFonts w:hint="eastAsia" w:ascii="宋体" w:hAnsi="宋体" w:eastAsia="宋体" w:cs="宋体"/>
                <w:b w:val="0"/>
                <w:bCs w:val="0"/>
                <w:color w:val="auto"/>
                <w:sz w:val="24"/>
                <w:szCs w:val="24"/>
                <w:highlight w:val="none"/>
                <w:lang w:eastAsia="zh-CN"/>
              </w:rPr>
              <w:t xml:space="preserve">。</w:t>
            </w:r>
            <w:r/>
          </w:p>
          <w:p>
            <w:pPr>
              <w:numPr>
                <w:ilvl w:val="0"/>
                <w:numId w:val="8"/>
              </w:numPr>
              <w:ind w:left="0" w:firstLine="0"/>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小型机器人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ind w:firstLine="0"/>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性能</w:t>
            </w:r>
            <w:r>
              <w:rPr>
                <w:rFonts w:hint="eastAsia" w:ascii="宋体" w:hAnsi="宋体" w:eastAsia="宋体" w:cs="宋体"/>
                <w:b w:val="0"/>
                <w:bCs w:val="0"/>
                <w:color w:val="auto"/>
                <w:sz w:val="24"/>
                <w:szCs w:val="24"/>
                <w:highlight w:val="none"/>
              </w:rPr>
              <w:t xml:space="preserve">参数：机器人身高需≥300mm；重量需≤16Kg；机身需采用金属与工程塑料相结合的结构设计</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采用可充电锂电池供电，容量需≥</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000mAh</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全身自由度需≥17个，应具备头部、上肢及下肢运动能力。</w:t>
            </w:r>
            <w:r/>
          </w:p>
          <w:p>
            <w:pPr>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控制方式：需支持无线群控功能，可实现多台机器人协同控制及集体表演。</w:t>
            </w:r>
            <w:r/>
          </w:p>
          <w:p>
            <w:pPr>
              <w:ind w:firstLine="0"/>
              <w:pageBreakBefore w:val="0"/>
              <w:spacing w:line="2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运动能力：具备稳定步行能力；支持翻滚等复杂动作；支持舞蹈、竞技及表演等应用场景。</w:t>
            </w:r>
            <w:r/>
          </w:p>
          <w:p>
            <w:pPr>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控制系统：需采用高性能嵌入式控制器，具备动作存储、无线通信及多关节协同控制功能。</w:t>
            </w:r>
            <w:r/>
          </w:p>
          <w:p>
            <w:pPr>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开发平台：需采用高性能嵌入式计算平台，CPU核心数需≥8核；AI算力需≥10TOPS；支持边缘侧人工智能推理计算；支持视觉感知、多模态交互及机器人控制应用开发；支持摄像头接入及视觉算法部署。</w:t>
            </w:r>
            <w:r/>
          </w:p>
          <w:p>
            <w:pPr>
              <w:ind w:firstLine="0"/>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感知能力：需内置视觉感知模块及方向感知模块；摄像头需≥2个，满足图像采集、目标识别及视觉应用开发需求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需配置无线麦克风，实现语音采集与交互功能。</w:t>
            </w:r>
            <w:r/>
          </w:p>
          <w:p>
            <w:pPr>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扩展能力：需具备标准化扩展接口，支持传感器接入及数据采集；提供丰富的输入输出扩展模块，模块数需≥</w:t>
            </w: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rPr>
              <w:t xml:space="preserve">个，支持环境感知及交互控制等应用开发。</w:t>
            </w:r>
            <w:r/>
          </w:p>
          <w:p>
            <w:pPr>
              <w:ind w:firstLine="0"/>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具身智能能力：需支持语音与视觉融合交互能力，支持大语言模型LLM及视觉大模型VLM；支持中英文语音交互；支持机器人功能调用接口；支持系统在线升级能力</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需配套机器人仿真开发平台，支持具身智能与机器人技术研究；具备高保真物理仿真与场景渲染能力；支持场景构建、感知算法验证、运动规划及控制算法开发；需内置机器人协同作业相关案例；内置</w:t>
            </w:r>
            <w:r>
              <w:rPr>
                <w:rFonts w:hint="eastAsia" w:ascii="宋体" w:hAnsi="宋体" w:eastAsia="宋体" w:cs="宋体"/>
                <w:b w:val="0"/>
                <w:bCs w:val="0"/>
                <w:color w:val="auto"/>
                <w:sz w:val="24"/>
                <w:szCs w:val="24"/>
                <w:highlight w:val="none"/>
                <w:lang w:val="en-US" w:eastAsia="zh-CN"/>
              </w:rPr>
              <w:t xml:space="preserve">有</w:t>
            </w:r>
            <w:r>
              <w:rPr>
                <w:rFonts w:hint="eastAsia" w:ascii="宋体" w:hAnsi="宋体" w:eastAsia="宋体" w:cs="宋体"/>
                <w:b w:val="0"/>
                <w:bCs w:val="0"/>
                <w:color w:val="auto"/>
                <w:sz w:val="24"/>
                <w:szCs w:val="24"/>
                <w:highlight w:val="none"/>
              </w:rPr>
              <w:t xml:space="preserve">可交互物体资源；支持强化学习算法训练与验证；支持数字人交互相关应用开发。</w:t>
            </w:r>
            <w:r/>
          </w:p>
          <w:p>
            <w:pPr>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编程平台：需支持图形化编程及高级编程语言开发；支持动作编辑及任务流程设计；内置丰富动作资源库，动作数量需≥</w:t>
            </w: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含实训</w:t>
            </w:r>
            <w:r>
              <w:rPr>
                <w:rFonts w:hint="eastAsia" w:ascii="宋体" w:hAnsi="宋体" w:eastAsia="宋体" w:cs="宋体"/>
                <w:b w:val="0"/>
                <w:bCs w:val="0"/>
                <w:color w:val="auto"/>
                <w:sz w:val="24"/>
                <w:szCs w:val="24"/>
                <w:highlight w:val="none"/>
              </w:rPr>
              <w:t xml:space="preserve">资料，满足实训应用需求。</w:t>
            </w:r>
            <w:r/>
          </w:p>
          <w:p>
            <w:pPr>
              <w:ind w:firstLine="0"/>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w:t>
            </w:r>
            <w:r>
              <w:rPr>
                <w:rFonts w:hint="eastAsia" w:ascii="宋体" w:hAnsi="宋体" w:eastAsia="宋体" w:cs="宋体"/>
                <w:color w:val="auto"/>
                <w:sz w:val="24"/>
                <w:szCs w:val="24"/>
                <w:highlight w:val="none"/>
                <w:lang w:val="en-US" w:eastAsia="zh-CN"/>
              </w:rPr>
              <w:t xml:space="preserve">舵机不少于半年质保，主板1年</w:t>
            </w:r>
            <w:r>
              <w:rPr>
                <w:rFonts w:hint="eastAsia" w:ascii="宋体" w:hAnsi="宋体" w:eastAsia="宋体" w:cs="宋体"/>
                <w:b w:val="0"/>
                <w:bCs w:val="0"/>
                <w:color w:val="auto"/>
                <w:sz w:val="24"/>
                <w:szCs w:val="24"/>
                <w:highlight w:val="none"/>
                <w:lang w:val="en-US" w:eastAsia="zh-CN"/>
              </w:rPr>
              <w:t xml:space="preserve">。</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全地形协同机器人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numPr>
                <w:ilvl w:val="0"/>
                <w:numId w:val="0"/>
              </w:numPr>
              <w:ind w:left="0" w:right="0" w:firstLine="0"/>
              <w:jc w:val="left"/>
              <w:pageBreakBefore w:val="0"/>
              <w:spacing w:line="2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1.模块：</w:t>
            </w:r>
            <w:r>
              <w:rPr>
                <w:rFonts w:hint="eastAsia" w:ascii="宋体" w:hAnsi="宋体" w:eastAsia="宋体" w:cs="宋体"/>
                <w:b w:val="0"/>
                <w:bCs w:val="0"/>
                <w:color w:val="auto"/>
                <w:sz w:val="24"/>
                <w:szCs w:val="24"/>
                <w:highlight w:val="none"/>
              </w:rPr>
              <w:t xml:space="preserve">可组装不少于18种典型机器人功能模块，包括驱动轮模块、大脚轮模块、球片轮模块、小关节模块、大关节模块、连杆关节模块、小夹爪模块、大夹爪模块、履带模块、正三角履带模块、斜三角履带模块、曲柄摇杆仿生模块、偏心轮摇杆仿生腿模块、偏心轮连杆仿生四足模块、偏心轮连杆仿生六足模块、2自由度连杆腿模块</w:t>
            </w:r>
            <w:r>
              <w:rPr>
                <w:rFonts w:hint="eastAsia" w:ascii="宋体" w:hAnsi="宋体" w:eastAsia="宋体" w:cs="宋体"/>
                <w:b w:val="0"/>
                <w:bCs w:val="0"/>
                <w:color w:val="auto"/>
                <w:sz w:val="24"/>
                <w:szCs w:val="24"/>
                <w:highlight w:val="none"/>
                <w:lang w:val="en-US" w:eastAsia="zh-CN"/>
              </w:rPr>
              <w:t xml:space="preserve">等模块，配备</w:t>
            </w:r>
            <w:r>
              <w:rPr>
                <w:rFonts w:hint="eastAsia" w:ascii="宋体" w:hAnsi="宋体" w:eastAsia="宋体" w:cs="宋体"/>
                <w:b w:val="0"/>
                <w:bCs w:val="0"/>
                <w:color w:val="auto"/>
                <w:sz w:val="24"/>
                <w:szCs w:val="24"/>
                <w:highlight w:val="none"/>
              </w:rPr>
              <w:t xml:space="preserve">工程收纳箱</w:t>
            </w:r>
            <w:r>
              <w:rPr>
                <w:rFonts w:hint="eastAsia" w:ascii="宋体" w:hAnsi="宋体" w:eastAsia="宋体" w:cs="宋体"/>
                <w:b w:val="0"/>
                <w:bCs w:val="0"/>
                <w:color w:val="auto"/>
                <w:sz w:val="24"/>
                <w:szCs w:val="24"/>
                <w:highlight w:val="none"/>
                <w:lang w:val="en-US" w:eastAsia="zh-CN"/>
              </w:rPr>
              <w:t xml:space="preserve">。</w:t>
            </w:r>
            <w:r/>
          </w:p>
          <w:p>
            <w:pPr>
              <w:numPr>
                <w:ilvl w:val="0"/>
                <w:numId w:val="0"/>
              </w:numPr>
              <w:ind w:left="0" w:right="0" w:firstLine="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2.模型文件：</w:t>
            </w:r>
            <w:r>
              <w:rPr>
                <w:rFonts w:hint="eastAsia" w:ascii="宋体" w:hAnsi="宋体" w:eastAsia="宋体" w:cs="宋体"/>
                <w:b w:val="0"/>
                <w:bCs w:val="0"/>
                <w:color w:val="auto"/>
                <w:sz w:val="24"/>
                <w:szCs w:val="24"/>
                <w:highlight w:val="none"/>
              </w:rPr>
              <w:t xml:space="preserve">提供不少于55个机构模型文件，作为创新搭建参考案例；支持开展运动学、动力学仿真。</w:t>
            </w:r>
            <w:r/>
          </w:p>
          <w:p>
            <w:pPr>
              <w:numPr>
                <w:ilvl w:val="0"/>
                <w:numId w:val="0"/>
              </w:numPr>
              <w:ind w:left="0" w:right="0" w:firstLine="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3.验证项目：</w:t>
            </w:r>
            <w:r>
              <w:rPr>
                <w:rFonts w:hint="eastAsia" w:ascii="宋体" w:hAnsi="宋体" w:eastAsia="宋体" w:cs="宋体"/>
                <w:b w:val="0"/>
                <w:bCs w:val="0"/>
                <w:color w:val="auto"/>
                <w:sz w:val="24"/>
                <w:szCs w:val="24"/>
                <w:highlight w:val="none"/>
              </w:rPr>
              <w:t xml:space="preserve">整套设备可完成不少于100个</w:t>
            </w:r>
            <w:r>
              <w:rPr>
                <w:rFonts w:hint="eastAsia" w:ascii="宋体" w:hAnsi="宋体" w:eastAsia="宋体" w:cs="宋体"/>
                <w:b w:val="0"/>
                <w:bCs w:val="0"/>
                <w:color w:val="auto"/>
                <w:sz w:val="24"/>
                <w:szCs w:val="24"/>
                <w:highlight w:val="none"/>
                <w:lang w:val="en-US" w:eastAsia="zh-CN"/>
              </w:rPr>
              <w:t xml:space="preserve">验证</w:t>
            </w:r>
            <w:r>
              <w:rPr>
                <w:rFonts w:hint="eastAsia" w:ascii="宋体" w:hAnsi="宋体" w:eastAsia="宋体" w:cs="宋体"/>
                <w:b w:val="0"/>
                <w:bCs w:val="0"/>
                <w:color w:val="auto"/>
                <w:sz w:val="24"/>
                <w:szCs w:val="24"/>
                <w:highlight w:val="none"/>
              </w:rPr>
              <w:t xml:space="preserve">项目，应包括机器人模块化设计、双轮机器人设计、履带机器人设计、2自由度云台实验、5自由度蛇形机器人实验、6自由度双足步行机器人实验、人车混合型机器人实验、扫地机器人实验、工程机器人实验、排爆机器人实验、仿生机器人实验、机械臂实验、三角履带机器人、机器人避障实验、机器人循迹实验、光控实验、声控实验、自平衡机器人实验、温湿度远程监测实验、WiFi视频监控实验、语音对话实验、语音命令实验、颜色识别实验、蓝牙通信实验等。</w:t>
            </w:r>
            <w:r/>
          </w:p>
          <w:p>
            <w:pPr>
              <w:ind w:left="0" w:right="0" w:firstLine="0"/>
              <w:jc w:val="left"/>
              <w:pageBreakBefore w:val="0"/>
              <w:spacing w:before="0" w:after="0"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b w:val="0"/>
                <w:bCs w:val="0"/>
                <w:color w:val="auto"/>
                <w:sz w:val="24"/>
                <w:szCs w:val="24"/>
                <w:highlight w:val="none"/>
              </w:rPr>
              <w:t xml:space="preserve">主控板及扩展板：至少包含1个芯片处理器主控板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至少包含1个用于主板的扩展板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至少包含2个芯片处理器主控板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至少包含1个用于AVR主控板的综合扩展板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至少包含1个用于AVR主控板的手柄扩展板</w:t>
            </w:r>
            <w:r>
              <w:rPr>
                <w:rFonts w:hint="eastAsia" w:ascii="宋体" w:hAnsi="宋体" w:eastAsia="宋体" w:cs="宋体"/>
                <w:b w:val="0"/>
                <w:bCs w:val="0"/>
                <w:color w:val="auto"/>
                <w:sz w:val="24"/>
                <w:szCs w:val="24"/>
                <w:highlight w:val="none"/>
                <w:lang w:eastAsia="zh-CN"/>
              </w:rPr>
              <w:t xml:space="preserve">。</w:t>
            </w:r>
            <w:r/>
          </w:p>
          <w:p>
            <w:pPr>
              <w:ind w:left="0" w:right="0" w:firstLine="0"/>
              <w:jc w:val="left"/>
              <w:pageBreakBefore w:val="0"/>
              <w:spacing w:before="0" w:after="0" w:line="2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5.</w:t>
            </w:r>
            <w:r>
              <w:rPr>
                <w:rFonts w:hint="eastAsia" w:ascii="宋体" w:hAnsi="宋体" w:eastAsia="宋体" w:cs="宋体"/>
                <w:b w:val="0"/>
                <w:bCs w:val="0"/>
                <w:color w:val="auto"/>
                <w:sz w:val="24"/>
                <w:szCs w:val="24"/>
                <w:highlight w:val="none"/>
              </w:rPr>
              <w:t xml:space="preserve">大型金属结构件：包含不少于3种平板零件、不少于7种折弯件、不少于7种连杆零件、不少于3种圆形零件、不少于1种弧形零件、不少于1种传动轴</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采用公制M3光孔无螺纹通孔，无英制尺寸，零件无锋利锐边毛刺，金属喷砂氧化工艺。</w:t>
            </w:r>
            <w:r/>
          </w:p>
          <w:p>
            <w:pPr>
              <w:ind w:left="0" w:right="0" w:firstLine="0"/>
              <w:jc w:val="left"/>
              <w:pageBreakBefore w:val="0"/>
              <w:spacing w:before="0" w:after="0"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6.电机与电源：</w:t>
            </w:r>
            <w:r>
              <w:rPr>
                <w:rFonts w:hint="eastAsia" w:ascii="宋体" w:hAnsi="宋体" w:eastAsia="宋体" w:cs="宋体"/>
                <w:b w:val="0"/>
                <w:bCs w:val="0"/>
                <w:color w:val="auto"/>
                <w:sz w:val="24"/>
                <w:szCs w:val="24"/>
                <w:highlight w:val="none"/>
              </w:rPr>
              <w:t xml:space="preserve">不少于3种电机</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包含伺服电机、最大转动角度不小于260°的大扭矩伺服电机、直流减速电机，金属齿轮结构，满足行走、关节、仿生机构驱动需求</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不少于 3 块锂电池及专用充电器，满足安全规范。</w:t>
            </w:r>
            <w:r/>
          </w:p>
          <w:p>
            <w:pPr>
              <w:ind w:left="0" w:right="0" w:firstLine="0"/>
              <w:jc w:val="left"/>
              <w:pageBreakBefore w:val="0"/>
              <w:spacing w:before="0" w:after="0" w:line="2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传感器：不少于14种，应包括触碰、近红外、循迹、光强、闪动、声控、白标、超声测距、陀螺仪、温湿度、编码器、语音识别、摄像头等。</w:t>
            </w:r>
            <w:r/>
          </w:p>
          <w:p>
            <w:pPr>
              <w:numPr>
                <w:ilvl w:val="0"/>
                <w:numId w:val="0"/>
              </w:numPr>
              <w:ind w:left="0" w:right="0" w:firstLine="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通信模块：</w:t>
            </w:r>
            <w:r>
              <w:rPr>
                <w:rFonts w:hint="eastAsia" w:ascii="宋体" w:hAnsi="宋体" w:eastAsia="宋体" w:cs="宋体"/>
                <w:b w:val="0"/>
                <w:bCs w:val="0"/>
                <w:color w:val="auto"/>
                <w:sz w:val="24"/>
                <w:szCs w:val="24"/>
                <w:highlight w:val="none"/>
                <w:lang w:val="en-US" w:eastAsia="zh-CN"/>
              </w:rPr>
              <w:t xml:space="preserve">包含</w:t>
            </w:r>
            <w:r>
              <w:rPr>
                <w:rFonts w:hint="eastAsia" w:ascii="宋体" w:hAnsi="宋体" w:eastAsia="宋体" w:cs="宋体"/>
                <w:b w:val="0"/>
                <w:bCs w:val="0"/>
                <w:color w:val="auto"/>
                <w:sz w:val="24"/>
                <w:szCs w:val="24"/>
                <w:highlight w:val="none"/>
              </w:rPr>
              <w:t xml:space="preserve">不少于4种，包括蓝牙串口模块、NRF2.4G无线串口模块、WiFi模块等；提供自研安卓、苹果手机APP，支持安卓、苹果手机或平板控制机器人，并提供开发教程。</w:t>
            </w:r>
            <w:r/>
          </w:p>
          <w:p>
            <w:pPr>
              <w:ind w:left="0" w:right="0" w:firstLine="0"/>
              <w:jc w:val="left"/>
              <w:pageBreakBefore w:val="0"/>
              <w:spacing w:before="0" w:after="0"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配套软件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资源与技术服务：提供机器人实验系统软件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配套手机APP支持用户创建多个虚拟遥控器</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支持用户自定义键盘及增加键盘按钮，支持在线保存全部遥控器设置</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提供舵机动作编辑软件</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支持自定义舵机布局，支持舵机角度实时调试，并可即时生成舵机PWM参数组合</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rPr>
              <w:t xml:space="preserve">提供编程环境所需全部软件或软件下载链接，包括C语言编程软件、图形化编程软件、各种驱动程序等；提供所有电子模块的电路文件，提供实验范例全部源程序；器材应有配套的技术资料网站、在线课程网站，并在主流视频网站上提供线上教学视频</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协同分拣机器人</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rPr>
              <w:t xml:space="preserve">大型金属结构件：不少于15种</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包含不少于3种平板零件、不少于5种折弯零件、不少于5种连杆零件、不少于2种圆形零件</w:t>
            </w:r>
            <w:r>
              <w:rPr>
                <w:rFonts w:hint="eastAsia" w:ascii="宋体" w:hAnsi="宋体" w:eastAsia="宋体" w:cs="宋体"/>
                <w:b w:val="0"/>
                <w:bCs w:val="0"/>
                <w:color w:val="auto"/>
                <w:sz w:val="24"/>
                <w:szCs w:val="24"/>
                <w:highlight w:val="none"/>
                <w:lang w:eastAsia="zh-CN"/>
              </w:rPr>
              <w:t xml:space="preserve">。</w:t>
            </w:r>
            <w:r/>
          </w:p>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rPr>
              <w:t xml:space="preserve">塑胶结构件：不少于7种，主要材质为ABS，每个零件均有多个国际标准M3零件孔；不少于1种齿轮、不少于2种电机输出头、不少于5个联轴器、不少于4个1:10模型轮胎、不少于8个硅胶轮胎、不少于100节可调式履带片，履带总长度不小于140cm。</w:t>
            </w:r>
            <w:r/>
          </w:p>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主控板</w:t>
            </w:r>
            <w:r>
              <w:rPr>
                <w:rFonts w:hint="eastAsia" w:ascii="宋体" w:hAnsi="宋体" w:eastAsia="宋体" w:cs="宋体"/>
                <w:b w:val="0"/>
                <w:bCs w:val="0"/>
                <w:color w:val="auto"/>
                <w:sz w:val="24"/>
                <w:szCs w:val="24"/>
                <w:highlight w:val="none"/>
                <w:lang w:val="en-US" w:eastAsia="zh-CN"/>
              </w:rPr>
              <w:t xml:space="preserve">与扩展板</w:t>
            </w:r>
            <w:r>
              <w:rPr>
                <w:rFonts w:hint="eastAsia" w:ascii="宋体" w:hAnsi="宋体" w:eastAsia="宋体" w:cs="宋体"/>
                <w:b w:val="0"/>
                <w:bCs w:val="0"/>
                <w:color w:val="auto"/>
                <w:sz w:val="24"/>
                <w:szCs w:val="24"/>
                <w:highlight w:val="none"/>
              </w:rPr>
              <w:t xml:space="preserve">：至少包含2个主控板</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基于Arduino开源方案设计，</w:t>
            </w:r>
            <w:r>
              <w:rPr>
                <w:rFonts w:hint="eastAsia" w:ascii="宋体" w:hAnsi="宋体" w:eastAsia="宋体" w:cs="宋体"/>
                <w:b w:val="0"/>
                <w:bCs w:val="0"/>
                <w:color w:val="auto"/>
                <w:sz w:val="24"/>
                <w:szCs w:val="24"/>
                <w:highlight w:val="none"/>
                <w:lang w:val="en-US" w:eastAsia="zh-CN"/>
              </w:rPr>
              <w:t xml:space="preserve">每个控制板</w:t>
            </w:r>
            <w:r>
              <w:rPr>
                <w:rFonts w:hint="eastAsia" w:ascii="宋体" w:hAnsi="宋体" w:eastAsia="宋体" w:cs="宋体"/>
                <w:b w:val="0"/>
                <w:bCs w:val="0"/>
                <w:color w:val="auto"/>
                <w:sz w:val="24"/>
                <w:szCs w:val="24"/>
                <w:highlight w:val="none"/>
              </w:rPr>
              <w:t xml:space="preserve">具有至少14路数字输入/输出口</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至少包含2个扩展驱动板，完全兼容Arduino控制板标准接口，可支持与主控板堆叠使用。</w:t>
            </w:r>
            <w:r/>
          </w:p>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4.开发环境：</w:t>
            </w:r>
            <w:r>
              <w:rPr>
                <w:rFonts w:hint="eastAsia" w:ascii="宋体" w:hAnsi="宋体" w:eastAsia="宋体" w:cs="宋体"/>
                <w:b w:val="0"/>
                <w:bCs w:val="0"/>
                <w:color w:val="auto"/>
                <w:sz w:val="24"/>
                <w:szCs w:val="24"/>
                <w:highlight w:val="none"/>
              </w:rPr>
              <w:t xml:space="preserve">支持通过主流编程环境进行程序编写、编译，并将程序下载至主控板运行。</w:t>
            </w:r>
            <w:r/>
          </w:p>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5.电机与电池：</w:t>
            </w:r>
            <w:r>
              <w:rPr>
                <w:rFonts w:hint="eastAsia" w:ascii="宋体" w:hAnsi="宋体" w:eastAsia="宋体" w:cs="宋体"/>
                <w:b w:val="0"/>
                <w:bCs w:val="0"/>
                <w:color w:val="auto"/>
                <w:sz w:val="24"/>
                <w:szCs w:val="24"/>
                <w:highlight w:val="none"/>
              </w:rPr>
              <w:t xml:space="preserve">不少于2种电机，不少于3块锂电池，1个专用充电器。</w:t>
            </w:r>
            <w:r/>
          </w:p>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6.传感器：</w:t>
            </w:r>
            <w:r>
              <w:rPr>
                <w:rFonts w:hint="eastAsia" w:ascii="宋体" w:hAnsi="宋体" w:eastAsia="宋体" w:cs="宋体"/>
                <w:b w:val="0"/>
                <w:bCs w:val="0"/>
                <w:color w:val="auto"/>
                <w:sz w:val="24"/>
                <w:szCs w:val="24"/>
                <w:highlight w:val="none"/>
              </w:rPr>
              <w:t xml:space="preserve">不少于5种，应包括寻迹、</w:t>
            </w:r>
            <w:r>
              <w:rPr>
                <w:rFonts w:hint="eastAsia" w:ascii="宋体" w:hAnsi="宋体" w:eastAsia="宋体" w:cs="宋体"/>
                <w:b w:val="0"/>
                <w:bCs w:val="0"/>
                <w:color w:val="auto"/>
                <w:sz w:val="24"/>
                <w:szCs w:val="24"/>
                <w:highlight w:val="none"/>
                <w:lang w:val="en-US" w:eastAsia="zh-CN"/>
              </w:rPr>
              <w:t xml:space="preserve">触须传感器</w:t>
            </w:r>
            <w:r>
              <w:rPr>
                <w:rFonts w:hint="eastAsia" w:ascii="宋体" w:hAnsi="宋体" w:eastAsia="宋体" w:cs="宋体"/>
                <w:b w:val="0"/>
                <w:bCs w:val="0"/>
                <w:color w:val="auto"/>
                <w:sz w:val="24"/>
                <w:szCs w:val="24"/>
                <w:highlight w:val="none"/>
              </w:rPr>
              <w:t xml:space="preserve">、扫码模块等。</w:t>
            </w:r>
            <w:r/>
          </w:p>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rPr>
              <w:t xml:space="preserve">通信模块：通信模块支持手机控制机器人，并提供.apk文件及开发教程。</w:t>
            </w:r>
            <w:r/>
          </w:p>
          <w:p>
            <w:pPr>
              <w:numPr>
                <w:ilvl w:val="0"/>
                <w:numId w:val="0"/>
              </w:numPr>
              <w:ind w:right="0"/>
              <w:jc w:val="left"/>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rPr>
              <w:t xml:space="preserve">教学资源：应包含1个U盘，提供教材电子文档；提供编程环境所需全部软件，包括C语言编程软件、图形化编程插件、驱动程序、示教编程程序等；</w:t>
            </w:r>
            <w:r>
              <w:rPr>
                <w:rFonts w:hint="eastAsia" w:ascii="宋体" w:hAnsi="宋体" w:eastAsia="宋体" w:cs="宋体"/>
                <w:b w:val="0"/>
                <w:bCs w:val="0"/>
                <w:color w:val="auto"/>
                <w:sz w:val="24"/>
                <w:szCs w:val="24"/>
                <w:highlight w:val="none"/>
                <w:lang w:val="en-US" w:eastAsia="zh-CN"/>
              </w:rPr>
              <w:t xml:space="preserve">提供</w:t>
            </w:r>
            <w:r>
              <w:rPr>
                <w:rFonts w:hint="eastAsia" w:ascii="宋体" w:hAnsi="宋体" w:eastAsia="宋体" w:cs="宋体"/>
                <w:b w:val="0"/>
                <w:bCs w:val="0"/>
                <w:color w:val="auto"/>
                <w:sz w:val="24"/>
                <w:szCs w:val="24"/>
                <w:highlight w:val="none"/>
              </w:rPr>
              <w:t xml:space="preserve">全部样机的STP格式3D文件；提供实验范例的全部源程序</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rPr>
              <w:t xml:space="preserve">其他零配件：不少于16种，包含四驱底盘、六轮被动摇臂式悬挂底盘、履带底盘、大脚底盘、OLED</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2自由度云台、5自由度蛇形机器人、三轮转向底盘、三角履带底盘、主动攀爬底盘等</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配备工程收纳箱</w:t>
            </w:r>
            <w:r>
              <w:rPr>
                <w:rFonts w:hint="eastAsia" w:ascii="宋体" w:hAnsi="宋体" w:eastAsia="宋体" w:cs="宋体"/>
                <w:b w:val="0"/>
                <w:bCs w:val="0"/>
                <w:color w:val="auto"/>
                <w:sz w:val="24"/>
                <w:szCs w:val="24"/>
                <w:highlight w:val="none"/>
                <w:lang w:eastAsia="zh-CN"/>
              </w:rPr>
              <w:t xml:space="preserve">。</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10.提供不少于1年质保。</w:t>
            </w:r>
            <w:r/>
          </w:p>
        </w:tc>
      </w:tr>
      <w:tr>
        <w:trPr>
          <w:trHeight w:val="1167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巡检车</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textDirection w:val="lrTb"/>
            <w:noWrap w:val="false"/>
          </w:tcPr>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整机</w:t>
            </w:r>
            <w:r>
              <w:rPr>
                <w:rFonts w:hint="eastAsia" w:ascii="宋体" w:hAnsi="宋体" w:eastAsia="宋体" w:cs="宋体"/>
                <w:b w:val="0"/>
                <w:bCs w:val="0"/>
                <w:color w:val="auto"/>
                <w:sz w:val="24"/>
                <w:szCs w:val="24"/>
                <w:highlight w:val="none"/>
              </w:rPr>
              <w:t xml:space="preserve">尺寸</w:t>
            </w:r>
            <w:r>
              <w:rPr>
                <w:rFonts w:hint="eastAsia" w:ascii="宋体" w:hAnsi="宋体" w:eastAsia="宋体" w:cs="宋体"/>
                <w:b w:val="0"/>
                <w:bCs w:val="0"/>
                <w:color w:val="auto"/>
                <w:sz w:val="24"/>
                <w:szCs w:val="24"/>
                <w:highlight w:val="none"/>
                <w:lang w:val="en-US" w:eastAsia="zh-CN"/>
              </w:rPr>
              <w:t xml:space="preserve">和底盘</w:t>
            </w:r>
            <w:r>
              <w:rPr>
                <w:rFonts w:hint="eastAsia" w:ascii="宋体" w:hAnsi="宋体" w:eastAsia="宋体" w:cs="宋体"/>
                <w:b w:val="0"/>
                <w:bCs w:val="0"/>
                <w:color w:val="auto"/>
                <w:sz w:val="24"/>
                <w:szCs w:val="24"/>
                <w:highlight w:val="none"/>
              </w:rPr>
              <w:t xml:space="preserve">：长×宽×高不大于400mm×300mm×</w:t>
            </w:r>
            <w:r>
              <w:rPr>
                <w:rFonts w:hint="eastAsia" w:ascii="宋体" w:hAnsi="宋体" w:eastAsia="宋体" w:cs="宋体"/>
                <w:b w:val="0"/>
                <w:bCs w:val="0"/>
                <w:color w:val="auto"/>
                <w:sz w:val="24"/>
                <w:szCs w:val="24"/>
                <w:highlight w:val="none"/>
                <w:lang w:val="en-US" w:eastAsia="zh-CN"/>
              </w:rPr>
              <w:t xml:space="preserve">300</w:t>
            </w:r>
            <w:r>
              <w:rPr>
                <w:rFonts w:hint="eastAsia" w:ascii="宋体" w:hAnsi="宋体" w:eastAsia="宋体" w:cs="宋体"/>
                <w:b w:val="0"/>
                <w:bCs w:val="0"/>
                <w:color w:val="auto"/>
                <w:sz w:val="24"/>
                <w:szCs w:val="24"/>
                <w:highlight w:val="none"/>
                <w:lang w:eastAsia="zh-CN"/>
              </w:rPr>
              <w:t xml:space="preserve">mm，采用阿克曼转向底盘。</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主控制器：CPU最低采用8核64位处理器，主频均不低于2.4GHz；GPU采用集成Mali-G610；NPU算力不低于6 TOPS；内存不低于8GB LPDDR4/4X；存储空间不低于32GB；外设接口不少于2个USB 2.0接口、1个USB 3.0接口、1个Type-C接口（USB 3.1）、1个HDMI 2.1接口（支持8K输出）、1个DP 1.4接口（通过Type-C复用）、2个MIPI DSI接口、1个千兆以太网口及1组26-pin GPIO扩展排针。</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摄像头1：分辨率不低于1920×1080；在1920×1080分辨率下帧率不低于30fps；视角不小于150°；采用CMOS感光芯片；采用USB 2.0连接方式；支持免驱使用及UVC通信协议。</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摄像头2：分辨率不低于1920×1080；在1920×1080分辨率下帧率不低于90fps；视角不小于150°；</w:t>
            </w:r>
            <w:r>
              <w:rPr>
                <w:rFonts w:hint="eastAsia" w:ascii="宋体" w:hAnsi="宋体" w:eastAsia="宋体" w:cs="宋体"/>
                <w:b w:val="0"/>
                <w:bCs w:val="0"/>
                <w:color w:val="auto"/>
                <w:sz w:val="24"/>
                <w:szCs w:val="24"/>
                <w:highlight w:val="none"/>
                <w:lang w:val="en-US" w:eastAsia="zh-CN"/>
              </w:rPr>
              <w:t xml:space="preserve">采用1/2.6英寸全局快门CMOS图像传感器</w:t>
            </w:r>
            <w:r>
              <w:rPr>
                <w:rFonts w:hint="eastAsia" w:ascii="宋体" w:hAnsi="宋体" w:eastAsia="宋体" w:cs="宋体"/>
                <w:b w:val="0"/>
                <w:bCs w:val="0"/>
                <w:color w:val="auto"/>
                <w:sz w:val="24"/>
                <w:szCs w:val="24"/>
                <w:highlight w:val="none"/>
              </w:rPr>
              <w:t xml:space="preserve">；工作电压为5V；工作电流为160～190mA；采用全局快门。</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舵机</w:t>
            </w:r>
            <w:r>
              <w:rPr>
                <w:rFonts w:hint="eastAsia" w:ascii="宋体" w:hAnsi="宋体" w:eastAsia="宋体" w:cs="宋体"/>
                <w:b w:val="0"/>
                <w:bCs w:val="0"/>
                <w:color w:val="auto"/>
                <w:sz w:val="24"/>
                <w:szCs w:val="24"/>
                <w:highlight w:val="none"/>
              </w:rPr>
              <w:t xml:space="preserve">：工作电压为4.8～6.0V；空载转速为0.16～0.18sec/60°；死区不大于2μs；堵转扭矩不低于17.25kg·cm；支持500～2500μs脉冲宽度控制；转动角度为180°。</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网络模块：支持5G NSA和SA组网模式；符合3GPP Release 16标准；支持多模多频段通信；天线接口不少于4个IPEX-4接口；供电电压为3.135～4.4V；无线传输速度为200～500Mbps；接口包含USB 3.1、M.2 B-Key、UART、供电及复位接口；工作温度范围覆盖-30℃～+70℃。</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电机驱动器：支持2S～4S锂电池供电；BEC输出为6.0V/5A；支持正转带刹车、正反转带刹车及正反转不带刹车三种电调模式；支持SET按键编程、LCD编程卡及LED编程盒编程方式；具备低压保护及过热保护功能。</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8</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电机</w:t>
            </w:r>
            <w:r>
              <w:rPr>
                <w:rFonts w:hint="eastAsia" w:ascii="宋体" w:hAnsi="宋体" w:eastAsia="宋体" w:cs="宋体"/>
                <w:b w:val="0"/>
                <w:bCs w:val="0"/>
                <w:color w:val="auto"/>
                <w:sz w:val="24"/>
                <w:szCs w:val="24"/>
                <w:highlight w:val="none"/>
                <w:lang w:val="en-US" w:eastAsia="zh-CN"/>
              </w:rPr>
              <w:t xml:space="preserve">和电池</w:t>
            </w:r>
            <w:r>
              <w:rPr>
                <w:rFonts w:hint="eastAsia" w:ascii="宋体" w:hAnsi="宋体" w:eastAsia="宋体" w:cs="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电机的</w:t>
            </w:r>
            <w:r>
              <w:rPr>
                <w:rFonts w:hint="eastAsia" w:ascii="宋体" w:hAnsi="宋体" w:eastAsia="宋体" w:cs="宋体"/>
                <w:b w:val="0"/>
                <w:bCs w:val="0"/>
                <w:color w:val="auto"/>
                <w:sz w:val="24"/>
                <w:szCs w:val="24"/>
                <w:highlight w:val="none"/>
              </w:rPr>
              <w:t xml:space="preserve">KV值为3500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绕组匝数为13.5T</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功率最低为250W</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电池采用3S锂电池</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容量不低于5400mAh。</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9</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GPS模块：支持BDS、GPS、GLONASS、Galileo及QZSS卫星导航系统；工作温度范围覆盖-40℃～+85℃；中心频率为1575±1MHz。</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0</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陀螺仪模块：工作电压范围覆盖5～36V；支持三轴加速度、三轴陀螺仪及三轴角度测量；姿态角静态精度不低于0.05°、动态精度不低于0.1°；航向角静态精度不低于1°、动态精度不低于1°；分辨率不大于0.0055°；陀螺仪测量范围覆盖±2000°/s；数据输出速率不低于200Hz。</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云台：自由度不少于2个；水平旋转角度为180°；俯仰角度为180°。</w:t>
            </w:r>
            <w:r/>
          </w:p>
          <w:p>
            <w:pPr>
              <w:ind w:firstLine="0"/>
              <w:keepLines/>
              <w:pageBreakBefore w:val="0"/>
              <w:spacing w:line="260" w:lineRule="exact"/>
              <w:widowControl/>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语音播放模块：配置不少于2个麦克风及2个播放器。</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软件系统：操作系统不低于Ubuntu 20.04。</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14.提供不少于1年质保。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中型无铅回流焊炉</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加热方式：采用红外辐射加热、热风循环或其组合方式，但炉内温度要均匀。</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尺寸及加热方式：有效焊接面积≥260 mm×230 mm；支持多段温度曲线编程，至少涵盖预热、加热、焊接、保温、冷却五个阶段。</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功率及电源：额定功率≥3600 W；工作电源AC220V、50/60 Hz。</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控温方式：微电脑控制，分布式热电偶测温；支持无铅焊料及各种合金焊料。</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尺寸及其它：具备自动故障检测报警功能；设备尺寸≤700 mm×620 mm×350 mm，净重≤45 kg。</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数字示波器</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通道设置：模拟通道数2通道；模拟带宽≥70 MHz；最高实时采样率≥1 GSa/s。</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分辨率：ADC分辨率8 bit及以上（优选12 bit）；最大存储深度（单通道）≥14 Mpts/CH。</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3.功能：波形捕获率≥100,000 wfms/s；至少含示波器和频率计功能。</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4.协议：支持RS232/UART、I²C、SPI等协议解码。</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通信接口：USB Host、USB Device、LAN。</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显示屏：显示屏≥7英寸彩色液晶，支持SCPI编程。</w:t>
            </w:r>
            <w:r/>
          </w:p>
          <w:p>
            <w:pPr>
              <w:pageBreakBefore w:val="0"/>
              <w:spacing w:line="260" w:lineRule="exact"/>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信号强度分析仪</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工作频率及灵敏度：频率范围100 kHz～2.9 GHz；灵敏度（DANL）≤-100 dBm。</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分辨率：频率分辨率≤5 kHz；支持频谱分析仪模式和条形图模式。</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工作方式：支持自由运行、单次运行、静噪运行扫描；支持峰值、中心频率、差值标记。</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支持信号：内置频率计数器覆盖9 MHz～2.1 GHz；支持N-FM、W-FM、AM、SSB等信号解调。</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接口及其它：USB数据接口，支持PC端软件导出；内置锂电池续航≥2小时，配全频段天线及充电器。</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可调数字电源</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输入输出参数：输入电压范围7～70 VDC；降压型拓扑，实际输入电压须高于设定输出电压；输出电压0～30 V；输出电流0～5 A；最大输出功率≥150 W。</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显示功能：显示位数≥4位（电压/电流/功率）；支持CV/CC自动切换。</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电池要求：支持电池充电功能，可设定充电截止电流；具备过压、过流、短路保护。</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通信接口：USB通信接口，支持PC上位机软件；具备过温保护。</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散热及其它：具备良好的散热与工作稳定性，适合桌面及实验室环境使用。</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6.提供不少于半年质保。</w:t>
            </w:r>
            <w:r/>
          </w:p>
        </w:tc>
      </w:tr>
      <w:tr>
        <w:trPr>
          <w:trHeight w:val="3201"/>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耐压绝缘测试仪</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耐压特性：AC耐压输出电压0～5.00 kV，精度±2%；DC耐压输出电压0～6.00 kV，精度±2%。</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电流特性：AC电流测试范围0～20 mA（至少覆盖0～12 mA），精度±5%；DC电流测试范围0～5 mA，精度±5%。</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绝缘特性：绝缘电阻测试范围0.1 MΩ～1 GΩ；绝缘电阻测试电压0.10 kV～1.00 kV，精度±2%。</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电弧侦测：支持1～9级电弧侦测；测试结束后自动放电（DCW）。</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测试模式：测试步骤存储≥5组，≥4种测试模式。</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接口及显示：标配PLC接口，图形LCD显示。</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7.提供不少于半年质保。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电磁振动测试台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频率：频率范围0.5～600 Hz连续可调；最大加速度≥20 g（196 m/s²）。</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振动方向及负载：振动方向为垂直方向（单轴）；台面尺寸≥500 mm×500 mm；最大负载≥100 kg（最大加速度工况下需适当降载）。</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振幅及控制方式：振幅范围0～5 mm可调；支持定频、扫频、倍频、对数及可程式控制。</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时间设定：时间设定范围1～99小时可设定；数字式触控面板，支持振幅/加速度闭环控制。</w:t>
            </w:r>
            <w:r/>
          </w:p>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w:t>
            </w: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rPr>
              <w:t xml:space="preserve">过载要求及电源要求：具备过载断电、振幅超限报警；电源AC220V/50 Hz。</w:t>
            </w:r>
            <w:r/>
          </w:p>
          <w:p>
            <w:pPr>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6.提供不少于半年质保。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柔性驱动器打印机</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1.成型原理：非接触式数字光投影型技术。</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rPr>
              <w:t xml:space="preserve">2.光源：UV LED光固化机。</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3.成型尺寸：≥ 120×70×190mm。</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4.成型分辨率：≥1920×1080 DPI。</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5.像素点距：≤65 μm。</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6.打印层厚：最小层厚≤10μm/层。</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7.耗材：20种以上不同耗材，类ABS\类PP、弹性材料、可铸造材料、生物兼容性耗材、耐温300℃以上耗材等等。</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8.最快打印速度：≥10cm/小时。</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9.输入文件格式包括但不限于以下种类：STL, CTL, OBJ, PLY, ZPR, ZBD, AMF, WRL, 3DS, FBX, IGES, IGS, STEP, STP, X-T。</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bidi="ar-SA"/>
              </w:rPr>
              <w:t xml:space="preserve">▲</w:t>
            </w:r>
            <w:r>
              <w:rPr>
                <w:rFonts w:hint="eastAsia" w:ascii="宋体" w:hAnsi="宋体" w:eastAsia="宋体" w:cs="宋体"/>
                <w:b w:val="0"/>
                <w:bCs w:val="0"/>
                <w:color w:val="auto"/>
                <w:sz w:val="24"/>
                <w:szCs w:val="24"/>
                <w:highlight w:val="none"/>
              </w:rPr>
              <w:t xml:space="preserve">10.配套软件要求：</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（1）具备自动生成可编辑的支撑结构；</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（2）需支持标准CAD接口和本地多边形 I/O输入/输出，和 Wide I/O 输入/输出；</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（3）具备模型成型的可行性分析功能；</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（4）可根据使用需求驱动定向工具个性定制化；</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（5）具备设计自动化工具：自动修复数据、提供简易向导，无需 CAD 专业知识，即可实现分割、切割、抠像、抽壳和创建排水孔等任务；</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（6）材料识别防止误添加功能，可估算成型时间；</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（7）具备共享作业队列、成型和材料管理功能。</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11.网络连接：支持10/100/1000以太网接口。</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12.操作系统：Windows 7及以上。</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13.认证要求：具有CE认证。</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14.耗材：至少包含一瓶耐温270°以上的材料（1kg)。</w:t>
            </w:r>
            <w:r/>
          </w:p>
          <w:p>
            <w:pPr>
              <w:pStyle w:val="845"/>
              <w:ind w:firstLine="0"/>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15.提供不少于1年质保。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高压放大器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1.输出电压：±11kv直流或交流峰值。</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2.电压精度：满量程的0.5%。</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3.噪声：＜900mV有效值。</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4.输出电流：±5mA。</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5.额定功率：55W。</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6.压摆率：＞170V/μs。</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7.大信号带宽：空载</w:t>
            </w:r>
            <w:r>
              <w:rPr>
                <w:rFonts w:hint="eastAsia" w:ascii="宋体" w:hAnsi="宋体" w:eastAsia="宋体" w:cs="宋体"/>
                <w:b w:val="0"/>
                <w:bCs w:val="0"/>
                <w:color w:val="auto"/>
                <w:sz w:val="24"/>
                <w:szCs w:val="24"/>
                <w:highlight w:val="none"/>
              </w:rPr>
              <w:noBreakHyphen/>
            </w:r>
            <w:r>
              <w:rPr>
                <w:rFonts w:hint="eastAsia" w:ascii="宋体" w:hAnsi="宋体" w:eastAsia="宋体" w:cs="宋体"/>
                <w:b w:val="0"/>
                <w:bCs w:val="0"/>
                <w:color w:val="auto"/>
                <w:sz w:val="24"/>
                <w:szCs w:val="24"/>
                <w:highlight w:val="none"/>
              </w:rPr>
              <w:t xml:space="preserve">3dB，＞5kHz。</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8.小信号带宽：空载</w:t>
            </w:r>
            <w:r>
              <w:rPr>
                <w:rFonts w:hint="eastAsia" w:ascii="宋体" w:hAnsi="宋体" w:eastAsia="宋体" w:cs="宋体"/>
                <w:b w:val="0"/>
                <w:bCs w:val="0"/>
                <w:color w:val="auto"/>
                <w:sz w:val="24"/>
                <w:szCs w:val="24"/>
                <w:highlight w:val="none"/>
              </w:rPr>
              <w:noBreakHyphen/>
            </w:r>
            <w:r>
              <w:rPr>
                <w:rFonts w:hint="eastAsia" w:ascii="宋体" w:hAnsi="宋体" w:eastAsia="宋体" w:cs="宋体"/>
                <w:b w:val="0"/>
                <w:bCs w:val="0"/>
                <w:color w:val="auto"/>
                <w:sz w:val="24"/>
                <w:szCs w:val="24"/>
                <w:highlight w:val="none"/>
              </w:rPr>
              <w:t xml:space="preserve">3dB，＞50kHz。</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9.输入信号：±11V直流或交流峰值。</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10.输入增益：输入1V对应输出1000V，可进行任意波形放大。</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11.电压监测：1000:1；电压监测精度：满量程的0.1%；电压监测接口：BNC。</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12.电流监测：监测端1V对应 500μA；电流监测精度：满量程的1%；电流监测接口：BNC。</w:t>
            </w:r>
            <w:r/>
          </w:p>
          <w:p>
            <w:pPr>
              <w:pStyle w:val="845"/>
              <w:ind w:firstLine="0"/>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数据采集控制器</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1.系统提供实时控制器，处理器性能不低于双核1.3GHz，2GB 内存、4GB 存储，FPGA 芯片性能不低Xilinx Kintex-7 FPGA，机箱参数不</w:t>
            </w:r>
            <w:r>
              <w:rPr>
                <w:rFonts w:hint="eastAsia" w:ascii="宋体" w:hAnsi="宋体" w:eastAsia="宋体" w:cs="宋体"/>
                <w:b w:val="0"/>
                <w:bCs w:val="0"/>
                <w:color w:val="auto"/>
                <w:sz w:val="24"/>
                <w:szCs w:val="24"/>
                <w:highlight w:val="none"/>
                <w:lang w:val="en-US" w:eastAsia="zh-CN"/>
              </w:rPr>
              <w:t xml:space="preserve">少于</w:t>
            </w:r>
            <w:r>
              <w:rPr>
                <w:rFonts w:hint="eastAsia" w:ascii="宋体" w:hAnsi="宋体" w:eastAsia="宋体" w:cs="宋体"/>
                <w:b w:val="0"/>
                <w:bCs w:val="0"/>
                <w:color w:val="auto"/>
                <w:sz w:val="24"/>
                <w:szCs w:val="24"/>
                <w:highlight w:val="none"/>
              </w:rPr>
              <w:t xml:space="preserve"> 8槽。</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2.控制器操作系统支持 Linux Real-Time 实时操作系统，具备确定性实时控制能力，支持 LabVIEW FPGA 开发。</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3.控制器配备双千兆以太网口、USB 接口、串口，支持 TSN 同步定时。</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4.控制器工作温度范围不低于-20℃ ~ +55℃，具备工业级抗振动、抗冲击特性。</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5.系统提供模拟输出模块，单张模拟模块通道数量不少于 16 通道，系统共计提供32个模拟输出通道，DAC分辨率不低于16bit ，单通道更新速率不低于25kS/s/ch，输出量程 ±10V。</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6.系统提供模拟输入模块，通道数量不低于16通道，ADC分辨率不低于16 bit，单通道采样率不低于200kS/s/ch，输入量程 ±10V。</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7.系统支持图形化编程，支持 LabVIEW、Python、C/C++编程，提供相应 API 接口，支持LabVIEW FPGA模块、LabVIEW realtime模块，可实现波形生成、时序控制、数据采集、信号分析、自动化测试流程。</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8.系统支持 Windows 上位机开发，实时程序下载部署至实时控制器运行。</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9.产品序列号支持原厂溯源，系统提供原厂技术支持、驱动程序、开发例程。</w:t>
            </w:r>
            <w:r/>
          </w:p>
          <w:p>
            <w:pPr>
              <w:pStyle w:val="845"/>
              <w:ind w:firstLine="0"/>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10.提供不少于1年质保。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光学平台</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1.台面尺寸：长1500 mm×宽1000 mm×厚100 mm（尺寸±5%）。</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2.隔振方式：固态橡胶阻尼隔振。</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3.平台高度：800 mm（尺寸±5%）。</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4.台面平面度：0.02～0.05 mm/600×600 mm。</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5.台面粗糙度：≤0.8 μm。</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6.固有频率：垂直：≤6.0 Hz；水平：≤6.0 Hz。</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7.支腿数量：4个独立支撑腿，并有连接杆，带轮，单个支腿横截面尺寸≥120 mm×120 mm。</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8.调平方式：机械。</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9.上台面板：厚度≥5 mm，采用SUS430高导磁不锈钢材料，抛亚光密迪纹理处理，蜂窝式结构设计。</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10.台面安装孔：25 mm等间距均布M6螺纹孔。</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11.最大承重：≥600 kg。</w:t>
            </w:r>
            <w:r/>
          </w:p>
          <w:p>
            <w:pPr>
              <w:pStyle w:val="845"/>
              <w:ind w:firstLine="0"/>
              <w:pageBreakBefore w:val="0"/>
              <w:spacing w:line="26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12.仪器支架参数要求：长1600 mm×宽1100 mm×高2000 mm（尺寸±5%），层数≥3，落地式，采用欧标型材截面尺寸≥40 mm×40 mm，壁厚≥3 mm。</w:t>
            </w:r>
            <w:r/>
          </w:p>
          <w:p>
            <w:pPr>
              <w:pStyle w:val="845"/>
              <w:ind w:firstLine="0"/>
              <w:pageBreakBefore w:val="0"/>
              <w:spacing w:line="260" w:lineRule="exact"/>
              <w:rPr>
                <w:rFonts w:hint="default"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13.提供不少于1年质保。</w:t>
            </w:r>
            <w:r/>
          </w:p>
        </w:tc>
      </w:tr>
      <w:tr>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8" w:type="pct"/>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716"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三维运动综合测试系统</w:t>
            </w:r>
            <w:r>
              <w:rPr>
                <w:rFonts w:hint="eastAsia" w:ascii="宋体" w:hAnsi="宋体" w:eastAsia="宋体" w:cs="宋体"/>
                <w:b w:val="0"/>
                <w:bCs w:val="0"/>
                <w:color w:val="auto"/>
                <w:sz w:val="24"/>
                <w:szCs w:val="24"/>
                <w:highlight w:val="none"/>
                <w:lang w:eastAsia="zh-CN" w:bidi="ar"/>
              </w:rPr>
              <w:t xml:space="preserve">（</w:t>
            </w:r>
            <w:r>
              <w:rPr>
                <w:rFonts w:hint="eastAsia" w:ascii="宋体" w:hAnsi="宋体" w:eastAsia="宋体" w:cs="宋体"/>
                <w:b w:val="0"/>
                <w:bCs w:val="0"/>
                <w:color w:val="auto"/>
                <w:sz w:val="24"/>
                <w:szCs w:val="24"/>
                <w:highlight w:val="none"/>
                <w:lang w:val="en-US" w:eastAsia="zh-CN" w:bidi="ar"/>
              </w:rPr>
              <w:t xml:space="preserve">核心产品</w:t>
            </w:r>
            <w:r>
              <w:rPr>
                <w:rFonts w:hint="eastAsia" w:ascii="宋体" w:hAnsi="宋体" w:eastAsia="宋体" w:cs="宋体"/>
                <w:b w:val="0"/>
                <w:bCs w:val="0"/>
                <w:color w:val="auto"/>
                <w:sz w:val="24"/>
                <w:szCs w:val="24"/>
                <w:highlight w:val="none"/>
                <w:lang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448"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22"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184" w:type="pct"/>
            <w:vAlign w:val="center"/>
            <w:textDirection w:val="lrTb"/>
            <w:noWrap w:val="false"/>
          </w:tcPr>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1.硬件技术要求</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★（1）数量≥6台，最大分辨率下的最大采集频率≥380Hz；视场角≥70°×40。</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▲（2）分辨率不小于2048*1088，且在2048*1088分辨率下的帧率不小于380FPS（需在投标文件中提供由具有CMA资质的检测机构出具的针对本次投标品牌产品的检测报告）。</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在温度不低于80摄氏度和湿度96%RH的环境下可连续正常工作至少48小时；在-40摄氏度环境温度下可工作至少24小时；在90摄氏度环境温度下可工作至少24小时；动作捕捉镜头裸机（不带包装）经历2小时（3-500-3）Hz的震动后仍能正常工作，其外观、结构和功能正常（需在投标文件中提供由具有CMA资质的检测机构出具的针对本次投标品牌产品的检测报告）。</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（4）通过EMC电磁兼容检测认证，需出具第三方检测报告。</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（5）集成采集单元Fx/Fy/Fz≥100N、Tx/Ty/Tz</w:t>
            </w:r>
            <w:r>
              <w:rPr>
                <w:rFonts w:hint="eastAsia" w:ascii="宋体" w:hAnsi="宋体" w:eastAsia="宋体" w:cs="宋体"/>
                <w:b w:val="0"/>
                <w:bCs w:val="0"/>
                <w:color w:val="auto"/>
                <w:sz w:val="24"/>
                <w:szCs w:val="24"/>
                <w:highlight w:val="none"/>
                <w:lang w:val="en-US" w:eastAsia="zh-CN" w:bidi="ar-SA"/>
              </w:rPr>
              <w:t xml:space="preserve">≥8Nm；防护等级≥IP65；集成采集单元分辨率≥20位分度，分度分度1000000，非线性精度优于 0.2%FS；精度优于 0.3%FS；重复性精度优于 0.2%FS；耦合精度优于 2%FS；集成采集单元检测距离≥120mm，检测范围（F.S.）≥±60mm；集成采集单元光源：至少包含红色半导体激光（波长655nm），CLASS2、CLASSⅡ；集成采集单元线性精度优于±0.1％F.S.；分辨率≥30μm；集成采集单元保护等级≥IP67；预热时间≤15分钟；模拟量输出需包含0~10V；输出阻抗≤100Ω。</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2.软件技术要求</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（1）鼠标移至镜头2D视图上时，软件可显示鼠标所在的坐标信息（pixel），该信息显示支持自定义打开或关闭；支持在3D视图中标志点（Marker）的直径设置；需在投标文件中提供软件对应功能模块的截图。</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（2）可以语音控制软件采集数据等；如“连接镜头”、“断开镜头”等；同时，操作软件后可以听到电脑对应发出指定词，如开始播放等；需提供证明所投标产品能够实现本项技术条款的演示视频。</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（3）支持通过软件直接连接视频摄像机，实时显示当前场地中的场景，支持直接通过USB接口连接视频摄像机数量不少于8台；须提供证明所投标产品能够实现本项技术条款的演示视频。</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（4）软件支持智能体座舱，同时支持智能体皮肤显示并内置至少两款智能体皮肤；投标人需在投标文件中提供软件对应功能模块的截图。</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▲（5）软件需具备机器人多模态数据采集模块，支持机器人本体数据采集（关节、雷达、本体视觉、声音）功能，需在投标文件中提供软件对应功能模块的演示视频。</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3.其他技术要求</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（1）固定与支撑配件：投标配置应包含与镜头相同数量的镜头固定装置，包括但不限于镜头云台、三脚架或大力夹/C型夹等，用于镜头的安装固定及角度调节。</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（2）POE交换机：投标配置应包含POE交换机，IEEE 802.3af/at，输入电压AC 220V~ 50Hz，包含足够的供电接口及数据接口，用于所有镜头的供电及数据传输。</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（3）光学标定工具：投标配置应包含L型标定框、T型标定杆各一套，标定工具上配备的标记点应为被动反光式，分段或伸缩设计，无需电池或供电，轻巧便携。</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（4）反光标识点：投标配置应包含反光标识点，被动反光式，小巧轻便且无需电池或供电，不发光，不发热，无辐射且不易损坏。</w:t>
            </w:r>
            <w:r/>
          </w:p>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（5）线缆：投标配置应包含足够数量的超五类双绞线，用于镜头的供电及数据传输。</w:t>
            </w:r>
            <w:r/>
          </w:p>
          <w:p>
            <w:pPr>
              <w:pStyle w:val="845"/>
              <w:ind w:firstLine="0"/>
              <w:pageBreakBefore w:val="0"/>
              <w:spacing w:line="260" w:lineRule="exact"/>
              <w:rPr>
                <w:rFonts w:hint="default"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w:t>
            </w:r>
            <w:r>
              <w:rPr>
                <w:rFonts w:hint="eastAsia" w:ascii="宋体" w:hAnsi="宋体" w:eastAsia="宋体" w:cs="宋体"/>
                <w:b w:val="0"/>
                <w:bCs w:val="0"/>
                <w:color w:val="auto"/>
                <w:sz w:val="24"/>
                <w:szCs w:val="24"/>
                <w:highlight w:val="none"/>
                <w:lang w:val="en-US" w:eastAsia="zh-CN"/>
              </w:rPr>
              <w:t xml:space="preserve">提供不少于1年质保。</w:t>
            </w:r>
            <w:r/>
          </w:p>
        </w:tc>
      </w:tr>
      <w:tr>
        <w:trPr/>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44" w:type="pct"/>
            <w:vAlign w:val="center"/>
            <w:textDirection w:val="lrTb"/>
            <w:noWrap w:val="false"/>
          </w:tcPr>
          <w:p>
            <w:pPr>
              <w:jc w:val="center"/>
              <w:pageBreakBefore w:val="0"/>
              <w:spacing w:line="260" w:lineRule="exact"/>
              <w:rPr>
                <w:rFonts w:hint="eastAsia" w:ascii="宋体" w:hAnsi="宋体" w:eastAsia="宋体" w:cs="宋体"/>
                <w:b w:val="0"/>
                <w:bCs w:val="0"/>
                <w:color w:val="auto"/>
                <w:sz w:val="24"/>
                <w:szCs w:val="24"/>
                <w:highlight w:val="none"/>
                <w:lang w:val="en-US" w:eastAsia="zh-CN" w:bidi="ar"/>
              </w:rPr>
            </w:pPr>
            <w:r>
              <w:rPr>
                <w:rFonts w:hint="eastAsia" w:ascii="宋体" w:hAnsi="宋体" w:eastAsia="宋体" w:cs="宋体"/>
                <w:b w:val="0"/>
                <w:bCs w:val="0"/>
                <w:color w:val="auto"/>
                <w:sz w:val="24"/>
                <w:szCs w:val="24"/>
                <w:highlight w:val="none"/>
                <w:lang w:val="en-US" w:eastAsia="zh-CN" w:bidi="ar"/>
              </w:rPr>
              <w:t xml:space="preserve">备注</w:t>
            </w:r>
            <w:r/>
          </w:p>
        </w:tc>
        <w:tc>
          <w:tcPr>
            <w:gridSpan w:val="3"/>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3955" w:type="pct"/>
            <w:vAlign w:val="center"/>
            <w:textDirection w:val="lrTb"/>
            <w:noWrap w:val="false"/>
          </w:tcPr>
          <w:p>
            <w:pPr>
              <w:pStyle w:val="845"/>
              <w:ind w:firstLine="0"/>
              <w:pageBreakBefore w:val="0"/>
              <w:spacing w:line="260" w:lineRule="exact"/>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技术参数中要求提供演示视频要求：单个视频附件压缩包大小不得超过 50M，整体附件压缩包不得超过 300M，压缩包文件格式为 zip 格式。</w:t>
            </w:r>
            <w:r/>
          </w:p>
        </w:tc>
      </w:tr>
    </w:tbl>
    <w:p>
      <w:pPr>
        <w:spacing w:before="120" w:line="56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rPr>
        <w:t xml:space="preserve">采购包</w:t>
      </w:r>
      <w:r>
        <w:rPr>
          <w:rFonts w:ascii="宋体" w:hAnsi="宋体" w:eastAsia="宋体" w:cs="宋体"/>
          <w:b/>
          <w:bCs/>
          <w:color w:val="auto"/>
          <w:sz w:val="24"/>
          <w:highlight w:val="none"/>
        </w:rPr>
        <w:t xml:space="preserve">4</w:t>
      </w:r>
      <w:r>
        <w:rPr>
          <w:rFonts w:hint="eastAsia" w:ascii="宋体" w:hAnsi="宋体" w:eastAsia="宋体" w:cs="宋体"/>
          <w:b/>
          <w:bCs/>
          <w:color w:val="auto"/>
          <w:sz w:val="24"/>
          <w:highlight w:val="none"/>
        </w:rPr>
        <w:t xml:space="preserve">：具身智能设备</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核心产品</w:t>
      </w:r>
      <w:r>
        <w:rPr>
          <w:rFonts w:hint="eastAsia" w:ascii="宋体" w:hAnsi="宋体" w:eastAsia="宋体" w:cs="宋体"/>
          <w:b/>
          <w:bCs/>
          <w:color w:val="auto"/>
          <w:sz w:val="24"/>
          <w:highlight w:val="none"/>
          <w:shd w:val="clear" w:color="auto"/>
          <w:lang w:val="en-US" w:eastAsia="zh-CN"/>
        </w:rPr>
        <w:t xml:space="preserve">：交互实训人形机器人</w:t>
      </w:r>
      <w:r>
        <w:rPr>
          <w:rFonts w:hint="eastAsia" w:ascii="宋体" w:hAnsi="宋体" w:eastAsia="宋体" w:cs="宋体"/>
          <w:b/>
          <w:bCs/>
          <w:color w:val="auto"/>
          <w:sz w:val="24"/>
          <w:highlight w:val="none"/>
          <w:shd w:val="clear" w:color="auto"/>
          <w:lang w:eastAsia="zh-CN"/>
        </w:rPr>
        <w:t xml:space="preserve">）</w:t>
      </w:r>
      <w:r/>
    </w:p>
    <w:tbl>
      <w:tblPr>
        <w:tblStyle w:val="837"/>
        <w:tblW w:w="9835" w:type="dxa"/>
        <w:tblInd w:w="-38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50"/>
        <w:gridCol w:w="1300"/>
        <w:gridCol w:w="797"/>
        <w:gridCol w:w="701"/>
        <w:gridCol w:w="6187"/>
      </w:tblGrid>
      <w:tr>
        <w:trPr>
          <w:trHeight w:val="24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设备名称</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技术参数</w:t>
            </w:r>
            <w:r/>
          </w:p>
        </w:tc>
      </w:tr>
      <w:tr>
        <w:trPr>
          <w:trHeight w:val="382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具身智能四足机器人1</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1.站立尺寸：长≤70cm、宽≤44cm、高≤56cm。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2.趴下尺寸：长≤76cm、宽≤44cm、高≤29cm。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3.自由度≥12。</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4.整机重量≥15kg（含电池）。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5.供电电压：宽压平台，标称电压不低于 28V。</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6.最大速度 ≥3.0m/s。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7.最大关节扭矩 ≥37.5N·m。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8.载荷≥5kg。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9.最大爬坡 ≥40°，攀爬落差 ≥15cm。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10.具备自主避障能力。</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11.单次续航 ≥1.5h。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12.支持 APP 遥控/数据查看、OTA 升级。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13.支持充电桩回充，配备充电器及遥控/APP遥控。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14.配备广角高清相机；配备麦克风；配备扬声器。</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15.配备WIFI与蓝牙模块。</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16.电池容量≥10000mAh。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17.支持二次开发。</w:t>
            </w:r>
            <w:r/>
          </w:p>
        </w:tc>
      </w:tr>
      <w:tr>
        <w:trPr>
          <w:trHeight w:val="292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具身智能四足机器人2</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1.站立尺寸：长≤70cm、宽≤44cm、高≤56cm。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2.趴下尺寸：长≤76cm、宽≤44cm、高≤29cm。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3.关节电机数量：≥12个。</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4.整机重量 ≥15kg。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5.供电电压：宽压平台，标称电压不低于 28V。</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6.最大速度 ≥3.0m/s。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7.最大关节扭矩 ≥37.5N·m。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8.有效载荷 ≥5kg。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9.最大爬坡 ≥40°，攀爬落差 ≥15cm。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10.具备自主避障能力。</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11.单次续航 ≥1.5h。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12.支持 APP 遥控/数据查看、OTA 升级。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13.支持充电桩回充，配备充电器及遥控/APP遥控。</w:t>
            </w:r>
            <w:r/>
          </w:p>
        </w:tc>
      </w:tr>
      <w:tr>
        <w:trPr>
          <w:trHeight w:val="1202"/>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轮臂复合移动人形机器人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站立尺寸：升起高度 ≥ 130 cm；收缩尺寸长×宽×高 ≤ 70×55×45 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 整机重量：≥ 30 kg（含电池）。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 自由度：整机总自由度 ≥ 19；单手臂自由度 ≥ 7。</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 供电电压：锂电池供电，宽压平台；支持外部供电；单次续航 ≥ 1.5 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 手臂负载：单臂有效载荷 ≥ 2 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 关节扭矩：手臂最大关节扭矩 ≥ 37.5 N·m。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 算力平台：头部或末端算力模块≥10 TOPS；整机或通过扩展坞可达到的算力≥40 TOPS。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 感知配置：双目相机≥1 套；3D激光雷达≥1个；阵列麦克风≥4 阵列；扬声器 ≥2个。</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 通信与交互：支持 Wi-Fi 和蓝牙无线通信；具备语音交互功能；支持 OTA 升级。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 运动与导航：具备自主避障和自主定位导航能力；轮式底盘支持差速或全向移动；最大移动速度 ≥ 1.0 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 末端执行器：支持五指灵巧手扩展，自由度≥6，关节数≥11；具备触觉感知能力。</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 遥控与数据：支持APP遥控/数据查看/OTA 升级；配备手持遥控器或APP遥控≥1 套；充电器 ≥ 1 台；电池 ≥ 1 块；机器人保护支架/安全防护装置≥1 套。</w:t>
            </w:r>
            <w:r/>
          </w:p>
        </w:tc>
      </w:tr>
      <w:tr>
        <w:trPr>
          <w:trHeight w:val="112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多自由度仿生灵巧手</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只</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自由度与关节：主动自由度≥6，运动关节数≥11。</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 单手重量≤1kg。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 通讯接口：支持RS485／CAN／EtherCAT等标准工业总线中至少一种。</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 抓取能力：具备五指协同抓握与捏取能力。</w:t>
            </w:r>
            <w:r/>
          </w:p>
        </w:tc>
      </w:tr>
      <w:tr>
        <w:trPr>
          <w:trHeight w:val="78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标准全尺寸通用人形机器人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站立尺寸：站立高度 ≥ 170 cm；带电池整机重量 ≥ 60 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 自由度：整机总自由度（关节电机）≥ 31；单腿自由度 ≥ 6；单手臂自由度 ≥ 7；腰部自由度 ≥ 2；头部自由度 ≥ 2。</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 手臂负载：单臂峰值负载 ≥ 10 kg，或额定负载 ≥ 5 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 关节扭矩：手臂关节峰值扭矩 ≥ 100 N·m；腿/膝关节峰值扭矩 ≥ 200 N·m。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 供电与续航：锂电池供电；电池总能量 ≥ 0.9 kWh；单次续航 ≥ 2 h，或支持快换电池且综合连续作业 ≥ 2 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 散热系统：具备主动散热系统（风冷或等效主动温控方式）。</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 算力平台：不少于2个算力开发模块（平台控制模块：物理核心数 ≥14 核，总线程数 ≥20，最高睿频 ≥5.0 GHz，三级缓存 ≥24 MB，集成显示核心；用户开发处理器：物理核心数 ≥20 核，总线程数 ≥28，最高睿频 ≥5.4 GHz，三级缓存 ≥33 MB。）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 感知配置：双目相机 ≥ 1 套；阵列式麦克风 ≥ 1 个；扬声器 ≥ 1个。</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 通信与交互：支持 Wi-Fi 6 和蓝牙 5.0 及以上；具备语音交互功能；支持 OTA 升级。</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 关节与结构：关节输出轴承采用工业级轴承（交叉滚子、双沟球或同等规格）；关节电机采用永磁同步电机或同等伺服电机。</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 运动与导航：支持双足行走；具备自主避障和自主定位导航能力。</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 遥控与配件：支持APP遥控/ 数据查看/OTA 升级；配备手持遥控器或APP遥控≥1 套；充电器≥1台；电池 ≥ 1 块；机器人保护支架 / 安全防护装置 ≥ 1 套。</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小尺寸人形机器人</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1.站立尺寸≥120cm×35cm×19cm。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2.带电池重量≥25kg。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3.整机自由度≥24。</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4.单腿自由度≥6。</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5.腰部自由度≥2。</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6.单臂自由度≥5。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7.手臂最大负载≥2kg。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8.基础算力≥8核CPU。</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9.拓展算力≥40 TOPS。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10.配备双目视觉。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11.续航≥1小时。</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12.支持二次开发。</w:t>
            </w:r>
            <w:r/>
          </w:p>
        </w:tc>
      </w:tr>
      <w:tr>
        <w:trPr>
          <w:trHeight w:val="112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协作型六轴机械臂</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自由度≥6。</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2.重复定位精度≤±0.1mm。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3.有效负载≥1kg。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4.本体重量≤15kg。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5.工作半径≥600mm。</w:t>
            </w:r>
            <w:r/>
          </w:p>
        </w:tc>
      </w:tr>
      <w:tr>
        <w:trPr>
          <w:trHeight w:val="540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四足机器人综合实训台</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▲1.模块化实训结构：具备可操作、可调试、可编程的模块化实训结构，能够对机器人执行机构、传动机构、传感器、通信模块及计算模块中的相关组成部分进行教学演示和实验操作。</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2.计算与控制：配备计算与控制单元，可运行机器人控制、数据采集、状态监测及视觉/感知类实验程序；应提供必要的软件环境、接口说明或开发工具。</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执行机构与驱动：具备至少一种机器人电机/关节驱动实训模块，配套驱动或控制单元，支持电机基础控制、速度或角度控制、状态读取等实验；可通过无刷电机、舵机、直流电机、步进电机或等效执行机构实现。</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4.多源感知：具备视觉、距离/环境感知、姿态感知和声音交互等实验能力；至少支持相机、激光雷达或等效距离传感器、IMU、麦克风及扬声器中的相应模块接入和数据读取。</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5.通信与扩展：提供满足平台内部模块连接及外部调试需要的通信接口，支持控制指令下发、状态数据读取及模块扩展；接口可采用以太网、USB、串行总线、CAN或其他等效方式。</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6.电气与安全：如采用交流供电工作台，应支持220V交流输入，并具备必要的过流/漏电保护、启停控制及急停措施；所有电气连接应有清晰标识。</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▲7.可扩展性：平台应支持后续扩展传感器、执行机构、通信模块或实体机器人，并提供必要的接口说明、安装/连接方式或开发文档。</w:t>
            </w:r>
            <w:r/>
          </w:p>
        </w:tc>
      </w:tr>
      <w:tr>
        <w:trPr>
          <w:trHeight w:val="51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小尺寸人形机器人</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1.站立尺寸：站立高度 ≥ 90 cm；长×宽×高 ≤ 140×55×30 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2.整机重量：≥ 10 kg（含电池）。</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3.自由度：整机总自由度（关节电机数）≥ 20；单腿自由度 ≥ 6；单手臂自由度 ≥ 4。</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4.手臂负载：单臂最大负载 ≥ 1 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5.供电与续航：锂电池供电，支持快拆/可更换电池；单次续航 ≥ 1 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6.行走速度：最大移动速度 ≥ 0.5 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7.关节扭矩：膝关节或手臂关节最大峰值扭矩 ≥ 50 N·m。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8.算力平台：基础算力不低于 8核CPU 级别；支持扩展算力模组选配（GPU/NPU/SoC均可）。</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9.视觉感知：配备视觉相机模组（单目或双目 ≥ 1 套）。</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10.语音与通信：配备阵列式麦克风 ≥ 4 阵列；配备扬声器；支持 Wi-Fi 6 和蓝牙 5.2；具备语音交互功能。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11.散热与结构：具备主动散热系统（风冷或等效方式）；采用中空走线或内走线结构。</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12.遥控、升级与配件：支持APP遥控/数据查看/ OTA 升级；配备手持遥控器或 APP 遥控 ≥ 1 套；充电器 ≥ 1 台；电池 ≥ 1 块；机器人保护支架/安全防护装置 ≥ 1 套。</w:t>
            </w:r>
            <w:r/>
          </w:p>
        </w:tc>
      </w:tr>
      <w:tr>
        <w:trPr>
          <w:trHeight w:val="15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灵巧操作人形机器人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1.全身自由度≥41。</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2.单臂负载≥2.5kg。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3.算力≥100 TOPS。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4.配备深度相机。</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5.配备3D 激光雷达。</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6.配备双手灵巧手。</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7.支持二次开发。</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轮臂复合移动人形机器人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1.双臂自由度每臂≥7。</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2.单臂负载≥2.5kg。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3.手臂臂展≥0.4m。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4.升降行程≥400mm。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5.升降速度≥50mm/s。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6.底盘速度≥1.5m/s。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7.算力≥100 TOPS。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8.配备轮式移动底盘。</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▲9.支持配备五指触觉灵巧手。</w:t>
            </w:r>
            <w:r/>
          </w:p>
        </w:tc>
      </w:tr>
      <w:tr>
        <w:trPr>
          <w:trHeight w:val="180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VR 遥操作套件</w:t>
            </w:r>
            <w:r/>
          </w:p>
        </w:tc>
        <w:tc>
          <w:tcPr>
            <w:shd w:val="clear" w:color="auto" w:fill="auto"/>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1.分辨率≥2160×2160。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 刷新率≥90Hz。</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 视场角≥105°。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 支持瞳距（IPD）调节。</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 处理器：≥8核64位，≥2.2GHz，7nm及以下或同等性能。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 运行内存≥8GB、存储空间≥128GB。</w:t>
            </w:r>
            <w:r/>
          </w:p>
        </w:tc>
      </w:tr>
      <w:tr>
        <w:trPr>
          <w:trHeight w:val="15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数据采集云平台</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1.支持新建采集任务功能。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2.支持任务编辑与分配功能。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▲3.支持数据采集与标注功能。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4.支持数据上传与审核功能。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5.支持数据存储功能。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6.支持数据导出功能。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▲7.支持私有化部署。</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交互实训人形机器人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1.自由度：总自由度（关节电机）≥29；单腿自由度≥6；腰部自由度≥3；单手臂自由度≥5。</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2.关节参数：最大关节扭矩≥120N.m；手臂负载≥1.5kg。</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3.尺寸规格：高（站立）≥130cm；带电池重量≥35kg。</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4.供电：电池续航时间≥1.5h。</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5.算力：内置不低于8核的CPU；支持扩展不低于100TOPS算力的算力模组。</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6.感知传感器：配备深度相机≥1个、3D激光雷达≥1个；配备扬声器、麦克风阵列、Wi-Fi、蓝牙。</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7.配件：配备充电器≥1台，手持遥控器≥1台。</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★8.需配套人形机器人课程资源，含可编辑PPT版本课件、课程视频、实践项目文档，内容涵盖强化学习运动控制算法、自主定位导航、环境感知、人形机器人软硬件系统等。</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9.需配套人形机器人智慧导览系统；需提供整套系统源码，源代码中包含自主感知、自主定位、自主避障等功能的实现代码，以及详尽的代码注释与实操手册；支持不少于5种语种自由切换；语音识别准确率≥95%；支持动作片段拆分、组合编辑（如迎宾动作+讲解动作联动）；表演动作可绑定讲解点位（到达指定点位自</w:t>
            </w:r>
            <w:r>
              <w:rPr>
                <w:rFonts w:hint="eastAsia" w:ascii="宋体" w:hAnsi="宋体" w:eastAsia="宋体" w:cs="宋体"/>
                <w:b w:val="0"/>
                <w:bCs w:val="0"/>
                <w:i w:val="0"/>
                <w:iCs w:val="0"/>
                <w:color w:val="auto"/>
                <w:sz w:val="24"/>
                <w:szCs w:val="24"/>
                <w:highlight w:val="none"/>
                <w:u w:val="none"/>
                <w:lang w:val="en-US" w:eastAsia="zh-CN" w:bidi="ar"/>
              </w:rPr>
              <w:t xml:space="preserve">动触发表演）；支持3D地图标注关键讲解点；讲解路线可自主规划/修改；讲解词自由输入/更换；机器人定位精度≤10cm；支持规避静态障碍（堆放物品）、小型障碍、动态障碍（人群）；支持预设/自主规划路线；支持多轮智能问答+本地知识库维护；支持自由大模型接入+RAG技术；支持定点讲解搭配自定义动作；支持友好交互的智能终端，如平板电脑；支持使用智能终端控制机器人移动；支持通过智能终端控制导航点位；支持通过智能终端设置语音内容；支持通过智能终端更新地图；具备展厅管理（地图/标记点）、机器人管理（状态/日志/统计）功能。</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10.需配套人形机器人展厅导览相关的课程资源，课程内容需要人形机器人自主定位、基于大模型的人机对话、RAG、导览系统软件设计原理等内容；课程资源包括可编辑的PPT版本课件、课程视频、实践项目文档等。</w:t>
            </w:r>
            <w:r/>
          </w:p>
        </w:tc>
      </w:tr>
      <w:tr>
        <w:trPr>
          <w:trHeight w:val="112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惯性人体动作捕捉设备</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1.时延≤20ms。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2.无线覆盖≥50m。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3.支持抗磁功能。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4.数据更新率≥100Hz。</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5.提供SDK及软件生态。</w:t>
            </w:r>
            <w:r/>
          </w:p>
        </w:tc>
      </w:tr>
      <w:tr>
        <w:trPr>
          <w:trHeight w:val="9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格斗版人形机器人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1.自由度：总自由度（关节电机）≥29；单腿自由度≥6；腰部自由度≥3；单手臂自由度≥5。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2.尺寸规格：高（站立）≥130cm；带电池重量≥35kg。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3.供电：电池续航时间≥1.5h。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4.算力：</w:t>
            </w:r>
            <w:r>
              <w:rPr>
                <w:rStyle w:val="846"/>
                <w:b w:val="0"/>
                <w:bCs w:val="0"/>
                <w:color w:val="auto"/>
                <w:sz w:val="24"/>
                <w:szCs w:val="24"/>
                <w:highlight w:val="none"/>
                <w:lang w:val="en-US" w:eastAsia="zh-CN" w:bidi="ar"/>
              </w:rPr>
              <w:t xml:space="preserve">内置不低于8核的CPU；支持扩展不低于100TOPS算力的算力模组。</w:t>
            </w:r>
            <w:r>
              <w:rPr>
                <w:rStyle w:val="847"/>
                <w:b w:val="0"/>
                <w:bCs w:val="0"/>
                <w:color w:val="auto"/>
                <w:sz w:val="24"/>
                <w:szCs w:val="24"/>
                <w:highlight w:val="none"/>
                <w:lang w:val="en-US" w:eastAsia="zh-CN" w:bidi="ar"/>
              </w:rPr>
              <w:br/>
            </w:r>
            <w:r>
              <w:rPr>
                <w:rStyle w:val="847"/>
                <w:b w:val="0"/>
                <w:bCs w:val="0"/>
                <w:color w:val="auto"/>
                <w:sz w:val="24"/>
                <w:szCs w:val="24"/>
                <w:highlight w:val="none"/>
                <w:lang w:val="en-US" w:eastAsia="zh-CN" w:bidi="ar"/>
              </w:rPr>
              <w:t xml:space="preserve">5.感知传感器：配备深度相机≥1个、3D激光雷达≥1个；配备扬声器、麦克风阵列、Wi-Fi、蓝牙。</w:t>
            </w:r>
            <w:r>
              <w:rPr>
                <w:rStyle w:val="847"/>
                <w:b w:val="0"/>
                <w:bCs w:val="0"/>
                <w:color w:val="auto"/>
                <w:sz w:val="24"/>
                <w:szCs w:val="24"/>
                <w:highlight w:val="none"/>
                <w:lang w:val="en-US" w:eastAsia="zh-CN" w:bidi="ar"/>
              </w:rPr>
              <w:br/>
            </w:r>
            <w:r>
              <w:rPr>
                <w:rStyle w:val="847"/>
                <w:b w:val="0"/>
                <w:bCs w:val="0"/>
                <w:color w:val="auto"/>
                <w:sz w:val="24"/>
                <w:szCs w:val="24"/>
                <w:highlight w:val="none"/>
                <w:lang w:val="en-US" w:eastAsia="zh-CN" w:bidi="ar"/>
              </w:rPr>
              <w:t xml:space="preserve">6.配件：配备充电器≥1台，手持遥控器≥1台。</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轻量化具身四足机器人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站立尺寸：长≥600mm、宽≥370mm、高≥400mm；整机重量（含电池）≥12kg。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2.持续行走负载≥5kg。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3.斜坡行走能力≥30°。</w:t>
            </w:r>
            <w:r/>
          </w:p>
        </w:tc>
      </w:tr>
      <w:tr>
        <w:trPr>
          <w:trHeight w:val="90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轮式具身四足机器人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负载≥10kg。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2.最高运动速度≥2m/s。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3.轮足斜坡行走能力≥30°。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4.具备越障与攀爬能力。</w:t>
            </w:r>
            <w:r/>
          </w:p>
        </w:tc>
      </w:tr>
      <w:tr>
        <w:trPr>
          <w:trHeight w:val="15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行业级具身四足机器人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 站立尺寸：长≥80cm、宽≥43cm、高≥45cm。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2.整机重量（含电池）≥35kg。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3.工作温度范围：-20℃～50℃。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4.防护等级≥IP54。</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5.最高运动速度≥3.7m/s。</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6.最大楼梯/单级台阶高度≥20cm。</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7.最大斜坡坡度≥40°。</w:t>
            </w:r>
            <w:r/>
          </w:p>
        </w:tc>
      </w:tr>
      <w:tr>
        <w:trPr>
          <w:trHeight w:val="34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全场景自主巡检系统</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1.支持SLAM 环境建图功能。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2.支持多地图管理切换功能。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3.支持实时定位可视化功能。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▲4.支持自路径规划与动态避障功能。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5.支持网页端速度参数配置功能。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6.支持导航快捷指令控制功能。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7.支持机器人底盘远程控制功能。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8.支持躯体动作远程控制功能。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9.支持3D 可视化视图控制功能。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10.支持网页手动遥操作功能。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11.支持多类型点位配置管理功能。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12.支持点位到达触发动作执行功能。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13.支持巡检任务创建功能。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14.巡检任务列表管理功能。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▲15.支持自主导航巡检任务执行功能。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16.气体检测联动告警功能。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▲17.支持可见光/红外图像采集回传功能。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18.支持机器狗设备状态监控异常告警功能。</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★19.需配套四足机器人自主巡检相关的课程资源，课程内容需要包含基于强化学习的机器狗运动控制、点云感知等内容；课程资源包括可编辑的PPT版本课件、课程视频、实践项目文档等。</w:t>
            </w:r>
            <w:r/>
          </w:p>
        </w:tc>
      </w:tr>
      <w:tr>
        <w:trPr>
          <w:trHeight w:val="42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教学课程</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需配套机械臂操作相关的课程资源，课程内容需要包括三维位姿估计、机械臂位姿解算、基于深度学习/强化学习的操作与抓取，以及当下前沿的VLA具身智能方法，在讲解方法原理的同时，配套不少于6个Project用于将理论转化为实践应用；课程资源包括可编辑的PPT版本课件、课程视频、实践项目文档等。</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需配套四足机器人控制相关的课程资源，课程内容需要包含电机控制实验、悬挂四足运动控制实验、步态切换控制实验、开环控制误差与闭环控制实验；课程资源包括可编辑的PPT版本课件、课程视频、实践项目文档等。</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lang w:val="en-US" w:eastAsia="zh-CN" w:bidi="ar"/>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3.需配套多传感器融合定位相关的课程资源，课程内容需要包含3D激光雷达工作原理、激光里程计、点云地图构建、惯性导航原理与解算、基于图优化的定位建图、传感器时空标定；课程资源包括可编辑的PPT版本课件、课程视频、实践项目文档等。</w:t>
            </w:r>
            <w:r/>
          </w:p>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▲4.需提供不少于4次机器人课程师资培训。</w:t>
            </w:r>
            <w:r/>
          </w:p>
        </w:tc>
      </w:tr>
      <w:tr>
        <w:trPr>
          <w:trHeight w:val="202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教学展示人形机器人</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1.自由度：总自由度（关节电机）≥23；单腿自由度≥6；腰部自由度≥3；单手臂自由度≥5。</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2.关节参数：最大关节扭矩≥90N.m；手臂负载≥1.5kg。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3.尺寸规格：高（站立）≥1300mm；带电池重量≥35kg。</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4.供电：电池续航时间≥1.5h。</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5.算力：内置不低于8核的CPU。</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6.感知传感器：配备深度相机≥1个、3D激光雷达≥1个；配备扬声器、麦克风阵列、Wi-Fi、蓝牙。</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7.配件：配备充电器≥1台，手持遥控器≥1台。</w:t>
            </w:r>
            <w:r/>
          </w:p>
        </w:tc>
      </w:tr>
      <w:tr>
        <w:trPr>
          <w:trHeight w:val="6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人形专项竞赛实训场地</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个</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1.需提供配套人形机器人竞赛实训模拟场地，包含竞赛道具等。</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2.需提供配套四足机器人机械结构展示设备。</w:t>
            </w:r>
            <w:r/>
          </w:p>
        </w:tc>
      </w:tr>
      <w:tr>
        <w:trPr>
          <w:trHeight w:val="29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实验笔记本终端</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1.处理器线程数≥24、最高睿频≥5.0 GHz、三级缓存≥36 MB、基础功耗≥45 W且支持PCIe 5.0。</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2.显卡不低于GeForce RTX 5070同等算力水平、显存容量不低于8GB。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3.配备不低于1TB PCIe 4.0硬盘存储。</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4.配备不低于32GB DDR5运行内存。</w:t>
            </w:r>
            <w:r/>
          </w:p>
        </w:tc>
      </w:tr>
      <w:tr>
        <w:trPr>
          <w:trHeight w:val="135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办公电脑终端</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1.处理器不低于14核心20线程，最高加速频率不低于5.3GHz，三级缓存不低于24MB。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2.显卡不低于GeForce RTX 5050同等算力水平、显存容量不低于8GB。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3.配备不低于512G PCIe 4.0硬盘存储。</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4.配备不低于16GB运行内存。</w:t>
            </w:r>
            <w:r/>
          </w:p>
        </w:tc>
      </w:tr>
      <w:tr>
        <w:trPr>
          <w:trHeight w:val="1575"/>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高性能算力工作站</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1.处理器不低于16核心32线程，三级缓存不低于128MB，最高加速频率不低于5.5GHz。</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2.显卡不低于 GeForce RTX 5090D V2 24GB同等算力水平、显存容量不低于24GB。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3.配备不低于2T PCIe 4.0硬盘存储。</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4.配备不低于32GB DDR5运行内存。</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5.电源额定功率不低于1200W。</w:t>
            </w:r>
            <w:r/>
          </w:p>
        </w:tc>
      </w:tr>
      <w:tr>
        <w:trPr>
          <w:trHeight w:val="2250"/>
        </w:trPr>
        <w:tc>
          <w:tcPr>
            <w:shd w:val="clear" w:color="auto" w:fill="ffffff"/>
            <w:tcBorders>
              <w:top w:val="single" w:color="000000" w:sz="4" w:space="0"/>
              <w:left w:val="single" w:color="000000" w:sz="4" w:space="0"/>
              <w:bottom w:val="single" w:color="000000" w:sz="4" w:space="0"/>
              <w:right w:val="single" w:color="000000" w:sz="4" w:space="0"/>
            </w:tcBorders>
            <w:tcW w:w="850" w:type="dxa"/>
            <w:vAlign w:val="center"/>
            <w:textDirection w:val="lrTb"/>
            <w:noWrap w:val="false"/>
          </w:tcPr>
          <w:p>
            <w:pPr>
              <w:jc w:val="center"/>
              <w:keepLines w:val="0"/>
              <w:keepNext w:val="0"/>
              <w:pageBreakBefore w:val="0"/>
              <w:spacing w:line="260" w:lineRule="exact"/>
              <w:widowControl/>
              <w:rPr>
                <w:rFonts w:hint="default" w:ascii="宋体" w:hAnsi="宋体" w:eastAsia="宋体" w:cs="宋体"/>
                <w:b w:val="0"/>
                <w:bCs w:val="0"/>
                <w:i w:val="0"/>
                <w:iCs w:val="0"/>
                <w:color w:val="auto"/>
                <w:sz w:val="24"/>
                <w:szCs w:val="24"/>
                <w:highlight w:val="none"/>
                <w:u w:val="none"/>
                <w:lang w:val="en-US"/>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1300"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行业级算力服务器</w:t>
            </w:r>
            <w:r/>
          </w:p>
        </w:tc>
        <w:tc>
          <w:tcPr>
            <w:shd w:val="clear" w:color="auto" w:fill="ffffff"/>
            <w:tcBorders>
              <w:top w:val="single" w:color="000000" w:sz="4" w:space="0"/>
              <w:left w:val="single" w:color="000000" w:sz="4" w:space="0"/>
              <w:bottom w:val="single" w:color="000000" w:sz="4" w:space="0"/>
              <w:right w:val="single" w:color="000000" w:sz="4" w:space="0"/>
            </w:tcBorders>
            <w:tcW w:w="797"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01" w:type="dxa"/>
            <w:vAlign w:val="center"/>
            <w:textDirection w:val="lrTb"/>
            <w:noWrap w:val="false"/>
          </w:tcPr>
          <w:p>
            <w:pPr>
              <w:jc w:val="center"/>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6187" w:type="dxa"/>
            <w:vAlign w:val="center"/>
            <w:textDirection w:val="lrTb"/>
            <w:noWrap w:val="false"/>
          </w:tcPr>
          <w:p>
            <w:pPr>
              <w:jc w:val="left"/>
              <w:keepLines w:val="0"/>
              <w:keepNext w:val="0"/>
              <w:pageBreakBefore w:val="0"/>
              <w:spacing w:line="260" w:lineRule="exact"/>
              <w:widowControl/>
              <w:rPr>
                <w:rFonts w:hint="eastAsia" w:ascii="宋体" w:hAnsi="宋体" w:eastAsia="宋体" w:cs="宋体"/>
                <w:b w:val="0"/>
                <w:bCs w:val="0"/>
                <w:i w:val="0"/>
                <w:iCs w:val="0"/>
                <w:color w:val="auto"/>
                <w:sz w:val="24"/>
                <w:szCs w:val="24"/>
                <w:highlight w:val="none"/>
                <w:u w:val="none"/>
              </w:rPr>
              <w:suppressLineNumbers w:val="0"/>
            </w:pPr>
            <w:r>
              <w:rPr>
                <w:rFonts w:hint="eastAsia" w:ascii="宋体" w:hAnsi="宋体" w:eastAsia="宋体" w:cs="宋体"/>
                <w:b w:val="0"/>
                <w:bCs w:val="0"/>
                <w:i w:val="0"/>
                <w:iCs w:val="0"/>
                <w:color w:val="auto"/>
                <w:sz w:val="24"/>
                <w:szCs w:val="24"/>
                <w:highlight w:val="none"/>
                <w:u w:val="none"/>
                <w:lang w:val="en-US" w:eastAsia="zh-CN" w:bidi="ar"/>
              </w:rPr>
              <w:t xml:space="preserve">1.配置2颗服务器处理器，单颗物理核心数≥56核、线程数≥112线程，基础频率≥2.0 GHz、三级缓存≥256 MB。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2.配置不少于32条服务器内存，单条容量≥32 GB，类型DDR4 RECC。</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3.配置不少于2块企业级SATA 3.0固态硬盘，单块容量≥960 GB。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4.配置不少于1块企业级NVMe U.2固态硬盘，容量≥7.68 TB。</w:t>
            </w:r>
            <w:r>
              <w:rPr>
                <w:rFonts w:hint="eastAsia" w:ascii="宋体" w:hAnsi="宋体" w:eastAsia="宋体" w:cs="宋体"/>
                <w:b w:val="0"/>
                <w:bCs w:val="0"/>
                <w:i w:val="0"/>
                <w:iCs w:val="0"/>
                <w:color w:val="auto"/>
                <w:sz w:val="24"/>
                <w:szCs w:val="24"/>
                <w:highlight w:val="none"/>
                <w:u w:val="none"/>
                <w:lang w:val="en-US" w:eastAsia="zh-CN" w:bidi="ar"/>
              </w:rPr>
              <w:br/>
            </w:r>
            <w:r>
              <w:rPr>
                <w:rFonts w:hint="eastAsia" w:ascii="宋体" w:hAnsi="宋体" w:eastAsia="宋体" w:cs="宋体"/>
                <w:b w:val="0"/>
                <w:bCs w:val="0"/>
                <w:i w:val="0"/>
                <w:iCs w:val="0"/>
                <w:color w:val="auto"/>
                <w:sz w:val="24"/>
                <w:szCs w:val="24"/>
                <w:highlight w:val="none"/>
                <w:u w:val="none"/>
                <w:lang w:val="en-US" w:eastAsia="zh-CN" w:bidi="ar"/>
              </w:rPr>
              <w:t xml:space="preserve">5.配置不少于4块显卡，显卡不低于GeForce RTX 5090同等算力水平、显存容量不低于24GB。</w:t>
            </w:r>
            <w:r/>
          </w:p>
        </w:tc>
      </w:tr>
    </w:tbl>
    <w:p>
      <w:pPr>
        <w:spacing w:line="360" w:lineRule="auto"/>
        <w:rPr>
          <w:rFonts w:hint="eastAsia"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bCs/>
          <w:color w:val="auto"/>
          <w:sz w:val="24"/>
          <w:szCs w:val="21"/>
          <w:highlight w:val="none"/>
        </w:rPr>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五、供货要求</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1.产品必须是正规厂家新品，不得使用已经淘汰或拼凑、组装的伪劣、假冒部件及产品。所有产品经采购人审验合格后方可进场，所有产品必须符合国家标准和环</w:t>
      </w:r>
      <w:r>
        <w:rPr>
          <w:rFonts w:hint="eastAsia" w:ascii="宋体" w:hAnsi="宋体" w:eastAsia="宋体" w:cs="宋体"/>
          <w:color w:val="auto"/>
          <w:sz w:val="24"/>
          <w:szCs w:val="22"/>
          <w:highlight w:val="none"/>
        </w:rPr>
        <w:t xml:space="preserve">保要求，不得以次充好。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提供设备的供货配置清单。若中标货物质量不符合采购文件要求，采购人有权拒收货物。交货时必须提供主要产品生产厂家供货证明书。中标人所供货物若与投标文件上列明的货物型号、技术指标等不相符，有造假现象的，一经查出，采购人将报经财政监管部门终止合同，中标人承担由此给采购人带来的损失。</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在规定时间内按要求将货物运输至采购人指定的交货地点。零散及易损件须用木箱包装，确保防盗、防震、防潮、防破损，由于运输造成的设备损坏、丢失均由中标人负责处理。未按进度供货的，责任中标人自负。</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3.经采购人确认供货完成后，中标人应在规定时间内完成货物的安装、调试工作，对于安装、调试出现质量问题的，中标人应及时更换。</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4.中标人应确保安全生产，并承担由此产生的安全问题。</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六、检验</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在发货前，乙方应对货物的质量、规格、性能、数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2.货物交付后，在安装前应仔细检查货物自身无缺陷后方可安装，如果存在货物破损、自身材质、规格等质量缺陷，甲方有权要求将货物退场，由此引起的一切后果由乙方承担。</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szCs w:val="22"/>
          <w:highlight w:val="none"/>
        </w:rPr>
        <w:t xml:space="preserve">3.货物进场后乙方继续负责看管工作，如因看管不善所造成的一切损失均由乙方承担；设备进场后乙方应准备好相关初步验收资料，验收内容包括：产地、货号、规格、数量、外观质量，以及设备是否完好。</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七、售后服务要求</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1.质保期：</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采购包1：质保期</w:t>
      </w:r>
      <w:r>
        <w:rPr>
          <w:rFonts w:hint="eastAsia" w:ascii="宋体" w:hAnsi="宋体" w:eastAsia="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年；</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采购包2：等离子刻蚀机</w:t>
      </w:r>
      <w:r>
        <w:rPr>
          <w:rFonts w:hint="eastAsia" w:ascii="宋体" w:hAnsi="宋体" w:eastAsia="宋体" w:cs="宋体"/>
          <w:color w:val="auto"/>
          <w:sz w:val="24"/>
          <w:szCs w:val="22"/>
          <w:highlight w:val="none"/>
          <w:lang w:val="en-US" w:eastAsia="zh-CN"/>
        </w:rPr>
        <w:t xml:space="preserve">1年</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szCs w:val="22"/>
          <w:highlight w:val="none"/>
        </w:rPr>
        <w:t xml:space="preserve">其他3年；</w:t>
      </w:r>
      <w:r/>
    </w:p>
    <w:p>
      <w:pPr>
        <w:ind w:firstLine="480"/>
        <w:spacing w:line="360" w:lineRule="auto"/>
        <w:rPr>
          <w:rFonts w:hint="default" w:ascii="宋体" w:hAnsi="宋体" w:eastAsia="宋体" w:cs="宋体"/>
          <w:color w:val="auto"/>
          <w:sz w:val="24"/>
          <w:szCs w:val="22"/>
          <w:highlight w:val="none"/>
          <w:lang w:val="en-US" w:eastAsia="zh-CN"/>
        </w:rPr>
      </w:pPr>
      <w:r>
        <w:rPr>
          <w:rFonts w:hint="eastAsia" w:ascii="宋体" w:hAnsi="宋体" w:eastAsia="宋体" w:cs="宋体"/>
          <w:color w:val="auto"/>
          <w:sz w:val="24"/>
          <w:szCs w:val="22"/>
          <w:highlight w:val="none"/>
        </w:rPr>
        <w:t xml:space="preserve">采购包3：</w:t>
      </w:r>
      <w:r>
        <w:rPr>
          <w:rFonts w:hint="eastAsia" w:ascii="宋体" w:hAnsi="宋体" w:eastAsia="宋体" w:cs="宋体"/>
          <w:color w:val="auto"/>
          <w:sz w:val="24"/>
          <w:szCs w:val="22"/>
          <w:highlight w:val="none"/>
          <w:lang w:val="en-US" w:eastAsia="zh-CN"/>
        </w:rPr>
        <w:t xml:space="preserve">详见技术参数要求；</w:t>
      </w:r>
      <w:r/>
    </w:p>
    <w:p>
      <w:pPr>
        <w:ind w:firstLine="480"/>
        <w:spacing w:line="360" w:lineRule="auto"/>
        <w:rPr>
          <w:rFonts w:hint="eastAsia" w:ascii="宋体" w:hAnsi="宋体" w:eastAsia="宋体" w:cs="宋体"/>
          <w:color w:val="auto"/>
          <w:sz w:val="24"/>
          <w:szCs w:val="22"/>
          <w:highlight w:val="none"/>
          <w:lang w:eastAsia="zh-CN"/>
        </w:rPr>
      </w:pPr>
      <w:r>
        <w:rPr>
          <w:rFonts w:hint="eastAsia" w:ascii="宋体" w:hAnsi="宋体" w:eastAsia="宋体" w:cs="宋体"/>
          <w:color w:val="auto"/>
          <w:sz w:val="24"/>
          <w:szCs w:val="22"/>
          <w:highlight w:val="none"/>
        </w:rPr>
        <w:t xml:space="preserve">采购包4：</w:t>
      </w:r>
      <w:r>
        <w:rPr>
          <w:rFonts w:hint="eastAsia" w:ascii="宋体" w:hAnsi="宋体" w:eastAsia="宋体" w:cs="宋体"/>
          <w:color w:val="auto"/>
          <w:sz w:val="24"/>
          <w:szCs w:val="22"/>
          <w:highlight w:val="none"/>
          <w:lang w:val="en-US" w:eastAsia="zh-CN"/>
        </w:rPr>
        <w:t xml:space="preserve">质保期5年 </w:t>
      </w:r>
      <w:r>
        <w:rPr>
          <w:rFonts w:hint="eastAsia" w:ascii="宋体" w:hAnsi="宋体" w:eastAsia="宋体" w:cs="宋体"/>
          <w:color w:val="auto"/>
          <w:sz w:val="24"/>
          <w:szCs w:val="22"/>
          <w:highlight w:val="none"/>
          <w:lang w:eastAsia="zh-CN"/>
        </w:rPr>
        <w:t xml:space="preserve">。</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2.中标人对所售出的产品实行三包：即产品在正常使用情况下发生质量问题时，供方应按使用方的要求，负责对产品实行包修、包换、包退（费用包含在本次报价中）。</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3.中标人对由于产品设计、工艺、材料、配套件的缺陷而造成的任何产品质量问题或故障负责。在质量保证期内，中标人负责修理和替换不合格的部件并承担费用，包括部件调换的运输费用。在质量保证期内，更换后的部件或零件质量保证期为更换之日起顺延12个月。</w:t>
      </w:r>
      <w:r/>
    </w:p>
    <w:p>
      <w:pPr>
        <w:ind w:firstLine="480"/>
        <w:spacing w:line="360" w:lineRule="auto"/>
        <w:rPr>
          <w:rFonts w:ascii="宋体" w:hAnsi="宋体" w:eastAsia="宋体" w:cs="宋体"/>
          <w:b/>
          <w:color w:val="auto"/>
          <w:sz w:val="24"/>
          <w:highlight w:val="none"/>
        </w:rPr>
      </w:pPr>
      <w:r>
        <w:rPr>
          <w:rFonts w:hint="eastAsia" w:ascii="宋体" w:hAnsi="宋体" w:eastAsia="宋体" w:cs="宋体"/>
          <w:color w:val="auto"/>
          <w:sz w:val="24"/>
          <w:szCs w:val="22"/>
          <w:highlight w:val="none"/>
        </w:rPr>
        <w:t xml:space="preserve">4.中标人需提供售后技术支持服务，运行中出现故障时，由采购人通知中标人。疑难问题（不危及运行）在24小时内答复用户。重大问题（危及运行）在2小时内到现场处理。特大问题（系统不能正常运行）在2小时内恢复运行，并在24小时内派技术人员到现场解决。现场予以排除故障、修复或更换零部件，或启用替代品。如需更换设备或送修，在2个工作日内解决。采购人不承担所产生的任何费用。</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八、验收要求</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1.投标人货物送达后，采购方对其数量、品种、规格、运输保存方式等进行检查验收，如不合格应无条件退货或换货。</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w:t>
      </w:r>
      <w:r>
        <w:rPr>
          <w:rFonts w:hint="default" w:ascii="Times New Roman" w:hAnsi="Times New Roman" w:eastAsia="宋体" w:cs="Times New Roman"/>
          <w:color w:val="auto"/>
          <w:sz w:val="24"/>
          <w:szCs w:val="24"/>
          <w:highlight w:val="none"/>
        </w:rPr>
        <w:t xml:space="preserve">采购人按国家有关规定、规范以及招标文件、投标文件、技术资料、质量要求和双方签订的合同规定的条款组织验收，必要时邀请相关的专业人员或机构参与验收。若因中标供应商原因造成无法验收通过的，采购人将拒绝付款，并追究中标供应商的违约责任。因货物质量问题发生争议时，由本地质量技术监督部门鉴定，鉴定费由中标人承担。</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3.合同履行期满，中标人向招标人提交项目验收技术资料以及验收申请单，招标人收到验收申请后3个工作日内组织验收，验收合格后付清余款。</w:t>
      </w:r>
      <w:r/>
    </w:p>
    <w:p>
      <w:pPr>
        <w:spacing w:line="360" w:lineRule="auto"/>
        <w:rPr>
          <w:rFonts w:ascii="宋体" w:hAnsi="宋体" w:eastAsia="宋体" w:cs="宋体"/>
          <w:b/>
          <w:bCs/>
          <w:color w:val="auto"/>
          <w:sz w:val="24"/>
          <w:szCs w:val="21"/>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24"/>
          <w:szCs w:val="21"/>
          <w:highlight w:val="none"/>
        </w:rPr>
        <w:t xml:space="preserve">九、项目整体实施要求</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投标人应在投标文件中提供完备的项目实施方案，包括实施方案、质量保证措施及售后服务方案等。</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1.项目实施方案：投标人应根据本项目实施内容制定实施方案，包括但不限于①项目计划（含项目实施、供货、运输）、②项目保障措施、③工期进度保证措施、④项目安装、调试、验收方案等。</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2.质量保障措施：投标人应在投标文件中提出详细的质量控制措施，对可能产生的质量问题分析归纳条理清楚，采取的质量保障措施具体、有效。</w:t>
      </w:r>
      <w:r/>
    </w:p>
    <w:p>
      <w:pPr>
        <w:ind w:firstLine="480"/>
        <w:spacing w:line="360" w:lineRule="auto"/>
        <w:rPr>
          <w:rFonts w:ascii="宋体" w:hAnsi="宋体" w:eastAsia="宋体" w:cs="宋体"/>
          <w:color w:val="auto"/>
          <w:sz w:val="24"/>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1"/>
          <w:highlight w:val="none"/>
        </w:rPr>
        <w:t xml:space="preserve">3.售后服务方案：售后服务方案至少包括：①培训计划、②技术服务方案、服务体系说明、③质量保证承诺、服务质量保证标准、④售后服务承诺及保修细则、⑤售后服务工具配备、售后服务人员配置等，方案应详细全面、科学合理、职责清晰，针对性及可操作性强。</w:t>
      </w:r>
      <w:r/>
    </w:p>
    <w:p>
      <w:pPr>
        <w:jc w:val="left"/>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十、商品包装、快递包装政府采购需求标准（试行）</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jc w:val="left"/>
        <w:spacing w:line="360" w:lineRule="auto"/>
        <w:widowControl/>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十一、采购本国货物、工程和服务</w:t>
      </w:r>
      <w:r/>
    </w:p>
    <w:p>
      <w:pPr>
        <w:ind w:firstLine="480"/>
        <w:spacing w:line="360" w:lineRule="auto"/>
        <w:rPr>
          <w:rFonts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政府采购应当采购本国货物、工程和服务，但有《中华人民共和国政府采购法》第十条规定情形的除外。</w:t>
      </w:r>
      <w:r/>
    </w:p>
    <w:p>
      <w:pPr>
        <w:spacing w:line="360" w:lineRule="auto"/>
        <w:rPr>
          <w:rFonts w:ascii="宋体" w:hAnsi="宋体" w:eastAsia="宋体" w:cs="宋体"/>
          <w:b/>
          <w:bCs/>
          <w:color w:val="auto"/>
          <w:sz w:val="24"/>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eastAsia="宋体" w:cs="宋体"/>
          <w:b/>
          <w:bCs/>
          <w:color w:val="auto"/>
          <w:sz w:val="24"/>
          <w:highlight w:val="none"/>
        </w:rPr>
      </w:r>
      <w:r/>
    </w:p>
    <w:p>
      <w:pPr>
        <w:ind w:firstLine="880"/>
        <w:spacing w:line="500" w:lineRule="exact"/>
        <w:rPr>
          <w:rFonts w:ascii="宋体" w:hAnsi="宋体" w:eastAsia="宋体" w:cs="宋体"/>
          <w:bCs/>
          <w:color w:val="auto"/>
          <w:sz w:val="44"/>
          <w:szCs w:val="22"/>
          <w:highlight w:val="none"/>
        </w:rPr>
      </w:pPr>
      <w:r/>
      <w:bookmarkStart w:id="159" w:name="_Toc120614281"/>
      <w:r/>
      <w:r/>
    </w:p>
    <w:p>
      <w:pPr>
        <w:jc w:val="center"/>
        <w:keepNext/>
        <w:rPr>
          <w:rFonts w:ascii="宋体" w:hAnsi="宋体" w:eastAsia="宋体" w:cs="宋体"/>
          <w:b/>
          <w:color w:val="auto"/>
          <w:sz w:val="44"/>
          <w:szCs w:val="28"/>
          <w:highlight w:val="none"/>
        </w:rPr>
        <w:outlineLvl w:val="0"/>
      </w:pPr>
      <w:r/>
      <w:bookmarkStart w:id="160" w:name="_Toc12800"/>
      <w:r>
        <w:rPr>
          <w:rFonts w:hint="eastAsia" w:ascii="宋体" w:hAnsi="宋体" w:eastAsia="宋体" w:cs="宋体"/>
          <w:b/>
          <w:color w:val="auto"/>
          <w:sz w:val="44"/>
          <w:szCs w:val="28"/>
          <w:highlight w:val="none"/>
        </w:rPr>
        <w:t xml:space="preserve">第五章 评标方法与评标标准</w:t>
      </w:r>
      <w:bookmarkEnd w:id="160"/>
      <w:r/>
      <w:r/>
    </w:p>
    <w:p>
      <w:pPr>
        <w:spacing w:line="500" w:lineRule="exact"/>
        <w:rPr>
          <w:rFonts w:ascii="宋体" w:hAnsi="宋体" w:eastAsia="宋体" w:cs="宋体"/>
          <w:color w:val="auto"/>
          <w:sz w:val="24"/>
          <w:szCs w:val="21"/>
          <w:highlight w:val="none"/>
        </w:rPr>
      </w:pPr>
      <w:r>
        <w:rPr>
          <w:rFonts w:hint="eastAsia" w:ascii="宋体" w:hAnsi="宋体" w:eastAsia="宋体" w:cs="宋体"/>
          <w:b/>
          <w:color w:val="auto"/>
          <w:sz w:val="28"/>
          <w:szCs w:val="22"/>
          <w:highlight w:val="none"/>
        </w:rPr>
        <w:t xml:space="preserve">一、资格审查。</w:t>
      </w:r>
      <w:r>
        <w:rPr>
          <w:rFonts w:hint="eastAsia" w:ascii="宋体" w:hAnsi="宋体" w:eastAsia="宋体" w:cs="宋体"/>
          <w:color w:val="auto"/>
          <w:sz w:val="24"/>
          <w:szCs w:val="21"/>
          <w:highlight w:val="none"/>
        </w:rPr>
        <w:t xml:space="preserve">资格审查人员按照下列指标对各投标人的资格进行审查，未通过审查的为无效标，不参与评标。</w:t>
      </w:r>
      <w:r/>
    </w:p>
    <w:tbl>
      <w:tblPr>
        <w:tblStyle w:val="837"/>
        <w:tblW w:w="5025"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06"/>
        <w:gridCol w:w="4508"/>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资格审查因素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投标声明及承诺函</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信用信息</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bl>
    <w:p>
      <w:pPr>
        <w:spacing w:line="500" w:lineRule="exact"/>
        <w:rPr>
          <w:rFonts w:ascii="宋体" w:hAnsi="宋体" w:eastAsia="宋体" w:cs="宋体"/>
          <w:color w:val="auto"/>
          <w:sz w:val="24"/>
          <w:szCs w:val="21"/>
          <w:highlight w:val="none"/>
        </w:rPr>
      </w:pPr>
      <w:r>
        <w:rPr>
          <w:rFonts w:hint="eastAsia" w:ascii="宋体" w:hAnsi="宋体" w:eastAsia="宋体" w:cs="宋体"/>
          <w:b/>
          <w:color w:val="auto"/>
          <w:sz w:val="28"/>
          <w:szCs w:val="22"/>
          <w:highlight w:val="none"/>
        </w:rPr>
        <w:t xml:space="preserve">二、符合性审查。</w:t>
      </w:r>
      <w:r>
        <w:rPr>
          <w:rFonts w:hint="eastAsia" w:ascii="宋体" w:hAnsi="宋体" w:eastAsia="宋体" w:cs="宋体"/>
          <w:color w:val="auto"/>
          <w:sz w:val="24"/>
          <w:szCs w:val="21"/>
          <w:highlight w:val="none"/>
        </w:rPr>
        <w:t xml:space="preserve">评标委员会首先按照下列指标对各投标人的投标文件进行符合性审查，未通过审查的为无效标，不再参与评审。</w:t>
      </w:r>
      <w:r/>
    </w:p>
    <w:tbl>
      <w:tblPr>
        <w:tblStyle w:val="837"/>
        <w:tblW w:w="5034" w:type="pct"/>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514"/>
        <w:gridCol w:w="4516"/>
      </w:tblGrid>
      <w:tr>
        <w:trPr/>
        <w:tc>
          <w:tcPr>
            <w:tcBorders>
              <w:top w:val="single" w:color="auto" w:sz="6" w:space="0"/>
              <w:left w:val="single" w:color="auto" w:sz="6" w:space="0"/>
              <w:bottom w:val="single" w:color="auto" w:sz="6" w:space="0"/>
              <w:right w:val="single" w:color="auto" w:sz="6" w:space="0"/>
            </w:tcBorders>
            <w:tcW w:w="2499"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法人授权书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技术标准和要求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符合招标文件要求</w:t>
            </w:r>
            <w:r/>
          </w:p>
        </w:tc>
      </w:tr>
    </w:tbl>
    <w:p>
      <w:pPr>
        <w:spacing w:line="500" w:lineRule="exact"/>
        <w:rPr>
          <w:rFonts w:ascii="宋体" w:hAnsi="宋体" w:eastAsia="宋体" w:cs="宋体"/>
          <w:b/>
          <w:color w:val="auto"/>
          <w:sz w:val="28"/>
          <w:szCs w:val="22"/>
          <w:highlight w:val="none"/>
        </w:rPr>
      </w:pPr>
      <w:r>
        <w:rPr>
          <w:rFonts w:hint="eastAsia" w:ascii="宋体" w:hAnsi="宋体" w:eastAsia="宋体" w:cs="宋体"/>
          <w:b/>
          <w:color w:val="auto"/>
          <w:sz w:val="28"/>
          <w:szCs w:val="22"/>
          <w:highlight w:val="none"/>
        </w:rPr>
        <w:t xml:space="preserve">三、评分办法—综合评分法</w:t>
      </w:r>
      <w:r/>
    </w:p>
    <w:p>
      <w:pPr>
        <w:ind w:firstLine="482"/>
        <w:spacing w:line="500" w:lineRule="exact"/>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 xml:space="preserve">（一）评标办法：</w:t>
      </w:r>
      <w:r>
        <w:rPr>
          <w:rFonts w:hint="eastAsia" w:ascii="宋体" w:hAnsi="宋体" w:eastAsia="宋体" w:cs="宋体"/>
          <w:color w:val="auto"/>
          <w:sz w:val="24"/>
          <w:szCs w:val="21"/>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评标委员会根据评审后投标人排序推荐中标候选人。投标文件满足招标文件全部实质性要求，且评审后排序第一的投标人为第一中标候选人，依次类推。综合评分保留至小数点后两位。</w:t>
      </w:r>
      <w:r/>
    </w:p>
    <w:p>
      <w:pPr>
        <w:ind w:firstLine="482"/>
        <w:jc w:val="left"/>
        <w:spacing w:line="500" w:lineRule="exact"/>
        <w:rPr>
          <w:rFonts w:ascii="宋体" w:hAnsi="宋体" w:eastAsia="宋体" w:cs="宋体"/>
          <w:color w:val="auto"/>
          <w:sz w:val="24"/>
          <w:szCs w:val="21"/>
          <w:highlight w:val="none"/>
        </w:rPr>
      </w:pPr>
      <w:r>
        <w:rPr>
          <w:rFonts w:hint="eastAsia" w:ascii="宋体" w:hAnsi="宋体" w:eastAsia="宋体" w:cs="宋体"/>
          <w:b/>
          <w:color w:val="auto"/>
          <w:sz w:val="24"/>
          <w:highlight w:val="none"/>
        </w:rPr>
        <w:t xml:space="preserve">（二）详细评审。</w:t>
      </w:r>
      <w:r>
        <w:rPr>
          <w:rFonts w:hint="eastAsia" w:ascii="宋体" w:hAnsi="宋体" w:eastAsia="宋体" w:cs="宋体"/>
          <w:color w:val="auto"/>
          <w:sz w:val="24"/>
          <w:highlight w:val="none"/>
        </w:rPr>
        <w:t xml:space="preserve">评标委员会按照招标文件规定的评分标准，对各投标文件进行</w:t>
      </w:r>
      <w:r>
        <w:rPr>
          <w:rFonts w:hint="eastAsia" w:ascii="宋体" w:hAnsi="宋体" w:eastAsia="宋体" w:cs="宋体"/>
          <w:color w:val="auto"/>
          <w:sz w:val="24"/>
          <w:szCs w:val="21"/>
          <w:highlight w:val="none"/>
        </w:rPr>
        <w:t xml:space="preserve">详细评审打分。评标委员会组长对各评审专家的打分情况进行复核无误后汇总，形成评审报告。</w:t>
      </w:r>
      <w:r/>
    </w:p>
    <w:p>
      <w:pPr>
        <w:ind w:firstLine="241"/>
        <w:jc w:val="left"/>
        <w:spacing w:line="500" w:lineRule="exact"/>
        <w:rPr>
          <w:rFonts w:ascii="宋体" w:hAnsi="宋体" w:eastAsia="宋体" w:cs="宋体"/>
          <w:b/>
          <w:bCs/>
          <w:color w:val="auto"/>
          <w:sz w:val="24"/>
          <w:szCs w:val="21"/>
          <w:highlight w:val="none"/>
        </w:rPr>
      </w:pPr>
      <w:r>
        <w:rPr>
          <w:rFonts w:hint="eastAsia" w:ascii="宋体" w:hAnsi="宋体" w:eastAsia="宋体" w:cs="宋体"/>
          <w:b/>
          <w:bCs/>
          <w:color w:val="auto"/>
          <w:sz w:val="24"/>
          <w:highlight w:val="none"/>
        </w:rPr>
        <w:t xml:space="preserve">采购包1评标办法：</w:t>
      </w:r>
      <w:r/>
    </w:p>
    <w:p>
      <w:pPr>
        <w:rPr>
          <w:rFonts w:ascii="宋体" w:hAnsi="宋体" w:eastAsia="宋体" w:cs="宋体"/>
          <w:color w:val="auto"/>
          <w:szCs w:val="21"/>
          <w:highlight w:val="none"/>
        </w:rPr>
      </w:pPr>
      <w:r>
        <w:rPr>
          <w:rFonts w:ascii="宋体" w:hAnsi="宋体" w:eastAsia="宋体" w:cs="宋体"/>
          <w:color w:val="auto"/>
          <w:szCs w:val="21"/>
          <w:highlight w:val="none"/>
        </w:rPr>
      </w:r>
      <w:r/>
    </w:p>
    <w:tbl>
      <w:tblPr>
        <w:tblStyle w:val="837"/>
        <w:tblW w:w="507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8"/>
        <w:gridCol w:w="1569"/>
        <w:gridCol w:w="905"/>
        <w:gridCol w:w="5616"/>
      </w:tblGrid>
      <w:tr>
        <w:trPr/>
        <w:tc>
          <w:tcPr>
            <w:gridSpan w:val="2"/>
            <w:tcW w:w="2565"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分数</w:t>
            </w:r>
            <w:r/>
          </w:p>
        </w:tc>
        <w:tc>
          <w:tcPr>
            <w:tcW w:w="561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报价分</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技术响应</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技术参数响应</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针对招标文件“第四章、采购需求”的“四、采购产品参数要求”中所列内容进行评分，所投产品技术参数完全满足或优于招标文件技术参数要求的得30分。</w:t>
            </w:r>
            <w:r>
              <w:rPr>
                <w:rFonts w:ascii="Segoe UI" w:hAnsi="Segoe UI" w:eastAsia="Segoe UI" w:cs="Segoe UI"/>
                <w:color w:val="auto"/>
                <w:sz w:val="24"/>
                <w:szCs w:val="24"/>
                <w:highlight w:val="none"/>
              </w:rPr>
              <w:t xml:space="preserve">标★项为实质性参数要求，不接受负偏离</w:t>
            </w:r>
            <w:r>
              <w:rPr>
                <w:rFonts w:hint="eastAsia" w:ascii="Segoe UI" w:hAnsi="Segoe UI" w:eastAsia="宋体" w:cs="Segoe UI"/>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标“▲”为重点参数要求，每有一项（一个句号的完整内容为一“项”）不满足的扣1分；其余一般参数项每有一项（一个句号的完整内容为一“项”，“</w:t>
            </w:r>
            <w:r>
              <w:rPr>
                <w:rFonts w:ascii="Segoe UI" w:hAnsi="Segoe UI" w:eastAsia="Segoe UI" w:cs="Segoe U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”“▲”项除外）负偏离扣0.45分，扣完为止。 </w:t>
            </w:r>
            <w:r/>
          </w:p>
          <w:p>
            <w:pPr>
              <w:ind w:left="0" w:right="0"/>
              <w:jc w:val="both"/>
              <w:keepLines w:val="0"/>
              <w:keepNext w:val="0"/>
              <w:spacing w:before="0" w:beforeAutospacing="0" w:after="0" w:afterAutospacing="0"/>
              <w:widowControl w:val="off"/>
              <w:rPr>
                <w:rFonts w:ascii="宋体" w:hAnsi="宋体" w:eastAsia="宋体" w:cs="宋体"/>
                <w:color w:val="auto"/>
                <w:sz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企业经营业绩、信誉</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企业业绩</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tcW w:w="5611"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投标人自2023年1月1日（以合同签订时间为准）以来，具有类似业绩的，每有一个业绩得4分，本项最高得12分。</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注：须提供业绩合同原件扫描件和中标（成交）通知书原件扫描件，业绩合同中主要内容、标的等需清晰可见，未提供或字迹模糊不清不得分。</w:t>
            </w:r>
            <w:r/>
          </w:p>
        </w:tc>
      </w:tr>
      <w:tr>
        <w:trPr/>
        <w:tc>
          <w:tcPr>
            <w:tcW w:w="997"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至少包括：①项目计划（含项目实施、供货、运输）、②项目保障措施、③工期进度保证措施、④项目安装、调试、验收方案等。实施方案详细全面、项目计划科学合理，整体针对性及可操作性强的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分；实施方案较详细、项目计划较合理，整体针对性及可操作性较强的得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分；实施方案较简单、项目计划基本合理，整体针对性及可操作性一般的得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质量保障措施</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采购包2评标办法：</w:t>
      </w:r>
      <w:r/>
    </w:p>
    <w:p>
      <w:pPr>
        <w:rPr>
          <w:rFonts w:ascii="宋体" w:hAnsi="宋体" w:eastAsia="宋体" w:cs="宋体"/>
          <w:color w:val="auto"/>
          <w:szCs w:val="21"/>
          <w:highlight w:val="none"/>
        </w:rPr>
      </w:pPr>
      <w:r>
        <w:rPr>
          <w:rFonts w:ascii="宋体" w:hAnsi="宋体" w:eastAsia="宋体" w:cs="宋体"/>
          <w:color w:val="auto"/>
          <w:szCs w:val="21"/>
          <w:highlight w:val="none"/>
        </w:rPr>
      </w:r>
      <w:r/>
    </w:p>
    <w:tbl>
      <w:tblPr>
        <w:tblStyle w:val="837"/>
        <w:tblW w:w="507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8"/>
        <w:gridCol w:w="1569"/>
        <w:gridCol w:w="905"/>
        <w:gridCol w:w="5616"/>
      </w:tblGrid>
      <w:tr>
        <w:trPr/>
        <w:tc>
          <w:tcPr>
            <w:gridSpan w:val="2"/>
            <w:tcW w:w="2565"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分数</w:t>
            </w:r>
            <w:r/>
          </w:p>
        </w:tc>
        <w:tc>
          <w:tcPr>
            <w:tcW w:w="561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报价分</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技术响应</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技术参数响应</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针对招标文件“第四章、采购需求”的“四、采购产品参数要求”中所列内容进行评分，所投产品技术参数完全满足或优于招标文件技术参数要求的得30分。</w:t>
            </w:r>
            <w:r>
              <w:rPr>
                <w:rFonts w:ascii="Segoe UI" w:hAnsi="Segoe UI" w:eastAsia="Segoe UI" w:cs="Segoe UI"/>
                <w:color w:val="auto"/>
                <w:sz w:val="24"/>
                <w:szCs w:val="24"/>
                <w:highlight w:val="none"/>
              </w:rPr>
              <w:t xml:space="preserve">标★项为实质性参数要求，不接受负偏离</w:t>
            </w:r>
            <w:r>
              <w:rPr>
                <w:rFonts w:hint="eastAsia" w:ascii="Segoe UI" w:hAnsi="Segoe UI" w:eastAsia="宋体" w:cs="Segoe UI"/>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标“▲”为重点参数要求，每有一项（一个句号的完整内容为一“项”）不满足的扣1分；其余一般参数项每有一项（一个句号的完整内容为一“项”，“</w:t>
            </w:r>
            <w:r>
              <w:rPr>
                <w:rFonts w:ascii="Segoe UI" w:hAnsi="Segoe UI" w:eastAsia="Segoe UI" w:cs="Segoe U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”“▲”项除外）负偏离扣0.18分，扣完为止。 </w:t>
            </w:r>
            <w:r/>
          </w:p>
          <w:p>
            <w:pPr>
              <w:jc w:val="left"/>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企业经营业绩、信誉</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企业业绩</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tcW w:w="5611"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投标人自2023年1月1日（以合同签订时间为准）以来，具有类似业绩的，每有一个业绩得4分，本项最高得12分。</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注：须提供业绩合同原件扫描件和中标（成交）通知书原件扫描件，业绩合同中主要内容、标的等需清晰可见，未提供或字迹模糊不清不得分。</w:t>
            </w:r>
            <w:r/>
          </w:p>
        </w:tc>
      </w:tr>
      <w:tr>
        <w:trPr/>
        <w:tc>
          <w:tcPr>
            <w:tcW w:w="997"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至少包括：①项目计划（含项目实施、供货、运输）、②项目保障措施、③工期进度保证措施、④项目安装、调试、验收方案等。实施方案详细全面、项目计划科学合理，整体针对性及可操作性强的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分；实施方案较详细、项目计划较合理，整体针对性及可操作性较强的得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分；实施方案较简单、项目计划基本合理，整体针对性及可操作性一般的得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质量保障措施</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采购包3评标办法：</w:t>
      </w:r>
      <w:r/>
    </w:p>
    <w:p>
      <w:pPr>
        <w:rPr>
          <w:rFonts w:ascii="宋体" w:hAnsi="宋体" w:eastAsia="宋体" w:cs="宋体"/>
          <w:color w:val="auto"/>
          <w:szCs w:val="21"/>
          <w:highlight w:val="none"/>
        </w:rPr>
      </w:pPr>
      <w:r>
        <w:rPr>
          <w:rFonts w:ascii="宋体" w:hAnsi="宋体" w:eastAsia="宋体" w:cs="宋体"/>
          <w:color w:val="auto"/>
          <w:szCs w:val="21"/>
          <w:highlight w:val="none"/>
        </w:rPr>
      </w:r>
      <w:r/>
    </w:p>
    <w:tbl>
      <w:tblPr>
        <w:tblStyle w:val="837"/>
        <w:tblW w:w="507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8"/>
        <w:gridCol w:w="1569"/>
        <w:gridCol w:w="905"/>
        <w:gridCol w:w="5616"/>
      </w:tblGrid>
      <w:tr>
        <w:trPr/>
        <w:tc>
          <w:tcPr>
            <w:gridSpan w:val="2"/>
            <w:tcW w:w="2565"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分数</w:t>
            </w:r>
            <w:r/>
          </w:p>
        </w:tc>
        <w:tc>
          <w:tcPr>
            <w:tcW w:w="561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报价分</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技术响应</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技术参数响应</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针对招标文件“第四章、采购需求”的“四、采购产品参数要求”中所列内容进行评分，所投产品技术参数完全满足或优于招标文件技术参数要求的得30分。</w:t>
            </w:r>
            <w:r>
              <w:rPr>
                <w:rFonts w:ascii="Segoe UI" w:hAnsi="Segoe UI" w:eastAsia="Segoe UI" w:cs="Segoe UI"/>
                <w:color w:val="auto"/>
                <w:sz w:val="24"/>
                <w:szCs w:val="24"/>
                <w:highlight w:val="none"/>
              </w:rPr>
              <w:t xml:space="preserve">标★项为实质性参数要求，不接受负偏离</w:t>
            </w:r>
            <w:r>
              <w:rPr>
                <w:rFonts w:hint="eastAsia" w:ascii="Segoe UI" w:hAnsi="Segoe UI" w:eastAsia="宋体" w:cs="Segoe UI"/>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标“▲”为重点参数要求，每有一项（一个句号的完整内容为一“项”）不满足的扣1分；其余一般参数项每有一项（一个句号的完整内容为一“项”，“</w:t>
            </w:r>
            <w:r>
              <w:rPr>
                <w:rFonts w:ascii="Segoe UI" w:hAnsi="Segoe UI" w:eastAsia="Segoe UI" w:cs="Segoe U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”“▲”项除外）负偏离扣0.08分，扣完为止。 </w:t>
            </w:r>
            <w:r/>
          </w:p>
          <w:p>
            <w:pPr>
              <w:jc w:val="left"/>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企业经营业绩、信誉</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企业业绩</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tcW w:w="5611"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投标人自2023年1月1日（以合同签订时间为准）以来，具有类似业绩的，每有一个业绩得4分，本项最高得12分。</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注：须提供业绩合同原件扫描件和中标（成交）通知书原件扫描件，业绩合同中主要内容、标的等需清晰可见，未提供或字迹模糊不清不得分。</w:t>
            </w:r>
            <w:r/>
          </w:p>
        </w:tc>
      </w:tr>
      <w:tr>
        <w:trPr/>
        <w:tc>
          <w:tcPr>
            <w:tcW w:w="997"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至少包括：①项目计划（含项目实施、供货、运输）、②项目保障措施、③工期进度保证措施、④项目安装、调试、验收方案等。实施方案详细全面、项目计划科学合理，整体针对性及可操作性强的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分；实施方案较详细、项目计划较合理，整体针对性及可操作性较强的得</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分；实施方案较简单、项目计划基本合理，整体针对性及可操作性一般的得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质量保障措施</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ind w:firstLine="241"/>
        <w:jc w:val="left"/>
        <w:spacing w:line="500" w:lineRule="exact"/>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采购包4评标办法：</w:t>
      </w:r>
      <w:r/>
    </w:p>
    <w:p>
      <w:pPr>
        <w:rPr>
          <w:rFonts w:ascii="宋体" w:hAnsi="宋体" w:eastAsia="宋体" w:cs="宋体"/>
          <w:color w:val="auto"/>
          <w:szCs w:val="21"/>
          <w:highlight w:val="none"/>
        </w:rPr>
      </w:pPr>
      <w:r>
        <w:rPr>
          <w:rFonts w:ascii="宋体" w:hAnsi="宋体" w:eastAsia="宋体" w:cs="宋体"/>
          <w:color w:val="auto"/>
          <w:szCs w:val="21"/>
          <w:highlight w:val="none"/>
        </w:rPr>
      </w:r>
      <w:r/>
    </w:p>
    <w:tbl>
      <w:tblPr>
        <w:tblStyle w:val="837"/>
        <w:tblW w:w="5070" w:type="pct"/>
        <w:tblInd w:w="-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98"/>
        <w:gridCol w:w="1569"/>
        <w:gridCol w:w="905"/>
        <w:gridCol w:w="5616"/>
      </w:tblGrid>
      <w:tr>
        <w:trPr/>
        <w:tc>
          <w:tcPr>
            <w:gridSpan w:val="2"/>
            <w:tcW w:w="2565"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评审因素</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分数</w:t>
            </w:r>
            <w:r/>
          </w:p>
        </w:tc>
        <w:tc>
          <w:tcPr>
            <w:tcW w:w="5611"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评审标准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报价分</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投标报价</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用低价优先法计算，即满足招标文件要求且投标价格最低的投标报价为评标基准价，其价格分为满分。其他投标人投标报价得分＝（评标基准价/投标报价）*30。注：符合规定的小微企业（含监狱企业和残疾人福利单位）报价给予10%的扣除，用扣除后的价格参加评审。</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技术响应</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技术参数响应</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30.00</w:t>
            </w:r>
            <w:r/>
          </w:p>
        </w:tc>
        <w:tc>
          <w:tcPr>
            <w:tcW w:w="561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lang w:val="en-US" w:eastAsia="zh-CN" w:bidi="ar-SA"/>
              </w:rPr>
              <w:t xml:space="preserve">针对招标文件“第四章、采购需求”的“四、采购产品参数要求”中所列内容进行评分，所投产品技术参数完全满足或优于招标文件技术参数要求的得30分。</w:t>
            </w:r>
            <w:r>
              <w:rPr>
                <w:rFonts w:ascii="Segoe UI" w:hAnsi="Segoe UI" w:eastAsia="Segoe UI" w:cs="Segoe UI"/>
                <w:color w:val="auto"/>
                <w:sz w:val="24"/>
                <w:szCs w:val="24"/>
                <w:highlight w:val="none"/>
              </w:rPr>
              <w:t xml:space="preserve">标★项为实质性参数要求，不接受负偏离</w:t>
            </w:r>
            <w:r>
              <w:rPr>
                <w:rFonts w:hint="eastAsia" w:ascii="Segoe UI" w:hAnsi="Segoe UI" w:eastAsia="宋体" w:cs="Segoe UI"/>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bidi="ar-SA"/>
              </w:rPr>
              <w:t xml:space="preserve">标“▲”为重点参数要求，每有一项（一个句号的完整内容为一“项”）不满足的扣1分；其余一般参数项每有一项（一个句号的完整内容为一“项”，“</w:t>
            </w:r>
            <w:r>
              <w:rPr>
                <w:rFonts w:ascii="Segoe UI" w:hAnsi="Segoe UI" w:eastAsia="Segoe UI" w:cs="Segoe UI"/>
                <w:color w:val="auto"/>
                <w:sz w:val="24"/>
                <w:szCs w:val="24"/>
                <w:highlight w:val="none"/>
              </w:rPr>
              <w:t xml:space="preserve">★</w:t>
            </w:r>
            <w:r>
              <w:rPr>
                <w:rFonts w:hint="eastAsia" w:ascii="宋体" w:hAnsi="宋体" w:eastAsia="宋体" w:cs="宋体"/>
                <w:color w:val="auto"/>
                <w:sz w:val="24"/>
                <w:szCs w:val="24"/>
                <w:highlight w:val="none"/>
                <w:lang w:val="en-US" w:eastAsia="zh-CN" w:bidi="ar-SA"/>
              </w:rPr>
              <w:t xml:space="preserve">”“▲”项除外）负偏离扣0.07分，扣完为止。 </w:t>
            </w:r>
            <w:r/>
          </w:p>
          <w:p>
            <w:pPr>
              <w:jc w:val="left"/>
              <w:rPr>
                <w:rFonts w:ascii="宋体" w:hAnsi="宋体" w:eastAsia="宋体" w:cs="宋体"/>
                <w:color w:val="auto"/>
                <w:sz w:val="24"/>
                <w:highlight w:val="none"/>
              </w:rPr>
            </w:pPr>
            <w:r>
              <w:rPr>
                <w:rFonts w:hint="eastAsia" w:ascii="宋体" w:hAnsi="宋体" w:eastAsia="宋体" w:cs="宋体"/>
                <w:color w:val="auto"/>
                <w:sz w:val="24"/>
                <w:szCs w:val="24"/>
                <w:highlight w:val="none"/>
                <w:lang w:val="en-US" w:eastAsia="zh-CN" w:bidi="ar-SA"/>
              </w:rPr>
              <w:t xml:space="preserve">注：投标人针对本项评标内容在投标文件《技术响应偏离表》中逐条列出响应及偏离情况，采购需求中要求提供证明材料的，以证明材料为准；采购需求中未要求提供证明材料的，以《技术要求响应及偏离表》为准。未按要求提供证明材料或提供的证明材料不全或未在响应偏离表中列明偏离情况的对应项按负偏离进行扣分处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企业经营业绩、信誉</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企业业绩</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12.00</w:t>
            </w:r>
            <w:r/>
          </w:p>
        </w:tc>
        <w:tc>
          <w:tcPr>
            <w:tcW w:w="5611" w:type="dxa"/>
            <w:vAlign w:val="center"/>
            <w:textDirection w:val="lrTb"/>
            <w:noWrap w:val="false"/>
          </w:tcPr>
          <w:p>
            <w:pPr>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投标人自2023年1月1日（以合同签订时间为准）以来，具有类似业绩的，每有一个业绩得4分，本项最高得12分。</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注：须提供业绩合同原件扫描件和中标（成交）通知书原件扫描件，业绩合同中主要内容、标的等需清晰可见，未提供或字迹模糊不清不得分。</w:t>
            </w:r>
            <w:r/>
          </w:p>
        </w:tc>
      </w:tr>
      <w:tr>
        <w:trPr/>
        <w:tc>
          <w:tcPr>
            <w:tcW w:w="997" w:type="dxa"/>
            <w:vAlign w:val="center"/>
            <w:vMerge w:val="restart"/>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实施方案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实施方案至少包括：①项目计划（含项目实施、供货、运输）、②项目保障措施、③工期进度保证措施、④项目安装、调试、验收方案等。实施方案详细全面、项目计划科学合理，整体针对性及可操作性强的得</w:t>
            </w:r>
            <w:r>
              <w:rPr>
                <w:rFonts w:hint="eastAsia" w:ascii="宋体" w:hAnsi="宋体" w:eastAsia="宋体" w:cs="宋体"/>
                <w:color w:val="auto"/>
                <w:sz w:val="24"/>
                <w:highlight w:val="none"/>
                <w:lang w:val="en-US" w:eastAsia="zh-CN"/>
              </w:rPr>
              <w:t xml:space="preserve">10</w:t>
            </w:r>
            <w:r>
              <w:rPr>
                <w:rFonts w:hint="eastAsia" w:ascii="宋体" w:hAnsi="宋体" w:eastAsia="宋体" w:cs="宋体"/>
                <w:color w:val="auto"/>
                <w:sz w:val="24"/>
                <w:highlight w:val="none"/>
              </w:rPr>
              <w:t xml:space="preserve">分；实施方案较详细、项目计划较合理，整体针对性及可操作性较强的</w:t>
            </w: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分；实施方案较简单、项目计划基本合理，整体针对性及可操作性一般的得</w:t>
            </w:r>
            <w:r>
              <w:rPr>
                <w:rFonts w:hint="eastAsia" w:ascii="宋体" w:hAnsi="宋体" w:eastAsia="宋体" w:cs="宋体"/>
                <w:color w:val="auto"/>
                <w:sz w:val="24"/>
                <w:highlight w:val="none"/>
                <w:lang w:val="en-US" w:eastAsia="zh-CN"/>
              </w:rPr>
              <w:t xml:space="preserve">6</w:t>
            </w:r>
            <w:r>
              <w:rPr>
                <w:rFonts w:hint="eastAsia" w:ascii="宋体" w:hAnsi="宋体" w:eastAsia="宋体" w:cs="宋体"/>
                <w:color w:val="auto"/>
                <w:sz w:val="24"/>
                <w:highlight w:val="none"/>
              </w:rPr>
              <w:t xml:space="preserve">分；实施方案粗略、项目计划不合理，整体针对性及可操作性差的得3分；未提供或与项目无关的不得分。</w:t>
            </w:r>
            <w:r/>
          </w:p>
        </w:tc>
      </w:tr>
      <w:tr>
        <w:trPr/>
        <w:tc>
          <w:tcPr>
            <w:tcW w:w="997" w:type="dxa"/>
            <w:vAlign w:val="center"/>
            <w:vMerge w:val="continue"/>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质量保障措施</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本项目提供质量保障措施。对可能产生的质量问题分析归纳条理清楚，采取的质量保障措施具体、有效且优于采购需求的得9分；分析归纳详细、质量保证措施完整、满足采购需求的得7分；分析归纳较详细、质量保证措施较完整、基本满足采购需求的得5分；措施有欠缺，承诺经过后期优化可基本满足招标文件要求的得3分；未提供或与项目无关的不得分。</w:t>
            </w:r>
            <w:r/>
          </w:p>
        </w:tc>
      </w:tr>
      <w:tr>
        <w:trPr/>
        <w:tc>
          <w:tcPr>
            <w:tcW w:w="99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其他</w:t>
            </w:r>
            <w:r/>
          </w:p>
        </w:tc>
        <w:tc>
          <w:tcPr>
            <w:tcW w:w="1568"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w:t>
            </w:r>
            <w:r/>
          </w:p>
        </w:tc>
        <w:tc>
          <w:tcPr>
            <w:tcW w:w="904"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9.00</w:t>
            </w:r>
            <w:r/>
          </w:p>
        </w:tc>
        <w:tc>
          <w:tcPr>
            <w:tcW w:w="5611" w:type="dxa"/>
            <w:vAlign w:val="center"/>
            <w:textDirection w:val="lrTb"/>
            <w:noWrap w:val="false"/>
          </w:tcPr>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售后服务方案至少包括：①培训计划、②技术服务方案、服务体系说明、③质量保证承诺、服务质量保证标准、④售后服务承诺及保修细则、⑤售后服务工具配备、售后服务人员配置等。</w:t>
            </w:r>
            <w:r/>
          </w:p>
          <w:p>
            <w:pPr>
              <w:jc w:val="left"/>
              <w:rPr>
                <w:rFonts w:ascii="宋体" w:hAnsi="宋体" w:eastAsia="宋体" w:cs="宋体"/>
                <w:color w:val="auto"/>
                <w:sz w:val="24"/>
                <w:highlight w:val="none"/>
              </w:rPr>
            </w:pPr>
            <w:r>
              <w:rPr>
                <w:rFonts w:hint="eastAsia" w:ascii="宋体" w:hAnsi="宋体" w:eastAsia="宋体" w:cs="宋体"/>
                <w:color w:val="auto"/>
                <w:sz w:val="24"/>
                <w:highlight w:val="none"/>
              </w:rPr>
              <w:t xml:space="preserve">方案详细全面、科学合理、职责清晰，针对性及可操作性强的得9分；方案较详细、较为合理、职责较清晰，针对性及可操作性较强的得7分；方案较简单、基本合理、职责基本清晰，针对性及可操作性一般的得5分；方案粗略、偏离实际、职责不明确，针对性及可操作性差的得3分；未提供或与项目无关的不得分。</w:t>
            </w:r>
            <w:r/>
          </w:p>
        </w:tc>
      </w:tr>
    </w:tbl>
    <w:p>
      <w:pPr>
        <w:spacing w:line="440" w:lineRule="exact"/>
        <w:rPr>
          <w:rFonts w:ascii="宋体" w:hAnsi="宋体" w:eastAsia="宋体" w:cs="宋体"/>
          <w:color w:val="auto"/>
          <w:sz w:val="24"/>
          <w:szCs w:val="21"/>
          <w:highlight w:val="none"/>
        </w:rPr>
      </w:pPr>
      <w:r>
        <w:rPr>
          <w:rFonts w:hint="eastAsia" w:ascii="宋体" w:hAnsi="宋体" w:eastAsia="宋体" w:cs="宋体"/>
          <w:b/>
          <w:color w:val="auto"/>
          <w:sz w:val="24"/>
          <w:szCs w:val="21"/>
          <w:highlight w:val="none"/>
        </w:rPr>
        <w:t xml:space="preserve">（三）评标结果。</w:t>
      </w:r>
      <w:r>
        <w:rPr>
          <w:rFonts w:hint="eastAsia" w:ascii="宋体" w:hAnsi="宋体" w:eastAsia="宋体" w:cs="宋体"/>
          <w:color w:val="auto"/>
          <w:sz w:val="24"/>
          <w:szCs w:val="21"/>
          <w:highlight w:val="none"/>
        </w:rPr>
        <w:t xml:space="preserve">评标委员会按照本办法规定推荐中标候选人，并形成评标报告。</w:t>
      </w:r>
      <w:r/>
    </w:p>
    <w:p>
      <w:pPr>
        <w:spacing w:line="440" w:lineRule="exact"/>
        <w:rPr>
          <w:rFonts w:ascii="宋体" w:hAnsi="宋体" w:eastAsia="宋体" w:cs="宋体"/>
          <w:b/>
          <w:color w:val="auto"/>
          <w:sz w:val="24"/>
          <w:szCs w:val="21"/>
          <w:highlight w:val="none"/>
        </w:rPr>
      </w:pPr>
      <w:r>
        <w:rPr>
          <w:rFonts w:hint="eastAsia" w:ascii="宋体" w:hAnsi="宋体" w:eastAsia="宋体" w:cs="宋体"/>
          <w:b/>
          <w:color w:val="auto"/>
          <w:sz w:val="24"/>
          <w:szCs w:val="21"/>
          <w:highlight w:val="none"/>
        </w:rPr>
        <w:t xml:space="preserve">（四）政府采购政策功能落实</w:t>
      </w:r>
      <w:r/>
    </w:p>
    <w:p>
      <w:pPr>
        <w:spacing w:line="440" w:lineRule="exact"/>
        <w:rPr>
          <w:rFonts w:ascii="宋体" w:hAnsi="宋体" w:eastAsia="宋体" w:cs="宋体"/>
          <w:b/>
          <w:color w:val="auto"/>
          <w:sz w:val="24"/>
          <w:szCs w:val="21"/>
          <w:highlight w:val="none"/>
        </w:rPr>
      </w:pPr>
      <w:r>
        <w:rPr>
          <w:rFonts w:hint="eastAsia" w:ascii="宋体" w:hAnsi="宋体" w:eastAsia="宋体" w:cs="宋体"/>
          <w:b/>
          <w:bCs/>
          <w:color w:val="auto"/>
          <w:sz w:val="24"/>
          <w:szCs w:val="21"/>
          <w:highlight w:val="none"/>
        </w:rPr>
        <w:t xml:space="preserve">本项目落实的政府采购政策对应以下序号为</w:t>
      </w:r>
      <w:r>
        <w:rPr>
          <w:rFonts w:hint="eastAsia" w:ascii="宋体" w:hAnsi="宋体" w:eastAsia="宋体" w:cs="宋体"/>
          <w:color w:val="auto"/>
          <w:sz w:val="24"/>
          <w:szCs w:val="21"/>
          <w:highlight w:val="none"/>
          <w:u w:val="single"/>
        </w:rPr>
        <w:t xml:space="preserve">1、2、4</w:t>
      </w:r>
      <w:r/>
    </w:p>
    <w:p>
      <w:pPr>
        <w:numPr>
          <w:ilvl w:val="0"/>
          <w:numId w:val="9"/>
        </w:num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采购本国货物、工程和服务</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2、中小企业政策</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本项目按以下第</w:t>
      </w:r>
      <w:r>
        <w:rPr>
          <w:rFonts w:hint="eastAsia" w:ascii="宋体" w:hAnsi="宋体" w:eastAsia="宋体" w:cs="宋体"/>
          <w:b/>
          <w:bCs/>
          <w:color w:val="auto"/>
          <w:sz w:val="24"/>
          <w:szCs w:val="21"/>
          <w:highlight w:val="none"/>
          <w:u w:val="single"/>
        </w:rPr>
        <w:t xml:space="preserve">（2）</w:t>
      </w:r>
      <w:r>
        <w:rPr>
          <w:rFonts w:hint="eastAsia" w:ascii="宋体" w:hAnsi="宋体" w:eastAsia="宋体" w:cs="宋体"/>
          <w:color w:val="auto"/>
          <w:sz w:val="24"/>
          <w:szCs w:val="21"/>
          <w:highlight w:val="none"/>
        </w:rPr>
        <w:t xml:space="preserve">种政策确定本项目落实的中小企业政策：</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（1）本项目专门面向中小企业（含监狱企业、残疾人福利企业）采购。</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（2）投标人提供的货物符合下列情形的，对小微企业报价给予</w:t>
      </w:r>
      <w:r>
        <w:rPr>
          <w:rFonts w:hint="eastAsia" w:ascii="宋体" w:hAnsi="宋体" w:eastAsia="宋体" w:cs="宋体"/>
          <w:color w:val="auto"/>
          <w:sz w:val="24"/>
          <w:szCs w:val="21"/>
          <w:highlight w:val="none"/>
          <w:u w:val="single"/>
        </w:rPr>
        <w:t xml:space="preserve">10%</w:t>
      </w:r>
      <w:r>
        <w:rPr>
          <w:rFonts w:hint="eastAsia" w:ascii="宋体" w:hAnsi="宋体" w:eastAsia="宋体" w:cs="宋体"/>
          <w:color w:val="auto"/>
          <w:sz w:val="24"/>
          <w:szCs w:val="21"/>
          <w:highlight w:val="none"/>
        </w:rPr>
        <w:t xml:space="preserve">的扣除，用扣除后的价格参加评审。</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在货物采购项目中，货物由中小企业制造，即货物由中小企业生产且使用该中小企业商号或者注册商标。</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②参加投标的监狱企业，视同小型、微型企业。监狱企业应当按照《财政部司法部关于政府采购支持监狱企业发展有关问题的通知》（财库〔2014〕68号）的规定，提供由省级以上监狱管理局、戒毒管理局(含新疆生产建设兵团)出具的属于监狱企业的证明文件（在投标文件中上传加盖出具单位公章的电子件）。</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③参加投标的残疾人福利性单位，视同小型、微型企业。残疾人福利性单位应当按照《财政部民政部中国残疾人联合会关于促进残疾人就业政府采购政策的通知》（财库〔2017〕141号）的规定，提供《残疾人福利性单位声明函》。</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投标人须知”“采购需求”相关内容为准。）</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3、政府采购节能产品、环境标志产品</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1）招标人拟采购的产品属于品目清单范围的，招标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（2）招标人拟采购的产品属于政府强制采购的节能产品品目清单范围的，投标人须提供国家确定的认证机构出具的、处于有效期之内的节能产品认证证书的，否则无效标处理。</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4、商品包装、快递包装政府采购需求标准（试行）</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5、绿色数据中心政府采购需求标准（试行）</w:t>
      </w:r>
      <w:r/>
    </w:p>
    <w:p>
      <w:pPr>
        <w:ind w:firstLine="480"/>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为加快数据中心绿色转型，根据财政部生态环境部工业和信息化部关于印发《绿色数据中心政府采购需求标准（试行）》的通知），本项目如涉及绿色数据中心，具体需求详见第四章采购需求。</w:t>
      </w:r>
      <w:r/>
    </w:p>
    <w:p>
      <w:pPr>
        <w:rPr>
          <w:rFonts w:ascii="宋体" w:hAnsi="宋体" w:eastAsia="宋体" w:cs="宋体"/>
          <w:color w:val="auto"/>
          <w:sz w:val="44"/>
          <w:szCs w:val="44"/>
          <w:highlight w:val="none"/>
        </w:rPr>
        <w:sectPr>
          <w:headerReference w:type="default" r:id="rId10"/>
          <w:footerReference w:type="default" r:id="rId17"/>
          <w:footerReference w:type="first" r:id="rId18"/>
          <w:footnotePr/>
          <w:endnotePr/>
          <w:type w:val="nextPage"/>
          <w:pgSz w:w="11906" w:h="16838" w:orient="portrait"/>
          <w:pgMar w:top="1418" w:right="1588" w:bottom="1418" w:left="1365" w:header="851" w:footer="907" w:gutter="0"/>
          <w:cols w:num="1" w:sep="0" w:space="720" w:equalWidth="1"/>
          <w:docGrid w:linePitch="360"/>
          <w:titlePg/>
        </w:sectPr>
      </w:pPr>
      <w:r>
        <w:rPr>
          <w:rFonts w:ascii="宋体" w:hAnsi="宋体" w:eastAsia="宋体" w:cs="宋体"/>
          <w:color w:val="auto"/>
          <w:sz w:val="44"/>
          <w:szCs w:val="44"/>
          <w:highlight w:val="none"/>
        </w:rPr>
      </w:r>
      <w:r/>
    </w:p>
    <w:p>
      <w:pPr>
        <w:jc w:val="center"/>
        <w:keepNext/>
        <w:rPr>
          <w:rFonts w:ascii="宋体" w:hAnsi="宋体" w:eastAsia="宋体" w:cs="宋体"/>
          <w:b/>
          <w:color w:val="auto"/>
          <w:sz w:val="44"/>
          <w:szCs w:val="28"/>
          <w:highlight w:val="none"/>
        </w:rPr>
        <w:outlineLvl w:val="0"/>
      </w:pPr>
      <w:r/>
      <w:bookmarkStart w:id="161" w:name="_Toc10657"/>
      <w:r>
        <w:rPr>
          <w:rFonts w:hint="eastAsia" w:ascii="宋体" w:hAnsi="宋体" w:eastAsia="宋体" w:cs="宋体"/>
          <w:b/>
          <w:color w:val="auto"/>
          <w:sz w:val="44"/>
          <w:szCs w:val="28"/>
          <w:highlight w:val="none"/>
        </w:rPr>
        <w:t xml:space="preserve">第六章 投标</w:t>
      </w:r>
      <w:bookmarkEnd w:id="157"/>
      <w:r/>
      <w:bookmarkEnd w:id="158"/>
      <w:r/>
      <w:bookmarkEnd w:id="159"/>
      <w:r>
        <w:rPr>
          <w:rFonts w:hint="eastAsia" w:ascii="宋体" w:hAnsi="宋体" w:eastAsia="宋体" w:cs="宋体"/>
          <w:b/>
          <w:color w:val="auto"/>
          <w:sz w:val="44"/>
          <w:szCs w:val="28"/>
          <w:highlight w:val="none"/>
        </w:rPr>
        <w:t xml:space="preserve">文件格式</w:t>
      </w:r>
      <w:bookmarkEnd w:id="161"/>
      <w:r/>
      <w:r/>
    </w:p>
    <w:p>
      <w:pPr>
        <w:jc w:val="center"/>
        <w:rPr>
          <w:rFonts w:ascii="宋体" w:hAnsi="宋体" w:eastAsia="宋体" w:cs="宋体"/>
          <w:bCs/>
          <w:color w:val="auto"/>
          <w:sz w:val="48"/>
          <w:szCs w:val="15"/>
          <w:highlight w:val="none"/>
        </w:rPr>
      </w:pPr>
      <w:r/>
      <w:bookmarkStart w:id="162" w:name="_Hlt26671244"/>
      <w:r/>
      <w:bookmarkEnd w:id="162"/>
      <w:r/>
      <w:bookmarkStart w:id="163" w:name="_Hlt26955039"/>
      <w:r/>
      <w:bookmarkEnd w:id="163"/>
      <w:r/>
      <w:bookmarkStart w:id="164" w:name="_Toc120614282"/>
      <w:r/>
      <w:bookmarkStart w:id="165" w:name="_Toc26554094"/>
      <w:r/>
      <w:bookmarkStart w:id="166" w:name="_Toc49090576"/>
      <w:r/>
      <w:r/>
    </w:p>
    <w:p>
      <w:pPr>
        <w:jc w:val="center"/>
        <w:rPr>
          <w:rFonts w:ascii="宋体" w:hAnsi="宋体" w:eastAsia="宋体" w:cs="宋体"/>
          <w:b/>
          <w:color w:val="auto"/>
          <w:sz w:val="72"/>
          <w:szCs w:val="21"/>
          <w:highlight w:val="none"/>
        </w:rPr>
      </w:pPr>
      <w:r>
        <w:rPr>
          <w:rFonts w:hint="eastAsia" w:ascii="宋体" w:hAnsi="宋体" w:eastAsia="宋体" w:cs="宋体"/>
          <w:bCs/>
          <w:color w:val="auto"/>
          <w:sz w:val="48"/>
          <w:szCs w:val="15"/>
          <w:highlight w:val="none"/>
        </w:rPr>
        <w:t xml:space="preserve">（适用于所有</w:t>
      </w:r>
      <w:r>
        <w:rPr>
          <w:rFonts w:hint="eastAsia" w:ascii="宋体" w:hAnsi="宋体" w:eastAsia="宋体" w:cs="宋体"/>
          <w:bCs/>
          <w:color w:val="auto"/>
          <w:sz w:val="48"/>
          <w:szCs w:val="15"/>
          <w:highlight w:val="none"/>
          <w:lang w:val="en-US" w:eastAsia="zh-CN"/>
        </w:rPr>
        <w:t xml:space="preserve">采购包</w:t>
      </w:r>
      <w:r>
        <w:rPr>
          <w:rFonts w:hint="eastAsia" w:ascii="宋体" w:hAnsi="宋体" w:eastAsia="宋体" w:cs="宋体"/>
          <w:bCs/>
          <w:color w:val="auto"/>
          <w:sz w:val="48"/>
          <w:szCs w:val="15"/>
          <w:highlight w:val="none"/>
        </w:rPr>
        <w:t xml:space="preserve">）</w:t>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hint="eastAsia" w:ascii="宋体" w:hAnsi="宋体" w:eastAsia="宋体" w:cs="宋体"/>
          <w:b/>
          <w:color w:val="auto"/>
          <w:sz w:val="72"/>
          <w:szCs w:val="21"/>
          <w:highlight w:val="none"/>
        </w:rPr>
        <w:t xml:space="preserve">投标文件（</w:t>
      </w:r>
      <w:r>
        <w:rPr>
          <w:rFonts w:hint="eastAsia" w:ascii="宋体" w:hAnsi="宋体" w:eastAsia="宋体" w:cs="宋体"/>
          <w:b/>
          <w:color w:val="auto"/>
          <w:sz w:val="72"/>
          <w:szCs w:val="21"/>
          <w:highlight w:val="none"/>
          <w:lang w:val="en-US" w:eastAsia="zh-CN"/>
        </w:rPr>
        <w:t xml:space="preserve">采购包</w:t>
      </w:r>
      <w:r>
        <w:rPr>
          <w:rFonts w:hint="eastAsia" w:ascii="宋体" w:hAnsi="宋体" w:eastAsia="宋体" w:cs="宋体"/>
          <w:b/>
          <w:color w:val="auto"/>
          <w:sz w:val="72"/>
          <w:szCs w:val="21"/>
          <w:highlight w:val="none"/>
        </w:rPr>
        <w:t xml:space="preserve">**）</w:t>
      </w:r>
      <w:r/>
    </w:p>
    <w:p>
      <w:pP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72"/>
          <w:szCs w:val="21"/>
          <w:highlight w:val="none"/>
        </w:rPr>
      </w:pPr>
      <w:r>
        <w:rPr>
          <w:rFonts w:ascii="宋体" w:hAnsi="宋体" w:eastAsia="宋体" w:cs="宋体"/>
          <w:b/>
          <w:color w:val="auto"/>
          <w:sz w:val="72"/>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ind w:firstLine="1084"/>
        <w:rPr>
          <w:rFonts w:ascii="宋体" w:hAnsi="宋体" w:eastAsia="宋体" w:cs="宋体"/>
          <w:b/>
          <w:color w:val="auto"/>
          <w:sz w:val="36"/>
          <w:szCs w:val="21"/>
          <w:highlight w:val="none"/>
        </w:rPr>
      </w:pPr>
      <w:r>
        <w:rPr>
          <w:rFonts w:hint="eastAsia" w:ascii="宋体" w:hAnsi="宋体" w:eastAsia="宋体" w:cs="宋体"/>
          <w:b/>
          <w:color w:val="auto"/>
          <w:sz w:val="36"/>
          <w:szCs w:val="21"/>
          <w:highlight w:val="none"/>
        </w:rPr>
        <w:t xml:space="preserve">项目名称：</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项目编号：</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投标人名称：</w:t>
      </w:r>
      <w:r>
        <w:rPr>
          <w:rFonts w:hint="eastAsia" w:ascii="宋体" w:hAnsi="宋体" w:eastAsia="宋体" w:cs="宋体"/>
          <w:b/>
          <w:color w:val="auto"/>
          <w:sz w:val="36"/>
          <w:szCs w:val="21"/>
          <w:highlight w:val="none"/>
          <w:u w:val="single"/>
        </w:rPr>
        <w:t xml:space="preserve">（加盖CA电子公章）</w:t>
      </w:r>
      <w:r/>
    </w:p>
    <w:p>
      <w:pPr>
        <w:ind w:firstLine="1084"/>
        <w:rPr>
          <w:rFonts w:ascii="宋体" w:hAnsi="宋体" w:eastAsia="宋体" w:cs="宋体"/>
          <w:b/>
          <w:color w:val="auto"/>
          <w:sz w:val="36"/>
          <w:szCs w:val="21"/>
          <w:highlight w:val="none"/>
          <w:u w:val="single"/>
        </w:rPr>
      </w:pPr>
      <w:r>
        <w:rPr>
          <w:rFonts w:hint="eastAsia" w:ascii="宋体" w:hAnsi="宋体" w:eastAsia="宋体" w:cs="宋体"/>
          <w:b/>
          <w:color w:val="auto"/>
          <w:sz w:val="36"/>
          <w:szCs w:val="21"/>
          <w:highlight w:val="none"/>
        </w:rPr>
        <w:t xml:space="preserve">日期：</w:t>
      </w:r>
      <w:r>
        <w:rPr>
          <w:rFonts w:hint="eastAsia" w:ascii="宋体" w:hAnsi="宋体" w:eastAsia="宋体" w:cs="宋体"/>
          <w:b/>
          <w:color w:val="auto"/>
          <w:sz w:val="36"/>
          <w:szCs w:val="21"/>
          <w:highlight w:val="none"/>
          <w:u w:val="single"/>
        </w:rPr>
        <w:t xml:space="preserve">                       </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spacing w:line="440" w:lineRule="exact"/>
        <w:rPr>
          <w:rFonts w:ascii="宋体" w:hAnsi="宋体" w:eastAsia="宋体" w:cs="宋体"/>
          <w:color w:val="auto"/>
          <w:szCs w:val="21"/>
          <w:highlight w:val="none"/>
        </w:rPr>
      </w:pPr>
      <w:r>
        <w:rPr>
          <w:rFonts w:ascii="宋体" w:hAnsi="宋体" w:eastAsia="宋体" w:cs="宋体"/>
          <w:color w:val="auto"/>
          <w:szCs w:val="21"/>
          <w:highlight w:val="none"/>
        </w:rPr>
      </w:r>
      <w:r/>
    </w:p>
    <w:p>
      <w:pPr>
        <w:ind w:firstLine="1084"/>
        <w:rPr>
          <w:rFonts w:ascii="宋体" w:hAnsi="宋体" w:eastAsia="宋体" w:cs="宋体"/>
          <w:b/>
          <w:bCs/>
          <w:color w:val="auto"/>
          <w:sz w:val="32"/>
          <w:szCs w:val="32"/>
          <w:highlight w:val="none"/>
        </w:rPr>
      </w:pPr>
      <w:r>
        <w:rPr>
          <w:rFonts w:hint="eastAsia" w:ascii="宋体" w:hAnsi="宋体" w:eastAsia="宋体" w:cs="宋体"/>
          <w:b/>
          <w:color w:val="auto"/>
          <w:sz w:val="36"/>
          <w:szCs w:val="21"/>
          <w:highlight w:val="none"/>
          <w:u w:val="single"/>
        </w:rPr>
        <w:br w:type="page" w:clear="all"/>
      </w:r>
      <w:r/>
    </w:p>
    <w:p>
      <w:pPr>
        <w:jc w:val="center"/>
        <w:spacing w:line="44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投标文件目录</w:t>
      </w:r>
      <w:r/>
    </w:p>
    <w:p>
      <w:pPr>
        <w:jc w:val="center"/>
        <w:spacing w:line="440" w:lineRule="exact"/>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投标声明及承诺函</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投标人基本信息</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法人授权书</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开标一览表</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投标报价明细表</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中小（微）企业声明函</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技术要求响应及偏离表</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项目组人员</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企业业绩</w:t>
      </w:r>
      <w:r/>
    </w:p>
    <w:p>
      <w:pPr>
        <w:numPr>
          <w:ilvl w:val="0"/>
          <w:numId w:val="10"/>
        </w:numPr>
        <w:spacing w:line="440"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投标所需其他材料</w:t>
      </w:r>
      <w:r/>
    </w:p>
    <w:p>
      <w:pPr>
        <w:jc w:val="left"/>
        <w:spacing w:before="120" w:after="120" w:line="4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rPr>
          <w:rFonts w:ascii="宋体" w:hAnsi="宋体" w:eastAsia="宋体" w:cs="宋体"/>
          <w:color w:val="auto"/>
          <w:sz w:val="24"/>
          <w:highlight w:val="none"/>
        </w:rPr>
      </w:pPr>
      <w:r/>
      <w:bookmarkStart w:id="167" w:name="_Toc23838"/>
      <w:r/>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 w:val="24"/>
          <w:highlight w:val="none"/>
        </w:rPr>
      </w:pPr>
      <w:r>
        <w:rPr>
          <w:rFonts w:ascii="宋体" w:hAnsi="宋体" w:eastAsia="宋体" w:cs="宋体"/>
          <w:color w:val="auto"/>
          <w:sz w:val="24"/>
          <w:highlight w:val="none"/>
        </w:rPr>
      </w:r>
      <w:bookmarkEnd w:id="164"/>
      <w:bookmarkEnd w:id="165"/>
      <w:bookmarkEnd w:id="166"/>
      <w:bookmarkEnd w:id="167"/>
      <w:r/>
    </w:p>
    <w:p>
      <w:pPr>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
          <w:color w:val="auto"/>
          <w:sz w:val="32"/>
          <w:szCs w:val="32"/>
          <w:highlight w:val="none"/>
        </w:rPr>
      </w:pPr>
      <w:r/>
      <w:bookmarkStart w:id="168" w:name="_Toc120614284"/>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一、投标声明及承诺函</w:t>
      </w:r>
      <w:r/>
    </w:p>
    <w:p>
      <w:pPr>
        <w:jc w:val="left"/>
        <w:spacing w:line="5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（采购单位名称）：</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根据已收到的项目编号为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JSZC-321300-JING-G2026-0031</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eastAsia="zh-CN"/>
        </w:rPr>
        <w:t xml:space="preserve">宿迁学院具身智能领域概念验证中心与产业学院项目</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项目招标文件，我方在参加本项目招投标活动中，特作出如下承诺：</w:t>
      </w:r>
      <w:r/>
    </w:p>
    <w:p>
      <w:pPr>
        <w:ind w:firstLine="480"/>
        <w:jc w:val="left"/>
        <w:spacing w:line="500" w:lineRule="exact"/>
        <w:rPr>
          <w:rFonts w:ascii="宋体" w:hAnsi="宋体" w:eastAsia="宋体" w:cs="宋体"/>
          <w:color w:val="auto"/>
          <w:sz w:val="24"/>
          <w:szCs w:val="22"/>
          <w:highlight w:val="none"/>
        </w:rPr>
      </w:pPr>
      <w:r>
        <w:rPr>
          <w:rFonts w:hint="eastAsia" w:ascii="宋体" w:hAnsi="宋体" w:eastAsia="宋体" w:cs="宋体"/>
          <w:color w:val="auto"/>
          <w:sz w:val="24"/>
          <w:highlight w:val="none"/>
        </w:rPr>
        <w:t xml:space="preserve">一、我方</w:t>
      </w:r>
      <w:r>
        <w:rPr>
          <w:rFonts w:hint="eastAsia" w:ascii="宋体" w:hAnsi="宋体" w:eastAsia="宋体" w:cs="宋体"/>
          <w:color w:val="auto"/>
          <w:sz w:val="24"/>
          <w:szCs w:val="22"/>
          <w:highlight w:val="none"/>
        </w:rPr>
        <w:t xml:space="preserve">具备《中华人民共和国政府采购法》第二十二条第一款规定的6项条件；</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三、我方按招标文件要求提交投标文件，响应招标文件规定的投标有效期；</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四、如果我方的投标文件被接受，我方将按照《中华人民共和国民法典（第三编合同）》及其他有关法律、法规的规定，按期、按质、按量交付采购单位，全面做到履约守信；</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五、我方若违背本声明及承诺约定，经查实，自愿接受招标人及相关主管部门相应的规定处理，并依法承担相应的法律责任。</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六、我方同意招标人、采购代理机构将本声明及承诺函上网公开。</w:t>
      </w:r>
      <w:r/>
    </w:p>
    <w:p>
      <w:pPr>
        <w:ind w:firstLine="480"/>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left"/>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投标人名称：（加盖CA电子公章）</w:t>
      </w:r>
      <w:r/>
    </w:p>
    <w:p>
      <w:pPr>
        <w:ind w:firstLine="480"/>
        <w:rPr>
          <w:rFonts w:ascii="宋体" w:hAnsi="宋体" w:eastAsia="宋体" w:cs="宋体"/>
          <w:color w:val="auto"/>
          <w:szCs w:val="22"/>
          <w:highlight w:val="none"/>
        </w:rPr>
      </w:pPr>
      <w:r>
        <w:rPr>
          <w:rFonts w:hint="eastAsia" w:ascii="宋体" w:hAnsi="宋体" w:eastAsia="宋体" w:cs="宋体"/>
          <w:color w:val="auto"/>
          <w:sz w:val="24"/>
          <w:highlight w:val="none"/>
        </w:rPr>
        <w:t xml:space="preserve">日期：</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rPr>
          <w:rFonts w:ascii="宋体" w:hAnsi="宋体" w:eastAsia="宋体" w:cs="宋体"/>
          <w:b/>
          <w:color w:val="auto"/>
          <w:sz w:val="32"/>
          <w:szCs w:val="32"/>
          <w:highlight w:val="none"/>
        </w:rPr>
        <w:outlineLvl w:val="1"/>
      </w:pPr>
      <w:r>
        <w:rPr>
          <w:rFonts w:hint="eastAsia" w:ascii="宋体" w:hAnsi="宋体" w:eastAsia="宋体" w:cs="宋体"/>
          <w:color w:val="auto"/>
          <w:sz w:val="24"/>
          <w:highlight w:val="none"/>
        </w:rPr>
        <w:br w:type="page" w:clear="all"/>
      </w:r>
      <w:r>
        <w:rPr>
          <w:rFonts w:hint="eastAsia" w:ascii="宋体" w:hAnsi="宋体" w:eastAsia="宋体" w:cs="宋体"/>
          <w:b/>
          <w:color w:val="auto"/>
          <w:sz w:val="32"/>
          <w:szCs w:val="32"/>
          <w:highlight w:val="none"/>
        </w:rPr>
        <w:t xml:space="preserve">二、投标人基本情况</w:t>
      </w:r>
      <w:r/>
    </w:p>
    <w:p>
      <w:pPr>
        <w:jc w:val="center"/>
        <w:rPr>
          <w:rFonts w:ascii="宋体" w:hAnsi="宋体" w:eastAsia="宋体" w:cs="宋体"/>
          <w:color w:val="auto"/>
          <w:sz w:val="44"/>
          <w:szCs w:val="44"/>
          <w:highlight w:val="none"/>
        </w:rPr>
      </w:pPr>
      <w:r>
        <w:rPr>
          <w:rFonts w:hint="eastAsia" w:ascii="宋体" w:hAnsi="宋体" w:eastAsia="宋体" w:cs="宋体"/>
          <w:color w:val="auto"/>
          <w:sz w:val="44"/>
          <w:szCs w:val="44"/>
          <w:highlight w:val="none"/>
        </w:rPr>
        <w:t xml:space="preserve">投标人基本情况表</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投标人名称</w:t>
            </w:r>
            <w:r/>
          </w:p>
        </w:tc>
        <w:tc>
          <w:tcPr>
            <w:gridSpan w:val="3"/>
            <w:tcW w:w="699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注册地区</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邮政编码</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成立时间</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单位性质</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注册号或社会信用代码</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注册资本（万元）</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投标人类别</w:t>
            </w:r>
            <w:r/>
          </w:p>
        </w:tc>
        <w:tc>
          <w:tcPr>
            <w:gridSpan w:val="3"/>
            <w:tcW w:w="699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开户银行</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账号</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c>
          <w:tcPr>
            <w:tcW w:w="152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p>
        </w:tc>
        <w:tc>
          <w:tcPr>
            <w:tcW w:w="3118"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276" w:type="dxa"/>
            <w:vAlign w:val="center"/>
            <w:textDirection w:val="lrTb"/>
            <w:noWrap w:val="false"/>
          </w:tcPr>
          <w:p>
            <w:pPr>
              <w:jc w:val="center"/>
              <w:spacing w:line="6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p>
        </w:tc>
        <w:tc>
          <w:tcPr>
            <w:tcW w:w="2604" w:type="dxa"/>
            <w:vAlign w:val="center"/>
            <w:textDirection w:val="lrTb"/>
            <w:noWrap w:val="false"/>
          </w:tcPr>
          <w:p>
            <w:pPr>
              <w:jc w:val="center"/>
              <w:spacing w:line="60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2376"/>
        </w:trPr>
        <w:tc>
          <w:tcPr>
            <w:tcW w:w="1526"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经营范围</w:t>
            </w:r>
            <w:r/>
          </w:p>
        </w:tc>
        <w:tc>
          <w:tcPr>
            <w:gridSpan w:val="3"/>
            <w:tcW w:w="6998" w:type="dxa"/>
            <w:textDirection w:val="lrTb"/>
            <w:noWrap w:val="false"/>
          </w:tcPr>
          <w:p>
            <w:pPr>
              <w:ind w:firstLine="1432"/>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trHeight w:val="1134"/>
        </w:trPr>
        <w:tc>
          <w:tcPr>
            <w:tcW w:w="1526"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c>
          <w:tcPr>
            <w:gridSpan w:val="3"/>
            <w:tcW w:w="6998" w:type="dxa"/>
            <w:vAlign w:val="center"/>
            <w:textDirection w:val="lrTb"/>
            <w:noWrap w:val="false"/>
          </w:tcPr>
          <w:p>
            <w:pPr>
              <w:jc w:val="center"/>
              <w:spacing w:line="500" w:lineRule="exact"/>
              <w:rPr>
                <w:rFonts w:ascii="宋体" w:hAnsi="宋体" w:eastAsia="宋体" w:cs="宋体"/>
                <w:color w:val="auto"/>
                <w:sz w:val="24"/>
                <w:highlight w:val="none"/>
              </w:rPr>
            </w:pPr>
            <w:r>
              <w:rPr>
                <w:rFonts w:ascii="宋体" w:hAnsi="宋体" w:eastAsia="宋体" w:cs="宋体"/>
                <w:color w:val="auto"/>
                <w:sz w:val="24"/>
                <w:highlight w:val="none"/>
              </w:rPr>
            </w:r>
            <w:r/>
          </w:p>
          <w:p>
            <w:pPr>
              <w:jc w:val="center"/>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需提供营业执照等证明材料</w:t>
            </w:r>
            <w:r/>
          </w:p>
        </w:tc>
      </w:tr>
    </w:tbl>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44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rPr>
          <w:rFonts w:ascii="宋体" w:hAnsi="宋体" w:eastAsia="宋体" w:cs="宋体"/>
          <w:i/>
          <w:color w:val="auto"/>
          <w:sz w:val="32"/>
          <w:szCs w:val="32"/>
          <w:highlight w:val="none"/>
          <w:u w:val="single"/>
        </w:rPr>
      </w:pPr>
      <w:r>
        <w:rPr>
          <w:rFonts w:ascii="宋体" w:hAnsi="宋体" w:eastAsia="宋体" w:cs="宋体"/>
          <w:i/>
          <w:color w:val="auto"/>
          <w:sz w:val="32"/>
          <w:szCs w:val="32"/>
          <w:highlight w:val="none"/>
          <w:u w:val="single"/>
        </w:rPr>
      </w:r>
      <w:r/>
    </w:p>
    <w:p>
      <w:pPr>
        <w:jc w:val="center"/>
        <w:rPr>
          <w:rFonts w:ascii="宋体" w:hAnsi="宋体" w:eastAsia="宋体" w:cs="宋体"/>
          <w:i/>
          <w:color w:val="auto"/>
          <w:sz w:val="32"/>
          <w:szCs w:val="32"/>
          <w:highlight w:val="none"/>
          <w:u w:val="single"/>
        </w:rPr>
      </w:pPr>
      <w:r>
        <w:rPr>
          <w:rFonts w:hint="eastAsia" w:ascii="宋体" w:hAnsi="宋体" w:eastAsia="宋体" w:cs="宋体"/>
          <w:color w:val="auto"/>
          <w:szCs w:val="21"/>
          <w:highlight w:val="none"/>
        </w:rPr>
        <w:br w:type="page" w:clear="all"/>
      </w:r>
      <w:r/>
    </w:p>
    <w:p>
      <w:pPr>
        <w:spacing w:line="360" w:lineRule="auto"/>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三、法人授权书</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本授权书声明：____________（投标人名称）授权________________（被授权人的姓名）为我方就</w:t>
      </w:r>
      <w:r>
        <w:rPr>
          <w:rFonts w:hint="eastAsia" w:ascii="宋体" w:hAnsi="宋体" w:eastAsia="宋体" w:cs="宋体"/>
          <w:color w:val="auto"/>
          <w:sz w:val="24"/>
          <w:highlight w:val="none"/>
          <w:lang w:eastAsia="zh-CN"/>
        </w:rPr>
        <w:t xml:space="preserve">JSZC-321300-JING-G2026-0031</w:t>
      </w:r>
      <w:r>
        <w:rPr>
          <w:rFonts w:hint="eastAsia" w:ascii="宋体" w:hAnsi="宋体" w:eastAsia="宋体" w:cs="宋体"/>
          <w:color w:val="auto"/>
          <w:sz w:val="24"/>
          <w:highlight w:val="none"/>
        </w:rPr>
        <w:t xml:space="preserve">号</w:t>
      </w:r>
      <w:r>
        <w:rPr>
          <w:rFonts w:hint="eastAsia" w:ascii="宋体" w:hAnsi="宋体" w:eastAsia="宋体" w:cs="宋体"/>
          <w:color w:val="auto"/>
          <w:sz w:val="24"/>
          <w:highlight w:val="none"/>
          <w:u w:val="single"/>
          <w:lang w:eastAsia="zh-CN"/>
        </w:rPr>
        <w:t xml:space="preserve">宿迁学院具身智能领域概念验证中心与产业学院项目</w:t>
      </w:r>
      <w:r>
        <w:rPr>
          <w:rFonts w:hint="eastAsia" w:ascii="宋体" w:hAnsi="宋体" w:eastAsia="宋体" w:cs="宋体"/>
          <w:color w:val="auto"/>
          <w:sz w:val="24"/>
          <w:highlight w:val="none"/>
        </w:rPr>
        <w:t xml:space="preserve">采购活动的合法代理人，以本单位名义全权处理一切与该_</w:t>
      </w:r>
      <w:r>
        <w:rPr>
          <w:rFonts w:hint="eastAsia" w:ascii="宋体" w:hAnsi="宋体" w:eastAsia="宋体" w:cs="宋体"/>
          <w:color w:val="auto"/>
          <w:sz w:val="24"/>
          <w:highlight w:val="none"/>
          <w:u w:val="single"/>
          <w:lang w:eastAsia="zh-CN"/>
        </w:rPr>
        <w:t xml:space="preserve">宿迁学院具身智能领域概念验证中心与产业学院项目</w:t>
      </w:r>
      <w:r>
        <w:rPr>
          <w:rFonts w:hint="eastAsia" w:ascii="宋体" w:hAnsi="宋体" w:eastAsia="宋体" w:cs="宋体"/>
          <w:color w:val="auto"/>
          <w:sz w:val="24"/>
          <w:highlight w:val="none"/>
        </w:rPr>
        <w:t xml:space="preserve">_采购有关的事务。</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本授权书于______年____月____日起生效，特此声明。</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被授权人身份证号码：</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被授权人联系电话：（手机）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授权单位名称：</w:t>
      </w:r>
      <w:r>
        <w:rPr>
          <w:rFonts w:hint="eastAsia" w:ascii="宋体" w:hAnsi="宋体" w:eastAsia="宋体" w:cs="宋体"/>
          <w:color w:val="auto"/>
          <w:sz w:val="24"/>
          <w:highlight w:val="none"/>
          <w:u w:val="single"/>
        </w:rPr>
        <w:t xml:space="preserve">（加盖CA电子公章）</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法定代表人（签字或盖章）：</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被授权代理人（签字或盖章）：</w:t>
      </w:r>
      <w:r>
        <w:rPr>
          <w:rFonts w:hint="eastAsia" w:ascii="宋体" w:hAnsi="宋体" w:eastAsia="宋体" w:cs="宋体"/>
          <w:color w:val="auto"/>
          <w:sz w:val="24"/>
          <w:highlight w:val="none"/>
          <w:u w:val="single"/>
        </w:rPr>
        <w:t xml:space="preserve">           </w:t>
      </w:r>
      <w:r/>
    </w:p>
    <w:p>
      <w:pPr>
        <w:ind w:firstLine="480"/>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单位地址：</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w:t>
      </w:r>
      <w:bookmarkStart w:id="169" w:name="_格式3__银行出具的资信证明"/>
      <w:r/>
      <w:bookmarkEnd w:id="169"/>
      <w:r/>
      <w:bookmarkStart w:id="170" w:name="_Hlt26955070"/>
      <w:r/>
      <w:bookmarkEnd w:id="170"/>
      <w:r/>
      <w:bookmarkStart w:id="171" w:name="_Hlt26671380"/>
      <w:r/>
      <w:bookmarkEnd w:id="171"/>
      <w:r/>
      <w:r/>
    </w:p>
    <w:p>
      <w:pPr>
        <w:spacing w:line="360" w:lineRule="auto"/>
        <w:rPr>
          <w:rFonts w:ascii="宋体" w:hAnsi="宋体" w:eastAsia="宋体" w:cs="宋体"/>
          <w:b/>
          <w:color w:val="auto"/>
          <w:sz w:val="32"/>
          <w:szCs w:val="32"/>
          <w:highlight w:val="none"/>
        </w:rPr>
        <w:outlineLvl w:val="1"/>
      </w:pPr>
      <w:r>
        <w:rPr>
          <w:rFonts w:hint="eastAsia" w:ascii="宋体" w:hAnsi="宋体" w:eastAsia="宋体" w:cs="宋体"/>
          <w:color w:val="auto"/>
          <w:szCs w:val="21"/>
          <w:highlight w:val="none"/>
        </w:rPr>
        <w:br w:type="page" w:clear="all"/>
      </w:r>
      <w:r>
        <w:rPr>
          <w:rFonts w:hint="eastAsia" w:ascii="宋体" w:hAnsi="宋体" w:eastAsia="宋体" w:cs="宋体"/>
          <w:b/>
          <w:color w:val="auto"/>
          <w:sz w:val="32"/>
          <w:szCs w:val="32"/>
          <w:highlight w:val="none"/>
        </w:rPr>
        <w:t xml:space="preserve">四、开标一览表</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投标人全称（加盖CA电子签章）：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rPr>
          <w:rFonts w:hint="eastAsia" w:ascii="宋体" w:hAnsi="宋体" w:eastAsia="宋体" w:cs="宋体"/>
          <w:color w:val="auto"/>
          <w:sz w:val="24"/>
          <w:highlight w:val="none"/>
          <w:lang w:eastAsia="zh-CN"/>
        </w:rPr>
        <w:t xml:space="preserve">宿迁学院具身智能领域概念验证中心与产业学院项目</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招标编号：</w:t>
      </w:r>
      <w:r/>
    </w:p>
    <w:tbl>
      <w:tblPr>
        <w:tblStyle w:val="83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60"/>
      </w:tblGrid>
      <w:tr>
        <w:trPr>
          <w:cantSplit/>
          <w:trHeight w:val="833"/>
        </w:trPr>
        <w:tc>
          <w:tcPr>
            <w:tcW w:w="8860" w:type="dxa"/>
            <w:vAlign w:val="center"/>
            <w:textDirection w:val="lrTb"/>
            <w:noWrap w:val="false"/>
          </w:tcPr>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w:t>
            </w:r>
            <w:r/>
          </w:p>
        </w:tc>
      </w:tr>
      <w:tr>
        <w:trPr>
          <w:cantSplit/>
          <w:trHeight w:val="705"/>
        </w:trPr>
        <w:tc>
          <w:tcPr>
            <w:tcW w:w="8860" w:type="dxa"/>
            <w:vAlign w:val="center"/>
            <w:textDirection w:val="lrTb"/>
            <w:noWrap w:val="false"/>
          </w:tcPr>
          <w:p>
            <w:pPr>
              <w:jc w:val="left"/>
              <w:spacing w:line="500" w:lineRule="exact"/>
              <w:rPr>
                <w:rFonts w:ascii="宋体" w:hAnsi="宋体" w:eastAsia="宋体" w:cs="宋体"/>
                <w:color w:val="auto"/>
                <w:sz w:val="24"/>
                <w:szCs w:val="21"/>
                <w:highlight w:val="none"/>
              </w:rPr>
            </w:pPr>
            <w:r>
              <w:rPr>
                <w:rFonts w:hint="eastAsia" w:ascii="宋体" w:hAnsi="宋体" w:eastAsia="宋体" w:cs="宋体"/>
                <w:color w:val="auto"/>
                <w:sz w:val="24"/>
                <w:highlight w:val="none"/>
              </w:rPr>
              <w:t xml:space="preserve">小写：（人民币：元）</w:t>
            </w:r>
            <w:r/>
          </w:p>
        </w:tc>
      </w:tr>
    </w:tbl>
    <w:p>
      <w:pPr>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firstLine="480"/>
        <w:rPr>
          <w:rFonts w:ascii="宋体" w:hAnsi="宋体" w:eastAsia="宋体" w:cs="宋体"/>
          <w:color w:val="auto"/>
          <w:sz w:val="24"/>
          <w:highlight w:val="none"/>
        </w:rPr>
      </w:pPr>
      <w:r>
        <w:rPr>
          <w:rFonts w:ascii="宋体" w:hAnsi="宋体" w:eastAsia="宋体" w:cs="宋体"/>
          <w:color w:val="auto"/>
          <w:sz w:val="24"/>
          <w:highlight w:val="none"/>
        </w:rPr>
      </w:r>
      <w:r/>
    </w:p>
    <w:p>
      <w:pPr>
        <w:jc w:val="center"/>
        <w:rPr>
          <w:rFonts w:ascii="宋体" w:hAnsi="宋体" w:eastAsia="宋体" w:cs="宋体"/>
          <w:b/>
          <w:bCs/>
          <w:color w:val="auto"/>
          <w:sz w:val="32"/>
          <w:szCs w:val="32"/>
          <w:highlight w:val="none"/>
        </w:rPr>
      </w:pPr>
      <w:r>
        <w:rPr>
          <w:rFonts w:ascii="宋体" w:hAnsi="宋体" w:eastAsia="宋体" w:cs="宋体"/>
          <w:b/>
          <w:bCs/>
          <w:color w:val="auto"/>
          <w:sz w:val="32"/>
          <w:szCs w:val="32"/>
          <w:highlight w:val="none"/>
        </w:rPr>
      </w:r>
      <w:r/>
    </w:p>
    <w:p>
      <w:pPr>
        <w:ind w:left="420" w:firstLine="480"/>
        <w:jc w:val="left"/>
        <w:spacing w:line="420"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jc w:val="center"/>
        <w:rPr>
          <w:rFonts w:ascii="宋体" w:hAnsi="宋体" w:eastAsia="宋体" w:cs="宋体"/>
          <w:bCs/>
          <w:color w:val="auto"/>
          <w:sz w:val="24"/>
          <w:szCs w:val="21"/>
          <w:highlight w:val="none"/>
        </w:rPr>
      </w:pPr>
      <w:r>
        <w:rPr>
          <w:rFonts w:ascii="宋体" w:hAnsi="宋体" w:eastAsia="宋体" w:cs="宋体"/>
          <w:bCs/>
          <w:color w:val="auto"/>
          <w:sz w:val="24"/>
          <w:szCs w:val="21"/>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ascii="宋体" w:hAnsi="宋体" w:eastAsia="宋体" w:cs="宋体"/>
          <w:b/>
          <w:color w:val="auto"/>
          <w:sz w:val="32"/>
          <w:szCs w:val="32"/>
          <w:highlight w:val="none"/>
        </w:rPr>
      </w:r>
      <w:r/>
    </w:p>
    <w:p>
      <w:pP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五、投标报价明细表</w:t>
      </w:r>
      <w:r/>
    </w:p>
    <w:p>
      <w:pPr>
        <w:jc w:val="center"/>
        <w:spacing w:line="50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明细报价表</w:t>
      </w:r>
      <w:r/>
    </w:p>
    <w:tbl>
      <w:tblPr>
        <w:tblStyle w:val="837"/>
        <w:tblW w:w="10015" w:type="dxa"/>
        <w:tblInd w:w="-5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95"/>
        <w:gridCol w:w="1486"/>
        <w:gridCol w:w="1118"/>
        <w:gridCol w:w="1637"/>
        <w:gridCol w:w="907"/>
        <w:gridCol w:w="841"/>
        <w:gridCol w:w="1588"/>
        <w:gridCol w:w="1443"/>
      </w:tblGrid>
      <w:tr>
        <w:trPr>
          <w:cantSplit/>
          <w:trHeight w:val="583"/>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486"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11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63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90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841"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W w:w="158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1443"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r>
      <w:tr>
        <w:trPr>
          <w:cantSplit/>
          <w:trHeight w:val="665"/>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W w:w="1486"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产品</w:t>
            </w:r>
            <w:r/>
          </w:p>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名称</w:t>
            </w:r>
            <w:r/>
          </w:p>
        </w:tc>
        <w:tc>
          <w:tcPr>
            <w:tcW w:w="111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品牌</w:t>
            </w:r>
            <w:r/>
          </w:p>
        </w:tc>
        <w:tc>
          <w:tcPr>
            <w:tcW w:w="163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型号</w:t>
            </w:r>
            <w:r/>
          </w:p>
        </w:tc>
        <w:tc>
          <w:tcPr>
            <w:tcW w:w="907"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产地</w:t>
            </w:r>
            <w:r/>
          </w:p>
        </w:tc>
        <w:tc>
          <w:tcPr>
            <w:tcW w:w="841"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W w:w="1588"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分项单价</w:t>
            </w:r>
            <w:r/>
          </w:p>
        </w:tc>
        <w:tc>
          <w:tcPr>
            <w:tcW w:w="1443"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分项总价</w:t>
            </w:r>
            <w:r/>
          </w:p>
        </w:tc>
      </w:tr>
      <w:tr>
        <w:trPr>
          <w:cantSplit/>
          <w:trHeight w:val="743"/>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72"/>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84"/>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31"/>
        </w:trPr>
        <w:tc>
          <w:tcPr>
            <w:tcW w:w="995"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486" w:type="dxa"/>
            <w:vAlign w:val="center"/>
            <w:textDirection w:val="lrTb"/>
            <w:noWrap w:val="false"/>
          </w:tcPr>
          <w:p>
            <w:pP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111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63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907"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841"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588"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631"/>
        </w:trPr>
        <w:tc>
          <w:tcPr>
            <w:gridSpan w:val="7"/>
            <w:tcW w:w="8572" w:type="dxa"/>
            <w:vAlign w:val="center"/>
            <w:textDirection w:val="lrTb"/>
            <w:noWrap w:val="false"/>
          </w:tcPr>
          <w:p>
            <w:pPr>
              <w:jc w:val="center"/>
              <w:spacing w:line="0" w:lineRule="atLeast"/>
              <w:rPr>
                <w:rFonts w:ascii="宋体" w:hAnsi="宋体" w:eastAsia="宋体" w:cs="宋体"/>
                <w:color w:val="auto"/>
                <w:sz w:val="24"/>
                <w:highlight w:val="none"/>
              </w:rPr>
            </w:pPr>
            <w:r>
              <w:rPr>
                <w:rFonts w:hint="eastAsia" w:ascii="宋体" w:hAnsi="宋体" w:eastAsia="宋体" w:cs="宋体"/>
                <w:color w:val="auto"/>
                <w:sz w:val="24"/>
                <w:highlight w:val="none"/>
              </w:rPr>
              <w:t xml:space="preserve">投标总报价（人民币：元）</w:t>
            </w:r>
            <w:r/>
          </w:p>
        </w:tc>
        <w:tc>
          <w:tcPr>
            <w:tcW w:w="1443" w:type="dxa"/>
            <w:vAlign w:val="center"/>
            <w:textDirection w:val="lrTb"/>
            <w:noWrap w:val="false"/>
          </w:tcPr>
          <w:p>
            <w:pPr>
              <w:spacing w:line="0" w:lineRule="atLeast"/>
              <w:rPr>
                <w:rFonts w:ascii="宋体" w:hAnsi="宋体" w:eastAsia="宋体" w:cs="宋体"/>
                <w:color w:val="auto"/>
                <w:sz w:val="24"/>
                <w:highlight w:val="none"/>
              </w:rPr>
            </w:pPr>
            <w:r>
              <w:rPr>
                <w:rFonts w:ascii="宋体" w:hAnsi="宋体" w:eastAsia="宋体" w:cs="宋体"/>
                <w:color w:val="auto"/>
                <w:sz w:val="24"/>
                <w:highlight w:val="none"/>
              </w:rPr>
            </w:r>
            <w:r/>
          </w:p>
        </w:tc>
      </w:tr>
    </w:tbl>
    <w:p>
      <w:pPr>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备注：1.投标报价采用总承包方式，“投标总报价”应包括所投货物（包含与货物相关的服务）费用、安装调试费、运行维护费用、</w:t>
      </w:r>
      <w:r>
        <w:rPr>
          <w:rFonts w:hint="eastAsia" w:ascii="宋体" w:hAnsi="宋体" w:eastAsia="宋体" w:cs="宋体"/>
          <w:color w:val="auto"/>
          <w:sz w:val="24"/>
          <w:szCs w:val="21"/>
          <w:highlight w:val="none"/>
          <w:lang w:val="en-US" w:eastAsia="zh-CN"/>
        </w:rPr>
        <w:t xml:space="preserve">培训、</w:t>
      </w:r>
      <w:r>
        <w:rPr>
          <w:rFonts w:hint="eastAsia" w:ascii="宋体" w:hAnsi="宋体" w:eastAsia="宋体" w:cs="宋体"/>
          <w:color w:val="auto"/>
          <w:sz w:val="24"/>
          <w:szCs w:val="21"/>
          <w:highlight w:val="none"/>
        </w:rPr>
        <w:t xml:space="preserve">税金及其他有关的为完成本项目发生的所有费用，招标文件中另有规定的除外。</w:t>
      </w:r>
      <w:r/>
    </w:p>
    <w:p>
      <w:pPr>
        <w:spacing w:line="360" w:lineRule="auto"/>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2.“投标分项报价表”中“投标总报价”数额应当与“开标一览表”中“投标总报价”数额一致。</w:t>
      </w:r>
      <w:r/>
    </w:p>
    <w:p>
      <w:pPr>
        <w:spacing w:line="50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rPr>
          <w:rFonts w:ascii="宋体" w:hAnsi="宋体" w:eastAsia="宋体" w:cs="宋体"/>
          <w:b/>
          <w:bCs/>
          <w:color w:val="auto"/>
          <w:sz w:val="32"/>
          <w:highlight w:val="none"/>
        </w:rPr>
      </w:pPr>
      <w:r>
        <w:rPr>
          <w:rFonts w:ascii="宋体" w:hAnsi="宋体" w:eastAsia="宋体" w:cs="宋体"/>
          <w:b/>
          <w:bCs/>
          <w:color w:val="auto"/>
          <w:sz w:val="32"/>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b/>
          <w:bCs/>
          <w:strike/>
          <w:color w:val="auto"/>
          <w:sz w:val="32"/>
          <w:szCs w:val="32"/>
          <w:highlight w:val="none"/>
        </w:rPr>
        <w:br w:type="page" w:clear="all"/>
      </w:r>
      <w:r>
        <w:rPr>
          <w:rFonts w:hint="eastAsia" w:ascii="宋体" w:hAnsi="宋体" w:eastAsia="宋体" w:cs="宋体"/>
          <w:b/>
          <w:color w:val="auto"/>
          <w:sz w:val="32"/>
          <w:szCs w:val="32"/>
          <w:highlight w:val="none"/>
        </w:rPr>
        <w:t xml:space="preserve">六、中小（微）企业声明函（货物）</w:t>
      </w:r>
      <w:r/>
    </w:p>
    <w:p>
      <w:pPr>
        <w:jc w:val="center"/>
        <w:rPr>
          <w:rFonts w:ascii="宋体" w:hAnsi="宋体" w:eastAsia="宋体" w:cs="宋体"/>
          <w:b/>
          <w:color w:val="auto"/>
          <w:sz w:val="36"/>
          <w:szCs w:val="36"/>
          <w:highlight w:val="none"/>
        </w:rPr>
      </w:pPr>
      <w:r>
        <w:rPr>
          <w:rFonts w:ascii="宋体" w:hAnsi="宋体" w:eastAsia="宋体" w:cs="宋体"/>
          <w:b/>
          <w:color w:val="auto"/>
          <w:sz w:val="36"/>
          <w:szCs w:val="36"/>
          <w:highlight w:val="none"/>
        </w:rPr>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6"/>
          <w:szCs w:val="36"/>
          <w:highlight w:val="none"/>
        </w:rPr>
        <w:t xml:space="preserve">中小（微）企业声明函（货物）</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本公司（联合体）郑重声明，根据《政府采购促进中小企业发展管理办法》（财库〔2020〕46号）的规定，本公司（联合体）参加</w:t>
      </w:r>
      <w:r>
        <w:rPr>
          <w:rFonts w:hint="eastAsia" w:ascii="宋体" w:hAnsi="宋体" w:eastAsia="宋体" w:cs="宋体"/>
          <w:color w:val="auto"/>
          <w:sz w:val="24"/>
          <w:highlight w:val="none"/>
          <w:u w:val="single"/>
        </w:rPr>
        <w:t xml:space="preserve">单位名称</w:t>
      </w:r>
      <w:r>
        <w:rPr>
          <w:rFonts w:hint="eastAsia" w:ascii="宋体" w:hAnsi="宋体" w:eastAsia="宋体" w:cs="宋体"/>
          <w:color w:val="auto"/>
          <w:sz w:val="24"/>
          <w:highlight w:val="none"/>
        </w:rPr>
        <w:t xml:space="preserve">的</w:t>
      </w:r>
      <w:r>
        <w:rPr>
          <w:rFonts w:hint="eastAsia" w:ascii="宋体" w:hAnsi="宋体" w:eastAsia="宋体" w:cs="宋体"/>
          <w:color w:val="auto"/>
          <w:sz w:val="24"/>
          <w:highlight w:val="none"/>
          <w:u w:val="single"/>
          <w:lang w:eastAsia="zh-CN"/>
        </w:rPr>
        <w:t xml:space="preserve">宿迁学院具身智能领域概念验证中心与产业学院项目</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u w:val="single"/>
          <w:lang w:val="en-US" w:eastAsia="zh-CN"/>
        </w:rPr>
        <w:t xml:space="preserve">采购包</w:t>
      </w:r>
      <w:r>
        <w:rPr>
          <w:rFonts w:hint="eastAsia" w:ascii="宋体" w:hAnsi="宋体" w:eastAsia="宋体" w:cs="宋体"/>
          <w:color w:val="auto"/>
          <w:sz w:val="24"/>
          <w:highlight w:val="none"/>
          <w:u w:val="single"/>
        </w:rPr>
        <w:t xml:space="preserve">**）</w:t>
      </w:r>
      <w:r>
        <w:rPr>
          <w:rFonts w:hint="eastAsia" w:ascii="宋体" w:hAnsi="宋体" w:eastAsia="宋体" w:cs="宋体"/>
          <w:color w:val="auto"/>
          <w:sz w:val="24"/>
          <w:highlight w:val="none"/>
        </w:rPr>
        <w:t xml:space="preserve">采购活动，提供的货物全部由符合政策要求的中小企业制造。相关企业（含联合体中的中小企业、签订分包意向协议的中小企业）的具体情况如下：</w:t>
      </w:r>
      <w:r/>
    </w:p>
    <w:p>
      <w:pPr>
        <w:ind w:firstLine="480"/>
        <w:jc w:val="left"/>
        <w:spacing w:line="5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1.</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u w:val="single"/>
        </w:rPr>
        <w:t xml:space="preserve">行业</w:t>
      </w:r>
      <w:r>
        <w:rPr>
          <w:rFonts w:hint="eastAsia" w:ascii="宋体" w:hAnsi="宋体" w:eastAsia="宋体" w:cs="宋体"/>
          <w:color w:val="auto"/>
          <w:sz w:val="24"/>
          <w:highlight w:val="none"/>
        </w:rPr>
        <w:t xml:space="preserve">；制造商为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w:t>
      </w:r>
      <w:r>
        <w:rPr>
          <w:rFonts w:hint="eastAsia" w:ascii="宋体" w:hAnsi="宋体" w:eastAsia="宋体" w:cs="宋体"/>
          <w:color w:val="auto"/>
          <w:sz w:val="24"/>
          <w:highlight w:val="none"/>
          <w:vertAlign w:val="superscript"/>
        </w:rPr>
        <w:t xml:space="preserve">1</w:t>
      </w:r>
      <w:r>
        <w:rPr>
          <w:rFonts w:hint="eastAsia" w:ascii="宋体" w:hAnsi="宋体" w:eastAsia="宋体" w:cs="宋体"/>
          <w:color w:val="auto"/>
          <w:sz w:val="24"/>
          <w:highlight w:val="none"/>
        </w:rPr>
        <w:t xml:space="preserve">，属于</w:t>
      </w:r>
      <w:r>
        <w:rPr>
          <w:rFonts w:hint="eastAsia" w:ascii="宋体" w:hAnsi="宋体" w:eastAsia="宋体" w:cs="Times New Roman"/>
          <w:color w:val="auto"/>
          <w:sz w:val="24"/>
          <w:szCs w:val="24"/>
          <w:highlight w:val="none"/>
          <w:u w:val="single"/>
        </w:rPr>
        <w:t xml:space="preserve">（□中型企业 □小型企业 □微型企业）</w:t>
      </w:r>
      <w:r>
        <w:rPr>
          <w:rFonts w:hint="eastAsia" w:ascii="宋体" w:hAnsi="宋体" w:eastAsia="宋体" w:cs="宋体"/>
          <w:color w:val="auto"/>
          <w:sz w:val="24"/>
          <w:highlight w:val="none"/>
          <w:u w:val="single"/>
        </w:rPr>
        <w:t xml:space="preserve">；</w:t>
      </w:r>
      <w:r/>
    </w:p>
    <w:p>
      <w:pPr>
        <w:ind w:firstLine="480"/>
        <w:jc w:val="left"/>
        <w:spacing w:line="500" w:lineRule="exact"/>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2.</w:t>
      </w:r>
      <w:r>
        <w:rPr>
          <w:rFonts w:hint="eastAsia" w:ascii="宋体" w:hAnsi="宋体" w:eastAsia="宋体" w:cs="宋体"/>
          <w:color w:val="auto"/>
          <w:sz w:val="24"/>
          <w:highlight w:val="none"/>
          <w:u w:val="single"/>
        </w:rPr>
        <w:t xml:space="preserve">标的名称</w:t>
      </w:r>
      <w:r>
        <w:rPr>
          <w:rFonts w:hint="eastAsia" w:ascii="宋体" w:hAnsi="宋体" w:eastAsia="宋体" w:cs="宋体"/>
          <w:color w:val="auto"/>
          <w:sz w:val="24"/>
          <w:highlight w:val="none"/>
        </w:rPr>
        <w:t xml:space="preserve">，属于（</w:t>
      </w:r>
      <w:r>
        <w:rPr>
          <w:rFonts w:hint="eastAsia" w:ascii="宋体" w:hAnsi="宋体" w:eastAsia="宋体" w:cs="宋体"/>
          <w:i/>
          <w:color w:val="auto"/>
          <w:sz w:val="24"/>
          <w:highlight w:val="none"/>
          <w:u w:val="single"/>
        </w:rPr>
        <w:t xml:space="preserve">采购文件中明确的所属行业）</w:t>
      </w:r>
      <w:r>
        <w:rPr>
          <w:rFonts w:hint="eastAsia" w:ascii="宋体" w:hAnsi="宋体" w:eastAsia="宋体" w:cs="宋体"/>
          <w:color w:val="auto"/>
          <w:sz w:val="24"/>
          <w:highlight w:val="none"/>
          <w:u w:val="single"/>
        </w:rPr>
        <w:t xml:space="preserve">行业</w:t>
      </w:r>
      <w:r>
        <w:rPr>
          <w:rFonts w:hint="eastAsia" w:ascii="宋体" w:hAnsi="宋体" w:eastAsia="宋体" w:cs="宋体"/>
          <w:color w:val="auto"/>
          <w:sz w:val="24"/>
          <w:highlight w:val="none"/>
        </w:rPr>
        <w:t xml:space="preserve">；制造商为</w:t>
      </w:r>
      <w:r>
        <w:rPr>
          <w:rFonts w:hint="eastAsia" w:ascii="宋体" w:hAnsi="宋体" w:eastAsia="宋体" w:cs="宋体"/>
          <w:color w:val="auto"/>
          <w:sz w:val="24"/>
          <w:highlight w:val="none"/>
          <w:u w:val="single"/>
        </w:rPr>
        <w:t xml:space="preserve">（企业名称）</w:t>
      </w:r>
      <w:r>
        <w:rPr>
          <w:rFonts w:hint="eastAsia" w:ascii="宋体" w:hAnsi="宋体" w:eastAsia="宋体" w:cs="宋体"/>
          <w:color w:val="auto"/>
          <w:sz w:val="24"/>
          <w:highlight w:val="none"/>
        </w:rPr>
        <w:t xml:space="preserve">，从业人员人，营业收入为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万元，资产总额为</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万元，属于</w:t>
      </w:r>
      <w:r>
        <w:rPr>
          <w:rFonts w:hint="eastAsia" w:ascii="宋体" w:hAnsi="宋体" w:eastAsia="宋体" w:cs="Times New Roman"/>
          <w:color w:val="auto"/>
          <w:sz w:val="24"/>
          <w:szCs w:val="24"/>
          <w:highlight w:val="none"/>
          <w:u w:val="single"/>
        </w:rPr>
        <w:t xml:space="preserve">（□中型企业 □小型企业 □微型企业）</w:t>
      </w:r>
      <w:r>
        <w:rPr>
          <w:rFonts w:hint="eastAsia" w:ascii="宋体" w:hAnsi="宋体" w:eastAsia="宋体" w:cs="宋体"/>
          <w:color w:val="auto"/>
          <w:sz w:val="24"/>
          <w:highlight w:val="none"/>
          <w:u w:val="single"/>
        </w:rPr>
        <w:t xml:space="preserve">；</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本企业对上述声明内容的真实性负责。如有虚假，将依法承担相应责任。</w:t>
      </w:r>
      <w:r/>
    </w:p>
    <w:p>
      <w:pPr>
        <w:ind w:right="720"/>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right="180" w:firstLine="360"/>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企业名称：（加盖CA电子公章）</w:t>
      </w:r>
      <w:r/>
    </w:p>
    <w:p>
      <w:pPr>
        <w:ind w:firstLine="57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日期：___年___月___日</w:t>
      </w:r>
      <w:r/>
    </w:p>
    <w:p>
      <w:pPr>
        <w:ind w:firstLine="360"/>
        <w:spacing w:line="560" w:lineRule="exact"/>
        <w:rPr>
          <w:rFonts w:ascii="宋体" w:hAnsi="宋体" w:eastAsia="宋体" w:cs="宋体"/>
          <w:color w:val="auto"/>
          <w:sz w:val="18"/>
          <w:szCs w:val="18"/>
          <w:highlight w:val="none"/>
        </w:rPr>
      </w:pPr>
      <w:r>
        <w:rPr>
          <w:rFonts w:hint="eastAsia" w:ascii="宋体" w:hAnsi="宋体" w:eastAsia="宋体" w:cs="宋体"/>
          <w:color w:val="auto"/>
          <w:sz w:val="18"/>
          <w:szCs w:val="18"/>
          <w:highlight w:val="none"/>
          <w:vertAlign w:val="superscript"/>
        </w:rPr>
        <w:t xml:space="preserve">1</w:t>
      </w:r>
      <w:r>
        <w:rPr>
          <w:rFonts w:hint="eastAsia" w:ascii="宋体" w:hAnsi="宋体" w:eastAsia="宋体" w:cs="宋体"/>
          <w:color w:val="auto"/>
          <w:sz w:val="18"/>
          <w:szCs w:val="18"/>
          <w:highlight w:val="none"/>
        </w:rPr>
        <w:t xml:space="preserve">从业人员、营业收入、资产总额填报上一年数据，无上一年数据的新成立企业可不填报。</w:t>
      </w:r>
      <w:r/>
    </w:p>
    <w:p>
      <w:pPr>
        <w:spacing w:line="460" w:lineRule="exact"/>
        <w:rPr>
          <w:rFonts w:ascii="宋体" w:hAnsi="宋体" w:eastAsia="宋体" w:cs="宋体"/>
          <w:iCs/>
          <w:color w:val="auto"/>
          <w:sz w:val="32"/>
          <w:szCs w:val="32"/>
          <w:highlight w:val="none"/>
        </w:rPr>
      </w:pPr>
      <w:r>
        <w:rPr>
          <w:rFonts w:hint="eastAsia" w:ascii="宋体" w:hAnsi="宋体" w:eastAsia="宋体" w:cs="宋体"/>
          <w:b/>
          <w:color w:val="auto"/>
          <w:sz w:val="32"/>
          <w:szCs w:val="32"/>
          <w:highlight w:val="none"/>
        </w:rPr>
        <w:br w:type="page" w:clear="all"/>
      </w:r>
      <w:r/>
    </w:p>
    <w:p>
      <w:pPr>
        <w:jc w:val="center"/>
        <w:spacing w:before="151" w:after="151" w:line="600" w:lineRule="exact"/>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残疾人福利性单位声明函</w:t>
      </w:r>
      <w:r/>
    </w:p>
    <w:p>
      <w:pPr>
        <w:spacing w:line="588" w:lineRule="exact"/>
        <w:rPr>
          <w:rFonts w:ascii="宋体" w:hAnsi="宋体" w:eastAsia="宋体" w:cs="宋体"/>
          <w:b/>
          <w:color w:val="auto"/>
          <w:spacing w:val="6"/>
          <w:sz w:val="30"/>
          <w:szCs w:val="30"/>
          <w:highlight w:val="none"/>
        </w:rPr>
      </w:pPr>
      <w:r>
        <w:rPr>
          <w:rFonts w:ascii="宋体" w:hAnsi="宋体" w:eastAsia="宋体" w:cs="宋体"/>
          <w:b/>
          <w:color w:val="auto"/>
          <w:spacing w:val="6"/>
          <w:sz w:val="30"/>
          <w:szCs w:val="30"/>
          <w:highlight w:val="none"/>
        </w:rPr>
      </w:r>
      <w:r/>
    </w:p>
    <w:p>
      <w:pPr>
        <w:ind w:firstLine="480"/>
        <w:spacing w:line="588"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141号）的规定，本单位为符合条件的残疾人福利性单位，且本单位参加______单位的采购文件项目编号为______的</w:t>
      </w:r>
      <w:r>
        <w:rPr>
          <w:rFonts w:hint="eastAsia" w:ascii="宋体" w:hAnsi="宋体" w:eastAsia="宋体" w:cs="宋体"/>
          <w:color w:val="auto"/>
          <w:sz w:val="24"/>
          <w:szCs w:val="21"/>
          <w:highlight w:val="none"/>
          <w:u w:val="single"/>
        </w:rPr>
        <w:t xml:space="preserve">       </w:t>
      </w:r>
      <w:r>
        <w:rPr>
          <w:rFonts w:hint="eastAsia" w:ascii="宋体" w:hAnsi="宋体" w:eastAsia="宋体" w:cs="宋体"/>
          <w:color w:val="auto"/>
          <w:sz w:val="24"/>
          <w:szCs w:val="21"/>
          <w:highlight w:val="none"/>
        </w:rPr>
        <w:t xml:space="preserve">项目采购活动由本单位提供货物。</w:t>
      </w:r>
      <w:r/>
    </w:p>
    <w:p>
      <w:pPr>
        <w:ind w:firstLine="480"/>
        <w:spacing w:line="588"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本单位对上述声明的真实性负责。如有虚假，将依法承担相应责任。</w:t>
      </w:r>
      <w:r/>
    </w:p>
    <w:p>
      <w:pPr>
        <w:ind w:firstLine="480"/>
        <w:spacing w:line="588" w:lineRule="exact"/>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588" w:lineRule="exact"/>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（备注：1、投标人如不提供此声明函，价格将不做相应扣除。2、成交投标人为残疾人福利单位的，此声明函将随成交结果同时公告，接受社会监督）</w:t>
      </w:r>
      <w:r/>
    </w:p>
    <w:p>
      <w:pPr>
        <w:ind w:firstLine="624"/>
        <w:spacing w:line="588" w:lineRule="exact"/>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ind w:right="1560" w:firstLine="624"/>
        <w:jc w:val="center"/>
        <w:spacing w:line="588" w:lineRule="exact"/>
        <w:tabs>
          <w:tab w:val="left" w:pos="4860" w:leader="none"/>
        </w:tabs>
        <w:rPr>
          <w:rFonts w:ascii="宋体" w:hAnsi="宋体" w:eastAsia="宋体" w:cs="宋体"/>
          <w:color w:val="auto"/>
          <w:sz w:val="24"/>
          <w:szCs w:val="21"/>
          <w:highlight w:val="none"/>
        </w:rPr>
      </w:pPr>
      <w:r>
        <w:rPr>
          <w:rFonts w:hint="eastAsia" w:ascii="宋体" w:hAnsi="宋体" w:eastAsia="宋体" w:cs="宋体"/>
          <w:color w:val="auto"/>
          <w:spacing w:val="6"/>
          <w:sz w:val="30"/>
          <w:szCs w:val="30"/>
          <w:highlight w:val="none"/>
        </w:rPr>
        <w:t xml:space="preserve">             </w:t>
      </w:r>
      <w:r>
        <w:rPr>
          <w:rFonts w:hint="eastAsia" w:ascii="宋体" w:hAnsi="宋体" w:eastAsia="宋体" w:cs="宋体"/>
          <w:color w:val="auto"/>
          <w:sz w:val="24"/>
          <w:szCs w:val="21"/>
          <w:highlight w:val="none"/>
        </w:rPr>
        <w:t xml:space="preserve">          投标人全称（加盖CA电子公章）：</w:t>
      </w:r>
      <w:r/>
    </w:p>
    <w:p>
      <w:pPr>
        <w:ind w:right="1560" w:firstLine="480"/>
        <w:jc w:val="center"/>
        <w:spacing w:line="588" w:lineRule="exact"/>
        <w:tabs>
          <w:tab w:val="left" w:pos="4860" w:leader="none"/>
        </w:tabs>
        <w:rPr>
          <w:rFonts w:ascii="宋体" w:hAnsi="宋体" w:eastAsia="宋体" w:cs="宋体"/>
          <w:color w:val="auto"/>
          <w:sz w:val="24"/>
          <w:szCs w:val="21"/>
          <w:highlight w:val="none"/>
        </w:rPr>
      </w:pPr>
      <w:r>
        <w:rPr>
          <w:rFonts w:hint="eastAsia" w:ascii="宋体" w:hAnsi="宋体" w:eastAsia="宋体" w:cs="宋体"/>
          <w:color w:val="auto"/>
          <w:sz w:val="24"/>
          <w:szCs w:val="21"/>
          <w:highlight w:val="none"/>
        </w:rPr>
        <w:t xml:space="preserve">        日  期：</w:t>
      </w:r>
      <w:r/>
    </w:p>
    <w:p>
      <w:pPr>
        <w:ind w:firstLine="624"/>
        <w:spacing w:line="360" w:lineRule="auto"/>
        <w:rPr>
          <w:rFonts w:ascii="宋体" w:hAnsi="宋体" w:eastAsia="宋体" w:cs="宋体"/>
          <w:color w:val="auto"/>
          <w:spacing w:val="6"/>
          <w:sz w:val="30"/>
          <w:szCs w:val="30"/>
          <w:highlight w:val="none"/>
        </w:rPr>
      </w:pPr>
      <w:r>
        <w:rPr>
          <w:rFonts w:ascii="宋体" w:hAnsi="宋体" w:eastAsia="宋体" w:cs="宋体"/>
          <w:color w:val="auto"/>
          <w:spacing w:val="6"/>
          <w:sz w:val="30"/>
          <w:szCs w:val="30"/>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br w:type="page" w:clear="all"/>
      </w:r>
      <w:r>
        <w:rPr>
          <w:rFonts w:hint="eastAsia" w:ascii="宋体" w:hAnsi="宋体" w:eastAsia="宋体" w:cs="宋体"/>
          <w:b/>
          <w:color w:val="auto"/>
          <w:sz w:val="32"/>
          <w:szCs w:val="32"/>
          <w:highlight w:val="none"/>
        </w:rPr>
        <w:t xml:space="preserve">七、技术要求响应及偏离表</w:t>
      </w:r>
      <w:r/>
    </w:p>
    <w:tbl>
      <w:tblPr>
        <w:tblStyle w:val="83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37"/>
        <w:gridCol w:w="2862"/>
        <w:gridCol w:w="2305"/>
        <w:gridCol w:w="2250"/>
        <w:gridCol w:w="963"/>
      </w:tblGrid>
      <w:tr>
        <w:trPr>
          <w:cantSplit/>
          <w:trHeight w:val="1022"/>
        </w:trPr>
        <w:tc>
          <w:tcPr>
            <w:tcW w:w="737" w:type="dxa"/>
            <w:vAlign w:val="center"/>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2862"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招标文件内容</w:t>
            </w:r>
            <w:r/>
          </w:p>
        </w:tc>
        <w:tc>
          <w:tcPr>
            <w:tcW w:w="2305" w:type="dxa"/>
            <w:vAlign w:val="center"/>
            <w:textDirection w:val="lrTb"/>
            <w:noWrap w:val="false"/>
          </w:tcPr>
          <w:p>
            <w:pPr>
              <w:jc w:val="center"/>
              <w:widowControl/>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投标文件内容</w:t>
            </w:r>
            <w:r/>
          </w:p>
        </w:tc>
        <w:tc>
          <w:tcPr>
            <w:tcW w:w="2250" w:type="dxa"/>
            <w:vAlign w:val="center"/>
            <w:textDirection w:val="lrTb"/>
            <w:noWrap w:val="false"/>
          </w:tcPr>
          <w:p>
            <w:pPr>
              <w:jc w:val="center"/>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偏离（填报“正偏离、符合或负偏离”）</w:t>
            </w:r>
            <w:r/>
          </w:p>
        </w:tc>
        <w:tc>
          <w:tcPr>
            <w:tcW w:w="963" w:type="dxa"/>
            <w:vAlign w:val="center"/>
            <w:textDirection w:val="lrTb"/>
            <w:noWrap w:val="false"/>
          </w:tcPr>
          <w:p>
            <w:pPr>
              <w:jc w:val="center"/>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备注</w:t>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20"/>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r>
        <w:trPr>
          <w:cantSplit/>
          <w:trHeight w:val="731"/>
        </w:trPr>
        <w:tc>
          <w:tcPr>
            <w:tcW w:w="737"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862" w:type="dxa"/>
            <w:textDirection w:val="lrTb"/>
            <w:noWrap w:val="false"/>
          </w:tcPr>
          <w:p>
            <w:pPr>
              <w:jc w:val="center"/>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tc>
        <w:tc>
          <w:tcPr>
            <w:tcW w:w="2305"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2250"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c>
          <w:tcPr>
            <w:tcW w:w="963" w:type="dxa"/>
            <w:textDirection w:val="lrTb"/>
            <w:noWrap w:val="false"/>
          </w:tcPr>
          <w:p>
            <w:pPr>
              <w:jc w:val="center"/>
              <w:rPr>
                <w:rFonts w:ascii="宋体" w:hAnsi="宋体" w:eastAsia="宋体" w:cs="宋体"/>
                <w:color w:val="auto"/>
                <w:sz w:val="24"/>
                <w:highlight w:val="none"/>
              </w:rPr>
            </w:pPr>
            <w:r>
              <w:rPr>
                <w:rFonts w:ascii="宋体" w:hAnsi="宋体" w:eastAsia="宋体" w:cs="宋体"/>
                <w:color w:val="auto"/>
                <w:sz w:val="24"/>
                <w:highlight w:val="none"/>
              </w:rPr>
            </w:r>
            <w:r/>
          </w:p>
        </w:tc>
      </w:tr>
    </w:tbl>
    <w:p>
      <w:pPr>
        <w:ind w:firstLine="480"/>
        <w:jc w:val="left"/>
        <w:spacing w:line="360" w:lineRule="auto"/>
        <w:rPr>
          <w:rFonts w:ascii="宋体" w:hAnsi="宋体" w:eastAsia="宋体" w:cs="宋体"/>
          <w:bCs/>
          <w:color w:val="auto"/>
          <w:sz w:val="24"/>
          <w:szCs w:val="16"/>
          <w:highlight w:val="none"/>
        </w:rPr>
      </w:pPr>
      <w:r>
        <w:rPr>
          <w:rFonts w:hint="eastAsia" w:ascii="宋体" w:hAnsi="宋体" w:eastAsia="宋体" w:cs="宋体"/>
          <w:bCs/>
          <w:color w:val="auto"/>
          <w:sz w:val="24"/>
          <w:szCs w:val="16"/>
          <w:highlight w:val="none"/>
        </w:rPr>
        <w:t xml:space="preserve">备注：1.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作无效响应处理。</w:t>
      </w:r>
      <w:r/>
    </w:p>
    <w:p>
      <w:pPr>
        <w:ind w:firstLine="480"/>
        <w:jc w:val="left"/>
        <w:spacing w:line="360" w:lineRule="auto"/>
        <w:rPr>
          <w:rFonts w:ascii="宋体" w:hAnsi="宋体" w:eastAsia="宋体" w:cs="宋体"/>
          <w:b w:val="0"/>
          <w:bCs/>
          <w:color w:val="auto"/>
          <w:sz w:val="24"/>
          <w:szCs w:val="16"/>
          <w:highlight w:val="none"/>
        </w:rPr>
      </w:pPr>
      <w:r>
        <w:rPr>
          <w:rFonts w:hint="eastAsia" w:ascii="宋体" w:hAnsi="宋体" w:eastAsia="宋体" w:cs="宋体"/>
          <w:bCs/>
          <w:color w:val="auto"/>
          <w:sz w:val="24"/>
          <w:szCs w:val="16"/>
          <w:highlight w:val="none"/>
        </w:rPr>
        <w:t xml:space="preserve">2.对采购需求的其它非实质性要求，投标人按所投产品情况在此表中详细列出偏离情况（包括正偏离、负偏离、无偏离）并说明理由；</w:t>
      </w:r>
      <w:r>
        <w:rPr>
          <w:rFonts w:hint="eastAsia" w:ascii="宋体" w:hAnsi="宋体" w:eastAsia="宋体" w:cs="宋体"/>
          <w:b w:val="0"/>
          <w:bCs/>
          <w:color w:val="auto"/>
          <w:sz w:val="24"/>
          <w:szCs w:val="16"/>
          <w:highlight w:val="none"/>
        </w:rPr>
        <w:t xml:space="preserve">未列明的均视为未响应招标文件要求。</w:t>
      </w:r>
      <w:r/>
    </w:p>
    <w:p>
      <w:pPr>
        <w:jc w:val="center"/>
        <w:rPr>
          <w:rFonts w:ascii="宋体" w:hAnsi="宋体" w:eastAsia="宋体" w:cs="宋体"/>
          <w:b/>
          <w:color w:val="auto"/>
          <w:sz w:val="36"/>
          <w:szCs w:val="21"/>
          <w:highlight w:val="none"/>
        </w:rPr>
      </w:pPr>
      <w:r>
        <w:rPr>
          <w:rFonts w:ascii="宋体" w:hAnsi="宋体" w:eastAsia="宋体" w:cs="宋体"/>
          <w:b/>
          <w:color w:val="auto"/>
          <w:sz w:val="36"/>
          <w:szCs w:val="21"/>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ascii="宋体" w:hAnsi="宋体" w:eastAsia="宋体" w:cs="宋体"/>
          <w:b/>
          <w:color w:val="auto"/>
          <w:sz w:val="32"/>
          <w:highlight w:val="none"/>
        </w:rPr>
      </w:r>
      <w:r/>
    </w:p>
    <w:p>
      <w:pPr>
        <w:rPr>
          <w:rFonts w:ascii="宋体" w:hAnsi="宋体" w:eastAsia="宋体" w:cs="宋体"/>
          <w:b/>
          <w:color w:val="auto"/>
          <w:sz w:val="32"/>
          <w:highlight w:val="none"/>
        </w:rPr>
      </w:pPr>
      <w:r>
        <w:rPr>
          <w:rFonts w:hint="eastAsia" w:ascii="宋体" w:hAnsi="宋体" w:eastAsia="宋体" w:cs="宋体"/>
          <w:b/>
          <w:color w:val="auto"/>
          <w:sz w:val="32"/>
          <w:highlight w:val="none"/>
        </w:rPr>
        <w:br w:type="page" w:clear="all"/>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八、项目组人员</w:t>
      </w:r>
      <w:r/>
    </w:p>
    <w:p>
      <w:pPr>
        <w:jc w:val="center"/>
        <w:spacing w:before="100" w:beforeAutospacing="1" w:after="100" w:afterAutospacing="1" w:line="600" w:lineRule="exact"/>
        <w:widowControl/>
        <w:rPr>
          <w:rFonts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lang w:bidi="ar"/>
        </w:rPr>
        <w:t xml:space="preserve">项目组成员</w:t>
      </w:r>
      <w:r/>
    </w:p>
    <w:tbl>
      <w:tblPr>
        <w:tblStyle w:val="837"/>
        <w:tblpPr w:horzAnchor="margin" w:tblpXSpec="center" w:vertAnchor="text" w:tblpY="74"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jc w:val="center"/>
              <w:spacing w:beforeAutospacing="1"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姓名</w:t>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Autospacing="1"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职务</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beforeAutospacing="1" w:line="56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学历</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280"/>
              <w:spacing w:beforeAutospacing="1" w:line="56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身份证号</w:t>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jc w:val="center"/>
              <w:spacing w:beforeAutospacing="1" w:line="56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相关证书</w:t>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spacing w:beforeAutospacing="1" w:line="560" w:lineRule="exact"/>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w:t>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项目负责人</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center"/>
              <w:spacing w:before="100" w:beforeAutospacing="1" w:after="100" w:afterAutospacing="1"/>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280"/>
              <w:jc w:val="left"/>
              <w:spacing w:before="100" w:beforeAutospacing="1" w:after="100" w:afterAutospacing="1"/>
              <w:widowControl/>
              <w:rPr>
                <w:rFonts w:ascii="宋体" w:hAnsi="宋体" w:eastAsia="宋体" w:cs="宋体"/>
                <w:color w:val="auto"/>
                <w:sz w:val="28"/>
                <w:szCs w:val="28"/>
                <w:highlight w:val="none"/>
              </w:rPr>
            </w:pPr>
            <w:r>
              <w:rPr>
                <w:rFonts w:hint="eastAsia" w:ascii="宋体" w:hAnsi="宋体" w:eastAsia="宋体" w:cs="宋体"/>
                <w:color w:val="auto"/>
                <w:sz w:val="28"/>
                <w:szCs w:val="28"/>
                <w:highlight w:val="none"/>
                <w:lang w:bidi="ar"/>
              </w:rPr>
              <w:t xml:space="preserve">......</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jc w:val="left"/>
              <w:spacing w:before="100" w:beforeAutospacing="1" w:after="100" w:afterAutospacing="1"/>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r>
        <w:trPr>
          <w:trHeight w:val="729"/>
        </w:trPr>
        <w:tc>
          <w:tcPr>
            <w:tcBorders>
              <w:top w:val="single" w:color="auto" w:sz="4" w:space="0"/>
              <w:left w:val="single" w:color="auto" w:sz="4" w:space="0"/>
              <w:bottom w:val="single" w:color="auto" w:sz="4" w:space="0"/>
              <w:right w:val="single" w:color="auto" w:sz="4" w:space="0"/>
            </w:tcBorders>
            <w:tcW w:w="959"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843"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170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c>
          <w:tcPr>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ind w:firstLine="560"/>
              <w:jc w:val="center"/>
              <w:spacing w:line="560" w:lineRule="exact"/>
              <w:widowControl/>
              <w:rPr>
                <w:rFonts w:ascii="宋体" w:hAnsi="宋体" w:eastAsia="宋体" w:cs="宋体"/>
                <w:color w:val="auto"/>
                <w:sz w:val="28"/>
                <w:szCs w:val="28"/>
                <w:highlight w:val="none"/>
              </w:rPr>
            </w:pPr>
            <w:r>
              <w:rPr>
                <w:rFonts w:ascii="宋体" w:hAnsi="宋体" w:eastAsia="宋体" w:cs="宋体"/>
                <w:color w:val="auto"/>
                <w:sz w:val="28"/>
                <w:szCs w:val="28"/>
                <w:highlight w:val="none"/>
              </w:rPr>
            </w:r>
            <w:r/>
          </w:p>
        </w:tc>
      </w:tr>
    </w:tbl>
    <w:p>
      <w:pPr>
        <w:ind w:firstLine="398"/>
        <w:jc w:val="left"/>
        <w:spacing w:before="100" w:beforeAutospacing="1" w:after="100" w:afterAutospacing="1" w:line="460" w:lineRule="exact"/>
        <w:widowControl/>
        <w:rPr>
          <w:rFonts w:ascii="宋体" w:hAnsi="宋体" w:eastAsia="宋体" w:cs="宋体"/>
          <w:color w:val="auto"/>
          <w:sz w:val="24"/>
          <w:highlight w:val="none"/>
        </w:rPr>
      </w:pPr>
      <w:r>
        <w:rPr>
          <w:rFonts w:hint="eastAsia" w:ascii="宋体" w:hAnsi="宋体" w:eastAsia="宋体" w:cs="宋体"/>
          <w:b/>
          <w:color w:val="auto"/>
          <w:sz w:val="24"/>
          <w:highlight w:val="none"/>
          <w:lang w:bidi="ar"/>
        </w:rPr>
        <w:t xml:space="preserve">注：如投标人中标，项目组成员必须按本表承诺人员操作，不得随意更换。按招标文件要求附相关人员证书。</w:t>
      </w:r>
      <w:r/>
    </w:p>
    <w:p>
      <w:pPr>
        <w:ind w:firstLine="280"/>
        <w:jc w:val="left"/>
        <w:spacing w:before="100" w:beforeAutospacing="1" w:after="100" w:afterAutospacing="1" w:line="5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b/>
          <w:color w:val="auto"/>
          <w:sz w:val="32"/>
          <w:szCs w:val="32"/>
          <w:highlight w:val="none"/>
        </w:rPr>
        <w:outlineLvl w:val="1"/>
      </w:pPr>
      <w:r>
        <w:rPr>
          <w:rFonts w:hint="eastAsia" w:ascii="宋体" w:hAnsi="宋体" w:eastAsia="宋体" w:cs="宋体"/>
          <w:color w:val="auto"/>
          <w:highlight w:val="none"/>
        </w:rPr>
        <w:br w:type="page" w:clear="all"/>
      </w:r>
      <w:bookmarkStart w:id="172" w:name="_Toc11176"/>
      <w:r>
        <w:rPr>
          <w:rFonts w:hint="eastAsia" w:ascii="宋体" w:hAnsi="宋体" w:eastAsia="宋体" w:cs="宋体"/>
          <w:b/>
          <w:color w:val="auto"/>
          <w:sz w:val="32"/>
          <w:szCs w:val="32"/>
          <w:highlight w:val="none"/>
        </w:rPr>
        <w:t xml:space="preserve">九、</w:t>
      </w:r>
      <w:bookmarkEnd w:id="172"/>
      <w:r>
        <w:rPr>
          <w:rFonts w:hint="eastAsia" w:ascii="宋体" w:hAnsi="宋体" w:eastAsia="宋体" w:cs="宋体"/>
          <w:b/>
          <w:color w:val="auto"/>
          <w:sz w:val="32"/>
          <w:szCs w:val="32"/>
          <w:highlight w:val="none"/>
        </w:rPr>
        <w:t xml:space="preserve">企业业绩</w:t>
      </w:r>
      <w:r/>
    </w:p>
    <w:p>
      <w:pPr>
        <w:jc w:val="center"/>
        <w:rPr>
          <w:rFonts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投标人承担类似项目业绩一览表</w:t>
      </w:r>
      <w:r/>
    </w:p>
    <w:tbl>
      <w:tblPr>
        <w:tblStyle w:val="837"/>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采购单位</w:t>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tc>
      </w:tr>
      <w:tr>
        <w:trPr>
          <w:jc w:val="center"/>
          <w:trHeight w:val="1510"/>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510"/>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510"/>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r>
        <w:trPr>
          <w:jc w:val="center"/>
          <w:trHeight w:val="1525"/>
        </w:trPr>
        <w:tc>
          <w:tcPr>
            <w:tcW w:w="1229" w:type="dxa"/>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3827"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2433"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c>
          <w:tcPr>
            <w:tcW w:w="1395" w:type="dxa"/>
            <w:vAlign w:val="center"/>
            <w:textDirection w:val="lrTb"/>
            <w:noWrap w:val="false"/>
          </w:tcPr>
          <w:p>
            <w:pPr>
              <w:jc w:val="center"/>
              <w:spacing w:line="560" w:lineRule="exact"/>
              <w:rPr>
                <w:rFonts w:ascii="宋体" w:hAnsi="宋体" w:eastAsia="宋体" w:cs="宋体"/>
                <w:color w:val="auto"/>
                <w:sz w:val="24"/>
                <w:highlight w:val="none"/>
              </w:rPr>
            </w:pPr>
            <w:r>
              <w:rPr>
                <w:rFonts w:ascii="宋体" w:hAnsi="宋体" w:eastAsia="宋体" w:cs="宋体"/>
                <w:color w:val="auto"/>
                <w:sz w:val="24"/>
                <w:highlight w:val="none"/>
              </w:rPr>
            </w:r>
            <w:r/>
          </w:p>
        </w:tc>
      </w:tr>
    </w:tbl>
    <w:p>
      <w:pPr>
        <w:rPr>
          <w:rFonts w:ascii="宋体" w:hAnsi="宋体" w:eastAsia="宋体" w:cs="宋体"/>
          <w:color w:val="auto"/>
          <w:szCs w:val="22"/>
          <w:highlight w:val="none"/>
        </w:rPr>
      </w:pPr>
      <w:r>
        <w:rPr>
          <w:rFonts w:hint="eastAsia" w:ascii="宋体" w:hAnsi="宋体" w:eastAsia="宋体" w:cs="宋体"/>
          <w:b/>
          <w:color w:val="auto"/>
          <w:sz w:val="24"/>
          <w:szCs w:val="22"/>
          <w:highlight w:val="none"/>
        </w:rPr>
        <w:t xml:space="preserve">注：请填写此表，并按要求上传业绩资料电子件。</w:t>
      </w:r>
      <w:r/>
    </w:p>
    <w:p>
      <w:pPr>
        <w:ind w:firstLine="482"/>
        <w:spacing w:line="500" w:lineRule="exact"/>
        <w:widowControl/>
        <w:rPr>
          <w:rFonts w:ascii="宋体" w:hAnsi="宋体" w:eastAsia="宋体" w:cs="宋体"/>
          <w:bCs/>
          <w:color w:val="auto"/>
          <w:sz w:val="28"/>
          <w:szCs w:val="28"/>
          <w:highlight w:val="none"/>
        </w:rPr>
      </w:pPr>
      <w:r>
        <w:rPr>
          <w:rFonts w:hint="eastAsia" w:ascii="宋体" w:hAnsi="宋体" w:eastAsia="宋体" w:cs="宋体"/>
          <w:color w:val="auto"/>
          <w:szCs w:val="21"/>
          <w:highlight w:val="none"/>
        </w:rPr>
        <w:br w:type="page" w:clear="all"/>
      </w:r>
      <w:bookmarkStart w:id="173" w:name="_Toc28140"/>
      <w:r/>
      <w:r/>
    </w:p>
    <w:p>
      <w:pPr>
        <w:rPr>
          <w:rFonts w:ascii="宋体" w:hAnsi="宋体" w:eastAsia="宋体" w:cs="宋体"/>
          <w:b/>
          <w:color w:val="auto"/>
          <w:sz w:val="32"/>
          <w:szCs w:val="32"/>
          <w:highlight w:val="none"/>
        </w:rPr>
        <w:outlineLvl w:val="1"/>
      </w:pPr>
      <w:r>
        <w:rPr>
          <w:rFonts w:hint="eastAsia" w:ascii="宋体" w:hAnsi="宋体" w:eastAsia="宋体" w:cs="宋体"/>
          <w:b/>
          <w:color w:val="auto"/>
          <w:sz w:val="32"/>
          <w:szCs w:val="32"/>
          <w:highlight w:val="none"/>
        </w:rPr>
        <w:t xml:space="preserve">十、投标所需其他材料</w:t>
      </w:r>
      <w:bookmarkEnd w:id="173"/>
      <w:r/>
      <w:r/>
    </w:p>
    <w:p>
      <w:pPr>
        <w:ind w:firstLine="56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请在此文档中增加投标所需其他相关内容（包括资格要求、评分办法、采购需求中涉及的证件证明及其它投标人认为有必要提供的资料），如没有请将此空文档上传。</w:t>
      </w:r>
      <w:r/>
    </w:p>
    <w:p>
      <w:pPr>
        <w:rPr>
          <w:rFonts w:ascii="宋体" w:hAnsi="宋体" w:eastAsia="宋体" w:cs="宋体"/>
          <w:color w:val="auto"/>
          <w:sz w:val="20"/>
          <w:szCs w:val="21"/>
          <w:highlight w:val="none"/>
        </w:rPr>
      </w:pPr>
      <w:r>
        <w:rPr>
          <w:rFonts w:ascii="宋体" w:hAnsi="宋体" w:eastAsia="宋体" w:cs="宋体"/>
          <w:color w:val="auto"/>
          <w:sz w:val="20"/>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bookmarkEnd w:id="168"/>
      <w:r/>
    </w:p>
    <w:p>
      <w:pPr>
        <w:rPr>
          <w:rFonts w:ascii="宋体" w:hAnsi="宋体" w:eastAsia="宋体" w:cs="宋体"/>
          <w:color w:val="auto"/>
          <w:sz w:val="32"/>
          <w:szCs w:val="21"/>
          <w:highlight w:val="none"/>
        </w:rPr>
      </w:pPr>
      <w:r>
        <w:rPr>
          <w:rFonts w:ascii="宋体" w:hAnsi="宋体" w:eastAsia="宋体" w:cs="宋体"/>
          <w:color w:val="auto"/>
          <w:sz w:val="32"/>
          <w:szCs w:val="21"/>
          <w:highlight w:val="none"/>
        </w:rPr>
      </w:r>
      <w:r/>
    </w:p>
    <w:p>
      <w:pPr>
        <w:spacing w:line="480" w:lineRule="auto"/>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spacing w:line="480" w:lineRule="auto"/>
        <w:rPr>
          <w:rFonts w:ascii="宋体" w:hAnsi="宋体" w:eastAsia="宋体" w:cs="宋体"/>
          <w:color w:val="auto"/>
          <w:sz w:val="30"/>
          <w:szCs w:val="21"/>
          <w:highlight w:val="none"/>
        </w:rPr>
      </w:pPr>
      <w:r>
        <w:rPr>
          <w:rFonts w:ascii="宋体" w:hAnsi="宋体" w:eastAsia="宋体" w:cs="宋体"/>
          <w:color w:val="auto"/>
          <w:sz w:val="30"/>
          <w:szCs w:val="21"/>
          <w:highlight w:val="none"/>
        </w:rPr>
      </w:r>
      <w:r/>
    </w:p>
    <w:p>
      <w:pPr>
        <w:rPr>
          <w:rFonts w:ascii="宋体" w:hAnsi="宋体" w:eastAsia="宋体" w:cs="宋体"/>
          <w:color w:val="auto"/>
          <w:sz w:val="24"/>
          <w:szCs w:val="21"/>
          <w:highlight w:val="none"/>
        </w:rPr>
      </w:pPr>
      <w:r/>
      <w:bookmarkStart w:id="174" w:name="_Hlt26955066"/>
      <w:r/>
      <w:bookmarkEnd w:id="174"/>
      <w:r/>
      <w:bookmarkStart w:id="175" w:name="_Hlt26671374"/>
      <w:r/>
      <w:bookmarkEnd w:id="175"/>
      <w:r/>
      <w:bookmarkStart w:id="176" w:name="_Hlt26609389"/>
      <w:r/>
      <w:bookmarkEnd w:id="176"/>
      <w:r/>
      <w:bookmarkStart w:id="177" w:name="_Toc462564146"/>
      <w:r/>
      <w:r/>
    </w:p>
    <w:p>
      <w:pPr>
        <w:rPr>
          <w:rFonts w:ascii="宋体" w:hAnsi="宋体" w:eastAsia="宋体" w:cs="宋体"/>
          <w:color w:val="auto"/>
          <w:sz w:val="24"/>
          <w:szCs w:val="21"/>
          <w:highlight w:val="none"/>
        </w:rPr>
      </w:pPr>
      <w:r>
        <w:rPr>
          <w:rFonts w:ascii="宋体" w:hAnsi="宋体" w:eastAsia="宋体" w:cs="宋体"/>
          <w:color w:val="auto"/>
          <w:sz w:val="24"/>
          <w:szCs w:val="21"/>
          <w:highlight w:val="none"/>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bookmarkEnd w:id="141"/>
      <w:bookmarkEnd w:id="142"/>
      <w:bookmarkEnd w:id="177"/>
      <w:r/>
    </w:p>
    <w:p>
      <w:pPr>
        <w:ind w:firstLine="480"/>
        <w:spacing w:line="560" w:lineRule="exact"/>
        <w:rPr>
          <w:rFonts w:ascii="宋体" w:hAnsi="宋体" w:eastAsia="宋体" w:cs="宋体"/>
          <w:color w:val="auto"/>
          <w:sz w:val="24"/>
          <w:szCs w:val="32"/>
          <w:highlight w:val="none"/>
          <w:lang w:val="zh-TW"/>
        </w:rPr>
      </w:pPr>
      <w:r>
        <w:rPr>
          <w:rFonts w:ascii="宋体" w:hAnsi="宋体" w:eastAsia="宋体" w:cs="宋体"/>
          <w:color w:val="auto"/>
          <w:sz w:val="24"/>
          <w:szCs w:val="32"/>
          <w:highlight w:val="none"/>
          <w:lang w:val="zh-TW"/>
        </w:rPr>
      </w:r>
      <w:r/>
    </w:p>
    <w:p>
      <w:pPr>
        <w:jc w:val="center"/>
        <w:rPr>
          <w:rFonts w:ascii="宋体" w:hAnsi="宋体" w:eastAsia="宋体" w:cs="宋体"/>
          <w:b/>
          <w:bCs/>
          <w:color w:val="auto"/>
          <w:sz w:val="32"/>
          <w:szCs w:val="32"/>
          <w:highlight w:val="none"/>
        </w:rPr>
      </w:pPr>
      <w:r/>
      <w:bookmarkStart w:id="178" w:name="_格式2__法定代表人授权书"/>
      <w:r/>
      <w:bookmarkEnd w:id="178"/>
      <w:r>
        <w:rPr>
          <w:rFonts w:hint="eastAsia" w:ascii="宋体" w:hAnsi="宋体" w:eastAsia="宋体" w:cs="宋体"/>
          <w:b/>
          <w:color w:val="auto"/>
          <w:sz w:val="32"/>
          <w:szCs w:val="32"/>
          <w:highlight w:val="none"/>
        </w:rPr>
        <w:br w:type="page" w:clear="all"/>
      </w:r>
      <w:r>
        <w:rPr>
          <w:rFonts w:hint="eastAsia" w:ascii="宋体" w:hAnsi="宋体" w:eastAsia="宋体" w:cs="宋体"/>
          <w:b/>
          <w:bCs/>
          <w:color w:val="auto"/>
          <w:sz w:val="32"/>
          <w:szCs w:val="32"/>
          <w:highlight w:val="none"/>
        </w:rPr>
        <w:t xml:space="preserve">质疑函范本</w:t>
      </w:r>
      <w:r/>
    </w:p>
    <w:p>
      <w:pPr>
        <w:spacing w:before="290"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一、质疑投标人基本信息</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质疑投标人：</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授权代表：</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联系电话：</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地址：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邮编：</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二、质疑项目基本情况</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质疑项目的名称：</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质疑项目的编号：</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包号：</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招标人名称：</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采购文件获取日期：</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三、质疑事项具体内容</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质疑事项1：</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事实依据：</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法律依据：</w:t>
      </w: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u w:val="single"/>
        </w:rPr>
        <w:t xml:space="preserve">                                                                           </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质疑事项2</w:t>
      </w:r>
      <w:r/>
    </w:p>
    <w:p>
      <w:pPr>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w:t>
      </w:r>
      <w:r/>
    </w:p>
    <w:p>
      <w:pPr>
        <w:spacing w:line="360" w:lineRule="auto"/>
        <w:rPr>
          <w:rFonts w:ascii="宋体" w:hAnsi="宋体" w:eastAsia="宋体" w:cs="宋体"/>
          <w:bCs/>
          <w:color w:val="auto"/>
          <w:sz w:val="24"/>
          <w:highlight w:val="none"/>
        </w:rPr>
      </w:pPr>
      <w:r>
        <w:rPr>
          <w:rFonts w:hint="eastAsia" w:ascii="宋体" w:hAnsi="宋体" w:eastAsia="宋体" w:cs="宋体"/>
          <w:bCs/>
          <w:color w:val="auto"/>
          <w:sz w:val="24"/>
          <w:highlight w:val="none"/>
        </w:rPr>
        <w:t xml:space="preserve">四、与质疑事项相关的质疑请求</w:t>
      </w:r>
      <w:r/>
    </w:p>
    <w:p>
      <w:pPr>
        <w:spacing w:line="360" w:lineRule="auto"/>
        <w:rPr>
          <w:rFonts w:ascii="宋体" w:hAnsi="宋体" w:eastAsia="宋体" w:cs="宋体"/>
          <w:color w:val="auto"/>
          <w:sz w:val="24"/>
          <w:highlight w:val="none"/>
          <w:u w:val="single"/>
        </w:rPr>
      </w:pPr>
      <w:r>
        <w:rPr>
          <w:rFonts w:hint="eastAsia" w:ascii="宋体" w:hAnsi="宋体" w:eastAsia="宋体" w:cs="宋体"/>
          <w:color w:val="auto"/>
          <w:sz w:val="24"/>
          <w:highlight w:val="none"/>
        </w:rPr>
        <w:t xml:space="preserve">请求：</w:t>
      </w:r>
      <w:r>
        <w:rPr>
          <w:rFonts w:hint="eastAsia" w:ascii="宋体" w:hAnsi="宋体" w:eastAsia="宋体" w:cs="宋体"/>
          <w:color w:val="auto"/>
          <w:sz w:val="24"/>
          <w:highlight w:val="none"/>
          <w:u w:val="single"/>
        </w:rPr>
        <w:t xml:space="preserve">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签字（签章）：                   公章：                      </w:t>
      </w:r>
      <w:r/>
    </w:p>
    <w:p>
      <w:pPr>
        <w:rPr>
          <w:rFonts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spacing w:line="500" w:lineRule="exact"/>
        <w:rPr>
          <w:rFonts w:ascii="宋体" w:hAnsi="宋体" w:eastAsia="宋体" w:cs="宋体"/>
          <w:b/>
          <w:color w:val="auto"/>
          <w:sz w:val="24"/>
          <w:highlight w:val="none"/>
        </w:rPr>
      </w:pPr>
      <w:r>
        <w:rPr>
          <w:rFonts w:hint="eastAsia" w:ascii="宋体" w:hAnsi="宋体" w:eastAsia="宋体" w:cs="宋体"/>
          <w:b/>
          <w:color w:val="auto"/>
          <w:sz w:val="24"/>
          <w:highlight w:val="none"/>
        </w:rPr>
        <w:t xml:space="preserve">质疑函制作说明：</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1.投标人提出质疑时，应提交质疑函和必要的证明材料。</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3.质疑投标人若对项目的某一</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进行质疑，质疑函中应列明具体</w:t>
      </w:r>
      <w:r>
        <w:rPr>
          <w:rFonts w:hint="eastAsia" w:ascii="宋体" w:hAnsi="宋体" w:eastAsia="宋体" w:cs="宋体"/>
          <w:color w:val="auto"/>
          <w:sz w:val="24"/>
          <w:highlight w:val="none"/>
          <w:lang w:val="en-US" w:eastAsia="zh-CN"/>
        </w:rPr>
        <w:t xml:space="preserve">采购包</w:t>
      </w:r>
      <w:r>
        <w:rPr>
          <w:rFonts w:hint="eastAsia" w:ascii="宋体" w:hAnsi="宋体" w:eastAsia="宋体" w:cs="宋体"/>
          <w:color w:val="auto"/>
          <w:sz w:val="24"/>
          <w:highlight w:val="none"/>
        </w:rPr>
        <w:t xml:space="preserve">号。</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4.质疑函的质疑事项应具体、明确，并有必要的事实依据和法律依据。</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5.质疑函的质疑请求应与质疑事项相关。</w:t>
      </w:r>
      <w:r/>
    </w:p>
    <w:p>
      <w:pPr>
        <w:ind w:firstLine="480"/>
        <w:jc w:val="left"/>
        <w:spacing w:line="500" w:lineRule="exact"/>
        <w:widowControl/>
        <w:rPr>
          <w:rFonts w:ascii="宋体" w:hAnsi="宋体" w:eastAsia="宋体" w:cs="宋体"/>
          <w:color w:val="auto"/>
          <w:sz w:val="24"/>
          <w:highlight w:val="none"/>
        </w:rPr>
      </w:pPr>
      <w:r>
        <w:rPr>
          <w:rFonts w:hint="eastAsia" w:ascii="宋体" w:hAnsi="宋体" w:eastAsia="宋体" w:cs="宋体"/>
          <w:color w:val="auto"/>
          <w:sz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80"/>
        <w:jc w:val="left"/>
        <w:spacing w:line="400" w:lineRule="exact"/>
        <w:widowControl/>
        <w:rPr>
          <w:rFonts w:ascii="宋体" w:hAnsi="宋体" w:eastAsia="宋体" w:cs="宋体"/>
          <w:color w:val="auto"/>
          <w:sz w:val="24"/>
          <w:highlight w:val="none"/>
        </w:rPr>
      </w:pPr>
      <w:r>
        <w:rPr>
          <w:rFonts w:ascii="宋体" w:hAnsi="宋体" w:eastAsia="宋体" w:cs="宋体"/>
          <w:color w:val="auto"/>
          <w:sz w:val="24"/>
          <w:highlight w:val="none"/>
        </w:rPr>
      </w:r>
      <w:r/>
    </w:p>
    <w:p>
      <w:pPr>
        <w:ind w:firstLine="420"/>
        <w:rPr>
          <w:rFonts w:ascii="宋体" w:hAnsi="宋体" w:eastAsia="宋体" w:cs="宋体"/>
          <w:color w:val="auto"/>
          <w:sz w:val="24"/>
          <w:highlight w:val="none"/>
        </w:rPr>
      </w:pPr>
      <w:r>
        <w:rPr>
          <w:rFonts w:ascii="宋体" w:hAnsi="宋体" w:eastAsia="宋体" w:cs="宋体"/>
          <w:color w:val="auto"/>
          <w:sz w:val="24"/>
          <w:highlight w:val="none"/>
        </w:rPr>
      </w:r>
      <w:r/>
    </w:p>
    <w:p>
      <w:pPr>
        <w:ind w:firstLine="420"/>
        <w:rPr>
          <w:rFonts w:ascii="宋体" w:hAnsi="宋体" w:eastAsia="宋体" w:cs="宋体"/>
          <w:color w:val="auto"/>
          <w:sz w:val="24"/>
          <w:highlight w:val="none"/>
        </w:rPr>
      </w:pPr>
      <w:r>
        <w:rPr>
          <w:rFonts w:ascii="宋体" w:hAnsi="宋体" w:eastAsia="宋体" w:cs="宋体"/>
          <w:color w:val="auto"/>
          <w:sz w:val="24"/>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szCs w:val="21"/>
          <w:highlight w:val="none"/>
        </w:rPr>
      </w:pPr>
      <w:r>
        <w:rPr>
          <w:rFonts w:ascii="宋体" w:hAnsi="宋体" w:eastAsia="宋体" w:cs="宋体"/>
          <w:color w:val="auto"/>
          <w:szCs w:val="21"/>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rFonts w:ascii="宋体" w:hAnsi="宋体" w:eastAsia="宋体" w:cs="宋体"/>
          <w:color w:val="auto"/>
          <w:highlight w:val="none"/>
        </w:rPr>
      </w:pPr>
      <w:r>
        <w:rPr>
          <w:rFonts w:ascii="宋体" w:hAnsi="宋体" w:eastAsia="宋体" w:cs="宋体"/>
          <w:color w:val="auto"/>
          <w:highlight w:val="none"/>
        </w:rPr>
      </w:r>
      <w:r/>
    </w:p>
    <w:p>
      <w:pPr>
        <w:rPr>
          <w:color w:val="auto"/>
          <w:highlight w:val="none"/>
        </w:rPr>
      </w:pPr>
      <w:r>
        <w:rPr>
          <w:color w:val="auto"/>
          <w:highlight w:val="none"/>
        </w:rPr>
      </w:r>
      <w:r/>
    </w:p>
    <w:sectPr>
      <w:footnotePr/>
      <w:endnotePr/>
      <w:type w:val="nextPage"/>
      <w:pgSz w:w="11906" w:h="16838" w:orient="portrait"/>
      <w:pgMar w:top="1418" w:right="1588" w:bottom="1418" w:left="1365"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Symbol">
    <w:panose1 w:val="05050102010706020507"/>
  </w:font>
  <w:font w:name="Wingdings">
    <w:panose1 w:val="05000000000000000000"/>
  </w:font>
  <w:font w:name="Courier New">
    <w:panose1 w:val="02070309020205020404"/>
  </w:font>
  <w:font w:name="Calibri">
    <w:panose1 w:val="020F0502020204030204"/>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宋体" w:hAnsi="宋体" w:eastAsia="宋体" w:cs="Times New Roman"/>
        <w:sz w:val="18"/>
        <w:szCs w:val="18"/>
      </w:rPr>
      <w:framePr w:wrap="around" w:vAnchor="text" w:hAnchor="margin" w:xAlign="center" w:y="1"/>
    </w:pPr>
    <w:r>
      <w:rPr>
        <w:rFonts w:ascii="宋体" w:hAnsi="宋体" w:eastAsia="宋体" w:cs="Times New Roman"/>
        <w:sz w:val="18"/>
        <w:szCs w:val="18"/>
      </w:rPr>
      <w:fldChar w:fldCharType="begin"/>
    </w:r>
    <w:r>
      <w:rPr>
        <w:rFonts w:ascii="宋体" w:hAnsi="宋体" w:eastAsia="宋体" w:cs="Times New Roman"/>
        <w:szCs w:val="21"/>
      </w:rPr>
      <w:instrText xml:space="preserve">PAGE  </w:instrText>
    </w:r>
    <w:r>
      <w:rPr>
        <w:rFonts w:ascii="宋体" w:hAnsi="宋体" w:eastAsia="宋体" w:cs="Times New Roman"/>
        <w:sz w:val="18"/>
        <w:szCs w:val="18"/>
      </w:rPr>
      <w:fldChar w:fldCharType="separate"/>
    </w:r>
    <w:r>
      <w:rPr>
        <w:rFonts w:ascii="宋体" w:hAnsi="宋体" w:eastAsia="宋体" w:cs="Times New Roman"/>
        <w:szCs w:val="21"/>
      </w:rPr>
      <w:t xml:space="preserve">３５</w:t>
    </w:r>
    <w:r>
      <w:rPr>
        <w:rFonts w:ascii="宋体" w:hAnsi="宋体" w:eastAsia="宋体" w:cs="Times New Roman"/>
        <w:sz w:val="18"/>
        <w:szCs w:val="18"/>
      </w:rPr>
      <w:fldChar w:fldCharType="end"/>
    </w:r>
    <w:r/>
  </w:p>
  <w:p>
    <w:pPr>
      <w:jc w:val="center"/>
      <w:rPr>
        <w:rFonts w:ascii="Times New Roman" w:hAnsi="Times New Roman" w:eastAsia="宋体" w:cs="Times New Roman"/>
        <w:b/>
        <w:i/>
        <w:sz w:val="18"/>
        <w:szCs w:val="18"/>
      </w:rPr>
    </w:pPr>
    <w:r>
      <w:rPr>
        <w:rFonts w:ascii="Times New Roman" w:hAnsi="Times New Roman" w:eastAsia="宋体" w:cs="Times New Roman"/>
        <w:b/>
        <w:i/>
        <w:sz w:val="18"/>
        <w:szCs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rPr>
        <w:rFonts w:ascii="Times New Roman" w:hAnsi="Times New Roman" w:eastAsia="宋体" w:cs="Times New Roman"/>
        <w:sz w:val="18"/>
        <w:szCs w:val="18"/>
      </w:rPr>
      <w:framePr w:wrap="around" w:vAnchor="text" w:hAnchor="margin" w:xAlign="center" w:y="1"/>
    </w:pPr>
    <w:r>
      <w:rPr>
        <w:rFonts w:ascii="Times New Roman" w:hAnsi="Times New Roman" w:eastAsia="宋体" w:cs="Times New Roman"/>
        <w:sz w:val="18"/>
        <w:szCs w:val="18"/>
      </w:rPr>
      <w:fldChar w:fldCharType="begin"/>
    </w:r>
    <w:r>
      <w:rPr>
        <w:rFonts w:ascii="Times New Roman" w:hAnsi="Times New Roman" w:eastAsia="宋体" w:cs="Times New Roman"/>
        <w:szCs w:val="21"/>
      </w:rPr>
      <w:instrText xml:space="preserve">PAGE  </w:instrText>
    </w:r>
    <w:r>
      <w:rPr>
        <w:rFonts w:ascii="Times New Roman" w:hAnsi="Times New Roman" w:eastAsia="宋体" w:cs="Times New Roman"/>
        <w:sz w:val="18"/>
        <w:szCs w:val="18"/>
      </w:rPr>
      <w:fldChar w:fldCharType="separate"/>
    </w:r>
    <w:r>
      <w:rPr>
        <w:rFonts w:ascii="Times New Roman" w:hAnsi="Times New Roman" w:eastAsia="宋体" w:cs="Times New Roman"/>
        <w:szCs w:val="21"/>
      </w:rPr>
      <w:t xml:space="preserve">1</w:t>
    </w:r>
    <w:r>
      <w:rPr>
        <w:rFonts w:ascii="Times New Roman" w:hAnsi="Times New Roman" w:eastAsia="宋体" w:cs="Times New Roman"/>
        <w:sz w:val="18"/>
        <w:szCs w:val="18"/>
      </w:rPr>
      <w:fldChar w:fldCharType="end"/>
    </w:r>
    <w:r/>
  </w:p>
  <w:p>
    <w:pPr>
      <w:jc w:val="left"/>
      <w:rPr>
        <w:rFonts w:ascii="Times New Roman" w:hAnsi="Times New Roman" w:eastAsia="宋体" w:cs="Times New Roman"/>
        <w:sz w:val="18"/>
        <w:szCs w:val="18"/>
      </w:rPr>
    </w:pPr>
    <w:r>
      <w:rPr>
        <w:rFonts w:ascii="Times New Roman" w:hAnsi="Times New Roman" w:eastAsia="宋体" w:cs="Times New Roman"/>
        <w:sz w:val="18"/>
        <w:szCs w:val="18"/>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b/>
        <w:i/>
        <w:sz w:val="18"/>
        <w:szCs w:val="18"/>
      </w:rPr>
    </w:pPr>
    <w:r>
      <w:rPr>
        <w:rFonts w:ascii="Times New Roman" w:hAnsi="Times New Roman" w:eastAsia="宋体" w:cs="Times New Roman"/>
        <w:b/>
        <w:i/>
        <w:sz w:val="18"/>
        <w:szCs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eastAsia="宋体" w:cs="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b/>
        <w:i/>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49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49</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tabs>
        <w:tab w:val="center" w:pos="4153" w:leader="none"/>
        <w:tab w:val="right" w:pos="8306" w:leader="none"/>
      </w:tabs>
      <w:rPr>
        <w:rFonts w:ascii="Times New Roman" w:hAnsi="Times New Roman" w:eastAsia="宋体" w:cs="Times New Roman"/>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839"/>
                          </w:pPr>
                          <w:r>
                            <w:fldChar w:fldCharType="begin"/>
                          </w:r>
                          <w:r>
                            <w:instrText xml:space="preserve"> PAGE  \* MERGEFORMAT </w:instrText>
                          </w:r>
                          <w:r>
                            <w:fldChar w:fldCharType="separate"/>
                          </w:r>
                          <w:r>
                            <w:t xml:space="preserve">48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39"/>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tabs>
        <w:tab w:val="center" w:pos="4153" w:leader="none"/>
        <w:tab w:val="right" w:pos="8306" w:leader="none"/>
      </w:tabs>
      <w:rPr>
        <w:rFonts w:ascii="Times New Roman" w:hAnsi="Times New Roman" w:eastAsia="宋体" w:cs="Times New Roman"/>
        <w:sz w:val="18"/>
        <w:szCs w:val="18"/>
      </w:rPr>
    </w:pPr>
    <w:r>
      <w:rPr>
        <w:rFonts w:ascii="Times New Roman" w:hAnsi="Times New Roman" w:eastAsia="宋体" w:cs="Times New Roman"/>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6"/>
  </w:num>
  <w:num w:numId="4">
    <w:abstractNumId w:val="9"/>
  </w:num>
  <w:num w:numId="5">
    <w:abstractNumId w:val="0"/>
  </w:num>
  <w:num w:numId="6">
    <w:abstractNumId w:val="8"/>
  </w:num>
  <w:num w:numId="7">
    <w:abstractNumId w:val="4"/>
  </w:num>
  <w:num w:numId="8">
    <w:abstractNumId w:val="7"/>
  </w:num>
  <w:num w:numId="9">
    <w:abstractNumId w:val="2"/>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34"/>
    <w:next w:val="83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836"/>
    <w:link w:val="12"/>
    <w:uiPriority w:val="9"/>
    <w:rPr>
      <w:rFonts w:ascii="Arial" w:hAnsi="Arial" w:eastAsia="Arial" w:cs="Arial"/>
      <w:sz w:val="40"/>
      <w:szCs w:val="40"/>
    </w:rPr>
  </w:style>
  <w:style w:type="character" w:styleId="15">
    <w:name w:val="Heading 2 Char"/>
    <w:basedOn w:val="836"/>
    <w:link w:val="835"/>
    <w:uiPriority w:val="9"/>
    <w:rPr>
      <w:rFonts w:ascii="Arial" w:hAnsi="Arial" w:eastAsia="Arial" w:cs="Arial"/>
      <w:sz w:val="34"/>
    </w:rPr>
  </w:style>
  <w:style w:type="paragraph" w:styleId="16">
    <w:name w:val="Heading 3"/>
    <w:basedOn w:val="834"/>
    <w:next w:val="83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836"/>
    <w:link w:val="16"/>
    <w:uiPriority w:val="9"/>
    <w:rPr>
      <w:rFonts w:ascii="Arial" w:hAnsi="Arial" w:eastAsia="Arial" w:cs="Arial"/>
      <w:sz w:val="30"/>
      <w:szCs w:val="30"/>
    </w:rPr>
  </w:style>
  <w:style w:type="paragraph" w:styleId="18">
    <w:name w:val="Heading 4"/>
    <w:basedOn w:val="834"/>
    <w:next w:val="83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836"/>
    <w:link w:val="18"/>
    <w:uiPriority w:val="9"/>
    <w:rPr>
      <w:rFonts w:ascii="Arial" w:hAnsi="Arial" w:eastAsia="Arial" w:cs="Arial"/>
      <w:b/>
      <w:bCs/>
      <w:sz w:val="26"/>
      <w:szCs w:val="26"/>
    </w:rPr>
  </w:style>
  <w:style w:type="paragraph" w:styleId="20">
    <w:name w:val="Heading 5"/>
    <w:basedOn w:val="834"/>
    <w:next w:val="83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836"/>
    <w:link w:val="20"/>
    <w:uiPriority w:val="9"/>
    <w:rPr>
      <w:rFonts w:ascii="Arial" w:hAnsi="Arial" w:eastAsia="Arial" w:cs="Arial"/>
      <w:b/>
      <w:bCs/>
      <w:sz w:val="24"/>
      <w:szCs w:val="24"/>
    </w:rPr>
  </w:style>
  <w:style w:type="paragraph" w:styleId="22">
    <w:name w:val="Heading 6"/>
    <w:basedOn w:val="834"/>
    <w:next w:val="83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836"/>
    <w:link w:val="22"/>
    <w:uiPriority w:val="9"/>
    <w:rPr>
      <w:rFonts w:ascii="Arial" w:hAnsi="Arial" w:eastAsia="Arial" w:cs="Arial"/>
      <w:b/>
      <w:bCs/>
      <w:sz w:val="22"/>
      <w:szCs w:val="22"/>
    </w:rPr>
  </w:style>
  <w:style w:type="paragraph" w:styleId="24">
    <w:name w:val="Heading 7"/>
    <w:basedOn w:val="834"/>
    <w:next w:val="83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836"/>
    <w:link w:val="24"/>
    <w:uiPriority w:val="9"/>
    <w:rPr>
      <w:rFonts w:ascii="Arial" w:hAnsi="Arial" w:eastAsia="Arial" w:cs="Arial"/>
      <w:b/>
      <w:bCs/>
      <w:i/>
      <w:iCs/>
      <w:sz w:val="22"/>
      <w:szCs w:val="22"/>
    </w:rPr>
  </w:style>
  <w:style w:type="paragraph" w:styleId="26">
    <w:name w:val="Heading 8"/>
    <w:basedOn w:val="834"/>
    <w:next w:val="83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836"/>
    <w:link w:val="26"/>
    <w:uiPriority w:val="9"/>
    <w:rPr>
      <w:rFonts w:ascii="Arial" w:hAnsi="Arial" w:eastAsia="Arial" w:cs="Arial"/>
      <w:i/>
      <w:iCs/>
      <w:sz w:val="22"/>
      <w:szCs w:val="22"/>
    </w:rPr>
  </w:style>
  <w:style w:type="paragraph" w:styleId="28">
    <w:name w:val="Heading 9"/>
    <w:basedOn w:val="834"/>
    <w:next w:val="83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836"/>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34"/>
    <w:next w:val="834"/>
    <w:link w:val="34"/>
    <w:uiPriority w:val="10"/>
    <w:qFormat/>
    <w:pPr>
      <w:contextualSpacing/>
      <w:spacing w:before="300" w:after="200"/>
    </w:pPr>
    <w:rPr>
      <w:sz w:val="48"/>
      <w:szCs w:val="48"/>
    </w:rPr>
  </w:style>
  <w:style w:type="character" w:styleId="34">
    <w:name w:val="Title Char"/>
    <w:basedOn w:val="836"/>
    <w:link w:val="33"/>
    <w:uiPriority w:val="10"/>
    <w:rPr>
      <w:sz w:val="48"/>
      <w:szCs w:val="48"/>
    </w:rPr>
  </w:style>
  <w:style w:type="paragraph" w:styleId="35">
    <w:name w:val="Subtitle"/>
    <w:basedOn w:val="834"/>
    <w:next w:val="834"/>
    <w:link w:val="36"/>
    <w:uiPriority w:val="11"/>
    <w:qFormat/>
    <w:pPr>
      <w:spacing w:before="200" w:after="200"/>
    </w:pPr>
    <w:rPr>
      <w:sz w:val="24"/>
      <w:szCs w:val="24"/>
    </w:rPr>
  </w:style>
  <w:style w:type="character" w:styleId="36">
    <w:name w:val="Subtitle Char"/>
    <w:basedOn w:val="836"/>
    <w:link w:val="35"/>
    <w:uiPriority w:val="11"/>
    <w:rPr>
      <w:sz w:val="24"/>
      <w:szCs w:val="24"/>
    </w:rPr>
  </w:style>
  <w:style w:type="paragraph" w:styleId="37">
    <w:name w:val="Quote"/>
    <w:basedOn w:val="834"/>
    <w:next w:val="834"/>
    <w:link w:val="38"/>
    <w:uiPriority w:val="29"/>
    <w:qFormat/>
    <w:pPr>
      <w:ind w:left="720" w:right="720"/>
    </w:pPr>
    <w:rPr>
      <w:i/>
    </w:rPr>
  </w:style>
  <w:style w:type="character" w:styleId="38">
    <w:name w:val="Quote Char"/>
    <w:link w:val="37"/>
    <w:uiPriority w:val="29"/>
    <w:rPr>
      <w:i/>
    </w:rPr>
  </w:style>
  <w:style w:type="paragraph" w:styleId="39">
    <w:name w:val="Intense Quote"/>
    <w:basedOn w:val="834"/>
    <w:next w:val="83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34"/>
    <w:link w:val="42"/>
    <w:uiPriority w:val="99"/>
    <w:unhideWhenUsed/>
    <w:pPr>
      <w:spacing w:after="0" w:line="240" w:lineRule="auto"/>
      <w:tabs>
        <w:tab w:val="center" w:pos="7143" w:leader="none"/>
        <w:tab w:val="right" w:pos="14287" w:leader="none"/>
      </w:tabs>
    </w:pPr>
  </w:style>
  <w:style w:type="character" w:styleId="42">
    <w:name w:val="Header Char"/>
    <w:basedOn w:val="836"/>
    <w:link w:val="41"/>
    <w:uiPriority w:val="99"/>
  </w:style>
  <w:style w:type="character" w:styleId="44">
    <w:name w:val="Footer Char"/>
    <w:basedOn w:val="836"/>
    <w:link w:val="839"/>
    <w:uiPriority w:val="99"/>
  </w:style>
  <w:style w:type="paragraph" w:styleId="45">
    <w:name w:val="Caption"/>
    <w:basedOn w:val="834"/>
    <w:next w:val="834"/>
    <w:uiPriority w:val="35"/>
    <w:semiHidden/>
    <w:unhideWhenUsed/>
    <w:qFormat/>
    <w:pPr>
      <w:spacing w:line="276" w:lineRule="auto"/>
    </w:pPr>
    <w:rPr>
      <w:b/>
      <w:bCs/>
      <w:color w:val="4f81bd" w:themeColor="accent1"/>
      <w:sz w:val="18"/>
      <w:szCs w:val="18"/>
    </w:rPr>
  </w:style>
  <w:style w:type="character" w:styleId="46">
    <w:name w:val="Caption Char"/>
    <w:basedOn w:val="45"/>
    <w:link w:val="839"/>
    <w:uiPriority w:val="99"/>
  </w:style>
  <w:style w:type="table" w:styleId="48">
    <w:name w:val="Table Grid Light"/>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
    <w:name w:val="Grid Table 5 Dark - Accent 2"/>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5">
    <w:name w:val="Grid Table 5 Dark - Accent 3"/>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6">
    <w:name w:val="Grid Table 5 Dark- Accent 4"/>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7">
    <w:name w:val="Grid Table 5 Dark - Accent 5"/>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8">
    <w:name w:val="Grid Table 5 Dark - Accent 6"/>
    <w:basedOn w:val="83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9">
    <w:name w:val="Grid Table 6 Colorful"/>
    <w:basedOn w:val="83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6">
    <w:name w:val="Grid Table 7 Colorful"/>
    <w:basedOn w:val="83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362b0"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8c6a01"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1c706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9b1626"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7"/>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7"/>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7"/>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7"/>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7"/>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7"/>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19">
    <w:name w:val="List Table 3 - Accent 2"/>
    <w:basedOn w:val="83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20">
    <w:name w:val="List Table 3 - Accent 3"/>
    <w:basedOn w:val="83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21">
    <w:name w:val="List Table 3 - Accent 4"/>
    <w:basedOn w:val="83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22">
    <w:name w:val="List Table 3 - Accent 5"/>
    <w:basedOn w:val="83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23">
    <w:name w:val="List Table 3 - Accent 6"/>
    <w:basedOn w:val="83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24">
    <w:name w:val="List Table 4"/>
    <w:basedOn w:val="83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26">
    <w:name w:val="List Table 4 - Accent 2"/>
    <w:basedOn w:val="83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27">
    <w:name w:val="List Table 4 - Accent 3"/>
    <w:basedOn w:val="83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28">
    <w:name w:val="List Table 4 - Accent 4"/>
    <w:basedOn w:val="83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29">
    <w:name w:val="List Table 4 - Accent 5"/>
    <w:basedOn w:val="83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30">
    <w:name w:val="List Table 4 - Accent 6"/>
    <w:basedOn w:val="83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31">
    <w:name w:val="List Table 5 Dark"/>
    <w:basedOn w:val="83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40">
    <w:name w:val="List Table 6 Colorful - Accent 2"/>
    <w:basedOn w:val="83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41">
    <w:name w:val="List Table 6 Colorful - Accent 3"/>
    <w:basedOn w:val="83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42">
    <w:name w:val="List Table 6 Colorful - Accent 4"/>
    <w:basedOn w:val="83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43">
    <w:name w:val="List Table 6 Colorful - Accent 5"/>
    <w:basedOn w:val="83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44">
    <w:name w:val="List Table 6 Colorful - Accent 6"/>
    <w:basedOn w:val="83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45">
    <w:name w:val="List Table 7 Colorful"/>
    <w:basedOn w:val="83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3427c"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3427c" w:themeColor="accent1" w:themeShade="95"/>
        <w:sz w:val="22"/>
      </w:rPr>
    </w:tblStylePr>
  </w:style>
  <w:style w:type="table" w:styleId="147">
    <w:name w:val="List Table 7 Colorful - Accent 2"/>
    <w:basedOn w:val="83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85f11"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85f11" w:themeColor="accent2" w:themeTint="97" w:themeShade="95"/>
        <w:sz w:val="22"/>
      </w:rPr>
    </w:tblStylePr>
  </w:style>
  <w:style w:type="table" w:styleId="148">
    <w:name w:val="List Table 7 Colorful - Accent 3"/>
    <w:basedOn w:val="83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c99802"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c99802" w:themeColor="accent3" w:themeTint="98" w:themeShade="95"/>
        <w:sz w:val="22"/>
      </w:rPr>
    </w:tblStylePr>
  </w:style>
  <w:style w:type="table" w:styleId="149">
    <w:name w:val="List Table 7 Colorful - Accent 4"/>
    <w:basedOn w:val="83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19835"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19835" w:themeColor="accent4" w:themeTint="9A" w:themeShade="95"/>
        <w:sz w:val="22"/>
      </w:rPr>
    </w:tblStylePr>
  </w:style>
  <w:style w:type="table" w:styleId="150">
    <w:name w:val="List Table 7 Colorful - Accent 5"/>
    <w:basedOn w:val="83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8a19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8a191" w:themeColor="accent5" w:themeTint="9A" w:themeShade="95"/>
        <w:sz w:val="22"/>
      </w:rPr>
    </w:tblStylePr>
  </w:style>
  <w:style w:type="table" w:styleId="151">
    <w:name w:val="List Table 7 Colorful - Accent 6"/>
    <w:basedOn w:val="83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c41d35"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c41d35" w:themeColor="accent6" w:themeTint="98" w:themeShade="95"/>
        <w:sz w:val="22"/>
      </w:rPr>
    </w:tblStylePr>
  </w:style>
  <w:style w:type="table" w:styleId="152">
    <w:name w:val="Lined - Accent"/>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54">
    <w:name w:val="Lined - Accent 2"/>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55">
    <w:name w:val="Lined - Accent 3"/>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56">
    <w:name w:val="Lined - Accent 4"/>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57">
    <w:name w:val="Lined - Accent 5"/>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58">
    <w:name w:val="Lined - Accent 6"/>
    <w:basedOn w:val="83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59">
    <w:name w:val="Bordered &amp; Lined - Accent"/>
    <w:basedOn w:val="83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61">
    <w:name w:val="Bordered &amp; Lined - Accent 2"/>
    <w:basedOn w:val="83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62">
    <w:name w:val="Bordered &amp; Lined - Accent 3"/>
    <w:basedOn w:val="83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63">
    <w:name w:val="Bordered &amp; Lined - Accent 4"/>
    <w:basedOn w:val="83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64">
    <w:name w:val="Bordered &amp; Lined - Accent 5"/>
    <w:basedOn w:val="83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65">
    <w:name w:val="Bordered &amp; Lined - Accent 6"/>
    <w:basedOn w:val="83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66">
    <w:name w:val="Bordered"/>
    <w:basedOn w:val="83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83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836"/>
    <w:uiPriority w:val="99"/>
    <w:unhideWhenUsed/>
    <w:rPr>
      <w:vertAlign w:val="superscript"/>
    </w:rPr>
  </w:style>
  <w:style w:type="paragraph" w:styleId="177">
    <w:name w:val="endnote text"/>
    <w:basedOn w:val="83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836"/>
    <w:uiPriority w:val="99"/>
    <w:semiHidden/>
    <w:unhideWhenUsed/>
    <w:rPr>
      <w:vertAlign w:val="superscript"/>
    </w:rPr>
  </w:style>
  <w:style w:type="paragraph" w:styleId="181">
    <w:name w:val="toc 2"/>
    <w:basedOn w:val="834"/>
    <w:next w:val="834"/>
    <w:uiPriority w:val="39"/>
    <w:unhideWhenUsed/>
    <w:pPr>
      <w:ind w:left="283" w:right="0" w:firstLine="0"/>
      <w:spacing w:after="57"/>
    </w:pPr>
  </w:style>
  <w:style w:type="paragraph" w:styleId="182">
    <w:name w:val="toc 3"/>
    <w:basedOn w:val="834"/>
    <w:next w:val="834"/>
    <w:uiPriority w:val="39"/>
    <w:unhideWhenUsed/>
    <w:pPr>
      <w:ind w:left="567" w:right="0" w:firstLine="0"/>
      <w:spacing w:after="57"/>
    </w:pPr>
  </w:style>
  <w:style w:type="paragraph" w:styleId="183">
    <w:name w:val="toc 4"/>
    <w:basedOn w:val="834"/>
    <w:next w:val="834"/>
    <w:uiPriority w:val="39"/>
    <w:unhideWhenUsed/>
    <w:pPr>
      <w:ind w:left="850" w:right="0" w:firstLine="0"/>
      <w:spacing w:after="57"/>
    </w:pPr>
  </w:style>
  <w:style w:type="paragraph" w:styleId="184">
    <w:name w:val="toc 5"/>
    <w:basedOn w:val="834"/>
    <w:next w:val="834"/>
    <w:uiPriority w:val="39"/>
    <w:unhideWhenUsed/>
    <w:pPr>
      <w:ind w:left="1134" w:right="0" w:firstLine="0"/>
      <w:spacing w:after="57"/>
    </w:pPr>
  </w:style>
  <w:style w:type="paragraph" w:styleId="185">
    <w:name w:val="toc 6"/>
    <w:basedOn w:val="834"/>
    <w:next w:val="834"/>
    <w:uiPriority w:val="39"/>
    <w:unhideWhenUsed/>
    <w:pPr>
      <w:ind w:left="1417" w:right="0" w:firstLine="0"/>
      <w:spacing w:after="57"/>
    </w:pPr>
  </w:style>
  <w:style w:type="paragraph" w:styleId="186">
    <w:name w:val="toc 7"/>
    <w:basedOn w:val="834"/>
    <w:next w:val="834"/>
    <w:uiPriority w:val="39"/>
    <w:unhideWhenUsed/>
    <w:pPr>
      <w:ind w:left="1701" w:right="0" w:firstLine="0"/>
      <w:spacing w:after="57"/>
    </w:pPr>
  </w:style>
  <w:style w:type="paragraph" w:styleId="187">
    <w:name w:val="toc 8"/>
    <w:basedOn w:val="834"/>
    <w:next w:val="834"/>
    <w:uiPriority w:val="39"/>
    <w:unhideWhenUsed/>
    <w:pPr>
      <w:ind w:left="1984" w:right="0" w:firstLine="0"/>
      <w:spacing w:after="57"/>
    </w:pPr>
  </w:style>
  <w:style w:type="paragraph" w:styleId="188">
    <w:name w:val="toc 9"/>
    <w:basedOn w:val="834"/>
    <w:next w:val="83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34"/>
    <w:next w:val="834"/>
    <w:uiPriority w:val="99"/>
    <w:unhideWhenUsed/>
    <w:pPr>
      <w:spacing w:after="0" w:afterAutospacing="0"/>
    </w:pPr>
  </w:style>
  <w:style w:type="paragraph" w:styleId="834"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35">
    <w:name w:val="Heading 2"/>
    <w:next w:val="838"/>
    <w:uiPriority w:val="0"/>
    <w:qFormat/>
    <w:pPr>
      <w:jc w:val="both"/>
      <w:keepLines/>
      <w:keepNext/>
      <w:spacing w:before="260" w:after="260" w:line="413" w:lineRule="auto"/>
      <w:widowControl w:val="off"/>
      <w:outlineLvl w:val="1"/>
    </w:pPr>
    <w:rPr>
      <w:rFonts w:ascii="Arial" w:hAnsi="Arial" w:eastAsia="黑体" w:cs="Times New Roman"/>
      <w:b/>
      <w:sz w:val="32"/>
      <w:lang w:val="en-US" w:eastAsia="zh-CN" w:bidi="ar-SA"/>
    </w:rPr>
  </w:style>
  <w:style w:type="character" w:styleId="836" w:default="1">
    <w:name w:val="Default Paragraph Font"/>
    <w:uiPriority w:val="1"/>
    <w:semiHidden/>
    <w:unhideWhenUsed/>
    <w:qFormat/>
  </w:style>
  <w:style w:type="table" w:styleId="837" w:default="1">
    <w:name w:val="Normal Table"/>
    <w:uiPriority w:val="99"/>
    <w:semiHidden/>
    <w:unhideWhenUsed/>
    <w:qFormat/>
    <w:tblPr>
      <w:tblCellMar>
        <w:left w:w="108" w:type="dxa"/>
        <w:top w:w="0" w:type="dxa"/>
        <w:right w:w="108" w:type="dxa"/>
        <w:bottom w:w="0" w:type="dxa"/>
      </w:tblCellMar>
    </w:tblPr>
  </w:style>
  <w:style w:type="paragraph" w:styleId="838">
    <w:name w:val="Normal Indent"/>
    <w:uiPriority w:val="0"/>
    <w:qFormat/>
    <w:pPr>
      <w:ind w:firstLine="420"/>
      <w:jc w:val="both"/>
      <w:widowControl w:val="off"/>
    </w:pPr>
    <w:rPr>
      <w:rFonts w:ascii="宋体" w:hAnsi="Calibri" w:eastAsia="宋体" w:cs="Times New Roman"/>
      <w:color w:val="000000"/>
      <w:sz w:val="24"/>
      <w:lang w:val="en-US" w:eastAsia="zh-CN" w:bidi="ar-SA"/>
    </w:rPr>
  </w:style>
  <w:style w:type="paragraph" w:styleId="839">
    <w:name w:val="Footer"/>
    <w:uiPriority w:val="0"/>
    <w:qFormat/>
    <w:pPr>
      <w:widowControl w:val="off"/>
      <w:tabs>
        <w:tab w:val="center" w:pos="4153" w:leader="none"/>
        <w:tab w:val="right" w:pos="8306" w:leader="none"/>
      </w:tabs>
    </w:pPr>
    <w:rPr>
      <w:rFonts w:asciiTheme="minorHAnsi" w:hAnsiTheme="minorHAnsi" w:eastAsiaTheme="minorEastAsia" w:cstheme="minorBidi"/>
      <w:sz w:val="18"/>
      <w:szCs w:val="24"/>
      <w:lang w:val="en-US" w:eastAsia="zh-CN" w:bidi="ar-SA"/>
    </w:rPr>
  </w:style>
  <w:style w:type="paragraph" w:styleId="840">
    <w:name w:val="toc 1"/>
    <w:next w:val="834"/>
    <w:uiPriority w:val="39"/>
    <w:qFormat/>
    <w:pPr>
      <w:jc w:val="both"/>
      <w:widowControl w:val="off"/>
    </w:pPr>
    <w:rPr>
      <w:rFonts w:asciiTheme="minorHAnsi" w:hAnsiTheme="minorHAnsi" w:eastAsiaTheme="minorEastAsia" w:cstheme="minorBidi"/>
      <w:sz w:val="21"/>
      <w:szCs w:val="24"/>
      <w:lang w:val="en-US" w:eastAsia="zh-CN" w:bidi="ar-SA"/>
    </w:rPr>
  </w:style>
  <w:style w:type="paragraph" w:styleId="841">
    <w:name w:val="Normal (Web)"/>
    <w:uiPriority w:val="0"/>
    <w:qFormat/>
    <w:pPr>
      <w:ind w:left="0" w:right="0"/>
      <w:jc w:val="left"/>
      <w:spacing w:before="0" w:beforeAutospacing="1" w:after="0" w:afterAutospacing="1"/>
      <w:widowControl w:val="off"/>
    </w:pPr>
    <w:rPr>
      <w:rFonts w:hint="default" w:asciiTheme="minorHAnsi" w:hAnsiTheme="minorHAnsi" w:eastAsiaTheme="minorEastAsia" w:cstheme="minorBidi"/>
      <w:sz w:val="24"/>
      <w:szCs w:val="24"/>
      <w:lang w:val="en-US" w:eastAsia="zh-CN" w:bidi="ar"/>
    </w:rPr>
  </w:style>
  <w:style w:type="table" w:styleId="842">
    <w:name w:val="Table Grid"/>
    <w:basedOn w:val="8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43">
    <w:name w:val="Hyperlink"/>
    <w:basedOn w:val="836"/>
    <w:uiPriority w:val="99"/>
    <w:unhideWhenUsed/>
    <w:qFormat/>
    <w:rPr>
      <w:color w:val="0026e5" w:themeColor="hyperlink"/>
      <w:u w:val="single"/>
      <w14:textFill>
        <w14:solidFill>
          <w14:schemeClr w14:val="hlink"/>
        </w14:solidFill>
      </w14:textFill>
    </w:rPr>
  </w:style>
  <w:style w:type="table" w:styleId="844" w:customStyle="1">
    <w:name w:val="网格型_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paragraph" w:styleId="845">
    <w:name w:val="List Paragraph"/>
    <w:uiPriority w:val="34"/>
    <w:unhideWhenUsed/>
    <w:qFormat/>
    <w:pPr>
      <w:ind w:firstLine="420"/>
      <w:jc w:val="both"/>
      <w:widowControl w:val="off"/>
    </w:pPr>
    <w:rPr>
      <w:rFonts w:hint="default" w:asciiTheme="minorHAnsi" w:hAnsiTheme="minorHAnsi" w:eastAsiaTheme="minorEastAsia" w:cstheme="minorBidi"/>
      <w:sz w:val="21"/>
      <w:szCs w:val="24"/>
      <w:lang w:val="en-US" w:eastAsia="zh-CN" w:bidi="ar-SA"/>
    </w:rPr>
  </w:style>
  <w:style w:type="character" w:styleId="846" w:customStyle="1">
    <w:name w:val="font41"/>
    <w:uiPriority w:val="0"/>
    <w:qFormat/>
    <w:rPr>
      <w:rFonts w:hint="eastAsia" w:ascii="宋体" w:hAnsi="宋体" w:eastAsia="宋体" w:cs="宋体"/>
      <w:color w:val="ff0000"/>
      <w:sz w:val="18"/>
      <w:szCs w:val="18"/>
      <w:u w:val="none"/>
    </w:rPr>
  </w:style>
  <w:style w:type="character" w:styleId="847" w:customStyle="1">
    <w:name w:val="font31"/>
    <w:uiPriority w:val="0"/>
    <w:qFormat/>
    <w:rPr>
      <w:rFonts w:hint="eastAsia" w:ascii="宋体" w:hAnsi="宋体" w:eastAsia="宋体" w:cs="宋体"/>
      <w:color w:val="000000"/>
      <w:sz w:val="18"/>
      <w:szCs w:val="18"/>
      <w:u w:val="none"/>
    </w:rPr>
  </w:style>
  <w:style w:type="numbering" w:styleId="1608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74e4253f-ea37-401e-9686-05ddd12c2030</errorID>
      <errorWord>：</errorWord>
      <group>L1_Punc</group>
      <groupName>标点问题</groupName>
      <ability>L2_Punc_CN</ability>
      <abilityName>标点符号检查</abilityName>
      <candidateList/>
      <explain/>
      <paraID>3C92EC35</paraID>
      <start>0</start>
      <end>1</end>
      <status>unmodified</status>
      <modifiedWord/>
      <trackRevisions>false</trackRevisions>
    </reviewItem>
    <reviewItem>
      <errorID>e291faad-c151-4aef-ab67-c3aac690cd58</errorID>
      <errorWord>：</errorWord>
      <group>L1_Punc</group>
      <groupName>标点问题</groupName>
      <ability>L2_Punc_CN</ability>
      <abilityName>标点符号检查</abilityName>
      <candidateList/>
      <explain/>
      <paraID>3DDF7011</paraID>
      <start>0</start>
      <end>1</end>
      <status>unmodified</status>
      <modifiedWord/>
      <trackRevisions>false</trackRevisions>
    </reviewItem>
    <reviewItem>
      <errorID>eda0fa8b-b2c1-4f15-a22f-177a6280143a</errorID>
      <errorWord>：</errorWord>
      <group>L1_Punc</group>
      <groupName>标点问题</groupName>
      <ability>L2_Punc_CN</ability>
      <abilityName>标点符号检查</abilityName>
      <candidateList/>
      <explain/>
      <paraID>1A1B1462</paraID>
      <start>0</start>
      <end>1</end>
      <status>unmodified</status>
      <modifiedWord/>
      <trackRevisions>false</trackRevisions>
    </reviewItem>
    <reviewItem>
      <errorID>66e18dd5-b748-4bb6-8a08-db13b0e0a297</errorID>
      <errorWord>：</errorWord>
      <group>L1_Punc</group>
      <groupName>标点问题</groupName>
      <ability>L2_Punc_CN</ability>
      <abilityName>标点符号检查</abilityName>
      <candidateList/>
      <explain/>
      <paraID>   31E51</paraID>
      <start>0</start>
      <end>1</end>
      <status>unmodified</status>
      <modifiedWord/>
      <trackRevisions>false</trackRevisions>
    </reviewItem>
    <reviewItem>
      <errorID>dc3c7376-78b4-4a29-804b-18d72917bf8e</errorID>
      <errorWord>：</errorWord>
      <group>L1_Punc</group>
      <groupName>标点问题</groupName>
      <ability>L2_Punc_CN</ability>
      <abilityName>标点符号检查</abilityName>
      <candidateList/>
      <explain/>
      <paraID>35E90458</paraID>
      <start>0</start>
      <end>1</end>
      <status>unmodified</status>
      <modifiedWord/>
      <trackRevisions>false</trackRevisions>
    </reviewItem>
    <reviewItem>
      <errorID>3cf2aa67-dcf5-4aec-8499-4c6b8218d8a6</errorID>
      <errorWord>(</errorWord>
      <group>L1_Format</group>
      <groupName>格式问题</groupName>
      <ability>L2_HalfPunc_CN</ability>
      <abilityName>全半角检查</abilityName>
      <candidateList>
        <item>（</item>
      </candidateList>
      <explain>文本全半角错误。</explain>
      <paraID>68E49B9F</paraID>
      <start>46</start>
      <end>47</end>
      <status>unmodified</status>
      <modifiedWord/>
      <trackRevisions>false</trackRevisions>
    </reviewItem>
    <reviewItem>
      <errorID>02eaff19-dd9a-47b9-95f0-5388b3943ed0</errorID>
      <errorWord>/）</errorWord>
      <group>L1_Punc</group>
      <groupName>标点问题</groupName>
      <ability>L2_Punc_CN</ability>
      <abilityName>标点符号检查</abilityName>
      <candidateList>
        <item>）</item>
      </candidateList>
      <explain/>
      <paraID>30BDE9DC</paraID>
      <start>86</start>
      <end>88</end>
      <status>unmodified</status>
      <modifiedWord/>
      <trackRevisions>false</trackRevisions>
    </reviewItem>
    <reviewItem>
      <errorID>8fa88be0-09ef-4013-b173-c7ef2195e5f7</errorID>
      <errorWord>：</errorWord>
      <group>L1_Format</group>
      <groupName>格式问题</groupName>
      <ability>L2_HalfPunc_CN</ability>
      <abilityName>全半角检查</abilityName>
      <candidateList>
        <item>:</item>
      </candidateList>
      <explain>文本全半角错误。</explain>
      <paraID>1FB7D9AD</paraID>
      <start>19</start>
      <end>20</end>
      <status>unmodified</status>
      <modifiedWord/>
      <trackRevisions>false</trackRevisions>
    </reviewItem>
    <reviewItem>
      <errorID>676c0a2f-6f71-40b8-86c8-9ac4734818d6</errorID>
      <errorWord>：</errorWord>
      <group>L1_Format</group>
      <groupName>格式问题</groupName>
      <ability>L2_HalfPunc_CN</ability>
      <abilityName>全半角检查</abilityName>
      <candidateList>
        <item>:</item>
      </candidateList>
      <explain>文本全半角错误。</explain>
      <paraID>1FB7D9AD</paraID>
      <start>29</start>
      <end>30</end>
      <status>unmodified</status>
      <modifiedWord/>
      <trackRevisions>false</trackRevisions>
    </reviewItem>
    <reviewItem>
      <errorID>b9c399c6-87d5-4224-86c1-99d85df7e54b</errorID>
      <errorWord>：</errorWord>
      <group>L1_Format</group>
      <groupName>格式问题</groupName>
      <ability>L2_HalfPunc_CN</ability>
      <abilityName>全半角检查</abilityName>
      <candidateList>
        <item>:</item>
      </candidateList>
      <explain>文本全半角错误。</explain>
      <paraID>1FB7D9AD</paraID>
      <start>39</start>
      <end>40</end>
      <status>unmodified</status>
      <modifiedWord/>
      <trackRevisions>false</trackRevisions>
    </reviewItem>
    <reviewItem>
      <errorID>623f5b72-9e7a-48b8-ab2a-a9ed058c14d3</errorID>
      <errorWord>：</errorWord>
      <group>L1_Format</group>
      <groupName>格式问题</groupName>
      <ability>L2_HalfPunc_CN</ability>
      <abilityName>全半角检查</abilityName>
      <candidateList>
        <item>:</item>
      </candidateList>
      <explain>文本全半角错误。</explain>
      <paraID>1FB7D9AD</paraID>
      <start>49</start>
      <end>50</end>
      <status>unmodified</status>
      <modifiedWord/>
      <trackRevisions>false</trackRevisions>
    </reviewItem>
    <reviewItem>
      <errorID>f9c97eff-f077-4e07-a68f-5e2fe5d711df</errorID>
      <errorWord>：</errorWord>
      <group>L1_Format</group>
      <groupName>格式问题</groupName>
      <ability>L2_HalfPunc_CN</ability>
      <abilityName>全半角检查</abilityName>
      <candidateList>
        <item>:</item>
      </candidateList>
      <explain>文本全半角错误。</explain>
      <paraID>1FB7D9AD</paraID>
      <start>58</start>
      <end>59</end>
      <status>unmodified</status>
      <modifiedWord/>
      <trackRevisions>false</trackRevisions>
    </reviewItem>
    <reviewItem>
      <errorID>24b309f8-7525-4471-a99a-f458016cd40d</errorID>
      <errorWord>：</errorWord>
      <group>L1_Format</group>
      <groupName>格式问题</groupName>
      <ability>L2_HalfPunc_CN</ability>
      <abilityName>全半角检查</abilityName>
      <candidateList>
        <item>:</item>
      </candidateList>
      <explain>文本全半角错误。</explain>
      <paraID>1FB7D9AD</paraID>
      <start>68</start>
      <end>69</end>
      <status>unmodified</status>
      <modifiedWord/>
      <trackRevisions>false</trackRevisions>
    </reviewItem>
    <reviewItem>
      <errorID>4ba58ac9-2d03-4be5-af7e-988bb3448893</errorID>
      <errorWord>：</errorWord>
      <group>L1_Format</group>
      <groupName>格式问题</groupName>
      <ability>L2_HalfPunc_CN</ability>
      <abilityName>全半角检查</abilityName>
      <candidateList>
        <item>:</item>
      </candidateList>
      <explain>文本全半角错误。</explain>
      <paraID> 9A318AB</paraID>
      <start>30</start>
      <end>31</end>
      <status>unmodified</status>
      <modifiedWord/>
      <trackRevisions>false</trackRevisions>
    </reviewItem>
    <reviewItem>
      <errorID>a5d7f042-d4a4-443b-988d-c148384eb31e</errorID>
      <errorWord>：</errorWord>
      <group>L1_Format</group>
      <groupName>格式问题</groupName>
      <ability>L2_HalfPunc_CN</ability>
      <abilityName>全半角检查</abilityName>
      <candidateList>
        <item>:</item>
      </candidateList>
      <explain>文本全半角错误。</explain>
      <paraID> 9A318AB</paraID>
      <start>42</start>
      <end>43</end>
      <status>unmodified</status>
      <modifiedWord/>
      <trackRevisions>false</trackRevisions>
    </reviewItem>
    <reviewItem>
      <errorID>c1bb2d54-6618-4ce3-b2ec-ced5e41cfc8c</errorID>
      <errorWord>：</errorWord>
      <group>L1_Format</group>
      <groupName>格式问题</groupName>
      <ability>L2_HalfPunc_CN</ability>
      <abilityName>全半角检查</abilityName>
      <candidateList>
        <item>:</item>
      </candidateList>
      <explain>文本全半角错误。</explain>
      <paraID> 9A318AB</paraID>
      <start>54</start>
      <end>55</end>
      <status>unmodified</status>
      <modifiedWord/>
      <trackRevisions>false</trackRevisions>
    </reviewItem>
    <reviewItem>
      <errorID>2cdb360c-24c0-4358-8853-ece5426a73b1</errorID>
      <errorWord>：</errorWord>
      <group>L1_Format</group>
      <groupName>格式问题</groupName>
      <ability>L2_HalfPunc_CN</ability>
      <abilityName>全半角检查</abilityName>
      <candidateList>
        <item>:</item>
      </candidateList>
      <explain>文本全半角错误。</explain>
      <paraID> 9A318AB</paraID>
      <start>64</start>
      <end>65</end>
      <status>unmodified</status>
      <modifiedWord/>
      <trackRevisions>false</trackRevisions>
    </reviewItem>
    <reviewItem>
      <errorID>7b90f0f5-324f-437f-b8e3-13276b509e7d</errorID>
      <errorWord>：</errorWord>
      <group>L1_Format</group>
      <groupName>格式问题</groupName>
      <ability>L2_HalfPunc_CN</ability>
      <abilityName>全半角检查</abilityName>
      <candidateList>
        <item>:</item>
      </candidateList>
      <explain>文本全半角错误。</explain>
      <paraID> 9A318AB</paraID>
      <start>73</start>
      <end>74</end>
      <status>unmodified</status>
      <modifiedWord/>
      <trackRevisions>false</trackRevisions>
    </reviewItem>
    <reviewItem>
      <errorID>c961275e-44a6-4ec7-9556-6093024cb431</errorID>
      <errorWord>：</errorWord>
      <group>L1_Format</group>
      <groupName>格式问题</groupName>
      <ability>L2_HalfPunc_CN</ability>
      <abilityName>全半角检查</abilityName>
      <candidateList>
        <item>:</item>
      </candidateList>
      <explain>文本全半角错误。</explain>
      <paraID> 9A318AB</paraID>
      <start>85</start>
      <end>86</end>
      <status>unmodified</status>
      <modifiedWord/>
      <trackRevisions>false</trackRevisions>
    </reviewItem>
    <reviewItem>
      <errorID>a08c104d-3795-48c1-9695-3fc9485e7b89</errorID>
      <errorWord>：</errorWord>
      <group>L1_Format</group>
      <groupName>格式问题</groupName>
      <ability>L2_HalfPunc_CN</ability>
      <abilityName>全半角检查</abilityName>
      <candidateList>
        <item>:</item>
      </candidateList>
      <explain>文本全半角错误。</explain>
      <paraID>5C73BE11</paraID>
      <start>13</start>
      <end>14</end>
      <status>unmodified</status>
      <modifiedWord/>
      <trackRevisions>false</trackRevisions>
    </reviewItem>
    <reviewItem>
      <errorID>362aada1-da7b-4891-a265-840357568b37</errorID>
      <errorWord>：</errorWord>
      <group>L1_Format</group>
      <groupName>格式问题</groupName>
      <ability>L2_HalfPunc_CN</ability>
      <abilityName>全半角检查</abilityName>
      <candidateList>
        <item>:</item>
      </candidateList>
      <explain>文本全半角错误。</explain>
      <paraID>5C73BE11</paraID>
      <start>24</start>
      <end>25</end>
      <status>unmodified</status>
      <modifiedWord/>
      <trackRevisions>false</trackRevisions>
    </reviewItem>
    <reviewItem>
      <errorID>655c0f33-c888-4630-ad4f-dba77854fd25</errorID>
      <errorWord>/）</errorWord>
      <group>L1_Punc</group>
      <groupName>标点问题</groupName>
      <ability>L2_Punc_CN</ability>
      <abilityName>标点符号检查</abilityName>
      <candidateList>
        <item>）</item>
      </candidateList>
      <explain/>
      <paraID>5FE5BECA</paraID>
      <start>56</start>
      <end>58</end>
      <status>unmodified</status>
      <modifiedWord/>
      <trackRevisions>false</trackRevisions>
    </reviewItem>
    <reviewItem>
      <errorID>4b44a253-e6e6-4f1a-9158-3030e771c906</errorID>
      <errorWord>“.</errorWord>
      <group>L1_Punc</group>
      <groupName>标点问题</groupName>
      <ability>L2_Punc_CN</ability>
      <abilityName>标点符号检查</abilityName>
      <candidateList>
        <item>“</item>
      </candidateList>
      <explain/>
      <paraID>5FE5BECA</paraID>
      <start>130</start>
      <end>132</end>
      <status>unmodified</status>
      <modifiedWord/>
      <trackRevisions>false</trackRevisions>
    </reviewItem>
    <reviewItem>
      <errorID>d6fb2c0a-22bb-46f7-86f3-cb5e9e999e05</errorID>
      <errorWord>》</errorWord>
      <group>L1_Word</group>
      <groupName>字词问题</groupName>
      <ability>L2_Typo</ability>
      <abilityName>字词错误</abilityName>
      <candidateList>
        <item>》和</item>
      </candidateList>
      <explain/>
      <paraID>40E57B77</paraID>
      <start>47</start>
      <end>48</end>
      <status>unmodified</status>
      <modifiedWord/>
      <trackRevisions>false</trackRevisions>
    </reviewItem>
    <reviewItem>
      <errorID>72ce450f-d17c-4172-b486-648af9431721</errorID>
      <errorWord>子</errorWord>
      <group>L1_Word</group>
      <groupName>字词问题</groupName>
      <ability>L2_Typo</ability>
      <abilityName>字词错误</abilityName>
      <candidateList>
        <item>子文</item>
      </candidateList>
      <explain/>
      <paraID>4F9695B3</paraID>
      <start>162</start>
      <end>163</end>
      <status>unmodified</status>
      <modifiedWord/>
      <trackRevisions>false</trackRevisions>
    </reviewItem>
    <reviewItem>
      <errorID>48b4cfbb-e359-4877-9edf-d88bd9c88cd1</errorID>
      <errorWord>（</errorWord>
      <group>L1_Punc</group>
      <groupName>标点问题</groupName>
      <ability>L2_Punc_CN</ability>
      <abilityName>标点符号检查</abilityName>
      <candidateList/>
      <explain>同一形式括号套用。</explain>
      <paraID>1E8D183B</paraID>
      <start>59</start>
      <end>60</end>
      <status>unmodified</status>
      <modifiedWord/>
      <trackRevisions>false</trackRevisions>
    </reviewItem>
    <reviewItem>
      <errorID>4270e6b0-26a4-4a08-8618-706fbec41365</errorID>
      <errorWord>）</errorWord>
      <group>L1_Punc</group>
      <groupName>标点问题</groupName>
      <ability>L2_Punc_CN</ability>
      <abilityName>标点符号检查</abilityName>
      <candidateList/>
      <explain>同一形式括号套用。</explain>
      <paraID>1E8D183B</paraID>
      <start>62</start>
      <end>63</end>
      <status>unmodified</status>
      <modifiedWord/>
      <trackRevisions>false</trackRevisions>
    </reviewItem>
    <reviewItem>
      <errorID>8447cb64-e412-4665-9436-636103e2396a</errorID>
      <errorWord>（</errorWord>
      <group>L1_Punc</group>
      <groupName>标点问题</groupName>
      <ability>L2_Punc_CN</ability>
      <abilityName>标点符号检查</abilityName>
      <candidateList/>
      <explain>同一形式括号套用。</explain>
      <paraID>1E8D183B</paraID>
      <start>81</start>
      <end>82</end>
      <status>unmodified</status>
      <modifiedWord/>
      <trackRevisions>false</trackRevisions>
    </reviewItem>
    <reviewItem>
      <errorID>e722b3ba-b1b6-4ef2-b7cf-6b6d80590111</errorID>
      <errorWord>）</errorWord>
      <group>L1_Punc</group>
      <groupName>标点问题</groupName>
      <ability>L2_Punc_CN</ability>
      <abilityName>标点符号检查</abilityName>
      <candidateList/>
      <explain>同一形式括号套用。</explain>
      <paraID>1E8D183B</paraID>
      <start>96</start>
      <end>97</end>
      <status>unmodified</status>
      <modifiedWord/>
      <trackRevisions>false</trackRevisions>
    </reviewItem>
    <reviewItem>
      <errorID>f60b740f-1d21-4d36-8aa8-780d930542e3</errorID>
      <errorWord>：</errorWord>
      <group>L1_Format</group>
      <groupName>格式问题</groupName>
      <ability>L2_HalfPunc_CN</ability>
      <abilityName>全半角检查</abilityName>
      <candidateList>
        <item>:</item>
      </candidateList>
      <explain>文本全半角错误。</explain>
      <paraID>1714C315</paraID>
      <start>14</start>
      <end>15</end>
      <status>unmodified</status>
      <modifiedWord/>
      <trackRevisions>false</trackRevisions>
    </reviewItem>
    <reviewItem>
      <errorID>f145652c-4481-4577-aa1e-840e36e36519</errorID>
      <errorWord>：</errorWord>
      <group>L1_Format</group>
      <groupName>格式问题</groupName>
      <ability>L2_HalfPunc_CN</ability>
      <abilityName>全半角检查</abilityName>
      <candidateList>
        <item>:</item>
      </candidateList>
      <explain>文本全半角错误。</explain>
      <paraID>1714C315</paraID>
      <start>25</start>
      <end>26</end>
      <status>unmodified</status>
      <modifiedWord/>
      <trackRevisions>false</trackRevisions>
    </reviewItem>
    <reviewItem>
      <errorID>ac4ef8ea-5a26-4fbf-8484-c49aadace42f</errorID>
      <errorWord>涵义</errorWord>
      <group>L1_Word</group>
      <groupName>字词问题</groupName>
      <ability>L2_Alias</ability>
      <abilityName>也作/曾用词</abilityName>
      <candidateList>
        <item>含义</item>
      </candidateList>
      <explain>词汇[涵义]为不规范表述或旧称，其规范书面表述为[含义]。</explain>
      <paraID>3A9687A4</paraID>
      <start>5</start>
      <end>7</end>
      <status>unmodified</status>
      <modifiedWord/>
      <trackRevisions>false</trackRevisions>
    </reviewItem>
    <reviewItem>
      <errorID>52a649af-cfb4-42e2-9cd5-5bd0c0bc27d3</errorID>
      <errorWord>其它</errorWord>
      <group>L1_Word</group>
      <groupName>字词问题</groupName>
      <ability>L2_Alias</ability>
      <abilityName>也作/曾用词</abilityName>
      <candidateList>
        <item>其他</item>
      </candidateList>
      <explain>词汇[其它]为不规范表述或旧称，其规范书面表述为[其他]。</explain>
      <paraID>32ED6711</paraID>
      <start>35</start>
      <end>37</end>
      <status>unmodified</status>
      <modifiedWord/>
      <trackRevisions>false</trackRevisions>
    </reviewItem>
    <reviewItem>
      <errorID>7c788e74-5bee-4371-8b9c-1f4c2d1b66c9</errorID>
      <errorWord>其它</errorWord>
      <group>L1_Word</group>
      <groupName>字词问题</groupName>
      <ability>L2_Alias</ability>
      <abilityName>也作/曾用词</abilityName>
      <candidateList>
        <item>其他</item>
      </candidateList>
      <explain>词汇[其它]为不规范表述或旧称，其规范书面表述为[其他]。</explain>
      <paraID>39CA9BE6</paraID>
      <start>45</start>
      <end>47</end>
      <status>unmodified</status>
      <modifiedWord/>
      <trackRevisions>false</trackRevisions>
    </reviewItem>
    <reviewItem>
      <errorID>cef9c3c1-f9f1-4164-9d71-5fcc8da59612</errorID>
      <errorWord>：</errorWord>
      <group>L1_Format</group>
      <groupName>格式问题</groupName>
      <ability>L2_HalfPunc_CN</ability>
      <abilityName>全半角检查</abilityName>
      <candidateList>
        <item>:</item>
      </candidateList>
      <explain>文本全半角错误。</explain>
      <paraID>213DA8CB</paraID>
      <start>24</start>
      <end>25</end>
      <status>unmodified</status>
      <modifiedWord/>
      <trackRevisions>false</trackRevisions>
    </reviewItem>
    <reviewItem>
      <errorID>954da5f2-cbbc-4ded-a888-924c0ad0f681</errorID>
      <errorWord>：</errorWord>
      <group>L1_Format</group>
      <groupName>格式问题</groupName>
      <ability>L2_HalfPunc_CN</ability>
      <abilityName>全半角检查</abilityName>
      <candidateList>
        <item>:</item>
      </candidateList>
      <explain>文本全半角错误。</explain>
      <paraID>213DA8CB</paraID>
      <start>36</start>
      <end>37</end>
      <status>unmodified</status>
      <modifiedWord/>
      <trackRevisions>false</trackRevisions>
    </reviewItem>
    <reviewItem>
      <errorID>d3063c24-d492-40a3-954e-858c235ce97f</errorID>
      <errorWord>：</errorWord>
      <group>L1_Format</group>
      <groupName>格式问题</groupName>
      <ability>L2_HalfPunc_CN</ability>
      <abilityName>全半角检查</abilityName>
      <candidateList>
        <item>:</item>
      </candidateList>
      <explain>文本全半角错误。</explain>
      <paraID>213DA8CB</paraID>
      <start>48</start>
      <end>49</end>
      <status>unmodified</status>
      <modifiedWord/>
      <trackRevisions>false</trackRevisions>
    </reviewItem>
    <reviewItem>
      <errorID>df366f62-5e77-4cd7-9f9f-3f557a4b55bd</errorID>
      <errorWord>：</errorWord>
      <group>L1_Format</group>
      <groupName>格式问题</groupName>
      <ability>L2_HalfPunc_CN</ability>
      <abilityName>全半角检查</abilityName>
      <candidateList>
        <item>:</item>
      </candidateList>
      <explain>文本全半角错误。</explain>
      <paraID>213DA8CB</paraID>
      <start>58</start>
      <end>59</end>
      <status>unmodified</status>
      <modifiedWord/>
      <trackRevisions>false</trackRevisions>
    </reviewItem>
    <reviewItem>
      <errorID>d56c94bc-1fe6-4b85-818a-8495212c4592</errorID>
      <errorWord>：</errorWord>
      <group>L1_Format</group>
      <groupName>格式问题</groupName>
      <ability>L2_HalfPunc_CN</ability>
      <abilityName>全半角检查</abilityName>
      <candidateList>
        <item>:</item>
      </candidateList>
      <explain>文本全半角错误。</explain>
      <paraID>213DA8CB</paraID>
      <start>67</start>
      <end>68</end>
      <status>unmodified</status>
      <modifiedWord/>
      <trackRevisions>false</trackRevisions>
    </reviewItem>
    <reviewItem>
      <errorID>af9846c6-a10e-4fd0-af27-da70608c8b4b</errorID>
      <errorWord>：</errorWord>
      <group>L1_Format</group>
      <groupName>格式问题</groupName>
      <ability>L2_HalfPunc_CN</ability>
      <abilityName>全半角检查</abilityName>
      <candidateList>
        <item>:</item>
      </candidateList>
      <explain>文本全半角错误。</explain>
      <paraID>213DA8CB</paraID>
      <start>79</start>
      <end>80</end>
      <status>unmodified</status>
      <modifiedWord/>
      <trackRevisions>false</trackRevisions>
    </reviewItem>
    <reviewItem>
      <errorID>aca277c8-06f2-492b-b83f-a1d8e9731826</errorID>
      <errorWord>：</errorWord>
      <group>L1_Format</group>
      <groupName>格式问题</groupName>
      <ability>L2_HalfPunc_CN</ability>
      <abilityName>全半角检查</abilityName>
      <candidateList>
        <item>:</item>
      </candidateList>
      <explain>文本全半角错误。</explain>
      <paraID>1B9C3008</paraID>
      <start>13</start>
      <end>14</end>
      <status>unmodified</status>
      <modifiedWord/>
      <trackRevisions>false</trackRevisions>
    </reviewItem>
    <reviewItem>
      <errorID>ba55cfad-0d82-4d97-9159-f758c8ad56d1</errorID>
      <errorWord>：</errorWord>
      <group>L1_Format</group>
      <groupName>格式问题</groupName>
      <ability>L2_HalfPunc_CN</ability>
      <abilityName>全半角检查</abilityName>
      <candidateList>
        <item>:</item>
      </candidateList>
      <explain>文本全半角错误。</explain>
      <paraID>1B9C3008</paraID>
      <start>24</start>
      <end>25</end>
      <status>unmodified</status>
      <modifiedWord/>
      <trackRevisions>false</trackRevisions>
    </reviewItem>
    <reviewItem>
      <errorID>8ea55e7a-3002-4526-b5db-e8d0d14e7600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6F1FCE83</paraID>
      <start>0</start>
      <end>2</end>
      <status>unmodified</status>
      <modifiedWord/>
      <trackRevisions>false</trackRevisions>
    </reviewItem>
    <reviewItem>
      <errorID>6544d09b-e5ac-4c50-a3ef-78d676ae8015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324277CB</paraID>
      <start>0</start>
      <end>2</end>
      <status>unmodified</status>
      <modifiedWord/>
      <trackRevisions>false</trackRevisions>
    </reviewItem>
    <reviewItem>
      <errorID>b534f09d-0a2d-4d67-ac95-bd200660ea2a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3AFA787E</paraID>
      <start>0</start>
      <end>2</end>
      <status>unmodified</status>
      <modifiedWord/>
      <trackRevisions>false</trackRevisions>
    </reviewItem>
    <reviewItem>
      <errorID>551989d3-095e-4973-992b-d775fb87838b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248E1004</paraID>
      <start>0</start>
      <end>2</end>
      <status>unmodified</status>
      <modifiedWord/>
      <trackRevisions>false</trackRevisions>
    </reviewItem>
    <reviewItem>
      <errorID>623b0bfd-eb16-4432-b815-4e9ae9909832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79094097</paraID>
      <start>0</start>
      <end>2</end>
      <status>unmodified</status>
      <modifiedWord/>
      <trackRevisions>false</trackRevisions>
    </reviewItem>
    <reviewItem>
      <errorID>30ee148e-c970-4bda-9d6c-a2666c7b4701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72FFEA92</paraID>
      <start>0</start>
      <end>2</end>
      <status>unmodified</status>
      <modifiedWord/>
      <trackRevisions>false</trackRevisions>
    </reviewItem>
    <reviewItem>
      <errorID>00dfa928-8686-4d8e-9352-8da17559e40b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31BCB74A</paraID>
      <start>0</start>
      <end>2</end>
      <status>unmodified</status>
      <modifiedWord/>
      <trackRevisions>false</trackRevisions>
    </reviewItem>
    <reviewItem>
      <errorID>feeba558-3d11-432d-9c5c-cd0cf22c7d04</errorID>
      <errorWord>虚实仿真</errorWord>
      <group>L1_Knowledge</group>
      <groupName>知识性问题</groupName>
      <ability>L2_Knowledge</ability>
      <abilityName>其他知识</abilityName>
      <candidateList>
        <item>虚拟仿真</item>
      </candidateList>
      <explain/>
      <paraID>31BCB74A</paraID>
      <start>85</start>
      <end>89</end>
      <status>unmodified</status>
      <modifiedWord/>
      <trackRevisions>false</trackRevisions>
    </reviewItem>
    <reviewItem>
      <errorID>0862a0cf-6c77-4a72-87bc-63ca99870798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2FD0717E</paraID>
      <start>0</start>
      <end>2</end>
      <status>unmodified</status>
      <modifiedWord/>
      <trackRevisions>false</trackRevisions>
    </reviewItem>
    <reviewItem>
      <errorID>8e15f9dc-2189-46b3-b2b1-18032b255803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6A9ECD8E</paraID>
      <start>0</start>
      <end>2</end>
      <status>unmodified</status>
      <modifiedWord/>
      <trackRevisions>false</trackRevisions>
    </reviewItem>
    <reviewItem>
      <errorID>cec87204-7927-40c8-9e76-4c26f183f076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6940B82B</paraID>
      <start>0</start>
      <end>2</end>
      <status>unmodified</status>
      <modifiedWord/>
      <trackRevisions>false</trackRevisions>
    </reviewItem>
    <reviewItem>
      <errorID>19fa977c-7d8a-48da-b923-a2582f140d4e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72E645ED</paraID>
      <start>0</start>
      <end>2</end>
      <status>unmodified</status>
      <modifiedWord/>
      <trackRevisions>false</trackRevisions>
    </reviewItem>
    <reviewItem>
      <errorID>f87c8e77-1953-4163-9c29-37a1c512248c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7157C0E</paraID>
      <start>0</start>
      <end>2</end>
      <status>unmodified</status>
      <modifiedWord/>
      <trackRevisions>false</trackRevisions>
    </reviewItem>
    <reviewItem>
      <errorID>c7110a47-46a9-4340-b85d-5ae23bc2e9c4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5E44C860</paraID>
      <start>0</start>
      <end>2</end>
      <status>unmodified</status>
      <modifiedWord/>
      <trackRevisions>false</trackRevisions>
    </reviewItem>
    <reviewItem>
      <errorID>abf75595-9b5d-4232-9626-490129310e92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FC7F9EC</paraID>
      <start>0</start>
      <end>2</end>
      <status>unmodified</status>
      <modifiedWord/>
      <trackRevisions>false</trackRevisions>
    </reviewItem>
    <reviewItem>
      <errorID>ac9519f1-6cf9-43c6-8b90-060f6494e230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5CB8D8F</paraID>
      <start>0</start>
      <end>2</end>
      <status>unmodified</status>
      <modifiedWord/>
      <trackRevisions>false</trackRevisions>
    </reviewItem>
    <reviewItem>
      <errorID>803d87e9-749b-4770-9e90-6ab378ac6606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6D024A9D</paraID>
      <start>0</start>
      <end>3</end>
      <status>unmodified</status>
      <modifiedWord/>
      <trackRevisions>false</trackRevisions>
    </reviewItem>
    <reviewItem>
      <errorID>b4af61c6-66de-454b-aadd-c70d7ae5592d</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BF55490</paraID>
      <start>0</start>
      <end>3</end>
      <status>unmodified</status>
      <modifiedWord/>
      <trackRevisions>false</trackRevisions>
    </reviewItem>
    <reviewItem>
      <errorID>21749fae-91cd-48be-99db-8775377b64ec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5DB9BE99</paraID>
      <start>0</start>
      <end>3</end>
      <status>unmodified</status>
      <modifiedWord/>
      <trackRevisions>false</trackRevisions>
    </reviewItem>
    <reviewItem>
      <errorID>293e8a9e-b4c1-4046-8129-9ed7c3927e08</errorID>
      <errorWord>持</errorWord>
      <group>L1_Word</group>
      <groupName>字词问题</groupName>
      <ability>L2_Typo</ability>
      <abilityName>字词错误</abilityName>
      <candidateList>
        <item>持等</item>
      </candidateList>
      <explain/>
      <paraID>5DB9BE99</paraID>
      <start>52</start>
      <end>53</end>
      <status>unmodified</status>
      <modifiedWord/>
      <trackRevisions>false</trackRevisions>
    </reviewItem>
    <reviewItem>
      <errorID>fabc0f82-2e77-4d9b-b609-09102a7b74a2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39D1ECD1</paraID>
      <start>0</start>
      <end>3</end>
      <status>unmodified</status>
      <modifiedWord/>
      <trackRevisions>false</trackRevisions>
    </reviewItem>
    <reviewItem>
      <errorID>0ba8f2c6-a2cc-4a89-b36e-9c278f7910ce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4576E3B8</paraID>
      <start>0</start>
      <end>3</end>
      <status>unmodified</status>
      <modifiedWord/>
      <trackRevisions>false</trackRevisions>
    </reviewItem>
    <reviewItem>
      <errorID>f3a74ee5-55d5-46ea-9f93-07723be61f83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367EB240</paraID>
      <start>0</start>
      <end>2</end>
      <status>unmodified</status>
      <modifiedWord/>
      <trackRevisions>false</trackRevisions>
    </reviewItem>
    <reviewItem>
      <errorID>6bb9ac09-d2c3-42ec-b8c4-61568854bf40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35892116</paraID>
      <start>0</start>
      <end>2</end>
      <status>unmodified</status>
      <modifiedWord/>
      <trackRevisions>false</trackRevisions>
    </reviewItem>
    <reviewItem>
      <errorID>f58cb12d-0021-4904-b7ea-274279807c22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68C708AE</paraID>
      <start>0</start>
      <end>2</end>
      <status>unmodified</status>
      <modifiedWord/>
      <trackRevisions>false</trackRevisions>
    </reviewItem>
    <reviewItem>
      <errorID>8c45053d-b3bb-462b-a1b1-2663ae6db55a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36A4E430</paraID>
      <start>0</start>
      <end>2</end>
      <status>unmodified</status>
      <modifiedWord/>
      <trackRevisions>false</trackRevisions>
    </reviewItem>
    <reviewItem>
      <errorID>bfcf816f-c131-40ea-a8f5-4957238f76ea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6ED2CB45</paraID>
      <start>0</start>
      <end>2</end>
      <status>unmodified</status>
      <modifiedWord/>
      <trackRevisions>false</trackRevisions>
    </reviewItem>
    <reviewItem>
      <errorID>506088e7-163b-4fb4-a223-dc4d29d8cd6b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27CCFAFF</paraID>
      <start>0</start>
      <end>2</end>
      <status>unmodified</status>
      <modifiedWord/>
      <trackRevisions>false</trackRevisions>
    </reviewItem>
    <reviewItem>
      <errorID>22d76e30-4afb-4377-9a20-d831ceeb243f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C48F014</paraID>
      <start>0</start>
      <end>2</end>
      <status>unmodified</status>
      <modifiedWord/>
      <trackRevisions>false</trackRevisions>
    </reviewItem>
    <reviewItem>
      <errorID>5403ae33-7d76-461e-9cca-58c960b0eb8e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652EDAF2</paraID>
      <start>0</start>
      <end>2</end>
      <status>unmodified</status>
      <modifiedWord/>
      <trackRevisions>false</trackRevisions>
    </reviewItem>
    <reviewItem>
      <errorID>5a65d495-0920-4974-ab24-e6539f6932e4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51927225</paraID>
      <start>0</start>
      <end>2</end>
      <status>unmodified</status>
      <modifiedWord/>
      <trackRevisions>false</trackRevisions>
    </reviewItem>
    <reviewItem>
      <errorID>0471e67b-2ff1-4c06-811f-b6089c69272c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7A31D56C</paraID>
      <start>0</start>
      <end>2</end>
      <status>unmodified</status>
      <modifiedWord/>
      <trackRevisions>false</trackRevisions>
    </reviewItem>
    <reviewItem>
      <errorID>e1685065-fe7e-4b45-bd44-2e2f21653de7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64D58439</paraID>
      <start>0</start>
      <end>2</end>
      <status>unmodified</status>
      <modifiedWord/>
      <trackRevisions>false</trackRevisions>
    </reviewItem>
    <reviewItem>
      <errorID>07a6d296-2d7c-4978-8dfe-509329582118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495F81F7</paraID>
      <start>0</start>
      <end>2</end>
      <status>unmodified</status>
      <modifiedWord/>
      <trackRevisions>false</trackRevisions>
    </reviewItem>
    <reviewItem>
      <errorID>e8571465-89fe-49fe-8ed1-11a78411f3aa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7009B506</paraID>
      <start>0</start>
      <end>2</end>
      <status>unmodified</status>
      <modifiedWord/>
      <trackRevisions>false</trackRevisions>
    </reviewItem>
    <reviewItem>
      <errorID>7cfdc25e-dbd6-4994-9200-ba40fc0da15e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3F728E48</paraID>
      <start>0</start>
      <end>2</end>
      <status>unmodified</status>
      <modifiedWord/>
      <trackRevisions>false</trackRevisions>
    </reviewItem>
    <reviewItem>
      <errorID>87b4128e-a1e7-4288-99f5-a7d2701bb8b7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28C93799</paraID>
      <start>0</start>
      <end>2</end>
      <status>unmodified</status>
      <modifiedWord/>
      <trackRevisions>false</trackRevisions>
    </reviewItem>
    <reviewItem>
      <errorID>d1c7d459-db68-47c6-b13e-04dee6405877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4A66C172</paraID>
      <start>0</start>
      <end>2</end>
      <status>unmodified</status>
      <modifiedWord/>
      <trackRevisions>false</trackRevisions>
    </reviewItem>
    <reviewItem>
      <errorID>85ac30cb-1d03-48b3-bc3d-9b528c3f135c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63181C96</paraID>
      <start>0</start>
      <end>2</end>
      <status>unmodified</status>
      <modifiedWord/>
      <trackRevisions>false</trackRevisions>
    </reviewItem>
    <reviewItem>
      <errorID>caad11bb-01a1-4a2d-b560-fabbb4db90bd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2F0D8F18</paraID>
      <start>0</start>
      <end>2</end>
      <status>unmodified</status>
      <modifiedWord/>
      <trackRevisions>false</trackRevisions>
    </reviewItem>
    <reviewItem>
      <errorID>9e365df1-cb7f-47d0-9118-e65d551516d2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36375513</paraID>
      <start>0</start>
      <end>2</end>
      <status>unmodified</status>
      <modifiedWord/>
      <trackRevisions>false</trackRevisions>
    </reviewItem>
    <reviewItem>
      <errorID>17009d99-a9f4-4f4d-9714-328e03ae05a5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3C78D14</paraID>
      <start>0</start>
      <end>2</end>
      <status>unmodified</status>
      <modifiedWord/>
      <trackRevisions>false</trackRevisions>
    </reviewItem>
    <reviewItem>
      <errorID>58ba1177-a871-45e1-950e-ac84d164a98b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197BDD35</paraID>
      <start>0</start>
      <end>3</end>
      <status>unmodified</status>
      <modifiedWord/>
      <trackRevisions>false</trackRevisions>
    </reviewItem>
    <reviewItem>
      <errorID>ae01f43e-7de1-447e-aab3-9745f68cf425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3FE202C9</paraID>
      <start>0</start>
      <end>3</end>
      <status>unmodified</status>
      <modifiedWord/>
      <trackRevisions>false</trackRevisions>
    </reviewItem>
    <reviewItem>
      <errorID>a054bda6-67db-415f-9035-25ad221f10a8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5C91AC43</paraID>
      <start>0</start>
      <end>3</end>
      <status>unmodified</status>
      <modifiedWord/>
      <trackRevisions>false</trackRevisions>
    </reviewItem>
    <reviewItem>
      <errorID>672454f3-eb41-4c96-94ef-cf89ba313c4b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5B8A7EF9</paraID>
      <start>0</start>
      <end>3</end>
      <status>unmodified</status>
      <modifiedWord/>
      <trackRevisions>false</trackRevisions>
    </reviewItem>
    <reviewItem>
      <errorID>cc2d472a-1936-44af-82de-08a6dec3dc94</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6B36013A</paraID>
      <start>0</start>
      <end>3</end>
      <status>unmodified</status>
      <modifiedWord/>
      <trackRevisions>false</trackRevisions>
    </reviewItem>
    <reviewItem>
      <errorID>e180a6d7-b8f6-4c7b-9b63-adbbfc2beda2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11DA080F</paraID>
      <start>0</start>
      <end>3</end>
      <status>unmodified</status>
      <modifiedWord/>
      <trackRevisions>false</trackRevisions>
    </reviewItem>
    <reviewItem>
      <errorID>f1cd444e-739a-4c07-b9dd-81d0422ba8ac</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7473CFD5</paraID>
      <start>0</start>
      <end>3</end>
      <status>unmodified</status>
      <modifiedWord/>
      <trackRevisions>false</trackRevisions>
    </reviewItem>
    <reviewItem>
      <errorID>b9681d4b-0d96-44ba-afc7-eff68f1f5693</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19F91AEA</paraID>
      <start>0</start>
      <end>3</end>
      <status>unmodified</status>
      <modifiedWord/>
      <trackRevisions>false</trackRevisions>
    </reviewItem>
    <reviewItem>
      <errorID>cc8f24e1-fc8d-4056-94a1-5a73d9ad91ab</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48A324B</paraID>
      <start>0</start>
      <end>3</end>
      <status>unmodified</status>
      <modifiedWord/>
      <trackRevisions>false</trackRevisions>
    </reviewItem>
    <reviewItem>
      <errorID>ef660d2c-7612-4d1b-b0f7-eb61fb6e133c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1B7911B5</paraID>
      <start>0</start>
      <end>2</end>
      <status>unmodified</status>
      <modifiedWord/>
      <trackRevisions>false</trackRevisions>
    </reviewItem>
    <reviewItem>
      <errorID>ed11b66a-0d25-43ac-80ca-b5faa0fa3aab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EA915E3</paraID>
      <start>0</start>
      <end>2</end>
      <status>unmodified</status>
      <modifiedWord/>
      <trackRevisions>false</trackRevisions>
    </reviewItem>
    <reviewItem>
      <errorID>b7961df0-5fa3-4714-bde7-d1a76bf33356</errorID>
      <errorWord>3、</errorWord>
      <group>L1_Format</group>
      <groupName>格式问题</groupName>
      <ability>L2_Ordinal</ability>
      <abilityName>序号格式</abilityName>
      <candidateList>
        <item>3.</item>
      </candidateList>
      <explain>当前序号格式不规范，建议修改为规范格式[3.]。</explain>
      <paraID> 7B963BC</paraID>
      <start>0</start>
      <end>2</end>
      <status>unmodified</status>
      <modifiedWord/>
      <trackRevisions>false</trackRevisions>
    </reviewItem>
    <reviewItem>
      <errorID>a917d924-1439-497d-bbc4-25c7eb340b63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6E33D499</paraID>
      <start>0</start>
      <end>2</end>
      <status>unmodified</status>
      <modifiedWord/>
      <trackRevisions>false</trackRevisions>
    </reviewItem>
    <reviewItem>
      <errorID>3907f271-10f5-4ce3-9dfc-087dfe500219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556FDF5A</paraID>
      <start>0</start>
      <end>2</end>
      <status>unmodified</status>
      <modifiedWord/>
      <trackRevisions>false</trackRevisions>
    </reviewItem>
    <reviewItem>
      <errorID>fa5c9626-5a89-43bf-bbf8-af2e417e6aa6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3FD85D95</paraID>
      <start>0</start>
      <end>2</end>
      <status>unmodified</status>
      <modifiedWord/>
      <trackRevisions>false</trackRevisions>
    </reviewItem>
    <reviewItem>
      <errorID>03a11aac-a9d8-49e4-abb1-1136383b5504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6A8AE775</paraID>
      <start>0</start>
      <end>2</end>
      <status>unmodified</status>
      <modifiedWord/>
      <trackRevisions>false</trackRevisions>
    </reviewItem>
    <reviewItem>
      <errorID>6a33658d-ca08-4da3-95cb-006b2c82b9f5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6DDE5489</paraID>
      <start>0</start>
      <end>2</end>
      <status>unmodified</status>
      <modifiedWord/>
      <trackRevisions>false</trackRevisions>
    </reviewItem>
    <reviewItem>
      <errorID>7e29f74b-810e-43b1-bd62-c948466da4ab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55DEE3B</paraID>
      <start>0</start>
      <end>2</end>
      <status>unmodified</status>
      <modifiedWord/>
      <trackRevisions>false</trackRevisions>
    </reviewItem>
    <reviewItem>
      <errorID>c2701020-b059-4f41-be84-4bb0f1aa32ba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7F88F49E</paraID>
      <start>0</start>
      <end>3</end>
      <status>unmodified</status>
      <modifiedWord/>
      <trackRevisions>false</trackRevisions>
    </reviewItem>
    <reviewItem>
      <errorID>4435784a-d710-4bfd-a230-59a5a28ae258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49F7E447</paraID>
      <start>0</start>
      <end>2</end>
      <status>unmodified</status>
      <modifiedWord/>
      <trackRevisions>false</trackRevisions>
    </reviewItem>
    <reviewItem>
      <errorID>01793582-5f10-47ec-b9b9-979556d55be9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45FD4FD5</paraID>
      <start>0</start>
      <end>2</end>
      <status>unmodified</status>
      <modifiedWord/>
      <trackRevisions>false</trackRevisions>
    </reviewItem>
    <reviewItem>
      <errorID>57b5dabe-6ae4-4db6-84d6-5fd2d69f8661</errorID>
      <errorWord>III</errorWord>
      <group>L1_Knowledge</group>
      <groupName>知识性问题</groupName>
      <ability>L2_Knowledge</ability>
      <abilityName>其他知识</abilityName>
      <candidateList>
        <item>Ⅲ</item>
      </candidateList>
      <explain>中文环境下罗马数字格式错误。</explain>
      <paraID>45FD4FD5</paraID>
      <start>16</start>
      <end>19</end>
      <status>unmodified</status>
      <modifiedWord/>
      <trackRevisions>false</trackRevisions>
    </reviewItem>
    <reviewItem>
      <errorID>e2d450d2-1a2d-4909-8815-02204b422ee6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21EC88A1</paraID>
      <start>0</start>
      <end>2</end>
      <status>unmodified</status>
      <modifiedWord/>
      <trackRevisions>false</trackRevisions>
    </reviewItem>
    <reviewItem>
      <errorID>5f7b370b-584e-4e94-87d2-5f7baa63fb24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7D70A789</paraID>
      <start>0</start>
      <end>2</end>
      <status>unmodified</status>
      <modifiedWord/>
      <trackRevisions>false</trackRevisions>
    </reviewItem>
    <reviewItem>
      <errorID>8ec2045e-e54c-4624-af4c-4ff39a21072f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65D84028</paraID>
      <start>0</start>
      <end>2</end>
      <status>unmodified</status>
      <modifiedWord/>
      <trackRevisions>false</trackRevisions>
    </reviewItem>
    <reviewItem>
      <errorID>ae90d031-d6d4-4379-94fd-ea25234f063f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34223572</paraID>
      <start>0</start>
      <end>2</end>
      <status>unmodified</status>
      <modifiedWord/>
      <trackRevisions>false</trackRevisions>
    </reviewItem>
    <reviewItem>
      <errorID>08eb7348-b7e0-4ab5-a09d-4abe62e9415d</errorID>
      <errorWord>1、</errorWord>
      <group>L1_Format</group>
      <groupName>格式问题</groupName>
      <ability>L2_Ordinal</ability>
      <abilityName>序号格式</abilityName>
      <candidateList>
        <item>1.</item>
      </candidateList>
      <explain>当前序号格式不规范，建议修改为规范格式[1.]。</explain>
      <paraID>5FC2D573</paraID>
      <start>0</start>
      <end>2</end>
      <status>unmodified</status>
      <modifiedWord/>
      <trackRevisions>false</trackRevisions>
    </reviewItem>
    <reviewItem>
      <errorID>cb422b19-737b-40f4-ae08-c1dffc72daa3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5083945D</paraID>
      <start>0</start>
      <end>2</end>
      <status>unmodified</status>
      <modifiedWord/>
      <trackRevisions>false</trackRevisions>
    </reviewItem>
    <reviewItem>
      <errorID>15d05e8e-c0db-4c7f-aac6-540c82fa9330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62DF89BA</paraID>
      <start>0</start>
      <end>2</end>
      <status>unmodified</status>
      <modifiedWord/>
      <trackRevisions>false</trackRevisions>
    </reviewItem>
    <reviewItem>
      <errorID>3e1d72a0-1b10-45bd-8186-5345ea460a1a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34B38B86</paraID>
      <start>0</start>
      <end>2</end>
      <status>unmodified</status>
      <modifiedWord/>
      <trackRevisions>false</trackRevisions>
    </reviewItem>
    <reviewItem>
      <errorID>f4bcf049-fd8f-4899-9819-a4d50b781b9d</errorID>
      <errorWord>-</errorWord>
      <group>L1_Punc</group>
      <groupName>标点问题</groupName>
      <ability>L2_Punc_CN</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24CDDC23</paraID>
      <start>46</start>
      <end>47</end>
      <status>unmodified</status>
      <modifiedWord/>
      <trackRevisions>false</trackRevisions>
    </reviewItem>
    <reviewItem>
      <errorID>e90b27e8-8e26-4bd4-a75b-7b3602900e91</errorID>
      <errorWord>试配</errorWord>
      <group>L1_Word</group>
      <groupName>字词问题</groupName>
      <ability>L2_Typo</ability>
      <abilityName>字词错误</abilityName>
      <candidateList>
        <item>适配</item>
      </candidateList>
      <explain/>
      <paraID>3FA34E34</paraID>
      <start>81</start>
      <end>83</end>
      <status>unmodified</status>
      <modifiedWord/>
      <trackRevisions>false</trackRevisions>
    </reviewItem>
    <reviewItem>
      <errorID>c1854adb-845e-44ab-803b-a96d7b0d8fdb</errorID>
      <errorWord>排</errorWord>
      <group>L1_Word</group>
      <groupName>字词问题</groupName>
      <ability>L2_Typo</ability>
      <abilityName>字词错误</abilityName>
      <candidateList>
        <item>排放</item>
      </candidateList>
      <explain/>
      <paraID>1B4D05FD</paraID>
      <start>39</start>
      <end>40</end>
      <status>unmodified</status>
      <modifiedWord/>
      <trackRevisions>false</trackRevisions>
    </reviewItem>
    <reviewItem>
      <errorID>c7f2679c-7d7e-4e50-a3a8-93386760f6ea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BD57840</paraID>
      <start>0</start>
      <end>2</end>
      <status>unmodified</status>
      <modifiedWord/>
      <trackRevisions>false</trackRevisions>
    </reviewItem>
    <reviewItem>
      <errorID>77aaafe1-0080-4856-8dd4-ddf5bc2b63f7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1772D71D</paraID>
      <start>0</start>
      <end>2</end>
      <status>unmodified</status>
      <modifiedWord/>
      <trackRevisions>false</trackRevisions>
    </reviewItem>
    <reviewItem>
      <errorID>e0e64abe-cc4a-46ff-8ba2-d11d4715b814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458F434D</paraID>
      <start>0</start>
      <end>2</end>
      <status>unmodified</status>
      <modifiedWord/>
      <trackRevisions>false</trackRevisions>
    </reviewItem>
    <reviewItem>
      <errorID>00a087c8-c658-4d83-9c24-4da36953e6a1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2415B113</paraID>
      <start>0</start>
      <end>2</end>
      <status>unmodified</status>
      <modifiedWord/>
      <trackRevisions>false</trackRevisions>
    </reviewItem>
    <reviewItem>
      <errorID>8dfb43c9-e7c7-407e-9d8c-d9c37ca82c87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3508E87B</paraID>
      <start>0</start>
      <end>2</end>
      <status>unmodified</status>
      <modifiedWord/>
      <trackRevisions>false</trackRevisions>
    </reviewItem>
    <reviewItem>
      <errorID>f3c5f266-c7bc-4d1f-9099-a162a4012d0e</errorID>
      <errorWord>（</errorWord>
      <group>L1_Punc</group>
      <groupName>标点问题</groupName>
      <ability>L2_Punc_CN</ability>
      <abilityName>标点符号检查</abilityName>
      <candidateList/>
      <explain>同一形式括号套用。</explain>
      <paraID>5BBB90CC</paraID>
      <start>32</start>
      <end>33</end>
      <status>unmodified</status>
      <modifiedWord/>
      <trackRevisions>false</trackRevisions>
    </reviewItem>
    <reviewItem>
      <errorID>673b2006-db27-4bc2-bcbf-ce4323bad97c</errorID>
      <errorWord>）</errorWord>
      <group>L1_Punc</group>
      <groupName>标点问题</groupName>
      <ability>L2_Punc_CN</ability>
      <abilityName>标点符号检查</abilityName>
      <candidateList/>
      <explain>同一形式括号套用。</explain>
      <paraID>5BBB90CC</paraID>
      <start>35</start>
      <end>36</end>
      <status>unmodified</status>
      <modifiedWord/>
      <trackRevisions>false</trackRevisions>
    </reviewItem>
    <reviewItem>
      <errorID>47fdd536-09e6-4247-8e3f-2c474c9b184d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6E591F65</paraID>
      <start>0</start>
      <end>2</end>
      <status>unmodified</status>
      <modifiedWord/>
      <trackRevisions>false</trackRevisions>
    </reviewItem>
    <reviewItem>
      <errorID>c4b9ac2d-eb9c-4112-8627-c8ab230f2805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6C165170</paraID>
      <start>0</start>
      <end>2</end>
      <status>unmodified</status>
      <modifiedWord/>
      <trackRevisions>false</trackRevisions>
    </reviewItem>
    <reviewItem>
      <errorID>d5258028-6357-4981-93e7-64a74bd740f8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2F3F1752</paraID>
      <start>0</start>
      <end>2</end>
      <status>unmodified</status>
      <modifiedWord/>
      <trackRevisions>false</trackRevisions>
    </reviewItem>
    <reviewItem>
      <errorID>4981a1ed-6688-4403-b299-9fa87f680e40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226E7258</paraID>
      <start>0</start>
      <end>2</end>
      <status>unmodified</status>
      <modifiedWord/>
      <trackRevisions>false</trackRevisions>
    </reviewItem>
    <reviewItem>
      <errorID>2a0f76cc-0ea4-406f-8a9e-f6c985e92827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2254D60</paraID>
      <start>0</start>
      <end>2</end>
      <status>unmodified</status>
      <modifiedWord/>
      <trackRevisions>false</trackRevisions>
    </reviewItem>
    <reviewItem>
      <errorID>d41b6281-f4d8-4448-8678-4a3334606938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6C160036</paraID>
      <start>0</start>
      <end>2</end>
      <status>unmodified</status>
      <modifiedWord/>
      <trackRevisions>false</trackRevisions>
    </reviewItem>
    <reviewItem>
      <errorID>b62d2206-f6d6-4fcd-a663-853462876065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23131B7F</paraID>
      <start>0</start>
      <end>2</end>
      <status>unmodified</status>
      <modifiedWord/>
      <trackRevisions>false</trackRevisions>
    </reviewItem>
    <reviewItem>
      <errorID>f234f01f-edac-4421-9dd3-6943834c717f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2F1295B4</paraID>
      <start>0</start>
      <end>2</end>
      <status>unmodified</status>
      <modifiedWord/>
      <trackRevisions>false</trackRevisions>
    </reviewItem>
    <reviewItem>
      <errorID>4c4992e6-c645-4bf2-85ec-37ef49fdb8ca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7705E790</paraID>
      <start>0</start>
      <end>2</end>
      <status>unmodified</status>
      <modifiedWord/>
      <trackRevisions>false</trackRevisions>
    </reviewItem>
    <reviewItem>
      <errorID>117105e7-fde3-4a25-b537-4405a4cd26c2</errorID>
      <errorWord>电</errorWord>
      <group>L1_Word</group>
      <groupName>字词问题</groupName>
      <ability>L2_Typo</ability>
      <abilityName>字词错误</abilityName>
      <candidateList>
        <item>电池</item>
      </candidateList>
      <explain/>
      <paraID>7705E790</paraID>
      <start>5</start>
      <end>6</end>
      <status>unmodified</status>
      <modifiedWord/>
      <trackRevisions>false</trackRevisions>
    </reviewItem>
    <reviewItem>
      <errorID>bdf11e9f-468b-4d26-9642-4b22adf59018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389182F6</paraID>
      <start>0</start>
      <end>3</end>
      <status>unmodified</status>
      <modifiedWord/>
      <trackRevisions>false</trackRevisions>
    </reviewItem>
    <reviewItem>
      <errorID>91e6be0e-7a85-42fd-9e58-14d219a30033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4159F6C0</paraID>
      <start>0</start>
      <end>3</end>
      <status>unmodified</status>
      <modifiedWord/>
      <trackRevisions>false</trackRevisions>
    </reviewItem>
    <reviewItem>
      <errorID>706dfaf9-9872-4715-88e4-65ced2e87cf9</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335C065B</paraID>
      <start>0</start>
      <end>3</end>
      <status>unmodified</status>
      <modifiedWord/>
      <trackRevisions>false</trackRevisions>
    </reviewItem>
    <reviewItem>
      <errorID>91694a62-5aef-4bb4-ac46-d26e1e401a28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6C6CAC65</paraID>
      <start>0</start>
      <end>3</end>
      <status>unmodified</status>
      <modifiedWord/>
      <trackRevisions>false</trackRevisions>
    </reviewItem>
    <reviewItem>
      <errorID>d306e5d4-25d9-4307-a09c-b1dbdfeab187</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201E88A4</paraID>
      <start>0</start>
      <end>3</end>
      <status>unmodified</status>
      <modifiedWord/>
      <trackRevisions>false</trackRevisions>
    </reviewItem>
    <reviewItem>
      <errorID>52e02e60-8b1a-4ebe-8035-14c612cadfbe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4E6CCF6C</paraID>
      <start>0</start>
      <end>3</end>
      <status>unmodified</status>
      <modifiedWord/>
      <trackRevisions>false</trackRevisions>
    </reviewItem>
    <reviewItem>
      <errorID>b5d9e3d1-1931-4fd1-ab75-bf58c98e9586</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3F5E45E4</paraID>
      <start>0</start>
      <end>3</end>
      <status>unmodified</status>
      <modifiedWord/>
      <trackRevisions>false</trackRevisions>
    </reviewItem>
    <reviewItem>
      <errorID>4550abfe-f481-49a8-bd29-84c9f6c41d8b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1EAC05A3</paraID>
      <start>0</start>
      <end>3</end>
      <status>unmodified</status>
      <modifiedWord/>
      <trackRevisions>false</trackRevisions>
    </reviewItem>
    <reviewItem>
      <errorID>64b1a00a-a04d-4362-bc22-165d02d7182c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1EBD54D7</paraID>
      <start>0</start>
      <end>2</end>
      <status>unmodified</status>
      <modifiedWord/>
      <trackRevisions>false</trackRevisions>
    </reviewItem>
    <reviewItem>
      <errorID>821d93cd-fa80-4c94-b684-8735151c7534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606C75A6</paraID>
      <start>0</start>
      <end>2</end>
      <status>unmodified</status>
      <modifiedWord/>
      <trackRevisions>false</trackRevisions>
    </reviewItem>
    <reviewItem>
      <errorID>007ada95-a699-436c-ab6c-b9da46441817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3BEA4E53</paraID>
      <start>0</start>
      <end>2</end>
      <status>unmodified</status>
      <modifiedWord/>
      <trackRevisions>false</trackRevisions>
    </reviewItem>
    <reviewItem>
      <errorID>9b533114-ce07-497f-a430-c55a8e58cc2f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26CBAB02</paraID>
      <start>0</start>
      <end>2</end>
      <status>unmodified</status>
      <modifiedWord/>
      <trackRevisions>false</trackRevisions>
    </reviewItem>
    <reviewItem>
      <errorID>33013416-e24e-4746-b6c5-4b80e157df12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6E6C31EF</paraID>
      <start>0</start>
      <end>2</end>
      <status>unmodified</status>
      <modifiedWord/>
      <trackRevisions>false</trackRevisions>
    </reviewItem>
    <reviewItem>
      <errorID>558e67d2-793b-4254-8123-02e90f46e83b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47C47F3B</paraID>
      <start>0</start>
      <end>2</end>
      <status>unmodified</status>
      <modifiedWord/>
      <trackRevisions>false</trackRevisions>
    </reviewItem>
    <reviewItem>
      <errorID>7caabb90-8e5d-40c7-94ae-9731add71296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5851D95E</paraID>
      <start>0</start>
      <end>2</end>
      <status>unmodified</status>
      <modifiedWord/>
      <trackRevisions>false</trackRevisions>
    </reviewItem>
    <reviewItem>
      <errorID>43c1f108-1b53-4531-b395-b31eade1f1b0</errorID>
      <errorWord>电</errorWord>
      <group>L1_Word</group>
      <groupName>字词问题</groupName>
      <ability>L2_Typo</ability>
      <abilityName>字词错误</abilityName>
      <candidateList>
        <item>电池</item>
      </candidateList>
      <explain/>
      <paraID>5851D95E</paraID>
      <start>5</start>
      <end>6</end>
      <status>unmodified</status>
      <modifiedWord/>
      <trackRevisions>false</trackRevisions>
    </reviewItem>
    <reviewItem>
      <errorID>15d46d46-daa4-4070-8743-62d7cb33b518</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570CCA4E</paraID>
      <start>0</start>
      <end>2</end>
      <status>unmodified</status>
      <modifiedWord/>
      <trackRevisions>false</trackRevisions>
    </reviewItem>
    <reviewItem>
      <errorID>5838fc95-a84d-4874-9b85-b5e663bfe9c0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20BA0667</paraID>
      <start>0</start>
      <end>2</end>
      <status>unmodified</status>
      <modifiedWord/>
      <trackRevisions>false</trackRevisions>
    </reviewItem>
    <reviewItem>
      <errorID>bbd9644f-7faa-4f9e-9dfb-e0f76376bf15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1B945EC2</paraID>
      <start>0</start>
      <end>3</end>
      <status>unmodified</status>
      <modifiedWord/>
      <trackRevisions>false</trackRevisions>
    </reviewItem>
    <reviewItem>
      <errorID>d6dee711-5052-4582-b519-0f6a0f2c9a16</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2603FAF1</paraID>
      <start>0</start>
      <end>3</end>
      <status>unmodified</status>
      <modifiedWord/>
      <trackRevisions>false</trackRevisions>
    </reviewItem>
    <reviewItem>
      <errorID>cc2ac469-c102-4406-aadf-3b96fb2f2e7c</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1BEA774</paraID>
      <start>0</start>
      <end>3</end>
      <status>unmodified</status>
      <modifiedWord/>
      <trackRevisions>false</trackRevisions>
    </reviewItem>
    <reviewItem>
      <errorID>dde433e5-1716-4ab0-84e3-d213952270d8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A2AAD97</paraID>
      <start>0</start>
      <end>3</end>
      <status>unmodified</status>
      <modifiedWord/>
      <trackRevisions>false</trackRevisions>
    </reviewItem>
    <reviewItem>
      <errorID>a23e32d9-a8ab-4726-955d-f3c17cb4b47c</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22521FEC</paraID>
      <start>0</start>
      <end>3</end>
      <status>unmodified</status>
      <modifiedWord/>
      <trackRevisions>false</trackRevisions>
    </reviewItem>
    <reviewItem>
      <errorID>c7c42d54-8879-4a0a-9379-32b130810548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439F75B2</paraID>
      <start>0</start>
      <end>3</end>
      <status>unmodified</status>
      <modifiedWord/>
      <trackRevisions>false</trackRevisions>
    </reviewItem>
    <reviewItem>
      <errorID>cdf38c8e-6043-4d05-8bc5-0b0c7f7f622e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5772F781</paraID>
      <start>0</start>
      <end>3</end>
      <status>unmodified</status>
      <modifiedWord/>
      <trackRevisions>false</trackRevisions>
    </reviewItem>
    <reviewItem>
      <errorID>a6d92a8f-0452-48e4-9107-5a7f8039edcc</errorID>
      <errorWord>(</errorWord>
      <group>L1_Format</group>
      <groupName>格式问题</groupName>
      <ability>L2_HalfPunc_CN</ability>
      <abilityName>全半角检查</abilityName>
      <candidateList>
        <item>（</item>
      </candidateList>
      <explain>文本全半角错误。</explain>
      <paraID>31E84627</paraID>
      <start>108</start>
      <end>109</end>
      <status>unmodified</status>
      <modifiedWord/>
      <trackRevisions>false</trackRevisions>
    </reviewItem>
    <reviewItem>
      <errorID>257d7d3e-1156-4d32-9b06-97f2c848fd71</errorID>
      <errorWord>)</errorWord>
      <group>L1_Format</group>
      <groupName>格式问题</groupName>
      <ability>L2_HalfPunc_CN</ability>
      <abilityName>全半角检查</abilityName>
      <candidateList>
        <item>）</item>
      </candidateList>
      <explain>文本全半角错误。</explain>
      <paraID>31E84627</paraID>
      <start>122</start>
      <end>123</end>
      <status>unmodified</status>
      <modifiedWord/>
      <trackRevisions>false</trackRevisions>
    </reviewItem>
    <reviewItem>
      <errorID>a48cb995-93e1-42b1-b247-7f35e822cb8e</errorID>
      <errorWord>件和</errorWord>
      <group>L1_Word</group>
      <groupName>字词问题</groupName>
      <ability>L2_Typo</ability>
      <abilityName>字词错误</abilityName>
      <candidateList>
        <item>件</item>
      </candidateList>
      <explain/>
      <paraID> F920068</paraID>
      <start>66</start>
      <end>67</end>
      <status>modified</status>
      <modifiedWord>件</modifiedWord>
      <trackRevisions>false</trackRevisions>
    </reviewItem>
    <reviewItem>
      <errorID>98f88393-454d-4566-b880-f9c87ea7751d</errorID>
      <errorWord>（</errorWord>
      <group>L1_Punc</group>
      <groupName>标点问题</groupName>
      <ability>L2_Punc_CN</ability>
      <abilityName>标点符号检查</abilityName>
      <candidateList/>
      <explain>同一形式括号套用。</explain>
      <paraID> F920068</paraID>
      <start>70</start>
      <end>71</end>
      <status>unmodified</status>
      <modifiedWord/>
      <trackRevisions>false</trackRevisions>
    </reviewItem>
    <reviewItem>
      <errorID>fb3460e3-7f98-407d-a6ef-b29fcb285be9</errorID>
      <errorWord>）</errorWord>
      <group>L1_Punc</group>
      <groupName>标点问题</groupName>
      <ability>L2_Punc_CN</ability>
      <abilityName>标点符号检查</abilityName>
      <candidateList/>
      <explain>同一形式括号套用。</explain>
      <paraID> F920068</paraID>
      <start>73</start>
      <end>74</end>
      <status>unmodified</status>
      <modifiedWord/>
      <trackRevisions>false</trackRevisions>
    </reviewItem>
    <reviewItem>
      <errorID>f1d93abd-a13a-4a8d-acda-2bc5d654b3a6</errorID>
      <errorWord>件和</errorWord>
      <group>L1_Word</group>
      <groupName>字词问题</groupName>
      <ability>L2_Typo</ability>
      <abilityName>字词错误</abilityName>
      <candidateList>
        <item>件</item>
      </candidateList>
      <explain/>
      <paraID> 2798B5E</paraID>
      <start>66</start>
      <end>67</end>
      <status>modified</status>
      <modifiedWord>件</modifiedWord>
      <trackRevisions>false</trackRevisions>
    </reviewItem>
    <reviewItem>
      <errorID>3827e03e-1664-4317-a4f3-58232b35c9b2</errorID>
      <errorWord>（</errorWord>
      <group>L1_Punc</group>
      <groupName>标点问题</groupName>
      <ability>L2_Punc_CN</ability>
      <abilityName>标点符号检查</abilityName>
      <candidateList/>
      <explain>同一形式括号套用。</explain>
      <paraID> 2798B5E</paraID>
      <start>70</start>
      <end>71</end>
      <status>unmodified</status>
      <modifiedWord/>
      <trackRevisions>false</trackRevisions>
    </reviewItem>
    <reviewItem>
      <errorID>13e07b3e-8b87-43cf-8b48-29f1b11aaad6</errorID>
      <errorWord>）</errorWord>
      <group>L1_Punc</group>
      <groupName>标点问题</groupName>
      <ability>L2_Punc_CN</ability>
      <abilityName>标点符号检查</abilityName>
      <candidateList/>
      <explain>同一形式括号套用。</explain>
      <paraID> 2798B5E</paraID>
      <start>73</start>
      <end>74</end>
      <status>unmodified</status>
      <modifiedWord/>
      <trackRevisions>false</trackRevisions>
    </reviewItem>
    <reviewItem>
      <errorID>0f2fd3b3-7340-4358-9864-0cfda89fd59a</errorID>
      <errorWord>件和</errorWord>
      <group>L1_Word</group>
      <groupName>字词问题</groupName>
      <ability>L2_Typo</ability>
      <abilityName>字词错误</abilityName>
      <candidateList>
        <item>件</item>
      </candidateList>
      <explain/>
      <paraID>624F5159</paraID>
      <start>66</start>
      <end>67</end>
      <status>modified</status>
      <modifiedWord>件</modifiedWord>
      <trackRevisions>false</trackRevisions>
    </reviewItem>
    <reviewItem>
      <errorID>f05171f6-d817-4f21-b66f-c09049beca4c</errorID>
      <errorWord>（</errorWord>
      <group>L1_Punc</group>
      <groupName>标点问题</groupName>
      <ability>L2_Punc_CN</ability>
      <abilityName>标点符号检查</abilityName>
      <candidateList/>
      <explain>同一形式括号套用。</explain>
      <paraID>624F5159</paraID>
      <start>70</start>
      <end>71</end>
      <status>unmodified</status>
      <modifiedWord/>
      <trackRevisions>false</trackRevisions>
    </reviewItem>
    <reviewItem>
      <errorID>2b7b0782-02f2-4ffe-88c9-c06e3d9fa783</errorID>
      <errorWord>）</errorWord>
      <group>L1_Punc</group>
      <groupName>标点问题</groupName>
      <ability>L2_Punc_CN</ability>
      <abilityName>标点符号检查</abilityName>
      <candidateList/>
      <explain>同一形式括号套用。</explain>
      <paraID>624F5159</paraID>
      <start>73</start>
      <end>74</end>
      <status>unmodified</status>
      <modifiedWord/>
      <trackRevisions>false</trackRevisions>
    </reviewItem>
    <reviewItem>
      <errorID>8c2dd83a-5b97-4067-948a-ef40da398867</errorID>
      <errorWord>件和</errorWord>
      <group>L1_Word</group>
      <groupName>字词问题</groupName>
      <ability>L2_Typo</ability>
      <abilityName>字词错误</abilityName>
      <candidateList>
        <item>件</item>
      </candidateList>
      <explain/>
      <paraID>296173B4</paraID>
      <start>66</start>
      <end>67</end>
      <status>modified</status>
      <modifiedWord>件</modifiedWord>
      <trackRevisions>false</trackRevisions>
    </reviewItem>
    <reviewItem>
      <errorID>0314d362-73ff-4982-ae55-05766f6863a4</errorID>
      <errorWord>（</errorWord>
      <group>L1_Punc</group>
      <groupName>标点问题</groupName>
      <ability>L2_Punc_CN</ability>
      <abilityName>标点符号检查</abilityName>
      <candidateList/>
      <explain>同一形式括号套用。</explain>
      <paraID>296173B4</paraID>
      <start>70</start>
      <end>71</end>
      <status>unmodified</status>
      <modifiedWord/>
      <trackRevisions>false</trackRevisions>
    </reviewItem>
    <reviewItem>
      <errorID>25cdf2f2-5a0f-47ee-beb1-9b738c8e5e32</errorID>
      <errorWord>）</errorWord>
      <group>L1_Punc</group>
      <groupName>标点问题</groupName>
      <ability>L2_Punc_CN</ability>
      <abilityName>标点符号检查</abilityName>
      <candidateList/>
      <explain>同一形式括号套用。</explain>
      <paraID>296173B4</paraID>
      <start>73</start>
      <end>74</end>
      <status>unmodified</status>
      <modifiedWord/>
      <trackRevisions>false</trackRevisions>
    </reviewItem>
    <reviewItem>
      <errorID>5542e8c1-9028-489e-ae1e-5570115b566e</errorID>
      <errorWord>件和</errorWord>
      <group>L1_Word</group>
      <groupName>字词问题</groupName>
      <ability>L2_Typo</ability>
      <abilityName>字词错误</abilityName>
      <candidateList>
        <item>件</item>
      </candidateList>
      <explain/>
      <paraID>6AC5FB02</paraID>
      <start>66</start>
      <end>67</end>
      <status>modified</status>
      <modifiedWord>件</modifiedWord>
      <trackRevisions>false</trackRevisions>
    </reviewItem>
    <reviewItem>
      <errorID>f78a9e5b-b7e9-4a8b-8748-ae75b89ef87f</errorID>
      <errorWord>（</errorWord>
      <group>L1_Punc</group>
      <groupName>标点问题</groupName>
      <ability>L2_Punc_CN</ability>
      <abilityName>标点符号检查</abilityName>
      <candidateList/>
      <explain>同一形式括号套用。</explain>
      <paraID>6AC5FB02</paraID>
      <start>70</start>
      <end>71</end>
      <status>unmodified</status>
      <modifiedWord/>
      <trackRevisions>false</trackRevisions>
    </reviewItem>
    <reviewItem>
      <errorID>076e7bd5-72b1-4d63-b1ee-5ba079a4a18e</errorID>
      <errorWord>）</errorWord>
      <group>L1_Punc</group>
      <groupName>标点问题</groupName>
      <ability>L2_Punc_CN</ability>
      <abilityName>标点符号检查</abilityName>
      <candidateList/>
      <explain>同一形式括号套用。</explain>
      <paraID>6AC5FB02</paraID>
      <start>73</start>
      <end>74</end>
      <status>unmodified</status>
      <modifiedWord/>
      <trackRevisions>false</trackRevisions>
    </reviewItem>
    <reviewItem>
      <errorID>ce544ff4-55b3-4575-ae79-f4dd693851b0</errorID>
      <errorWord>件和</errorWord>
      <group>L1_Word</group>
      <groupName>字词问题</groupName>
      <ability>L2_Typo</ability>
      <abilityName>字词错误</abilityName>
      <candidateList>
        <item>件</item>
      </candidateList>
      <explain/>
      <paraID> 3CD251C</paraID>
      <start>66</start>
      <end>67</end>
      <status>modified</status>
      <modifiedWord>件</modifiedWord>
      <trackRevisions>false</trackRevisions>
    </reviewItem>
    <reviewItem>
      <errorID>185b0944-5b15-4c02-89e9-799dbba4935c</errorID>
      <errorWord>（</errorWord>
      <group>L1_Punc</group>
      <groupName>标点问题</groupName>
      <ability>L2_Punc_CN</ability>
      <abilityName>标点符号检查</abilityName>
      <candidateList/>
      <explain>同一形式括号套用。</explain>
      <paraID> 3CD251C</paraID>
      <start>70</start>
      <end>71</end>
      <status>unmodified</status>
      <modifiedWord/>
      <trackRevisions>false</trackRevisions>
    </reviewItem>
    <reviewItem>
      <errorID>44a62b55-8f58-4a30-9c52-a08a68607c4f</errorID>
      <errorWord>）</errorWord>
      <group>L1_Punc</group>
      <groupName>标点问题</groupName>
      <ability>L2_Punc_CN</ability>
      <abilityName>标点符号检查</abilityName>
      <candidateList/>
      <explain>同一形式括号套用。</explain>
      <paraID> 3CD251C</paraID>
      <start>73</start>
      <end>74</end>
      <status>unmodified</status>
      <modifiedWord/>
      <trackRevisions>false</trackRevisions>
    </reviewItem>
    <reviewItem>
      <errorID>9fa18ae1-d876-4a7f-9562-dbbc0776fe08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7DE9F72C</paraID>
      <start>0</start>
      <end>2</end>
      <status>unmodified</status>
      <modifiedWord/>
      <trackRevisions>false</trackRevisions>
    </reviewItem>
    <reviewItem>
      <errorID>e351fe6f-8fc6-498f-88bd-f674e03fdbeb</errorID>
      <errorWord>(</errorWord>
      <group>L1_Format</group>
      <groupName>格式问题</groupName>
      <ability>L2_HalfPunc_CN</ability>
      <abilityName>全半角检查</abilityName>
      <candidateList>
        <item>（</item>
      </candidateList>
      <explain>文本全半角错误。</explain>
      <paraID>3514187D</paraID>
      <start>93</start>
      <end>94</end>
      <status>unmodified</status>
      <modifiedWord/>
      <trackRevisions>false</trackRevisions>
    </reviewItem>
    <reviewItem>
      <errorID>3b736fe6-9078-41f8-a3ab-8ec43d9c8dfd</errorID>
      <errorWord>)</errorWord>
      <group>L1_Format</group>
      <groupName>格式问题</groupName>
      <ability>L2_HalfPunc_CN</ability>
      <abilityName>全半角检查</abilityName>
      <candidateList>
        <item>）</item>
      </candidateList>
      <explain>文本全半角错误。</explain>
      <paraID>3514187D</paraID>
      <start>103</start>
      <end>104</end>
      <status>unmodified</status>
      <modifiedWord/>
      <trackRevisions>false</trackRevisions>
    </reviewItem>
    <reviewItem>
      <errorID>274d743d-de03-4609-a0bd-41b867e691d9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70292BF7</paraID>
      <start>0</start>
      <end>2</end>
      <status>unmodified</status>
      <modifiedWord/>
      <trackRevisions>false</trackRevisions>
    </reviewItem>
    <reviewItem>
      <errorID>f7dba5c4-d401-403e-9c96-c3ac85cdd9a3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165E2785</paraID>
      <start>0</start>
      <end>2</end>
      <status>unmodified</status>
      <modifiedWord/>
      <trackRevisions>false</trackRevisions>
    </reviewItem>
    <reviewItem>
      <errorID>c449d1c2-3880-4cbd-b97a-5817f880bf18</errorID>
      <errorWord>》</errorWord>
      <group>L1_Word</group>
      <groupName>字词问题</groupName>
      <ability>L2_Typo</ability>
      <abilityName>字词错误</abilityName>
      <candidateList>
        <item>》和</item>
      </candidateList>
      <explain/>
      <paraID>351ECD18</paraID>
      <start>47</start>
      <end>48</end>
      <status>unmodified</status>
      <modifiedWord/>
      <trackRevisions>false</trackRevisions>
    </reviewItem>
    <reviewItem>
      <errorID>e1120af1-4f61-4547-9720-ef9a7ef8349b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79AED8E6</paraID>
      <start>0</start>
      <end>2</end>
      <status>unmodified</status>
      <modifiedWord/>
      <trackRevisions>false</trackRevisions>
    </reviewItem>
    <reviewItem>
      <errorID>3acdf0bd-9a6e-4edf-a4e4-6ac5e5dd34a1</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43C3DED3</paraID>
      <start>56</start>
      <end>57</end>
      <status>unmodified</status>
      <modifiedWord/>
      <trackRevisions>false</trackRevisions>
    </reviewItem>
    <reviewItem>
      <errorID>77a245c5-6069-46dd-a857-a7023c24a736</errorID>
      <errorWord>法律、法规</errorWord>
      <group>L1_Word</group>
      <groupName>字词问题</groupName>
      <ability>L2_Typo</ability>
      <abilityName>字词错误</abilityName>
      <candidateList>
        <item>法律法规</item>
      </candidateList>
      <explain/>
      <paraID>5BB468BF</paraID>
      <start>44</start>
      <end>49</end>
      <status>unmodified</status>
      <modifiedWord/>
      <trackRevisions>false</trackRevisions>
    </reviewItem>
    <reviewItem>
      <errorID>1ddac108-1bfe-4b97-a6b1-41e910711cd5</errorID>
      <errorWord>〔2017〕 141号</errorWord>
      <group>L1_Knowledge</group>
      <groupName>知识性问题</groupName>
      <ability>L2_Knowledge</ability>
      <abilityName>其他知识</abilityName>
      <candidateList>
        <item>〔2017〕141号</item>
      </candidateList>
      <explain>发文字号格式错误。</explain>
      <paraID>6CC1694C</paraID>
      <start>49</start>
      <end>60</end>
      <status>unmodified</status>
      <modifiedWord/>
      <trackRevisions>false</trackRevisions>
    </reviewItem>
    <reviewItem>
      <errorID>a48a85ab-d3d5-4bcc-8fa7-21ebd86a2325</errorID>
      <errorWord>其它</errorWord>
      <group>L1_Word</group>
      <groupName>字词问题</groupName>
      <ability>L2_Alias</ability>
      <abilityName>也作/曾用词</abilityName>
      <candidateList>
        <item>其他</item>
      </candidateList>
      <explain>词汇[其它]为不规范表述或旧称，其规范书面表述为[其他]。</explain>
      <paraID>47B54A3D</paraID>
      <start>8</start>
      <end>10</end>
      <status>unmodified</status>
      <modifiedWord/>
      <trackRevisions>false</trackRevisions>
    </reviewItem>
    <reviewItem>
      <errorID>65d80ccd-3531-41aa-a57c-5d60149786a5</errorID>
      <errorWord>......</errorWord>
      <group>L1_Punc</group>
      <groupName>标点问题</groupName>
      <ability>L2_Punc_CN</ability>
      <abilityName>标点符号检查</abilityName>
      <candidateList>
        <item>……</item>
      </candidateList>
      <explain/>
      <paraID>7582E646</paraID>
      <start>0</start>
      <end>6</end>
      <status>unmodified</status>
      <modifiedWord/>
      <trackRevisions>false</trackRevisions>
    </reviewItem>
    <reviewItem>
      <errorID>1e9e6cdb-6880-4061-9363-ae78754d5f0d</errorID>
      <errorWord>......</errorWord>
      <group>L1_Punc</group>
      <groupName>标点问题</groupName>
      <ability>L2_Punc_CN</ability>
      <abilityName>标点符号检查</abilityName>
      <candidateList>
        <item>……</item>
      </candidateList>
      <explain/>
      <paraID>7543CA00</paraID>
      <start>0</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9590A582-2B62-4075-9071-BBDF9D60C07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周辰</cp:lastModifiedBy>
  <cp:revision>42</cp:revision>
  <dcterms:created xsi:type="dcterms:W3CDTF">2026-06-01T03:49:00Z</dcterms:created>
  <dcterms:modified xsi:type="dcterms:W3CDTF">2026-10-30T06:52:16Z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246DBEC8EA8443B7B095AF3FFE0CC845_13</vt:lpwstr>
  </property>
  <property fmtid="{D5CDD505-2E9C-101B-9397-08002B2CF9AE}" pid="4" name="KSOTemplateDocerSaveRecord">
    <vt:lpwstr>eyJoZGlkIjoiMmQxNzExZGJkYzhjMTQwM2IzY2NhZWNkMmI4YzBiYTEiLCJ1c2VySWQiOiI0MTE0NTUwMjMifQ==</vt:lpwstr>
  </property>
</Properties>
</file>